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before="624" w:beforeLines="200"/>
        <w:ind w:left="2880" w:hanging="840" w:hangingChars="400"/>
        <w:jc w:val="center"/>
        <w:rPr>
          <w:sz w:val="22"/>
          <w:szCs w:val="22"/>
        </w:rPr>
      </w:pPr>
      <w:r>
        <w:rPr>
          <w:color w:val="0000FF"/>
        </w:rPr>
        <w:drawing>
          <wp:anchor distT="0" distB="0" distL="114300" distR="114300" simplePos="0" relativeHeight="251662336" behindDoc="1" locked="0" layoutInCell="1" allowOverlap="1">
            <wp:simplePos x="0" y="0"/>
            <wp:positionH relativeFrom="column">
              <wp:posOffset>-139065</wp:posOffset>
            </wp:positionH>
            <wp:positionV relativeFrom="paragraph">
              <wp:posOffset>401320</wp:posOffset>
            </wp:positionV>
            <wp:extent cx="932815" cy="867410"/>
            <wp:effectExtent l="0" t="0" r="635" b="8890"/>
            <wp:wrapTight wrapText="bothSides">
              <wp:wrapPolygon>
                <wp:start x="21592" y="-2"/>
                <wp:lineTo x="0" y="0"/>
                <wp:lineTo x="0" y="21600"/>
                <wp:lineTo x="21592" y="21602"/>
                <wp:lineTo x="8" y="21602"/>
                <wp:lineTo x="21600" y="21600"/>
                <wp:lineTo x="21600" y="0"/>
                <wp:lineTo x="8" y="-2"/>
                <wp:lineTo x="21592" y="-2"/>
              </wp:wrapPolygon>
            </wp:wrapTight>
            <wp:docPr id="2" name="图片 2" descr="b7b72726d0da41ab85fcece6035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b72726d0da41ab85fcece60352fd0"/>
                    <pic:cNvPicPr>
                      <a:picLocks noChangeAspect="1"/>
                    </pic:cNvPicPr>
                  </pic:nvPicPr>
                  <pic:blipFill>
                    <a:blip r:embed="rId21"/>
                    <a:stretch>
                      <a:fillRect/>
                    </a:stretch>
                  </pic:blipFill>
                  <pic:spPr>
                    <a:xfrm>
                      <a:off x="0" y="0"/>
                      <a:ext cx="932815" cy="867410"/>
                    </a:xfrm>
                    <a:prstGeom prst="rect">
                      <a:avLst/>
                    </a:prstGeom>
                    <a:noFill/>
                    <a:ln>
                      <a:noFill/>
                    </a:ln>
                  </pic:spPr>
                </pic:pic>
              </a:graphicData>
            </a:graphic>
          </wp:anchor>
        </w:drawing>
      </w:r>
      <w:r>
        <w:rPr>
          <w:rFonts w:ascii="宋体" w:hAnsi="Times New Roman" w:eastAsia="宋体"/>
          <w:b/>
          <w:color w:val="000000"/>
          <w:kern w:val="24"/>
          <w:sz w:val="52"/>
          <w:szCs w:val="52"/>
        </w:rPr>
        <w:t>浙江凯宝工程项目管理有限公司</w:t>
      </w:r>
      <w:r>
        <w:rPr>
          <w:rFonts w:hint="eastAsia" w:ascii="宋体" w:hAnsi="Times New Roman" w:eastAsia="宋体"/>
          <w:b/>
          <w:color w:val="000000"/>
          <w:kern w:val="24"/>
          <w:sz w:val="52"/>
          <w:szCs w:val="52"/>
          <w:lang w:val="en-US" w:eastAsia="zh-CN"/>
        </w:rPr>
        <w:t xml:space="preserve"> </w:t>
      </w:r>
      <w:r>
        <w:rPr>
          <w:rFonts w:ascii="Calibri" w:hAnsi="Times New Roman" w:eastAsia="宋体"/>
          <w:color w:val="000000"/>
          <w:kern w:val="24"/>
        </w:rPr>
        <w:t>ZHE JIANG KAI BAO ENGINEERING PROJECT MANAGEMENT CO. , LTD</w:t>
      </w:r>
    </w:p>
    <w:p>
      <w:pPr>
        <w:keepNext w:val="0"/>
        <w:keepLines w:val="0"/>
        <w:pageBreakBefore w:val="0"/>
        <w:widowControl w:val="0"/>
        <w:kinsoku/>
        <w:wordWrap/>
        <w:overflowPunct/>
        <w:topLinePunct w:val="0"/>
        <w:autoSpaceDE/>
        <w:autoSpaceDN/>
        <w:bidi w:val="0"/>
        <w:adjustRightInd/>
        <w:snapToGrid/>
        <w:spacing w:before="313" w:beforeLines="100" w:line="1120" w:lineRule="exact"/>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48"/>
          <w:szCs w:val="48"/>
          <w:highlight w:val="none"/>
          <w:lang w:eastAsia="zh-CN"/>
        </w:rPr>
        <w:t>瑞安市妇幼保健院胃肠镜系统采购</w:t>
      </w:r>
    </w:p>
    <w:p>
      <w:pPr>
        <w:spacing w:line="1120" w:lineRule="exact"/>
        <w:jc w:val="center"/>
        <w:rPr>
          <w:rFonts w:hint="eastAsia" w:ascii="宋体" w:hAnsi="宋体" w:eastAsia="宋体" w:cs="宋体"/>
          <w:b/>
          <w:bCs/>
          <w:color w:val="auto"/>
          <w:sz w:val="72"/>
          <w:szCs w:val="72"/>
          <w:highlight w:val="none"/>
        </w:rPr>
      </w:pPr>
    </w:p>
    <w:p>
      <w:pPr>
        <w:spacing w:line="1120" w:lineRule="exact"/>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jc w:val="center"/>
        <w:rPr>
          <w:rFonts w:hint="eastAsia" w:ascii="宋体" w:hAnsi="宋体" w:eastAsia="宋体" w:cs="宋体"/>
          <w:color w:val="auto"/>
          <w:sz w:val="72"/>
          <w:szCs w:val="72"/>
          <w:highlight w:val="none"/>
        </w:rPr>
      </w:pPr>
      <w:r>
        <w:rPr>
          <w:rFonts w:hint="eastAsia" w:ascii="宋体" w:hAnsi="宋体" w:eastAsia="宋体" w:cs="宋体"/>
          <w:b/>
          <w:bCs/>
          <w:color w:val="auto"/>
          <w:sz w:val="72"/>
          <w:szCs w:val="72"/>
          <w:highlight w:val="none"/>
        </w:rPr>
        <w:t>件</w:t>
      </w:r>
    </w:p>
    <w:p>
      <w:pPr>
        <w:spacing w:line="400" w:lineRule="exact"/>
        <w:rPr>
          <w:rFonts w:hint="eastAsia" w:ascii="宋体" w:hAnsi="宋体" w:eastAsia="宋体" w:cs="宋体"/>
          <w:color w:val="auto"/>
          <w:sz w:val="28"/>
          <w:highlight w:val="none"/>
        </w:rPr>
      </w:pPr>
    </w:p>
    <w:p>
      <w:pPr>
        <w:pStyle w:val="3"/>
        <w:rPr>
          <w:rFonts w:hint="eastAsia"/>
          <w:color w:val="auto"/>
          <w:highlight w:val="none"/>
        </w:rPr>
      </w:pPr>
    </w:p>
    <w:p>
      <w:pPr>
        <w:pStyle w:val="22"/>
        <w:keepNext w:val="0"/>
        <w:keepLines w:val="0"/>
        <w:pageBreakBefore w:val="0"/>
        <w:widowControl w:val="0"/>
        <w:tabs>
          <w:tab w:val="left" w:pos="1500"/>
          <w:tab w:val="clear" w:pos="4153"/>
          <w:tab w:val="clear" w:pos="8306"/>
        </w:tabs>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t xml:space="preserve">        项  目 编 号：</w:t>
      </w:r>
      <w:r>
        <w:rPr>
          <w:rFonts w:hint="eastAsia" w:ascii="宋体" w:hAnsi="宋体" w:eastAsia="宋体" w:cs="宋体"/>
          <w:color w:val="auto"/>
          <w:kern w:val="2"/>
          <w:sz w:val="30"/>
          <w:szCs w:val="30"/>
          <w:highlight w:val="none"/>
          <w:lang w:val="en-US" w:eastAsia="zh-CN" w:bidi="ar-SA"/>
        </w:rPr>
        <w:t>ZJKB2024021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  购 方 式：公开招标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采</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购</w:t>
      </w:r>
      <w:r>
        <w:rPr>
          <w:rFonts w:hint="eastAsia" w:ascii="宋体" w:hAnsi="宋体" w:eastAsia="宋体" w:cs="宋体"/>
          <w:color w:val="auto"/>
          <w:sz w:val="30"/>
          <w:szCs w:val="30"/>
          <w:highlight w:val="none"/>
        </w:rPr>
        <w:t xml:space="preserve">   人：</w:t>
      </w:r>
      <w:r>
        <w:rPr>
          <w:rFonts w:hint="eastAsia" w:ascii="宋体" w:hAnsi="宋体" w:cs="宋体"/>
          <w:color w:val="auto"/>
          <w:sz w:val="30"/>
          <w:szCs w:val="30"/>
          <w:highlight w:val="none"/>
          <w:lang w:eastAsia="zh-CN"/>
        </w:rPr>
        <w:t>瑞安市妇幼保健院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eastAsia="zh-CN"/>
        </w:rPr>
        <w:t>浙江凯宝工程项目管理有限公司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月</w:t>
      </w:r>
    </w:p>
    <w:p>
      <w:pPr>
        <w:widowControl/>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sectPr>
          <w:headerReference r:id="rId5" w:type="first"/>
          <w:headerReference r:id="rId3" w:type="default"/>
          <w:headerReference r:id="rId4" w:type="even"/>
          <w:pgSz w:w="11906" w:h="16838"/>
          <w:pgMar w:top="1134" w:right="1418" w:bottom="1020" w:left="1418" w:header="680" w:footer="680" w:gutter="0"/>
          <w:pgNumType w:fmt="numberInDash" w:start="1"/>
          <w:cols w:space="720" w:num="1"/>
          <w:docGrid w:type="lines" w:linePitch="312" w:charSpace="0"/>
        </w:sectPr>
      </w:pPr>
    </w:p>
    <w:p>
      <w:pPr>
        <w:jc w:val="center"/>
        <w:rPr>
          <w:rFonts w:hint="eastAsia" w:ascii="宋体" w:hAnsi="宋体" w:eastAsia="宋体" w:cs="宋体"/>
          <w:b/>
          <w:color w:val="auto"/>
          <w:sz w:val="20"/>
          <w:szCs w:val="20"/>
          <w:highlight w:val="none"/>
        </w:rPr>
      </w:pPr>
      <w:bookmarkStart w:id="0" w:name="_Toc474156082"/>
      <w:bookmarkStart w:id="1" w:name="_Toc440617839"/>
      <w:r>
        <w:rPr>
          <w:rFonts w:hint="eastAsia" w:ascii="宋体" w:hAnsi="宋体" w:eastAsia="宋体" w:cs="宋体"/>
          <w:b/>
          <w:color w:val="auto"/>
          <w:sz w:val="40"/>
          <w:szCs w:val="40"/>
          <w:highlight w:val="none"/>
        </w:rPr>
        <w:t>目</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录</w:t>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TOC \o "1-1" \h \u </w:instrText>
      </w:r>
      <w:r>
        <w:rPr>
          <w:rFonts w:hint="eastAsia" w:ascii="宋体" w:hAnsi="宋体" w:eastAsia="宋体" w:cs="宋体"/>
          <w:smallCaps/>
          <w:color w:val="auto"/>
          <w:szCs w:val="24"/>
          <w:highlight w:val="none"/>
        </w:rPr>
        <w:fldChar w:fldCharType="separate"/>
      </w: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_Toc19358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40"/>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_Toc19358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_Toc22691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36"/>
          <w:highlight w:val="none"/>
        </w:rPr>
        <w:t xml:space="preserve">第二部分  </w:t>
      </w:r>
      <w:r>
        <w:rPr>
          <w:rFonts w:hint="eastAsia" w:ascii="宋体" w:hAnsi="宋体" w:eastAsia="宋体" w:cs="宋体"/>
          <w:color w:val="auto"/>
          <w:szCs w:val="36"/>
          <w:highlight w:val="none"/>
          <w:lang w:eastAsia="zh-CN"/>
        </w:rPr>
        <w:t>投标人</w:t>
      </w:r>
      <w:r>
        <w:rPr>
          <w:rFonts w:hint="eastAsia" w:ascii="宋体" w:hAnsi="宋体" w:eastAsia="宋体" w:cs="宋体"/>
          <w:color w:val="auto"/>
          <w:szCs w:val="36"/>
          <w:highlight w:val="none"/>
        </w:rPr>
        <w:t>须知</w:t>
      </w:r>
      <w:r>
        <w:rPr>
          <w:rFonts w:hint="eastAsia" w:ascii="宋体" w:hAnsi="宋体" w:eastAsia="宋体" w:cs="宋体"/>
          <w:color w:val="auto"/>
          <w:szCs w:val="36"/>
          <w:highlight w:val="none"/>
          <w:lang w:val="en-US" w:eastAsia="zh-CN"/>
        </w:rPr>
        <w:t>前附表</w:t>
      </w:r>
      <w:r>
        <w:rPr>
          <w:color w:val="auto"/>
          <w:highlight w:val="none"/>
        </w:rPr>
        <w:tab/>
      </w:r>
      <w:r>
        <w:rPr>
          <w:color w:val="auto"/>
          <w:highlight w:val="none"/>
        </w:rPr>
        <w:fldChar w:fldCharType="begin"/>
      </w:r>
      <w:r>
        <w:rPr>
          <w:color w:val="auto"/>
          <w:highlight w:val="none"/>
        </w:rPr>
        <w:instrText xml:space="preserve"> PAGEREF _Toc22691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_Toc25096 </w:instrText>
      </w:r>
      <w:r>
        <w:rPr>
          <w:rFonts w:hint="eastAsia" w:ascii="宋体" w:hAnsi="宋体" w:eastAsia="宋体" w:cs="宋体"/>
          <w:smallCaps/>
          <w:color w:val="auto"/>
          <w:szCs w:val="24"/>
          <w:highlight w:val="none"/>
        </w:rPr>
        <w:fldChar w:fldCharType="separate"/>
      </w:r>
      <w:r>
        <w:rPr>
          <w:rFonts w:hint="eastAsia" w:ascii="宋体" w:hAnsi="宋体" w:eastAsia="宋体" w:cs="宋体"/>
          <w:bCs w:val="0"/>
          <w:color w:val="auto"/>
          <w:szCs w:val="28"/>
          <w:highlight w:val="none"/>
          <w:lang w:val="en-US" w:eastAsia="zh-CN"/>
        </w:rPr>
        <w:t>一、</w:t>
      </w:r>
      <w:r>
        <w:rPr>
          <w:rFonts w:hint="eastAsia" w:ascii="宋体" w:hAnsi="宋体" w:eastAsia="宋体" w:cs="宋体"/>
          <w:bCs w:val="0"/>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_Toc25096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_Toc8495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_Toc8495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_Toc19369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三、投标</w:t>
      </w:r>
      <w:r>
        <w:rPr>
          <w:color w:val="auto"/>
          <w:highlight w:val="none"/>
        </w:rPr>
        <w:tab/>
      </w:r>
      <w:r>
        <w:rPr>
          <w:color w:val="auto"/>
          <w:highlight w:val="none"/>
        </w:rPr>
        <w:fldChar w:fldCharType="begin"/>
      </w:r>
      <w:r>
        <w:rPr>
          <w:color w:val="auto"/>
          <w:highlight w:val="none"/>
        </w:rPr>
        <w:instrText xml:space="preserve"> PAGEREF _Toc19369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_Toc26269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_Toc26269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_Toc4103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五、评标</w:t>
      </w:r>
      <w:r>
        <w:rPr>
          <w:color w:val="auto"/>
          <w:highlight w:val="none"/>
        </w:rPr>
        <w:tab/>
      </w:r>
      <w:r>
        <w:rPr>
          <w:color w:val="auto"/>
          <w:highlight w:val="none"/>
        </w:rPr>
        <w:fldChar w:fldCharType="begin"/>
      </w:r>
      <w:r>
        <w:rPr>
          <w:color w:val="auto"/>
          <w:highlight w:val="none"/>
        </w:rPr>
        <w:instrText xml:space="preserve"> PAGEREF _Toc4103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_Toc2217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六、定 标</w:t>
      </w:r>
      <w:r>
        <w:rPr>
          <w:color w:val="auto"/>
          <w:highlight w:val="none"/>
        </w:rPr>
        <w:tab/>
      </w:r>
      <w:r>
        <w:rPr>
          <w:color w:val="auto"/>
          <w:highlight w:val="none"/>
        </w:rPr>
        <w:fldChar w:fldCharType="begin"/>
      </w:r>
      <w:r>
        <w:rPr>
          <w:color w:val="auto"/>
          <w:highlight w:val="none"/>
        </w:rPr>
        <w:instrText xml:space="preserve"> PAGEREF _Toc2217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_Toc21779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七、合同授予</w:t>
      </w:r>
      <w:r>
        <w:rPr>
          <w:color w:val="auto"/>
          <w:highlight w:val="none"/>
        </w:rPr>
        <w:tab/>
      </w:r>
      <w:r>
        <w:rPr>
          <w:color w:val="auto"/>
          <w:highlight w:val="none"/>
        </w:rPr>
        <w:fldChar w:fldCharType="begin"/>
      </w:r>
      <w:r>
        <w:rPr>
          <w:color w:val="auto"/>
          <w:highlight w:val="none"/>
        </w:rPr>
        <w:instrText xml:space="preserve"> PAGEREF _Toc21779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_Toc19992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_Toc19992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_Toc1197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九、验收</w:t>
      </w:r>
      <w:r>
        <w:rPr>
          <w:color w:val="auto"/>
          <w:highlight w:val="none"/>
        </w:rPr>
        <w:tab/>
      </w:r>
      <w:r>
        <w:rPr>
          <w:color w:val="auto"/>
          <w:highlight w:val="none"/>
        </w:rPr>
        <w:fldChar w:fldCharType="begin"/>
      </w:r>
      <w:r>
        <w:rPr>
          <w:color w:val="auto"/>
          <w:highlight w:val="none"/>
        </w:rPr>
        <w:instrText xml:space="preserve"> PAGEREF _Toc1197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_Toc12093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32"/>
          <w:highlight w:val="none"/>
          <w:lang w:val="en-US" w:eastAsia="zh-CN"/>
        </w:rPr>
        <w:t>十</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lang w:val="en-US" w:eastAsia="zh-CN"/>
        </w:rPr>
        <w:t>代理服务费</w:t>
      </w:r>
      <w:r>
        <w:rPr>
          <w:color w:val="auto"/>
          <w:highlight w:val="none"/>
        </w:rPr>
        <w:tab/>
      </w:r>
      <w:r>
        <w:rPr>
          <w:color w:val="auto"/>
          <w:highlight w:val="none"/>
        </w:rPr>
        <w:fldChar w:fldCharType="begin"/>
      </w:r>
      <w:r>
        <w:rPr>
          <w:color w:val="auto"/>
          <w:highlight w:val="none"/>
        </w:rPr>
        <w:instrText xml:space="preserve"> PAGEREF _Toc12093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_Toc2560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40"/>
          <w:highlight w:val="none"/>
        </w:rPr>
        <w:t xml:space="preserve">第三部分  </w:t>
      </w:r>
      <w:r>
        <w:rPr>
          <w:rFonts w:hint="eastAsia" w:ascii="宋体" w:hAnsi="宋体" w:eastAsia="宋体" w:cs="宋体"/>
          <w:color w:val="auto"/>
          <w:szCs w:val="4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_Toc2560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_Toc7172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kern w:val="44"/>
          <w:szCs w:val="32"/>
          <w:highlight w:val="none"/>
          <w:lang w:val="en-US" w:eastAsia="zh-CN" w:bidi="ar-SA"/>
        </w:rPr>
        <w:t>第四部分   评标办法</w:t>
      </w:r>
      <w:r>
        <w:rPr>
          <w:color w:val="auto"/>
          <w:highlight w:val="none"/>
        </w:rPr>
        <w:tab/>
      </w:r>
      <w:r>
        <w:rPr>
          <w:color w:val="auto"/>
          <w:highlight w:val="none"/>
        </w:rPr>
        <w:fldChar w:fldCharType="begin"/>
      </w:r>
      <w:r>
        <w:rPr>
          <w:color w:val="auto"/>
          <w:highlight w:val="none"/>
        </w:rPr>
        <w:instrText xml:space="preserve"> PAGEREF _Toc7172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_Toc24770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1"/>
          <w:highlight w:val="none"/>
        </w:rPr>
        <w:t>一、评标方法</w:t>
      </w:r>
      <w:r>
        <w:rPr>
          <w:color w:val="auto"/>
          <w:highlight w:val="none"/>
        </w:rPr>
        <w:tab/>
      </w:r>
      <w:r>
        <w:rPr>
          <w:color w:val="auto"/>
          <w:highlight w:val="none"/>
        </w:rPr>
        <w:fldChar w:fldCharType="begin"/>
      </w:r>
      <w:r>
        <w:rPr>
          <w:color w:val="auto"/>
          <w:highlight w:val="none"/>
        </w:rPr>
        <w:instrText xml:space="preserve"> PAGEREF _Toc24770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_Toc15641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二、评标标准</w:t>
      </w:r>
      <w:r>
        <w:rPr>
          <w:color w:val="auto"/>
          <w:highlight w:val="none"/>
        </w:rPr>
        <w:tab/>
      </w:r>
      <w:r>
        <w:rPr>
          <w:color w:val="auto"/>
          <w:highlight w:val="none"/>
        </w:rPr>
        <w:fldChar w:fldCharType="begin"/>
      </w:r>
      <w:r>
        <w:rPr>
          <w:color w:val="auto"/>
          <w:highlight w:val="none"/>
        </w:rPr>
        <w:instrText xml:space="preserve"> PAGEREF _Toc15641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_Toc6031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三、评标程序</w:t>
      </w:r>
      <w:r>
        <w:rPr>
          <w:color w:val="auto"/>
          <w:highlight w:val="none"/>
        </w:rPr>
        <w:tab/>
      </w:r>
      <w:r>
        <w:rPr>
          <w:color w:val="auto"/>
          <w:highlight w:val="none"/>
        </w:rPr>
        <w:fldChar w:fldCharType="begin"/>
      </w:r>
      <w:r>
        <w:rPr>
          <w:color w:val="auto"/>
          <w:highlight w:val="none"/>
        </w:rPr>
        <w:instrText xml:space="preserve"> PAGEREF _Toc6031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_Toc11310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28"/>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_Toc11310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_Toc27385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kern w:val="44"/>
          <w:szCs w:val="32"/>
          <w:highlight w:val="none"/>
          <w:lang w:val="en-US" w:eastAsia="zh-CN" w:bidi="ar-SA"/>
        </w:rPr>
        <w:t>第五部分  拟签订的合同文本</w:t>
      </w:r>
      <w:r>
        <w:rPr>
          <w:color w:val="auto"/>
          <w:highlight w:val="none"/>
        </w:rPr>
        <w:tab/>
      </w:r>
      <w:r>
        <w:rPr>
          <w:color w:val="auto"/>
          <w:highlight w:val="none"/>
        </w:rPr>
        <w:fldChar w:fldCharType="begin"/>
      </w:r>
      <w:r>
        <w:rPr>
          <w:color w:val="auto"/>
          <w:highlight w:val="none"/>
        </w:rPr>
        <w:instrText xml:space="preserve"> PAGEREF _Toc27385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_Toc274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部分  应提交的有关格式范例</w:t>
      </w:r>
      <w:r>
        <w:rPr>
          <w:color w:val="auto"/>
          <w:highlight w:val="none"/>
        </w:rPr>
        <w:tab/>
      </w:r>
      <w:r>
        <w:rPr>
          <w:color w:val="auto"/>
          <w:highlight w:val="none"/>
        </w:rPr>
        <w:fldChar w:fldCharType="begin"/>
      </w:r>
      <w:r>
        <w:rPr>
          <w:color w:val="auto"/>
          <w:highlight w:val="none"/>
        </w:rPr>
        <w:instrText xml:space="preserve"> PAGEREF _Toc274 \h </w:instrText>
      </w:r>
      <w:r>
        <w:rPr>
          <w:color w:val="auto"/>
          <w:highlight w:val="none"/>
        </w:rPr>
        <w:fldChar w:fldCharType="separate"/>
      </w:r>
      <w:r>
        <w:rPr>
          <w:color w:val="auto"/>
          <w:highlight w:val="none"/>
        </w:rPr>
        <w:t>- 44 -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_Toc25231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kern w:val="0"/>
          <w:szCs w:val="32"/>
          <w:highlight w:val="none"/>
        </w:rPr>
        <w:t>资格文件部分</w:t>
      </w:r>
      <w:r>
        <w:rPr>
          <w:color w:val="auto"/>
          <w:highlight w:val="none"/>
        </w:rPr>
        <w:tab/>
      </w:r>
      <w:r>
        <w:rPr>
          <w:color w:val="auto"/>
          <w:highlight w:val="none"/>
        </w:rPr>
        <w:fldChar w:fldCharType="begin"/>
      </w:r>
      <w:r>
        <w:rPr>
          <w:color w:val="auto"/>
          <w:highlight w:val="none"/>
        </w:rPr>
        <w:instrText xml:space="preserve"> PAGEREF _Toc25231 \h </w:instrText>
      </w:r>
      <w:r>
        <w:rPr>
          <w:color w:val="auto"/>
          <w:highlight w:val="none"/>
        </w:rPr>
        <w:fldChar w:fldCharType="separate"/>
      </w:r>
      <w:r>
        <w:rPr>
          <w:color w:val="auto"/>
          <w:highlight w:val="none"/>
        </w:rPr>
        <w:t>- 45 -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_Toc25318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kern w:val="0"/>
          <w:szCs w:val="28"/>
          <w:highlight w:val="none"/>
        </w:rPr>
        <w:t>商务技术文件部分</w:t>
      </w:r>
      <w:r>
        <w:rPr>
          <w:color w:val="auto"/>
          <w:highlight w:val="none"/>
        </w:rPr>
        <w:tab/>
      </w:r>
      <w:r>
        <w:rPr>
          <w:color w:val="auto"/>
          <w:highlight w:val="none"/>
        </w:rPr>
        <w:fldChar w:fldCharType="begin"/>
      </w:r>
      <w:r>
        <w:rPr>
          <w:color w:val="auto"/>
          <w:highlight w:val="none"/>
        </w:rPr>
        <w:instrText xml:space="preserve"> PAGEREF _Toc25318 \h </w:instrText>
      </w:r>
      <w:r>
        <w:rPr>
          <w:color w:val="auto"/>
          <w:highlight w:val="none"/>
        </w:rPr>
        <w:fldChar w:fldCharType="separate"/>
      </w:r>
      <w:r>
        <w:rPr>
          <w:color w:val="auto"/>
          <w:highlight w:val="none"/>
        </w:rPr>
        <w:t>- 50 -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_Toc27177 </w:instrText>
      </w:r>
      <w:r>
        <w:rPr>
          <w:rFonts w:hint="eastAsia" w:ascii="宋体" w:hAnsi="宋体" w:eastAsia="宋体" w:cs="宋体"/>
          <w:smallCaps/>
          <w:color w:val="auto"/>
          <w:szCs w:val="24"/>
          <w:highlight w:val="none"/>
        </w:rPr>
        <w:fldChar w:fldCharType="separate"/>
      </w:r>
      <w:r>
        <w:rPr>
          <w:rFonts w:hint="eastAsia" w:ascii="宋体" w:hAnsi="宋体" w:eastAsia="宋体" w:cs="宋体"/>
          <w:bCs/>
          <w:color w:val="auto"/>
          <w:szCs w:val="36"/>
          <w:highlight w:val="none"/>
          <w:lang w:val="en-US" w:eastAsia="zh-CN"/>
        </w:rPr>
        <w:t>报价文件部分</w:t>
      </w:r>
      <w:r>
        <w:rPr>
          <w:color w:val="auto"/>
          <w:highlight w:val="none"/>
        </w:rPr>
        <w:tab/>
      </w:r>
      <w:r>
        <w:rPr>
          <w:color w:val="auto"/>
          <w:highlight w:val="none"/>
        </w:rPr>
        <w:fldChar w:fldCharType="begin"/>
      </w:r>
      <w:r>
        <w:rPr>
          <w:color w:val="auto"/>
          <w:highlight w:val="none"/>
        </w:rPr>
        <w:instrText xml:space="preserve"> PAGEREF _Toc27177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_Toc6014 </w:instrText>
      </w:r>
      <w:r>
        <w:rPr>
          <w:rFonts w:hint="eastAsia" w:ascii="宋体" w:hAnsi="宋体" w:eastAsia="宋体" w:cs="宋体"/>
          <w:smallCaps/>
          <w:color w:val="auto"/>
          <w:szCs w:val="24"/>
          <w:highlight w:val="none"/>
        </w:rPr>
        <w:fldChar w:fldCharType="separate"/>
      </w:r>
      <w:r>
        <w:rPr>
          <w:rFonts w:hint="eastAsia" w:ascii="宋体" w:hAnsi="宋体" w:eastAsia="宋体" w:cs="宋体"/>
          <w:color w:val="auto"/>
          <w:kern w:val="44"/>
          <w:szCs w:val="36"/>
          <w:highlight w:val="none"/>
          <w:lang w:val="en-US" w:eastAsia="zh-CN" w:bidi="ar-SA"/>
        </w:rPr>
        <w:t>第七部分 实质性响应条款及无效标条款</w:t>
      </w:r>
      <w:r>
        <w:rPr>
          <w:color w:val="auto"/>
          <w:highlight w:val="none"/>
        </w:rPr>
        <w:tab/>
      </w:r>
      <w:r>
        <w:rPr>
          <w:color w:val="auto"/>
          <w:highlight w:val="none"/>
        </w:rPr>
        <w:fldChar w:fldCharType="begin"/>
      </w:r>
      <w:r>
        <w:rPr>
          <w:color w:val="auto"/>
          <w:highlight w:val="none"/>
        </w:rPr>
        <w:instrText xml:space="preserve"> PAGEREF _Toc6014 \h </w:instrText>
      </w:r>
      <w:r>
        <w:rPr>
          <w:color w:val="auto"/>
          <w:highlight w:val="none"/>
        </w:rPr>
        <w:fldChar w:fldCharType="separate"/>
      </w:r>
      <w:r>
        <w:rPr>
          <w:color w:val="auto"/>
          <w:highlight w:val="none"/>
        </w:rPr>
        <w:t>- 74 -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4"/>
        <w:tabs>
          <w:tab w:val="right" w:leader="dot" w:pos="9070"/>
          <w:tab w:val="clear" w:pos="945"/>
          <w:tab w:val="clear" w:pos="8948"/>
        </w:tabs>
        <w:rPr>
          <w:color w:val="auto"/>
          <w:highlight w:val="none"/>
        </w:rPr>
      </w:pPr>
      <w:r>
        <w:rPr>
          <w:rFonts w:hint="eastAsia" w:ascii="宋体" w:hAnsi="宋体" w:eastAsia="宋体" w:cs="宋体"/>
          <w:smallCaps/>
          <w:color w:val="auto"/>
          <w:szCs w:val="24"/>
          <w:highlight w:val="none"/>
        </w:rPr>
        <w:fldChar w:fldCharType="begin"/>
      </w:r>
      <w:r>
        <w:rPr>
          <w:rFonts w:hint="eastAsia" w:ascii="宋体" w:hAnsi="宋体" w:eastAsia="宋体" w:cs="宋体"/>
          <w:smallCaps/>
          <w:color w:val="auto"/>
          <w:szCs w:val="24"/>
          <w:highlight w:val="none"/>
        </w:rPr>
        <w:instrText xml:space="preserve"> HYPERLINK \l _Toc29270 </w:instrText>
      </w:r>
      <w:r>
        <w:rPr>
          <w:rFonts w:hint="eastAsia" w:ascii="宋体" w:hAnsi="宋体" w:eastAsia="宋体" w:cs="宋体"/>
          <w:smallCaps/>
          <w:color w:val="auto"/>
          <w:szCs w:val="24"/>
          <w:highlight w:val="none"/>
        </w:rPr>
        <w:fldChar w:fldCharType="separate"/>
      </w:r>
      <w:r>
        <w:rPr>
          <w:rFonts w:hint="eastAsia" w:ascii="仿宋_GB2312" w:hAnsi="仿宋" w:eastAsia="仿宋_GB2312" w:cs="Times New Roman"/>
          <w:color w:val="auto"/>
          <w:spacing w:val="6"/>
          <w:kern w:val="2"/>
          <w:szCs w:val="32"/>
          <w:highlight w:val="none"/>
          <w:lang w:val="en-US" w:eastAsia="zh-CN" w:bidi="ar-SA"/>
        </w:rPr>
        <w:t xml:space="preserve">其他附件：                                          </w:t>
      </w:r>
      <w:r>
        <w:rPr>
          <w:rFonts w:hint="eastAsia" w:ascii="仿宋_GB2312" w:hAnsi="仿宋" w:eastAsia="仿宋_GB2312"/>
          <w:color w:val="auto"/>
          <w:spacing w:val="6"/>
          <w:szCs w:val="32"/>
          <w:highlight w:val="none"/>
        </w:rPr>
        <w:t>附</w:t>
      </w:r>
      <w:r>
        <w:rPr>
          <w:rFonts w:hint="eastAsia" w:ascii="仿宋_GB2312" w:hAnsi="仿宋" w:eastAsia="仿宋_GB2312"/>
          <w:color w:val="auto"/>
          <w:spacing w:val="6"/>
          <w:szCs w:val="32"/>
          <w:highlight w:val="none"/>
          <w:lang w:val="en-US" w:eastAsia="zh-CN"/>
        </w:rPr>
        <w:t>件1</w:t>
      </w:r>
      <w:r>
        <w:rPr>
          <w:rFonts w:ascii="仿宋_GB2312" w:hAnsi="仿宋" w:eastAsia="仿宋_GB2312"/>
          <w:color w:val="auto"/>
          <w:spacing w:val="6"/>
          <w:szCs w:val="32"/>
          <w:highlight w:val="none"/>
        </w:rPr>
        <w:t>：质疑函范本及制作说明</w:t>
      </w:r>
      <w:r>
        <w:rPr>
          <w:color w:val="auto"/>
          <w:highlight w:val="none"/>
        </w:rPr>
        <w:tab/>
      </w:r>
      <w:r>
        <w:rPr>
          <w:color w:val="auto"/>
          <w:highlight w:val="none"/>
        </w:rPr>
        <w:fldChar w:fldCharType="begin"/>
      </w:r>
      <w:r>
        <w:rPr>
          <w:color w:val="auto"/>
          <w:highlight w:val="none"/>
        </w:rPr>
        <w:instrText xml:space="preserve"> PAGEREF _Toc29270 \h </w:instrText>
      </w:r>
      <w:r>
        <w:rPr>
          <w:color w:val="auto"/>
          <w:highlight w:val="none"/>
        </w:rPr>
        <w:fldChar w:fldCharType="separate"/>
      </w:r>
      <w:r>
        <w:rPr>
          <w:color w:val="auto"/>
          <w:highlight w:val="none"/>
        </w:rPr>
        <w:t>- 76 -</w:t>
      </w:r>
      <w:r>
        <w:rPr>
          <w:color w:val="auto"/>
          <w:highlight w:val="none"/>
        </w:rPr>
        <w:fldChar w:fldCharType="end"/>
      </w:r>
      <w:r>
        <w:rPr>
          <w:rFonts w:hint="eastAsia" w:ascii="宋体" w:hAnsi="宋体" w:eastAsia="宋体" w:cs="宋体"/>
          <w:smallCaps/>
          <w:color w:val="auto"/>
          <w:szCs w:val="24"/>
          <w:highlight w:val="none"/>
        </w:rPr>
        <w:fldChar w:fldCharType="end"/>
      </w:r>
    </w:p>
    <w:p>
      <w:pPr>
        <w:pStyle w:val="29"/>
        <w:spacing w:before="0" w:after="0" w:line="360" w:lineRule="exact"/>
        <w:rPr>
          <w:rFonts w:hint="eastAsia" w:ascii="宋体" w:hAnsi="宋体" w:eastAsia="宋体" w:cs="宋体"/>
          <w:smallCaps w:val="0"/>
          <w:color w:val="auto"/>
          <w:szCs w:val="24"/>
          <w:highlight w:val="none"/>
        </w:rPr>
        <w:sectPr>
          <w:footerReference r:id="rId6" w:type="default"/>
          <w:pgSz w:w="11906" w:h="16838"/>
          <w:pgMar w:top="1247" w:right="1418" w:bottom="1134" w:left="1418" w:header="680" w:footer="680" w:gutter="0"/>
          <w:pgNumType w:fmt="numberInDash" w:start="1"/>
          <w:cols w:space="720" w:num="1"/>
          <w:docGrid w:type="lines" w:linePitch="312" w:charSpace="0"/>
        </w:sectPr>
      </w:pPr>
      <w:r>
        <w:rPr>
          <w:rFonts w:hint="eastAsia" w:ascii="宋体" w:hAnsi="宋体" w:eastAsia="宋体" w:cs="宋体"/>
          <w:smallCaps w:val="0"/>
          <w:color w:val="auto"/>
          <w:szCs w:val="24"/>
          <w:highlight w:val="none"/>
        </w:rPr>
        <w:fldChar w:fldCharType="end"/>
      </w:r>
    </w:p>
    <w:p>
      <w:pPr>
        <w:pStyle w:val="2"/>
        <w:keepNext w:val="0"/>
        <w:keepLines w:val="0"/>
        <w:pageBreakBefore/>
        <w:widowControl w:val="0"/>
        <w:numPr>
          <w:ilvl w:val="0"/>
          <w:numId w:val="2"/>
        </w:numPr>
        <w:tabs>
          <w:tab w:val="left" w:pos="840"/>
        </w:tabs>
        <w:kinsoku/>
        <w:wordWrap/>
        <w:overflowPunct/>
        <w:topLinePunct w:val="0"/>
        <w:autoSpaceDE/>
        <w:autoSpaceDN/>
        <w:bidi w:val="0"/>
        <w:adjustRightInd/>
        <w:snapToGrid/>
        <w:spacing w:before="120" w:beforeLines="50" w:after="157" w:afterLines="50" w:line="240" w:lineRule="auto"/>
        <w:jc w:val="center"/>
        <w:textAlignment w:val="auto"/>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 xml:space="preserve"> </w:t>
      </w:r>
      <w:bookmarkStart w:id="2" w:name="_Toc19300"/>
      <w:bookmarkStart w:id="3" w:name="_Toc3026"/>
      <w:bookmarkStart w:id="4" w:name="_Toc19358"/>
      <w:r>
        <w:rPr>
          <w:rFonts w:hint="eastAsia" w:ascii="宋体" w:hAnsi="宋体" w:eastAsia="宋体" w:cs="宋体"/>
          <w:color w:val="auto"/>
          <w:sz w:val="32"/>
          <w:szCs w:val="40"/>
          <w:highlight w:val="none"/>
        </w:rPr>
        <w:t>招标公告</w:t>
      </w:r>
      <w:bookmarkEnd w:id="2"/>
      <w:bookmarkEnd w:id="3"/>
      <w:bookmarkEnd w:id="4"/>
    </w:p>
    <w:tbl>
      <w:tblPr>
        <w:tblStyle w:val="3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7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瑞安市妇幼保健院胃肠镜系统采购招标项目的潜在投标人应在政府采购云平台（www.zcygov.cn）。获取（下载）招标文件，并于2024年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ZJKB2024021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瑞安市妇幼保健院胃肠镜系统采购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2800000元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2800000元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：瑞安市妇幼保健院胃肠镜系统采购</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数量：不限  </w:t>
      </w:r>
    </w:p>
    <w:p>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2800000元</w:t>
      </w:r>
    </w:p>
    <w:p>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简要规格描述或项目基本概况介绍、用途：（详见第三部分招标内容及要求）</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合同履行期限：详见招标文件第三部分内容</w:t>
      </w:r>
      <w:r>
        <w:rPr>
          <w:rFonts w:hint="eastAsia" w:ascii="宋体" w:hAnsi="宋体" w:eastAsia="宋体" w:cs="宋体"/>
          <w:i w:val="0"/>
          <w:iCs w:val="0"/>
          <w:caps w:val="0"/>
          <w:color w:val="auto"/>
          <w:spacing w:val="0"/>
          <w:sz w:val="21"/>
          <w:szCs w:val="21"/>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本项目（否）接受联合体投标。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信用中国网站（www.creditchina.gov.cn）列入失信被执行人、重大税收违法案件当事人名单，未被中国政府采购网（www.ccgp.gov.cn）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2.落实政府采购政策需满足的资格要求：无</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三、获取招标文件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方式：供应商登录政采云平台https://www.zcygov.cn/在线申请获取招标文件（进入“项目采购”应用，在获取招标文件菜单中选择项目，申请获取招标文件）。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五、公告期限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浙江省财政厅关于进一步加大政府采购支持中小企业力度助力扎实稳住经济的通知》 （浙财采监（2022）8号</w:t>
      </w:r>
      <w:r>
        <w:rPr>
          <w:rFonts w:hint="default" w:ascii="宋体" w:hAnsi="宋体" w:eastAsia="宋体" w:cs="宋体"/>
          <w:color w:val="auto"/>
          <w:szCs w:val="21"/>
          <w:highlight w:val="none"/>
        </w:rPr>
        <w:t>已分别于2022年1月29日</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2022年2月1日</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2022年7月1日</w:t>
      </w:r>
      <w:r>
        <w:rPr>
          <w:rFonts w:hint="default" w:ascii="宋体" w:hAnsi="宋体" w:eastAsia="宋体" w:cs="宋体"/>
          <w:color w:val="auto"/>
          <w:szCs w:val="21"/>
          <w:highlight w:val="none"/>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其他事项：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（1）需要落实的政府采购政策：包括节约资源、保护环境、支持创新、促进中小企业发展、扶持不发达地区和少数民族地区等。详见招标文件第二部分总则第三点。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电子招投标的说明：①本项目采用全流程电子化交易，依托“政府采购云平台（www.zcygov.cn）”进行招投标活动，不接受纸质投标文件；②投标人须在投标前申领CA数字证书、下载政采云电子交易客户端。申领CA数字证书:申领流程详见“浙江政府采购网-下载专区-电子交易客户端-CA驱动和申领流程”；安装“政采云电子交易客户端”：前往“浙江政府采购网-下载专区-电子交易客户端”进行下载并安装；③电子投标具体操作流程详见浙江省“项目采购电子交易系统/不见面开评标”学习专题（网址https://edu.zcygov.cn/luban/e-biding）；④招标文件的获取：使用账号登录或者使用CA登录政采云平台；进入“项目采购”应用，在获取采购文件菜单中选择项目，获取招标文件。⑤若对项目采购电子交易系统操作有疑问，可登录政采云，点击右侧咨询小采，获取采小蜜智能服务管家帮助，或拨打政采云服务热线95763获取热线服务帮助。CA问题联系电话（人工）：汇信CA 400-888-4636；天谷CA 400-087-8198。注：投标人在使用政采云投标客户端时，建议使用WIN7及以上操作系统。投标人需自行准备好摄像头和耳麦，保持网络稳定通畅，并在投标文件开启时间前自测硬件能否正常使用，如因自身硬件或网络原因导致询标讲解失败，相关后果自行负责。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（3）招标文件公告期限与招标公告公告期限一致。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4）潜在供应商已依法获取招标文件，认为招标文件使自己的权益受到损害的，可以自获取招标文件之日或者招标文件公告期限届满之日（公告期限届满后获取招标文件的，以公告期限届满之日为准）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投诉。质疑函范本、投诉书范本请到浙江政府采购网（https://zfcg.czt.zj.gov.cn/）下载专区下载。</w:t>
      </w:r>
      <w:r>
        <w:rPr>
          <w:rFonts w:hint="eastAsia" w:ascii="宋体" w:hAnsi="宋体" w:eastAsia="宋体" w:cs="宋体"/>
          <w:b/>
          <w:bCs/>
          <w:color w:val="auto"/>
          <w:szCs w:val="21"/>
          <w:highlight w:val="none"/>
          <w:lang w:val="en-US" w:eastAsia="zh-CN"/>
        </w:rPr>
        <w:t>注意：游客通道获取的招标文件仅供浏览使用，潜在供应商请通过规定方式依法获取招标文件。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名</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称：</w:t>
      </w:r>
      <w:r>
        <w:rPr>
          <w:rFonts w:hint="eastAsia" w:ascii="宋体" w:hAnsi="宋体" w:cs="宋体"/>
          <w:color w:val="auto"/>
          <w:kern w:val="2"/>
          <w:szCs w:val="21"/>
          <w:highlight w:val="none"/>
          <w:lang w:eastAsia="zh-CN"/>
        </w:rPr>
        <w:t>瑞安市妇幼保健院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地    址：</w:t>
      </w:r>
      <w:r>
        <w:rPr>
          <w:rFonts w:hint="eastAsia" w:ascii="宋体" w:hAnsi="宋体"/>
          <w:color w:val="auto"/>
          <w:szCs w:val="21"/>
          <w:highlight w:val="none"/>
          <w:lang w:eastAsia="zh-CN"/>
        </w:rPr>
        <w:t>瑞安市安阳街道万松东路521号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传    真：</w:t>
      </w:r>
      <w:r>
        <w:rPr>
          <w:rFonts w:hint="eastAsia" w:ascii="宋体" w:hAnsi="宋体" w:eastAsia="宋体" w:cs="宋体"/>
          <w:color w:val="auto"/>
          <w:kern w:val="2"/>
          <w:szCs w:val="21"/>
          <w:highlight w:val="none"/>
          <w:lang w:val="en-US" w:eastAsia="zh-CN"/>
        </w:rPr>
        <w:t>/</w:t>
      </w:r>
      <w:r>
        <w:rPr>
          <w:rFonts w:hint="eastAsia" w:ascii="宋体" w:hAnsi="宋体" w:eastAsia="宋体" w:cs="宋体"/>
          <w:color w:val="auto"/>
          <w:kern w:val="2"/>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项目联系人（询问）：</w:t>
      </w:r>
      <w:r>
        <w:rPr>
          <w:rFonts w:hint="eastAsia" w:ascii="宋体" w:hAnsi="宋体" w:eastAsia="宋体" w:cs="宋体"/>
          <w:color w:val="auto"/>
          <w:kern w:val="2"/>
          <w:szCs w:val="21"/>
          <w:highlight w:val="none"/>
          <w:lang w:eastAsia="zh-CN"/>
        </w:rPr>
        <w:t>陈</w:t>
      </w:r>
      <w:r>
        <w:rPr>
          <w:rFonts w:hint="eastAsia" w:ascii="宋体" w:hAnsi="宋体" w:cs="宋体"/>
          <w:color w:val="auto"/>
          <w:kern w:val="2"/>
          <w:szCs w:val="21"/>
          <w:highlight w:val="none"/>
          <w:lang w:val="en-US" w:eastAsia="zh-CN"/>
        </w:rPr>
        <w:t>镇国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项目联系方式（询问）：</w:t>
      </w:r>
      <w:r>
        <w:rPr>
          <w:rFonts w:hint="eastAsia" w:ascii="宋体" w:hAnsi="宋体" w:cs="宋体"/>
          <w:color w:val="auto"/>
          <w:kern w:val="2"/>
          <w:szCs w:val="21"/>
          <w:highlight w:val="none"/>
          <w:lang w:val="en-US" w:eastAsia="zh-CN"/>
        </w:rPr>
        <w:t>0577-58815090</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质疑联系人：</w:t>
      </w:r>
      <w:r>
        <w:rPr>
          <w:rFonts w:hint="eastAsia" w:ascii="宋体" w:hAnsi="宋体" w:eastAsia="宋体" w:cs="宋体"/>
          <w:color w:val="auto"/>
          <w:kern w:val="2"/>
          <w:szCs w:val="21"/>
          <w:highlight w:val="none"/>
          <w:lang w:val="en-US" w:eastAsia="zh-CN"/>
        </w:rPr>
        <w:t xml:space="preserve"> </w:t>
      </w:r>
      <w:r>
        <w:rPr>
          <w:rFonts w:hint="eastAsia" w:ascii="宋体" w:hAnsi="宋体" w:cs="宋体"/>
          <w:color w:val="auto"/>
          <w:kern w:val="2"/>
          <w:szCs w:val="21"/>
          <w:highlight w:val="none"/>
          <w:lang w:val="en-US" w:eastAsia="zh-CN"/>
        </w:rPr>
        <w:t>陈孝祥</w:t>
      </w:r>
      <w:r>
        <w:rPr>
          <w:rFonts w:hint="eastAsia" w:ascii="宋体" w:hAnsi="宋体" w:eastAsia="宋体" w:cs="宋体"/>
          <w:color w:val="auto"/>
          <w:kern w:val="2"/>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rPr>
      </w:pPr>
      <w:r>
        <w:rPr>
          <w:rFonts w:hint="eastAsia" w:ascii="宋体" w:hAnsi="宋体" w:eastAsia="宋体" w:cs="宋体"/>
          <w:color w:val="auto"/>
          <w:kern w:val="2"/>
          <w:szCs w:val="21"/>
          <w:highlight w:val="none"/>
        </w:rPr>
        <w:t>质疑联系方式：</w:t>
      </w:r>
      <w:r>
        <w:rPr>
          <w:rFonts w:hint="eastAsia" w:ascii="宋体" w:hAnsi="宋体" w:cs="宋体"/>
          <w:color w:val="auto"/>
          <w:kern w:val="2"/>
          <w:szCs w:val="21"/>
          <w:highlight w:val="none"/>
          <w:lang w:val="en-US" w:eastAsia="zh-CN"/>
        </w:rPr>
        <w:t>0577-58815090</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eastAsia="宋体" w:cs="宋体"/>
          <w:color w:val="auto"/>
          <w:szCs w:val="21"/>
          <w:highlight w:val="none"/>
          <w:lang w:eastAsia="zh-CN"/>
        </w:rPr>
        <w:t>浙江凯宝工程项目管理有限公司</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浙江省温州市瑞安市高尔大厦1幢902室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kern w:val="2"/>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b w:val="0"/>
          <w:bCs w:val="0"/>
          <w:color w:val="auto"/>
          <w:szCs w:val="21"/>
          <w:highlight w:val="none"/>
          <w:lang w:val="en-US" w:eastAsia="zh-CN"/>
        </w:rPr>
        <w:t>王建利</w:t>
      </w:r>
      <w:r>
        <w:rPr>
          <w:rFonts w:hint="eastAsia" w:ascii="宋体" w:hAnsi="宋体" w:eastAsia="宋体" w:cs="宋体"/>
          <w:color w:val="auto"/>
          <w:szCs w:val="21"/>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项目联系方式（询问）：</w:t>
      </w:r>
      <w:r>
        <w:rPr>
          <w:rFonts w:hint="eastAsia" w:ascii="宋体" w:hAnsi="宋体" w:eastAsia="宋体" w:cs="宋体"/>
          <w:b w:val="0"/>
          <w:bCs w:val="0"/>
          <w:color w:val="auto"/>
          <w:szCs w:val="21"/>
          <w:highlight w:val="none"/>
          <w:lang w:val="en-US" w:eastAsia="zh-CN"/>
        </w:rPr>
        <w:t>17757750625</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质疑联系人：</w:t>
      </w:r>
      <w:r>
        <w:rPr>
          <w:rFonts w:hint="eastAsia" w:ascii="宋体" w:hAnsi="宋体" w:cs="宋体"/>
          <w:b w:val="0"/>
          <w:bCs w:val="0"/>
          <w:color w:val="auto"/>
          <w:szCs w:val="21"/>
          <w:highlight w:val="none"/>
          <w:lang w:val="en-US" w:eastAsia="zh-CN"/>
        </w:rPr>
        <w:t>吴成德</w:t>
      </w:r>
      <w:r>
        <w:rPr>
          <w:rFonts w:hint="eastAsia" w:ascii="宋体" w:hAnsi="宋体" w:eastAsia="宋体" w:cs="宋体"/>
          <w:color w:val="auto"/>
          <w:szCs w:val="21"/>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FF0000"/>
          <w:kern w:val="2"/>
          <w:szCs w:val="21"/>
          <w:highlight w:val="none"/>
          <w:lang w:val="en-US" w:eastAsia="zh-CN"/>
        </w:rPr>
      </w:pPr>
      <w:r>
        <w:rPr>
          <w:rFonts w:hint="eastAsia" w:ascii="宋体" w:hAnsi="宋体" w:eastAsia="宋体" w:cs="宋体"/>
          <w:color w:val="000000" w:themeColor="text1"/>
          <w:kern w:val="2"/>
          <w:szCs w:val="21"/>
          <w:highlight w:val="none"/>
          <w:lang w:val="en-US" w:eastAsia="zh-CN"/>
          <w14:textFill>
            <w14:solidFill>
              <w14:schemeClr w14:val="tx1"/>
            </w14:solidFill>
          </w14:textFill>
        </w:rPr>
        <w:t>质疑联系方式：</w:t>
      </w:r>
      <w:r>
        <w:rPr>
          <w:rFonts w:hint="eastAsia" w:ascii="宋体" w:hAnsi="宋体" w:cs="宋体"/>
          <w:b w:val="0"/>
          <w:bCs w:val="0"/>
          <w:color w:val="auto"/>
          <w:szCs w:val="21"/>
          <w:highlight w:val="none"/>
          <w:lang w:val="en-US" w:eastAsia="zh-CN"/>
        </w:rPr>
        <w:t>18312932529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color w:val="auto"/>
          <w:szCs w:val="21"/>
          <w:highlight w:val="none"/>
        </w:rPr>
        <w:t>瑞安市财政局政府采购监管科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16"/>
          <w:highlight w:val="none"/>
        </w:rPr>
      </w:pPr>
      <w:r>
        <w:rPr>
          <w:rFonts w:hint="eastAsia" w:ascii="宋体" w:hAnsi="宋体" w:eastAsia="宋体" w:cs="宋体"/>
          <w:color w:val="auto"/>
          <w:szCs w:val="21"/>
          <w:highlight w:val="none"/>
        </w:rPr>
        <w:t xml:space="preserve">地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址：瑞安市万松东路379号瑞安财税大楼1505室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cs="宋体"/>
          <w:color w:val="auto"/>
          <w:szCs w:val="21"/>
          <w:highlight w:val="none"/>
        </w:rPr>
        <w:t>0577-65822153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cs="宋体"/>
          <w:color w:val="auto"/>
          <w:szCs w:val="21"/>
          <w:highlight w:val="none"/>
        </w:rPr>
        <w:t>蔡先生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监督投诉电话：0577-65827567</w:t>
      </w:r>
    </w:p>
    <w:bookmarkEnd w:id="0"/>
    <w:bookmarkEnd w:id="1"/>
    <w:p>
      <w:pPr>
        <w:pStyle w:val="2"/>
        <w:keepNext w:val="0"/>
        <w:keepLines w:val="0"/>
        <w:pageBreakBefore/>
        <w:tabs>
          <w:tab w:val="left" w:pos="840"/>
        </w:tabs>
        <w:spacing w:before="120" w:beforeLines="50" w:after="0" w:line="400" w:lineRule="exact"/>
        <w:jc w:val="center"/>
        <w:rPr>
          <w:rFonts w:hint="eastAsia" w:ascii="宋体" w:hAnsi="宋体" w:eastAsia="宋体" w:cs="宋体"/>
          <w:color w:val="auto"/>
          <w:sz w:val="28"/>
          <w:szCs w:val="36"/>
          <w:highlight w:val="none"/>
          <w:lang w:val="en-US" w:eastAsia="zh-CN"/>
        </w:rPr>
      </w:pPr>
      <w:bookmarkStart w:id="5" w:name="_Toc474156083"/>
      <w:bookmarkStart w:id="6" w:name="_Toc4991"/>
      <w:bookmarkStart w:id="7" w:name="_Toc22691"/>
      <w:bookmarkStart w:id="8" w:name="_Toc3159"/>
      <w:r>
        <w:rPr>
          <w:rFonts w:hint="eastAsia" w:ascii="宋体" w:hAnsi="宋体" w:eastAsia="宋体" w:cs="宋体"/>
          <w:color w:val="auto"/>
          <w:sz w:val="28"/>
          <w:szCs w:val="36"/>
          <w:highlight w:val="none"/>
        </w:rPr>
        <w:t xml:space="preserve">第二部分  </w:t>
      </w:r>
      <w:r>
        <w:rPr>
          <w:rFonts w:hint="eastAsia" w:ascii="宋体" w:hAnsi="宋体" w:eastAsia="宋体" w:cs="宋体"/>
          <w:color w:val="auto"/>
          <w:sz w:val="28"/>
          <w:szCs w:val="36"/>
          <w:highlight w:val="none"/>
          <w:lang w:eastAsia="zh-CN"/>
        </w:rPr>
        <w:t>投标人</w:t>
      </w:r>
      <w:r>
        <w:rPr>
          <w:rFonts w:hint="eastAsia" w:ascii="宋体" w:hAnsi="宋体" w:eastAsia="宋体" w:cs="宋体"/>
          <w:color w:val="auto"/>
          <w:sz w:val="28"/>
          <w:szCs w:val="36"/>
          <w:highlight w:val="none"/>
        </w:rPr>
        <w:t>须知</w:t>
      </w:r>
      <w:bookmarkEnd w:id="5"/>
      <w:r>
        <w:rPr>
          <w:rFonts w:hint="eastAsia" w:ascii="宋体" w:hAnsi="宋体" w:eastAsia="宋体" w:cs="宋体"/>
          <w:color w:val="auto"/>
          <w:sz w:val="28"/>
          <w:szCs w:val="36"/>
          <w:highlight w:val="none"/>
          <w:lang w:val="en-US" w:eastAsia="zh-CN"/>
        </w:rPr>
        <w:t>前附表</w:t>
      </w:r>
      <w:bookmarkEnd w:id="6"/>
      <w:bookmarkEnd w:id="7"/>
      <w:bookmarkEnd w:id="8"/>
    </w:p>
    <w:tbl>
      <w:tblPr>
        <w:tblStyle w:val="37"/>
        <w:tblW w:w="95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637"/>
        <w:gridCol w:w="7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6" w:hRule="atLeast"/>
          <w:jc w:val="center"/>
        </w:trPr>
        <w:tc>
          <w:tcPr>
            <w:tcW w:w="645"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262"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8"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62"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瑞安市妇幼保健院胃肠镜系统采购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262"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 w:val="18"/>
                <w:szCs w:val="18"/>
                <w:highlight w:val="none"/>
                <w:lang w:val="en-US"/>
              </w:rPr>
            </w:pPr>
            <w:r>
              <w:rPr>
                <w:rFonts w:hint="eastAsia" w:ascii="宋体" w:hAnsi="宋体" w:eastAsia="宋体" w:cs="宋体"/>
                <w:color w:val="auto"/>
                <w:szCs w:val="21"/>
                <w:highlight w:val="none"/>
                <w:lang w:eastAsia="zh-CN"/>
              </w:rPr>
              <w:t>ZJKB2024021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lang w:eastAsia="zh-CN"/>
              </w:rPr>
              <w:t>及评标方法</w:t>
            </w:r>
          </w:p>
        </w:tc>
        <w:tc>
          <w:tcPr>
            <w:tcW w:w="7262" w:type="dxa"/>
            <w:noWrap w:val="0"/>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公开招标；综合评分法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eastAsia="zh-CN"/>
              </w:rPr>
              <w:t>金额</w:t>
            </w:r>
            <w:r>
              <w:rPr>
                <w:rFonts w:hint="eastAsia" w:ascii="宋体" w:hAnsi="宋体" w:eastAsia="宋体" w:cs="宋体"/>
                <w:color w:val="auto"/>
                <w:szCs w:val="21"/>
                <w:highlight w:val="none"/>
              </w:rPr>
              <w:t>及最高限价</w:t>
            </w:r>
          </w:p>
        </w:tc>
        <w:tc>
          <w:tcPr>
            <w:tcW w:w="7262" w:type="dxa"/>
            <w:noWrap w:val="0"/>
            <w:vAlign w:val="center"/>
          </w:tcPr>
          <w:p>
            <w:pPr>
              <w:spacing w:line="360" w:lineRule="auto"/>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2800000</w:t>
            </w:r>
            <w:r>
              <w:rPr>
                <w:rFonts w:hint="eastAsia" w:ascii="宋体" w:hAnsi="宋体" w:eastAsia="宋体" w:cs="宋体"/>
                <w:i w:val="0"/>
                <w:iCs w:val="0"/>
                <w:color w:val="auto"/>
                <w:szCs w:val="21"/>
                <w:highlight w:val="none"/>
                <w:lang w:val="en-US" w:eastAsia="zh-CN"/>
              </w:rPr>
              <w:t>元</w:t>
            </w:r>
          </w:p>
          <w:p>
            <w:pPr>
              <w:pStyle w:val="16"/>
              <w:spacing w:line="360" w:lineRule="auto"/>
              <w:ind w:left="0" w:leftChars="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Cs w:val="21"/>
                <w:highlight w:val="none"/>
                <w:lang w:val="en-US" w:eastAsia="zh-CN"/>
              </w:rPr>
              <w:t>2800000</w:t>
            </w:r>
            <w:r>
              <w:rPr>
                <w:rFonts w:hint="eastAsia" w:ascii="宋体" w:hAnsi="宋体" w:eastAsia="宋体" w:cs="宋体"/>
                <w:i w:val="0"/>
                <w:iCs w:val="0"/>
                <w:color w:val="auto"/>
                <w:szCs w:val="21"/>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是否专门面向</w:t>
            </w:r>
          </w:p>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中小企业采购</w:t>
            </w:r>
          </w:p>
        </w:tc>
        <w:tc>
          <w:tcPr>
            <w:tcW w:w="7262" w:type="dxa"/>
            <w:noWrap w:val="0"/>
            <w:vAlign w:val="top"/>
          </w:tcPr>
          <w:p>
            <w:pPr>
              <w:widowControl/>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根据《政府采购促进中小企业发展管理办法》（财库</w:t>
            </w:r>
            <w:r>
              <w:rPr>
                <w:rFonts w:ascii="Arial" w:hAnsi="Arial" w:eastAsia="宋体" w:cs="Arial"/>
                <w:color w:val="auto"/>
                <w:highlight w:val="none"/>
              </w:rPr>
              <w:t>[2020]46</w:t>
            </w:r>
            <w:r>
              <w:rPr>
                <w:rFonts w:hint="eastAsia" w:ascii="宋体" w:hAnsi="宋体" w:eastAsia="宋体" w:cs="宋体"/>
                <w:color w:val="auto"/>
                <w:highlight w:val="none"/>
              </w:rPr>
              <w:t>号）规定，本项目属于</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highlight w:val="none"/>
              </w:rPr>
              <w:t>预留份额专门面向中小企业采购</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highlight w:val="none"/>
              </w:rPr>
              <w:t>部分预留份额项目面向中小企业采购</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4"/>
                <w:sz w:val="31"/>
                <w:szCs w:val="21"/>
                <w:highlight w:val="none"/>
                <w:lang w:eastAsia="zh-CN"/>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highlight w:val="none"/>
              </w:rPr>
              <w:t>未预留份额专门面向中小企业采购</w:t>
            </w:r>
          </w:p>
          <w:p>
            <w:pPr>
              <w:spacing w:line="360" w:lineRule="auto"/>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针对本项目的相关规定：</w:t>
            </w:r>
          </w:p>
          <w:p>
            <w:pPr>
              <w:spacing w:line="360" w:lineRule="auto"/>
              <w:rPr>
                <w:rFonts w:hint="eastAsia" w:ascii="Calibri" w:hAnsi="Calibri" w:eastAsia="宋体" w:cs="Times New Roman"/>
                <w:color w:val="auto"/>
                <w:highlight w:val="none"/>
              </w:rPr>
            </w:pPr>
            <w:r>
              <w:rPr>
                <w:rFonts w:hint="eastAsia" w:ascii="Calibri" w:hAnsi="Calibri" w:eastAsia="宋体" w:cs="Times New Roman"/>
                <w:color w:val="auto"/>
                <w:sz w:val="21"/>
                <w:szCs w:val="22"/>
                <w:highlight w:val="none"/>
                <w:lang w:val="en-US" w:eastAsia="zh-CN" w:bidi="ar-SA"/>
              </w:rPr>
              <w:t>本项目对符合《政府采购促进中小企业发展管理办法》（财库</w:t>
            </w:r>
            <w:r>
              <w:rPr>
                <w:rFonts w:hint="default" w:ascii="Arial" w:hAnsi="Arial" w:eastAsia="宋体" w:cs="Arial"/>
                <w:color w:val="auto"/>
                <w:sz w:val="21"/>
                <w:szCs w:val="22"/>
                <w:highlight w:val="none"/>
                <w:lang w:val="en-US" w:eastAsia="zh-CN" w:bidi="ar-SA"/>
              </w:rPr>
              <w:t>[2020]46</w:t>
            </w:r>
            <w:r>
              <w:rPr>
                <w:rFonts w:hint="eastAsia" w:ascii="Calibri" w:hAnsi="Calibri" w:eastAsia="宋体" w:cs="Times New Roman"/>
                <w:color w:val="auto"/>
                <w:sz w:val="21"/>
                <w:szCs w:val="22"/>
                <w:highlight w:val="none"/>
                <w:lang w:val="en-US" w:eastAsia="zh-CN" w:bidi="ar-SA"/>
              </w:rPr>
              <w:t>号）规定的小微企业报价给予</w:t>
            </w:r>
            <w:r>
              <w:rPr>
                <w:rFonts w:hint="default" w:ascii="Arial" w:hAnsi="Arial" w:eastAsia="宋体" w:cs="Arial"/>
                <w:color w:val="auto"/>
                <w:sz w:val="21"/>
                <w:szCs w:val="22"/>
                <w:highlight w:val="none"/>
                <w:u w:val="single"/>
                <w:lang w:val="en-US" w:eastAsia="zh-CN" w:bidi="ar-SA"/>
              </w:rPr>
              <w:t>10%</w:t>
            </w:r>
            <w:r>
              <w:rPr>
                <w:rFonts w:hint="eastAsia" w:ascii="Calibri" w:hAnsi="Calibri" w:eastAsia="宋体" w:cs="Times New Roman"/>
                <w:color w:val="auto"/>
                <w:sz w:val="21"/>
                <w:szCs w:val="22"/>
                <w:highlight w:val="none"/>
                <w:lang w:val="en-US" w:eastAsia="zh-CN" w:bidi="ar-SA"/>
              </w:rPr>
              <w:t>的扣除，用扣除后的价格参加评审。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7262"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FE"/>
            </w:r>
            <w:r>
              <w:rPr>
                <w:rFonts w:hint="eastAsia" w:ascii="宋体" w:hAnsi="宋体" w:eastAsia="宋体" w:cs="宋体"/>
                <w:color w:val="auto"/>
                <w:kern w:val="0"/>
                <w:sz w:val="21"/>
                <w:szCs w:val="21"/>
                <w:highlight w:val="none"/>
              </w:rPr>
              <w:t>A货物类，单一产品或核心产品为：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胃肠镜设备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rPr>
                <w:rFonts w:hint="eastAsia" w:ascii="宋体" w:hAnsi="宋体" w:eastAsia="宋体" w:cs="宋体"/>
                <w:color w:val="auto"/>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A8"/>
            </w:r>
            <w:r>
              <w:rPr>
                <w:rFonts w:hint="eastAsia" w:ascii="宋体" w:hAnsi="宋体" w:eastAsia="宋体" w:cs="宋体"/>
                <w:color w:val="auto"/>
                <w:kern w:val="0"/>
                <w:sz w:val="21"/>
                <w:szCs w:val="21"/>
                <w:highlight w:val="none"/>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35"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采购标的及其对应的中小企业划分标准所属行业</w:t>
            </w:r>
          </w:p>
        </w:tc>
        <w:tc>
          <w:tcPr>
            <w:tcW w:w="7262" w:type="dxa"/>
            <w:noWrap w:val="0"/>
            <w:vAlign w:val="center"/>
          </w:tcPr>
          <w:p>
            <w:pPr>
              <w:spacing w:line="360" w:lineRule="auto"/>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（1）标的：</w:t>
            </w:r>
            <w:r>
              <w:rPr>
                <w:rFonts w:hint="eastAsia" w:ascii="宋体" w:hAnsi="宋体" w:eastAsia="宋体" w:cs="宋体"/>
                <w:color w:val="auto"/>
                <w:szCs w:val="21"/>
                <w:highlight w:val="none"/>
                <w:u w:val="single"/>
                <w:lang w:eastAsia="zh-CN"/>
              </w:rPr>
              <w:t>胃肠镜</w:t>
            </w:r>
            <w:r>
              <w:rPr>
                <w:rFonts w:hint="eastAsia" w:ascii="Calibri" w:hAnsi="Calibri" w:eastAsia="宋体" w:cs="Times New Roman"/>
                <w:color w:val="auto"/>
                <w:highlight w:val="none"/>
                <w:u w:val="single"/>
                <w:lang w:val="en-US" w:eastAsia="zh-CN"/>
              </w:rPr>
              <w:t>设备</w:t>
            </w:r>
            <w:r>
              <w:rPr>
                <w:rFonts w:hint="eastAsia" w:ascii="Calibri" w:hAnsi="Calibri" w:eastAsia="宋体" w:cs="Times New Roman"/>
                <w:color w:val="auto"/>
                <w:highlight w:val="none"/>
                <w:lang w:val="en-US" w:eastAsia="zh-CN"/>
              </w:rPr>
              <w:t>；</w:t>
            </w:r>
            <w:r>
              <w:rPr>
                <w:rFonts w:hint="eastAsia" w:ascii="Calibri" w:hAnsi="Calibri" w:eastAsia="宋体" w:cs="Times New Roman"/>
                <w:b/>
                <w:bCs/>
                <w:color w:val="auto"/>
                <w:highlight w:val="none"/>
                <w:lang w:val="en-US" w:eastAsia="zh-CN"/>
              </w:rPr>
              <w:t>属于</w:t>
            </w:r>
            <w:r>
              <w:rPr>
                <w:rFonts w:hint="eastAsia" w:ascii="Calibri" w:hAnsi="Calibri" w:eastAsia="宋体" w:cs="Times New Roman"/>
                <w:b/>
                <w:bCs/>
                <w:color w:val="auto"/>
                <w:highlight w:val="none"/>
                <w:u w:val="single"/>
                <w:lang w:val="en-US" w:eastAsia="zh-CN"/>
              </w:rPr>
              <w:t>工业</w:t>
            </w:r>
            <w:r>
              <w:rPr>
                <w:rFonts w:hint="eastAsia" w:ascii="Calibri" w:hAnsi="Calibri" w:eastAsia="宋体" w:cs="Times New Roman"/>
                <w:b/>
                <w:bCs/>
                <w:color w:val="auto"/>
                <w:highlight w:val="none"/>
                <w:lang w:val="en-US" w:eastAsia="zh-CN"/>
              </w:rPr>
              <w:t>行业</w:t>
            </w:r>
            <w:r>
              <w:rPr>
                <w:rFonts w:hint="eastAsia" w:ascii="Calibri" w:hAnsi="Calibri" w:eastAsia="宋体" w:cs="Times New Roman"/>
                <w:color w:val="auto"/>
                <w:highlight w:val="none"/>
                <w:lang w:val="en-US" w:eastAsia="zh-CN"/>
              </w:rPr>
              <w:t>。</w:t>
            </w:r>
          </w:p>
          <w:p>
            <w:pPr>
              <w:pStyle w:val="17"/>
              <w:spacing w:line="360" w:lineRule="auto"/>
              <w:ind w:left="0" w:leftChars="0" w:right="105" w:rightChars="50" w:firstLine="0" w:firstLineChars="0"/>
              <w:rPr>
                <w:rFonts w:hint="eastAsia" w:ascii="宋体" w:hAnsi="宋体" w:eastAsia="宋体" w:cs="宋体"/>
                <w:color w:val="auto"/>
                <w:szCs w:val="21"/>
                <w:highlight w:val="none"/>
                <w:lang w:eastAsia="zh-CN"/>
              </w:rPr>
            </w:pPr>
            <w:r>
              <w:rPr>
                <w:rFonts w:hint="eastAsia" w:eastAsia="宋体" w:cs="Times New Roman"/>
                <w:color w:val="auto"/>
                <w:sz w:val="21"/>
                <w:szCs w:val="21"/>
                <w:highlight w:val="none"/>
                <w:lang w:eastAsia="zh-CN"/>
              </w:rPr>
              <w:t>注：</w:t>
            </w:r>
            <w:r>
              <w:rPr>
                <w:rFonts w:hint="eastAsia" w:eastAsia="宋体" w:cs="Times New Roman"/>
                <w:color w:val="auto"/>
                <w:sz w:val="21"/>
                <w:szCs w:val="21"/>
                <w:highlight w:val="none"/>
              </w:rPr>
              <w:t>中小企业的划分标准依据《关于印发中小企业划型标准规定的通知》（工信部联企业〔2011〕300号）文件执行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w:t>
            </w:r>
          </w:p>
          <w:p>
            <w:pPr>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采购进口产品</w:t>
            </w:r>
          </w:p>
        </w:tc>
        <w:tc>
          <w:tcPr>
            <w:tcW w:w="7262" w:type="dxa"/>
            <w:noWrap w:val="0"/>
            <w:vAlign w:val="center"/>
          </w:tcPr>
          <w:p>
            <w:pPr>
              <w:spacing w:line="360" w:lineRule="auto"/>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本项目不允许采购进口产品。</w:t>
            </w:r>
          </w:p>
          <w:p>
            <w:pPr>
              <w:spacing w:line="360" w:lineRule="auto"/>
              <w:jc w:val="left"/>
              <w:rPr>
                <w:rFonts w:hint="eastAsia" w:ascii="宋体" w:hAnsi="宋体" w:eastAsia="宋体" w:cs="宋体"/>
                <w:color w:val="auto"/>
                <w:kern w:val="2"/>
                <w:sz w:val="21"/>
                <w:szCs w:val="21"/>
                <w:highlight w:val="none"/>
                <w:lang w:val="en-US" w:eastAsia="zh-CN" w:bidi="ar-SA"/>
              </w:rPr>
            </w:pPr>
            <w:r>
              <w:rPr>
                <w:rFonts w:ascii="仿宋_GB2312" w:hAnsi="仿宋" w:eastAsia="仿宋_GB2312" w:cs="Arial"/>
                <w:color w:val="auto"/>
                <w:kern w:val="0"/>
                <w:sz w:val="24"/>
                <w:highlight w:val="none"/>
              </w:rPr>
              <w:sym w:font="Wingdings" w:char="00FE"/>
            </w:r>
            <w:r>
              <w:rPr>
                <w:rFonts w:hint="eastAsia" w:ascii="宋体" w:hAnsi="宋体" w:eastAsia="宋体" w:cs="宋体"/>
                <w:color w:val="auto"/>
                <w:kern w:val="0"/>
                <w:sz w:val="21"/>
                <w:szCs w:val="21"/>
                <w:highlight w:val="none"/>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w:t>
            </w:r>
            <w:r>
              <w:rPr>
                <w:rFonts w:hint="eastAsia" w:ascii="宋体" w:hAnsi="宋体" w:eastAsia="宋体" w:cs="宋体"/>
                <w:color w:val="auto"/>
                <w:kern w:val="0"/>
                <w:sz w:val="21"/>
                <w:szCs w:val="21"/>
                <w:highlight w:val="none"/>
                <w:lang w:eastAsia="zh-CN"/>
              </w:rPr>
              <w:t>会</w:t>
            </w:r>
            <w:r>
              <w:rPr>
                <w:rFonts w:hint="eastAsia" w:ascii="宋体" w:hAnsi="宋体" w:eastAsia="宋体" w:cs="宋体"/>
                <w:color w:val="auto"/>
                <w:kern w:val="0"/>
                <w:sz w:val="21"/>
                <w:szCs w:val="21"/>
                <w:highlight w:val="none"/>
              </w:rPr>
              <w:t>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ind w:right="105"/>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7262" w:type="dxa"/>
            <w:noWrap w:val="0"/>
            <w:vAlign w:val="center"/>
          </w:tcPr>
          <w:p>
            <w:pPr>
              <w:spacing w:line="360" w:lineRule="auto"/>
              <w:jc w:val="left"/>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lang w:val="en-US" w:eastAsia="zh-CN"/>
              </w:rPr>
              <w:t xml:space="preserve"> </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允许</w:t>
            </w:r>
            <w:r>
              <w:rPr>
                <w:rFonts w:hint="eastAsia" w:ascii="宋体" w:hAnsi="宋体" w:eastAsia="宋体" w:cs="宋体"/>
                <w:color w:val="auto"/>
                <w:sz w:val="21"/>
                <w:szCs w:val="21"/>
                <w:highlight w:val="none"/>
              </w:rPr>
              <w:t>分包。</w:t>
            </w:r>
          </w:p>
          <w:p>
            <w:pPr>
              <w:spacing w:line="360" w:lineRule="auto"/>
              <w:jc w:val="left"/>
              <w:rPr>
                <w:rFonts w:hint="eastAsia" w:ascii="宋体" w:hAnsi="宋体" w:eastAsia="宋体" w:cs="宋体"/>
                <w:color w:val="auto"/>
                <w:szCs w:val="21"/>
                <w:highlight w:val="none"/>
                <w:lang w:val="en-US" w:eastAsia="zh-CN"/>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允许</w:t>
            </w:r>
            <w:r>
              <w:rPr>
                <w:rFonts w:hint="eastAsia" w:ascii="宋体" w:hAnsi="宋体" w:eastAsia="宋体" w:cs="宋体"/>
                <w:color w:val="auto"/>
                <w:kern w:val="0"/>
                <w:sz w:val="21"/>
                <w:szCs w:val="21"/>
                <w:highlight w:val="none"/>
              </w:rPr>
              <w:t>将非主体、非关键性的工作分包。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7262" w:type="dxa"/>
            <w:noWrap w:val="0"/>
            <w:vAlign w:val="center"/>
          </w:tcPr>
          <w:p>
            <w:pPr>
              <w:spacing w:line="360" w:lineRule="auto"/>
              <w:jc w:val="left"/>
              <w:rPr>
                <w:rFonts w:hint="eastAsia" w:ascii="宋体" w:hAnsi="宋体" w:eastAsia="宋体" w:cs="宋体"/>
                <w:color w:val="auto"/>
                <w:sz w:val="21"/>
                <w:szCs w:val="21"/>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lang w:val="en-US" w:eastAsia="zh-CN"/>
              </w:rPr>
              <w:t xml:space="preserve"> </w:t>
            </w:r>
            <w:r>
              <w:rPr>
                <w:rFonts w:hint="eastAsia" w:ascii="宋体" w:hAnsi="宋体" w:eastAsia="宋体" w:cs="宋体"/>
                <w:color w:val="auto"/>
                <w:sz w:val="21"/>
                <w:szCs w:val="21"/>
                <w:highlight w:val="none"/>
              </w:rPr>
              <w:t>不接受</w:t>
            </w:r>
          </w:p>
          <w:p>
            <w:pPr>
              <w:spacing w:line="360" w:lineRule="auto"/>
              <w:jc w:val="left"/>
              <w:rPr>
                <w:rFonts w:hint="eastAsia" w:ascii="宋体" w:hAnsi="宋体" w:eastAsia="宋体" w:cs="宋体"/>
                <w:color w:val="auto"/>
                <w:szCs w:val="21"/>
                <w:highlight w:val="none"/>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sz w:val="21"/>
                <w:szCs w:val="21"/>
                <w:highlight w:val="none"/>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ind w:left="420" w:leftChars="0" w:hanging="420" w:firstLineChars="0"/>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投标样品</w:t>
            </w:r>
          </w:p>
        </w:tc>
        <w:tc>
          <w:tcPr>
            <w:tcW w:w="7262"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投标保证金</w:t>
            </w:r>
          </w:p>
        </w:tc>
        <w:tc>
          <w:tcPr>
            <w:tcW w:w="7262" w:type="dxa"/>
            <w:noWrap w:val="0"/>
            <w:vAlign w:val="center"/>
          </w:tcPr>
          <w:p>
            <w:pPr>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是否需要缴纳</w:t>
            </w:r>
          </w:p>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262"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4"/>
                <w:sz w:val="31"/>
                <w:szCs w:val="21"/>
                <w:highlight w:val="none"/>
                <w:lang w:eastAsia="zh-CN"/>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不需要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45" w:type="dxa"/>
            <w:noWrap w:val="0"/>
            <w:vAlign w:val="center"/>
          </w:tcPr>
          <w:p>
            <w:pPr>
              <w:keepNext w:val="0"/>
              <w:keepLines w:val="0"/>
              <w:pageBreakBefore w:val="0"/>
              <w:numPr>
                <w:ilvl w:val="0"/>
                <w:numId w:val="3"/>
              </w:numPr>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noWrap w:val="0"/>
            <w:vAlign w:val="center"/>
          </w:tcPr>
          <w:p>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预付款</w:t>
            </w:r>
          </w:p>
        </w:tc>
        <w:tc>
          <w:tcPr>
            <w:tcW w:w="7262" w:type="dxa"/>
            <w:noWrap w:val="0"/>
            <w:vAlign w:val="center"/>
          </w:tcPr>
          <w:p>
            <w:pPr>
              <w:spacing w:line="360" w:lineRule="auto"/>
              <w:jc w:val="left"/>
              <w:rPr>
                <w:rFonts w:hint="eastAsia" w:ascii="Calibri" w:hAnsi="Calibri" w:eastAsia="宋体" w:cs="Times New Roman"/>
                <w:color w:val="auto"/>
                <w:highlight w:val="none"/>
              </w:rPr>
            </w:pPr>
            <w:r>
              <w:rPr>
                <w:rFonts w:ascii="Calibri" w:hAnsi="Calibri" w:eastAsia="宋体" w:cs="Times New Roman"/>
                <w:color w:val="auto"/>
                <w:highlight w:val="none"/>
              </w:rPr>
              <w:sym w:font="Wingdings" w:char="00FE"/>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预付款为本项目采购</w:t>
            </w:r>
            <w:r>
              <w:rPr>
                <w:rFonts w:hint="eastAsia" w:ascii="Calibri" w:hAnsi="Calibri" w:eastAsia="宋体" w:cs="Times New Roman"/>
                <w:color w:val="auto"/>
                <w:highlight w:val="none"/>
              </w:rPr>
              <w:t>合同金额的</w:t>
            </w:r>
            <w:r>
              <w:rPr>
                <w:rFonts w:hint="eastAsia" w:ascii="Calibri" w:hAnsi="Calibri" w:eastAsia="宋体" w:cs="Times New Roman"/>
                <w:color w:val="auto"/>
                <w:highlight w:val="none"/>
                <w:u w:val="single"/>
                <w:lang w:val="en-US" w:eastAsia="zh-CN"/>
              </w:rPr>
              <w:t xml:space="preserve"> 40  </w:t>
            </w:r>
            <w:r>
              <w:rPr>
                <w:rFonts w:hint="eastAsia" w:ascii="Calibri" w:hAnsi="Calibri" w:eastAsia="宋体" w:cs="Times New Roman"/>
                <w:color w:val="auto"/>
                <w:highlight w:val="none"/>
              </w:rPr>
              <w:t>％；</w:t>
            </w:r>
          </w:p>
          <w:p>
            <w:pPr>
              <w:spacing w:line="360" w:lineRule="auto"/>
              <w:jc w:val="left"/>
              <w:rPr>
                <w:rFonts w:hint="eastAsia" w:ascii="Calibri" w:hAnsi="Calibri" w:eastAsia="宋体" w:cs="Times New Roman"/>
                <w:color w:val="auto"/>
                <w:highlight w:val="none"/>
              </w:rPr>
            </w:pPr>
            <w:r>
              <w:rPr>
                <w:rFonts w:ascii="Calibri" w:hAnsi="Calibri" w:eastAsia="宋体" w:cs="Times New Roman"/>
                <w:color w:val="auto"/>
                <w:highlight w:val="none"/>
              </w:rPr>
              <w:sym w:font="Wingdings" w:char="00A8"/>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本</w:t>
            </w:r>
            <w:r>
              <w:rPr>
                <w:rFonts w:hint="eastAsia" w:ascii="Calibri" w:hAnsi="Calibri" w:eastAsia="宋体" w:cs="Times New Roman"/>
                <w:color w:val="auto"/>
                <w:highlight w:val="none"/>
              </w:rPr>
              <w:t>项目</w:t>
            </w:r>
            <w:r>
              <w:rPr>
                <w:rFonts w:hint="eastAsia" w:ascii="Calibri" w:hAnsi="Calibri" w:eastAsia="宋体" w:cs="Times New Roman"/>
                <w:color w:val="auto"/>
                <w:highlight w:val="none"/>
                <w:lang w:val="en-US" w:eastAsia="zh-CN"/>
              </w:rPr>
              <w:t>为</w:t>
            </w:r>
            <w:r>
              <w:rPr>
                <w:rFonts w:hint="eastAsia" w:ascii="Calibri" w:hAnsi="Calibri" w:eastAsia="宋体" w:cs="Times New Roman"/>
                <w:color w:val="auto"/>
                <w:highlight w:val="none"/>
              </w:rPr>
              <w:t>分年</w:t>
            </w:r>
            <w:r>
              <w:rPr>
                <w:rFonts w:hint="eastAsia" w:ascii="Calibri" w:hAnsi="Calibri" w:eastAsia="宋体" w:cs="Times New Roman"/>
                <w:color w:val="auto"/>
                <w:highlight w:val="none"/>
                <w:lang w:val="en-US" w:eastAsia="zh-CN"/>
              </w:rPr>
              <w:t>度</w:t>
            </w:r>
            <w:r>
              <w:rPr>
                <w:rFonts w:hint="eastAsia" w:ascii="Calibri" w:hAnsi="Calibri" w:eastAsia="宋体" w:cs="Times New Roman"/>
                <w:color w:val="auto"/>
                <w:highlight w:val="none"/>
              </w:rPr>
              <w:t>安排预算，每年预付款为项目年度计划支付资金额的</w:t>
            </w:r>
            <w:r>
              <w:rPr>
                <w:rFonts w:hint="eastAsia" w:ascii="Calibri" w:hAnsi="Calibri" w:eastAsia="宋体" w:cs="Times New Roman"/>
                <w:color w:val="auto"/>
                <w:highlight w:val="none"/>
                <w:u w:val="single"/>
                <w:lang w:val="en-US" w:eastAsia="zh-CN"/>
              </w:rPr>
              <w:t xml:space="preserve">   </w:t>
            </w:r>
            <w:r>
              <w:rPr>
                <w:rFonts w:hint="eastAsia" w:ascii="Calibri" w:hAnsi="Calibri" w:eastAsia="宋体" w:cs="Times New Roman"/>
                <w:color w:val="auto"/>
                <w:highlight w:val="none"/>
              </w:rPr>
              <w:t>％。</w:t>
            </w:r>
          </w:p>
          <w:p>
            <w:pPr>
              <w:spacing w:line="360" w:lineRule="auto"/>
              <w:jc w:val="left"/>
              <w:rPr>
                <w:rFonts w:hint="eastAsia" w:ascii="Calibri" w:hAnsi="Calibri" w:eastAsia="宋体" w:cs="Times New Roman"/>
                <w:color w:val="auto"/>
                <w:highlight w:val="none"/>
                <w:lang w:val="en-US" w:eastAsia="zh-CN"/>
              </w:rPr>
            </w:pPr>
            <w:r>
              <w:rPr>
                <w:rFonts w:ascii="Calibri" w:hAnsi="Calibri" w:eastAsia="宋体" w:cs="Times New Roman"/>
                <w:color w:val="auto"/>
                <w:highlight w:val="none"/>
              </w:rPr>
              <w:sym w:font="Wingdings" w:char="00A8"/>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本</w:t>
            </w:r>
            <w:r>
              <w:rPr>
                <w:rFonts w:hint="eastAsia" w:ascii="Calibri" w:hAnsi="Calibri" w:eastAsia="宋体" w:cs="Times New Roman"/>
                <w:color w:val="auto"/>
                <w:highlight w:val="none"/>
              </w:rPr>
              <w:t>项目</w:t>
            </w:r>
            <w:r>
              <w:rPr>
                <w:rFonts w:hint="eastAsia" w:ascii="Calibri" w:hAnsi="Calibri" w:eastAsia="宋体" w:cs="Times New Roman"/>
                <w:color w:val="auto"/>
                <w:highlight w:val="none"/>
                <w:lang w:val="en-US" w:eastAsia="zh-CN"/>
              </w:rPr>
              <w:t>为</w:t>
            </w:r>
            <w:r>
              <w:rPr>
                <w:rFonts w:hint="eastAsia" w:ascii="Calibri" w:hAnsi="Calibri" w:eastAsia="宋体" w:cs="Times New Roman"/>
                <w:color w:val="auto"/>
                <w:highlight w:val="none"/>
              </w:rPr>
              <w:t>实施以人工投入为主</w:t>
            </w:r>
            <w:r>
              <w:rPr>
                <w:rFonts w:hint="eastAsia" w:ascii="Calibri" w:hAnsi="Calibri" w:eastAsia="宋体" w:cs="Times New Roman"/>
                <w:color w:val="auto"/>
                <w:highlight w:val="none"/>
                <w:lang w:val="en-US" w:eastAsia="zh-CN"/>
              </w:rPr>
              <w:t>且按月支付，不约定预付款。</w:t>
            </w:r>
          </w:p>
          <w:p>
            <w:pPr>
              <w:pStyle w:val="12"/>
              <w:ind w:left="0" w:leftChars="0"/>
              <w:rPr>
                <w:rFonts w:hint="eastAsia" w:ascii="Calibri" w:hAnsi="Calibri" w:eastAsia="宋体" w:cs="Times New Roman"/>
                <w:color w:val="auto"/>
                <w:highlight w:val="none"/>
                <w:lang w:val="en-US" w:eastAsia="zh-CN"/>
              </w:rPr>
            </w:pPr>
            <w:r>
              <w:rPr>
                <w:rFonts w:ascii="仿宋_GB2312" w:hAnsi="仿宋" w:eastAsia="仿宋_GB2312" w:cs="Arial"/>
                <w:color w:val="auto"/>
                <w:kern w:val="0"/>
                <w:sz w:val="24"/>
                <w:highlight w:val="none"/>
              </w:rPr>
              <w:sym w:font="Wingdings" w:char="00A8"/>
            </w:r>
            <w:r>
              <w:rPr>
                <w:rFonts w:ascii="仿宋_GB2312" w:hAnsi="仿宋" w:eastAsia="仿宋_GB2312" w:cs="Arial"/>
                <w:color w:val="auto"/>
                <w:kern w:val="0"/>
                <w:sz w:val="24"/>
                <w:highlight w:val="none"/>
              </w:rPr>
              <w:t xml:space="preserve"> </w:t>
            </w:r>
            <w:r>
              <w:rPr>
                <w:rFonts w:hint="eastAsia" w:ascii="Calibri" w:hAnsi="Calibri" w:eastAsia="宋体" w:cs="Times New Roman"/>
                <w:color w:val="auto"/>
                <w:highlight w:val="none"/>
                <w:lang w:val="en-US" w:eastAsia="zh-CN"/>
              </w:rPr>
              <w:t>中标供应商如为大型企业，采购人可不约定预付款。</w:t>
            </w:r>
          </w:p>
          <w:p>
            <w:pPr>
              <w:pStyle w:val="12"/>
              <w:ind w:left="0" w:leftChars="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6"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262"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提交投标文件截止之日起</w:t>
            </w:r>
            <w:r>
              <w:rPr>
                <w:rFonts w:hint="eastAsia" w:ascii="宋体" w:hAnsi="宋体" w:eastAsia="宋体" w:cs="宋体"/>
                <w:color w:val="auto"/>
                <w:szCs w:val="21"/>
                <w:highlight w:val="none"/>
                <w:u w:val="single"/>
                <w:lang w:val="en-US" w:eastAsia="zh-CN"/>
              </w:rPr>
              <w:t>90</w:t>
            </w:r>
            <w:r>
              <w:rPr>
                <w:rFonts w:hint="eastAsia" w:ascii="Arial" w:hAnsi="Arial" w:eastAsia="宋体" w:cs="Arial"/>
                <w:color w:val="auto"/>
                <w:szCs w:val="21"/>
                <w:highlight w:val="none"/>
                <w:u w:val="none"/>
                <w:lang w:eastAsia="zh-CN"/>
              </w:rPr>
              <w:t>日</w:t>
            </w:r>
            <w:r>
              <w:rPr>
                <w:rFonts w:hint="eastAsia" w:ascii="宋体" w:hAnsi="宋体" w:eastAsia="宋体" w:cs="宋体"/>
                <w:color w:val="auto"/>
                <w:szCs w:val="21"/>
                <w:highlight w:val="none"/>
              </w:rPr>
              <w:t>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开标前答疑会或现场考察</w:t>
            </w:r>
          </w:p>
        </w:tc>
        <w:tc>
          <w:tcPr>
            <w:tcW w:w="7262" w:type="dxa"/>
            <w:noWrap w:val="0"/>
            <w:vAlign w:val="center"/>
          </w:tcPr>
          <w:p>
            <w:pPr>
              <w:spacing w:line="360" w:lineRule="auto"/>
              <w:rPr>
                <w:rFonts w:hint="eastAsia" w:ascii="宋体" w:hAnsi="宋体" w:eastAsia="宋体" w:cs="宋体"/>
                <w:color w:val="auto"/>
                <w:sz w:val="21"/>
                <w:szCs w:val="21"/>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宋体" w:hAnsi="宋体" w:eastAsia="宋体" w:cs="宋体"/>
                <w:color w:val="auto"/>
                <w:sz w:val="21"/>
                <w:szCs w:val="21"/>
                <w:highlight w:val="none"/>
              </w:rPr>
              <w:t>不组织。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节能产品、环境标志产品</w:t>
            </w:r>
          </w:p>
        </w:tc>
        <w:tc>
          <w:tcPr>
            <w:tcW w:w="7262" w:type="dxa"/>
            <w:noWrap w:val="0"/>
            <w:vAlign w:val="center"/>
          </w:tcPr>
          <w:p>
            <w:pPr>
              <w:snapToGrid w:val="0"/>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ind w:firstLine="420" w:firstLineChars="200"/>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属于强制采购节能产品的，必须提供节能产品认证证书。</w:t>
            </w:r>
          </w:p>
          <w:p>
            <w:pPr>
              <w:pStyle w:val="12"/>
              <w:ind w:left="0" w:leftChars="0" w:firstLine="420" w:firstLineChars="200"/>
              <w:rPr>
                <w:rFonts w:hint="eastAsia" w:ascii="宋体" w:hAnsi="宋体" w:eastAsia="宋体" w:cs="宋体"/>
                <w:color w:val="auto"/>
                <w:szCs w:val="21"/>
                <w:highlight w:val="none"/>
              </w:rPr>
            </w:pPr>
            <w:r>
              <w:rPr>
                <w:rFonts w:hint="eastAsia" w:ascii="Calibri" w:hAnsi="Calibri" w:eastAsia="宋体" w:cs="Times New Roman"/>
                <w:color w:val="auto"/>
                <w:highlight w:val="none"/>
                <w:lang w:val="en-US" w:eastAsia="zh-CN"/>
              </w:rPr>
              <w:t>产品清单：</w:t>
            </w:r>
            <w:r>
              <w:rPr>
                <w:rFonts w:hint="eastAsia" w:ascii="Calibri" w:hAnsi="Calibri" w:eastAsia="宋体" w:cs="Times New Roman"/>
                <w:color w:val="auto"/>
                <w:highlight w:val="none"/>
                <w:u w:val="single"/>
                <w:lang w:val="en-US" w:eastAsia="zh-CN"/>
              </w:rPr>
              <w:t>/</w:t>
            </w:r>
            <w:r>
              <w:rPr>
                <w:rFonts w:hint="eastAsia" w:ascii="Calibri" w:hAnsi="Calibri" w:eastAsia="宋体" w:cs="Times New Roman"/>
                <w:color w:val="auto"/>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rPr>
            </w:pPr>
          </w:p>
        </w:tc>
        <w:tc>
          <w:tcPr>
            <w:tcW w:w="1637" w:type="dxa"/>
            <w:noWrap w:val="0"/>
            <w:vAlign w:val="center"/>
          </w:tcPr>
          <w:p>
            <w:pPr>
              <w:snapToGrid w:val="0"/>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提交投标文件</w:t>
            </w:r>
          </w:p>
          <w:p>
            <w:pPr>
              <w:snapToGrid w:val="0"/>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截止时间及</w:t>
            </w:r>
          </w:p>
          <w:p>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开标时间</w:t>
            </w:r>
          </w:p>
        </w:tc>
        <w:tc>
          <w:tcPr>
            <w:tcW w:w="7262"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bCs/>
                <w:color w:val="auto"/>
                <w:szCs w:val="21"/>
                <w:highlight w:val="none"/>
                <w:lang w:val="en-US" w:eastAsia="zh-CN"/>
              </w:rPr>
              <w:t>09</w:t>
            </w:r>
            <w:r>
              <w:rPr>
                <w:rFonts w:hint="eastAsia" w:ascii="宋体" w:hAnsi="宋体" w:eastAsia="宋体" w:cs="宋体"/>
                <w:bCs/>
                <w:color w:val="auto"/>
                <w:szCs w:val="21"/>
                <w:highlight w:val="none"/>
              </w:rPr>
              <w:t>时</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1"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262" w:type="dxa"/>
            <w:noWrap w:val="0"/>
            <w:vAlign w:val="center"/>
          </w:tcPr>
          <w:p>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本招标文件的解释权属于招标采购单位。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noWrap w:val="0"/>
            <w:vAlign w:val="center"/>
          </w:tcPr>
          <w:p>
            <w:pPr>
              <w:keepNext w:val="0"/>
              <w:keepLines w:val="0"/>
              <w:pageBreakBefore w:val="0"/>
              <w:numPr>
                <w:ilvl w:val="0"/>
                <w:numId w:val="3"/>
              </w:numPr>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特别说明</w:t>
            </w:r>
          </w:p>
        </w:tc>
        <w:tc>
          <w:tcPr>
            <w:tcW w:w="7262"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strike w:val="0"/>
                <w:dstrike w:val="0"/>
                <w:color w:val="auto"/>
                <w:szCs w:val="21"/>
                <w:highlight w:val="none"/>
                <w:lang w:eastAsia="zh-CN"/>
              </w:rPr>
              <w:t>中标人</w:t>
            </w:r>
            <w:r>
              <w:rPr>
                <w:rFonts w:hint="eastAsia" w:ascii="宋体" w:hAnsi="宋体" w:eastAsia="宋体" w:cs="宋体"/>
                <w:b/>
                <w:bCs/>
                <w:strike w:val="0"/>
                <w:dstrike w:val="0"/>
                <w:color w:val="auto"/>
                <w:szCs w:val="21"/>
                <w:highlight w:val="none"/>
              </w:rPr>
              <w:t>在领取中标通知书时提供全套纸质投标文件</w:t>
            </w:r>
            <w:r>
              <w:rPr>
                <w:rFonts w:hint="eastAsia" w:ascii="宋体" w:hAnsi="宋体" w:eastAsia="宋体" w:cs="宋体"/>
                <w:b/>
                <w:bCs/>
                <w:strike w:val="0"/>
                <w:dstrike w:val="0"/>
                <w:color w:val="auto"/>
                <w:szCs w:val="21"/>
                <w:highlight w:val="none"/>
                <w:lang w:eastAsia="zh-CN"/>
              </w:rPr>
              <w:t>一正三</w:t>
            </w:r>
            <w:r>
              <w:rPr>
                <w:rFonts w:hint="eastAsia" w:ascii="宋体" w:hAnsi="宋体" w:eastAsia="宋体" w:cs="宋体"/>
                <w:b/>
                <w:bCs/>
                <w:strike w:val="0"/>
                <w:dstrike w:val="0"/>
                <w:color w:val="auto"/>
                <w:szCs w:val="21"/>
                <w:highlight w:val="none"/>
              </w:rPr>
              <w:t>副。</w:t>
            </w:r>
          </w:p>
        </w:tc>
      </w:tr>
    </w:tbl>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color w:val="auto"/>
          <w:sz w:val="24"/>
          <w:szCs w:val="24"/>
          <w:highlight w:val="none"/>
        </w:rPr>
      </w:pPr>
      <w:bookmarkStart w:id="9" w:name="_Toc474156085"/>
      <w:r>
        <w:rPr>
          <w:rFonts w:hint="eastAsia" w:ascii="宋体" w:hAnsi="宋体" w:eastAsia="宋体" w:cs="宋体"/>
          <w:b/>
          <w:bCs w:val="0"/>
          <w:color w:val="auto"/>
          <w:sz w:val="32"/>
          <w:szCs w:val="32"/>
          <w:highlight w:val="none"/>
          <w:lang w:val="en-US" w:eastAsia="zh-CN"/>
        </w:rPr>
        <w:br w:type="page"/>
      </w:r>
      <w:bookmarkStart w:id="10" w:name="_Toc22795"/>
      <w:bookmarkStart w:id="11" w:name="_Toc25096"/>
      <w:bookmarkStart w:id="12" w:name="_Toc2365"/>
      <w:r>
        <w:rPr>
          <w:rFonts w:hint="eastAsia" w:ascii="宋体" w:hAnsi="宋体" w:eastAsia="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rPr>
        <w:t>总则</w:t>
      </w:r>
      <w:bookmarkEnd w:id="9"/>
      <w:bookmarkEnd w:id="10"/>
      <w:bookmarkEnd w:id="11"/>
      <w:bookmarkEnd w:id="12"/>
    </w:p>
    <w:p>
      <w:pPr>
        <w:keepNext w:val="0"/>
        <w:keepLines w:val="0"/>
        <w:pageBreakBefore w:val="0"/>
        <w:widowControl w:val="0"/>
        <w:numPr>
          <w:ilvl w:val="0"/>
          <w:numId w:val="4"/>
        </w:numPr>
        <w:kinsoku/>
        <w:wordWrap/>
        <w:overflowPunct/>
        <w:topLinePunct w:val="0"/>
        <w:autoSpaceDE/>
        <w:autoSpaceDN/>
        <w:bidi w:val="0"/>
        <w:adjustRightInd/>
        <w:snapToGrid w:val="0"/>
        <w:spacing w:beforeAutospacing="0" w:line="360" w:lineRule="auto"/>
        <w:ind w:left="958" w:hanging="850"/>
        <w:textAlignment w:val="auto"/>
        <w:outlineLvl w:val="1"/>
        <w:rPr>
          <w:rFonts w:hint="eastAsia" w:ascii="宋体" w:hAnsi="宋体" w:eastAsia="宋体" w:cs="宋体"/>
          <w:b/>
          <w:color w:val="auto"/>
          <w:sz w:val="24"/>
          <w:szCs w:val="24"/>
          <w:highlight w:val="none"/>
        </w:rPr>
      </w:pPr>
      <w:bookmarkStart w:id="13" w:name="_Toc20807"/>
      <w:bookmarkStart w:id="14" w:name="_Toc30875"/>
      <w:bookmarkStart w:id="15" w:name="_Toc29976"/>
      <w:bookmarkStart w:id="16" w:name="_Toc9681"/>
      <w:bookmarkStart w:id="17" w:name="_Toc5418"/>
      <w:bookmarkStart w:id="18" w:name="_Toc20528"/>
      <w:bookmarkStart w:id="19" w:name="_Toc14011"/>
      <w:bookmarkStart w:id="20" w:name="_Toc23804"/>
      <w:bookmarkStart w:id="21" w:name="_Toc459125026"/>
      <w:bookmarkStart w:id="22" w:name="_Toc454832216"/>
      <w:bookmarkStart w:id="23" w:name="_Toc474156093"/>
      <w:bookmarkStart w:id="24" w:name="_Toc397591320"/>
      <w:bookmarkStart w:id="25" w:name="_Toc416183606"/>
      <w:bookmarkStart w:id="26" w:name="_Toc416183460"/>
      <w:bookmarkStart w:id="27" w:name="_Toc442273881"/>
      <w:bookmarkStart w:id="28" w:name="_Toc353443071"/>
      <w:r>
        <w:rPr>
          <w:rFonts w:hint="eastAsia" w:ascii="宋体" w:hAnsi="宋体" w:eastAsia="宋体" w:cs="宋体"/>
          <w:b/>
          <w:color w:val="auto"/>
          <w:sz w:val="24"/>
          <w:szCs w:val="24"/>
          <w:highlight w:val="none"/>
        </w:rPr>
        <w:t>适用范围</w:t>
      </w:r>
      <w:bookmarkEnd w:id="13"/>
      <w:bookmarkEnd w:id="14"/>
    </w:p>
    <w:p>
      <w:pPr>
        <w:keepNext w:val="0"/>
        <w:keepLines w:val="0"/>
        <w:pageBreakBefore w:val="0"/>
        <w:kinsoku/>
        <w:wordWrap/>
        <w:overflowPunct/>
        <w:topLinePunct w:val="0"/>
        <w:bidi w:val="0"/>
        <w:adjustRightInd/>
        <w:snapToGrid w:val="0"/>
        <w:spacing w:beforeAutospacing="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numPr>
          <w:ilvl w:val="0"/>
          <w:numId w:val="4"/>
        </w:numPr>
        <w:kinsoku/>
        <w:wordWrap/>
        <w:overflowPunct/>
        <w:topLinePunct w:val="0"/>
        <w:autoSpaceDE/>
        <w:autoSpaceDN/>
        <w:bidi w:val="0"/>
        <w:adjustRightInd/>
        <w:snapToGrid w:val="0"/>
        <w:spacing w:beforeAutospacing="0" w:line="360" w:lineRule="auto"/>
        <w:ind w:left="958" w:hanging="850"/>
        <w:textAlignment w:val="auto"/>
        <w:outlineLvl w:val="1"/>
        <w:rPr>
          <w:rFonts w:hint="eastAsia" w:ascii="宋体" w:hAnsi="宋体" w:eastAsia="宋体" w:cs="宋体"/>
          <w:b/>
          <w:color w:val="auto"/>
          <w:sz w:val="24"/>
          <w:szCs w:val="24"/>
          <w:highlight w:val="none"/>
        </w:rPr>
      </w:pPr>
      <w:bookmarkStart w:id="29" w:name="_Toc775"/>
      <w:bookmarkStart w:id="30" w:name="_Toc30613"/>
      <w:r>
        <w:rPr>
          <w:rFonts w:hint="eastAsia" w:ascii="宋体" w:hAnsi="宋体" w:eastAsia="宋体" w:cs="宋体"/>
          <w:b/>
          <w:color w:val="auto"/>
          <w:sz w:val="24"/>
          <w:szCs w:val="24"/>
          <w:highlight w:val="none"/>
        </w:rPr>
        <w:t>定义</w:t>
      </w:r>
      <w:bookmarkEnd w:id="29"/>
      <w:bookmarkEnd w:id="30"/>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“采购人”系指招标公告中载明的本项目的采购人。</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2"/>
          <w:highlight w:val="none"/>
          <w:lang w:val="en-US" w:eastAsia="zh-CN" w:bidi="ar-SA"/>
        </w:rPr>
        <w:t>“招标采购单位”系指</w:t>
      </w:r>
      <w:r>
        <w:rPr>
          <w:rFonts w:hint="eastAsia" w:ascii="宋体" w:hAnsi="宋体" w:eastAsia="宋体" w:cs="宋体"/>
          <w:color w:val="auto"/>
          <w:sz w:val="21"/>
          <w:szCs w:val="21"/>
          <w:highlight w:val="none"/>
        </w:rPr>
        <w:t>组织本次招标的采购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val="en-US" w:eastAsia="zh-CN"/>
        </w:rPr>
        <w:t>采购人</w:t>
      </w:r>
      <w:r>
        <w:rPr>
          <w:rFonts w:hint="eastAsia" w:ascii="宋体" w:hAnsi="宋体"/>
          <w:color w:val="auto"/>
          <w:kern w:val="0"/>
          <w:sz w:val="21"/>
          <w:szCs w:val="22"/>
          <w:highlight w:val="none"/>
          <w:lang w:val="en-US" w:eastAsia="zh-CN" w:bidi="ar-SA"/>
        </w:rPr>
        <w:t>。</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“投标人”系指是指响应招标、参加投标竞争的法人、其他组织或者自然人。</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指在本次招标中中标的投标人。</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评标委员会</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指《中华人民共和国政府采购法》组建的专门负责采购评审工作的临时性机构。</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公章”系指单位法定名称章。</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系指实质性要求条款，“★”系指重要技术要求条款（如有），“</w:t>
      </w:r>
      <w:r>
        <w:rPr>
          <w:rFonts w:ascii="Wingdings" w:hAnsi="Wingdings" w:eastAsia="仿宋_GB2312" w:cs="Arial"/>
          <w:color w:val="auto"/>
          <w:kern w:val="0"/>
          <w:sz w:val="24"/>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1"/>
          <w:szCs w:val="21"/>
          <w:highlight w:val="none"/>
        </w:rPr>
        <w:t>投标人必须对招标文件中以“▲”标识的有关技术和商务条款做出实质性响应，否则其投标无效。</w:t>
      </w:r>
    </w:p>
    <w:p>
      <w:pPr>
        <w:keepNext w:val="0"/>
        <w:keepLines w:val="0"/>
        <w:pageBreakBefore w:val="0"/>
        <w:widowControl w:val="0"/>
        <w:numPr>
          <w:ilvl w:val="0"/>
          <w:numId w:val="4"/>
        </w:numPr>
        <w:kinsoku/>
        <w:wordWrap/>
        <w:overflowPunct/>
        <w:topLinePunct w:val="0"/>
        <w:autoSpaceDE/>
        <w:autoSpaceDN/>
        <w:bidi w:val="0"/>
        <w:adjustRightInd/>
        <w:snapToGrid w:val="0"/>
        <w:spacing w:beforeAutospacing="0" w:line="360" w:lineRule="auto"/>
        <w:ind w:left="958" w:hanging="850"/>
        <w:textAlignment w:val="auto"/>
        <w:outlineLvl w:val="1"/>
        <w:rPr>
          <w:rFonts w:hint="eastAsia" w:ascii="宋体" w:hAnsi="宋体" w:eastAsia="宋体" w:cs="宋体"/>
          <w:b/>
          <w:color w:val="auto"/>
          <w:sz w:val="24"/>
          <w:szCs w:val="24"/>
          <w:highlight w:val="none"/>
        </w:rPr>
      </w:pPr>
      <w:bookmarkStart w:id="31" w:name="_Toc32540"/>
      <w:bookmarkStart w:id="32" w:name="_Toc21906"/>
      <w:r>
        <w:rPr>
          <w:rFonts w:hint="eastAsia" w:ascii="宋体" w:hAnsi="宋体" w:eastAsia="宋体" w:cs="宋体"/>
          <w:b/>
          <w:color w:val="auto"/>
          <w:sz w:val="24"/>
          <w:szCs w:val="24"/>
          <w:highlight w:val="none"/>
        </w:rPr>
        <w:t>采购项目需要落实的政府采购政策</w:t>
      </w:r>
      <w:bookmarkEnd w:id="31"/>
      <w:bookmarkEnd w:id="32"/>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已经在采购活动开始前向财政部门提出申请并获得财政部门审核同意，且在</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中明确规定可以采购进口产品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支持绿色发展</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val="0"/>
          <w:bCs w:val="0"/>
          <w:color w:val="auto"/>
          <w:sz w:val="21"/>
          <w:szCs w:val="21"/>
          <w:highlight w:val="none"/>
        </w:rPr>
        <w:t>采购人拟采购的产品属于政府强制采购的节能产品品目清单范围的，投标人未按招标文件要求提供国家确定的认证机构出具的、处于有效期之内的节能产品认证证书的，</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投标无效。</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纳入政府采购管理的修缮、装修类项目采购建材的，鼓励采购单位将绿色建材性能、指标</w:t>
      </w:r>
      <w:r>
        <w:rPr>
          <w:rFonts w:hint="eastAsia" w:ascii="宋体" w:hAnsi="宋体" w:eastAsia="宋体" w:cs="宋体"/>
          <w:color w:val="auto"/>
          <w:sz w:val="21"/>
          <w:szCs w:val="21"/>
          <w:highlight w:val="none"/>
          <w:lang w:val="en-US" w:eastAsia="zh-CN"/>
        </w:rPr>
        <w:t xml:space="preserve">       </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等作为实质性条件纳入采购文件和合同，具体性能指标要求参考相关绿色建材政府采购需求标准。</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为助力打好污染防治攻坚战，推广使用绿色包装，政府采购货物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服务项目中涉及商品包</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支持中小企业发展</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w:t>
      </w:r>
      <w:r>
        <w:rPr>
          <w:rFonts w:hint="eastAsia" w:ascii="宋体" w:hAnsi="宋体" w:eastAsia="宋体" w:cs="宋体"/>
          <w:color w:val="auto"/>
          <w:sz w:val="21"/>
          <w:szCs w:val="21"/>
          <w:highlight w:val="none"/>
          <w:lang w:val="en-US" w:eastAsia="zh-CN"/>
        </w:rPr>
        <w:t xml:space="preserve"> </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adjustRightInd/>
        <w:spacing w:beforeAutospacing="0"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在政府采购活动中，投标人提供的货物、工程或者服务符合下列情形的，享受中小企业扶</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持政策</w:t>
      </w:r>
      <w:r>
        <w:rPr>
          <w:rFonts w:hint="eastAsia" w:ascii="宋体" w:hAnsi="宋体" w:eastAsia="宋体" w:cs="宋体"/>
          <w:color w:val="auto"/>
          <w:kern w:val="0"/>
          <w:sz w:val="21"/>
          <w:szCs w:val="21"/>
          <w:highlight w:val="none"/>
          <w:lang w:eastAsia="zh-CN"/>
        </w:rPr>
        <w:t>。</w:t>
      </w:r>
    </w:p>
    <w:p>
      <w:pPr>
        <w:keepNext w:val="0"/>
        <w:keepLines w:val="0"/>
        <w:pageBreakBefore w:val="0"/>
        <w:numPr>
          <w:ilvl w:val="3"/>
          <w:numId w:val="4"/>
        </w:numPr>
        <w:tabs>
          <w:tab w:val="left" w:pos="840"/>
          <w:tab w:val="clear" w:pos="108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在货物采购项目中，货物由中小企业制造，即货物由中小企业生产且使用该中小企业商号</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或者注册商标；</w:t>
      </w:r>
    </w:p>
    <w:p>
      <w:pPr>
        <w:keepNext w:val="0"/>
        <w:keepLines w:val="0"/>
        <w:pageBreakBefore w:val="0"/>
        <w:numPr>
          <w:ilvl w:val="3"/>
          <w:numId w:val="4"/>
        </w:numPr>
        <w:tabs>
          <w:tab w:val="left" w:pos="840"/>
          <w:tab w:val="clear" w:pos="108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在服务采购项目中，服务由中小企业承接，即提供服务的人员为中小企业依照《中华人民</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firstLine="840" w:firstLineChars="4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共和国劳动合同法》订立劳动合同的从业人员。</w:t>
      </w:r>
    </w:p>
    <w:p>
      <w:pPr>
        <w:keepNext w:val="0"/>
        <w:keepLines w:val="0"/>
        <w:pageBreakBefore w:val="0"/>
        <w:widowControl/>
        <w:kinsoku/>
        <w:wordWrap/>
        <w:overflowPunct/>
        <w:topLinePunct w:val="0"/>
        <w:bidi w:val="0"/>
        <w:adjustRightInd/>
        <w:spacing w:beforeAutospacing="0"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在货物采购项目中，投标人提供的货物既有中小企业制造货物，也有大型企业制造货物的，</w:t>
      </w:r>
    </w:p>
    <w:p>
      <w:pPr>
        <w:keepNext w:val="0"/>
        <w:keepLines w:val="0"/>
        <w:pageBreakBefore w:val="0"/>
        <w:widowControl/>
        <w:kinsoku/>
        <w:wordWrap/>
        <w:overflowPunct/>
        <w:topLinePunct w:val="0"/>
        <w:bidi w:val="0"/>
        <w:adjustRightInd/>
        <w:spacing w:beforeAutospacing="0"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不享受中小企业扶持政策。</w:t>
      </w:r>
    </w:p>
    <w:p>
      <w:pPr>
        <w:keepNext w:val="0"/>
        <w:keepLines w:val="0"/>
        <w:pageBreakBefore w:val="0"/>
        <w:widowControl/>
        <w:kinsoku/>
        <w:wordWrap/>
        <w:overflowPunct/>
        <w:topLinePunct w:val="0"/>
        <w:bidi w:val="0"/>
        <w:adjustRightInd/>
        <w:spacing w:beforeAutospacing="0"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w:t>
      </w:r>
    </w:p>
    <w:p>
      <w:pPr>
        <w:keepNext w:val="0"/>
        <w:keepLines w:val="0"/>
        <w:pageBreakBefore w:val="0"/>
        <w:widowControl/>
        <w:kinsoku/>
        <w:wordWrap/>
        <w:overflowPunct/>
        <w:topLinePunct w:val="0"/>
        <w:bidi w:val="0"/>
        <w:adjustRightInd/>
        <w:spacing w:beforeAutospacing="0"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中，联合体各方均为小微企业的，联合体视同小微企业。</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对于未预留份额专门面向中小企业的政府采购货物或服务项目，以及预留份额政府采购货</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物或服务项目中的非预留部分标项，对小型和微型企业的投标报价给予</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的残疾人福利性单位视同小型、微</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型企业；</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企业并提供由省级以上监狱管理局、戒毒管理局（含新疆生产建设兵团）出具的属于监狱企业证明文件的，视同为小型、微型企业。</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监狱企业、残疾人福利性单位视同小型、微型企业的，享受价格扣除。监狱企业、残疾人</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福利性单位属于小型、微型企业的，不重复享受政策。</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可享受中小企业扶持政策的投标人应按照招标文件格式要求提供《中小企业声明函》</w:t>
      </w:r>
      <w:r>
        <w:rPr>
          <w:rFonts w:hint="eastAsia" w:ascii="宋体" w:hAnsi="宋体" w:eastAsia="宋体" w:cs="宋体"/>
          <w:color w:val="auto"/>
          <w:sz w:val="21"/>
          <w:szCs w:val="21"/>
          <w:highlight w:val="none"/>
          <w:lang w:eastAsia="zh-CN"/>
        </w:rPr>
        <w:t>。</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w:t>
      </w:r>
      <w:r>
        <w:rPr>
          <w:rFonts w:hint="eastAsia" w:ascii="宋体" w:hAnsi="宋体" w:eastAsia="宋体" w:cs="宋体"/>
          <w:color w:val="auto"/>
          <w:sz w:val="21"/>
          <w:szCs w:val="21"/>
          <w:highlight w:val="none"/>
          <w:lang w:val="en-US" w:eastAsia="zh-CN"/>
        </w:rPr>
        <w:t xml:space="preserve">  </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型企业不得将合同分包给大型企业。</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支持创新发展</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对省级以上主管部门认定的首台套产品，自纳入《省推广应用指导目录》起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年内，以及</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产品核心技术高于国内领先水平，并具有明晰自主知识产权的“制造精品”产品，自认定之日起2年内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视同已具备相应销售业绩，参加政府采购活动时业绩分值为满分。</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w:t>
      </w:r>
    </w:p>
    <w:p>
      <w:pPr>
        <w:keepNext w:val="0"/>
        <w:keepLines w:val="0"/>
        <w:pageBreakBefore w:val="0"/>
        <w:kinsoku/>
        <w:wordWrap/>
        <w:overflowPunct/>
        <w:topLinePunct w:val="0"/>
        <w:bidi w:val="0"/>
        <w:adjustRightInd/>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支持中小企业信用融资</w:t>
      </w:r>
    </w:p>
    <w:p>
      <w:pPr>
        <w:keepNext w:val="0"/>
        <w:keepLines w:val="0"/>
        <w:pageBreakBefore w:val="0"/>
        <w:kinsoku/>
        <w:wordWrap/>
        <w:overflowPunct/>
        <w:topLinePunct w:val="0"/>
        <w:autoSpaceDE w:val="0"/>
        <w:autoSpaceDN w:val="0"/>
        <w:bidi w:val="0"/>
        <w:adjustRightInd/>
        <w:spacing w:beforeAutospacing="0" w:line="360" w:lineRule="auto"/>
        <w:ind w:left="840" w:leftChars="4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为支持和促进中小企业发展，进一步发挥政府采购政策功能，温州市财政局出台了《温州</w:t>
      </w:r>
    </w:p>
    <w:p>
      <w:pPr>
        <w:keepNext w:val="0"/>
        <w:keepLines w:val="0"/>
        <w:pageBreakBefore w:val="0"/>
        <w:kinsoku/>
        <w:wordWrap/>
        <w:overflowPunct/>
        <w:topLinePunct w:val="0"/>
        <w:autoSpaceDE w:val="0"/>
        <w:autoSpaceDN w:val="0"/>
        <w:bidi w:val="0"/>
        <w:adjustRightInd/>
        <w:spacing w:beforeAutospacing="0" w:line="360" w:lineRule="auto"/>
        <w:ind w:left="840" w:leftChars="4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市财政局关于温州市政府采购支持中小企业信用融资的通知》（温财采〔2020〕3号），</w:t>
      </w:r>
    </w:p>
    <w:p>
      <w:pPr>
        <w:keepNext w:val="0"/>
        <w:keepLines w:val="0"/>
        <w:pageBreakBefore w:val="0"/>
        <w:kinsoku/>
        <w:wordWrap/>
        <w:overflowPunct/>
        <w:topLinePunct w:val="0"/>
        <w:autoSpaceDE w:val="0"/>
        <w:autoSpaceDN w:val="0"/>
        <w:bidi w:val="0"/>
        <w:adjustRightInd/>
        <w:spacing w:beforeAutospacing="0" w:line="360" w:lineRule="auto"/>
        <w:ind w:left="840" w:leftChars="4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供应商若有融资意向，可直接登录http://jinrong.zcygov.cn，查看信用融资政策文件</w:t>
      </w:r>
    </w:p>
    <w:p>
      <w:pPr>
        <w:keepNext w:val="0"/>
        <w:keepLines w:val="0"/>
        <w:pageBreakBefore w:val="0"/>
        <w:kinsoku/>
        <w:wordWrap/>
        <w:overflowPunct/>
        <w:topLinePunct w:val="0"/>
        <w:autoSpaceDE w:val="0"/>
        <w:autoSpaceDN w:val="0"/>
        <w:bidi w:val="0"/>
        <w:adjustRightInd/>
        <w:spacing w:beforeAutospacing="0" w:line="360" w:lineRule="auto"/>
        <w:ind w:left="840" w:leftChars="40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及各相关银行服务方案，也可直接向各银行咨询相关业务。</w:t>
      </w:r>
    </w:p>
    <w:p>
      <w:pPr>
        <w:keepNext w:val="0"/>
        <w:keepLines w:val="0"/>
        <w:pageBreakBefore w:val="0"/>
        <w:widowControl w:val="0"/>
        <w:numPr>
          <w:ilvl w:val="0"/>
          <w:numId w:val="4"/>
        </w:numPr>
        <w:kinsoku/>
        <w:wordWrap/>
        <w:overflowPunct/>
        <w:topLinePunct w:val="0"/>
        <w:autoSpaceDE/>
        <w:autoSpaceDN/>
        <w:bidi w:val="0"/>
        <w:adjustRightInd/>
        <w:snapToGrid w:val="0"/>
        <w:spacing w:beforeAutospacing="0" w:line="360" w:lineRule="auto"/>
        <w:ind w:left="958" w:hanging="850"/>
        <w:textAlignment w:val="auto"/>
        <w:outlineLvl w:val="1"/>
        <w:rPr>
          <w:rFonts w:hint="eastAsia" w:ascii="宋体" w:hAnsi="宋体" w:eastAsia="宋体" w:cs="宋体"/>
          <w:b/>
          <w:color w:val="auto"/>
          <w:sz w:val="24"/>
          <w:szCs w:val="24"/>
          <w:highlight w:val="none"/>
        </w:rPr>
      </w:pPr>
      <w:bookmarkStart w:id="33" w:name="_Toc3851"/>
      <w:bookmarkStart w:id="34" w:name="_Toc2579"/>
      <w:r>
        <w:rPr>
          <w:rFonts w:hint="eastAsia" w:ascii="宋体" w:hAnsi="宋体" w:eastAsia="宋体" w:cs="宋体"/>
          <w:b/>
          <w:color w:val="auto"/>
          <w:sz w:val="24"/>
          <w:szCs w:val="24"/>
          <w:highlight w:val="none"/>
        </w:rPr>
        <w:t>询问、质疑、投诉</w:t>
      </w:r>
      <w:bookmarkEnd w:id="33"/>
      <w:bookmarkEnd w:id="34"/>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供应商询问</w:t>
      </w:r>
    </w:p>
    <w:p>
      <w:pPr>
        <w:keepNext w:val="0"/>
        <w:keepLines w:val="0"/>
        <w:pageBreakBefore w:val="0"/>
        <w:kinsoku/>
        <w:wordWrap/>
        <w:overflowPunct/>
        <w:topLinePunct w:val="0"/>
        <w:autoSpaceDE w:val="0"/>
        <w:autoSpaceDN w:val="0"/>
        <w:bidi w:val="0"/>
        <w:adjustRightInd/>
        <w:spacing w:beforeAutospacing="0" w:line="360" w:lineRule="auto"/>
        <w:ind w:left="840" w:leftChars="400"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供应商质疑</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提出质疑的供应商应当是参与所质疑项目采购活动的供应商。潜在供应商已依法获取其可</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质疑的招标文件的，可以对该文件提出质疑。</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供应商认为招标文件、采购过程和中标结果使自己的权益受到损害的，可以在知道或者应</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供应商在法定质疑期内必须一次性提出针对</w:t>
      </w:r>
      <w:r>
        <w:rPr>
          <w:rFonts w:hint="eastAsia" w:ascii="宋体" w:hAnsi="宋体" w:eastAsia="宋体" w:cs="宋体"/>
          <w:b/>
          <w:bCs/>
          <w:color w:val="auto"/>
          <w:sz w:val="21"/>
          <w:szCs w:val="21"/>
          <w:highlight w:val="none"/>
        </w:rPr>
        <w:t>同一采购程序环节的质疑。</w:t>
      </w:r>
    </w:p>
    <w:p>
      <w:pPr>
        <w:keepNext w:val="0"/>
        <w:keepLines w:val="0"/>
        <w:pageBreakBefore w:val="0"/>
        <w:numPr>
          <w:ilvl w:val="3"/>
          <w:numId w:val="4"/>
        </w:numPr>
        <w:tabs>
          <w:tab w:val="left" w:pos="840"/>
          <w:tab w:val="clear" w:pos="108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对招标文件提出质疑的，质疑期限为供应商获得招标文件之日或者招标文件公告期限届满</w:t>
      </w:r>
      <w:r>
        <w:rPr>
          <w:rFonts w:hint="eastAsia" w:ascii="宋体" w:hAnsi="宋体" w:eastAsia="宋体" w:cs="宋体"/>
          <w:snapToGrid/>
          <w:color w:val="auto"/>
          <w:kern w:val="2"/>
          <w:sz w:val="21"/>
          <w:szCs w:val="21"/>
          <w:highlight w:val="none"/>
          <w:lang w:val="en-US" w:eastAsia="zh-CN"/>
        </w:rPr>
        <w:t xml:space="preserve"> </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之日起计算</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 w:val="21"/>
          <w:szCs w:val="21"/>
          <w:highlight w:val="none"/>
        </w:rPr>
        <w:t>公告期限届满后获取招标文件的，以公告期限届满之日为准</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w:t>
      </w:r>
    </w:p>
    <w:p>
      <w:pPr>
        <w:keepNext w:val="0"/>
        <w:keepLines w:val="0"/>
        <w:pageBreakBefore w:val="0"/>
        <w:numPr>
          <w:ilvl w:val="3"/>
          <w:numId w:val="4"/>
        </w:numPr>
        <w:tabs>
          <w:tab w:val="left" w:pos="840"/>
          <w:tab w:val="clear" w:pos="108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对采购过程提出质疑的，质疑期限为各采购程序环节结束之日起计算。</w:t>
      </w:r>
    </w:p>
    <w:p>
      <w:pPr>
        <w:keepNext w:val="0"/>
        <w:keepLines w:val="0"/>
        <w:pageBreakBefore w:val="0"/>
        <w:numPr>
          <w:ilvl w:val="3"/>
          <w:numId w:val="4"/>
        </w:numPr>
        <w:tabs>
          <w:tab w:val="left" w:pos="840"/>
          <w:tab w:val="clear" w:pos="108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对采购结果提出质疑的，质疑期限自采购结果公告期限届满之日起计算。</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供应商提出质疑应当提交质疑函和必要的证明材料。</w:t>
      </w:r>
    </w:p>
    <w:p>
      <w:pPr>
        <w:pStyle w:val="146"/>
        <w:keepNext w:val="0"/>
        <w:keepLines w:val="0"/>
        <w:pageBreakBefore w:val="0"/>
        <w:shd w:val="clear" w:color="auto" w:fill="FFFFFF"/>
        <w:kinsoku/>
        <w:wordWrap/>
        <w:overflowPunct/>
        <w:topLinePunct w:val="0"/>
        <w:bidi w:val="0"/>
        <w:adjustRightInd/>
        <w:snapToGrid w:val="0"/>
        <w:spacing w:before="0" w:beforeAutospacing="0" w:after="0" w:afterAutospacing="0" w:line="360" w:lineRule="auto"/>
        <w:ind w:left="840" w:leftChars="40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146"/>
        <w:keepNext w:val="0"/>
        <w:keepLines w:val="0"/>
        <w:pageBreakBefore w:val="0"/>
        <w:shd w:val="clear" w:color="auto" w:fill="FFFFFF"/>
        <w:kinsoku/>
        <w:wordWrap/>
        <w:overflowPunct/>
        <w:topLinePunct w:val="0"/>
        <w:bidi w:val="0"/>
        <w:adjustRightInd/>
        <w:snapToGrid w:val="0"/>
        <w:spacing w:before="0" w:beforeAutospacing="0" w:after="0" w:afterAutospacing="0" w:line="360" w:lineRule="auto"/>
        <w:ind w:firstLine="819" w:firstLineChars="39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个工作日内作出答复，并以书</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面形式通知质疑供应商和其他有关供应商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但答复的内容不得涉及商业秘密。</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质疑事项可能影响采购结果的，采购人应当暂停签订合同，已经签订合同的，应当中止履</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行合同。</w:t>
      </w:r>
    </w:p>
    <w:p>
      <w:pPr>
        <w:keepNext w:val="0"/>
        <w:keepLines w:val="0"/>
        <w:pageBreakBefore w:val="0"/>
        <w:numPr>
          <w:ilvl w:val="1"/>
          <w:numId w:val="4"/>
        </w:numPr>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个工作日内向同级政府采购监督管理部门提出投诉。</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供应商投诉的事项不得超出已质疑事项的范围，基于质疑答复内容提出的投诉事项除外。</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供应商投诉应当有明确的请求和必要的证明材料。</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以联合体形式参加政府采购活动的，其投诉应当由组成联合体的所有供应商共同提出。</w:t>
      </w:r>
    </w:p>
    <w:p>
      <w:pPr>
        <w:keepNext w:val="0"/>
        <w:keepLines w:val="0"/>
        <w:pageBreakBefore w:val="0"/>
        <w:numPr>
          <w:ilvl w:val="2"/>
          <w:numId w:val="4"/>
        </w:numPr>
        <w:tabs>
          <w:tab w:val="left" w:pos="840"/>
          <w:tab w:val="clear" w:pos="720"/>
        </w:tabs>
        <w:kinsoku/>
        <w:wordWrap/>
        <w:overflowPunct/>
        <w:topLinePunct w:val="0"/>
        <w:autoSpaceDE/>
        <w:autoSpaceDN/>
        <w:bidi w:val="0"/>
        <w:adjustRightInd/>
        <w:snapToGrid w:val="0"/>
        <w:spacing w:beforeAutospacing="0" w:line="360"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投诉人</w:t>
      </w:r>
      <w:r>
        <w:rPr>
          <w:rFonts w:hint="eastAsia" w:ascii="宋体" w:hAnsi="宋体" w:eastAsia="宋体" w:cs="宋体"/>
          <w:color w:val="auto"/>
          <w:sz w:val="21"/>
          <w:szCs w:val="21"/>
          <w:highlight w:val="none"/>
        </w:rPr>
        <w:t>投诉时，应当提交投诉书和必要的证明材料，并按照被投诉采购人、采购代理机构</w:t>
      </w:r>
    </w:p>
    <w:p>
      <w:pPr>
        <w:keepNext w:val="0"/>
        <w:keepLines w:val="0"/>
        <w:pageBreakBefore w:val="0"/>
        <w:numPr>
          <w:ilvl w:val="0"/>
          <w:numId w:val="0"/>
        </w:numPr>
        <w:tabs>
          <w:tab w:val="left" w:pos="840"/>
        </w:tabs>
        <w:kinsoku/>
        <w:wordWrap/>
        <w:overflowPunct/>
        <w:topLinePunct w:val="0"/>
        <w:autoSpaceDE/>
        <w:autoSpaceDN/>
        <w:bidi w:val="0"/>
        <w:adjustRightInd/>
        <w:snapToGrid w:val="0"/>
        <w:spacing w:beforeAutospacing="0" w:line="360" w:lineRule="auto"/>
        <w:ind w:left="840" w:leftChars="40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和与投诉事项有关的供应商数量提供投诉书的副本。投诉人为自然人的，应当由本人签字；投诉人为法人或者其他组织的，应当由法定代表人、主要负责人，或者其授权代表签字或者盖章，并加盖公章。</w:t>
      </w:r>
    </w:p>
    <w:p>
      <w:pPr>
        <w:pStyle w:val="146"/>
        <w:keepNext w:val="0"/>
        <w:keepLines w:val="0"/>
        <w:pageBreakBefore w:val="0"/>
        <w:shd w:val="clear" w:color="auto" w:fill="FFFFFF"/>
        <w:kinsoku/>
        <w:wordWrap/>
        <w:overflowPunct/>
        <w:topLinePunct w:val="0"/>
        <w:bidi w:val="0"/>
        <w:adjustRightInd/>
        <w:snapToGrid w:val="0"/>
        <w:spacing w:before="0" w:beforeAutospacing="0" w:after="0" w:afterAutospacing="0" w:line="360" w:lineRule="auto"/>
        <w:ind w:firstLine="819" w:firstLineChars="39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35" w:name="_Toc4601"/>
      <w:bookmarkStart w:id="36" w:name="_Toc31686"/>
      <w:bookmarkStart w:id="37" w:name="_Toc8495"/>
      <w:r>
        <w:rPr>
          <w:rFonts w:hint="eastAsia" w:ascii="宋体" w:hAnsi="宋体" w:eastAsia="宋体" w:cs="宋体"/>
          <w:b/>
          <w:color w:val="auto"/>
          <w:sz w:val="28"/>
          <w:szCs w:val="28"/>
          <w:highlight w:val="none"/>
        </w:rPr>
        <w:t>二、招标文件的构成、澄清、修改</w:t>
      </w:r>
      <w:bookmarkEnd w:id="35"/>
      <w:bookmarkEnd w:id="36"/>
      <w:bookmarkEnd w:id="37"/>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38" w:name="_Toc28627"/>
      <w:bookmarkStart w:id="39" w:name="_Toc19604"/>
      <w:r>
        <w:rPr>
          <w:rFonts w:hint="eastAsia" w:ascii="宋体" w:hAnsi="宋体" w:eastAsia="宋体" w:cs="宋体"/>
          <w:b/>
          <w:color w:val="auto"/>
          <w:sz w:val="24"/>
          <w:szCs w:val="24"/>
          <w:highlight w:val="none"/>
        </w:rPr>
        <w:t>招标文件的构成</w:t>
      </w:r>
      <w:bookmarkEnd w:id="38"/>
      <w:bookmarkEnd w:id="39"/>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招标文件包括下列文件及附件：</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应提交的有关格式范例。</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40" w:name="_Toc5086"/>
      <w:bookmarkStart w:id="41" w:name="_Toc32715"/>
      <w:r>
        <w:rPr>
          <w:rFonts w:hint="eastAsia" w:ascii="宋体" w:hAnsi="宋体" w:eastAsia="宋体" w:cs="宋体"/>
          <w:b/>
          <w:color w:val="auto"/>
          <w:sz w:val="24"/>
          <w:szCs w:val="24"/>
          <w:highlight w:val="none"/>
        </w:rPr>
        <w:t>招标文件的澄清、修改</w:t>
      </w:r>
      <w:bookmarkEnd w:id="40"/>
      <w:bookmarkEnd w:id="41"/>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已获取招标文件的潜在投标人，若有问题需要</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机构可以对已发出的招标文件进行必要的澄清或者修改，但不得改变采购标的和资格条件。</w:t>
      </w:r>
      <w:r>
        <w:rPr>
          <w:rFonts w:hint="eastAsia" w:ascii="宋体" w:hAnsi="宋体" w:eastAsia="宋体" w:cs="宋体"/>
          <w:color w:val="auto"/>
          <w:sz w:val="21"/>
          <w:szCs w:val="21"/>
          <w:highlight w:val="none"/>
          <w:lang w:val="en-US" w:eastAsia="zh-CN"/>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澄清或者修改的内容为招标文件的组成部分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当招标文件与招标文件的答复、澄清、修改、补充通知就同一内容的表述不一致时，以最后发出的更正（澄清）公告为准。</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澄清或者修改的内容可能影响投标文件编制的，采购人或者采购代理机构构应当在投标截止时间至少15日前，以更正（澄清）公告形式通知所有获取招标文件的潜在投标人，并对其具有约束力；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机构应当顺延提交投标文件的截止时间。投标人应及时关注浙江政府采购网上该项目的公告信息</w:t>
      </w: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42" w:name="_Toc28482"/>
      <w:bookmarkStart w:id="43" w:name="_Toc19369"/>
      <w:bookmarkStart w:id="44" w:name="_Toc23125"/>
      <w:r>
        <w:rPr>
          <w:rFonts w:hint="eastAsia" w:ascii="宋体" w:hAnsi="宋体" w:eastAsia="宋体" w:cs="宋体"/>
          <w:b/>
          <w:color w:val="auto"/>
          <w:sz w:val="28"/>
          <w:szCs w:val="28"/>
          <w:highlight w:val="none"/>
        </w:rPr>
        <w:t>三、投标</w:t>
      </w:r>
      <w:bookmarkEnd w:id="42"/>
      <w:bookmarkEnd w:id="43"/>
      <w:bookmarkEnd w:id="44"/>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45" w:name="_Toc5531"/>
      <w:bookmarkStart w:id="46" w:name="_Toc12027"/>
      <w:r>
        <w:rPr>
          <w:rFonts w:hint="eastAsia" w:ascii="宋体" w:hAnsi="宋体" w:eastAsia="宋体" w:cs="宋体"/>
          <w:b/>
          <w:color w:val="auto"/>
          <w:sz w:val="24"/>
          <w:szCs w:val="24"/>
          <w:highlight w:val="none"/>
        </w:rPr>
        <w:t>招标文件的获取</w:t>
      </w:r>
      <w:bookmarkEnd w:id="45"/>
      <w:bookmarkEnd w:id="46"/>
    </w:p>
    <w:p>
      <w:pPr>
        <w:spacing w:line="360" w:lineRule="auto"/>
        <w:ind w:firstLine="840" w:firstLineChars="4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47" w:name="_Toc2344"/>
      <w:bookmarkStart w:id="48" w:name="_Toc1142"/>
      <w:r>
        <w:rPr>
          <w:rFonts w:hint="eastAsia" w:ascii="宋体" w:hAnsi="宋体" w:eastAsia="宋体" w:cs="宋体"/>
          <w:b/>
          <w:color w:val="auto"/>
          <w:sz w:val="24"/>
          <w:szCs w:val="24"/>
          <w:highlight w:val="none"/>
        </w:rPr>
        <w:t>开标前答疑会或现场考察</w:t>
      </w:r>
      <w:bookmarkEnd w:id="47"/>
      <w:bookmarkEnd w:id="48"/>
    </w:p>
    <w:p>
      <w:pPr>
        <w:pStyle w:val="18"/>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w:t>
      </w:r>
      <w:r>
        <w:rPr>
          <w:rFonts w:hint="eastAsia"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部分投标人</w:t>
      </w:r>
    </w:p>
    <w:p>
      <w:pPr>
        <w:pStyle w:val="18"/>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须知前附表的规定参加现场考察或者开标前答疑会。</w:t>
      </w:r>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49" w:name="_Toc9095"/>
      <w:bookmarkStart w:id="50" w:name="_Toc12238"/>
      <w:r>
        <w:rPr>
          <w:rFonts w:hint="eastAsia" w:ascii="宋体" w:hAnsi="宋体" w:eastAsia="宋体" w:cs="宋体"/>
          <w:b/>
          <w:color w:val="auto"/>
          <w:sz w:val="24"/>
          <w:szCs w:val="24"/>
          <w:highlight w:val="none"/>
        </w:rPr>
        <w:t>投标保证金</w:t>
      </w:r>
      <w:bookmarkEnd w:id="49"/>
      <w:bookmarkEnd w:id="50"/>
    </w:p>
    <w:p>
      <w:pPr>
        <w:pStyle w:val="6"/>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51" w:name="_Toc30786"/>
      <w:bookmarkStart w:id="52" w:name="_Toc15077"/>
      <w:r>
        <w:rPr>
          <w:rFonts w:hint="eastAsia" w:ascii="宋体" w:hAnsi="宋体" w:eastAsia="宋体" w:cs="宋体"/>
          <w:b/>
          <w:color w:val="auto"/>
          <w:sz w:val="24"/>
          <w:szCs w:val="24"/>
          <w:highlight w:val="none"/>
        </w:rPr>
        <w:t>投标文件的语言</w:t>
      </w:r>
      <w:bookmarkEnd w:id="51"/>
      <w:bookmarkEnd w:id="52"/>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rPr>
        <w:t>投标文件及投标人与采购有关的来往通知、函件和文件均应使用中文。</w:t>
      </w:r>
      <w:r>
        <w:rPr>
          <w:rFonts w:hint="eastAsia" w:ascii="宋体" w:hAnsi="宋体" w:cs="宋体"/>
          <w:color w:val="auto"/>
          <w:szCs w:val="21"/>
          <w:highlight w:val="none"/>
          <w:lang w:val="en-US" w:eastAsia="zh-CN"/>
        </w:rPr>
        <w:t>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lang w:val="en-US" w:eastAsia="zh-CN"/>
        </w:rPr>
        <w:t>除招标文件另有规定外，投标文件所使用的计量单位，均应使用中华人民共和国法定计量单位。</w:t>
      </w:r>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53" w:name="_Toc26850"/>
      <w:bookmarkStart w:id="54" w:name="_Toc24006"/>
      <w:r>
        <w:rPr>
          <w:rFonts w:hint="eastAsia" w:ascii="宋体" w:hAnsi="宋体" w:eastAsia="宋体" w:cs="宋体"/>
          <w:b/>
          <w:color w:val="auto"/>
          <w:sz w:val="24"/>
          <w:szCs w:val="24"/>
          <w:highlight w:val="none"/>
        </w:rPr>
        <w:t>投标文件的组成</w:t>
      </w:r>
      <w:bookmarkEnd w:id="53"/>
      <w:bookmarkEnd w:id="54"/>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具有独立承担民事责任能力的证明材料；</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lang w:eastAsia="zh-CN"/>
        </w:rPr>
        <w:t>；</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（如有）。</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商务技术</w:t>
      </w:r>
      <w:r>
        <w:rPr>
          <w:rFonts w:hint="eastAsia" w:ascii="宋体" w:hAnsi="宋体" w:eastAsia="宋体" w:cs="宋体"/>
          <w:b/>
          <w:bCs/>
          <w:color w:val="auto"/>
          <w:sz w:val="21"/>
          <w:szCs w:val="21"/>
          <w:highlight w:val="none"/>
          <w:lang w:val="zh-CN"/>
        </w:rPr>
        <w:t>文件：</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r>
        <w:rPr>
          <w:rFonts w:hint="eastAsia" w:ascii="宋体" w:hAnsi="宋体" w:eastAsia="宋体" w:cs="宋体"/>
          <w:color w:val="auto"/>
          <w:sz w:val="21"/>
          <w:szCs w:val="21"/>
          <w:highlight w:val="none"/>
          <w:lang w:val="zh-CN"/>
        </w:rPr>
        <w:t xml:space="preserve"> </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评标标准相应的商务技术资料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详细内容详见第六部分</w:t>
      </w:r>
      <w:r>
        <w:rPr>
          <w:rFonts w:hint="eastAsia" w:ascii="宋体" w:hAnsi="宋体" w:eastAsia="宋体" w:cs="宋体"/>
          <w:color w:val="auto"/>
          <w:sz w:val="21"/>
          <w:szCs w:val="21"/>
          <w:highlight w:val="none"/>
          <w:lang w:eastAsia="zh-CN"/>
        </w:rPr>
        <w:t>）；</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政府采购供应商廉洁自律承诺书。</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▲投标人为医疗器械生产企业的：第二类、第三类医疗器械生产企业提供《医疗器械生产许可证》、第一类医疗器械生产企业提供第一类医疗器械生产备案凭证；</w:t>
      </w:r>
    </w:p>
    <w:p>
      <w:pPr>
        <w:pageBreakBefore w:val="0"/>
        <w:numPr>
          <w:numId w:val="0"/>
        </w:numPr>
        <w:tabs>
          <w:tab w:val="left" w:pos="840"/>
        </w:tabs>
        <w:kinsoku/>
        <w:wordWrap/>
        <w:overflowPunct/>
        <w:topLinePunct w:val="0"/>
        <w:autoSpaceDE/>
        <w:autoSpaceDN/>
        <w:bidi w:val="0"/>
        <w:adjustRightInd/>
        <w:snapToGrid w:val="0"/>
        <w:spacing w:line="360" w:lineRule="auto"/>
        <w:ind w:left="1050" w:leftChars="50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投标人为医疗器械经营企业的：第三类医疗器械经营企业提供《医疗器械经营许可证》、第二类医疗器械经营企业提供第二类医疗器械经营备案凭证；</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▲提供食品药品监督管理部门核发的完整有效的医疗器械注册或备案证明； </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货物制造商或其它有销售资格（提供证明材料）的供应商出具的授权书及售后服务许可证明材料（适用于投标人是进口货物代理商的情形）；</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eastAsia="zh-CN"/>
        </w:rPr>
        <w:t>；</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color w:val="auto"/>
          <w:highlight w:val="none"/>
        </w:rPr>
      </w:pPr>
      <w:r>
        <w:rPr>
          <w:rFonts w:hint="eastAsia"/>
          <w:color w:val="auto"/>
          <w:highlight w:val="none"/>
          <w:lang w:val="en-US" w:eastAsia="zh-CN"/>
        </w:rPr>
        <w:t>报价明细表；</w:t>
      </w:r>
    </w:p>
    <w:p>
      <w:pPr>
        <w:pageBreakBefore w:val="0"/>
        <w:numPr>
          <w:ilvl w:val="2"/>
          <w:numId w:val="4"/>
        </w:numPr>
        <w:tabs>
          <w:tab w:val="left" w:pos="840"/>
          <w:tab w:val="clear" w:pos="720"/>
        </w:tabs>
        <w:kinsoku/>
        <w:wordWrap/>
        <w:overflowPunct/>
        <w:topLinePunct w:val="0"/>
        <w:autoSpaceDE/>
        <w:autoSpaceDN/>
        <w:bidi w:val="0"/>
        <w:adjustRightInd/>
        <w:snapToGrid w:val="0"/>
        <w:spacing w:line="360" w:lineRule="auto"/>
        <w:ind w:left="420" w:leftChars="0" w:hanging="420" w:firstLineChars="0"/>
        <w:textAlignment w:val="auto"/>
        <w:rPr>
          <w:rFonts w:hint="eastAsia"/>
          <w:color w:val="auto"/>
          <w:highlight w:val="none"/>
        </w:rPr>
      </w:pPr>
      <w:r>
        <w:rPr>
          <w:rFonts w:hint="eastAsia" w:ascii="宋体" w:hAnsi="宋体" w:eastAsia="宋体" w:cs="宋体"/>
          <w:color w:val="auto"/>
          <w:sz w:val="21"/>
          <w:szCs w:val="21"/>
          <w:highlight w:val="none"/>
          <w:lang w:val="en-US" w:eastAsia="zh-CN"/>
        </w:rPr>
        <w:t>中小企业声明函（如有）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55" w:name="_Toc31929"/>
      <w:bookmarkStart w:id="56" w:name="_Toc9445"/>
      <w:r>
        <w:rPr>
          <w:rFonts w:hint="eastAsia" w:ascii="宋体" w:hAnsi="宋体" w:eastAsia="宋体" w:cs="宋体"/>
          <w:b/>
          <w:color w:val="auto"/>
          <w:sz w:val="24"/>
          <w:szCs w:val="24"/>
          <w:highlight w:val="none"/>
        </w:rPr>
        <w:t>投标文件的编制</w:t>
      </w:r>
      <w:bookmarkEnd w:id="55"/>
      <w:bookmarkEnd w:id="56"/>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投标文件分为资格文件、商务技术文件、报价文件三部分。各投标人在编制投标文件时请按照招标文件第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val="zh-CN"/>
        </w:rPr>
        <w:t>部分规定的格式进行，</w:t>
      </w:r>
      <w:r>
        <w:rPr>
          <w:rFonts w:hint="eastAsia" w:ascii="宋体" w:hAnsi="宋体" w:eastAsia="宋体" w:cs="宋体"/>
          <w:b/>
          <w:bCs/>
          <w:color w:val="auto"/>
          <w:kern w:val="0"/>
          <w:sz w:val="21"/>
          <w:szCs w:val="21"/>
          <w:highlight w:val="none"/>
          <w:lang w:val="zh-CN"/>
        </w:rPr>
        <w:t>混乱的编排导致投标文件被误读或评标委员会查找不到有效文件是投标人的风险。</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57" w:name="_Toc16442"/>
      <w:bookmarkStart w:id="58" w:name="_Toc1276"/>
      <w:r>
        <w:rPr>
          <w:rFonts w:hint="eastAsia" w:ascii="宋体" w:hAnsi="宋体" w:eastAsia="宋体" w:cs="宋体"/>
          <w:b/>
          <w:color w:val="auto"/>
          <w:sz w:val="24"/>
          <w:szCs w:val="24"/>
          <w:highlight w:val="none"/>
        </w:rPr>
        <w:t>投标文件的签署、盖章</w:t>
      </w:r>
      <w:bookmarkEnd w:id="57"/>
      <w:bookmarkEnd w:id="58"/>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投标文件按照招标文件格式要求进行签署、盖章。</w:t>
      </w:r>
      <w:r>
        <w:rPr>
          <w:rFonts w:hint="eastAsia" w:ascii="宋体" w:hAnsi="宋体" w:eastAsia="宋体" w:cs="宋体"/>
          <w:b w:val="0"/>
          <w:bCs/>
          <w:color w:val="auto"/>
          <w:sz w:val="21"/>
          <w:szCs w:val="21"/>
          <w:highlight w:val="none"/>
        </w:rPr>
        <w:t>投标人的投标文件未按照招标文件要求签署、盖章的，其投标无效</w:t>
      </w:r>
      <w:r>
        <w:rPr>
          <w:rFonts w:hint="eastAsia" w:ascii="宋体" w:hAnsi="宋体" w:eastAsia="宋体" w:cs="宋体"/>
          <w:bCs/>
          <w:color w:val="auto"/>
          <w:sz w:val="21"/>
          <w:szCs w:val="21"/>
          <w:highlight w:val="none"/>
        </w:rPr>
        <w:t>。</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招标文件对投标文件签署、盖章的要求适用于电子签名。</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59" w:name="_Toc23636"/>
      <w:bookmarkStart w:id="60" w:name="_Toc526"/>
      <w:r>
        <w:rPr>
          <w:rFonts w:hint="eastAsia" w:ascii="宋体" w:hAnsi="宋体" w:eastAsia="宋体" w:cs="宋体"/>
          <w:b/>
          <w:color w:val="auto"/>
          <w:sz w:val="24"/>
          <w:szCs w:val="24"/>
          <w:highlight w:val="none"/>
        </w:rPr>
        <w:t>投标文件的提交、补充、修改、撤回</w:t>
      </w:r>
      <w:bookmarkEnd w:id="59"/>
      <w:bookmarkEnd w:id="60"/>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应</w:t>
      </w:r>
      <w:r>
        <w:rPr>
          <w:rFonts w:hint="eastAsia" w:ascii="宋体" w:hAnsi="宋体" w:eastAsia="宋体" w:cs="宋体"/>
          <w:color w:val="auto"/>
          <w:sz w:val="21"/>
          <w:szCs w:val="21"/>
          <w:highlight w:val="none"/>
        </w:rPr>
        <w:t>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投标人应承担其参加投标所涉及的一切费用，不管投标结果如何，采购人对这些费用不负任何责任。</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61" w:name="_Toc26037"/>
      <w:bookmarkStart w:id="62" w:name="_Toc15659"/>
      <w:r>
        <w:rPr>
          <w:rFonts w:hint="eastAsia" w:ascii="宋体" w:hAnsi="宋体" w:eastAsia="宋体" w:cs="宋体"/>
          <w:b/>
          <w:color w:val="auto"/>
          <w:sz w:val="24"/>
          <w:szCs w:val="24"/>
          <w:highlight w:val="none"/>
        </w:rPr>
        <w:t>投标文件的无效处理</w:t>
      </w:r>
      <w:bookmarkEnd w:id="61"/>
      <w:bookmarkEnd w:id="62"/>
    </w:p>
    <w:p>
      <w:pPr>
        <w:spacing w:line="360" w:lineRule="auto"/>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无效标</w:t>
      </w:r>
      <w:r>
        <w:rPr>
          <w:rFonts w:hint="eastAsia" w:ascii="宋体" w:hAnsi="宋体" w:eastAsia="宋体" w:cs="宋体"/>
          <w:color w:val="auto"/>
          <w:sz w:val="21"/>
          <w:szCs w:val="21"/>
          <w:highlight w:val="none"/>
        </w:rPr>
        <w:t>规定的情形的，投标无效</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63" w:name="_Toc15591"/>
      <w:bookmarkStart w:id="64" w:name="_Toc5343"/>
      <w:r>
        <w:rPr>
          <w:rFonts w:hint="eastAsia" w:ascii="宋体" w:hAnsi="宋体" w:eastAsia="宋体" w:cs="宋体"/>
          <w:b/>
          <w:color w:val="auto"/>
          <w:sz w:val="24"/>
          <w:szCs w:val="24"/>
          <w:highlight w:val="none"/>
        </w:rPr>
        <w:t>投标有效期</w:t>
      </w:r>
      <w:bookmarkEnd w:id="63"/>
      <w:bookmarkEnd w:id="64"/>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投标有效期为从提交投标文件的截止之日起90天。</w:t>
      </w:r>
      <w:r>
        <w:rPr>
          <w:rFonts w:hint="eastAsia" w:ascii="宋体" w:hAnsi="宋体" w:eastAsia="宋体" w:cs="宋体"/>
          <w:b w:val="0"/>
          <w:bCs w:val="0"/>
          <w:color w:val="auto"/>
          <w:sz w:val="21"/>
          <w:szCs w:val="21"/>
          <w:highlight w:val="none"/>
        </w:rPr>
        <w:t>投标人的投标文件中承诺的投标有效期少于招标文件中载明的投标有效期的，投标无效。</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投标文件合格投递后，自投标截止日期起，在投标有效期内有效。</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w:t>
      </w:r>
      <w:r>
        <w:rPr>
          <w:rFonts w:hint="eastAsia" w:ascii="宋体" w:hAnsi="宋体" w:eastAsia="宋体" w:cs="宋体"/>
          <w:b/>
          <w:bCs/>
          <w:color w:val="auto"/>
          <w:sz w:val="21"/>
          <w:szCs w:val="21"/>
          <w:highlight w:val="none"/>
        </w:rPr>
        <w:t>▲投标人同意延长的，不得要求或被允许修改其投标文件，投标人拒绝延长的，其投标无效。</w:t>
      </w:r>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本政府采购项目不允许转包。</w:t>
      </w:r>
    </w:p>
    <w:p>
      <w:pPr>
        <w:pStyle w:val="106"/>
        <w:numPr>
          <w:ilvl w:val="0"/>
          <w:numId w:val="0"/>
        </w:numPr>
        <w:spacing w:before="0"/>
        <w:rPr>
          <w:rFonts w:hint="eastAsia" w:ascii="宋体" w:hAnsi="宋体" w:cs="宋体"/>
          <w:i w:val="0"/>
          <w:iCs w:val="0"/>
          <w:color w:val="auto"/>
          <w:sz w:val="20"/>
          <w:szCs w:val="20"/>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65" w:name="_Toc30964"/>
      <w:bookmarkStart w:id="66" w:name="_Toc26269"/>
      <w:bookmarkStart w:id="67" w:name="_Toc20957"/>
      <w:r>
        <w:rPr>
          <w:rFonts w:hint="eastAsia" w:ascii="宋体" w:hAnsi="宋体" w:eastAsia="宋体" w:cs="宋体"/>
          <w:b/>
          <w:color w:val="auto"/>
          <w:sz w:val="28"/>
          <w:szCs w:val="28"/>
          <w:highlight w:val="none"/>
        </w:rPr>
        <w:t>四、开标、资格审查与信用信息查询</w:t>
      </w:r>
      <w:bookmarkEnd w:id="65"/>
      <w:bookmarkEnd w:id="66"/>
      <w:bookmarkEnd w:id="67"/>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68" w:name="_Toc14382"/>
      <w:bookmarkStart w:id="69" w:name="_Toc9645"/>
      <w:r>
        <w:rPr>
          <w:rFonts w:hint="eastAsia" w:ascii="宋体" w:hAnsi="宋体" w:eastAsia="宋体" w:cs="宋体"/>
          <w:b/>
          <w:color w:val="auto"/>
          <w:sz w:val="24"/>
          <w:szCs w:val="24"/>
          <w:highlight w:val="none"/>
        </w:rPr>
        <w:t>开标</w:t>
      </w:r>
      <w:bookmarkEnd w:id="68"/>
      <w:bookmarkEnd w:id="69"/>
      <w:r>
        <w:rPr>
          <w:rFonts w:hint="eastAsia" w:ascii="宋体" w:hAnsi="宋体" w:eastAsia="宋体" w:cs="宋体"/>
          <w:b/>
          <w:color w:val="auto"/>
          <w:sz w:val="24"/>
          <w:szCs w:val="24"/>
          <w:highlight w:val="none"/>
        </w:rPr>
        <w:t xml:space="preserve"> </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w:t>
      </w:r>
      <w:r>
        <w:rPr>
          <w:rFonts w:hint="eastAsia" w:ascii="宋体" w:hAnsi="宋体" w:eastAsia="宋体" w:cs="宋体"/>
          <w:color w:val="auto"/>
          <w:sz w:val="21"/>
          <w:szCs w:val="21"/>
          <w:highlight w:val="none"/>
          <w:lang w:eastAsia="zh-CN"/>
        </w:rPr>
        <w:t>时间内</w:t>
      </w:r>
      <w:r>
        <w:rPr>
          <w:rFonts w:hint="eastAsia" w:ascii="宋体" w:hAnsi="宋体" w:eastAsia="宋体" w:cs="宋体"/>
          <w:color w:val="auto"/>
          <w:sz w:val="21"/>
          <w:szCs w:val="21"/>
          <w:highlight w:val="none"/>
        </w:rPr>
        <w:t>完成在线解密。</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color w:val="auto"/>
          <w:sz w:val="21"/>
          <w:szCs w:val="21"/>
          <w:highlight w:val="none"/>
        </w:rPr>
        <w:t>投标文件未按时解密，视为投标文件撤回。</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b/>
          <w:bCs/>
          <w:i w:val="0"/>
          <w:iCs w:val="0"/>
          <w:color w:val="auto"/>
          <w:sz w:val="21"/>
          <w:szCs w:val="21"/>
          <w:highlight w:val="none"/>
          <w:lang w:eastAsia="zh-CN"/>
        </w:rPr>
      </w:pPr>
      <w:r>
        <w:rPr>
          <w:rFonts w:hint="eastAsia"/>
          <w:b/>
          <w:bCs/>
          <w:color w:val="auto"/>
          <w:sz w:val="21"/>
          <w:szCs w:val="21"/>
          <w:highlight w:val="none"/>
        </w:rPr>
        <w:t>开启投标文件后，采购</w:t>
      </w:r>
      <w:r>
        <w:rPr>
          <w:rFonts w:hint="eastAsia"/>
          <w:b/>
          <w:bCs/>
          <w:color w:val="auto"/>
          <w:sz w:val="21"/>
          <w:szCs w:val="21"/>
          <w:highlight w:val="none"/>
          <w:lang w:val="en-US" w:eastAsia="zh-CN"/>
        </w:rPr>
        <w:t>代理</w:t>
      </w:r>
      <w:r>
        <w:rPr>
          <w:rFonts w:hint="eastAsia"/>
          <w:b/>
          <w:bCs/>
          <w:color w:val="auto"/>
          <w:sz w:val="21"/>
          <w:szCs w:val="21"/>
          <w:highlight w:val="none"/>
        </w:rPr>
        <w:t>机构通过电子交易平台发出询标函，投标人在规定的时间内真实完整填写《政府采购活动现场确认声明书》（按附件格式），通过电子交易平台提交《政府采购活动现场确认声明书》并电子签章。</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70" w:name="_Toc17559"/>
      <w:bookmarkStart w:id="71" w:name="_Toc14212"/>
      <w:r>
        <w:rPr>
          <w:rFonts w:hint="eastAsia" w:ascii="宋体" w:hAnsi="宋体" w:eastAsia="宋体" w:cs="宋体"/>
          <w:b/>
          <w:color w:val="auto"/>
          <w:sz w:val="24"/>
          <w:szCs w:val="24"/>
          <w:highlight w:val="none"/>
        </w:rPr>
        <w:t>资格审查</w:t>
      </w:r>
      <w:bookmarkEnd w:id="70"/>
      <w:bookmarkEnd w:id="71"/>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将依据法律法规和招标文件的规定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对投标人的资格进行审查。</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投标人未按照招标文件要求提供与</w:t>
      </w:r>
      <w:r>
        <w:rPr>
          <w:rFonts w:hint="eastAsia" w:ascii="宋体" w:hAnsi="宋体" w:eastAsia="宋体" w:cs="宋体"/>
          <w:b/>
          <w:bCs/>
          <w:color w:val="auto"/>
          <w:sz w:val="21"/>
          <w:szCs w:val="21"/>
          <w:highlight w:val="none"/>
        </w:rPr>
        <w:t>资格条件相应的</w:t>
      </w:r>
      <w:r>
        <w:rPr>
          <w:rFonts w:hint="eastAsia" w:ascii="宋体" w:hAnsi="宋体" w:eastAsia="宋体" w:cs="宋体"/>
          <w:b/>
          <w:bCs/>
          <w:color w:val="auto"/>
          <w:kern w:val="0"/>
          <w:sz w:val="21"/>
          <w:szCs w:val="21"/>
          <w:highlight w:val="none"/>
        </w:rPr>
        <w:t>有效资格证明材料的，视为</w:t>
      </w:r>
      <w:r>
        <w:rPr>
          <w:rFonts w:hint="eastAsia" w:ascii="宋体" w:hAnsi="宋体" w:eastAsia="宋体" w:cs="宋体"/>
          <w:b/>
          <w:bCs/>
          <w:color w:val="auto"/>
          <w:sz w:val="21"/>
          <w:szCs w:val="21"/>
          <w:highlight w:val="none"/>
        </w:rPr>
        <w:t>投标人不具备招标文件中规定的资格要求，其投标无效。</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合格投标人不足3家的，不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评标。</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单位负责人（指法定代表人或者法律、行政法规规定代表单位行使职权的主要负责人）为同一人或者存在直接控股、管理关系的不同投标人不得分别参加同一合同项下的采购活动。</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为本项目提供过整体设计、规范编制或者项目管理、监理、检测等服务的投标人，不得再参加该采购项目的其他采购活动。</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以联合体形式参加政府采购活动的，联合体各方不得再单独参加或者与其他投标人另外组成联合体参加同一合同项下的政府采购活动。</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72" w:name="_Toc24953"/>
      <w:bookmarkStart w:id="73" w:name="_Toc17444"/>
      <w:r>
        <w:rPr>
          <w:rFonts w:hint="eastAsia" w:ascii="宋体" w:hAnsi="宋体" w:eastAsia="宋体" w:cs="宋体"/>
          <w:b/>
          <w:color w:val="auto"/>
          <w:sz w:val="24"/>
          <w:szCs w:val="24"/>
          <w:highlight w:val="none"/>
        </w:rPr>
        <w:t>信用信息查询</w:t>
      </w:r>
      <w:bookmarkEnd w:id="72"/>
      <w:bookmarkEnd w:id="73"/>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信用信息查询渠道及截止时间：</w:t>
      </w:r>
      <w:r>
        <w:rPr>
          <w:rFonts w:hint="eastAsia" w:ascii="宋体" w:hAnsi="宋体" w:eastAsia="宋体" w:cs="宋体"/>
          <w:color w:val="auto"/>
          <w:kern w:val="0"/>
          <w:sz w:val="21"/>
          <w:szCs w:val="21"/>
          <w:highlight w:val="none"/>
          <w:lang w:val="en-US" w:eastAsia="zh-CN"/>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在资格审查时</w:t>
      </w:r>
      <w:r>
        <w:rPr>
          <w:rFonts w:hint="eastAsia" w:ascii="宋体" w:hAnsi="宋体" w:eastAsia="宋体" w:cs="宋体"/>
          <w:color w:val="auto"/>
          <w:kern w:val="0"/>
          <w:sz w:val="21"/>
          <w:szCs w:val="21"/>
          <w:highlight w:val="none"/>
        </w:rPr>
        <w:t>通过“信用中国”网站(www.creditchina.gov.cn)、中国政府采购网(www.ccgp.gov.cn)渠道查询投标人</w:t>
      </w:r>
      <w:r>
        <w:rPr>
          <w:rFonts w:hint="eastAsia" w:ascii="宋体" w:hAnsi="宋体" w:eastAsia="宋体" w:cs="宋体"/>
          <w:color w:val="auto"/>
          <w:kern w:val="0"/>
          <w:sz w:val="21"/>
          <w:szCs w:val="21"/>
          <w:highlight w:val="none"/>
          <w:lang w:eastAsia="zh-CN"/>
        </w:rPr>
        <w:t>接收资格审查时</w:t>
      </w:r>
      <w:r>
        <w:rPr>
          <w:rFonts w:hint="eastAsia" w:ascii="宋体" w:hAnsi="宋体" w:eastAsia="宋体" w:cs="宋体"/>
          <w:color w:val="auto"/>
          <w:kern w:val="0"/>
          <w:sz w:val="21"/>
          <w:szCs w:val="21"/>
          <w:highlight w:val="none"/>
        </w:rPr>
        <w:t>的信用记录。</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信用信息查询记录和证据留存的具体方式：现场查询的投标人的信用记录、查询结果经确认后将与采购文件一起存档。</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信用信息的使用规则：经查询列入失信被执行人名单、重大税收违法案件当事人名单、政府采购严重违法失信行为记录名单的投标人将被拒绝参与政府采购活动。</w:t>
      </w:r>
    </w:p>
    <w:p>
      <w:pPr>
        <w:pageBreakBefore w:val="0"/>
        <w:numPr>
          <w:ilvl w:val="1"/>
          <w:numId w:val="4"/>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pPr>
        <w:pStyle w:val="106"/>
        <w:spacing w:before="0"/>
        <w:ind w:firstLine="0" w:firstLineChars="0"/>
        <w:rPr>
          <w:rFonts w:hint="eastAsia" w:ascii="宋体" w:hAnsi="宋体" w:eastAsia="宋体" w:cs="宋体"/>
          <w:color w:val="auto"/>
          <w:kern w:val="0"/>
          <w:sz w:val="21"/>
          <w:szCs w:val="21"/>
          <w:highlight w:val="none"/>
        </w:rPr>
      </w:pP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74" w:name="_Toc4103"/>
      <w:bookmarkStart w:id="75" w:name="_Toc992"/>
      <w:bookmarkStart w:id="76" w:name="_Toc31053"/>
      <w:r>
        <w:rPr>
          <w:rFonts w:hint="eastAsia" w:ascii="宋体" w:hAnsi="宋体" w:eastAsia="宋体" w:cs="宋体"/>
          <w:b/>
          <w:color w:val="auto"/>
          <w:sz w:val="28"/>
          <w:szCs w:val="28"/>
          <w:highlight w:val="none"/>
        </w:rPr>
        <w:t>五、评标</w:t>
      </w:r>
      <w:bookmarkEnd w:id="74"/>
      <w:bookmarkEnd w:id="75"/>
      <w:bookmarkEnd w:id="76"/>
    </w:p>
    <w:p>
      <w:pPr>
        <w:keepNext w:val="0"/>
        <w:keepLines w:val="0"/>
        <w:pageBreakBefore w:val="0"/>
        <w:widowControl w:val="0"/>
        <w:numPr>
          <w:ilvl w:val="0"/>
          <w:numId w:val="4"/>
        </w:numPr>
        <w:tabs>
          <w:tab w:val="left" w:pos="840"/>
          <w:tab w:val="clear" w:pos="956"/>
        </w:tabs>
        <w:kinsoku/>
        <w:wordWrap/>
        <w:overflowPunct/>
        <w:topLinePunct w:val="0"/>
        <w:autoSpaceDE/>
        <w:autoSpaceDN/>
        <w:bidi w:val="0"/>
        <w:adjustRightInd/>
        <w:snapToGrid w:val="0"/>
        <w:spacing w:line="360" w:lineRule="auto"/>
        <w:ind w:left="859" w:leftChars="51" w:hanging="752" w:hangingChars="312"/>
        <w:textAlignment w:val="auto"/>
        <w:outlineLvl w:val="1"/>
        <w:rPr>
          <w:rFonts w:hint="eastAsia" w:ascii="宋体" w:hAnsi="宋体" w:eastAsia="宋体" w:cs="宋体"/>
          <w:b/>
          <w:color w:val="auto"/>
          <w:sz w:val="24"/>
          <w:szCs w:val="24"/>
          <w:highlight w:val="none"/>
          <w:lang w:val="en-US" w:eastAsia="zh-CN"/>
        </w:rPr>
      </w:pPr>
      <w:bookmarkStart w:id="77" w:name="_Toc16307"/>
      <w:bookmarkStart w:id="78" w:name="_Toc6115"/>
      <w:bookmarkStart w:id="79" w:name="_Toc91899903"/>
      <w:r>
        <w:rPr>
          <w:rFonts w:hint="eastAsia" w:ascii="宋体" w:hAnsi="宋体" w:eastAsia="宋体" w:cs="宋体"/>
          <w:b/>
          <w:color w:val="auto"/>
          <w:sz w:val="24"/>
          <w:szCs w:val="24"/>
          <w:highlight w:val="none"/>
          <w:lang w:val="en-US" w:eastAsia="zh-CN"/>
        </w:rPr>
        <w:t>评标委员会</w:t>
      </w:r>
      <w:bookmarkEnd w:id="77"/>
      <w:bookmarkEnd w:id="78"/>
    </w:p>
    <w:p>
      <w:pPr>
        <w:pageBreakBefore w:val="0"/>
        <w:numPr>
          <w:ilvl w:val="1"/>
          <w:numId w:val="4"/>
        </w:numPr>
        <w:kinsoku/>
        <w:wordWrap/>
        <w:overflowPunct/>
        <w:topLinePunct w:val="0"/>
        <w:autoSpaceDE/>
        <w:autoSpaceDN/>
        <w:bidi w:val="0"/>
        <w:adjustRightInd/>
        <w:snapToGrid w:val="0"/>
        <w:spacing w:line="360" w:lineRule="auto"/>
        <w:ind w:left="762" w:leftChars="51" w:hanging="655" w:hangingChars="312"/>
        <w:textAlignment w:val="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评标委员会组成：</w:t>
      </w:r>
      <w:r>
        <w:rPr>
          <w:rFonts w:hint="eastAsia" w:ascii="宋体" w:hAnsi="宋体" w:eastAsia="宋体" w:cs="宋体"/>
          <w:bCs/>
          <w:color w:val="auto"/>
          <w:sz w:val="21"/>
          <w:szCs w:val="21"/>
          <w:highlight w:val="none"/>
        </w:rPr>
        <w:t>评标委员会由采购人代表和评审专家组成，成员人数</w:t>
      </w:r>
      <w:r>
        <w:rPr>
          <w:rFonts w:hint="eastAsia" w:ascii="宋体" w:hAnsi="宋体" w:eastAsia="宋体" w:cs="宋体"/>
          <w:bCs/>
          <w:color w:val="auto"/>
          <w:sz w:val="21"/>
          <w:szCs w:val="21"/>
          <w:highlight w:val="none"/>
          <w:lang w:val="en-US" w:eastAsia="zh-CN"/>
        </w:rPr>
        <w:t>为5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人以上单数，其中评审专家不得少于成员总数的三分之二。</w:t>
      </w:r>
    </w:p>
    <w:p>
      <w:pPr>
        <w:pageBreakBefore w:val="0"/>
        <w:numPr>
          <w:ilvl w:val="1"/>
          <w:numId w:val="4"/>
        </w:numPr>
        <w:kinsoku/>
        <w:wordWrap/>
        <w:overflowPunct/>
        <w:topLinePunct w:val="0"/>
        <w:autoSpaceDE/>
        <w:autoSpaceDN/>
        <w:bidi w:val="0"/>
        <w:adjustRightInd/>
        <w:snapToGrid w:val="0"/>
        <w:spacing w:line="360" w:lineRule="auto"/>
        <w:ind w:left="762" w:leftChars="51" w:hanging="655" w:hangingChars="31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评标委员会负责具体评标事务，并独立履行下列职责：</w:t>
      </w:r>
    </w:p>
    <w:p>
      <w:pPr>
        <w:spacing w:line="360" w:lineRule="auto"/>
        <w:ind w:left="760" w:leftChars="362" w:firstLine="77" w:firstLineChars="3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）审查、评价投标文件是否符合招标文件的商务、技术等实质性要求；</w:t>
      </w:r>
    </w:p>
    <w:p>
      <w:pPr>
        <w:spacing w:line="360" w:lineRule="auto"/>
        <w:ind w:left="760" w:leftChars="362" w:firstLine="77" w:firstLineChars="3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）要求投标人对投标文件有关事项作出澄清或者说明；</w:t>
      </w:r>
    </w:p>
    <w:p>
      <w:pPr>
        <w:spacing w:line="360" w:lineRule="auto"/>
        <w:ind w:left="760" w:leftChars="362" w:firstLine="77" w:firstLineChars="3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）对投标文件进行比较和评价；</w:t>
      </w:r>
    </w:p>
    <w:p>
      <w:pPr>
        <w:spacing w:line="360" w:lineRule="auto"/>
        <w:ind w:left="760" w:leftChars="362" w:firstLine="77" w:firstLineChars="3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rPr>
        <w:t>）确定中标候选人名单，以及根据采购人委托直接确定中标人；</w:t>
      </w:r>
    </w:p>
    <w:p>
      <w:pPr>
        <w:spacing w:line="360" w:lineRule="auto"/>
        <w:ind w:left="760" w:leftChars="362" w:firstLine="77" w:firstLineChars="3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）向采购人、采购代理机构或者有关部门报告评标中发现的违法行为。</w:t>
      </w:r>
    </w:p>
    <w:p>
      <w:pPr>
        <w:pageBreakBefore w:val="0"/>
        <w:numPr>
          <w:ilvl w:val="1"/>
          <w:numId w:val="4"/>
        </w:numPr>
        <w:kinsoku/>
        <w:wordWrap/>
        <w:overflowPunct/>
        <w:topLinePunct w:val="0"/>
        <w:autoSpaceDE/>
        <w:autoSpaceDN/>
        <w:bidi w:val="0"/>
        <w:adjustRightInd/>
        <w:snapToGrid w:val="0"/>
        <w:spacing w:line="360" w:lineRule="auto"/>
        <w:ind w:left="762" w:leftChars="51" w:hanging="655" w:hangingChars="312"/>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评标纪律：</w:t>
      </w:r>
    </w:p>
    <w:p>
      <w:pPr>
        <w:numPr>
          <w:ilvl w:val="0"/>
          <w:numId w:val="5"/>
        </w:num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评标委员会成员要严格遵守评审工作纪律、保密、回避等相关规定，依法独立履行评审职责，客观、公正、审慎参与评审工作。</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（2）与投标人或评标委员会其他成员存在利害关系的，要主动回避，自觉签订《政府采购评审人员廉洁自律承诺书》。</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（3）评标委员会成员不得私下接触联系投标人，不得接受或参加投标人或与投标有关的单位、组织或个人的有碍公务的宴请、娱乐活动等，不得以任何形式弄虚作假。</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（5）评标委员会成员不得将自身意见强加给其他评标委员会成员，或私下相互串通压制其他评标委员会成员的意见。</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（6）评标委员会成员不得征询采购人对投标人的倾向性意向，不得接受任何单位、个人明示或暗示提出的倾向或排斥特定投标人的要求。</w:t>
      </w:r>
    </w:p>
    <w:p>
      <w:pPr>
        <w:spacing w:line="360" w:lineRule="auto"/>
        <w:ind w:left="839" w:leftChars="398" w:hanging="3"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（7）严格遵守政府采购评审工作纪律，不得向外泄露评审情况及涉及投标人商业秘密的信息。</w:t>
      </w:r>
    </w:p>
    <w:p>
      <w:pPr>
        <w:spacing w:line="360" w:lineRule="auto"/>
        <w:ind w:left="839" w:leftChars="398" w:hanging="3"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（8）评标结束后，各评标人员应将全部资料整理上交招标采购单位，严禁将评标过程中的任何资料带出评标现场向投标人或其他单位提供。</w:t>
      </w:r>
    </w:p>
    <w:p>
      <w:pPr>
        <w:pageBreakBefore w:val="0"/>
        <w:numPr>
          <w:ilvl w:val="1"/>
          <w:numId w:val="4"/>
        </w:numPr>
        <w:kinsoku/>
        <w:wordWrap/>
        <w:overflowPunct/>
        <w:topLinePunct w:val="0"/>
        <w:autoSpaceDE/>
        <w:autoSpaceDN/>
        <w:bidi w:val="0"/>
        <w:adjustRightInd/>
        <w:snapToGrid w:val="0"/>
        <w:spacing w:line="360" w:lineRule="auto"/>
        <w:ind w:left="819" w:leftChars="50" w:hanging="714" w:hangingChars="34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rPr>
        <w:t>详见招标文件第</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部分评标办法。</w:t>
      </w:r>
    </w:p>
    <w:p>
      <w:pPr>
        <w:pageBreakBefore w:val="0"/>
        <w:numPr>
          <w:ilvl w:val="1"/>
          <w:numId w:val="4"/>
        </w:numPr>
        <w:kinsoku/>
        <w:wordWrap/>
        <w:overflowPunct/>
        <w:topLinePunct w:val="0"/>
        <w:autoSpaceDE/>
        <w:autoSpaceDN/>
        <w:bidi w:val="0"/>
        <w:adjustRightInd/>
        <w:snapToGrid w:val="0"/>
        <w:spacing w:line="360" w:lineRule="auto"/>
        <w:ind w:left="819" w:leftChars="50" w:hanging="714" w:hangingChars="34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保密义务：</w:t>
      </w:r>
      <w:r>
        <w:rPr>
          <w:rFonts w:hint="eastAsia" w:ascii="宋体" w:hAnsi="宋体" w:eastAsia="宋体" w:cs="宋体"/>
          <w:color w:val="auto"/>
          <w:sz w:val="21"/>
          <w:szCs w:val="21"/>
          <w:highlight w:val="none"/>
        </w:rPr>
        <w:t>参与采购活动的所有各方，对在参与投标过程中获悉的国家、商业和技术秘密以及其它依法应当保密的内容，均负有保密义务，违者应对由此造成的后果承担全部法律责任。</w:t>
      </w: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ind w:left="838" w:leftChars="104" w:hanging="620" w:firstLineChars="0"/>
        <w:jc w:val="center"/>
        <w:textAlignment w:val="auto"/>
        <w:outlineLvl w:val="0"/>
        <w:rPr>
          <w:rFonts w:hint="eastAsia" w:ascii="宋体" w:hAnsi="宋体" w:eastAsia="宋体" w:cs="宋体"/>
          <w:b/>
          <w:color w:val="auto"/>
          <w:sz w:val="28"/>
          <w:szCs w:val="28"/>
          <w:highlight w:val="none"/>
        </w:rPr>
      </w:pPr>
      <w:bookmarkStart w:id="80" w:name="_Toc14486"/>
      <w:bookmarkStart w:id="81" w:name="_Toc21596"/>
      <w:bookmarkStart w:id="82" w:name="_Toc2217"/>
      <w:r>
        <w:rPr>
          <w:rFonts w:hint="eastAsia" w:ascii="宋体" w:hAnsi="宋体" w:eastAsia="宋体" w:cs="宋体"/>
          <w:b/>
          <w:color w:val="auto"/>
          <w:sz w:val="28"/>
          <w:szCs w:val="28"/>
          <w:highlight w:val="none"/>
        </w:rPr>
        <w:t>六、定 标</w:t>
      </w:r>
      <w:bookmarkEnd w:id="80"/>
      <w:bookmarkEnd w:id="81"/>
      <w:bookmarkEnd w:id="82"/>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838" w:leftChars="104" w:hanging="620" w:firstLineChars="0"/>
        <w:textAlignment w:val="auto"/>
        <w:outlineLvl w:val="1"/>
        <w:rPr>
          <w:rFonts w:hint="eastAsia" w:ascii="宋体" w:hAnsi="宋体" w:eastAsia="宋体" w:cs="宋体"/>
          <w:b/>
          <w:color w:val="auto"/>
          <w:sz w:val="24"/>
          <w:szCs w:val="24"/>
          <w:highlight w:val="none"/>
        </w:rPr>
      </w:pPr>
      <w:bookmarkStart w:id="83" w:name="_Toc7924"/>
      <w:bookmarkStart w:id="84" w:name="_Toc18569"/>
      <w:r>
        <w:rPr>
          <w:rFonts w:hint="eastAsia" w:ascii="宋体" w:hAnsi="宋体" w:eastAsia="宋体" w:cs="宋体"/>
          <w:b/>
          <w:color w:val="auto"/>
          <w:sz w:val="24"/>
          <w:szCs w:val="24"/>
          <w:highlight w:val="none"/>
        </w:rPr>
        <w:t>确定</w:t>
      </w:r>
      <w:r>
        <w:rPr>
          <w:rFonts w:hint="eastAsia" w:ascii="宋体" w:hAnsi="宋体" w:eastAsia="宋体" w:cs="宋体"/>
          <w:b/>
          <w:color w:val="auto"/>
          <w:sz w:val="24"/>
          <w:szCs w:val="24"/>
          <w:highlight w:val="none"/>
          <w:lang w:eastAsia="zh-CN"/>
        </w:rPr>
        <w:t>中标人</w:t>
      </w:r>
      <w:bookmarkEnd w:id="83"/>
      <w:bookmarkEnd w:id="84"/>
    </w:p>
    <w:p>
      <w:pPr>
        <w:pStyle w:val="106"/>
        <w:snapToGrid w:val="0"/>
        <w:spacing w:before="0" w:line="360" w:lineRule="auto"/>
        <w:ind w:left="842" w:leftChars="401" w:firstLine="10" w:firstLineChars="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采购人将自收到评审报告之日起5个工作日内通过电子交易平台在评审报告推荐的中标候选人中按顺序确定</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838" w:leftChars="104" w:hanging="620" w:firstLineChars="0"/>
        <w:textAlignment w:val="auto"/>
        <w:outlineLvl w:val="1"/>
        <w:rPr>
          <w:rFonts w:hint="eastAsia" w:ascii="宋体" w:hAnsi="宋体" w:eastAsia="宋体" w:cs="宋体"/>
          <w:b/>
          <w:color w:val="auto"/>
          <w:sz w:val="24"/>
          <w:szCs w:val="24"/>
          <w:highlight w:val="none"/>
        </w:rPr>
      </w:pPr>
      <w:bookmarkStart w:id="85" w:name="_Toc27084"/>
      <w:bookmarkStart w:id="86" w:name="_Toc9497"/>
      <w:r>
        <w:rPr>
          <w:rFonts w:hint="eastAsia" w:ascii="宋体" w:hAnsi="宋体" w:eastAsia="宋体" w:cs="宋体"/>
          <w:b/>
          <w:color w:val="auto"/>
          <w:sz w:val="24"/>
          <w:szCs w:val="24"/>
          <w:highlight w:val="none"/>
        </w:rPr>
        <w:t>中标通知</w:t>
      </w:r>
      <w:r>
        <w:rPr>
          <w:rFonts w:hint="eastAsia" w:ascii="宋体" w:hAnsi="宋体" w:eastAsia="宋体" w:cs="宋体"/>
          <w:b/>
          <w:color w:val="auto"/>
          <w:sz w:val="24"/>
          <w:szCs w:val="24"/>
          <w:highlight w:val="none"/>
          <w:lang w:eastAsia="zh-CN"/>
        </w:rPr>
        <w:t>书</w:t>
      </w:r>
      <w:r>
        <w:rPr>
          <w:rFonts w:hint="eastAsia" w:ascii="宋体" w:hAnsi="宋体" w:eastAsia="宋体" w:cs="宋体"/>
          <w:b/>
          <w:color w:val="auto"/>
          <w:sz w:val="24"/>
          <w:szCs w:val="24"/>
          <w:highlight w:val="none"/>
        </w:rPr>
        <w:t>与中标结果公告</w:t>
      </w:r>
      <w:bookmarkEnd w:id="85"/>
      <w:bookmarkEnd w:id="86"/>
    </w:p>
    <w:p>
      <w:pPr>
        <w:pageBreakBefore w:val="0"/>
        <w:numPr>
          <w:ilvl w:val="1"/>
          <w:numId w:val="4"/>
        </w:numPr>
        <w:kinsoku/>
        <w:wordWrap/>
        <w:overflowPunct/>
        <w:topLinePunct w:val="0"/>
        <w:autoSpaceDE/>
        <w:autoSpaceDN/>
        <w:bidi w:val="0"/>
        <w:adjustRightInd/>
        <w:snapToGrid w:val="0"/>
        <w:spacing w:line="360" w:lineRule="auto"/>
        <w:ind w:left="838" w:leftChars="104" w:hanging="6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可以以纸质形式</w:t>
      </w:r>
      <w:r>
        <w:rPr>
          <w:rFonts w:hint="eastAsia" w:ascii="宋体" w:hAnsi="宋体" w:eastAsia="宋体" w:cs="宋体"/>
          <w:color w:val="auto"/>
          <w:sz w:val="21"/>
          <w:szCs w:val="21"/>
          <w:highlight w:val="none"/>
          <w:lang w:val="en-US" w:eastAsia="zh-CN"/>
        </w:rPr>
        <w:t>发出</w:t>
      </w:r>
      <w:r>
        <w:rPr>
          <w:rFonts w:hint="eastAsia" w:ascii="宋体" w:hAnsi="宋体" w:eastAsia="宋体" w:cs="宋体"/>
          <w:color w:val="auto"/>
          <w:sz w:val="21"/>
          <w:szCs w:val="21"/>
          <w:highlight w:val="none"/>
        </w:rPr>
        <w:t>中标通知</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rPr>
        <w:t>。</w:t>
      </w:r>
    </w:p>
    <w:p>
      <w:pPr>
        <w:pageBreakBefore w:val="0"/>
        <w:numPr>
          <w:ilvl w:val="1"/>
          <w:numId w:val="4"/>
        </w:numPr>
        <w:kinsoku/>
        <w:wordWrap/>
        <w:overflowPunct/>
        <w:topLinePunct w:val="0"/>
        <w:autoSpaceDE/>
        <w:autoSpaceDN/>
        <w:bidi w:val="0"/>
        <w:adjustRightInd/>
        <w:snapToGrid w:val="0"/>
        <w:spacing w:line="360" w:lineRule="auto"/>
        <w:ind w:left="838" w:leftChars="104" w:hanging="6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中标公告期限</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评审专家名单</w:t>
      </w:r>
      <w:r>
        <w:rPr>
          <w:rFonts w:hint="eastAsia" w:ascii="宋体" w:hAnsi="宋体" w:eastAsia="宋体" w:cs="宋体"/>
          <w:color w:val="auto"/>
          <w:sz w:val="21"/>
          <w:szCs w:val="21"/>
          <w:highlight w:val="none"/>
          <w:lang w:val="en-US" w:eastAsia="zh-CN"/>
        </w:rPr>
        <w:t>等。</w:t>
      </w:r>
    </w:p>
    <w:p>
      <w:pPr>
        <w:pageBreakBefore w:val="0"/>
        <w:numPr>
          <w:ilvl w:val="1"/>
          <w:numId w:val="4"/>
        </w:numPr>
        <w:kinsoku/>
        <w:wordWrap/>
        <w:overflowPunct/>
        <w:topLinePunct w:val="0"/>
        <w:autoSpaceDE/>
        <w:autoSpaceDN/>
        <w:bidi w:val="0"/>
        <w:adjustRightInd/>
        <w:snapToGrid w:val="0"/>
        <w:spacing w:line="360" w:lineRule="auto"/>
        <w:ind w:left="838" w:leftChars="104" w:hanging="6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采购结果</w:t>
      </w:r>
      <w:r>
        <w:rPr>
          <w:rFonts w:hint="eastAsia" w:ascii="宋体" w:hAnsi="宋体" w:eastAsia="宋体" w:cs="宋体"/>
          <w:color w:val="auto"/>
          <w:sz w:val="21"/>
          <w:szCs w:val="21"/>
          <w:highlight w:val="none"/>
        </w:rPr>
        <w:t>公告期限为1个工作日。</w:t>
      </w: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87" w:name="_Toc21779"/>
      <w:bookmarkStart w:id="88" w:name="_Toc4060"/>
      <w:bookmarkStart w:id="89" w:name="_Toc28432"/>
      <w:r>
        <w:rPr>
          <w:rFonts w:hint="eastAsia" w:ascii="宋体" w:hAnsi="宋体" w:eastAsia="宋体" w:cs="宋体"/>
          <w:b/>
          <w:color w:val="auto"/>
          <w:sz w:val="28"/>
          <w:szCs w:val="28"/>
          <w:highlight w:val="none"/>
        </w:rPr>
        <w:t>七、合同授予</w:t>
      </w:r>
      <w:bookmarkEnd w:id="87"/>
      <w:bookmarkEnd w:id="88"/>
      <w:bookmarkEnd w:id="89"/>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90" w:name="_Toc18582"/>
      <w:bookmarkStart w:id="91" w:name="_Toc4456"/>
      <w:r>
        <w:rPr>
          <w:rFonts w:hint="eastAsia" w:ascii="宋体" w:hAnsi="宋体" w:eastAsia="宋体" w:cs="宋体"/>
          <w:b/>
          <w:color w:val="auto"/>
          <w:sz w:val="24"/>
          <w:szCs w:val="24"/>
          <w:highlight w:val="none"/>
        </w:rPr>
        <w:t>合同主要条款详见第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部分拟签订的合同文本。</w:t>
      </w:r>
      <w:bookmarkEnd w:id="90"/>
      <w:bookmarkEnd w:id="91"/>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rPr>
      </w:pPr>
      <w:bookmarkStart w:id="92" w:name="_Toc1114"/>
      <w:bookmarkStart w:id="93" w:name="_Toc10587"/>
      <w:r>
        <w:rPr>
          <w:rFonts w:hint="eastAsia" w:ascii="宋体" w:hAnsi="宋体" w:eastAsia="宋体" w:cs="宋体"/>
          <w:b/>
          <w:color w:val="auto"/>
          <w:sz w:val="24"/>
          <w:szCs w:val="24"/>
          <w:highlight w:val="none"/>
        </w:rPr>
        <w:t>合同的签订</w:t>
      </w:r>
      <w:bookmarkEnd w:id="92"/>
      <w:bookmarkEnd w:id="93"/>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采购人与中标人应当通过电子交易平台在中标通知书发出之日起三十日内，按照招标文件</w:t>
      </w:r>
      <w:r>
        <w:rPr>
          <w:rFonts w:hint="eastAsia" w:ascii="宋体" w:hAnsi="宋体" w:eastAsia="宋体" w:cs="宋体"/>
          <w:color w:val="auto"/>
          <w:kern w:val="0"/>
          <w:sz w:val="21"/>
          <w:szCs w:val="21"/>
          <w:highlight w:val="none"/>
          <w:lang w:eastAsia="zh-CN"/>
        </w:rPr>
        <w:t>和中标人投标文件等</w:t>
      </w:r>
      <w:r>
        <w:rPr>
          <w:rFonts w:hint="eastAsia" w:ascii="宋体" w:hAnsi="宋体" w:eastAsia="宋体" w:cs="宋体"/>
          <w:color w:val="auto"/>
          <w:kern w:val="0"/>
          <w:sz w:val="21"/>
          <w:szCs w:val="21"/>
          <w:highlight w:val="none"/>
        </w:rPr>
        <w:t>确定的事项签订政府采购合同，并在合同签订之日起2个工作日内依法发布合同公告。</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，也可以重新开展政府采购活动。</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鼓励有条件的</w:t>
      </w:r>
      <w:r>
        <w:rPr>
          <w:rFonts w:hint="eastAsia" w:ascii="宋体" w:hAnsi="宋体" w:eastAsia="宋体" w:cs="宋体"/>
          <w:color w:val="auto"/>
          <w:sz w:val="21"/>
          <w:szCs w:val="21"/>
          <w:highlight w:val="none"/>
        </w:rPr>
        <w:t>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通过政府采购电子交易平台在线签订</w:t>
      </w:r>
      <w:r>
        <w:rPr>
          <w:rFonts w:hint="eastAsia" w:ascii="宋体" w:hAnsi="宋体" w:eastAsia="宋体" w:cs="宋体"/>
          <w:color w:val="auto"/>
          <w:sz w:val="21"/>
          <w:szCs w:val="21"/>
          <w:highlight w:val="none"/>
          <w:lang w:val="en-US" w:eastAsia="zh-CN"/>
        </w:rPr>
        <w:t>政府采购合同</w:t>
      </w:r>
      <w:r>
        <w:rPr>
          <w:rFonts w:hint="eastAsia" w:ascii="宋体" w:hAnsi="宋体" w:eastAsia="宋体" w:cs="宋体"/>
          <w:color w:val="auto"/>
          <w:sz w:val="21"/>
          <w:szCs w:val="21"/>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sz w:val="24"/>
          <w:szCs w:val="24"/>
          <w:highlight w:val="none"/>
          <w:lang w:eastAsia="zh-CN"/>
        </w:rPr>
      </w:pPr>
      <w:bookmarkStart w:id="94" w:name="_Toc9600"/>
      <w:bookmarkStart w:id="95" w:name="_Toc11047"/>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和预付款</w:t>
      </w:r>
      <w:bookmarkEnd w:id="94"/>
      <w:bookmarkEnd w:id="95"/>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kern w:val="2"/>
          <w:sz w:val="21"/>
          <w:szCs w:val="21"/>
          <w:highlight w:val="none"/>
        </w:rPr>
        <w:t>拟签订的合同文本要求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提交履约保证金的，</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供应商应当以支票、汇票、本票或者金融机构</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保险机构</w:t>
      </w:r>
      <w:r>
        <w:rPr>
          <w:rFonts w:hint="eastAsia" w:ascii="宋体" w:hAnsi="宋体" w:eastAsia="宋体" w:cs="宋体"/>
          <w:color w:val="auto"/>
          <w:kern w:val="2"/>
          <w:sz w:val="21"/>
          <w:szCs w:val="21"/>
          <w:highlight w:val="none"/>
        </w:rPr>
        <w:t>出具的保函等非现金形式提交</w:t>
      </w:r>
      <w:r>
        <w:rPr>
          <w:rFonts w:hint="eastAsia" w:ascii="宋体" w:hAnsi="宋体" w:eastAsia="宋体" w:cs="宋体"/>
          <w:color w:val="auto"/>
          <w:sz w:val="21"/>
          <w:szCs w:val="21"/>
          <w:highlight w:val="none"/>
        </w:rPr>
        <w:t>。鼓励和支持供应商以银行、保险公司出具的保函形式提供履约保证金。</w:t>
      </w:r>
      <w:r>
        <w:rPr>
          <w:rFonts w:hint="eastAsia" w:ascii="宋体" w:hAnsi="宋体" w:eastAsia="宋体" w:cs="宋体"/>
          <w:b w:val="0"/>
          <w:color w:val="auto"/>
          <w:sz w:val="21"/>
          <w:szCs w:val="21"/>
          <w:highlight w:val="none"/>
        </w:rPr>
        <w:t>采购人不得拒收履约保</w:t>
      </w:r>
      <w:r>
        <w:rPr>
          <w:rFonts w:hint="eastAsia" w:ascii="宋体" w:hAnsi="宋体" w:eastAsia="宋体" w:cs="宋体"/>
          <w:b w:val="0"/>
          <w:color w:val="auto"/>
          <w:sz w:val="21"/>
          <w:szCs w:val="21"/>
          <w:highlight w:val="none"/>
          <w:lang w:val="en-US" w:eastAsia="zh-CN"/>
        </w:rPr>
        <w:t>函。</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w:t>
      </w:r>
      <w:r>
        <w:rPr>
          <w:rFonts w:hint="eastAsia" w:ascii="宋体" w:hAnsi="宋体" w:eastAsia="宋体" w:cs="宋体"/>
          <w:b w:val="0"/>
          <w:bCs w:val="0"/>
          <w:snapToGrid/>
          <w:color w:val="auto"/>
          <w:kern w:val="2"/>
          <w:sz w:val="21"/>
          <w:szCs w:val="21"/>
          <w:highlight w:val="none"/>
          <w:lang w:val="en-US"/>
        </w:rPr>
        <w:t>可</w:t>
      </w:r>
      <w:r>
        <w:rPr>
          <w:rFonts w:hint="eastAsia" w:ascii="宋体" w:hAnsi="宋体" w:eastAsia="宋体" w:cs="宋体"/>
          <w:b w:val="0"/>
          <w:bCs w:val="0"/>
          <w:snapToGrid/>
          <w:color w:val="auto"/>
          <w:kern w:val="2"/>
          <w:sz w:val="21"/>
          <w:szCs w:val="21"/>
          <w:highlight w:val="none"/>
          <w:lang w:val="en-US" w:eastAsia="zh-CN"/>
        </w:rPr>
        <w:t>以</w:t>
      </w:r>
      <w:r>
        <w:rPr>
          <w:rFonts w:hint="eastAsia" w:ascii="宋体" w:hAnsi="宋体" w:eastAsia="宋体" w:cs="宋体"/>
          <w:b w:val="0"/>
          <w:bCs w:val="0"/>
          <w:snapToGrid/>
          <w:color w:val="auto"/>
          <w:kern w:val="2"/>
          <w:sz w:val="21"/>
          <w:szCs w:val="21"/>
          <w:highlight w:val="none"/>
        </w:rPr>
        <w:t>登录政采云平台-</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金融服务</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我的项目</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已备案合同</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以保函形式提供：</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①供应商在合同列表选择需要投保的合同，点击[保函推荐]。②在弹框里查看推荐的保函</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产品，供应商自行选择保函产品，点击[立即申请]。③在弹框里填写保函申请信息。具体</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步骤：选择产品—填写供应商信息—选择中标项目—确认信息—等待保险/保函受理—确认</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bCs/>
          <w:snapToGrid w:val="0"/>
          <w:color w:val="auto"/>
          <w:kern w:val="28"/>
          <w:sz w:val="21"/>
          <w:szCs w:val="21"/>
          <w:highlight w:val="none"/>
          <w:lang w:val="en-US" w:eastAsia="zh-CN"/>
        </w:rPr>
      </w:pPr>
      <w:r>
        <w:rPr>
          <w:rFonts w:hint="eastAsia" w:ascii="宋体" w:hAnsi="宋体" w:eastAsia="宋体" w:cs="宋体"/>
          <w:b w:val="0"/>
          <w:bCs w:val="0"/>
          <w:snapToGrid/>
          <w:color w:val="auto"/>
          <w:kern w:val="2"/>
          <w:sz w:val="21"/>
          <w:szCs w:val="21"/>
          <w:highlight w:val="none"/>
        </w:rPr>
        <w:t>保单—支付保费—成功出单。政采云金融专线400-903-9583。</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lang w:val="en-US" w:eastAsia="zh-CN"/>
        </w:rPr>
        <w:t>预付款</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采购单位应当在政府采购合同中约定预付款，对中小企业合同预付款比例原则上不低于合</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同金额的40％，不高于合同金额的70%；项目分年安排预算的，每年预付款比例不低于项</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目年度计划支付资金额的40％，不高于合同金额的70%；采购项目实施以人工投入为主的，</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可适当降低预付款比例，但不得低于20%。对供应商为大型企业的项目或者以人工投入为</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主且实行按月定期结算支付款项的项目，预付款可低于上述比例或者不约定预付款。在签</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订合同时，供应商明确表示无需预付款或者主动要求降低预付款比例的，采购单位可不适</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用前述规定。采购单位根据项目特点、供应商诚信等因素，可以要求供应商提交银行、保</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险公司等金融机构出具的预付款保函或其他担保措施。政府采购预付款应在合同生效以及</w:t>
      </w:r>
    </w:p>
    <w:p>
      <w:pPr>
        <w:pStyle w:val="16"/>
        <w:keepNext w:val="0"/>
        <w:keepLines w:val="0"/>
        <w:pageBreakBefore w:val="0"/>
        <w:widowControl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具备实施条件后</w:t>
      </w:r>
      <w:r>
        <w:rPr>
          <w:rFonts w:hint="eastAsia" w:ascii="宋体" w:hAnsi="宋体" w:eastAsia="宋体" w:cs="宋体"/>
          <w:b w:val="0"/>
          <w:bCs w:val="0"/>
          <w:snapToGrid/>
          <w:color w:val="auto"/>
          <w:kern w:val="2"/>
          <w:sz w:val="21"/>
          <w:szCs w:val="21"/>
          <w:highlight w:val="none"/>
          <w:lang w:val="en-US" w:eastAsia="zh-CN"/>
        </w:rPr>
        <w:t>7</w:t>
      </w:r>
      <w:r>
        <w:rPr>
          <w:rFonts w:hint="eastAsia" w:ascii="宋体" w:hAnsi="宋体" w:eastAsia="宋体" w:cs="宋体"/>
          <w:b w:val="0"/>
          <w:bCs w:val="0"/>
          <w:snapToGrid/>
          <w:color w:val="auto"/>
          <w:kern w:val="2"/>
          <w:sz w:val="21"/>
          <w:szCs w:val="21"/>
          <w:highlight w:val="none"/>
        </w:rPr>
        <w:t>个工作日内支付。政府采购工程以及与工程建设有关的货物、服务，采</w:t>
      </w:r>
    </w:p>
    <w:p>
      <w:pPr>
        <w:pStyle w:val="16"/>
        <w:keepNext w:val="0"/>
        <w:keepLines w:val="0"/>
        <w:pageBreakBefore w:val="0"/>
        <w:widowControl w:val="0"/>
        <w:kinsoku/>
        <w:wordWrap/>
        <w:overflowPunct/>
        <w:topLinePunct w:val="0"/>
        <w:autoSpaceDE/>
        <w:autoSpaceDN/>
        <w:bidi w:val="0"/>
        <w:adjustRightInd/>
        <w:spacing w:after="0" w:line="360" w:lineRule="auto"/>
        <w:ind w:left="840" w:leftChars="400" w:firstLine="0" w:firstLineChars="0"/>
        <w:jc w:val="left"/>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用招标方式采购的，预付款从其相关规定。</w:t>
      </w:r>
    </w:p>
    <w:p>
      <w:pPr>
        <w:pStyle w:val="16"/>
        <w:keepNext w:val="0"/>
        <w:keepLines w:val="0"/>
        <w:pageBreakBefore w:val="0"/>
        <w:widowControl w:val="0"/>
        <w:kinsoku/>
        <w:wordWrap/>
        <w:overflowPunct/>
        <w:topLinePunct w:val="0"/>
        <w:autoSpaceDE/>
        <w:autoSpaceDN/>
        <w:bidi w:val="0"/>
        <w:adjustRightInd/>
        <w:spacing w:after="0" w:line="360" w:lineRule="auto"/>
        <w:ind w:left="840" w:leftChars="40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也可以</w:t>
      </w:r>
      <w:r>
        <w:rPr>
          <w:rFonts w:hint="eastAsia" w:ascii="宋体" w:hAnsi="宋体" w:eastAsia="宋体" w:cs="宋体"/>
          <w:b w:val="0"/>
          <w:bCs w:val="0"/>
          <w:snapToGrid/>
          <w:color w:val="auto"/>
          <w:kern w:val="2"/>
          <w:sz w:val="21"/>
          <w:szCs w:val="21"/>
          <w:highlight w:val="none"/>
        </w:rPr>
        <w:t>登录政采云前台大厅选择金融服务-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保函保险服务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出具预付款保函，具体步骤：选择产品—填写供应商信息—选择中标项目—确认信息—等待保险/保函受理—确认保单—支付保费—成功出单。政采云金融专线400-903-9583。</w:t>
      </w:r>
      <w:r>
        <w:rPr>
          <w:rFonts w:hint="eastAsia" w:ascii="宋体" w:hAnsi="宋体" w:eastAsia="宋体" w:cs="宋体"/>
          <w:b w:val="0"/>
          <w:bCs w:val="0"/>
          <w:snapToGrid w:val="0"/>
          <w:color w:val="auto"/>
          <w:kern w:val="28"/>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96" w:name="_Toc25161"/>
      <w:bookmarkStart w:id="97" w:name="_Toc17573"/>
      <w:bookmarkStart w:id="98" w:name="_Toc19992"/>
      <w:r>
        <w:rPr>
          <w:rFonts w:hint="eastAsia" w:ascii="宋体" w:hAnsi="宋体" w:eastAsia="宋体" w:cs="宋体"/>
          <w:b/>
          <w:color w:val="auto"/>
          <w:sz w:val="28"/>
          <w:szCs w:val="28"/>
          <w:highlight w:val="none"/>
        </w:rPr>
        <w:t>八、电子交易活动的中止</w:t>
      </w:r>
      <w:bookmarkEnd w:id="96"/>
      <w:bookmarkEnd w:id="97"/>
      <w:bookmarkEnd w:id="98"/>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电子交易平台发生故障而无法登录访问的； </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电子交易平台应用或数据库出现错误，不能进行正常操作的；</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电子交易平台发现严重安全漏洞，有潜在泄密危险的；</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病毒发作导致不能进行正常操作的； </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其他无法保证电子交易的公平、公正和安全的情况。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28" w:leftChars="0" w:firstLine="13" w:firstLineChars="6"/>
        <w:textAlignment w:val="auto"/>
        <w:outlineLvl w:val="1"/>
        <w:rPr>
          <w:rFonts w:hint="eastAsia" w:ascii="宋体" w:hAnsi="宋体" w:eastAsia="宋体" w:cs="宋体"/>
          <w:b/>
          <w:color w:val="auto"/>
          <w:sz w:val="21"/>
          <w:szCs w:val="21"/>
          <w:highlight w:val="none"/>
        </w:rPr>
      </w:pPr>
      <w:bookmarkStart w:id="99" w:name="_Toc14830"/>
      <w:bookmarkStart w:id="100" w:name="_Toc24760"/>
      <w:r>
        <w:rPr>
          <w:rFonts w:hint="eastAsia" w:ascii="宋体" w:hAnsi="宋体" w:eastAsia="宋体" w:cs="宋体"/>
          <w:b/>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9"/>
      <w:bookmarkEnd w:id="100"/>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b/>
          <w:color w:val="auto"/>
          <w:sz w:val="28"/>
          <w:szCs w:val="28"/>
          <w:highlight w:val="none"/>
        </w:rPr>
      </w:pPr>
      <w:bookmarkStart w:id="101" w:name="_Toc1197"/>
      <w:bookmarkStart w:id="102" w:name="_Toc4729"/>
      <w:bookmarkStart w:id="103" w:name="_Toc11709"/>
      <w:r>
        <w:rPr>
          <w:rFonts w:hint="eastAsia" w:ascii="宋体" w:hAnsi="宋体" w:eastAsia="宋体" w:cs="宋体"/>
          <w:b/>
          <w:color w:val="auto"/>
          <w:sz w:val="28"/>
          <w:szCs w:val="28"/>
          <w:highlight w:val="none"/>
        </w:rPr>
        <w:t>九、验收</w:t>
      </w:r>
      <w:bookmarkEnd w:id="101"/>
      <w:bookmarkEnd w:id="102"/>
      <w:bookmarkEnd w:id="103"/>
    </w:p>
    <w:bookmarkEnd w:id="79"/>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eastAsia" w:ascii="宋体" w:hAnsi="宋体" w:eastAsia="宋体" w:cs="宋体"/>
          <w:b/>
          <w:color w:val="auto"/>
          <w:highlight w:val="none"/>
        </w:rPr>
      </w:pPr>
      <w:bookmarkStart w:id="104" w:name="_Toc9880"/>
      <w:bookmarkStart w:id="105" w:name="_Toc31143"/>
      <w:r>
        <w:rPr>
          <w:rFonts w:hint="eastAsia" w:ascii="宋体" w:hAnsi="宋体" w:eastAsia="宋体" w:cs="宋体"/>
          <w:b/>
          <w:color w:val="auto"/>
          <w:highlight w:val="none"/>
        </w:rPr>
        <w:t>验收</w:t>
      </w:r>
      <w:bookmarkEnd w:id="104"/>
      <w:bookmarkEnd w:id="105"/>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采购人可以邀请参加本项目的其他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或者第三方机构参与验收。参与验收的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或者第三方机构的意见作为验收书的参考资料一并存档。</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hint="eastAsia" w:ascii="宋体" w:hAnsi="宋体" w:eastAsia="宋体" w:cs="宋体"/>
          <w:color w:val="auto"/>
          <w:sz w:val="21"/>
          <w:szCs w:val="21"/>
          <w:highlight w:val="none"/>
          <w:lang w:val="en-US" w:eastAsia="zh-CN"/>
        </w:rPr>
        <w:t>门。</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958" w:hanging="850"/>
        <w:textAlignment w:val="auto"/>
        <w:outlineLvl w:val="1"/>
        <w:rPr>
          <w:rFonts w:hint="default"/>
          <w:color w:val="auto"/>
          <w:highlight w:val="none"/>
          <w:lang w:val="en-US"/>
        </w:rPr>
      </w:pPr>
      <w:bookmarkStart w:id="106" w:name="_Toc6444"/>
      <w:bookmarkStart w:id="107" w:name="_Toc31785"/>
      <w:r>
        <w:rPr>
          <w:rFonts w:hint="eastAsia" w:cs="宋体"/>
          <w:b/>
          <w:bCs/>
          <w:color w:val="auto"/>
          <w:highlight w:val="none"/>
          <w:lang w:val="en-US" w:eastAsia="zh-CN"/>
        </w:rPr>
        <w:t>政府采购履约验收书（参考模板）详见附件4</w:t>
      </w:r>
      <w:bookmarkEnd w:id="106"/>
      <w:bookmarkEnd w:id="107"/>
    </w:p>
    <w:p>
      <w:pPr>
        <w:pStyle w:val="2"/>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eastAsia="仿宋_GB2312"/>
          <w:color w:val="auto"/>
          <w:highlight w:val="none"/>
          <w:lang w:eastAsia="zh-CN"/>
        </w:rPr>
      </w:pPr>
      <w:bookmarkStart w:id="108" w:name="_Toc17438"/>
      <w:bookmarkStart w:id="109" w:name="_Toc7233"/>
      <w:bookmarkStart w:id="110" w:name="_Toc12093"/>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代理服务费</w:t>
      </w:r>
      <w:bookmarkEnd w:id="108"/>
      <w:bookmarkEnd w:id="109"/>
      <w:bookmarkEnd w:id="110"/>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958" w:hanging="850"/>
        <w:textAlignment w:val="auto"/>
        <w:outlineLvl w:val="1"/>
        <w:rPr>
          <w:rFonts w:hint="eastAsia" w:ascii="宋体" w:hAnsi="宋体" w:eastAsia="宋体" w:cs="宋体"/>
          <w:b/>
          <w:color w:val="auto"/>
          <w:sz w:val="24"/>
          <w:szCs w:val="24"/>
          <w:highlight w:val="none"/>
        </w:rPr>
      </w:pPr>
      <w:bookmarkStart w:id="111" w:name="_Toc27591"/>
      <w:bookmarkStart w:id="112" w:name="_Toc22258"/>
      <w:r>
        <w:rPr>
          <w:rFonts w:hint="eastAsia" w:ascii="宋体" w:hAnsi="宋体" w:eastAsia="宋体" w:cs="宋体"/>
          <w:b/>
          <w:color w:val="auto"/>
          <w:sz w:val="24"/>
          <w:szCs w:val="24"/>
          <w:highlight w:val="none"/>
        </w:rPr>
        <w:t>代理服务费</w:t>
      </w:r>
      <w:bookmarkEnd w:id="111"/>
      <w:bookmarkEnd w:id="112"/>
    </w:p>
    <w:p>
      <w:pPr>
        <w:pageBreakBefore w:val="0"/>
        <w:numPr>
          <w:ilvl w:val="1"/>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highlight w:val="none"/>
        </w:rPr>
        <w:t>双方协商，</w:t>
      </w:r>
      <w:r>
        <w:rPr>
          <w:rFonts w:hint="eastAsia" w:ascii="宋体" w:hAnsi="宋体" w:eastAsia="宋体" w:cs="宋体"/>
          <w:b/>
          <w:bCs/>
          <w:color w:val="auto"/>
          <w:highlight w:val="none"/>
        </w:rPr>
        <w:t>本次采购代理服务费由</w:t>
      </w:r>
      <w:r>
        <w:rPr>
          <w:rFonts w:hint="eastAsia" w:ascii="宋体" w:hAnsi="宋体" w:eastAsia="宋体" w:cs="宋体"/>
          <w:b/>
          <w:bCs/>
          <w:color w:val="auto"/>
          <w:highlight w:val="none"/>
          <w:lang w:eastAsia="zh-CN"/>
        </w:rPr>
        <w:t>中标人</w:t>
      </w:r>
      <w:r>
        <w:rPr>
          <w:rFonts w:hint="eastAsia" w:ascii="宋体" w:hAnsi="宋体" w:eastAsia="宋体" w:cs="宋体"/>
          <w:b/>
          <w:bCs/>
          <w:color w:val="auto"/>
          <w:highlight w:val="none"/>
        </w:rPr>
        <w:t>支付，</w:t>
      </w:r>
      <w:r>
        <w:rPr>
          <w:rFonts w:hint="eastAsia" w:ascii="宋体" w:hAnsi="宋体"/>
          <w:b/>
          <w:color w:val="auto"/>
          <w:sz w:val="22"/>
          <w:szCs w:val="22"/>
          <w:highlight w:val="none"/>
        </w:rPr>
        <w:t>采购代理服务费</w:t>
      </w:r>
      <w:r>
        <w:rPr>
          <w:rFonts w:hint="eastAsia" w:ascii="宋体" w:hAnsi="宋体"/>
          <w:b/>
          <w:color w:val="auto"/>
          <w:sz w:val="22"/>
          <w:szCs w:val="22"/>
          <w:highlight w:val="none"/>
          <w:lang w:val="en-US" w:eastAsia="zh-CN"/>
        </w:rPr>
        <w:t>按中标价</w:t>
      </w:r>
      <w:r>
        <w:rPr>
          <w:rFonts w:hint="eastAsia" w:ascii="宋体" w:hAnsi="宋体"/>
          <w:b/>
          <w:color w:val="auto"/>
          <w:sz w:val="22"/>
          <w:szCs w:val="22"/>
          <w:highlight w:val="none"/>
        </w:rPr>
        <w:t>根据发改办价格（2003）857号文件及国家计委印发的《招标代理服务收费管理暂行办法》计价格【2002】1980号文件的收费标准</w:t>
      </w:r>
      <w:r>
        <w:rPr>
          <w:rFonts w:hint="eastAsia" w:ascii="宋体" w:hAnsi="宋体"/>
          <w:b/>
          <w:color w:val="auto"/>
          <w:sz w:val="22"/>
          <w:szCs w:val="22"/>
          <w:highlight w:val="none"/>
          <w:lang w:eastAsia="zh-CN"/>
        </w:rPr>
        <w:t>，</w:t>
      </w:r>
      <w:r>
        <w:rPr>
          <w:rFonts w:hint="eastAsia" w:ascii="宋体" w:hAnsi="宋体" w:eastAsia="宋体" w:cs="宋体"/>
          <w:b/>
          <w:bCs/>
          <w:color w:val="auto"/>
          <w:highlight w:val="none"/>
          <w:lang w:val="en-US" w:eastAsia="zh-CN"/>
        </w:rPr>
        <w:t>不足捌仟元按捌仟元收取</w:t>
      </w:r>
      <w:r>
        <w:rPr>
          <w:rFonts w:hint="eastAsia" w:ascii="宋体" w:hAnsi="宋体" w:eastAsia="宋体" w:cs="宋体"/>
          <w:b/>
          <w:bCs/>
          <w:color w:val="auto"/>
          <w:highlight w:val="none"/>
        </w:rPr>
        <w:t>。</w:t>
      </w:r>
      <w:r>
        <w:rPr>
          <w:rFonts w:hint="eastAsia" w:ascii="宋体" w:hAnsi="宋体" w:eastAsia="宋体" w:cs="宋体"/>
          <w:color w:val="auto"/>
          <w:highlight w:val="none"/>
        </w:rPr>
        <w:t>采购代理服务费不在报价中单列，请</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 xml:space="preserve">在报价时予以考虑。 </w:t>
      </w:r>
    </w:p>
    <w:p>
      <w:pPr>
        <w:rPr>
          <w:rFonts w:hint="eastAsia"/>
          <w:color w:val="auto"/>
          <w:highlight w:val="none"/>
          <w:lang w:eastAsia="zh-CN"/>
        </w:rPr>
        <w:sectPr>
          <w:headerReference r:id="rId8" w:type="first"/>
          <w:footerReference r:id="rId11" w:type="first"/>
          <w:headerReference r:id="rId7" w:type="default"/>
          <w:footerReference r:id="rId9" w:type="default"/>
          <w:footerReference r:id="rId10" w:type="even"/>
          <w:pgSz w:w="11906" w:h="16838"/>
          <w:pgMar w:top="680" w:right="1418" w:bottom="468" w:left="1418" w:header="851" w:footer="992" w:gutter="0"/>
          <w:pgNumType w:fmt="numberInDash"/>
          <w:cols w:space="720" w:num="1"/>
          <w:titlePg/>
          <w:docGrid w:linePitch="312" w:charSpace="0"/>
        </w:sectPr>
      </w:pPr>
    </w:p>
    <w:p>
      <w:pPr>
        <w:pStyle w:val="2"/>
        <w:keepNext w:val="0"/>
        <w:keepLines w:val="0"/>
        <w:pageBreakBefore/>
        <w:tabs>
          <w:tab w:val="left" w:pos="840"/>
        </w:tabs>
        <w:spacing w:before="120" w:beforeLines="50" w:after="0" w:line="400" w:lineRule="exact"/>
        <w:jc w:val="center"/>
        <w:rPr>
          <w:rFonts w:hint="default" w:ascii="宋体" w:hAnsi="宋体" w:eastAsia="宋体" w:cs="宋体"/>
          <w:color w:val="auto"/>
          <w:sz w:val="32"/>
          <w:szCs w:val="40"/>
          <w:highlight w:val="none"/>
          <w:lang w:val="en-US" w:eastAsia="zh-CN"/>
        </w:rPr>
      </w:pPr>
      <w:bookmarkStart w:id="113" w:name="_Toc14807"/>
      <w:bookmarkStart w:id="114" w:name="_Toc2560"/>
      <w:bookmarkStart w:id="115" w:name="_Toc20555"/>
      <w:r>
        <w:rPr>
          <w:rFonts w:hint="eastAsia" w:ascii="宋体" w:hAnsi="宋体" w:eastAsia="宋体" w:cs="宋体"/>
          <w:color w:val="auto"/>
          <w:sz w:val="32"/>
          <w:szCs w:val="40"/>
          <w:highlight w:val="none"/>
        </w:rPr>
        <w:t xml:space="preserve">第三部分  </w:t>
      </w:r>
      <w:bookmarkEnd w:id="15"/>
      <w:bookmarkEnd w:id="16"/>
      <w:bookmarkEnd w:id="17"/>
      <w:bookmarkEnd w:id="18"/>
      <w:r>
        <w:rPr>
          <w:rFonts w:hint="eastAsia" w:ascii="宋体" w:hAnsi="宋体" w:eastAsia="宋体" w:cs="宋体"/>
          <w:color w:val="auto"/>
          <w:sz w:val="32"/>
          <w:szCs w:val="40"/>
          <w:highlight w:val="none"/>
          <w:lang w:val="en-US" w:eastAsia="zh-CN"/>
        </w:rPr>
        <w:t>采购需求</w:t>
      </w:r>
      <w:bookmarkEnd w:id="113"/>
      <w:bookmarkEnd w:id="114"/>
      <w:bookmarkEnd w:id="115"/>
    </w:p>
    <w:p>
      <w:pPr>
        <w:pStyle w:val="91"/>
        <w:keepNext w:val="0"/>
        <w:keepLines w:val="0"/>
        <w:pageBreakBefore w:val="0"/>
        <w:widowControl w:val="0"/>
        <w:numPr>
          <w:ilvl w:val="0"/>
          <w:numId w:val="6"/>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宋体" w:hAnsi="宋体" w:eastAsia="宋体" w:cs="宋体"/>
          <w:b/>
          <w:color w:val="auto"/>
          <w:sz w:val="24"/>
          <w:szCs w:val="24"/>
          <w:highlight w:val="none"/>
        </w:rPr>
      </w:pPr>
      <w:bookmarkStart w:id="116" w:name="_Toc14578"/>
      <w:bookmarkStart w:id="117" w:name="_Toc3427"/>
      <w:bookmarkStart w:id="118" w:name="_Toc482111283"/>
      <w:bookmarkStart w:id="119" w:name="_Toc1268"/>
      <w:bookmarkStart w:id="120" w:name="_Toc9149"/>
      <w:bookmarkStart w:id="121" w:name="_Toc22194"/>
      <w:bookmarkStart w:id="122" w:name="_Toc16183"/>
      <w:bookmarkStart w:id="123" w:name="_Toc928"/>
      <w:bookmarkStart w:id="124" w:name="_Toc9501"/>
      <w:r>
        <w:rPr>
          <w:rFonts w:hint="eastAsia" w:ascii="宋体" w:hAnsi="宋体" w:eastAsia="宋体" w:cs="宋体"/>
          <w:b/>
          <w:color w:val="auto"/>
          <w:sz w:val="24"/>
          <w:szCs w:val="24"/>
          <w:highlight w:val="none"/>
        </w:rPr>
        <w:t>概述</w:t>
      </w:r>
      <w:bookmarkEnd w:id="116"/>
      <w:bookmarkEnd w:id="117"/>
      <w:bookmarkEnd w:id="118"/>
      <w:bookmarkEnd w:id="119"/>
      <w:bookmarkEnd w:id="120"/>
      <w:bookmarkEnd w:id="121"/>
      <w:bookmarkEnd w:id="122"/>
      <w:bookmarkEnd w:id="123"/>
      <w:bookmarkEnd w:id="124"/>
    </w:p>
    <w:p>
      <w:pPr>
        <w:keepNext w:val="0"/>
        <w:keepLines w:val="0"/>
        <w:pageBreakBefore w:val="0"/>
        <w:widowControl w:val="0"/>
        <w:numPr>
          <w:ilvl w:val="1"/>
          <w:numId w:val="7"/>
        </w:numPr>
        <w:tabs>
          <w:tab w:val="left" w:pos="0"/>
          <w:tab w:val="left" w:pos="567"/>
          <w:tab w:val="clear" w:pos="950"/>
        </w:tabs>
        <w:kinsoku/>
        <w:wordWrap/>
        <w:overflowPunct/>
        <w:topLinePunct w:val="0"/>
        <w:autoSpaceDE/>
        <w:autoSpaceDN/>
        <w:bidi w:val="0"/>
        <w:adjustRightInd/>
        <w:snapToGrid w:val="0"/>
        <w:spacing w:line="400" w:lineRule="exact"/>
        <w:ind w:left="567" w:hanging="56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必须完成招标内容和合同规定义务，不允许只对部分内容进行报价。</w:t>
      </w:r>
    </w:p>
    <w:p>
      <w:pPr>
        <w:keepNext w:val="0"/>
        <w:keepLines w:val="0"/>
        <w:pageBreakBefore w:val="0"/>
        <w:numPr>
          <w:ilvl w:val="1"/>
          <w:numId w:val="7"/>
        </w:numPr>
        <w:tabs>
          <w:tab w:val="left" w:pos="567"/>
          <w:tab w:val="clear" w:pos="950"/>
        </w:tabs>
        <w:kinsoku/>
        <w:wordWrap/>
        <w:overflowPunct/>
        <w:topLinePunct w:val="0"/>
        <w:autoSpaceDE/>
        <w:autoSpaceDN/>
        <w:bidi w:val="0"/>
        <w:adjustRightInd/>
        <w:snapToGrid w:val="0"/>
        <w:spacing w:line="400" w:lineRule="exact"/>
        <w:ind w:left="567" w:hanging="567"/>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本次采购设一个标项，</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必须对全部采购内容进行投标，不允许只对其中部分内容进行投标，谢绝联合投标。</w:t>
      </w:r>
    </w:p>
    <w:p>
      <w:pPr>
        <w:keepNext w:val="0"/>
        <w:keepLines w:val="0"/>
        <w:pageBreakBefore w:val="0"/>
        <w:numPr>
          <w:ilvl w:val="1"/>
          <w:numId w:val="7"/>
        </w:numPr>
        <w:tabs>
          <w:tab w:val="left" w:pos="567"/>
          <w:tab w:val="clear" w:pos="950"/>
        </w:tabs>
        <w:kinsoku/>
        <w:wordWrap/>
        <w:overflowPunct/>
        <w:topLinePunct w:val="0"/>
        <w:autoSpaceDE/>
        <w:autoSpaceDN/>
        <w:bidi w:val="0"/>
        <w:adjustRightInd/>
        <w:snapToGrid w:val="0"/>
        <w:spacing w:line="400" w:lineRule="exact"/>
        <w:ind w:left="567" w:hanging="567"/>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现场踏勘：各</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rPr>
        <w:t>于投标截止时间前自行到现场进行踏勘 ，以获取本次投标所需的现场资料及数据，</w:t>
      </w:r>
      <w:r>
        <w:rPr>
          <w:rFonts w:hint="eastAsia" w:ascii="宋体" w:hAnsi="宋体" w:eastAsia="宋体" w:cs="宋体"/>
          <w:b/>
          <w:color w:val="auto"/>
          <w:szCs w:val="21"/>
          <w:highlight w:val="none"/>
          <w:lang w:eastAsia="zh-CN"/>
        </w:rPr>
        <w:t>投标人</w:t>
      </w:r>
      <w:r>
        <w:rPr>
          <w:rFonts w:hint="eastAsia" w:ascii="宋体" w:hAnsi="宋体" w:eastAsia="宋体" w:cs="宋体"/>
          <w:b/>
          <w:color w:val="auto"/>
          <w:szCs w:val="21"/>
          <w:highlight w:val="none"/>
        </w:rPr>
        <w:t>若未到现场踏勘，引起的一切后果均由其自行负责，由此造成投标价的偏差均不予调整。现场踏勘费用自理。</w:t>
      </w:r>
    </w:p>
    <w:p>
      <w:pPr>
        <w:keepNext w:val="0"/>
        <w:keepLines w:val="0"/>
        <w:pageBreakBefore w:val="0"/>
        <w:numPr>
          <w:ilvl w:val="1"/>
          <w:numId w:val="7"/>
        </w:numPr>
        <w:tabs>
          <w:tab w:val="left" w:pos="567"/>
          <w:tab w:val="clear" w:pos="950"/>
        </w:tabs>
        <w:kinsoku/>
        <w:wordWrap/>
        <w:overflowPunct/>
        <w:topLinePunct w:val="0"/>
        <w:autoSpaceDE/>
        <w:autoSpaceDN/>
        <w:bidi w:val="0"/>
        <w:adjustRightInd/>
        <w:snapToGrid w:val="0"/>
        <w:spacing w:line="400" w:lineRule="exact"/>
        <w:ind w:left="567" w:hanging="56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必须完成采购内容和合同规定义务，不允许只对部分内容进行报价。</w:t>
      </w:r>
    </w:p>
    <w:p>
      <w:pPr>
        <w:keepNext w:val="0"/>
        <w:keepLines w:val="0"/>
        <w:pageBreakBefore w:val="0"/>
        <w:numPr>
          <w:ilvl w:val="1"/>
          <w:numId w:val="7"/>
        </w:numPr>
        <w:tabs>
          <w:tab w:val="left" w:pos="567"/>
          <w:tab w:val="clear" w:pos="950"/>
        </w:tabs>
        <w:kinsoku/>
        <w:wordWrap/>
        <w:overflowPunct/>
        <w:topLinePunct w:val="0"/>
        <w:autoSpaceDE/>
        <w:autoSpaceDN/>
        <w:bidi w:val="0"/>
        <w:adjustRightInd/>
        <w:snapToGrid w:val="0"/>
        <w:spacing w:line="400" w:lineRule="exact"/>
        <w:ind w:left="567" w:hanging="56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本次采购的服务所涉及的产品标准、规范、验收标准、应符合国家有关条例及规范。如有新的标准应采纳新标准。</w:t>
      </w:r>
    </w:p>
    <w:bookmarkEnd w:id="19"/>
    <w:bookmarkEnd w:id="20"/>
    <w:bookmarkEnd w:id="21"/>
    <w:p>
      <w:pPr>
        <w:rPr>
          <w:rFonts w:ascii="宋体" w:hAnsi="宋体"/>
          <w:color w:val="000000"/>
        </w:rPr>
      </w:pPr>
      <w:bookmarkStart w:id="125" w:name="_Toc422946256"/>
      <w:bookmarkStart w:id="126" w:name="_Toc25914"/>
      <w:bookmarkStart w:id="127" w:name="_Toc39740383"/>
      <w:bookmarkStart w:id="128" w:name="_Toc474156092"/>
      <w:bookmarkStart w:id="129" w:name="_Toc454832207"/>
    </w:p>
    <w:p>
      <w:pPr>
        <w:pStyle w:val="91"/>
        <w:keepNext w:val="0"/>
        <w:keepLines w:val="0"/>
        <w:pageBreakBefore w:val="0"/>
        <w:widowControl w:val="0"/>
        <w:numPr>
          <w:ilvl w:val="0"/>
          <w:numId w:val="6"/>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采购内容一览表</w:t>
      </w:r>
      <w:bookmarkEnd w:id="125"/>
    </w:p>
    <w:tbl>
      <w:tblPr>
        <w:tblStyle w:val="37"/>
        <w:tblW w:w="906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1901"/>
        <w:gridCol w:w="29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jc w:val="center"/>
        </w:trPr>
        <w:tc>
          <w:tcPr>
            <w:tcW w:w="928" w:type="dxa"/>
            <w:noWrap w:val="0"/>
            <w:vAlign w:val="center"/>
          </w:tcPr>
          <w:p>
            <w:pPr>
              <w:jc w:val="center"/>
              <w:rPr>
                <w:rFonts w:ascii="宋体" w:hAnsi="宋体" w:eastAsia="宋体" w:cs="Times New Roman"/>
                <w:b/>
                <w:bCs/>
                <w:color w:val="000000"/>
                <w:sz w:val="21"/>
                <w:szCs w:val="21"/>
              </w:rPr>
            </w:pPr>
            <w:r>
              <w:rPr>
                <w:rFonts w:ascii="宋体" w:hAnsi="宋体" w:eastAsia="宋体" w:cs="Times New Roman"/>
                <w:b/>
                <w:bCs/>
                <w:color w:val="000000"/>
                <w:sz w:val="21"/>
                <w:szCs w:val="21"/>
              </w:rPr>
              <w:t>序号</w:t>
            </w:r>
          </w:p>
        </w:tc>
        <w:tc>
          <w:tcPr>
            <w:tcW w:w="3240" w:type="dxa"/>
            <w:noWrap w:val="0"/>
            <w:vAlign w:val="center"/>
          </w:tcPr>
          <w:p>
            <w:pPr>
              <w:jc w:val="center"/>
              <w:rPr>
                <w:rFonts w:ascii="宋体" w:hAnsi="宋体" w:eastAsia="宋体" w:cs="Times New Roman"/>
                <w:b/>
                <w:bCs/>
                <w:color w:val="000000"/>
                <w:sz w:val="21"/>
                <w:szCs w:val="21"/>
              </w:rPr>
            </w:pPr>
            <w:r>
              <w:rPr>
                <w:rFonts w:ascii="宋体" w:hAnsi="宋体" w:eastAsia="宋体" w:cs="Times New Roman"/>
                <w:b/>
                <w:bCs/>
                <w:color w:val="000000"/>
                <w:sz w:val="21"/>
                <w:szCs w:val="21"/>
              </w:rPr>
              <w:t>货物名称</w:t>
            </w:r>
          </w:p>
        </w:tc>
        <w:tc>
          <w:tcPr>
            <w:tcW w:w="1901" w:type="dxa"/>
            <w:noWrap w:val="0"/>
            <w:vAlign w:val="center"/>
          </w:tcPr>
          <w:p>
            <w:pPr>
              <w:jc w:val="center"/>
              <w:rPr>
                <w:rFonts w:ascii="宋体" w:hAnsi="宋体" w:eastAsia="宋体" w:cs="Times New Roman"/>
                <w:b/>
                <w:bCs/>
                <w:color w:val="000000"/>
                <w:sz w:val="21"/>
                <w:szCs w:val="21"/>
              </w:rPr>
            </w:pPr>
            <w:r>
              <w:rPr>
                <w:rFonts w:ascii="宋体" w:hAnsi="宋体" w:eastAsia="宋体" w:cs="Times New Roman"/>
                <w:b/>
                <w:bCs/>
                <w:color w:val="000000"/>
                <w:sz w:val="21"/>
                <w:szCs w:val="21"/>
              </w:rPr>
              <w:t>数量</w:t>
            </w:r>
          </w:p>
        </w:tc>
        <w:tc>
          <w:tcPr>
            <w:tcW w:w="2996" w:type="dxa"/>
            <w:noWrap w:val="0"/>
            <w:vAlign w:val="center"/>
          </w:tcPr>
          <w:p>
            <w:pPr>
              <w:jc w:val="center"/>
              <w:rPr>
                <w:rFonts w:ascii="宋体" w:hAnsi="宋体" w:eastAsia="宋体" w:cs="Times New Roman"/>
                <w:b/>
                <w:bCs/>
                <w:color w:val="000000"/>
                <w:sz w:val="21"/>
                <w:szCs w:val="21"/>
              </w:rPr>
            </w:pPr>
            <w:r>
              <w:rPr>
                <w:rFonts w:ascii="宋体" w:hAnsi="宋体" w:eastAsia="宋体" w:cs="Times New Roman"/>
                <w:b/>
                <w:bCs/>
                <w:color w:val="000000"/>
                <w:sz w:val="21"/>
                <w:szCs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928" w:type="dxa"/>
            <w:vMerge w:val="restart"/>
            <w:noWrap w:val="0"/>
            <w:vAlign w:val="center"/>
          </w:tcPr>
          <w:p>
            <w:pPr>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一</w:t>
            </w: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图像处理装置</w:t>
            </w:r>
          </w:p>
        </w:tc>
        <w:tc>
          <w:tcPr>
            <w:tcW w:w="1901" w:type="dxa"/>
            <w:noWrap w:val="0"/>
            <w:vAlign w:val="center"/>
          </w:tcPr>
          <w:p>
            <w:pPr>
              <w:jc w:val="center"/>
              <w:rPr>
                <w:rFonts w:hint="eastAsia" w:ascii="宋体" w:hAnsi="宋体" w:eastAsia="宋体" w:cs="仿宋"/>
                <w:color w:val="000000"/>
                <w:sz w:val="21"/>
                <w:szCs w:val="21"/>
              </w:rPr>
            </w:pPr>
            <w:r>
              <w:rPr>
                <w:rFonts w:hint="eastAsia" w:ascii="宋体" w:hAnsi="宋体" w:eastAsia="宋体" w:cs="仿宋"/>
                <w:color w:val="000000"/>
                <w:sz w:val="21"/>
                <w:szCs w:val="21"/>
              </w:rPr>
              <w:t>1套</w:t>
            </w:r>
          </w:p>
        </w:tc>
        <w:tc>
          <w:tcPr>
            <w:tcW w:w="2996" w:type="dxa"/>
            <w:vMerge w:val="restart"/>
            <w:noWrap w:val="0"/>
            <w:vAlign w:val="center"/>
          </w:tcPr>
          <w:p>
            <w:pPr>
              <w:spacing w:line="360" w:lineRule="auto"/>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瑞安市妇幼保健院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928" w:type="dxa"/>
            <w:vMerge w:val="continue"/>
            <w:noWrap w:val="0"/>
            <w:vAlign w:val="center"/>
          </w:tcPr>
          <w:p>
            <w:pPr>
              <w:jc w:val="center"/>
              <w:rPr>
                <w:rFonts w:ascii="宋体" w:hAnsi="宋体" w:eastAsia="宋体" w:cs="Times New Roman"/>
                <w:color w:val="000000"/>
                <w:sz w:val="21"/>
                <w:szCs w:val="21"/>
              </w:rPr>
            </w:pP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内窥镜冷光源</w:t>
            </w:r>
          </w:p>
        </w:tc>
        <w:tc>
          <w:tcPr>
            <w:tcW w:w="1901" w:type="dxa"/>
            <w:noWrap w:val="0"/>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1台</w:t>
            </w:r>
          </w:p>
        </w:tc>
        <w:tc>
          <w:tcPr>
            <w:tcW w:w="2996" w:type="dxa"/>
            <w:vMerge w:val="continue"/>
            <w:noWrap w:val="0"/>
            <w:vAlign w:val="center"/>
          </w:tcPr>
          <w:p>
            <w:pPr>
              <w:spacing w:line="360" w:lineRule="auto"/>
              <w:jc w:val="center"/>
              <w:rPr>
                <w:rFonts w:ascii="宋体" w:hAnsi="宋体" w:eastAsia="宋体" w:cs="Times New Roman"/>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928" w:type="dxa"/>
            <w:vMerge w:val="continue"/>
            <w:noWrap w:val="0"/>
            <w:vAlign w:val="center"/>
          </w:tcPr>
          <w:p>
            <w:pPr>
              <w:jc w:val="center"/>
              <w:rPr>
                <w:rFonts w:ascii="宋体" w:hAnsi="宋体" w:eastAsia="宋体" w:cs="Times New Roman"/>
                <w:color w:val="000000"/>
                <w:sz w:val="21"/>
                <w:szCs w:val="21"/>
              </w:rPr>
            </w:pP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4K超高清监视器</w:t>
            </w:r>
          </w:p>
        </w:tc>
        <w:tc>
          <w:tcPr>
            <w:tcW w:w="1901" w:type="dxa"/>
            <w:noWrap w:val="0"/>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1台</w:t>
            </w:r>
          </w:p>
        </w:tc>
        <w:tc>
          <w:tcPr>
            <w:tcW w:w="2996" w:type="dxa"/>
            <w:vMerge w:val="continue"/>
            <w:noWrap w:val="0"/>
            <w:vAlign w:val="center"/>
          </w:tcPr>
          <w:p>
            <w:pPr>
              <w:spacing w:line="360" w:lineRule="auto"/>
              <w:jc w:val="center"/>
              <w:rPr>
                <w:rFonts w:ascii="宋体" w:hAnsi="宋体" w:eastAsia="宋体" w:cs="Times New Roman"/>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jc w:val="center"/>
              <w:rPr>
                <w:rFonts w:ascii="宋体" w:hAnsi="宋体" w:eastAsia="宋体" w:cs="Times New Roman"/>
                <w:color w:val="000000"/>
                <w:sz w:val="21"/>
                <w:szCs w:val="21"/>
              </w:rPr>
            </w:pPr>
            <w:r>
              <w:rPr>
                <w:rFonts w:ascii="宋体" w:hAnsi="宋体" w:eastAsia="宋体" w:cs="Times New Roman"/>
                <w:color w:val="000000"/>
                <w:sz w:val="21"/>
                <w:szCs w:val="21"/>
              </w:rPr>
              <w:t>二</w:t>
            </w: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高清电子胃镜</w:t>
            </w:r>
          </w:p>
        </w:tc>
        <w:tc>
          <w:tcPr>
            <w:tcW w:w="1901" w:type="dxa"/>
            <w:noWrap w:val="0"/>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1条</w:t>
            </w:r>
          </w:p>
        </w:tc>
        <w:tc>
          <w:tcPr>
            <w:tcW w:w="2996" w:type="dxa"/>
            <w:vMerge w:val="continue"/>
            <w:noWrap w:val="0"/>
            <w:vAlign w:val="center"/>
          </w:tcPr>
          <w:p>
            <w:pPr>
              <w:spacing w:line="360" w:lineRule="auto"/>
              <w:rPr>
                <w:rFonts w:ascii="宋体" w:hAnsi="宋体" w:eastAsia="宋体" w:cs="Times New Roman"/>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jc w:val="center"/>
              <w:rPr>
                <w:rFonts w:ascii="宋体" w:hAnsi="宋体" w:eastAsia="宋体" w:cs="Times New Roman"/>
                <w:color w:val="000000"/>
                <w:sz w:val="21"/>
                <w:szCs w:val="21"/>
              </w:rPr>
            </w:pPr>
            <w:r>
              <w:rPr>
                <w:rFonts w:ascii="宋体" w:hAnsi="宋体" w:eastAsia="宋体" w:cs="Times New Roman"/>
                <w:color w:val="000000"/>
                <w:sz w:val="21"/>
                <w:szCs w:val="21"/>
              </w:rPr>
              <w:t>三</w:t>
            </w: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高清放大电子胃镜</w:t>
            </w:r>
          </w:p>
        </w:tc>
        <w:tc>
          <w:tcPr>
            <w:tcW w:w="1901" w:type="dxa"/>
            <w:noWrap w:val="0"/>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1条</w:t>
            </w:r>
          </w:p>
        </w:tc>
        <w:tc>
          <w:tcPr>
            <w:tcW w:w="2996" w:type="dxa"/>
            <w:vMerge w:val="continue"/>
            <w:noWrap w:val="0"/>
            <w:vAlign w:val="center"/>
          </w:tcPr>
          <w:p>
            <w:pPr>
              <w:spacing w:line="360" w:lineRule="auto"/>
              <w:rPr>
                <w:rFonts w:ascii="宋体" w:hAnsi="宋体" w:eastAsia="宋体" w:cs="Times New Roman"/>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jc w:val="center"/>
              <w:rPr>
                <w:rFonts w:ascii="宋体" w:hAnsi="宋体" w:eastAsia="宋体" w:cs="Times New Roman"/>
                <w:color w:val="000000"/>
                <w:sz w:val="21"/>
                <w:szCs w:val="21"/>
              </w:rPr>
            </w:pPr>
            <w:r>
              <w:rPr>
                <w:rFonts w:ascii="宋体" w:hAnsi="宋体" w:eastAsia="宋体" w:cs="Times New Roman"/>
                <w:color w:val="000000"/>
                <w:sz w:val="21"/>
                <w:szCs w:val="21"/>
              </w:rPr>
              <w:t>四</w:t>
            </w: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高清电子结肠镜</w:t>
            </w:r>
          </w:p>
        </w:tc>
        <w:tc>
          <w:tcPr>
            <w:tcW w:w="1901" w:type="dxa"/>
            <w:noWrap w:val="0"/>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2条</w:t>
            </w:r>
          </w:p>
        </w:tc>
        <w:tc>
          <w:tcPr>
            <w:tcW w:w="2996" w:type="dxa"/>
            <w:vMerge w:val="continue"/>
            <w:noWrap w:val="0"/>
            <w:vAlign w:val="center"/>
          </w:tcPr>
          <w:p>
            <w:pPr>
              <w:spacing w:line="360" w:lineRule="auto"/>
              <w:rPr>
                <w:rFonts w:ascii="宋体" w:hAnsi="宋体" w:eastAsia="宋体" w:cs="Times New Roman"/>
                <w:color w:val="000000"/>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五</w:t>
            </w:r>
          </w:p>
        </w:tc>
        <w:tc>
          <w:tcPr>
            <w:tcW w:w="3240" w:type="dxa"/>
            <w:noWrap w:val="0"/>
            <w:vAlign w:val="center"/>
          </w:tcPr>
          <w:p>
            <w:pPr>
              <w:jc w:val="left"/>
              <w:rPr>
                <w:rFonts w:hint="eastAsia" w:ascii="宋体" w:hAnsi="宋体" w:eastAsia="宋体" w:cs="仿宋"/>
                <w:b/>
                <w:bCs/>
                <w:color w:val="000000"/>
                <w:sz w:val="21"/>
                <w:szCs w:val="21"/>
              </w:rPr>
            </w:pPr>
            <w:r>
              <w:rPr>
                <w:rFonts w:hint="eastAsia" w:ascii="宋体" w:hAnsi="宋体" w:eastAsia="宋体" w:cs="仿宋"/>
                <w:b/>
                <w:bCs/>
                <w:color w:val="000000"/>
                <w:sz w:val="21"/>
                <w:szCs w:val="21"/>
              </w:rPr>
              <w:t>内镜信息管理系统及设备</w:t>
            </w:r>
          </w:p>
        </w:tc>
        <w:tc>
          <w:tcPr>
            <w:tcW w:w="1901" w:type="dxa"/>
            <w:noWrap w:val="0"/>
            <w:vAlign w:val="center"/>
          </w:tcPr>
          <w:p>
            <w:pPr>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1批</w:t>
            </w:r>
          </w:p>
        </w:tc>
        <w:tc>
          <w:tcPr>
            <w:tcW w:w="2996" w:type="dxa"/>
            <w:vMerge w:val="continue"/>
            <w:noWrap w:val="0"/>
            <w:vAlign w:val="center"/>
          </w:tcPr>
          <w:p>
            <w:pPr>
              <w:spacing w:line="360" w:lineRule="auto"/>
              <w:rPr>
                <w:rFonts w:ascii="宋体" w:hAnsi="宋体" w:eastAsia="宋体" w:cs="Times New Roman"/>
                <w:color w:val="000000"/>
                <w:sz w:val="21"/>
                <w:szCs w:val="21"/>
              </w:rPr>
            </w:pPr>
          </w:p>
        </w:tc>
      </w:tr>
    </w:tbl>
    <w:p>
      <w:pPr>
        <w:pStyle w:val="91"/>
        <w:keepNext w:val="0"/>
        <w:keepLines w:val="0"/>
        <w:pageBreakBefore w:val="0"/>
        <w:widowControl w:val="0"/>
        <w:numPr>
          <w:ilvl w:val="0"/>
          <w:numId w:val="6"/>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招标技术要求</w:t>
      </w:r>
    </w:p>
    <w:tbl>
      <w:tblPr>
        <w:tblStyle w:val="37"/>
        <w:tblW w:w="9037" w:type="dxa"/>
        <w:tblInd w:w="-3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987"/>
        <w:gridCol w:w="8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52" w:hRule="atLeast"/>
          <w:tblHeader/>
        </w:trPr>
        <w:tc>
          <w:tcPr>
            <w:tcW w:w="987" w:type="dxa"/>
            <w:tcBorders>
              <w:bottom w:val="single" w:color="auto" w:sz="6" w:space="0"/>
            </w:tcBorders>
            <w:shd w:val="clear" w:color="auto" w:fill="CCCCCC"/>
            <w:noWrap w:val="0"/>
            <w:vAlign w:val="center"/>
          </w:tcPr>
          <w:p>
            <w:pPr>
              <w:pStyle w:val="155"/>
              <w:jc w:val="center"/>
              <w:rPr>
                <w:rStyle w:val="156"/>
                <w:rFonts w:hint="eastAsia" w:ascii="宋体" w:hAnsi="宋体" w:eastAsia="宋体" w:cs="宋体"/>
                <w:bCs w:val="0"/>
                <w:color w:val="000000"/>
                <w:sz w:val="21"/>
                <w:szCs w:val="21"/>
              </w:rPr>
            </w:pPr>
            <w:r>
              <w:rPr>
                <w:rStyle w:val="156"/>
                <w:rFonts w:hint="eastAsia" w:ascii="宋体" w:hAnsi="宋体" w:eastAsia="宋体" w:cs="宋体"/>
                <w:b/>
                <w:bCs/>
                <w:color w:val="000000"/>
                <w:sz w:val="21"/>
                <w:szCs w:val="21"/>
              </w:rPr>
              <w:t>序号</w:t>
            </w:r>
          </w:p>
        </w:tc>
        <w:tc>
          <w:tcPr>
            <w:tcW w:w="8050" w:type="dxa"/>
            <w:tcBorders>
              <w:bottom w:val="single" w:color="auto" w:sz="6" w:space="0"/>
            </w:tcBorders>
            <w:shd w:val="clear" w:color="auto" w:fill="CCCCCC"/>
            <w:noWrap w:val="0"/>
            <w:vAlign w:val="center"/>
          </w:tcPr>
          <w:p>
            <w:pPr>
              <w:pStyle w:val="155"/>
              <w:jc w:val="center"/>
              <w:rPr>
                <w:rStyle w:val="156"/>
                <w:rFonts w:hint="eastAsia" w:ascii="宋体" w:hAnsi="宋体" w:eastAsia="宋体" w:cs="宋体"/>
                <w:bCs w:val="0"/>
                <w:color w:val="000000"/>
                <w:sz w:val="21"/>
                <w:szCs w:val="21"/>
              </w:rPr>
            </w:pPr>
            <w:r>
              <w:rPr>
                <w:rStyle w:val="156"/>
                <w:rFonts w:hint="eastAsia" w:ascii="宋体" w:hAnsi="宋体" w:eastAsia="宋体" w:cs="宋体"/>
                <w:b/>
                <w:bCs/>
                <w:color w:val="000000"/>
                <w:sz w:val="21"/>
                <w:szCs w:val="21"/>
              </w:rPr>
              <w:t>招标要求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0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tc>
        <w:tc>
          <w:tcPr>
            <w:tcW w:w="8050" w:type="dxa"/>
            <w:noWrap w:val="0"/>
            <w:vAlign w:val="center"/>
          </w:tcPr>
          <w:p>
            <w:pPr>
              <w:snapToGrid w:val="0"/>
              <w:jc w:val="center"/>
              <w:rPr>
                <w:rFonts w:hint="eastAsia" w:ascii="宋体" w:hAnsi="宋体" w:eastAsia="宋体" w:cs="宋体"/>
                <w:b/>
                <w:color w:val="000000"/>
                <w:sz w:val="21"/>
                <w:szCs w:val="21"/>
              </w:rPr>
            </w:pPr>
            <w:r>
              <w:rPr>
                <w:rFonts w:hint="eastAsia" w:ascii="宋体" w:hAnsi="宋体" w:eastAsia="宋体" w:cs="宋体"/>
                <w:b w:val="0"/>
                <w:bCs/>
                <w:color w:val="000000"/>
                <w:sz w:val="21"/>
                <w:szCs w:val="21"/>
              </w:rPr>
              <w:t>总体要求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22" w:hRule="atLeast"/>
        </w:trPr>
        <w:tc>
          <w:tcPr>
            <w:tcW w:w="987" w:type="dxa"/>
            <w:tcBorders>
              <w:bottom w:val="single" w:color="auto" w:sz="6" w:space="0"/>
            </w:tcBorders>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050" w:type="dxa"/>
            <w:tcBorders>
              <w:bottom w:val="single" w:color="auto" w:sz="6" w:space="0"/>
            </w:tcBorders>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配置互相匹配，用于消化内科胃肠镜下早期癌症的诊断及治疗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40"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图像处理装置与冷光源分体化设计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5"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主机可兼容荧光电子胃肠镜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主机具有窄带成像功能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主机具有自体荧光成像功能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snapToGrid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8050" w:type="dxa"/>
            <w:noWrap w:val="0"/>
            <w:vAlign w:val="center"/>
          </w:tcPr>
          <w:p>
            <w:pPr>
              <w:snapToGrid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配置要求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w:t>
            </w:r>
          </w:p>
        </w:tc>
        <w:tc>
          <w:tcPr>
            <w:tcW w:w="8050" w:type="dxa"/>
            <w:noWrap w:val="0"/>
            <w:vAlign w:val="center"/>
          </w:tcPr>
          <w:p>
            <w:pPr>
              <w:tabs>
                <w:tab w:val="left" w:pos="1800"/>
              </w:tabs>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图像处理装置（1套）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1.6.2</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内窥镜冷光源 （1台）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1.6.3</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4K超高清监视器（1台）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1.6.4</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高清电子胃镜（1条）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1.6.5</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高清放大电子胃镜（1条）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1.6.7</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高清电子结肠镜（2条）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1.6.8</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同品牌测漏器（1台）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1.6.9</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内镜信息管理系统（1套）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1.6.10</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图文工作站 （1套）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1.6.11</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高频电刀（1台）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1.6.12</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高档麻醉机（1台）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1.6.13</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内镜专用吊塔（1套）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1.6.14</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送水泵（1台）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1.6.15</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CO2泵（1台）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0" w:hRule="atLeast"/>
        </w:trPr>
        <w:tc>
          <w:tcPr>
            <w:tcW w:w="987"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1.6.16</w:t>
            </w:r>
          </w:p>
        </w:tc>
        <w:tc>
          <w:tcPr>
            <w:tcW w:w="8050"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可升降转运检查床（3辆）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51" w:hRule="atLeast"/>
        </w:trPr>
        <w:tc>
          <w:tcPr>
            <w:tcW w:w="987" w:type="dxa"/>
            <w:noWrap w:val="0"/>
            <w:vAlign w:val="center"/>
          </w:tcPr>
          <w:p>
            <w:pPr>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7</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浙江省内有同品牌的制造商设置的维修售后服务工作站（需提供驻站工程师清单及站点地址，代理商设置的维修售后服务站或第三方维修不适用）。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52"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8050" w:type="dxa"/>
            <w:noWrap w:val="0"/>
            <w:vAlign w:val="center"/>
          </w:tcPr>
          <w:p>
            <w:pPr>
              <w:snapToGrid w:val="0"/>
              <w:jc w:val="center"/>
              <w:rPr>
                <w:rFonts w:hint="eastAsia" w:ascii="宋体" w:hAnsi="宋体" w:eastAsia="宋体" w:cs="宋体"/>
                <w:b/>
                <w:color w:val="000000"/>
                <w:spacing w:val="20"/>
                <w:sz w:val="21"/>
                <w:szCs w:val="21"/>
              </w:rPr>
            </w:pPr>
            <w:r>
              <w:rPr>
                <w:rFonts w:hint="eastAsia" w:ascii="宋体" w:hAnsi="宋体" w:eastAsia="宋体" w:cs="宋体"/>
                <w:b/>
                <w:color w:val="000000"/>
                <w:sz w:val="21"/>
                <w:szCs w:val="21"/>
              </w:rPr>
              <w:t>图像处理装置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18"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8050" w:type="dxa"/>
            <w:noWrap w:val="0"/>
            <w:vAlign w:val="center"/>
          </w:tcPr>
          <w:p>
            <w:pPr>
              <w:snapToGrid w:val="0"/>
              <w:jc w:val="center"/>
              <w:rPr>
                <w:rFonts w:hint="eastAsia" w:ascii="宋体" w:hAnsi="宋体" w:eastAsia="宋体" w:cs="宋体"/>
                <w:b/>
                <w:color w:val="000000"/>
                <w:spacing w:val="20"/>
                <w:sz w:val="21"/>
                <w:szCs w:val="21"/>
              </w:rPr>
            </w:pPr>
            <w:r>
              <w:rPr>
                <w:rFonts w:hint="eastAsia" w:ascii="宋体" w:hAnsi="宋体" w:eastAsia="宋体" w:cs="宋体"/>
                <w:b/>
                <w:bCs/>
                <w:color w:val="000000"/>
                <w:sz w:val="21"/>
                <w:szCs w:val="21"/>
              </w:rPr>
              <w:t>图像处理装置：（数量：1台）</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注明品牌、型号</w:t>
            </w:r>
            <w:r>
              <w:rPr>
                <w:rFonts w:hint="eastAsia" w:ascii="宋体" w:hAnsi="宋体" w:eastAsia="宋体" w:cs="宋体"/>
                <w:b/>
                <w:color w:val="000000"/>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模拟HDTV信号输出：可以选择RGB或YPbPr 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4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数字HDTV信号输出：可选择SDI(HD-SDI 或SD-SDI)， DV(IEEE1394)，DVI(WUXGA，1080P或SXGA)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CCD成像方式：顺次式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扫描线≥1080P，可选择16:9，16:10输出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数字信号输出分辨率≥1920*1200（WUXGA）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具有主机可兼容胸腔镜，电子胃镜，电子肠镜等功能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AFI或者特殊光NBI或者OE或者BLI蓝极光成像功能可以区分炎症及癌症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窄带成像功能：使用窄波光观察的一种特殊观察用于观察腺管开口形态，毛细血管袢走形，判断早期癌症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2.1.9</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自体荧光色彩平衡调节功能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tcBorders>
              <w:bottom w:val="single" w:color="auto" w:sz="6"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2.1.10</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白平衡调节：通过前面板上的按键可以进行白平衡调节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色调调节：“R”红色调节：≥±5档  ，“B”蓝色调节：≥±5档，“C”色度调节：≥±5档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2.1.12</w:t>
            </w:r>
          </w:p>
        </w:tc>
        <w:tc>
          <w:tcPr>
            <w:tcW w:w="8050" w:type="dxa"/>
            <w:tcBorders>
              <w:bottom w:val="single" w:color="auto" w:sz="6" w:space="0"/>
            </w:tcBorders>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具有自动增益控制（AGC）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具有对比度调节功能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降噪功能：在图像处理过程中校正噪点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测光模式：≥3种模式，至少包括自动测光模式（中央最亮处和外围部分平均亮度），峰值测光及平均测光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构造强调及轮廓强调功能：电子强调内镜图象的细微形态及轮廓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适应型色彩强调：基于内镜图像的血色素值来识别粘膜细微的色彩差异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血色素色图显示功能：血色素的二维成像图，用于观察炎症部位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2.1.19</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具有电子放大功能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2.1.20</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具有图像大小选择功能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主机面板具有USB输出：用于存储静态图片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主机具有画中画输入端口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冻结功能：可以冻结内镜图像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预冻结功能：可以从按下冻结键之前的图像中挑选最清晰的图像显示出来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可在显示器上显示内镜相关数据信息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ind w:right="72"/>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8050" w:type="dxa"/>
            <w:noWrap w:val="0"/>
            <w:vAlign w:val="center"/>
          </w:tcPr>
          <w:p>
            <w:pPr>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内窥镜冷光源 （数量：1台）</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注明品牌、型号</w:t>
            </w:r>
            <w:r>
              <w:rPr>
                <w:rFonts w:hint="eastAsia" w:ascii="宋体" w:hAnsi="宋体" w:eastAsia="宋体" w:cs="宋体"/>
                <w:b/>
                <w:color w:val="000000"/>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ind w:right="72"/>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灯泡：≥300W氙气短弧灯（无臭氧）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2.2.2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灯泡平均寿命： ≥500小时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亮度调节：光路光圈控制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具有窄波光输出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具有自荧光输出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自动亮度控制模式：伺服光圈模式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自动曝光：≥17档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44"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805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4K超高清监视器（数量：1台）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2.3.1</w:t>
            </w:r>
          </w:p>
        </w:tc>
        <w:tc>
          <w:tcPr>
            <w:tcW w:w="8050" w:type="dxa"/>
            <w:noWrap w:val="0"/>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尺寸≥27英寸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52"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2.3.2</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可视角度：≥178°/178°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0"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2.3.3</w:t>
            </w:r>
          </w:p>
        </w:tc>
        <w:tc>
          <w:tcPr>
            <w:tcW w:w="8050" w:type="dxa"/>
            <w:noWrap w:val="0"/>
            <w:vAlign w:val="center"/>
          </w:tcPr>
          <w:p>
            <w:pPr>
              <w:widowControl/>
              <w:shd w:val="clear" w:color="auto" w:fill="FFFFFF"/>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分辨率：</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3840x2160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5"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w:t>
            </w:r>
          </w:p>
        </w:tc>
        <w:tc>
          <w:tcPr>
            <w:tcW w:w="8050" w:type="dxa"/>
            <w:noWrap w:val="0"/>
            <w:vAlign w:val="center"/>
          </w:tcPr>
          <w:p>
            <w:pPr>
              <w:jc w:val="lef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高清电子胃镜（注明品牌、型号</w:t>
            </w:r>
            <w:r>
              <w:rPr>
                <w:rFonts w:hint="eastAsia" w:ascii="宋体" w:hAnsi="宋体" w:eastAsia="宋体" w:cs="宋体"/>
                <w:b/>
                <w:bCs/>
                <w:color w:val="000000"/>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70"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高清电子胃镜（数量：1条）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先端短弯曲设计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常规视野：≥140°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常规景深：3～100mm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先端部外径：≤8.9mm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插入管外径：≤8.9mm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弯曲角度：上≥210°，下≥90°，左≥100°，右≥100°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有效长度：≥1000mm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全长：≥1350mm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3.1.9</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最小可视距离：距先端≤3.0mm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1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3.1.10</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钳道内径：≥2.8mm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具有内镜信息记忆功能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兼容HDTV成像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兼容窄带成像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93"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3.1.14</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内置黑白CCD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3.1.15</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具有内镜信息记忆功能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0"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3.1.16</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兼容高清成像功能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3.1.17</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兼容特殊光成像功能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72" w:hRule="atLeast"/>
        </w:trPr>
        <w:tc>
          <w:tcPr>
            <w:tcW w:w="987" w:type="dxa"/>
            <w:noWrap w:val="0"/>
            <w:vAlign w:val="center"/>
          </w:tcPr>
          <w:p>
            <w:pPr>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3.1.1</w:t>
            </w:r>
            <w:r>
              <w:rPr>
                <w:rFonts w:hint="eastAsia" w:ascii="宋体" w:hAnsi="宋体" w:eastAsia="宋体" w:cs="宋体"/>
                <w:color w:val="000000"/>
                <w:sz w:val="21"/>
                <w:szCs w:val="21"/>
                <w:lang w:val="en-US" w:eastAsia="zh-CN"/>
              </w:rPr>
              <w:t>8</w:t>
            </w:r>
          </w:p>
        </w:tc>
        <w:tc>
          <w:tcPr>
            <w:tcW w:w="8050" w:type="dxa"/>
            <w:noWrap w:val="0"/>
            <w:vAlign w:val="center"/>
          </w:tcPr>
          <w:p>
            <w:pPr>
              <w:snapToGrid w:val="0"/>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配置：内窥镜本体1条、清洗刷1把、灌流管1根、管道开口清洗刷1把、吸引按钮1个、送气送水按钮1个、钳子管道开口阀1个。先端帽2包，一次性内镜用电圈套器10个，一次性止血夹1盒，活检钳10把，异物钳10把，咬口/口垫50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69"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w:t>
            </w:r>
          </w:p>
        </w:tc>
        <w:tc>
          <w:tcPr>
            <w:tcW w:w="8050" w:type="dxa"/>
            <w:noWrap w:val="0"/>
            <w:vAlign w:val="center"/>
          </w:tcPr>
          <w:p>
            <w:pPr>
              <w:snapToGrid w:val="0"/>
              <w:jc w:val="center"/>
              <w:rPr>
                <w:rFonts w:hint="eastAsia" w:ascii="宋体" w:hAnsi="宋体" w:eastAsia="宋体" w:cs="宋体"/>
                <w:b/>
                <w:bCs/>
                <w:color w:val="000000"/>
                <w:spacing w:val="20"/>
                <w:sz w:val="21"/>
                <w:szCs w:val="21"/>
              </w:rPr>
            </w:pPr>
            <w:r>
              <w:rPr>
                <w:rFonts w:hint="eastAsia" w:ascii="宋体" w:hAnsi="宋体" w:eastAsia="宋体" w:cs="宋体"/>
                <w:b/>
                <w:bCs/>
                <w:color w:val="000000"/>
                <w:sz w:val="21"/>
                <w:szCs w:val="21"/>
              </w:rPr>
              <w:t>高清放大电子胃镜（注明品牌、型号）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8050" w:type="dxa"/>
            <w:noWrap w:val="0"/>
            <w:vAlign w:val="center"/>
          </w:tcPr>
          <w:p>
            <w:pPr>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高清放大电子胃镜（数量：1条）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31"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常规观察视野：≥140°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46"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放大观察视野：≥95°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2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常规观察景深：7～100mm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2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放大观察景深：1.5～3mm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6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先端部外径：≤10mm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6"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插入管外径：≤9.6mm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86"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弯曲角度：上≥210°，下≥90°，左≥100°，右≥100°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8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有效长度：≥1000mm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4.1.9</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全长：≥1350mm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4.1.10</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最小可视距离：距先端≤3.0mm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钳道内径：≥2.8mm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6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具有内镜信息记忆功能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86"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兼容HDTV成像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2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兼容窄带成像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2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具有副送水功能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1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先端导光束3条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2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内置黑白CCD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2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4.1.18</w:t>
            </w:r>
          </w:p>
        </w:tc>
        <w:tc>
          <w:tcPr>
            <w:tcW w:w="8050" w:type="dxa"/>
            <w:noWrap w:val="0"/>
            <w:vAlign w:val="center"/>
          </w:tcPr>
          <w:p>
            <w:pPr>
              <w:jc w:val="left"/>
              <w:rPr>
                <w:rFonts w:hint="eastAsia" w:ascii="宋体" w:hAnsi="宋体" w:eastAsia="宋体" w:cs="宋体"/>
                <w:b/>
                <w:bCs/>
                <w:color w:val="000000"/>
                <w:sz w:val="21"/>
                <w:szCs w:val="21"/>
              </w:rPr>
            </w:pPr>
            <w:r>
              <w:rPr>
                <w:rFonts w:hint="eastAsia" w:ascii="宋体" w:hAnsi="宋体" w:eastAsia="宋体" w:cs="宋体"/>
                <w:color w:val="000000"/>
                <w:sz w:val="21"/>
                <w:szCs w:val="21"/>
              </w:rPr>
              <w:t>具有特殊光成像功能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4.1.19</w:t>
            </w:r>
          </w:p>
        </w:tc>
        <w:tc>
          <w:tcPr>
            <w:tcW w:w="8050" w:type="dxa"/>
            <w:noWrap w:val="0"/>
            <w:vAlign w:val="center"/>
          </w:tcPr>
          <w:p>
            <w:pPr>
              <w:jc w:val="left"/>
              <w:rPr>
                <w:rFonts w:hint="eastAsia" w:ascii="宋体" w:hAnsi="宋体" w:eastAsia="宋体" w:cs="宋体"/>
                <w:b/>
                <w:bCs/>
                <w:color w:val="000000"/>
                <w:sz w:val="21"/>
                <w:szCs w:val="21"/>
              </w:rPr>
            </w:pPr>
            <w:r>
              <w:rPr>
                <w:rFonts w:hint="eastAsia" w:ascii="宋体" w:hAnsi="宋体" w:eastAsia="宋体" w:cs="宋体"/>
                <w:color w:val="000000"/>
                <w:sz w:val="21"/>
                <w:szCs w:val="21"/>
              </w:rPr>
              <w:t>具有内镜信息记忆功能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089" w:hRule="atLeast"/>
        </w:trPr>
        <w:tc>
          <w:tcPr>
            <w:tcW w:w="987" w:type="dxa"/>
            <w:noWrap w:val="0"/>
            <w:vAlign w:val="center"/>
          </w:tcPr>
          <w:p>
            <w:pPr>
              <w:jc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4.1.</w:t>
            </w:r>
            <w:r>
              <w:rPr>
                <w:rFonts w:hint="eastAsia" w:ascii="宋体" w:hAnsi="宋体" w:eastAsia="宋体" w:cs="宋体"/>
                <w:b/>
                <w:bCs/>
                <w:color w:val="000000"/>
                <w:sz w:val="21"/>
                <w:szCs w:val="21"/>
                <w:lang w:val="en-US" w:eastAsia="zh-CN"/>
              </w:rPr>
              <w:t>20</w:t>
            </w:r>
          </w:p>
        </w:tc>
        <w:tc>
          <w:tcPr>
            <w:tcW w:w="8050" w:type="dxa"/>
            <w:noWrap w:val="0"/>
            <w:vAlign w:val="center"/>
          </w:tcPr>
          <w:p>
            <w:pPr>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配置：内窥镜本体1条、清洗刷1把、灌流管1根、管道开口清洗刷1把、吸引按钮1个、送气送水按钮1个、钳子管道开口阀1个、口垫1个、副送水管1个。先端帽2包，一次性内镜用电圈套器10个，一次性止血夹1盒，活检钳10把，异物钳10把，咬口/口垫50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9"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w:t>
            </w:r>
          </w:p>
        </w:tc>
        <w:tc>
          <w:tcPr>
            <w:tcW w:w="805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高清电子结肠镜（注明品牌、型号）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8050"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color w:val="000000"/>
                <w:sz w:val="21"/>
                <w:szCs w:val="21"/>
              </w:rPr>
              <w:t>窄波高清电子结肠镜（数量：2条）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视野角：≥170°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景深：5～100mm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先端部外径：≤15.1mm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插入管外径：≤12mm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弯曲角度：上≥180°，下≥180°，左≥160°，右≥160°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有效长度：≥1300mm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1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全长：≥1650mm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1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最小可视距离：距先端≤3.0mm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5.1.9</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钳子管道内径：≥3.2mm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0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5.1.10</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具有内镜信息记忆功能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0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兼容HDTV成像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兼容窄带成像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具有可变硬度调节功能：操作部具有调节旋转按钮（≥4档调节）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具有副送水通道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具有强力传导功能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具有智能弯曲功能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防水一触式接头，无需防水帽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1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★5.1.18</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采用三条导光束设计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5.1.19</w:t>
            </w:r>
          </w:p>
        </w:tc>
        <w:tc>
          <w:tcPr>
            <w:tcW w:w="8050" w:type="dxa"/>
            <w:noWrap w:val="0"/>
            <w:vAlign w:val="center"/>
          </w:tcPr>
          <w:p>
            <w:pPr>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配置：内窥镜本体2条、清洗刷2把、灌流管2根、管道开口清洗刷2把、吸引按钮2个、送气送水按钮2个、钳子管道开口阀2个。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w:t>
            </w:r>
          </w:p>
        </w:tc>
        <w:tc>
          <w:tcPr>
            <w:tcW w:w="8050" w:type="dxa"/>
            <w:noWrap w:val="0"/>
            <w:vAlign w:val="center"/>
          </w:tcPr>
          <w:p>
            <w:pPr>
              <w:widowControl/>
              <w:shd w:val="clear" w:color="auto" w:fill="FFFFFF"/>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内镜信息管理系统及设备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w:t>
            </w:r>
          </w:p>
        </w:tc>
        <w:tc>
          <w:tcPr>
            <w:tcW w:w="8050" w:type="dxa"/>
            <w:noWrap w:val="0"/>
            <w:vAlign w:val="center"/>
          </w:tcPr>
          <w:p>
            <w:pPr>
              <w:widowControl/>
              <w:shd w:val="clear" w:color="auto" w:fill="FFFFFF"/>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内镜信息管理系统（数量：1套，注明品牌、型号）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6.1.1</w:t>
            </w:r>
          </w:p>
        </w:tc>
        <w:tc>
          <w:tcPr>
            <w:tcW w:w="805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登记系统支持分时段预约功能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6.1.2</w:t>
            </w:r>
          </w:p>
        </w:tc>
        <w:tc>
          <w:tcPr>
            <w:tcW w:w="805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支持自定义统计功能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6.1.3</w:t>
            </w:r>
          </w:p>
        </w:tc>
        <w:tc>
          <w:tcPr>
            <w:tcW w:w="805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通过采集卡采集的图像质量足够清晰，支持将采集的内镜图像自动转为DICOM影像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6.1.4</w:t>
            </w:r>
          </w:p>
        </w:tc>
        <w:tc>
          <w:tcPr>
            <w:tcW w:w="805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支持高清晰高分辨率采集，采集的图像分辨率大于1150*950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41"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6.1.5</w:t>
            </w:r>
          </w:p>
        </w:tc>
        <w:tc>
          <w:tcPr>
            <w:tcW w:w="805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内镜图文报告模块（或内镜图文报告模块等类似命名）通过医疗器械注册证明，提供证明文件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9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★6.1.6</w:t>
            </w:r>
          </w:p>
        </w:tc>
        <w:tc>
          <w:tcPr>
            <w:tcW w:w="805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与医院现有信息系统实现对接。HIS申请单按照医院现有模式对接，临床报告查询功能需与医院现有报告查询平台无缝对接。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6.1.7</w:t>
            </w:r>
          </w:p>
        </w:tc>
        <w:tc>
          <w:tcPr>
            <w:tcW w:w="805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具备预约登记模块，工作列表模块，报告管理模块，统计报表模块，质控管理模块，呼叫排队管理，图像调阅采集显示与处理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6.1.8</w:t>
            </w:r>
          </w:p>
        </w:tc>
        <w:tc>
          <w:tcPr>
            <w:tcW w:w="8050" w:type="dxa"/>
            <w:noWrap w:val="0"/>
            <w:vAlign w:val="center"/>
          </w:tcPr>
          <w:p>
            <w:pPr>
              <w:widowControl/>
              <w:shd w:val="clear" w:color="auto" w:fill="FFFFFF"/>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图文工作站（数量：1套）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1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6.1.8.1</w:t>
            </w:r>
          </w:p>
        </w:tc>
        <w:tc>
          <w:tcPr>
            <w:tcW w:w="8050" w:type="dxa"/>
            <w:noWrap w:val="0"/>
            <w:vAlign w:val="center"/>
          </w:tcPr>
          <w:p>
            <w:pPr>
              <w:widowControl/>
              <w:shd w:val="clear" w:color="auto" w:fill="FFFFFF"/>
              <w:jc w:val="left"/>
              <w:rPr>
                <w:rFonts w:hint="eastAsia" w:ascii="宋体" w:hAnsi="宋体" w:eastAsia="宋体" w:cs="宋体"/>
                <w:color w:val="000000"/>
                <w:sz w:val="21"/>
                <w:szCs w:val="21"/>
              </w:rPr>
            </w:pPr>
            <w:r>
              <w:rPr>
                <w:rFonts w:hint="eastAsia" w:ascii="宋体" w:hAnsi="宋体" w:eastAsia="宋体" w:cs="宋体"/>
                <w:color w:val="000000"/>
                <w:sz w:val="21"/>
                <w:szCs w:val="21"/>
              </w:rPr>
              <w:t>配置：2台品牌PC（cpu: i5-13500以上、内存：16G、固态硬盘：512G+1T机械、显示器：24寸）、一线品牌打印机2台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 w:hRule="atLeast"/>
        </w:trPr>
        <w:tc>
          <w:tcPr>
            <w:tcW w:w="987" w:type="dxa"/>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8050" w:type="dxa"/>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设备（数量：1批）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9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高频电刀1台（注明品牌、型号）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单极切割功率：0—200瓦功率可调；</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单极电凝功率:0—120瓦可调；</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单极电凝模式:电凝输出模式≥3种；</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单极切割模式≥3种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要求具备内镜下专用切割模式，分别适用于内镜下十二指肠乳头切开和息肉切除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低电压设计:峰值电压≤4300V</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双极凝血控制模式；脚踏开关控制；自动启动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具开机自检功能；具有程序存储和程序控制功能，可存储9组程序；具备错误代码储存功能，便于远程诊断和维修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7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6.2.1.6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有最小功率输出控制系统和功率峰值补偿系统，具备中性电极安全监测系统、输出错误监测系统、时间限制检测系统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高档麻醉机1台（注明品牌、型号）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6.2.2.1</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应用范围：新生儿、儿童及成人等所有病人通气。（体现于注册证）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6.2.2.2</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氧气、空气双气源；气动电控呼吸机，</w:t>
            </w:r>
            <w:r>
              <w:rPr>
                <w:rStyle w:val="157"/>
                <w:rFonts w:hint="eastAsia" w:ascii="宋体" w:hAnsi="宋体" w:eastAsia="宋体" w:cs="宋体"/>
                <w:sz w:val="21"/>
                <w:szCs w:val="21"/>
              </w:rPr>
              <w:t>原机外置式屏幕≥</w:t>
            </w:r>
            <w:r>
              <w:rPr>
                <w:rStyle w:val="158"/>
                <w:rFonts w:hint="eastAsia" w:ascii="宋体" w:hAnsi="宋体" w:eastAsia="宋体" w:cs="宋体"/>
                <w:sz w:val="21"/>
                <w:szCs w:val="21"/>
              </w:rPr>
              <w:t>15</w:t>
            </w:r>
            <w:r>
              <w:rPr>
                <w:rStyle w:val="157"/>
                <w:rFonts w:hint="eastAsia" w:ascii="宋体" w:hAnsi="宋体" w:eastAsia="宋体" w:cs="宋体"/>
                <w:sz w:val="21"/>
                <w:szCs w:val="21"/>
              </w:rPr>
              <w:t>英寸彩色可触摸显示屏幕，</w:t>
            </w:r>
            <w:r>
              <w:rPr>
                <w:rFonts w:hint="eastAsia" w:ascii="宋体" w:hAnsi="宋体" w:eastAsia="宋体" w:cs="宋体"/>
                <w:color w:val="000000"/>
                <w:sz w:val="21"/>
                <w:szCs w:val="21"/>
              </w:rPr>
              <w:t>可270度平面旋转，可调节倾斜度。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6.2.2.3</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Style w:val="157"/>
                <w:rFonts w:hint="eastAsia" w:ascii="宋体" w:hAnsi="宋体" w:eastAsia="宋体" w:cs="宋体"/>
                <w:sz w:val="21"/>
                <w:szCs w:val="21"/>
              </w:rPr>
              <w:t>提供辅助</w:t>
            </w:r>
            <w:r>
              <w:rPr>
                <w:rStyle w:val="158"/>
                <w:rFonts w:hint="eastAsia" w:ascii="宋体" w:hAnsi="宋体" w:eastAsia="宋体" w:cs="宋体"/>
                <w:sz w:val="21"/>
                <w:szCs w:val="21"/>
              </w:rPr>
              <w:t>/</w:t>
            </w:r>
            <w:r>
              <w:rPr>
                <w:rStyle w:val="157"/>
                <w:rFonts w:hint="eastAsia" w:ascii="宋体" w:hAnsi="宋体" w:eastAsia="宋体" w:cs="宋体"/>
                <w:sz w:val="21"/>
                <w:szCs w:val="21"/>
              </w:rPr>
              <w:t>控制</w:t>
            </w:r>
            <w:r>
              <w:rPr>
                <w:rStyle w:val="158"/>
                <w:rFonts w:hint="eastAsia" w:ascii="宋体" w:hAnsi="宋体" w:eastAsia="宋体" w:cs="宋体"/>
                <w:sz w:val="21"/>
                <w:szCs w:val="21"/>
              </w:rPr>
              <w:t>/</w:t>
            </w:r>
            <w:r>
              <w:rPr>
                <w:rStyle w:val="157"/>
                <w:rFonts w:hint="eastAsia" w:ascii="宋体" w:hAnsi="宋体" w:eastAsia="宋体" w:cs="宋体"/>
                <w:sz w:val="21"/>
                <w:szCs w:val="21"/>
              </w:rPr>
              <w:t>支持通气模式，标配</w:t>
            </w:r>
            <w:r>
              <w:rPr>
                <w:rStyle w:val="158"/>
                <w:rFonts w:hint="eastAsia" w:ascii="宋体" w:hAnsi="宋体" w:eastAsia="宋体" w:cs="宋体"/>
                <w:sz w:val="21"/>
                <w:szCs w:val="21"/>
              </w:rPr>
              <w:t>: VCV</w:t>
            </w:r>
            <w:r>
              <w:rPr>
                <w:rStyle w:val="157"/>
                <w:rFonts w:hint="eastAsia" w:ascii="宋体" w:hAnsi="宋体" w:eastAsia="宋体" w:cs="宋体"/>
                <w:sz w:val="21"/>
                <w:szCs w:val="21"/>
              </w:rPr>
              <w:t>、</w:t>
            </w:r>
            <w:r>
              <w:rPr>
                <w:rStyle w:val="158"/>
                <w:rFonts w:hint="eastAsia" w:ascii="宋体" w:hAnsi="宋体" w:eastAsia="宋体" w:cs="宋体"/>
                <w:sz w:val="21"/>
                <w:szCs w:val="21"/>
              </w:rPr>
              <w:t>PCV</w:t>
            </w:r>
            <w:r>
              <w:rPr>
                <w:rStyle w:val="157"/>
                <w:rFonts w:hint="eastAsia" w:ascii="宋体" w:hAnsi="宋体" w:eastAsia="宋体" w:cs="宋体"/>
                <w:sz w:val="21"/>
                <w:szCs w:val="21"/>
              </w:rPr>
              <w:t>、压力控制容量保证（</w:t>
            </w:r>
            <w:r>
              <w:rPr>
                <w:rStyle w:val="158"/>
                <w:rFonts w:hint="eastAsia" w:ascii="宋体" w:hAnsi="宋体" w:eastAsia="宋体" w:cs="宋体"/>
                <w:sz w:val="21"/>
                <w:szCs w:val="21"/>
              </w:rPr>
              <w:t>PCV-VG</w:t>
            </w:r>
            <w:r>
              <w:rPr>
                <w:rStyle w:val="157"/>
                <w:rFonts w:hint="eastAsia" w:ascii="宋体" w:hAnsi="宋体" w:eastAsia="宋体" w:cs="宋体"/>
                <w:sz w:val="21"/>
                <w:szCs w:val="21"/>
              </w:rPr>
              <w:t>）、</w:t>
            </w:r>
            <w:r>
              <w:rPr>
                <w:rStyle w:val="158"/>
                <w:rFonts w:hint="eastAsia" w:ascii="宋体" w:hAnsi="宋体" w:eastAsia="宋体" w:cs="宋体"/>
                <w:sz w:val="21"/>
                <w:szCs w:val="21"/>
              </w:rPr>
              <w:t>SIMV PCV</w:t>
            </w:r>
            <w:r>
              <w:rPr>
                <w:rStyle w:val="157"/>
                <w:rFonts w:hint="eastAsia" w:ascii="宋体" w:hAnsi="宋体" w:eastAsia="宋体" w:cs="宋体"/>
                <w:sz w:val="21"/>
                <w:szCs w:val="21"/>
              </w:rPr>
              <w:t>、</w:t>
            </w:r>
            <w:r>
              <w:rPr>
                <w:rStyle w:val="158"/>
                <w:rFonts w:hint="eastAsia" w:ascii="宋体" w:hAnsi="宋体" w:eastAsia="宋体" w:cs="宋体"/>
                <w:sz w:val="21"/>
                <w:szCs w:val="21"/>
              </w:rPr>
              <w:t>SIMV VCV</w:t>
            </w:r>
            <w:r>
              <w:rPr>
                <w:rStyle w:val="157"/>
                <w:rFonts w:hint="eastAsia" w:ascii="宋体" w:hAnsi="宋体" w:eastAsia="宋体" w:cs="宋体"/>
                <w:sz w:val="21"/>
                <w:szCs w:val="21"/>
              </w:rPr>
              <w:t>、</w:t>
            </w:r>
            <w:r>
              <w:rPr>
                <w:rStyle w:val="158"/>
                <w:rFonts w:hint="eastAsia" w:ascii="宋体" w:hAnsi="宋体" w:eastAsia="宋体" w:cs="宋体"/>
                <w:sz w:val="21"/>
                <w:szCs w:val="21"/>
              </w:rPr>
              <w:t>PSV Pro</w:t>
            </w:r>
            <w:r>
              <w:rPr>
                <w:rStyle w:val="157"/>
                <w:rFonts w:hint="eastAsia" w:ascii="宋体" w:hAnsi="宋体" w:eastAsia="宋体" w:cs="宋体"/>
                <w:sz w:val="21"/>
                <w:szCs w:val="21"/>
              </w:rPr>
              <w:t>、手动通气、电子</w:t>
            </w:r>
            <w:r>
              <w:rPr>
                <w:rStyle w:val="158"/>
                <w:rFonts w:hint="eastAsia" w:ascii="宋体" w:hAnsi="宋体" w:eastAsia="宋体" w:cs="宋体"/>
                <w:sz w:val="21"/>
                <w:szCs w:val="21"/>
              </w:rPr>
              <w:t>PEEP；</w:t>
            </w:r>
            <w:r>
              <w:rPr>
                <w:rFonts w:hint="eastAsia" w:ascii="宋体" w:hAnsi="宋体" w:eastAsia="宋体" w:cs="宋体"/>
                <w:color w:val="000000"/>
                <w:kern w:val="0"/>
                <w:sz w:val="21"/>
                <w:szCs w:val="21"/>
              </w:rPr>
              <w:t>标配三种工作模式：通气模式、待机模式和心脏手术模式。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6.2.2.4</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rPr>
              <w:t>具备流量静态以及动态实时自动补偿功能，补偿新鲜气体变化、气体压缩、回路顺应性变化以及小的回路泄漏造成的吸入潮气量和设置潮气量的误差。</w:t>
            </w:r>
            <w:r>
              <w:rPr>
                <w:rStyle w:val="157"/>
                <w:rFonts w:hint="eastAsia" w:ascii="宋体" w:hAnsi="宋体" w:eastAsia="宋体" w:cs="宋体"/>
                <w:sz w:val="21"/>
                <w:szCs w:val="21"/>
              </w:rPr>
              <w:t>流量补偿范围：</w:t>
            </w:r>
            <w:r>
              <w:rPr>
                <w:rStyle w:val="158"/>
                <w:rFonts w:hint="eastAsia" w:ascii="宋体" w:hAnsi="宋体" w:eastAsia="宋体" w:cs="宋体"/>
                <w:sz w:val="21"/>
                <w:szCs w:val="21"/>
              </w:rPr>
              <w:t>100 ml/ min-15 l/min。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6.2.5.1</w:t>
            </w:r>
          </w:p>
        </w:tc>
        <w:tc>
          <w:tcPr>
            <w:tcW w:w="8050" w:type="dxa"/>
            <w:noWrap w:val="0"/>
            <w:vAlign w:val="center"/>
          </w:tcPr>
          <w:p>
            <w:pPr>
              <w:widowControl/>
              <w:jc w:val="left"/>
              <w:textAlignment w:val="bottom"/>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流量计：</w:t>
            </w:r>
            <w:r>
              <w:rPr>
                <w:rStyle w:val="157"/>
                <w:rFonts w:hint="eastAsia" w:ascii="宋体" w:hAnsi="宋体" w:eastAsia="宋体" w:cs="宋体"/>
                <w:sz w:val="21"/>
                <w:szCs w:val="21"/>
              </w:rPr>
              <w:t>电子流量计，氧气、空气，流量通过呼吸机屏幕电子显示；流量范围</w:t>
            </w:r>
            <w:r>
              <w:rPr>
                <w:rStyle w:val="158"/>
                <w:rFonts w:hint="eastAsia" w:ascii="宋体" w:hAnsi="宋体" w:eastAsia="宋体" w:cs="宋体"/>
                <w:sz w:val="21"/>
                <w:szCs w:val="21"/>
              </w:rPr>
              <w:t>0.1-15 l/min</w:t>
            </w:r>
            <w:r>
              <w:rPr>
                <w:rStyle w:val="157"/>
                <w:rFonts w:hint="eastAsia" w:ascii="宋体" w:hAnsi="宋体" w:eastAsia="宋体" w:cs="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6.2.2.6</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b/>
                <w:color w:val="000000"/>
                <w:kern w:val="0"/>
                <w:sz w:val="21"/>
                <w:szCs w:val="21"/>
              </w:rPr>
              <w:t>呼吸回路：</w:t>
            </w:r>
            <w:r>
              <w:rPr>
                <w:rStyle w:val="157"/>
                <w:rFonts w:hint="eastAsia" w:ascii="宋体" w:hAnsi="宋体" w:eastAsia="宋体" w:cs="宋体"/>
                <w:sz w:val="21"/>
                <w:szCs w:val="21"/>
              </w:rPr>
              <w:t>所有模块可耐受</w:t>
            </w:r>
            <w:r>
              <w:rPr>
                <w:rStyle w:val="158"/>
                <w:rFonts w:hint="eastAsia" w:ascii="宋体" w:hAnsi="宋体" w:eastAsia="宋体" w:cs="宋体"/>
                <w:sz w:val="21"/>
                <w:szCs w:val="21"/>
              </w:rPr>
              <w:t>134</w:t>
            </w:r>
            <w:r>
              <w:rPr>
                <w:rStyle w:val="157"/>
                <w:rFonts w:hint="eastAsia" w:ascii="宋体" w:hAnsi="宋体" w:eastAsia="宋体" w:cs="宋体"/>
                <w:sz w:val="21"/>
                <w:szCs w:val="21"/>
              </w:rPr>
              <w:t>℃高温高压消毒避免院内交叉感染；</w:t>
            </w:r>
            <w:r>
              <w:rPr>
                <w:rFonts w:hint="eastAsia" w:ascii="宋体" w:hAnsi="宋体" w:eastAsia="宋体" w:cs="宋体"/>
                <w:color w:val="000000"/>
                <w:kern w:val="0"/>
                <w:sz w:val="21"/>
                <w:szCs w:val="21"/>
              </w:rPr>
              <w:t>标配内置二氧化碳旁路功能，物理去除水汽，解决回路积水，支持术中更换钠石灰。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6.2.2.7</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b/>
                <w:color w:val="000000"/>
                <w:kern w:val="0"/>
                <w:sz w:val="21"/>
                <w:szCs w:val="21"/>
              </w:rPr>
              <w:t>数字和波形监测：</w:t>
            </w:r>
            <w:r>
              <w:rPr>
                <w:rStyle w:val="157"/>
                <w:rFonts w:hint="eastAsia" w:ascii="宋体" w:hAnsi="宋体" w:eastAsia="宋体" w:cs="宋体"/>
                <w:sz w:val="21"/>
                <w:szCs w:val="21"/>
              </w:rPr>
              <w:t>监测参数：吸入氧、笑气或空气流量、呼吸频率、潮气量、分钟通气量、气道压（峰压、平台压、平均压、</w:t>
            </w:r>
            <w:r>
              <w:rPr>
                <w:rStyle w:val="158"/>
                <w:rFonts w:hint="eastAsia" w:ascii="宋体" w:hAnsi="宋体" w:eastAsia="宋体" w:cs="宋体"/>
                <w:sz w:val="21"/>
                <w:szCs w:val="21"/>
              </w:rPr>
              <w:t>PEEP</w:t>
            </w:r>
            <w:r>
              <w:rPr>
                <w:rStyle w:val="157"/>
                <w:rFonts w:hint="eastAsia" w:ascii="宋体" w:hAnsi="宋体" w:eastAsia="宋体" w:cs="宋体"/>
                <w:sz w:val="21"/>
                <w:szCs w:val="21"/>
              </w:rPr>
              <w:t>）；实时压力时间、流速时间呼吸波形描记并同屏显示。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6.2.2.8</w:t>
            </w:r>
          </w:p>
        </w:tc>
        <w:tc>
          <w:tcPr>
            <w:tcW w:w="8050" w:type="dxa"/>
            <w:noWrap w:val="0"/>
            <w:vAlign w:val="center"/>
          </w:tcPr>
          <w:p>
            <w:pPr>
              <w:widowControl/>
              <w:jc w:val="left"/>
              <w:textAlignment w:val="bottom"/>
              <w:rPr>
                <w:rFonts w:hint="eastAsia" w:ascii="宋体" w:hAnsi="宋体" w:eastAsia="宋体" w:cs="宋体"/>
                <w:b/>
                <w:color w:val="000000"/>
                <w:sz w:val="21"/>
                <w:szCs w:val="21"/>
              </w:rPr>
            </w:pPr>
            <w:r>
              <w:rPr>
                <w:rStyle w:val="157"/>
                <w:rFonts w:hint="eastAsia" w:ascii="宋体" w:hAnsi="宋体" w:eastAsia="宋体" w:cs="宋体"/>
                <w:sz w:val="21"/>
                <w:szCs w:val="21"/>
              </w:rPr>
              <w:t>配置回路呼吸环监测功能，可监测描记：压力容量环、流量容量环和压力流量环；回路顺应性；气体流速，并可储存≥6个环。</w:t>
            </w:r>
            <w:r>
              <w:rPr>
                <w:rFonts w:hint="eastAsia" w:ascii="宋体" w:hAnsi="宋体" w:eastAsia="宋体" w:cs="宋体"/>
                <w:color w:val="000000"/>
                <w:kern w:val="0"/>
                <w:sz w:val="21"/>
                <w:szCs w:val="21"/>
              </w:rPr>
              <w:t>配置气体模块侧插槽，可选配：气体监测模块，可热插拔，无需关机重启，开机状态下即可更换。</w:t>
            </w:r>
            <w:r>
              <w:rPr>
                <w:rStyle w:val="157"/>
                <w:rFonts w:hint="eastAsia" w:ascii="宋体" w:hAnsi="宋体" w:eastAsia="宋体" w:cs="宋体"/>
                <w:sz w:val="21"/>
                <w:szCs w:val="21"/>
              </w:rPr>
              <w:t>潮气量监测范围：</w:t>
            </w:r>
            <w:r>
              <w:rPr>
                <w:rStyle w:val="158"/>
                <w:rFonts w:hint="eastAsia" w:ascii="宋体" w:hAnsi="宋体" w:eastAsia="宋体" w:cs="宋体"/>
                <w:sz w:val="21"/>
                <w:szCs w:val="21"/>
              </w:rPr>
              <w:t xml:space="preserve">5 </w:t>
            </w:r>
            <w:r>
              <w:rPr>
                <w:rStyle w:val="157"/>
                <w:rFonts w:hint="eastAsia" w:ascii="宋体" w:hAnsi="宋体" w:eastAsia="宋体" w:cs="宋体"/>
                <w:sz w:val="21"/>
                <w:szCs w:val="21"/>
              </w:rPr>
              <w:t>到</w:t>
            </w:r>
            <w:r>
              <w:rPr>
                <w:rStyle w:val="158"/>
                <w:rFonts w:hint="eastAsia" w:ascii="宋体" w:hAnsi="宋体" w:eastAsia="宋体" w:cs="宋体"/>
                <w:sz w:val="21"/>
                <w:szCs w:val="21"/>
              </w:rPr>
              <w:t>1500ml</w:t>
            </w:r>
            <w:r>
              <w:rPr>
                <w:rStyle w:val="157"/>
                <w:rFonts w:hint="eastAsia" w:ascii="宋体" w:hAnsi="宋体" w:eastAsia="宋体" w:cs="宋体"/>
                <w:sz w:val="21"/>
                <w:szCs w:val="21"/>
              </w:rPr>
              <w:t>。</w:t>
            </w:r>
            <w:r>
              <w:rPr>
                <w:rFonts w:hint="eastAsia" w:ascii="宋体" w:hAnsi="宋体" w:eastAsia="宋体" w:cs="宋体"/>
                <w:color w:val="000000"/>
                <w:kern w:val="0"/>
                <w:sz w:val="21"/>
                <w:szCs w:val="21"/>
              </w:rPr>
              <w:t>报警参数：氧浓度、低驱动压、气道压、潮气量、分钟通气量、窒息。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2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★6.2.2.9</w:t>
            </w:r>
          </w:p>
        </w:tc>
        <w:tc>
          <w:tcPr>
            <w:tcW w:w="8050" w:type="dxa"/>
            <w:noWrap w:val="0"/>
            <w:vAlign w:val="center"/>
          </w:tcPr>
          <w:p>
            <w:pPr>
              <w:widowControl/>
              <w:jc w:val="left"/>
              <w:textAlignment w:val="bottom"/>
              <w:rPr>
                <w:rFonts w:hint="eastAsia" w:ascii="宋体" w:hAnsi="宋体" w:eastAsia="宋体" w:cs="宋体"/>
                <w:color w:val="000000"/>
                <w:sz w:val="21"/>
                <w:szCs w:val="21"/>
              </w:rPr>
            </w:pPr>
            <w:r>
              <w:rPr>
                <w:rFonts w:hint="eastAsia" w:ascii="宋体" w:hAnsi="宋体" w:eastAsia="宋体" w:cs="宋体"/>
                <w:b/>
                <w:color w:val="000000"/>
                <w:kern w:val="0"/>
                <w:sz w:val="21"/>
                <w:szCs w:val="21"/>
              </w:rPr>
              <w:t>传感器：</w:t>
            </w:r>
            <w:r>
              <w:rPr>
                <w:rStyle w:val="157"/>
                <w:rFonts w:hint="eastAsia" w:ascii="宋体" w:hAnsi="宋体" w:eastAsia="宋体" w:cs="宋体"/>
                <w:sz w:val="21"/>
                <w:szCs w:val="21"/>
              </w:rPr>
              <w:t>高精度韧钢抗变型加热流量传感器</w:t>
            </w:r>
            <w:r>
              <w:rPr>
                <w:rStyle w:val="158"/>
                <w:rFonts w:hint="eastAsia" w:ascii="宋体" w:hAnsi="宋体" w:eastAsia="宋体" w:cs="宋体"/>
                <w:sz w:val="21"/>
                <w:szCs w:val="21"/>
              </w:rPr>
              <w:t xml:space="preserve">, </w:t>
            </w:r>
            <w:r>
              <w:rPr>
                <w:rStyle w:val="157"/>
                <w:rFonts w:hint="eastAsia" w:ascii="宋体" w:hAnsi="宋体" w:eastAsia="宋体" w:cs="宋体"/>
                <w:sz w:val="21"/>
                <w:szCs w:val="21"/>
              </w:rPr>
              <w:t>可耐受</w:t>
            </w:r>
            <w:r>
              <w:rPr>
                <w:rStyle w:val="158"/>
                <w:rFonts w:hint="eastAsia" w:ascii="宋体" w:hAnsi="宋体" w:eastAsia="宋体" w:cs="宋体"/>
                <w:sz w:val="21"/>
                <w:szCs w:val="21"/>
              </w:rPr>
              <w:t>134</w:t>
            </w:r>
            <w:r>
              <w:rPr>
                <w:rStyle w:val="157"/>
                <w:rFonts w:hint="eastAsia" w:ascii="宋体" w:hAnsi="宋体" w:eastAsia="宋体" w:cs="宋体"/>
                <w:sz w:val="21"/>
                <w:szCs w:val="21"/>
              </w:rPr>
              <w:t>℃高温高压消毒</w:t>
            </w:r>
            <w:r>
              <w:rPr>
                <w:rStyle w:val="158"/>
                <w:rFonts w:hint="eastAsia" w:ascii="宋体" w:hAnsi="宋体" w:eastAsia="宋体" w:cs="宋体"/>
                <w:sz w:val="21"/>
                <w:szCs w:val="21"/>
              </w:rPr>
              <w:t>, 并在流量传感器上有明确字样标示可</w:t>
            </w:r>
            <w:r>
              <w:rPr>
                <w:rStyle w:val="157"/>
                <w:rFonts w:hint="eastAsia" w:ascii="宋体" w:hAnsi="宋体" w:eastAsia="宋体" w:cs="宋体"/>
                <w:sz w:val="21"/>
                <w:szCs w:val="21"/>
              </w:rPr>
              <w:t>耐受</w:t>
            </w:r>
            <w:r>
              <w:rPr>
                <w:rStyle w:val="158"/>
                <w:rFonts w:hint="eastAsia" w:ascii="宋体" w:hAnsi="宋体" w:eastAsia="宋体" w:cs="宋体"/>
                <w:sz w:val="21"/>
                <w:szCs w:val="21"/>
              </w:rPr>
              <w:t>134</w:t>
            </w:r>
            <w:r>
              <w:rPr>
                <w:rStyle w:val="157"/>
                <w:rFonts w:hint="eastAsia" w:ascii="宋体" w:hAnsi="宋体" w:eastAsia="宋体" w:cs="宋体"/>
                <w:sz w:val="21"/>
                <w:szCs w:val="21"/>
              </w:rPr>
              <w:t>℃高温高压消毒字样</w:t>
            </w:r>
            <w:r>
              <w:rPr>
                <w:rStyle w:val="157"/>
                <w:rFonts w:hint="eastAsia" w:ascii="宋体" w:hAnsi="宋体" w:eastAsia="宋体" w:cs="宋体"/>
                <w:color w:val="000000" w:themeColor="text1"/>
                <w:sz w:val="21"/>
                <w:szCs w:val="21"/>
                <w:lang w:eastAsia="zh-CN"/>
                <w14:textFill>
                  <w14:solidFill>
                    <w14:schemeClr w14:val="tx1"/>
                  </w14:solidFill>
                </w14:textFill>
              </w:rPr>
              <w:t>（</w:t>
            </w:r>
            <w:r>
              <w:rPr>
                <w:rStyle w:val="157"/>
                <w:rFonts w:hint="eastAsia" w:ascii="宋体" w:hAnsi="宋体" w:eastAsia="宋体" w:cs="宋体"/>
                <w:color w:val="000000" w:themeColor="text1"/>
                <w:sz w:val="21"/>
                <w:szCs w:val="21"/>
                <w:lang w:val="en-US" w:eastAsia="zh-CN"/>
                <w14:textFill>
                  <w14:solidFill>
                    <w14:schemeClr w14:val="tx1"/>
                  </w14:solidFill>
                </w14:textFill>
              </w:rPr>
              <w:t>提供字样清晰照片</w:t>
            </w:r>
            <w:r>
              <w:rPr>
                <w:rStyle w:val="157"/>
                <w:rFonts w:hint="eastAsia" w:ascii="宋体" w:hAnsi="宋体" w:eastAsia="宋体" w:cs="宋体"/>
                <w:color w:val="000000" w:themeColor="text1"/>
                <w:sz w:val="21"/>
                <w:szCs w:val="21"/>
                <w:lang w:eastAsia="zh-CN"/>
                <w14:textFill>
                  <w14:solidFill>
                    <w14:schemeClr w14:val="tx1"/>
                  </w14:solidFill>
                </w14:textFill>
              </w:rPr>
              <w:t>）</w:t>
            </w:r>
            <w:r>
              <w:rPr>
                <w:rStyle w:val="157"/>
                <w:rFonts w:hint="eastAsia" w:ascii="宋体" w:hAnsi="宋体" w:eastAsia="宋体" w:cs="宋体"/>
                <w:sz w:val="21"/>
                <w:szCs w:val="21"/>
              </w:rPr>
              <w:t>，最小潮气量监测值不大于</w:t>
            </w:r>
            <w:r>
              <w:rPr>
                <w:rStyle w:val="158"/>
                <w:rFonts w:hint="eastAsia" w:ascii="宋体" w:hAnsi="宋体" w:eastAsia="宋体" w:cs="宋体"/>
                <w:sz w:val="21"/>
                <w:szCs w:val="21"/>
              </w:rPr>
              <w:t>5ml</w:t>
            </w:r>
            <w:r>
              <w:rPr>
                <w:rStyle w:val="157"/>
                <w:rFonts w:hint="eastAsia" w:ascii="宋体" w:hAnsi="宋体" w:eastAsia="宋体" w:cs="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6.2.2.10</w:t>
            </w:r>
          </w:p>
        </w:tc>
        <w:tc>
          <w:tcPr>
            <w:tcW w:w="8050" w:type="dxa"/>
            <w:noWrap w:val="0"/>
            <w:vAlign w:val="center"/>
          </w:tcPr>
          <w:p>
            <w:pPr>
              <w:widowControl/>
              <w:jc w:val="left"/>
              <w:textAlignment w:val="bottom"/>
              <w:rPr>
                <w:rFonts w:hint="eastAsia" w:ascii="宋体" w:hAnsi="宋体" w:eastAsia="宋体" w:cs="宋体"/>
                <w:b/>
                <w:color w:val="000000"/>
                <w:sz w:val="21"/>
                <w:szCs w:val="21"/>
              </w:rPr>
            </w:pPr>
            <w:r>
              <w:rPr>
                <w:rFonts w:hint="eastAsia" w:ascii="宋体" w:hAnsi="宋体" w:eastAsia="宋体" w:cs="宋体"/>
                <w:b/>
                <w:bCs/>
                <w:color w:val="000000"/>
                <w:kern w:val="0"/>
                <w:sz w:val="21"/>
                <w:szCs w:val="21"/>
              </w:rPr>
              <w:t>配置要求：</w:t>
            </w:r>
            <w:r>
              <w:rPr>
                <w:rStyle w:val="157"/>
                <w:rFonts w:hint="eastAsia" w:ascii="宋体" w:hAnsi="宋体" w:eastAsia="宋体" w:cs="宋体"/>
                <w:sz w:val="21"/>
                <w:szCs w:val="21"/>
              </w:rPr>
              <w:t>主机一台：双罐位，</w:t>
            </w:r>
            <w:r>
              <w:rPr>
                <w:rFonts w:hint="eastAsia" w:ascii="宋体" w:hAnsi="宋体" w:eastAsia="宋体" w:cs="宋体"/>
                <w:color w:val="000000"/>
                <w:kern w:val="0"/>
                <w:sz w:val="21"/>
                <w:szCs w:val="21"/>
              </w:rPr>
              <w:t>柒氟醚蒸发罐 1个，回路冷凝装置 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6.2.3</w:t>
            </w:r>
          </w:p>
        </w:tc>
        <w:tc>
          <w:tcPr>
            <w:tcW w:w="8050" w:type="dxa"/>
            <w:noWrap w:val="0"/>
            <w:vAlign w:val="center"/>
          </w:tcPr>
          <w:p>
            <w:pPr>
              <w:widowControl/>
              <w:jc w:val="left"/>
              <w:textAlignment w:val="bottom"/>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内镜专用吊塔1套（注明品牌、型号）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6.2.3.1</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吊塔主体需采用国标6063和6005高强度铝合金材质（需提供型材材质检测报告）。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39"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6.2.3.2</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吊塔表面采用静电喷涂环保粉末材料工艺，亚光无眩目感，材料抗菌，防霉，易消毒和清洗（需提供喷涂材料材质检测报告）。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6.2.3.3</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仪器平台：采用</w:t>
            </w:r>
            <w:bookmarkStart w:id="130" w:name="_Hlk161826339"/>
            <w:r>
              <w:rPr>
                <w:rFonts w:hint="eastAsia" w:ascii="宋体" w:hAnsi="宋体" w:eastAsia="宋体" w:cs="宋体"/>
                <w:color w:val="000000"/>
                <w:sz w:val="21"/>
                <w:szCs w:val="21"/>
              </w:rPr>
              <w:t>高强度铝合金型材整体拉制而成，</w:t>
            </w:r>
            <w:bookmarkEnd w:id="130"/>
            <w:r>
              <w:rPr>
                <w:rFonts w:hint="eastAsia" w:ascii="宋体" w:hAnsi="宋体" w:eastAsia="宋体" w:cs="宋体"/>
                <w:color w:val="000000"/>
                <w:sz w:val="21"/>
                <w:szCs w:val="21"/>
              </w:rPr>
              <w:t>严禁采用钢板，镀锌板等易锈蚀材质，有效搁置尺寸≥600×600(mm)，两侧配有标准不锈钢边轨，以便挂载其它设备，摆放高度可调节（需提供第三方检测机构出具的承重测试报告）。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6.2.3.4</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抽屉：采用全铝合金型材拼接结构，禁止采用塑料、镀锌板等其它材质，带阻尼式自动吸附功能，可有效防止开关抽屉时对设备造成严重碰撞，尺寸≥540×460×180(mm)）。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★6.2.3.5</w:t>
            </w:r>
          </w:p>
        </w:tc>
        <w:tc>
          <w:tcPr>
            <w:tcW w:w="8050" w:type="dxa"/>
            <w:noWrap w:val="0"/>
            <w:vAlign w:val="center"/>
          </w:tcPr>
          <w:p>
            <w:pPr>
              <w:spacing w:line="360" w:lineRule="auto"/>
              <w:jc w:val="left"/>
              <w:rPr>
                <w:rFonts w:hint="eastAsia" w:ascii="宋体" w:hAnsi="宋体" w:eastAsia="宋体" w:cs="宋体"/>
                <w:color w:val="000000"/>
                <w:sz w:val="21"/>
                <w:szCs w:val="21"/>
              </w:rPr>
            </w:pPr>
            <w:bookmarkStart w:id="131" w:name="_Hlk142380287"/>
            <w:r>
              <w:rPr>
                <w:rFonts w:hint="eastAsia" w:ascii="宋体" w:hAnsi="宋体" w:eastAsia="宋体" w:cs="宋体"/>
                <w:color w:val="000000"/>
                <w:sz w:val="21"/>
                <w:szCs w:val="21"/>
              </w:rPr>
              <w:t>气体终端：与吊塔同一品牌，六滚珠设计，接口颜色以及形状不同，具有防误接功能，有通、断、拔三种状态，能带气维修，无故障插拔≥6万次（需提供第三方气体终端插拔次数检测报告）</w:t>
            </w:r>
            <w:bookmarkEnd w:id="131"/>
            <w:r>
              <w:rPr>
                <w:rFonts w:hint="eastAsia" w:ascii="宋体" w:hAnsi="宋体" w:eastAsia="宋体" w:cs="宋体"/>
                <w:color w:val="00000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6.2.3.6</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吊塔悬臂承载重量≥400kg，功能柱箱体承载重量≥300kg，仪器平台承载重量≥140kg，伸展臂承载重量≥30kg，并通过四倍承重系数安全负载检测（需提供第三方检测机构出具的检测报告）。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6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6.2.3.7</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吊塔关节轴承在载荷≥5000N•m状态下，可安全无故障运转≥13万次。</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需提供第三方检测机构出具的检测报告</w:t>
            </w:r>
            <w:r>
              <w:rPr>
                <w:rFonts w:hint="eastAsia" w:ascii="宋体" w:hAnsi="宋体" w:eastAsia="宋体" w:cs="宋体"/>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6.2.3.8</w:t>
            </w:r>
          </w:p>
        </w:tc>
        <w:tc>
          <w:tcPr>
            <w:tcW w:w="8050" w:type="dxa"/>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所有吊塔上承载设备的电源线路及气源线路和塔体之间没有相对移动，保证吊塔在移动过程中，不会因位置的改变导致线路脱落的意外发生。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6.2.3.9</w:t>
            </w:r>
          </w:p>
        </w:tc>
        <w:tc>
          <w:tcPr>
            <w:tcW w:w="805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配置：单臂1套，吊柱1套，仪器平台4个，键盘抽屉1个，抽屉1个，网篮1个，内镜支架1个，气体终端7个，电源插座10个，网络接口2个，视频接口2个，显示器挂架1个，管线夹6个，气体插头4个，单屏显示塔</w:t>
            </w:r>
            <w:r>
              <w:rPr>
                <w:rStyle w:val="159"/>
                <w:rFonts w:hint="eastAsia" w:ascii="宋体" w:hAnsi="宋体" w:eastAsia="宋体" w:cs="宋体"/>
                <w:sz w:val="21"/>
                <w:szCs w:val="21"/>
                <w:lang w:bidi="ar"/>
              </w:rPr>
              <w:t>上旋臂1个，</w:t>
            </w:r>
            <w:r>
              <w:rPr>
                <w:rFonts w:hint="eastAsia" w:ascii="宋体" w:hAnsi="宋体" w:eastAsia="宋体" w:cs="宋体"/>
                <w:color w:val="000000"/>
                <w:kern w:val="0"/>
                <w:sz w:val="21"/>
                <w:szCs w:val="21"/>
                <w:lang w:bidi="ar"/>
              </w:rPr>
              <w:t>单屏显示塔</w:t>
            </w:r>
            <w:r>
              <w:rPr>
                <w:rStyle w:val="159"/>
                <w:rFonts w:hint="eastAsia" w:ascii="宋体" w:hAnsi="宋体" w:eastAsia="宋体" w:cs="宋体"/>
                <w:sz w:val="21"/>
                <w:szCs w:val="21"/>
                <w:lang w:bidi="ar"/>
              </w:rPr>
              <w:t>弹簧臂1个，单屏显示器架1个，线路2组，</w:t>
            </w:r>
            <w:r>
              <w:rPr>
                <w:rFonts w:hint="eastAsia" w:ascii="宋体" w:hAnsi="宋体" w:eastAsia="宋体" w:cs="宋体"/>
                <w:color w:val="000000"/>
                <w:kern w:val="0"/>
                <w:sz w:val="21"/>
                <w:szCs w:val="21"/>
                <w:lang w:bidi="ar"/>
              </w:rPr>
              <w:t>消毒手柄1套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6.2.4</w:t>
            </w:r>
          </w:p>
        </w:tc>
        <w:tc>
          <w:tcPr>
            <w:tcW w:w="805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送水泵1台（注明品牌、型号）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6.2.4.1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10段流速：不少于10段的流速设置，并有设置值状态显示；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6.2.4.2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安全提示：具有蠕动泵开盖提示功能，开盖时蠕动泵停止工作；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6.2.4.3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定时功能：具有定时功能，启动后定时时间达到后蠕动泵自动停止；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4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6.2.4.4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双重开关：脚踏和旋钮开关，可控制液体输送的启动、停止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6.2.4.5</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配备注水壶，方便使用。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57"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6.2.5</w:t>
            </w:r>
          </w:p>
        </w:tc>
        <w:tc>
          <w:tcPr>
            <w:tcW w:w="805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CO2泵1台（注明品牌、型号）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6.2.5.1</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具有CO2过滤气体杂质功能(CO2 浓度99.99%以上)，输出CO2气体额定压强</w:t>
            </w:r>
            <w:r>
              <w:rPr>
                <w:rFonts w:hint="eastAsia" w:ascii="宋体" w:hAnsi="宋体" w:eastAsia="宋体" w:cs="宋体"/>
                <w:color w:val="000000"/>
                <w:sz w:val="21"/>
                <w:szCs w:val="21"/>
              </w:rPr>
              <w:tab/>
            </w:r>
            <w:r>
              <w:rPr>
                <w:rFonts w:hint="eastAsia" w:ascii="宋体" w:hAnsi="宋体" w:eastAsia="宋体" w:cs="宋体"/>
                <w:color w:val="000000"/>
                <w:sz w:val="21"/>
                <w:szCs w:val="21"/>
              </w:rPr>
              <w:t>45KPa±4KPa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6.2.5.2</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操作简便，具有面板与脚踏双重控制功能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4"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6.2.5.3</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具有4种定时模式可选功能，运行时间计时显示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6.2.5.4</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输入CO2气体额定压强范围</w:t>
            </w:r>
            <w:r>
              <w:rPr>
                <w:rFonts w:hint="eastAsia" w:ascii="宋体" w:hAnsi="宋体" w:eastAsia="宋体" w:cs="宋体"/>
                <w:color w:val="000000"/>
                <w:sz w:val="21"/>
                <w:szCs w:val="21"/>
              </w:rPr>
              <w:tab/>
            </w:r>
            <w:r>
              <w:rPr>
                <w:rFonts w:hint="eastAsia" w:ascii="宋体" w:hAnsi="宋体" w:eastAsia="宋体" w:cs="宋体"/>
                <w:color w:val="000000"/>
                <w:sz w:val="21"/>
                <w:szCs w:val="21"/>
              </w:rPr>
              <w:t>343.2KPa-1400KPa</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输入CO2气体压强上限报警最大值</w:t>
            </w:r>
            <w:r>
              <w:rPr>
                <w:rFonts w:hint="eastAsia" w:ascii="宋体" w:hAnsi="宋体" w:eastAsia="宋体" w:cs="宋体"/>
                <w:color w:val="000000"/>
                <w:sz w:val="21"/>
                <w:szCs w:val="21"/>
              </w:rPr>
              <w:tab/>
            </w:r>
            <w:r>
              <w:rPr>
                <w:rFonts w:hint="eastAsia" w:ascii="宋体" w:hAnsi="宋体" w:eastAsia="宋体" w:cs="宋体"/>
                <w:color w:val="000000"/>
                <w:sz w:val="21"/>
                <w:szCs w:val="21"/>
              </w:rPr>
              <w:t>1.5MPa</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输入CO2气体压强上限报警最小值</w:t>
            </w:r>
            <w:r>
              <w:rPr>
                <w:rFonts w:hint="eastAsia" w:ascii="宋体" w:hAnsi="宋体" w:eastAsia="宋体" w:cs="宋体"/>
                <w:color w:val="000000"/>
                <w:sz w:val="21"/>
                <w:szCs w:val="21"/>
              </w:rPr>
              <w:tab/>
            </w:r>
            <w:r>
              <w:rPr>
                <w:rFonts w:hint="eastAsia" w:ascii="宋体" w:hAnsi="宋体" w:eastAsia="宋体" w:cs="宋体"/>
                <w:color w:val="000000"/>
                <w:sz w:val="21"/>
                <w:szCs w:val="21"/>
              </w:rPr>
              <w:t>250KPa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5"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6.2.6</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可升降转运检查床3辆（注明品牌、型号）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6.2.7</w:t>
            </w:r>
          </w:p>
        </w:tc>
        <w:tc>
          <w:tcPr>
            <w:tcW w:w="8050" w:type="dxa"/>
            <w:noWrap w:val="0"/>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电动吸引器2台（注明品牌、型号）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32" w:hRule="atLeast"/>
        </w:trPr>
        <w:tc>
          <w:tcPr>
            <w:tcW w:w="9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6.2.8</w:t>
            </w:r>
          </w:p>
        </w:tc>
        <w:tc>
          <w:tcPr>
            <w:tcW w:w="805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同品牌测漏器1台（注明品牌、型号）</w:t>
            </w:r>
          </w:p>
        </w:tc>
      </w:tr>
    </w:tbl>
    <w:p>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注：</w:t>
      </w:r>
      <w:r>
        <w:rPr>
          <w:rFonts w:hint="eastAsia" w:ascii="宋体" w:hAnsi="宋体" w:eastAsia="宋体" w:cs="宋体"/>
          <w:color w:val="000000"/>
          <w:sz w:val="21"/>
          <w:szCs w:val="21"/>
        </w:rPr>
        <w:t>各投标人如实响应采购要求，在技术响应中详细描述所投设备的投标货物技术、设备配套及投标机型等，并提供相关证明材料（如原厂主要技术规格表</w:t>
      </w:r>
      <w:r>
        <w:rPr>
          <w:rFonts w:hint="eastAsia" w:ascii="宋体" w:hAnsi="宋体" w:cs="宋体"/>
          <w:color w:val="000000"/>
          <w:sz w:val="21"/>
          <w:szCs w:val="21"/>
          <w:lang w:val="en-US" w:eastAsia="zh-CN"/>
        </w:rPr>
        <w:t>或</w:t>
      </w:r>
      <w:r>
        <w:rPr>
          <w:rFonts w:hint="eastAsia" w:ascii="宋体" w:hAnsi="宋体" w:eastAsia="宋体" w:cs="宋体"/>
          <w:color w:val="000000"/>
          <w:sz w:val="21"/>
          <w:szCs w:val="21"/>
        </w:rPr>
        <w:t>医疗器械注册认可的</w:t>
      </w:r>
      <w:r>
        <w:rPr>
          <w:rFonts w:hint="eastAsia" w:ascii="宋体" w:hAnsi="宋体" w:cs="宋体"/>
          <w:color w:val="000000"/>
          <w:sz w:val="21"/>
          <w:szCs w:val="21"/>
          <w:lang w:val="en-US" w:eastAsia="zh-CN"/>
        </w:rPr>
        <w:t>检测报告或</w:t>
      </w:r>
      <w:r>
        <w:rPr>
          <w:rFonts w:hint="eastAsia" w:ascii="宋体" w:hAnsi="宋体" w:eastAsia="宋体" w:cs="宋体"/>
          <w:color w:val="000000"/>
          <w:sz w:val="21"/>
          <w:szCs w:val="21"/>
        </w:rPr>
        <w:t>彩页等）</w:t>
      </w:r>
      <w:bookmarkStart w:id="856" w:name="_GoBack"/>
      <w:bookmarkEnd w:id="856"/>
    </w:p>
    <w:p>
      <w:pPr>
        <w:pStyle w:val="91"/>
        <w:keepNext w:val="0"/>
        <w:keepLines w:val="0"/>
        <w:pageBreakBefore w:val="0"/>
        <w:widowControl w:val="0"/>
        <w:numPr>
          <w:ilvl w:val="0"/>
          <w:numId w:val="6"/>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商务要求</w:t>
      </w:r>
    </w:p>
    <w:tbl>
      <w:tblPr>
        <w:tblStyle w:val="37"/>
        <w:tblW w:w="9037" w:type="dxa"/>
        <w:tblInd w:w="-2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7"/>
        <w:gridCol w:w="8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87" w:type="dxa"/>
            <w:tcBorders>
              <w:top w:val="single" w:color="auto" w:sz="12" w:space="0"/>
            </w:tcBorders>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8050" w:type="dxa"/>
            <w:tcBorders>
              <w:top w:val="single" w:color="auto" w:sz="12" w:space="0"/>
            </w:tcBorders>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招标要求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投标产品验收合格后保修≥</w:t>
            </w:r>
            <w:r>
              <w:rPr>
                <w:rFonts w:hint="eastAsia" w:ascii="宋体" w:hAnsi="宋体" w:cs="宋体"/>
                <w:b/>
                <w:bCs/>
                <w:color w:val="000000"/>
                <w:sz w:val="21"/>
                <w:szCs w:val="21"/>
                <w:lang w:val="en-US" w:eastAsia="zh-CN"/>
              </w:rPr>
              <w:t>3</w:t>
            </w:r>
            <w:r>
              <w:rPr>
                <w:rFonts w:hint="eastAsia" w:ascii="宋体" w:hAnsi="宋体" w:eastAsia="宋体" w:cs="宋体"/>
                <w:b/>
                <w:bCs/>
                <w:color w:val="000000"/>
                <w:sz w:val="21"/>
                <w:szCs w:val="21"/>
              </w:rPr>
              <w:t>年（包含所有易耗件），投标时</w:t>
            </w:r>
            <w:r>
              <w:rPr>
                <w:rFonts w:hint="eastAsia" w:ascii="宋体" w:hAnsi="宋体" w:eastAsia="宋体" w:cs="宋体"/>
                <w:b/>
                <w:bCs/>
                <w:color w:val="000000"/>
                <w:kern w:val="0"/>
                <w:sz w:val="21"/>
                <w:szCs w:val="21"/>
                <w:lang w:bidi="ar"/>
              </w:rPr>
              <w:t>提供制造商原厂保修证明。整机终生免费提供软件功能升级服务</w:t>
            </w:r>
            <w:r>
              <w:rPr>
                <w:rFonts w:hint="eastAsia" w:ascii="宋体" w:hAnsi="宋体" w:eastAsia="宋体" w:cs="宋体"/>
                <w:b/>
                <w:bCs/>
                <w:color w:val="000000"/>
                <w:sz w:val="21"/>
                <w:szCs w:val="21"/>
              </w:rPr>
              <w:t>，并及时提供设备新功能和临床应用的资料。零配件在该设备停产后仍需保证10年的供应。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报出保后每条内窥镜的年保修价格（允许非连保），不含在投标总价中，</w:t>
            </w:r>
            <w:r>
              <w:rPr>
                <w:rFonts w:hint="eastAsia" w:ascii="宋体" w:hAnsi="宋体" w:eastAsia="宋体" w:cs="宋体"/>
                <w:b/>
                <w:bCs/>
                <w:color w:val="000000"/>
                <w:kern w:val="0"/>
                <w:sz w:val="21"/>
                <w:szCs w:val="21"/>
                <w:lang w:bidi="ar"/>
              </w:rPr>
              <w:t>今后医院购买保修，制造商承诺不得高于此价格。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987"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8050" w:type="dxa"/>
            <w:noWrap w:val="0"/>
            <w:vAlign w:val="center"/>
          </w:tcPr>
          <w:p>
            <w:pPr>
              <w:widowControl/>
              <w:shd w:val="clear" w:color="auto" w:fill="FFFFFF"/>
              <w:jc w:val="left"/>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合同签订后30个工作日内到货，货物必须是2023年6月1日后生产。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投标产品使用寿命</w:t>
            </w:r>
            <w:r>
              <w:rPr>
                <w:rFonts w:hint="eastAsia" w:ascii="宋体" w:hAnsi="宋体" w:eastAsia="宋体" w:cs="宋体"/>
                <w:b/>
                <w:bCs/>
                <w:color w:val="000000"/>
                <w:sz w:val="21"/>
                <w:szCs w:val="21"/>
              </w:rPr>
              <w:t>≥5年，投标时须提供证明材料（依据注册证或说明书或产品铭牌照片）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保修期内，除一次性耗材外，其他维修部件全部免费提供，投标时列明一次性耗材清单及价格，未列明的视为免费提供。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spacing w:val="2"/>
                <w:sz w:val="21"/>
                <w:szCs w:val="21"/>
              </w:rPr>
              <w:t>设备生命周期内（需满足国家法定要求），因配件无法供应、耗材无法供应、国家法律法规或地方法规、政策原因等等（包括但不限于上述原因的非院方因素）导致设备无法正常使用的，</w:t>
            </w:r>
            <w:r>
              <w:rPr>
                <w:rFonts w:hint="eastAsia" w:ascii="宋体" w:hAnsi="宋体" w:eastAsia="宋体" w:cs="宋体"/>
                <w:b/>
                <w:bCs/>
                <w:color w:val="000000"/>
                <w:sz w:val="21"/>
                <w:szCs w:val="21"/>
              </w:rPr>
              <w:t>中标商</w:t>
            </w:r>
            <w:r>
              <w:rPr>
                <w:rFonts w:hint="eastAsia" w:ascii="宋体" w:hAnsi="宋体" w:eastAsia="宋体" w:cs="宋体"/>
                <w:b/>
                <w:bCs/>
                <w:color w:val="000000"/>
                <w:spacing w:val="2"/>
                <w:sz w:val="21"/>
                <w:szCs w:val="21"/>
              </w:rPr>
              <w:t>承担设备后续折旧费。设备验收后导致生命周期无法满足国家规定报废最低年限要求的，</w:t>
            </w:r>
            <w:r>
              <w:rPr>
                <w:rFonts w:hint="eastAsia" w:ascii="宋体" w:hAnsi="宋体" w:eastAsia="宋体" w:cs="宋体"/>
                <w:b/>
                <w:bCs/>
                <w:color w:val="000000"/>
                <w:sz w:val="21"/>
                <w:szCs w:val="21"/>
              </w:rPr>
              <w:t>中标商</w:t>
            </w:r>
            <w:r>
              <w:rPr>
                <w:rFonts w:hint="eastAsia" w:ascii="宋体" w:hAnsi="宋体" w:eastAsia="宋体" w:cs="宋体"/>
                <w:b/>
                <w:bCs/>
                <w:color w:val="000000"/>
                <w:spacing w:val="2"/>
                <w:sz w:val="21"/>
                <w:szCs w:val="21"/>
              </w:rPr>
              <w:t>承担设备不足部分年限折旧费。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w:t>
            </w:r>
          </w:p>
        </w:tc>
        <w:tc>
          <w:tcPr>
            <w:tcW w:w="8050" w:type="dxa"/>
            <w:noWrap w:val="0"/>
            <w:vAlign w:val="center"/>
          </w:tcPr>
          <w:p>
            <w:pPr>
              <w:widowControl/>
              <w:shd w:val="clear" w:color="auto" w:fill="FFFFFF"/>
              <w:jc w:val="left"/>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投标时标明所有单价1000元以上维修配件的清单和供货价。提供不高于同期温州市其他市级医院相同产品的采购价格的最优惠报价，并承诺8年内售价不得高于此价格。如未列明，则默认为日后日常使用中免费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w:t>
            </w:r>
          </w:p>
          <w:p>
            <w:pPr>
              <w:jc w:val="center"/>
              <w:rPr>
                <w:rFonts w:hint="eastAsia" w:ascii="宋体" w:hAnsi="宋体" w:eastAsia="宋体" w:cs="宋体"/>
                <w:b/>
                <w:bCs/>
                <w:color w:val="000000"/>
                <w:sz w:val="21"/>
                <w:szCs w:val="21"/>
              </w:rPr>
            </w:pP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质保期内每年每个设备故障率均不得超过14天，每超过一天该设备（或镜子）质保期相应延长10天。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中标商</w:t>
            </w:r>
            <w:r>
              <w:rPr>
                <w:rFonts w:hint="eastAsia" w:ascii="宋体" w:hAnsi="宋体" w:eastAsia="宋体" w:cs="宋体"/>
                <w:b/>
                <w:bCs/>
                <w:color w:val="000000"/>
                <w:kern w:val="0"/>
                <w:sz w:val="21"/>
                <w:szCs w:val="21"/>
              </w:rPr>
              <w:t>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若设备有信息系统数据接口，需全部免费开放，能联接HIS、LIS、PACS等医院现有相关系统，实现互联互通。涉及到的所有接口费用（HIS、LIS、PACS等系统双向接口）均已包含在投标总价内。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87"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提供胃肠镜系统、麻醉机、电刀的原厂DATASHEET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设备安装、调试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12.1</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安装地点：采购单位指定位置。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12.2</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安装完成时间：投标方应在投标文件中明确正常完成安装调试的时间期限，并提供超出期限情况下投标方对因此给买方造成损失的赔偿计划。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12.3</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安装标准：符合中华人民共和国国家有关技术规范要求和技术标准。所有的软件和硬件必须保证同时安装到位。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12.4</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安装费用：安装过程中发生的费用</w:t>
            </w:r>
            <w:r>
              <w:rPr>
                <w:rFonts w:hint="eastAsia" w:ascii="宋体" w:hAnsi="宋体" w:eastAsia="宋体" w:cs="宋体"/>
                <w:b/>
                <w:bCs/>
                <w:color w:val="000000"/>
                <w:kern w:val="0"/>
                <w:sz w:val="21"/>
                <w:szCs w:val="21"/>
              </w:rPr>
              <w:t>（含检测、耗材等）</w:t>
            </w:r>
            <w:r>
              <w:rPr>
                <w:rFonts w:hint="eastAsia" w:ascii="宋体" w:hAnsi="宋体" w:eastAsia="宋体" w:cs="宋体"/>
                <w:b/>
                <w:bCs/>
                <w:color w:val="000000"/>
                <w:sz w:val="21"/>
                <w:szCs w:val="21"/>
              </w:rPr>
              <w:t>由卖方负责。投标方应在投标文件中提供其安装调试计划和对安装场地和环境的要求。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987" w:type="dxa"/>
            <w:noWrap w:val="0"/>
            <w:vAlign w:val="center"/>
          </w:tcPr>
          <w:p>
            <w:pPr>
              <w:ind w:right="-21" w:rightChars="-1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5</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安装人员：应由中标方有三台以上（含）同类型设备安装经验的原厂工程师负责安装。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13</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13.1</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中标方应对2名操作人员国内三甲医院</w:t>
            </w:r>
            <w:r>
              <w:rPr>
                <w:rFonts w:hint="eastAsia" w:ascii="宋体" w:hAnsi="宋体" w:cs="宋体"/>
                <w:b/>
                <w:bCs/>
                <w:color w:val="000000"/>
                <w:sz w:val="21"/>
                <w:szCs w:val="21"/>
                <w:lang w:eastAsia="zh-CN"/>
              </w:rPr>
              <w:t>一周内</w:t>
            </w:r>
            <w:r>
              <w:rPr>
                <w:rFonts w:hint="eastAsia" w:ascii="宋体" w:hAnsi="宋体" w:eastAsia="宋体" w:cs="宋体"/>
                <w:b/>
                <w:bCs/>
                <w:color w:val="000000"/>
                <w:sz w:val="21"/>
                <w:szCs w:val="21"/>
              </w:rPr>
              <w:t>的技术培训并承担所有费用；中标方对用户的1名维修人员进行一周内国内有培训资质的维修机构或三甲医院或厂家组织的维修培训并承担所有费用。所有的维修图纸、维修手册及维修调试软件的密码及专用的维修工具应全部免费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13.2</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中标方应对买方的操作人员进行培训并承担所有费用。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13.3</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培训完成后，</w:t>
            </w:r>
            <w:r>
              <w:rPr>
                <w:rFonts w:hint="eastAsia" w:ascii="宋体" w:hAnsi="宋体" w:eastAsia="宋体" w:cs="宋体"/>
                <w:b/>
                <w:bCs/>
                <w:color w:val="000000"/>
                <w:sz w:val="21"/>
                <w:szCs w:val="21"/>
              </w:rPr>
              <w:t>中标</w:t>
            </w:r>
            <w:r>
              <w:rPr>
                <w:rFonts w:hint="eastAsia" w:ascii="宋体" w:hAnsi="宋体" w:eastAsia="宋体" w:cs="宋体"/>
                <w:b/>
                <w:bCs/>
                <w:color w:val="000000"/>
                <w:kern w:val="0"/>
                <w:sz w:val="21"/>
                <w:szCs w:val="21"/>
              </w:rPr>
              <w:t>方须提供详细培训记录，培训记录应有培训内容、参加人员（签字）、培训地点、培训时间以及操作人员考核情况。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14.1</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投标方在投标时应提供设备的验收标准、安装技术规范，供买方参考。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14.2</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验收依据：按投标文件、招标文件及国家标准验收。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14.3</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验收时，投标人提供下列资料：</w:t>
            </w:r>
          </w:p>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提供三证，完整的</w:t>
            </w:r>
            <w:r>
              <w:rPr>
                <w:rFonts w:hint="eastAsia" w:ascii="宋体" w:hAnsi="宋体" w:eastAsia="宋体" w:cs="宋体"/>
                <w:b/>
                <w:bCs/>
                <w:color w:val="000000"/>
                <w:kern w:val="0"/>
                <w:sz w:val="21"/>
                <w:szCs w:val="21"/>
              </w:rPr>
              <w:t>中英文技术资料，包括操作手册2套、维修手册1套及电子版的操作规程等</w:t>
            </w:r>
            <w:r>
              <w:rPr>
                <w:rFonts w:hint="eastAsia" w:ascii="宋体" w:hAnsi="宋体" w:eastAsia="宋体" w:cs="宋体"/>
                <w:b/>
                <w:bCs/>
                <w:color w:val="000000"/>
                <w:sz w:val="21"/>
                <w:szCs w:val="21"/>
              </w:rPr>
              <w:t>。同时应提供原厂的出厂配置清单、设备出厂检验报告和质量合格证书等，如系进口产品，还应提供报关证明、</w:t>
            </w:r>
            <w:r>
              <w:rPr>
                <w:rFonts w:hint="eastAsia" w:ascii="宋体" w:hAnsi="宋体" w:eastAsia="宋体" w:cs="宋体"/>
                <w:b/>
                <w:bCs/>
                <w:color w:val="000000"/>
                <w:kern w:val="0"/>
                <w:sz w:val="21"/>
                <w:szCs w:val="21"/>
                <w:lang w:bidi="ar"/>
              </w:rPr>
              <w:t>检验检疫合格证明（如需）。计量产品，如属计量产品还需提供计量检定报告。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14.4</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设备到达最终用户后，要求卖方及安装人员会同买方共同参与设备验收。设备安装调试后，卖方负责安装质量，并经验收合格后，买卖双方共同签署设备验收合格证书。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14.6</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验收过程中发现货物性能或功能达不到要求，卖方必须更换有关部件，使货物最终达到规定的性能指标和功能要求，但必须在发现问题后15个工作日内完成。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87" w:type="dxa"/>
            <w:noWrap w:val="0"/>
            <w:vAlign w:val="center"/>
          </w:tcPr>
          <w:p>
            <w:pPr>
              <w:ind w:right="-21" w:rightChars="-1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14.7</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所有验收相关费用由产品中标方负担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87" w:type="dxa"/>
            <w:noWrap w:val="0"/>
            <w:vAlign w:val="center"/>
          </w:tcPr>
          <w:p>
            <w:pPr>
              <w:ind w:right="-21" w:rightChars="-1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val="en-US" w:eastAsia="zh-CN"/>
              </w:rPr>
              <w:t>5</w:t>
            </w:r>
          </w:p>
        </w:tc>
        <w:tc>
          <w:tcPr>
            <w:tcW w:w="8050" w:type="dxa"/>
            <w:noWrap w:val="0"/>
            <w:vAlign w:val="center"/>
          </w:tcPr>
          <w:p>
            <w:pPr>
              <w:ind w:right="-21" w:rightChars="-1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保密：招投标及合同中凡涉及买方项目的有关信息，不得透露给第三方。</w:t>
            </w:r>
          </w:p>
        </w:tc>
      </w:tr>
    </w:tbl>
    <w:p>
      <w:pPr>
        <w:pStyle w:val="91"/>
        <w:keepNext w:val="0"/>
        <w:keepLines w:val="0"/>
        <w:pageBreakBefore w:val="0"/>
        <w:widowControl w:val="0"/>
        <w:numPr>
          <w:ilvl w:val="0"/>
          <w:numId w:val="6"/>
        </w:numPr>
        <w:tabs>
          <w:tab w:val="left" w:pos="927"/>
          <w:tab w:val="left" w:pos="993"/>
        </w:tabs>
        <w:kinsoku/>
        <w:wordWrap/>
        <w:overflowPunct/>
        <w:topLinePunct w:val="0"/>
        <w:autoSpaceDE/>
        <w:autoSpaceDN/>
        <w:bidi w:val="0"/>
        <w:adjustRightInd/>
        <w:snapToGrid w:val="0"/>
        <w:spacing w:before="157" w:beforeLines="50" w:after="157" w:afterLines="50" w:line="240" w:lineRule="auto"/>
        <w:ind w:left="0" w:leftChars="0" w:firstLine="420" w:firstLineChars="0"/>
        <w:jc w:val="center"/>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商务要求</w:t>
      </w:r>
      <w:bookmarkEnd w:id="126"/>
      <w:bookmarkEnd w:id="127"/>
    </w:p>
    <w:p>
      <w:pPr>
        <w:widowControl w:val="0"/>
        <w:numPr>
          <w:ilvl w:val="0"/>
          <w:numId w:val="8"/>
        </w:numPr>
        <w:tabs>
          <w:tab w:val="left" w:pos="142"/>
          <w:tab w:val="clear" w:pos="680"/>
        </w:tabs>
        <w:snapToGrid w:val="0"/>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Arial" w:hAnsi="宋体" w:cs="Arial"/>
          <w:b/>
          <w:bCs/>
          <w:color w:val="auto"/>
          <w:szCs w:val="21"/>
          <w:highlight w:val="none"/>
          <w:lang w:val="en-US" w:eastAsia="zh-CN"/>
        </w:rPr>
        <w:t>本项目采用固定总价报价，</w:t>
      </w:r>
      <w:r>
        <w:rPr>
          <w:rFonts w:hint="eastAsia" w:ascii="Arial" w:hAnsi="宋体" w:cs="Arial"/>
          <w:b/>
          <w:bCs/>
          <w:color w:val="auto"/>
          <w:szCs w:val="21"/>
          <w:highlight w:val="none"/>
        </w:rPr>
        <w:t>投标报价包含</w:t>
      </w:r>
      <w:r>
        <w:rPr>
          <w:rFonts w:hint="eastAsia" w:ascii="Arial" w:hAnsi="宋体" w:cs="Arial"/>
          <w:b/>
          <w:bCs/>
          <w:color w:val="auto"/>
          <w:szCs w:val="21"/>
          <w:highlight w:val="none"/>
          <w:lang w:val="en-US" w:eastAsia="zh-CN"/>
        </w:rPr>
        <w:t>货物的</w:t>
      </w:r>
      <w:r>
        <w:rPr>
          <w:rFonts w:hint="eastAsia" w:ascii="Arial" w:hAnsi="宋体" w:cs="Arial"/>
          <w:b/>
          <w:bCs/>
          <w:color w:val="auto"/>
          <w:szCs w:val="21"/>
          <w:highlight w:val="none"/>
        </w:rPr>
        <w:t>包装、运输、保险、装卸费、配合验收、安装</w:t>
      </w:r>
      <w:r>
        <w:rPr>
          <w:rFonts w:hint="eastAsia" w:ascii="Times New Roman" w:hAnsi="Times New Roman" w:eastAsia="宋体" w:cs="Times New Roman"/>
          <w:b/>
          <w:bCs/>
          <w:color w:val="auto"/>
          <w:sz w:val="21"/>
          <w:szCs w:val="21"/>
          <w:highlight w:val="none"/>
          <w:lang w:val="en-US" w:eastAsia="zh-CN"/>
        </w:rPr>
        <w:t>调试</w:t>
      </w:r>
      <w:r>
        <w:rPr>
          <w:rFonts w:hint="eastAsia" w:ascii="Arial" w:hAnsi="宋体" w:cs="Arial"/>
          <w:b/>
          <w:bCs/>
          <w:color w:val="auto"/>
          <w:szCs w:val="21"/>
          <w:highlight w:val="none"/>
        </w:rPr>
        <w:t>、培训、技术服务、售后服务、所有需缴纳的税费</w:t>
      </w:r>
      <w:r>
        <w:rPr>
          <w:rFonts w:hint="eastAsia" w:ascii="宋体" w:hAnsi="宋体" w:eastAsia="宋体" w:cs="宋体"/>
          <w:b/>
          <w:color w:val="auto"/>
          <w:sz w:val="21"/>
          <w:szCs w:val="21"/>
          <w:highlight w:val="none"/>
        </w:rPr>
        <w:t>等完成该项目所需的一切本身和不可或缺的所有工作开支、政策性文件规定及合同包含的所有风险、责任等各项全部费用并承担一切风险责任。</w:t>
      </w:r>
    </w:p>
    <w:p>
      <w:pPr>
        <w:widowControl w:val="0"/>
        <w:numPr>
          <w:ilvl w:val="0"/>
          <w:numId w:val="8"/>
        </w:numPr>
        <w:tabs>
          <w:tab w:val="left" w:pos="142"/>
          <w:tab w:val="clear" w:pos="680"/>
        </w:tabs>
        <w:snapToGrid w:val="0"/>
        <w:spacing w:line="360" w:lineRule="auto"/>
        <w:ind w:left="0" w:leftChars="0" w:firstLine="422" w:firstLineChars="200"/>
        <w:jc w:val="both"/>
        <w:rPr>
          <w:rFonts w:hint="eastAsia" w:ascii="宋体" w:hAnsi="宋体" w:cs="Arial"/>
          <w:b/>
          <w:color w:val="auto"/>
          <w:szCs w:val="21"/>
          <w:highlight w:val="none"/>
        </w:rPr>
      </w:pPr>
      <w:r>
        <w:rPr>
          <w:rFonts w:hint="eastAsia" w:ascii="宋体" w:hAnsi="宋体" w:cs="Arial"/>
          <w:b/>
          <w:color w:val="auto"/>
          <w:szCs w:val="21"/>
          <w:highlight w:val="none"/>
        </w:rPr>
        <w:t>付款方式</w:t>
      </w:r>
    </w:p>
    <w:p>
      <w:pPr>
        <w:widowControl w:val="0"/>
        <w:numPr>
          <w:ilvl w:val="0"/>
          <w:numId w:val="9"/>
        </w:numPr>
        <w:tabs>
          <w:tab w:val="left" w:pos="0"/>
        </w:tabs>
        <w:snapToGrid w:val="0"/>
        <w:spacing w:line="360" w:lineRule="auto"/>
        <w:ind w:left="0" w:leftChars="0" w:firstLine="403" w:firstLineChars="0"/>
        <w:jc w:val="both"/>
        <w:rPr>
          <w:rFonts w:hint="eastAsia" w:ascii="Times New Roman" w:hAnsi="宋体" w:eastAsia="宋体" w:cs="Times New Roman"/>
          <w:bCs/>
          <w:color w:val="auto"/>
          <w:szCs w:val="21"/>
          <w:highlight w:val="none"/>
          <w:lang w:val="en-US" w:eastAsia="zh-CN"/>
        </w:rPr>
      </w:pPr>
      <w:r>
        <w:rPr>
          <w:rFonts w:hint="eastAsia" w:ascii="Times New Roman" w:hAnsi="宋体" w:eastAsia="宋体" w:cs="Times New Roman"/>
          <w:bCs/>
          <w:color w:val="auto"/>
          <w:szCs w:val="21"/>
          <w:highlight w:val="none"/>
          <w:lang w:val="en-US" w:eastAsia="zh-CN"/>
        </w:rPr>
        <w:t>合同签订生效且具备实施条件之日起，收到中标人提供的有效发票后7个工作日内，采购人须支付合同价款的40%作为预付款，预付款在后续货款中作相应抵扣。（根据浙财采监〔2022〕3号文件要求，在签订合同时，如投标人为大型企业或投标人明确表示无需预付款或者主动要求降低预付款比例的，采购人可不适用前述规定。）</w:t>
      </w:r>
    </w:p>
    <w:p>
      <w:pPr>
        <w:widowControl w:val="0"/>
        <w:numPr>
          <w:ilvl w:val="0"/>
          <w:numId w:val="9"/>
        </w:numPr>
        <w:tabs>
          <w:tab w:val="left" w:pos="0"/>
        </w:tabs>
        <w:snapToGrid w:val="0"/>
        <w:spacing w:line="360" w:lineRule="auto"/>
        <w:ind w:left="0" w:leftChars="0" w:firstLine="403" w:firstLineChars="0"/>
        <w:jc w:val="both"/>
        <w:rPr>
          <w:rFonts w:hint="eastAsia" w:ascii="Times New Roman" w:hAnsi="宋体" w:eastAsia="宋体" w:cs="Times New Roman"/>
          <w:bCs/>
          <w:color w:val="auto"/>
          <w:szCs w:val="21"/>
          <w:highlight w:val="none"/>
          <w:lang w:val="en-US" w:eastAsia="zh-CN"/>
        </w:rPr>
      </w:pPr>
      <w:r>
        <w:rPr>
          <w:rFonts w:hint="eastAsia" w:ascii="宋体" w:hAnsi="宋体" w:eastAsia="宋体" w:cs="宋体"/>
          <w:b/>
          <w:bCs/>
          <w:color w:val="000000"/>
          <w:sz w:val="21"/>
          <w:szCs w:val="21"/>
          <w:lang w:val="zh-CN"/>
        </w:rPr>
        <w:t>验收合格后卖方开具合同总金额单张发票（若无法开具单张发票，请提供税务额度限制相关证明），买方收到发票后</w:t>
      </w:r>
      <w:r>
        <w:rPr>
          <w:rFonts w:hint="eastAsia" w:ascii="宋体" w:hAnsi="宋体" w:eastAsia="宋体" w:cs="宋体"/>
          <w:b/>
          <w:bCs/>
          <w:color w:val="000000"/>
          <w:sz w:val="21"/>
          <w:szCs w:val="21"/>
        </w:rPr>
        <w:t>2</w:t>
      </w:r>
      <w:r>
        <w:rPr>
          <w:rFonts w:hint="eastAsia" w:ascii="宋体" w:hAnsi="宋体" w:eastAsia="宋体" w:cs="宋体"/>
          <w:b/>
          <w:bCs/>
          <w:color w:val="000000"/>
          <w:sz w:val="21"/>
          <w:szCs w:val="21"/>
          <w:lang w:val="zh-CN"/>
        </w:rPr>
        <w:t>个月内付款</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注：预付款在此扣回</w:t>
      </w:r>
      <w:r>
        <w:rPr>
          <w:rFonts w:hint="eastAsia" w:ascii="宋体" w:hAnsi="宋体" w:eastAsia="宋体" w:cs="宋体"/>
          <w:b/>
          <w:bCs/>
          <w:color w:val="000000"/>
          <w:sz w:val="21"/>
          <w:szCs w:val="21"/>
          <w:lang w:eastAsia="zh-CN"/>
        </w:rPr>
        <w:t>）</w:t>
      </w:r>
    </w:p>
    <w:p>
      <w:pPr>
        <w:widowControl w:val="0"/>
        <w:numPr>
          <w:ilvl w:val="0"/>
          <w:numId w:val="9"/>
        </w:numPr>
        <w:tabs>
          <w:tab w:val="left" w:pos="0"/>
        </w:tabs>
        <w:snapToGrid w:val="0"/>
        <w:spacing w:line="360" w:lineRule="auto"/>
        <w:ind w:left="0" w:leftChars="0" w:firstLine="403" w:firstLineChars="0"/>
        <w:jc w:val="both"/>
        <w:rPr>
          <w:rFonts w:hint="eastAsia" w:ascii="Times New Roman" w:hAnsi="宋体" w:eastAsia="宋体" w:cs="Times New Roman"/>
          <w:b/>
          <w:bCs w:val="0"/>
          <w:color w:val="auto"/>
          <w:szCs w:val="21"/>
          <w:highlight w:val="none"/>
          <w:lang w:val="en-US" w:eastAsia="zh-CN"/>
        </w:rPr>
      </w:pPr>
      <w:r>
        <w:rPr>
          <w:rFonts w:hint="eastAsia" w:ascii="Times New Roman" w:hAnsi="宋体" w:eastAsia="宋体" w:cs="Times New Roman"/>
          <w:b/>
          <w:bCs w:val="0"/>
          <w:color w:val="auto"/>
          <w:szCs w:val="21"/>
          <w:highlight w:val="none"/>
          <w:lang w:val="en-US" w:eastAsia="zh-CN"/>
        </w:rPr>
        <w:t>投标商按合同开具多张发票的，额度应大于等于投标单台设备价格，且发票号需连续不中断</w:t>
      </w:r>
    </w:p>
    <w:p>
      <w:pPr>
        <w:widowControl w:val="0"/>
        <w:numPr>
          <w:ilvl w:val="0"/>
          <w:numId w:val="9"/>
        </w:numPr>
        <w:tabs>
          <w:tab w:val="left" w:pos="0"/>
        </w:tabs>
        <w:snapToGrid w:val="0"/>
        <w:spacing w:line="360" w:lineRule="auto"/>
        <w:ind w:left="0" w:leftChars="0" w:firstLine="403" w:firstLineChars="0"/>
        <w:jc w:val="both"/>
        <w:rPr>
          <w:rFonts w:hint="eastAsia" w:ascii="Times New Roman" w:hAnsi="宋体" w:eastAsia="宋体" w:cs="Times New Roman"/>
          <w:bCs/>
          <w:color w:val="auto"/>
          <w:szCs w:val="21"/>
          <w:highlight w:val="none"/>
          <w:lang w:val="en-US" w:eastAsia="zh-CN"/>
        </w:rPr>
      </w:pPr>
      <w:r>
        <w:rPr>
          <w:rFonts w:hint="eastAsia" w:ascii="宋体" w:hAnsi="宋体" w:eastAsia="宋体" w:cs="宋体"/>
          <w:b/>
          <w:bCs/>
          <w:color w:val="000000"/>
          <w:sz w:val="21"/>
          <w:szCs w:val="21"/>
        </w:rPr>
        <w:t>延期交货罚款：延期交货每7天，按合同总价的0.5%支付迟交违约金，不足7天按7天计，依次累计，最高罚款为合同总价的5%。</w:t>
      </w:r>
    </w:p>
    <w:p>
      <w:pPr>
        <w:numPr>
          <w:ilvl w:val="0"/>
          <w:numId w:val="0"/>
        </w:numPr>
        <w:tabs>
          <w:tab w:val="left" w:pos="0"/>
        </w:tabs>
        <w:spacing w:line="360" w:lineRule="auto"/>
        <w:ind w:firstLine="420" w:firstLineChars="200"/>
        <w:rPr>
          <w:rFonts w:hint="eastAsia" w:ascii="宋体" w:hAnsi="宋体"/>
          <w:b w:val="0"/>
          <w:bCs/>
          <w:color w:val="auto"/>
          <w:szCs w:val="21"/>
          <w:highlight w:val="none"/>
          <w:lang w:val="en-US" w:eastAsia="zh-CN"/>
        </w:rPr>
      </w:pPr>
      <w:r>
        <w:rPr>
          <w:rFonts w:ascii="宋体" w:hAnsi="宋体"/>
          <w:b w:val="0"/>
          <w:bCs/>
          <w:color w:val="auto"/>
          <w:highlight w:val="none"/>
        </w:rPr>
        <w:t>注：</w:t>
      </w:r>
      <w:r>
        <w:rPr>
          <w:rFonts w:hint="eastAsia" w:ascii="宋体" w:hAnsi="宋体"/>
          <w:b w:val="0"/>
          <w:bCs/>
          <w:color w:val="auto"/>
          <w:szCs w:val="21"/>
          <w:highlight w:val="none"/>
          <w:lang w:eastAsia="zh-CN"/>
        </w:rPr>
        <w:t>采购人</w:t>
      </w:r>
      <w:r>
        <w:rPr>
          <w:rFonts w:hint="eastAsia" w:ascii="宋体" w:hAnsi="宋体"/>
          <w:b w:val="0"/>
          <w:bCs/>
          <w:color w:val="auto"/>
          <w:szCs w:val="21"/>
          <w:highlight w:val="none"/>
          <w:lang w:val="en-US" w:eastAsia="zh-CN"/>
        </w:rPr>
        <w:t>未及时支付合同价款或未及时退还履约担保的，应当支付逾期利息。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ascii="仿宋" w:hAnsi="仿宋" w:eastAsia="仿宋" w:cs="仿宋_GB2312"/>
          <w:b/>
          <w:color w:val="auto"/>
          <w:sz w:val="32"/>
          <w:szCs w:val="32"/>
          <w:highlight w:val="none"/>
        </w:rPr>
      </w:pPr>
      <w:r>
        <w:rPr>
          <w:rFonts w:hint="eastAsia"/>
          <w:b/>
          <w:bCs/>
          <w:color w:val="auto"/>
          <w:highlight w:val="none"/>
          <w:lang w:eastAsia="zh-CN"/>
        </w:rPr>
        <w:br w:type="page"/>
      </w:r>
      <w:bookmarkStart w:id="132" w:name="_Toc13221"/>
      <w:bookmarkStart w:id="133" w:name="_Toc7172"/>
      <w:bookmarkStart w:id="134" w:name="_Toc22467"/>
      <w:r>
        <w:rPr>
          <w:rFonts w:hint="eastAsia" w:ascii="宋体" w:hAnsi="宋体" w:eastAsia="宋体" w:cs="宋体"/>
          <w:b/>
          <w:color w:val="auto"/>
          <w:kern w:val="44"/>
          <w:sz w:val="32"/>
          <w:szCs w:val="32"/>
          <w:highlight w:val="none"/>
          <w:lang w:val="en-US" w:eastAsia="zh-CN" w:bidi="ar-SA"/>
        </w:rPr>
        <w:t xml:space="preserve">第四部分   </w:t>
      </w:r>
      <w:bookmarkStart w:id="135" w:name="_Toc184308052"/>
      <w:bookmarkEnd w:id="135"/>
      <w:bookmarkStart w:id="136" w:name="_Toc184310321"/>
      <w:bookmarkEnd w:id="136"/>
      <w:bookmarkStart w:id="137" w:name="_Toc184314436"/>
      <w:bookmarkEnd w:id="137"/>
      <w:bookmarkStart w:id="138" w:name="_Toc184313263"/>
      <w:bookmarkEnd w:id="138"/>
      <w:bookmarkStart w:id="139" w:name="_Toc184308072"/>
      <w:bookmarkEnd w:id="139"/>
      <w:bookmarkStart w:id="140" w:name="_Toc184313249"/>
      <w:bookmarkEnd w:id="140"/>
      <w:bookmarkStart w:id="141" w:name="_Toc184310304"/>
      <w:bookmarkEnd w:id="141"/>
      <w:bookmarkStart w:id="142" w:name="_Toc184308068"/>
      <w:bookmarkEnd w:id="142"/>
      <w:bookmarkStart w:id="143" w:name="_Toc184313287"/>
      <w:bookmarkEnd w:id="143"/>
      <w:bookmarkStart w:id="144" w:name="_Toc184312139"/>
      <w:bookmarkEnd w:id="144"/>
      <w:bookmarkStart w:id="145" w:name="_Toc184310334"/>
      <w:bookmarkEnd w:id="145"/>
      <w:bookmarkStart w:id="146" w:name="_Toc184314439"/>
      <w:bookmarkEnd w:id="146"/>
      <w:bookmarkStart w:id="147" w:name="_Toc184314420"/>
      <w:bookmarkEnd w:id="147"/>
      <w:bookmarkStart w:id="148" w:name="_Toc184308079"/>
      <w:bookmarkEnd w:id="148"/>
      <w:bookmarkStart w:id="149" w:name="_Toc184308074"/>
      <w:bookmarkEnd w:id="149"/>
      <w:bookmarkStart w:id="150" w:name="_Toc184312121"/>
      <w:bookmarkEnd w:id="150"/>
      <w:bookmarkStart w:id="151" w:name="_Toc184310273"/>
      <w:bookmarkEnd w:id="151"/>
      <w:bookmarkStart w:id="152" w:name="_Toc184308089"/>
      <w:bookmarkEnd w:id="152"/>
      <w:bookmarkStart w:id="153" w:name="_Toc184308092"/>
      <w:bookmarkEnd w:id="153"/>
      <w:bookmarkStart w:id="154" w:name="_Toc184310330"/>
      <w:bookmarkEnd w:id="154"/>
      <w:bookmarkStart w:id="155" w:name="_Toc184310290"/>
      <w:bookmarkEnd w:id="155"/>
      <w:bookmarkStart w:id="156" w:name="_Toc184314450"/>
      <w:bookmarkEnd w:id="156"/>
      <w:bookmarkStart w:id="157" w:name="_Toc184312090"/>
      <w:bookmarkEnd w:id="157"/>
      <w:bookmarkStart w:id="158" w:name="_Toc184314415"/>
      <w:bookmarkEnd w:id="158"/>
      <w:bookmarkStart w:id="159" w:name="_Toc184308096"/>
      <w:bookmarkEnd w:id="159"/>
      <w:bookmarkStart w:id="160" w:name="_Toc184314471"/>
      <w:bookmarkEnd w:id="160"/>
      <w:bookmarkStart w:id="161" w:name="_Toc184308055"/>
      <w:bookmarkEnd w:id="161"/>
      <w:bookmarkStart w:id="162" w:name="_Toc184312075"/>
      <w:bookmarkEnd w:id="162"/>
      <w:bookmarkStart w:id="163" w:name="_Toc184314452"/>
      <w:bookmarkEnd w:id="163"/>
      <w:bookmarkStart w:id="164" w:name="_Toc184310340"/>
      <w:bookmarkEnd w:id="164"/>
      <w:bookmarkStart w:id="165" w:name="_Toc184310277"/>
      <w:bookmarkEnd w:id="165"/>
      <w:bookmarkStart w:id="166" w:name="_Toc184308081"/>
      <w:bookmarkEnd w:id="166"/>
      <w:bookmarkStart w:id="167" w:name="_Toc184313239"/>
      <w:bookmarkEnd w:id="167"/>
      <w:bookmarkStart w:id="168" w:name="_Toc184312135"/>
      <w:bookmarkEnd w:id="168"/>
      <w:bookmarkStart w:id="169" w:name="_Toc184308086"/>
      <w:bookmarkEnd w:id="169"/>
      <w:bookmarkStart w:id="170" w:name="_Toc184314429"/>
      <w:bookmarkEnd w:id="170"/>
      <w:bookmarkStart w:id="171" w:name="_Toc184308091"/>
      <w:bookmarkEnd w:id="171"/>
      <w:bookmarkStart w:id="172" w:name="_Toc184313290"/>
      <w:bookmarkEnd w:id="172"/>
      <w:bookmarkStart w:id="173" w:name="_Toc184312136"/>
      <w:bookmarkEnd w:id="173"/>
      <w:bookmarkStart w:id="174" w:name="_Toc184312105"/>
      <w:bookmarkEnd w:id="174"/>
      <w:bookmarkStart w:id="175" w:name="_Toc184312085"/>
      <w:bookmarkEnd w:id="175"/>
      <w:bookmarkStart w:id="176" w:name="_Toc184310297"/>
      <w:bookmarkEnd w:id="176"/>
      <w:bookmarkStart w:id="177" w:name="_Toc184314459"/>
      <w:bookmarkEnd w:id="177"/>
      <w:bookmarkStart w:id="178" w:name="_Toc184312130"/>
      <w:bookmarkEnd w:id="178"/>
      <w:bookmarkStart w:id="179" w:name="_Toc184308062"/>
      <w:bookmarkEnd w:id="179"/>
      <w:bookmarkStart w:id="180" w:name="_Toc184312083"/>
      <w:bookmarkEnd w:id="180"/>
      <w:bookmarkStart w:id="181" w:name="_Toc184308038"/>
      <w:bookmarkEnd w:id="181"/>
      <w:bookmarkStart w:id="182" w:name="_Toc184312095"/>
      <w:bookmarkEnd w:id="182"/>
      <w:bookmarkStart w:id="183" w:name="_Toc184308043"/>
      <w:bookmarkEnd w:id="183"/>
      <w:bookmarkStart w:id="184" w:name="_Toc184310301"/>
      <w:bookmarkEnd w:id="184"/>
      <w:bookmarkStart w:id="185" w:name="_Toc184313248"/>
      <w:bookmarkEnd w:id="185"/>
      <w:bookmarkStart w:id="186" w:name="_Toc184313244"/>
      <w:bookmarkEnd w:id="186"/>
      <w:bookmarkStart w:id="187" w:name="_Toc184313286"/>
      <w:bookmarkEnd w:id="187"/>
      <w:bookmarkStart w:id="188" w:name="_Toc184314480"/>
      <w:bookmarkEnd w:id="188"/>
      <w:bookmarkStart w:id="189" w:name="_Toc184314421"/>
      <w:bookmarkEnd w:id="189"/>
      <w:bookmarkStart w:id="190" w:name="_Toc184313303"/>
      <w:bookmarkEnd w:id="190"/>
      <w:bookmarkStart w:id="191" w:name="_Toc184313261"/>
      <w:bookmarkEnd w:id="191"/>
      <w:bookmarkStart w:id="192" w:name="_Toc184308107"/>
      <w:bookmarkEnd w:id="192"/>
      <w:bookmarkStart w:id="193" w:name="_Toc184312094"/>
      <w:bookmarkEnd w:id="193"/>
      <w:bookmarkStart w:id="194" w:name="_Toc184313300"/>
      <w:bookmarkEnd w:id="194"/>
      <w:bookmarkStart w:id="195" w:name="_Toc184312120"/>
      <w:bookmarkEnd w:id="195"/>
      <w:bookmarkStart w:id="196" w:name="_Toc184312087"/>
      <w:bookmarkEnd w:id="196"/>
      <w:bookmarkStart w:id="197" w:name="_Toc184308073"/>
      <w:bookmarkEnd w:id="197"/>
      <w:bookmarkStart w:id="198" w:name="_Toc184314425"/>
      <w:bookmarkEnd w:id="198"/>
      <w:bookmarkStart w:id="199" w:name="_Toc184312134"/>
      <w:bookmarkEnd w:id="199"/>
      <w:bookmarkStart w:id="200" w:name="_Toc184314468"/>
      <w:bookmarkEnd w:id="200"/>
      <w:bookmarkStart w:id="201" w:name="_Toc184313254"/>
      <w:bookmarkEnd w:id="201"/>
      <w:bookmarkStart w:id="202" w:name="_Toc184313306"/>
      <w:bookmarkEnd w:id="202"/>
      <w:bookmarkStart w:id="203" w:name="_Toc184312112"/>
      <w:bookmarkEnd w:id="203"/>
      <w:bookmarkStart w:id="204" w:name="_Toc184308051"/>
      <w:bookmarkEnd w:id="204"/>
      <w:bookmarkStart w:id="205" w:name="_Toc184314434"/>
      <w:bookmarkEnd w:id="205"/>
      <w:bookmarkStart w:id="206" w:name="_Toc184310337"/>
      <w:bookmarkEnd w:id="206"/>
      <w:bookmarkStart w:id="207" w:name="_Toc184310289"/>
      <w:bookmarkEnd w:id="207"/>
      <w:bookmarkStart w:id="208" w:name="_Toc184310288"/>
      <w:bookmarkEnd w:id="208"/>
      <w:bookmarkStart w:id="209" w:name="_Toc184312133"/>
      <w:bookmarkEnd w:id="209"/>
      <w:bookmarkStart w:id="210" w:name="_Toc184313293"/>
      <w:bookmarkEnd w:id="210"/>
      <w:bookmarkStart w:id="211" w:name="_Toc184310281"/>
      <w:bookmarkEnd w:id="211"/>
      <w:bookmarkStart w:id="212" w:name="_Toc184312070"/>
      <w:bookmarkEnd w:id="212"/>
      <w:bookmarkStart w:id="213" w:name="_Toc184308058"/>
      <w:bookmarkEnd w:id="213"/>
      <w:bookmarkStart w:id="214" w:name="_Toc184313279"/>
      <w:bookmarkEnd w:id="214"/>
      <w:bookmarkStart w:id="215" w:name="_Toc184312118"/>
      <w:bookmarkEnd w:id="215"/>
      <w:bookmarkStart w:id="216" w:name="_Toc184310312"/>
      <w:bookmarkEnd w:id="216"/>
      <w:bookmarkStart w:id="217" w:name="_Toc184312072"/>
      <w:bookmarkEnd w:id="217"/>
      <w:bookmarkStart w:id="218" w:name="_Toc184314428"/>
      <w:bookmarkEnd w:id="218"/>
      <w:bookmarkStart w:id="219" w:name="_Toc184308106"/>
      <w:bookmarkEnd w:id="219"/>
      <w:bookmarkStart w:id="220" w:name="_Toc184313272"/>
      <w:bookmarkEnd w:id="220"/>
      <w:bookmarkStart w:id="221" w:name="_Toc184310327"/>
      <w:bookmarkEnd w:id="221"/>
      <w:bookmarkStart w:id="222" w:name="_Toc184314477"/>
      <w:bookmarkEnd w:id="222"/>
      <w:bookmarkStart w:id="223" w:name="_Toc184312093"/>
      <w:bookmarkEnd w:id="223"/>
      <w:bookmarkStart w:id="224" w:name="_Toc184314414"/>
      <w:bookmarkEnd w:id="224"/>
      <w:bookmarkStart w:id="225" w:name="_Toc184313241"/>
      <w:bookmarkEnd w:id="225"/>
      <w:bookmarkStart w:id="226" w:name="_Toc184314464"/>
      <w:bookmarkEnd w:id="226"/>
      <w:bookmarkStart w:id="227" w:name="_Toc184308094"/>
      <w:bookmarkEnd w:id="227"/>
      <w:bookmarkStart w:id="228" w:name="_Toc184313251"/>
      <w:bookmarkEnd w:id="228"/>
      <w:bookmarkStart w:id="229" w:name="_Toc184312079"/>
      <w:bookmarkEnd w:id="229"/>
      <w:bookmarkStart w:id="230" w:name="_Toc184312099"/>
      <w:bookmarkEnd w:id="230"/>
      <w:bookmarkStart w:id="231" w:name="_Toc184312102"/>
      <w:bookmarkEnd w:id="231"/>
      <w:bookmarkStart w:id="232" w:name="_Toc184310307"/>
      <w:bookmarkEnd w:id="232"/>
      <w:bookmarkStart w:id="233" w:name="_Toc184312101"/>
      <w:bookmarkEnd w:id="233"/>
      <w:bookmarkStart w:id="234" w:name="_Toc184312109"/>
      <w:bookmarkEnd w:id="234"/>
      <w:bookmarkStart w:id="235" w:name="_Toc184314433"/>
      <w:bookmarkEnd w:id="235"/>
      <w:bookmarkStart w:id="236" w:name="_Toc184314479"/>
      <w:bookmarkEnd w:id="236"/>
      <w:bookmarkStart w:id="237" w:name="_Toc184314469"/>
      <w:bookmarkEnd w:id="237"/>
      <w:bookmarkStart w:id="238" w:name="_Toc184310310"/>
      <w:bookmarkEnd w:id="238"/>
      <w:bookmarkStart w:id="239" w:name="_Toc184310341"/>
      <w:bookmarkEnd w:id="239"/>
      <w:bookmarkStart w:id="240" w:name="_Toc184308088"/>
      <w:bookmarkEnd w:id="240"/>
      <w:bookmarkStart w:id="241" w:name="_Toc184308071"/>
      <w:bookmarkEnd w:id="241"/>
      <w:bookmarkStart w:id="242" w:name="_Toc184314413"/>
      <w:bookmarkEnd w:id="242"/>
      <w:bookmarkStart w:id="243" w:name="_Toc184313278"/>
      <w:bookmarkEnd w:id="243"/>
      <w:bookmarkStart w:id="244" w:name="_Toc184312123"/>
      <w:bookmarkEnd w:id="244"/>
      <w:bookmarkStart w:id="245" w:name="_Toc184310332"/>
      <w:bookmarkEnd w:id="245"/>
      <w:bookmarkStart w:id="246" w:name="_Toc184308063"/>
      <w:bookmarkEnd w:id="246"/>
      <w:bookmarkStart w:id="247" w:name="_Toc184314460"/>
      <w:bookmarkEnd w:id="247"/>
      <w:bookmarkStart w:id="248" w:name="_Toc184314438"/>
      <w:bookmarkEnd w:id="248"/>
      <w:bookmarkStart w:id="249" w:name="_Toc184312096"/>
      <w:bookmarkEnd w:id="249"/>
      <w:bookmarkStart w:id="250" w:name="_Toc184314412"/>
      <w:bookmarkEnd w:id="250"/>
      <w:bookmarkStart w:id="251" w:name="_Toc184312126"/>
      <w:bookmarkEnd w:id="251"/>
      <w:bookmarkStart w:id="252" w:name="_Toc184313307"/>
      <w:bookmarkEnd w:id="252"/>
      <w:bookmarkStart w:id="253" w:name="_Toc184312071"/>
      <w:bookmarkEnd w:id="253"/>
      <w:bookmarkStart w:id="254" w:name="_Toc184313301"/>
      <w:bookmarkEnd w:id="254"/>
      <w:bookmarkStart w:id="255" w:name="_Toc184308100"/>
      <w:bookmarkEnd w:id="255"/>
      <w:bookmarkStart w:id="256" w:name="_Toc184310279"/>
      <w:bookmarkEnd w:id="256"/>
      <w:bookmarkStart w:id="257" w:name="_Toc184310292"/>
      <w:bookmarkEnd w:id="257"/>
      <w:bookmarkStart w:id="258" w:name="_Toc184314447"/>
      <w:bookmarkEnd w:id="258"/>
      <w:bookmarkStart w:id="259" w:name="_Toc184312100"/>
      <w:bookmarkEnd w:id="259"/>
      <w:bookmarkStart w:id="260" w:name="_Toc184310331"/>
      <w:bookmarkEnd w:id="260"/>
      <w:bookmarkStart w:id="261" w:name="_Toc184308065"/>
      <w:bookmarkEnd w:id="261"/>
      <w:bookmarkStart w:id="262" w:name="_Toc184308099"/>
      <w:bookmarkEnd w:id="262"/>
      <w:bookmarkStart w:id="263" w:name="_Toc184308090"/>
      <w:bookmarkEnd w:id="263"/>
      <w:bookmarkStart w:id="264" w:name="_Toc184310309"/>
      <w:bookmarkEnd w:id="264"/>
      <w:bookmarkStart w:id="265" w:name="_Toc184310315"/>
      <w:bookmarkEnd w:id="265"/>
      <w:bookmarkStart w:id="266" w:name="_Toc184310293"/>
      <w:bookmarkEnd w:id="266"/>
      <w:bookmarkStart w:id="267" w:name="_Toc184312091"/>
      <w:bookmarkEnd w:id="267"/>
      <w:bookmarkStart w:id="268" w:name="_Toc184310286"/>
      <w:bookmarkEnd w:id="268"/>
      <w:bookmarkStart w:id="269" w:name="_Toc184310303"/>
      <w:bookmarkEnd w:id="269"/>
      <w:bookmarkStart w:id="270" w:name="_Toc184312084"/>
      <w:bookmarkEnd w:id="270"/>
      <w:bookmarkStart w:id="271" w:name="_Toc184310316"/>
      <w:bookmarkEnd w:id="271"/>
      <w:bookmarkStart w:id="272" w:name="_Toc184313275"/>
      <w:bookmarkEnd w:id="272"/>
      <w:bookmarkStart w:id="273" w:name="_Toc184308075"/>
      <w:bookmarkEnd w:id="273"/>
      <w:bookmarkStart w:id="274" w:name="_Toc184312073"/>
      <w:bookmarkEnd w:id="274"/>
      <w:bookmarkStart w:id="275" w:name="_Toc184314473"/>
      <w:bookmarkEnd w:id="275"/>
      <w:bookmarkStart w:id="276" w:name="_Toc184310338"/>
      <w:bookmarkEnd w:id="276"/>
      <w:bookmarkStart w:id="277" w:name="_Toc184312122"/>
      <w:bookmarkEnd w:id="277"/>
      <w:bookmarkStart w:id="278" w:name="_Toc184313264"/>
      <w:bookmarkEnd w:id="278"/>
      <w:bookmarkStart w:id="279" w:name="_Toc184310285"/>
      <w:bookmarkEnd w:id="279"/>
      <w:bookmarkStart w:id="280" w:name="_Toc184314456"/>
      <w:bookmarkEnd w:id="280"/>
      <w:bookmarkStart w:id="281" w:name="_Toc184313270"/>
      <w:bookmarkEnd w:id="281"/>
      <w:bookmarkStart w:id="282" w:name="_Toc184314427"/>
      <w:bookmarkEnd w:id="282"/>
      <w:bookmarkStart w:id="283" w:name="_Toc184312106"/>
      <w:bookmarkEnd w:id="283"/>
      <w:bookmarkStart w:id="284" w:name="_Toc184314453"/>
      <w:bookmarkEnd w:id="284"/>
      <w:bookmarkStart w:id="285" w:name="_Toc184312113"/>
      <w:bookmarkEnd w:id="285"/>
      <w:bookmarkStart w:id="286" w:name="_Toc184313262"/>
      <w:bookmarkEnd w:id="286"/>
      <w:bookmarkStart w:id="287" w:name="_Toc184314424"/>
      <w:bookmarkEnd w:id="287"/>
      <w:bookmarkStart w:id="288" w:name="_Toc184314461"/>
      <w:bookmarkEnd w:id="288"/>
      <w:bookmarkStart w:id="289" w:name="_Toc184312067"/>
      <w:bookmarkEnd w:id="289"/>
      <w:bookmarkStart w:id="290" w:name="_Toc184310282"/>
      <w:bookmarkEnd w:id="290"/>
      <w:bookmarkStart w:id="291" w:name="_Toc184308103"/>
      <w:bookmarkEnd w:id="291"/>
      <w:bookmarkStart w:id="292" w:name="_Toc184312117"/>
      <w:bookmarkEnd w:id="292"/>
      <w:bookmarkStart w:id="293" w:name="_Toc184308049"/>
      <w:bookmarkEnd w:id="293"/>
      <w:bookmarkStart w:id="294" w:name="_Toc184314462"/>
      <w:bookmarkEnd w:id="294"/>
      <w:bookmarkStart w:id="295" w:name="_Toc184313309"/>
      <w:bookmarkEnd w:id="295"/>
      <w:bookmarkStart w:id="296" w:name="_Toc184314470"/>
      <w:bookmarkEnd w:id="296"/>
      <w:bookmarkStart w:id="297" w:name="_Toc184314418"/>
      <w:bookmarkEnd w:id="297"/>
      <w:bookmarkStart w:id="298" w:name="_Toc184312107"/>
      <w:bookmarkEnd w:id="298"/>
      <w:bookmarkStart w:id="299" w:name="_Toc184313295"/>
      <w:bookmarkEnd w:id="299"/>
      <w:bookmarkStart w:id="300" w:name="_Toc184310284"/>
      <w:bookmarkEnd w:id="300"/>
      <w:bookmarkStart w:id="301" w:name="_Toc184310343"/>
      <w:bookmarkEnd w:id="301"/>
      <w:bookmarkStart w:id="302" w:name="_Toc184313288"/>
      <w:bookmarkEnd w:id="302"/>
      <w:bookmarkStart w:id="303" w:name="_Toc184308067"/>
      <w:bookmarkEnd w:id="303"/>
      <w:bookmarkStart w:id="304" w:name="_Toc184314465"/>
      <w:bookmarkEnd w:id="304"/>
      <w:bookmarkStart w:id="305" w:name="_Toc184308085"/>
      <w:bookmarkEnd w:id="305"/>
      <w:bookmarkStart w:id="306" w:name="_Toc184310319"/>
      <w:bookmarkEnd w:id="306"/>
      <w:bookmarkStart w:id="307" w:name="_Toc184314432"/>
      <w:bookmarkEnd w:id="307"/>
      <w:bookmarkStart w:id="308" w:name="_Toc184308039"/>
      <w:bookmarkEnd w:id="308"/>
      <w:bookmarkStart w:id="309" w:name="_Toc184314431"/>
      <w:bookmarkEnd w:id="309"/>
      <w:bookmarkStart w:id="310" w:name="_Toc184313284"/>
      <w:bookmarkEnd w:id="310"/>
      <w:bookmarkStart w:id="311" w:name="_Toc184308083"/>
      <w:bookmarkEnd w:id="311"/>
      <w:bookmarkStart w:id="312" w:name="_Toc184308045"/>
      <w:bookmarkEnd w:id="312"/>
      <w:bookmarkStart w:id="313" w:name="_Toc184312078"/>
      <w:bookmarkEnd w:id="313"/>
      <w:bookmarkStart w:id="314" w:name="_Toc184313250"/>
      <w:bookmarkEnd w:id="314"/>
      <w:bookmarkStart w:id="315" w:name="_Toc184313273"/>
      <w:bookmarkEnd w:id="315"/>
      <w:bookmarkStart w:id="316" w:name="_Toc184312124"/>
      <w:bookmarkEnd w:id="316"/>
      <w:bookmarkStart w:id="317" w:name="_Toc184308036"/>
      <w:bookmarkEnd w:id="317"/>
      <w:bookmarkStart w:id="318" w:name="_Toc184310294"/>
      <w:bookmarkEnd w:id="318"/>
      <w:bookmarkStart w:id="319" w:name="_Toc184314444"/>
      <w:bookmarkEnd w:id="319"/>
      <w:bookmarkStart w:id="320" w:name="_Toc184312081"/>
      <w:bookmarkEnd w:id="320"/>
      <w:bookmarkStart w:id="321" w:name="_Toc184310275"/>
      <w:bookmarkEnd w:id="321"/>
      <w:bookmarkStart w:id="322" w:name="_Toc184313285"/>
      <w:bookmarkEnd w:id="322"/>
      <w:bookmarkStart w:id="323" w:name="_Toc184313255"/>
      <w:bookmarkEnd w:id="323"/>
      <w:bookmarkStart w:id="324" w:name="_Toc184314482"/>
      <w:bookmarkEnd w:id="324"/>
      <w:bookmarkStart w:id="325" w:name="_Toc184308070"/>
      <w:bookmarkEnd w:id="325"/>
      <w:bookmarkStart w:id="326" w:name="_Toc184312114"/>
      <w:bookmarkEnd w:id="326"/>
      <w:bookmarkStart w:id="327" w:name="_Toc184312108"/>
      <w:bookmarkEnd w:id="327"/>
      <w:bookmarkStart w:id="328" w:name="_Toc184314481"/>
      <w:bookmarkEnd w:id="328"/>
      <w:bookmarkStart w:id="329" w:name="_Toc184313281"/>
      <w:bookmarkEnd w:id="329"/>
      <w:bookmarkStart w:id="330" w:name="_Toc184310280"/>
      <w:bookmarkEnd w:id="330"/>
      <w:bookmarkStart w:id="331" w:name="_Toc184314410"/>
      <w:bookmarkEnd w:id="331"/>
      <w:bookmarkStart w:id="332" w:name="_Toc184310317"/>
      <w:bookmarkEnd w:id="332"/>
      <w:bookmarkStart w:id="333" w:name="_Toc184310295"/>
      <w:bookmarkEnd w:id="333"/>
      <w:bookmarkStart w:id="334" w:name="_Toc184310313"/>
      <w:bookmarkEnd w:id="334"/>
      <w:bookmarkStart w:id="335" w:name="_Toc184313265"/>
      <w:bookmarkEnd w:id="335"/>
      <w:bookmarkStart w:id="336" w:name="_Toc184308066"/>
      <w:bookmarkEnd w:id="336"/>
      <w:bookmarkStart w:id="337" w:name="_Toc184314419"/>
      <w:bookmarkEnd w:id="337"/>
      <w:bookmarkStart w:id="338" w:name="_Toc184312127"/>
      <w:bookmarkEnd w:id="338"/>
      <w:bookmarkStart w:id="339" w:name="_Toc184314435"/>
      <w:bookmarkEnd w:id="339"/>
      <w:bookmarkStart w:id="340" w:name="_Toc184310283"/>
      <w:bookmarkEnd w:id="340"/>
      <w:bookmarkStart w:id="341" w:name="_Toc184312131"/>
      <w:bookmarkEnd w:id="341"/>
      <w:bookmarkStart w:id="342" w:name="_Toc184314455"/>
      <w:bookmarkEnd w:id="342"/>
      <w:bookmarkStart w:id="343" w:name="_Toc184310302"/>
      <w:bookmarkEnd w:id="343"/>
      <w:bookmarkStart w:id="344" w:name="_Toc184308050"/>
      <w:bookmarkEnd w:id="344"/>
      <w:bookmarkStart w:id="345" w:name="_Toc184312128"/>
      <w:bookmarkEnd w:id="345"/>
      <w:bookmarkStart w:id="346" w:name="_Toc184312082"/>
      <w:bookmarkEnd w:id="346"/>
      <w:bookmarkStart w:id="347" w:name="_Toc184312074"/>
      <w:bookmarkEnd w:id="347"/>
      <w:bookmarkStart w:id="348" w:name="_Toc184308037"/>
      <w:bookmarkEnd w:id="348"/>
      <w:bookmarkStart w:id="349" w:name="_Toc184314463"/>
      <w:bookmarkEnd w:id="349"/>
      <w:bookmarkStart w:id="350" w:name="_Toc184310344"/>
      <w:bookmarkEnd w:id="350"/>
      <w:bookmarkStart w:id="351" w:name="_Toc184313259"/>
      <w:bookmarkEnd w:id="351"/>
      <w:bookmarkStart w:id="352" w:name="_Toc184314422"/>
      <w:bookmarkEnd w:id="352"/>
      <w:bookmarkStart w:id="353" w:name="_Toc184312086"/>
      <w:bookmarkEnd w:id="353"/>
      <w:bookmarkStart w:id="354" w:name="_Toc184312103"/>
      <w:bookmarkEnd w:id="354"/>
      <w:bookmarkStart w:id="355" w:name="_Toc184312092"/>
      <w:bookmarkEnd w:id="355"/>
      <w:bookmarkStart w:id="356" w:name="_Toc184310306"/>
      <w:bookmarkEnd w:id="356"/>
      <w:bookmarkStart w:id="357" w:name="_Toc184310308"/>
      <w:bookmarkEnd w:id="357"/>
      <w:bookmarkStart w:id="358" w:name="_Toc184314448"/>
      <w:bookmarkEnd w:id="358"/>
      <w:bookmarkStart w:id="359" w:name="_Toc184312138"/>
      <w:bookmarkEnd w:id="359"/>
      <w:bookmarkStart w:id="360" w:name="_Toc184313304"/>
      <w:bookmarkEnd w:id="360"/>
      <w:bookmarkStart w:id="361" w:name="_Toc184313267"/>
      <w:bookmarkEnd w:id="361"/>
      <w:bookmarkStart w:id="362" w:name="_Toc184312111"/>
      <w:bookmarkEnd w:id="362"/>
      <w:bookmarkStart w:id="363" w:name="_Toc184313260"/>
      <w:bookmarkEnd w:id="363"/>
      <w:bookmarkStart w:id="364" w:name="_Toc184313252"/>
      <w:bookmarkEnd w:id="364"/>
      <w:bookmarkStart w:id="365" w:name="_Toc184313305"/>
      <w:bookmarkEnd w:id="365"/>
      <w:bookmarkStart w:id="366" w:name="_Toc184312098"/>
      <w:bookmarkEnd w:id="366"/>
      <w:bookmarkStart w:id="367" w:name="_Toc184310296"/>
      <w:bookmarkEnd w:id="367"/>
      <w:bookmarkStart w:id="368" w:name="_Toc184310287"/>
      <w:bookmarkEnd w:id="368"/>
      <w:bookmarkStart w:id="369" w:name="_Toc184310329"/>
      <w:bookmarkEnd w:id="369"/>
      <w:bookmarkStart w:id="370" w:name="_Toc184310333"/>
      <w:bookmarkEnd w:id="370"/>
      <w:bookmarkStart w:id="371" w:name="_Toc184313246"/>
      <w:bookmarkEnd w:id="371"/>
      <w:bookmarkStart w:id="372" w:name="_Toc184312097"/>
      <w:bookmarkEnd w:id="372"/>
      <w:bookmarkStart w:id="373" w:name="_Toc184312110"/>
      <w:bookmarkEnd w:id="373"/>
      <w:bookmarkStart w:id="374" w:name="_Toc184308044"/>
      <w:bookmarkEnd w:id="374"/>
      <w:bookmarkStart w:id="375" w:name="_Toc184313283"/>
      <w:bookmarkEnd w:id="375"/>
      <w:bookmarkStart w:id="376" w:name="_Toc184310323"/>
      <w:bookmarkEnd w:id="376"/>
      <w:bookmarkStart w:id="377" w:name="_Toc184313302"/>
      <w:bookmarkEnd w:id="377"/>
      <w:bookmarkStart w:id="378" w:name="_Toc184310318"/>
      <w:bookmarkEnd w:id="378"/>
      <w:bookmarkStart w:id="379" w:name="_Toc184313298"/>
      <w:bookmarkEnd w:id="379"/>
      <w:bookmarkStart w:id="380" w:name="_Toc184308084"/>
      <w:bookmarkEnd w:id="380"/>
      <w:bookmarkStart w:id="381" w:name="_Toc184310320"/>
      <w:bookmarkEnd w:id="381"/>
      <w:bookmarkStart w:id="382" w:name="_Toc184314476"/>
      <w:bookmarkEnd w:id="382"/>
      <w:bookmarkStart w:id="383" w:name="_Toc184314474"/>
      <w:bookmarkEnd w:id="383"/>
      <w:bookmarkStart w:id="384" w:name="_Toc184314466"/>
      <w:bookmarkEnd w:id="384"/>
      <w:bookmarkStart w:id="385" w:name="_Toc184310322"/>
      <w:bookmarkEnd w:id="385"/>
      <w:bookmarkStart w:id="386" w:name="_Toc184314416"/>
      <w:bookmarkEnd w:id="386"/>
      <w:bookmarkStart w:id="387" w:name="_Toc184310272"/>
      <w:bookmarkEnd w:id="387"/>
      <w:bookmarkStart w:id="388" w:name="_Toc184308057"/>
      <w:bookmarkEnd w:id="388"/>
      <w:bookmarkStart w:id="389" w:name="_Toc184310299"/>
      <w:bookmarkEnd w:id="389"/>
      <w:bookmarkStart w:id="390" w:name="_Toc184308101"/>
      <w:bookmarkEnd w:id="390"/>
      <w:bookmarkStart w:id="391" w:name="_Toc184308097"/>
      <w:bookmarkEnd w:id="391"/>
      <w:bookmarkStart w:id="392" w:name="_Toc184308095"/>
      <w:bookmarkEnd w:id="392"/>
      <w:bookmarkStart w:id="393" w:name="_Toc184312089"/>
      <w:bookmarkEnd w:id="393"/>
      <w:bookmarkStart w:id="394" w:name="_Toc184314443"/>
      <w:bookmarkEnd w:id="394"/>
      <w:bookmarkStart w:id="395" w:name="_Toc184313242"/>
      <w:bookmarkEnd w:id="395"/>
      <w:bookmarkStart w:id="396" w:name="_Toc184308098"/>
      <w:bookmarkEnd w:id="396"/>
      <w:bookmarkStart w:id="397" w:name="_Toc184308042"/>
      <w:bookmarkEnd w:id="397"/>
      <w:bookmarkStart w:id="398" w:name="_Toc184310326"/>
      <w:bookmarkEnd w:id="398"/>
      <w:bookmarkStart w:id="399" w:name="_Toc184308059"/>
      <w:bookmarkEnd w:id="399"/>
      <w:bookmarkStart w:id="400" w:name="_Toc184308102"/>
      <w:bookmarkEnd w:id="400"/>
      <w:bookmarkStart w:id="401" w:name="_Toc184308082"/>
      <w:bookmarkEnd w:id="401"/>
      <w:bookmarkStart w:id="402" w:name="_Toc184310325"/>
      <w:bookmarkEnd w:id="402"/>
      <w:bookmarkStart w:id="403" w:name="_Toc184308104"/>
      <w:bookmarkEnd w:id="403"/>
      <w:bookmarkStart w:id="404" w:name="_Toc184308069"/>
      <w:bookmarkEnd w:id="404"/>
      <w:bookmarkStart w:id="405" w:name="_Toc184308041"/>
      <w:bookmarkEnd w:id="405"/>
      <w:bookmarkStart w:id="406" w:name="_Toc184312129"/>
      <w:bookmarkEnd w:id="406"/>
      <w:bookmarkStart w:id="407" w:name="_Toc184313296"/>
      <w:bookmarkEnd w:id="407"/>
      <w:bookmarkStart w:id="408" w:name="_Toc184308056"/>
      <w:bookmarkEnd w:id="408"/>
      <w:bookmarkStart w:id="409" w:name="_Toc184310336"/>
      <w:bookmarkEnd w:id="409"/>
      <w:bookmarkStart w:id="410" w:name="_Toc184313271"/>
      <w:bookmarkEnd w:id="410"/>
      <w:bookmarkStart w:id="411" w:name="_Toc184310274"/>
      <w:bookmarkEnd w:id="411"/>
      <w:bookmarkStart w:id="412" w:name="_Toc184310278"/>
      <w:bookmarkEnd w:id="412"/>
      <w:bookmarkStart w:id="413" w:name="_Toc184314440"/>
      <w:bookmarkEnd w:id="413"/>
      <w:bookmarkStart w:id="414" w:name="_Toc184308040"/>
      <w:bookmarkEnd w:id="414"/>
      <w:bookmarkStart w:id="415" w:name="_Toc184313282"/>
      <w:bookmarkEnd w:id="415"/>
      <w:bookmarkStart w:id="416" w:name="_Toc184313289"/>
      <w:bookmarkEnd w:id="416"/>
      <w:bookmarkStart w:id="417" w:name="_Toc184308053"/>
      <w:bookmarkEnd w:id="417"/>
      <w:bookmarkStart w:id="418" w:name="_Toc184312077"/>
      <w:bookmarkEnd w:id="418"/>
      <w:bookmarkStart w:id="419" w:name="_Toc184314411"/>
      <w:bookmarkEnd w:id="419"/>
      <w:bookmarkStart w:id="420" w:name="_Toc184310291"/>
      <w:bookmarkEnd w:id="420"/>
      <w:bookmarkStart w:id="421" w:name="_Toc184313292"/>
      <w:bookmarkEnd w:id="421"/>
      <w:bookmarkStart w:id="422" w:name="_Toc184312125"/>
      <w:bookmarkEnd w:id="422"/>
      <w:bookmarkStart w:id="423" w:name="_Toc184312137"/>
      <w:bookmarkEnd w:id="423"/>
      <w:bookmarkStart w:id="424" w:name="_Toc184308087"/>
      <w:bookmarkEnd w:id="424"/>
      <w:bookmarkStart w:id="425" w:name="_Toc184313277"/>
      <w:bookmarkEnd w:id="425"/>
      <w:bookmarkStart w:id="426" w:name="_Toc184314446"/>
      <w:bookmarkEnd w:id="426"/>
      <w:bookmarkStart w:id="427" w:name="_Toc184308076"/>
      <w:bookmarkEnd w:id="427"/>
      <w:bookmarkStart w:id="428" w:name="_Toc184313257"/>
      <w:bookmarkEnd w:id="428"/>
      <w:bookmarkStart w:id="429" w:name="_Toc184313243"/>
      <w:bookmarkEnd w:id="429"/>
      <w:bookmarkStart w:id="430" w:name="_Toc184308078"/>
      <w:bookmarkEnd w:id="430"/>
      <w:bookmarkStart w:id="431" w:name="_Toc184314454"/>
      <w:bookmarkEnd w:id="431"/>
      <w:bookmarkStart w:id="432" w:name="_Toc184312132"/>
      <w:bookmarkEnd w:id="432"/>
      <w:bookmarkStart w:id="433" w:name="_Toc184310305"/>
      <w:bookmarkEnd w:id="433"/>
      <w:bookmarkStart w:id="434" w:name="_Toc184308047"/>
      <w:bookmarkEnd w:id="434"/>
      <w:bookmarkStart w:id="435" w:name="_Toc184313247"/>
      <w:bookmarkEnd w:id="435"/>
      <w:bookmarkStart w:id="436" w:name="_Toc184312080"/>
      <w:bookmarkEnd w:id="436"/>
      <w:bookmarkStart w:id="437" w:name="_Toc184312115"/>
      <w:bookmarkEnd w:id="437"/>
      <w:bookmarkStart w:id="438" w:name="_Toc184313253"/>
      <w:bookmarkEnd w:id="438"/>
      <w:bookmarkStart w:id="439" w:name="_Toc184313266"/>
      <w:bookmarkEnd w:id="439"/>
      <w:bookmarkStart w:id="440" w:name="_Toc184313245"/>
      <w:bookmarkEnd w:id="440"/>
      <w:bookmarkStart w:id="441" w:name="_Toc184314445"/>
      <w:bookmarkEnd w:id="441"/>
      <w:bookmarkStart w:id="442" w:name="_Toc184312076"/>
      <w:bookmarkEnd w:id="442"/>
      <w:bookmarkStart w:id="443" w:name="_Toc184314472"/>
      <w:bookmarkEnd w:id="443"/>
      <w:bookmarkStart w:id="444" w:name="_Toc184310328"/>
      <w:bookmarkEnd w:id="444"/>
      <w:bookmarkStart w:id="445" w:name="_Toc184314442"/>
      <w:bookmarkEnd w:id="445"/>
      <w:bookmarkStart w:id="446" w:name="_Toc184310311"/>
      <w:bookmarkEnd w:id="446"/>
      <w:bookmarkStart w:id="447" w:name="_Toc184313294"/>
      <w:bookmarkEnd w:id="447"/>
      <w:bookmarkStart w:id="448" w:name="_Toc184314458"/>
      <w:bookmarkEnd w:id="448"/>
      <w:bookmarkStart w:id="449" w:name="_Toc184312068"/>
      <w:bookmarkEnd w:id="449"/>
      <w:bookmarkStart w:id="450" w:name="_Toc184310276"/>
      <w:bookmarkEnd w:id="450"/>
      <w:bookmarkStart w:id="451" w:name="_Toc184314437"/>
      <w:bookmarkEnd w:id="451"/>
      <w:bookmarkStart w:id="452" w:name="_Toc184310298"/>
      <w:bookmarkEnd w:id="452"/>
      <w:bookmarkStart w:id="453" w:name="_Toc184313276"/>
      <w:bookmarkEnd w:id="453"/>
      <w:bookmarkStart w:id="454" w:name="_Toc184313274"/>
      <w:bookmarkEnd w:id="454"/>
      <w:bookmarkStart w:id="455" w:name="_Toc184314478"/>
      <w:bookmarkEnd w:id="455"/>
      <w:bookmarkStart w:id="456" w:name="_Toc184312104"/>
      <w:bookmarkEnd w:id="456"/>
      <w:bookmarkStart w:id="457" w:name="_Toc184312119"/>
      <w:bookmarkEnd w:id="457"/>
      <w:bookmarkStart w:id="458" w:name="_Toc184313308"/>
      <w:bookmarkEnd w:id="458"/>
      <w:bookmarkStart w:id="459" w:name="_Toc184310342"/>
      <w:bookmarkEnd w:id="459"/>
      <w:bookmarkStart w:id="460" w:name="_Toc184308048"/>
      <w:bookmarkEnd w:id="460"/>
      <w:bookmarkStart w:id="461" w:name="_Toc184310324"/>
      <w:bookmarkEnd w:id="461"/>
      <w:bookmarkStart w:id="462" w:name="_Toc184313256"/>
      <w:bookmarkEnd w:id="462"/>
      <w:bookmarkStart w:id="463" w:name="_Toc184308108"/>
      <w:bookmarkEnd w:id="463"/>
      <w:bookmarkStart w:id="464" w:name="_Toc184313268"/>
      <w:bookmarkEnd w:id="464"/>
      <w:bookmarkStart w:id="465" w:name="_Toc184308093"/>
      <w:bookmarkEnd w:id="465"/>
      <w:bookmarkStart w:id="466" w:name="_Toc184308060"/>
      <w:bookmarkEnd w:id="466"/>
      <w:bookmarkStart w:id="467" w:name="_Toc184314449"/>
      <w:bookmarkEnd w:id="467"/>
      <w:bookmarkStart w:id="468" w:name="_Toc184313299"/>
      <w:bookmarkEnd w:id="468"/>
      <w:bookmarkStart w:id="469" w:name="_Toc184314475"/>
      <w:bookmarkEnd w:id="469"/>
      <w:bookmarkStart w:id="470" w:name="_Toc184312069"/>
      <w:bookmarkEnd w:id="470"/>
      <w:bookmarkStart w:id="471" w:name="_Toc184314457"/>
      <w:bookmarkEnd w:id="471"/>
      <w:bookmarkStart w:id="472" w:name="_Toc184308064"/>
      <w:bookmarkEnd w:id="472"/>
      <w:bookmarkStart w:id="473" w:name="_Toc184313238"/>
      <w:bookmarkEnd w:id="473"/>
      <w:bookmarkStart w:id="474" w:name="_Toc184314467"/>
      <w:bookmarkEnd w:id="474"/>
      <w:bookmarkStart w:id="475" w:name="_Toc184308054"/>
      <w:bookmarkEnd w:id="475"/>
      <w:bookmarkStart w:id="476" w:name="_Toc184308105"/>
      <w:bookmarkEnd w:id="476"/>
      <w:bookmarkStart w:id="477" w:name="_Toc184314423"/>
      <w:bookmarkEnd w:id="477"/>
      <w:bookmarkStart w:id="478" w:name="_Toc184314417"/>
      <w:bookmarkEnd w:id="478"/>
      <w:bookmarkStart w:id="479" w:name="_Toc184313297"/>
      <w:bookmarkEnd w:id="479"/>
      <w:bookmarkStart w:id="480" w:name="_Toc184308080"/>
      <w:bookmarkEnd w:id="480"/>
      <w:bookmarkStart w:id="481" w:name="_Toc184310300"/>
      <w:bookmarkEnd w:id="481"/>
      <w:bookmarkStart w:id="482" w:name="_Toc184314451"/>
      <w:bookmarkEnd w:id="482"/>
      <w:bookmarkStart w:id="483" w:name="_Toc184313258"/>
      <w:bookmarkEnd w:id="483"/>
      <w:bookmarkStart w:id="484" w:name="_Toc184314430"/>
      <w:bookmarkEnd w:id="484"/>
      <w:bookmarkStart w:id="485" w:name="_Toc184313240"/>
      <w:bookmarkEnd w:id="485"/>
      <w:bookmarkStart w:id="486" w:name="_Toc184313291"/>
      <w:bookmarkEnd w:id="486"/>
      <w:bookmarkStart w:id="487" w:name="_Toc184314441"/>
      <w:bookmarkEnd w:id="487"/>
      <w:bookmarkStart w:id="488" w:name="_Toc184308061"/>
      <w:bookmarkEnd w:id="488"/>
      <w:bookmarkStart w:id="489" w:name="_Toc184313269"/>
      <w:bookmarkEnd w:id="489"/>
      <w:bookmarkStart w:id="490" w:name="_Toc184308077"/>
      <w:bookmarkEnd w:id="490"/>
      <w:bookmarkStart w:id="491" w:name="_Toc184308046"/>
      <w:bookmarkEnd w:id="491"/>
      <w:bookmarkStart w:id="492" w:name="_Toc184313310"/>
      <w:bookmarkEnd w:id="492"/>
      <w:bookmarkStart w:id="493" w:name="_Toc184310335"/>
      <w:bookmarkEnd w:id="493"/>
      <w:bookmarkStart w:id="494" w:name="_Toc184312088"/>
      <w:bookmarkEnd w:id="494"/>
      <w:bookmarkStart w:id="495" w:name="_Toc184310314"/>
      <w:bookmarkEnd w:id="495"/>
      <w:bookmarkStart w:id="496" w:name="_Toc184310339"/>
      <w:bookmarkEnd w:id="496"/>
      <w:bookmarkStart w:id="497" w:name="_Toc184314426"/>
      <w:bookmarkEnd w:id="497"/>
      <w:bookmarkStart w:id="498" w:name="_Toc184312116"/>
      <w:bookmarkEnd w:id="498"/>
      <w:bookmarkStart w:id="499" w:name="_Toc184313280"/>
      <w:bookmarkEnd w:id="499"/>
      <w:r>
        <w:rPr>
          <w:rFonts w:hint="eastAsia" w:ascii="宋体" w:hAnsi="宋体" w:eastAsia="宋体" w:cs="宋体"/>
          <w:b/>
          <w:color w:val="auto"/>
          <w:kern w:val="44"/>
          <w:sz w:val="32"/>
          <w:szCs w:val="32"/>
          <w:highlight w:val="none"/>
          <w:lang w:val="en-US" w:eastAsia="zh-CN" w:bidi="ar-SA"/>
        </w:rPr>
        <w:t>评标办法</w:t>
      </w:r>
      <w:bookmarkEnd w:id="132"/>
      <w:bookmarkEnd w:id="133"/>
      <w:bookmarkEnd w:id="134"/>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37"/>
        <w:tblpPr w:leftFromText="180" w:rightFromText="180" w:vertAnchor="text" w:horzAnchor="page" w:tblpXSpec="center" w:tblpY="82"/>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316"/>
        <w:gridCol w:w="4459"/>
        <w:gridCol w:w="772"/>
        <w:gridCol w:w="72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21"/>
                <w:szCs w:val="21"/>
                <w:highlight w:val="none"/>
              </w:rPr>
            </w:pPr>
            <w:bookmarkStart w:id="500" w:name="_Toc20375"/>
            <w:bookmarkStart w:id="501" w:name="_Toc5595"/>
            <w:r>
              <w:rPr>
                <w:rFonts w:hint="eastAsia" w:ascii="宋体" w:hAnsi="宋体" w:eastAsia="宋体" w:cs="宋体"/>
                <w:b/>
                <w:bCs w:val="0"/>
                <w:color w:val="auto"/>
                <w:sz w:val="21"/>
                <w:szCs w:val="21"/>
                <w:highlight w:val="none"/>
              </w:rPr>
              <w:t>序号</w:t>
            </w:r>
            <w:bookmarkEnd w:id="500"/>
            <w:bookmarkEnd w:id="501"/>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21"/>
                <w:szCs w:val="21"/>
                <w:highlight w:val="none"/>
                <w:lang w:val="en-US" w:eastAsia="zh-CN"/>
              </w:rPr>
            </w:pPr>
            <w:bookmarkStart w:id="502" w:name="_Toc30027"/>
            <w:bookmarkStart w:id="503" w:name="_Toc6415"/>
            <w:r>
              <w:rPr>
                <w:rFonts w:hint="eastAsia" w:ascii="宋体" w:hAnsi="宋体" w:eastAsia="宋体" w:cs="宋体"/>
                <w:b/>
                <w:bCs w:val="0"/>
                <w:color w:val="auto"/>
                <w:sz w:val="21"/>
                <w:szCs w:val="21"/>
                <w:highlight w:val="none"/>
                <w:lang w:val="en-US" w:eastAsia="zh-CN"/>
              </w:rPr>
              <w:t>评审内容</w:t>
            </w:r>
            <w:bookmarkEnd w:id="502"/>
            <w:bookmarkEnd w:id="503"/>
          </w:p>
        </w:tc>
        <w:tc>
          <w:tcPr>
            <w:tcW w:w="25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val="0"/>
                <w:color w:val="auto"/>
                <w:sz w:val="21"/>
                <w:szCs w:val="21"/>
                <w:highlight w:val="none"/>
              </w:rPr>
            </w:pPr>
            <w:bookmarkStart w:id="504" w:name="_Toc17973"/>
            <w:bookmarkStart w:id="505" w:name="_Toc7744"/>
            <w:r>
              <w:rPr>
                <w:rFonts w:hint="eastAsia" w:ascii="宋体" w:hAnsi="宋体" w:eastAsia="宋体" w:cs="宋体"/>
                <w:b/>
                <w:bCs w:val="0"/>
                <w:color w:val="auto"/>
                <w:sz w:val="21"/>
                <w:szCs w:val="21"/>
                <w:highlight w:val="none"/>
              </w:rPr>
              <w:t>评标标准</w:t>
            </w:r>
            <w:bookmarkEnd w:id="504"/>
            <w:bookmarkEnd w:id="505"/>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b/>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0"/>
              <w:jc w:val="left"/>
              <w:textAlignment w:val="auto"/>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分值</w:t>
            </w:r>
          </w:p>
        </w:tc>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21"/>
                <w:szCs w:val="21"/>
                <w:highlight w:val="none"/>
                <w:lang w:eastAsia="zh-CN"/>
              </w:rPr>
            </w:pPr>
            <w:bookmarkStart w:id="506" w:name="_Toc16757"/>
            <w:bookmarkStart w:id="507" w:name="_Toc19601"/>
            <w:r>
              <w:rPr>
                <w:rFonts w:hint="eastAsia" w:ascii="宋体" w:hAnsi="宋体" w:eastAsia="宋体" w:cs="宋体"/>
                <w:b/>
                <w:bCs w:val="0"/>
                <w:color w:val="auto"/>
                <w:sz w:val="21"/>
                <w:szCs w:val="21"/>
                <w:highlight w:val="none"/>
                <w:lang w:val="en-US" w:eastAsia="zh-CN"/>
              </w:rPr>
              <w:t>分值类型</w:t>
            </w:r>
            <w:bookmarkEnd w:id="506"/>
            <w:bookmarkEnd w:id="507"/>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21"/>
                <w:szCs w:val="21"/>
                <w:highlight w:val="none"/>
              </w:rPr>
            </w:pPr>
            <w:bookmarkStart w:id="508" w:name="_Toc4777"/>
            <w:bookmarkStart w:id="509" w:name="_Toc8158"/>
            <w:r>
              <w:rPr>
                <w:rFonts w:hint="eastAsia" w:ascii="宋体" w:hAnsi="宋体" w:eastAsia="宋体" w:cs="宋体"/>
                <w:b/>
                <w:bCs w:val="0"/>
                <w:color w:val="auto"/>
                <w:sz w:val="21"/>
                <w:szCs w:val="21"/>
                <w:highlight w:val="none"/>
              </w:rPr>
              <w:t>投标文件中评标标准相应的商务技术资料目录</w:t>
            </w:r>
            <w:bookmarkEnd w:id="508"/>
            <w:bookmarkEnd w:id="5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pPr>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b/>
                <w:bCs w:val="0"/>
                <w:color w:val="auto"/>
                <w:sz w:val="21"/>
                <w:szCs w:val="21"/>
                <w:highlight w:val="none"/>
              </w:rPr>
            </w:pPr>
            <w:bookmarkStart w:id="510" w:name="_Toc28512"/>
            <w:bookmarkStart w:id="511" w:name="_Toc870"/>
            <w:r>
              <w:rPr>
                <w:rFonts w:hint="eastAsia" w:ascii="宋体" w:hAnsi="宋体" w:eastAsia="宋体" w:cs="宋体"/>
                <w:b/>
                <w:bCs/>
                <w:color w:val="auto"/>
                <w:kern w:val="28"/>
                <w:sz w:val="21"/>
                <w:szCs w:val="21"/>
                <w:highlight w:val="none"/>
                <w:lang w:val="en-US" w:eastAsia="zh-CN"/>
              </w:rPr>
              <w:t>商务技术（70分）</w:t>
            </w:r>
            <w:bookmarkEnd w:id="510"/>
            <w:bookmarkEnd w:id="5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bookmarkStart w:id="512" w:name="_Toc23732"/>
            <w:bookmarkEnd w:id="512"/>
            <w:bookmarkStart w:id="513" w:name="_Toc6129"/>
            <w:bookmarkEnd w:id="513"/>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对应于招标文件设备技术规格及配置的偏离度</w:t>
            </w:r>
          </w:p>
        </w:tc>
        <w:tc>
          <w:tcPr>
            <w:tcW w:w="2531" w:type="pct"/>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对应于招标文件技术指标的偏离度：与招标文件第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部分招标内容及要求的设备技术规格及配置对比，实质性条款（标注▲的为实质性条款，如不满足，按无效投标处理）除外，标注★的技术指标（或功能）偏离每项扣3分，一般技术指标偏离每项扣1分，一般功能偏离每项扣3分，商务要求偏离每项扣3分。扣完为止。</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bookmarkStart w:id="514" w:name="_Toc14517"/>
            <w:bookmarkStart w:id="515" w:name="_Toc19269"/>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bookmarkEnd w:id="514"/>
            <w:bookmarkEnd w:id="515"/>
          </w:p>
        </w:tc>
        <w:tc>
          <w:tcPr>
            <w:tcW w:w="412" w:type="pct"/>
            <w:noWrap w:val="0"/>
            <w:vAlign w:val="center"/>
          </w:tcPr>
          <w:p>
            <w:pPr>
              <w:keepNext w:val="0"/>
              <w:keepLines w:val="0"/>
              <w:pageBreakBefore w:val="0"/>
              <w:kinsoku/>
              <w:wordWrap/>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44"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bookmarkStart w:id="516" w:name="_Toc17833"/>
            <w:bookmarkEnd w:id="516"/>
            <w:bookmarkStart w:id="517" w:name="_Toc12868"/>
            <w:bookmarkEnd w:id="517"/>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投标设备配套的合理性</w:t>
            </w:r>
          </w:p>
        </w:tc>
        <w:tc>
          <w:tcPr>
            <w:tcW w:w="2531" w:type="pct"/>
            <w:noWrap w:val="0"/>
            <w:vAlign w:val="center"/>
          </w:tcPr>
          <w:p>
            <w:pPr>
              <w:pStyle w:val="151"/>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评委对投标设备配套的合理性、功能实现程度进行评价：投标设备配套合理、功能实现程度高的，得3分；配套较合理、功能实现程度较高的，得2分；配套合理性一般、不能完全达到临床要求功能的，得1分。</w:t>
            </w:r>
            <w:r>
              <w:rPr>
                <w:rFonts w:hint="eastAsia" w:ascii="宋体" w:hAnsi="宋体" w:cs="宋体"/>
                <w:color w:val="auto"/>
                <w:sz w:val="21"/>
                <w:szCs w:val="21"/>
                <w:highlight w:val="none"/>
                <w:lang w:val="en-US" w:eastAsia="zh-CN"/>
              </w:rPr>
              <w:t>不合理，不能达到的得0分。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bookmarkStart w:id="518" w:name="_Toc4849"/>
            <w:bookmarkStart w:id="519" w:name="_Toc17996"/>
            <w:r>
              <w:rPr>
                <w:rFonts w:hint="eastAsia" w:ascii="宋体" w:hAnsi="宋体" w:eastAsia="宋体" w:cs="宋体"/>
                <w:color w:val="auto"/>
                <w:sz w:val="21"/>
                <w:szCs w:val="21"/>
                <w:highlight w:val="none"/>
                <w:lang w:val="en-US" w:eastAsia="zh-CN"/>
              </w:rPr>
              <w:t>3分</w:t>
            </w:r>
            <w:bookmarkEnd w:id="518"/>
            <w:bookmarkEnd w:id="519"/>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44" w:type="pct"/>
            <w:noWrap w:val="0"/>
            <w:vAlign w:val="top"/>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投标设备技术指标的先进性</w:t>
            </w:r>
          </w:p>
        </w:tc>
        <w:tc>
          <w:tcPr>
            <w:tcW w:w="2531" w:type="pct"/>
            <w:noWrap w:val="0"/>
            <w:vAlign w:val="center"/>
          </w:tcPr>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right="6" w:rightChars="0"/>
              <w:jc w:val="left"/>
              <w:textAlignment w:val="auto"/>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评委对投标设备技术指标的先进性进行评价：技术指标高于招标要求且具有较高临床使用价值的，每项得1分；最高得3分。提供证明材料</w:t>
            </w:r>
            <w:r>
              <w:rPr>
                <w:rFonts w:hint="eastAsia" w:ascii="宋体" w:hAnsi="宋体" w:cs="宋体"/>
                <w:color w:val="auto"/>
                <w:sz w:val="21"/>
                <w:szCs w:val="21"/>
                <w:highlight w:val="none"/>
                <w:u w:val="none"/>
                <w:lang w:val="en-US" w:eastAsia="zh-CN"/>
              </w:rPr>
              <w:t>，不提供不得分。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3分</w:t>
            </w:r>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44" w:type="pct"/>
            <w:noWrap w:val="0"/>
            <w:vAlign w:val="top"/>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bookmarkStart w:id="520" w:name="_Toc3898"/>
            <w:bookmarkEnd w:id="520"/>
            <w:bookmarkStart w:id="521" w:name="_Toc23353"/>
            <w:bookmarkEnd w:id="521"/>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投标产品总体质量性能</w:t>
            </w:r>
          </w:p>
        </w:tc>
        <w:tc>
          <w:tcPr>
            <w:tcW w:w="2531" w:type="pct"/>
            <w:noWrap w:val="0"/>
            <w:vAlign w:val="center"/>
          </w:tcPr>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right="6" w:righ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故障率：投标产品在稳定性、故障率等总体质量性能综合评价，提供证明材料。投标产品稳定性好、故障率低的，得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分；投标产品稳定性较高、故障率较低的，得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分；投标产品稳定性不好、故障率较高的，得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无证明材料的得0分。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rPr>
            </w:pPr>
            <w:bookmarkStart w:id="522" w:name="_Toc30421"/>
            <w:bookmarkStart w:id="523" w:name="_Toc7083"/>
            <w:r>
              <w:rPr>
                <w:rFonts w:hint="eastAsia" w:ascii="宋体" w:hAnsi="宋体" w:eastAsia="宋体" w:cs="宋体"/>
                <w:color w:val="auto"/>
                <w:sz w:val="21"/>
                <w:szCs w:val="21"/>
                <w:highlight w:val="none"/>
                <w:lang w:val="en-US" w:eastAsia="zh-CN"/>
              </w:rPr>
              <w:t>3分</w:t>
            </w:r>
            <w:bookmarkEnd w:id="522"/>
            <w:bookmarkEnd w:id="523"/>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44" w:type="pct"/>
            <w:noWrap w:val="0"/>
            <w:vAlign w:val="top"/>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bookmarkStart w:id="524" w:name="_Toc14285"/>
            <w:bookmarkEnd w:id="524"/>
            <w:bookmarkStart w:id="525" w:name="_Toc3295"/>
            <w:bookmarkEnd w:id="525"/>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运行成本</w:t>
            </w:r>
          </w:p>
        </w:tc>
        <w:tc>
          <w:tcPr>
            <w:tcW w:w="2531" w:type="pct"/>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包括保修价格、</w:t>
            </w:r>
            <w:r>
              <w:rPr>
                <w:rFonts w:hint="eastAsia" w:ascii="宋体" w:hAnsi="宋体" w:eastAsia="宋体" w:cs="宋体"/>
                <w:color w:val="auto"/>
                <w:sz w:val="21"/>
                <w:szCs w:val="21"/>
                <w:highlight w:val="none"/>
              </w:rPr>
              <w:t>设备配件价格</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none"/>
              </w:rPr>
              <w:t>年运行费用和消耗品或易耗品价格等综合运行成本进行评价。</w:t>
            </w:r>
            <w:r>
              <w:rPr>
                <w:rFonts w:hint="eastAsia"/>
              </w:rPr>
              <w:t>报价合理</w:t>
            </w:r>
            <w:r>
              <w:rPr>
                <w:rFonts w:hint="eastAsia"/>
                <w:lang w:val="en-US" w:eastAsia="zh-CN"/>
              </w:rPr>
              <w:t>运行</w:t>
            </w:r>
            <w:r>
              <w:rPr>
                <w:rFonts w:hint="eastAsia"/>
              </w:rPr>
              <w:t>成本低</w:t>
            </w:r>
            <w:r>
              <w:t>得</w:t>
            </w:r>
            <w:r>
              <w:rPr>
                <w:rFonts w:hint="eastAsia"/>
                <w:lang w:val="en-US" w:eastAsia="zh-CN"/>
              </w:rPr>
              <w:t>3</w:t>
            </w:r>
            <w:r>
              <w:t>分；</w:t>
            </w:r>
            <w:r>
              <w:rPr>
                <w:rFonts w:hint="eastAsia"/>
              </w:rPr>
              <w:t>报价</w:t>
            </w:r>
            <w:r>
              <w:rPr>
                <w:rFonts w:hint="eastAsia"/>
                <w:lang w:val="en-US" w:eastAsia="zh-CN"/>
              </w:rPr>
              <w:t>、运行成本</w:t>
            </w:r>
            <w:r>
              <w:rPr>
                <w:rFonts w:hint="eastAsia"/>
              </w:rPr>
              <w:t>较合理得</w:t>
            </w:r>
            <w:r>
              <w:rPr>
                <w:rFonts w:hint="eastAsia"/>
                <w:lang w:val="en-US" w:eastAsia="zh-CN"/>
              </w:rPr>
              <w:t>2</w:t>
            </w:r>
            <w:r>
              <w:rPr>
                <w:rFonts w:hint="eastAsia"/>
              </w:rPr>
              <w:t>分；报价</w:t>
            </w:r>
            <w:r>
              <w:rPr>
                <w:rFonts w:hint="eastAsia"/>
                <w:lang w:eastAsia="zh-CN"/>
              </w:rPr>
              <w:t>、</w:t>
            </w:r>
            <w:r>
              <w:rPr>
                <w:rFonts w:hint="eastAsia"/>
                <w:lang w:val="en-US" w:eastAsia="zh-CN"/>
              </w:rPr>
              <w:t>运行</w:t>
            </w:r>
            <w:r>
              <w:t>成本</w:t>
            </w:r>
            <w:r>
              <w:rPr>
                <w:rFonts w:hint="eastAsia"/>
              </w:rPr>
              <w:t>一般得</w:t>
            </w:r>
            <w:r>
              <w:rPr>
                <w:rFonts w:hint="eastAsia"/>
                <w:lang w:val="en-US" w:eastAsia="zh-CN"/>
              </w:rPr>
              <w:t>1</w:t>
            </w:r>
            <w:r>
              <w:t>分</w:t>
            </w:r>
            <w:r>
              <w:rPr>
                <w:rFonts w:hint="eastAsia"/>
              </w:rPr>
              <w:t>；无</w:t>
            </w:r>
            <w:r>
              <w:rPr>
                <w:rFonts w:hint="eastAsia"/>
                <w:lang w:val="en-US" w:eastAsia="zh-CN"/>
              </w:rPr>
              <w:t>运行成本</w:t>
            </w:r>
            <w:r>
              <w:rPr>
                <w:rFonts w:hint="eastAsia"/>
              </w:rPr>
              <w:t>报价得0分。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bookmarkStart w:id="526" w:name="_Toc18833"/>
            <w:bookmarkStart w:id="527" w:name="_Toc8987"/>
            <w:r>
              <w:rPr>
                <w:rFonts w:hint="eastAsia" w:ascii="宋体" w:hAnsi="宋体" w:eastAsia="宋体" w:cs="宋体"/>
                <w:color w:val="auto"/>
                <w:sz w:val="21"/>
                <w:szCs w:val="21"/>
                <w:highlight w:val="none"/>
                <w:lang w:val="en-US" w:eastAsia="zh-CN"/>
              </w:rPr>
              <w:t>3分</w:t>
            </w:r>
            <w:bookmarkEnd w:id="526"/>
            <w:bookmarkEnd w:id="527"/>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bookmarkStart w:id="528" w:name="_Toc30959"/>
            <w:bookmarkStart w:id="529" w:name="_Toc24648"/>
            <w:r>
              <w:rPr>
                <w:rFonts w:hint="eastAsia" w:ascii="宋体" w:hAnsi="宋体" w:eastAsia="宋体" w:cs="宋体"/>
                <w:color w:val="auto"/>
                <w:sz w:val="21"/>
                <w:szCs w:val="21"/>
                <w:highlight w:val="none"/>
                <w:lang w:val="en-US" w:eastAsia="zh-CN"/>
              </w:rPr>
              <w:t>主观</w:t>
            </w:r>
            <w:bookmarkEnd w:id="528"/>
            <w:bookmarkEnd w:id="529"/>
          </w:p>
        </w:tc>
        <w:tc>
          <w:tcPr>
            <w:tcW w:w="544" w:type="pct"/>
            <w:noWrap w:val="0"/>
            <w:vAlign w:val="top"/>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bookmarkStart w:id="530" w:name="_Toc22492"/>
            <w:bookmarkEnd w:id="530"/>
            <w:bookmarkStart w:id="531" w:name="_Toc4223"/>
            <w:bookmarkEnd w:id="531"/>
            <w:bookmarkStart w:id="532" w:name="_Toc2983"/>
            <w:bookmarkEnd w:id="532"/>
            <w:bookmarkStart w:id="533" w:name="_Toc26975"/>
            <w:bookmarkEnd w:id="533"/>
          </w:p>
        </w:tc>
        <w:tc>
          <w:tcPr>
            <w:tcW w:w="747"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保修服务</w:t>
            </w:r>
          </w:p>
        </w:tc>
        <w:tc>
          <w:tcPr>
            <w:tcW w:w="253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设备保修期超过招标文件要求的，每增加1年加1分，增加部分不足1年的不计分，最高得</w:t>
            </w:r>
            <w:r>
              <w:rPr>
                <w:rFonts w:hint="eastAsia" w:ascii="宋体" w:hAnsi="宋体" w:cs="宋体"/>
                <w:color w:val="auto"/>
                <w:kern w:val="0"/>
                <w:sz w:val="21"/>
                <w:szCs w:val="21"/>
                <w:highlight w:val="none"/>
                <w:u w:val="none"/>
                <w:lang w:val="en-US" w:eastAsia="zh-CN"/>
              </w:rPr>
              <w:t>2</w:t>
            </w:r>
            <w:r>
              <w:rPr>
                <w:rFonts w:hint="eastAsia" w:ascii="宋体" w:hAnsi="宋体" w:eastAsia="宋体" w:cs="宋体"/>
                <w:color w:val="auto"/>
                <w:kern w:val="0"/>
                <w:sz w:val="21"/>
                <w:szCs w:val="21"/>
                <w:highlight w:val="none"/>
                <w:u w:val="none"/>
                <w:lang w:val="en-US" w:eastAsia="zh-CN"/>
              </w:rPr>
              <w:t>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bookmarkStart w:id="534" w:name="_Toc7750"/>
            <w:bookmarkStart w:id="535" w:name="_Toc16022"/>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bookmarkEnd w:id="534"/>
            <w:bookmarkEnd w:id="535"/>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44"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FF0000"/>
                <w:sz w:val="21"/>
                <w:szCs w:val="21"/>
                <w:highlight w:val="none"/>
                <w:lang w:val="en-US" w:eastAsia="zh-CN"/>
              </w:rPr>
            </w:pPr>
            <w:bookmarkStart w:id="536" w:name="_Toc7665"/>
            <w:bookmarkEnd w:id="536"/>
            <w:bookmarkStart w:id="537" w:name="_Toc9756"/>
            <w:bookmarkEnd w:id="537"/>
          </w:p>
        </w:tc>
        <w:tc>
          <w:tcPr>
            <w:tcW w:w="747"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售后服务机构</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u w:val="none"/>
              </w:rPr>
              <w:t>售后服务方案</w:t>
            </w:r>
            <w:r>
              <w:rPr>
                <w:rFonts w:hint="eastAsia" w:ascii="宋体" w:hAnsi="宋体" w:cs="宋体"/>
                <w:color w:val="auto"/>
                <w:sz w:val="21"/>
                <w:szCs w:val="21"/>
                <w:highlight w:val="none"/>
                <w:u w:val="none"/>
                <w:lang w:val="en-US" w:eastAsia="zh-CN"/>
              </w:rPr>
              <w:t>及售后</w:t>
            </w:r>
            <w:r>
              <w:rPr>
                <w:rFonts w:hint="eastAsia" w:ascii="宋体" w:hAnsi="宋体" w:eastAsia="宋体" w:cs="宋体"/>
                <w:color w:val="auto"/>
                <w:sz w:val="21"/>
                <w:szCs w:val="21"/>
                <w:highlight w:val="none"/>
                <w:lang w:val="en-US" w:eastAsia="zh-CN"/>
              </w:rPr>
              <w:t>技术服务人员</w:t>
            </w:r>
            <w:r>
              <w:rPr>
                <w:rFonts w:hint="eastAsia" w:ascii="宋体" w:hAnsi="宋体" w:cs="宋体"/>
                <w:color w:val="auto"/>
                <w:sz w:val="21"/>
                <w:szCs w:val="21"/>
                <w:highlight w:val="none"/>
                <w:lang w:val="en-US" w:eastAsia="zh-CN"/>
              </w:rPr>
              <w:t>配备</w:t>
            </w:r>
            <w:r>
              <w:rPr>
                <w:rFonts w:hint="eastAsia" w:ascii="宋体" w:hAnsi="宋体" w:eastAsia="宋体" w:cs="宋体"/>
                <w:color w:val="auto"/>
                <w:sz w:val="21"/>
                <w:szCs w:val="21"/>
                <w:highlight w:val="none"/>
                <w:lang w:val="en-US" w:eastAsia="zh-CN"/>
              </w:rPr>
              <w:t>情况</w:t>
            </w:r>
          </w:p>
        </w:tc>
        <w:tc>
          <w:tcPr>
            <w:tcW w:w="2531" w:type="pct"/>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投标人的售后服务和维修能力，服务响应速度、服务人员水平等综合评价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人员配备充足售后服务经验丰富得3分，人员配备和售后服务经验稍有欠缺得2分，人员配备不足售后服务经验差1分，无人员配备得0分。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44"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p>
        </w:tc>
        <w:tc>
          <w:tcPr>
            <w:tcW w:w="747"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投标人业绩</w:t>
            </w:r>
          </w:p>
        </w:tc>
        <w:tc>
          <w:tcPr>
            <w:tcW w:w="2531" w:type="pct"/>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提供近2021年1月1日以来与最终用户签订的投标机型合同复印件，每份有效合同得0.5分，最多3分。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412"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44"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326" w:type="pct"/>
            <w:noWrap w:val="0"/>
            <w:vAlign w:val="center"/>
          </w:tcPr>
          <w:p>
            <w:pPr>
              <w:keepNext w:val="0"/>
              <w:keepLines w:val="0"/>
              <w:pageBreakBefore w:val="0"/>
              <w:numPr>
                <w:ilvl w:val="0"/>
                <w:numId w:val="10"/>
              </w:numPr>
              <w:kinsoku/>
              <w:wordWrap/>
              <w:overflowPunct/>
              <w:topLinePunct w:val="0"/>
              <w:autoSpaceDE/>
              <w:autoSpaceDN/>
              <w:bidi w:val="0"/>
              <w:adjustRightInd/>
              <w:spacing w:line="360" w:lineRule="auto"/>
              <w:ind w:left="425" w:leftChars="0" w:hanging="425" w:firstLineChars="0"/>
              <w:jc w:val="center"/>
              <w:textAlignment w:val="auto"/>
              <w:outlineLvl w:val="9"/>
              <w:rPr>
                <w:rFonts w:hint="eastAsia" w:ascii="宋体" w:hAnsi="宋体" w:eastAsia="宋体" w:cs="宋体"/>
                <w:color w:val="auto"/>
                <w:sz w:val="21"/>
                <w:szCs w:val="21"/>
                <w:highlight w:val="none"/>
                <w:lang w:val="en-US" w:eastAsia="zh-CN"/>
              </w:rPr>
            </w:pPr>
          </w:p>
        </w:tc>
        <w:tc>
          <w:tcPr>
            <w:tcW w:w="747" w:type="pct"/>
            <w:noWrap w:val="0"/>
            <w:vAlign w:val="center"/>
          </w:tcPr>
          <w:p>
            <w:pPr>
              <w:rPr>
                <w:rFonts w:hint="eastAsia" w:ascii="宋体" w:hAnsi="宋体" w:eastAsia="宋体" w:cs="Times New Roman"/>
                <w:color w:val="000000"/>
                <w:kern w:val="2"/>
                <w:sz w:val="24"/>
                <w:szCs w:val="22"/>
                <w:lang w:val="en-US" w:eastAsia="zh-CN" w:bidi="ar-SA"/>
              </w:rPr>
            </w:pPr>
            <w:r>
              <w:rPr>
                <w:rFonts w:hint="eastAsia" w:ascii="宋体" w:hAnsi="宋体" w:eastAsia="宋体" w:cs="宋体"/>
                <w:color w:val="auto"/>
                <w:sz w:val="21"/>
                <w:szCs w:val="21"/>
                <w:highlight w:val="none"/>
                <w:lang w:val="en-US" w:eastAsia="zh-CN"/>
              </w:rPr>
              <w:t>环境标志产品、节能产品评审</w:t>
            </w:r>
          </w:p>
        </w:tc>
        <w:tc>
          <w:tcPr>
            <w:tcW w:w="2531" w:type="pct"/>
            <w:noWrap w:val="0"/>
            <w:vAlign w:val="center"/>
          </w:tcPr>
          <w:p>
            <w:pPr>
              <w:ind w:left="105" w:leftChars="50" w:right="10" w:rightChars="5"/>
              <w:rPr>
                <w:rFonts w:ascii="宋体" w:hAnsi="宋体" w:eastAsia="宋体" w:cs="Times New Roman"/>
                <w:color w:val="000000"/>
                <w:szCs w:val="21"/>
              </w:rPr>
            </w:pPr>
            <w:r>
              <w:rPr>
                <w:rFonts w:ascii="宋体" w:hAnsi="宋体" w:eastAsia="宋体" w:cs="Times New Roman"/>
                <w:color w:val="000000"/>
                <w:szCs w:val="21"/>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Times New Roman"/>
                <w:color w:val="000000"/>
                <w:szCs w:val="21"/>
              </w:rPr>
              <w:t>1</w:t>
            </w:r>
            <w:r>
              <w:rPr>
                <w:rFonts w:ascii="宋体" w:hAnsi="宋体" w:eastAsia="宋体" w:cs="Times New Roman"/>
                <w:color w:val="000000"/>
                <w:szCs w:val="21"/>
              </w:rPr>
              <w:t>分。</w:t>
            </w:r>
          </w:p>
          <w:p>
            <w:pPr>
              <w:numPr>
                <w:ilvl w:val="0"/>
                <w:numId w:val="0"/>
              </w:numPr>
              <w:ind w:right="10" w:rightChars="5"/>
              <w:rPr>
                <w:rFonts w:hint="eastAsia" w:ascii="宋体" w:hAnsi="宋体" w:eastAsia="宋体" w:cs="Times New Roman"/>
                <w:color w:val="000000"/>
                <w:szCs w:val="21"/>
                <w:lang w:val="en-US" w:eastAsia="zh-CN"/>
              </w:rPr>
            </w:pPr>
            <w:r>
              <w:rPr>
                <w:rFonts w:ascii="宋体" w:hAnsi="宋体" w:eastAsia="宋体" w:cs="Times New Roman"/>
                <w:color w:val="000000"/>
                <w:szCs w:val="21"/>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Times New Roman"/>
                <w:color w:val="000000"/>
                <w:szCs w:val="21"/>
              </w:rPr>
              <w:t>1</w:t>
            </w:r>
            <w:r>
              <w:rPr>
                <w:rFonts w:ascii="宋体" w:hAnsi="宋体" w:eastAsia="宋体" w:cs="Times New Roman"/>
                <w:color w:val="000000"/>
                <w:szCs w:val="21"/>
              </w:rPr>
              <w:t>分。</w:t>
            </w:r>
          </w:p>
        </w:tc>
        <w:tc>
          <w:tcPr>
            <w:tcW w:w="438"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412" w:type="pct"/>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44"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6"/>
            <w:noWrap w:val="0"/>
            <w:vAlign w:val="center"/>
          </w:tcPr>
          <w:p>
            <w:pPr>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8"/>
                <w:sz w:val="21"/>
                <w:szCs w:val="21"/>
                <w:highlight w:val="none"/>
                <w:lang w:val="en-US" w:eastAsia="zh-CN"/>
              </w:rPr>
              <w:t>价格（30分）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6" w:type="pct"/>
            <w:noWrap w:val="0"/>
            <w:vAlign w:val="center"/>
          </w:tcPr>
          <w:p>
            <w:pPr>
              <w:keepNext w:val="0"/>
              <w:keepLines w:val="0"/>
              <w:pageBreakBefore w:val="0"/>
              <w:kinsoku/>
              <w:wordWrap/>
              <w:overflowPunct/>
              <w:topLinePunct w:val="0"/>
              <w:autoSpaceDE/>
              <w:autoSpaceDN/>
              <w:bidi w:val="0"/>
              <w:adjustRightInd/>
              <w:spacing w:line="360" w:lineRule="auto"/>
              <w:ind w:right="3"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47"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8"/>
                <w:sz w:val="21"/>
                <w:szCs w:val="21"/>
                <w:highlight w:val="none"/>
              </w:rPr>
              <w:t>报价评标</w:t>
            </w:r>
          </w:p>
        </w:tc>
        <w:tc>
          <w:tcPr>
            <w:tcW w:w="2531" w:type="pct"/>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价格分统一采用低价优先法计算，即满足采购文件要求且投标价格最低的投标报价为评标基准价，其价格分为满分。其他</w:t>
            </w:r>
            <w:r>
              <w:rPr>
                <w:rFonts w:hint="eastAsia" w:ascii="宋体" w:hAnsi="宋体" w:eastAsia="宋体" w:cs="宋体"/>
                <w:color w:val="auto"/>
                <w:kern w:val="28"/>
                <w:sz w:val="21"/>
                <w:szCs w:val="21"/>
                <w:highlight w:val="none"/>
                <w:lang w:val="en-US" w:eastAsia="zh-CN"/>
              </w:rPr>
              <w:t>投标人</w:t>
            </w:r>
            <w:r>
              <w:rPr>
                <w:rFonts w:hint="eastAsia" w:ascii="宋体" w:hAnsi="宋体" w:eastAsia="宋体" w:cs="宋体"/>
                <w:color w:val="auto"/>
                <w:kern w:val="28"/>
                <w:sz w:val="21"/>
                <w:szCs w:val="21"/>
                <w:highlight w:val="none"/>
              </w:rPr>
              <w:t>的价格分统一按照下列公式计算：投标报价得分：（评标基准价/投标报价）*</w:t>
            </w:r>
            <w:r>
              <w:rPr>
                <w:rFonts w:hint="eastAsia" w:ascii="宋体" w:hAnsi="宋体" w:eastAsia="宋体" w:cs="宋体"/>
                <w:color w:val="auto"/>
                <w:kern w:val="28"/>
                <w:sz w:val="21"/>
                <w:szCs w:val="21"/>
                <w:highlight w:val="none"/>
                <w:lang w:val="en-US" w:eastAsia="zh-CN"/>
              </w:rPr>
              <w:t>3</w:t>
            </w:r>
            <w:r>
              <w:rPr>
                <w:rFonts w:hint="eastAsia" w:ascii="宋体" w:hAnsi="宋体" w:eastAsia="宋体" w:cs="宋体"/>
                <w:color w:val="auto"/>
                <w:kern w:val="28"/>
                <w:sz w:val="21"/>
                <w:szCs w:val="21"/>
                <w:highlight w:val="none"/>
              </w:rPr>
              <w:t>0.00。计算分数时四舍五入取小数点后两位。</w:t>
            </w:r>
          </w:p>
        </w:tc>
        <w:tc>
          <w:tcPr>
            <w:tcW w:w="438" w:type="pc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8"/>
                <w:sz w:val="21"/>
                <w:szCs w:val="21"/>
                <w:highlight w:val="none"/>
                <w:lang w:val="en-US" w:eastAsia="zh-CN"/>
              </w:rPr>
              <w:t>3</w:t>
            </w:r>
            <w:r>
              <w:rPr>
                <w:rFonts w:hint="eastAsia" w:ascii="宋体" w:hAnsi="宋体" w:eastAsia="宋体" w:cs="宋体"/>
                <w:b/>
                <w:bCs/>
                <w:color w:val="auto"/>
                <w:kern w:val="28"/>
                <w:sz w:val="21"/>
                <w:szCs w:val="21"/>
                <w:highlight w:val="none"/>
              </w:rPr>
              <w:t>0分</w:t>
            </w:r>
          </w:p>
        </w:tc>
        <w:tc>
          <w:tcPr>
            <w:tcW w:w="957" w:type="pct"/>
            <w:gridSpan w:val="2"/>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lang w:val="en-US" w:eastAsia="zh-CN"/>
              </w:rPr>
              <w:t>自动计算</w:t>
            </w:r>
          </w:p>
        </w:tc>
      </w:tr>
    </w:tbl>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pPr>
        <w:spacing w:line="360" w:lineRule="auto"/>
        <w:outlineLvl w:val="0"/>
        <w:rPr>
          <w:rFonts w:hint="eastAsia" w:ascii="宋体" w:hAnsi="宋体" w:eastAsia="宋体" w:cs="宋体"/>
          <w:b/>
          <w:color w:val="auto"/>
          <w:sz w:val="28"/>
          <w:szCs w:val="21"/>
          <w:highlight w:val="none"/>
        </w:rPr>
      </w:pPr>
      <w:bookmarkStart w:id="538" w:name="_Toc13699"/>
      <w:bookmarkStart w:id="539" w:name="_Toc24770"/>
      <w:bookmarkStart w:id="540" w:name="_Toc1554"/>
      <w:r>
        <w:rPr>
          <w:rFonts w:hint="eastAsia" w:ascii="宋体" w:hAnsi="宋体" w:eastAsia="宋体" w:cs="宋体"/>
          <w:b/>
          <w:color w:val="auto"/>
          <w:sz w:val="28"/>
          <w:szCs w:val="21"/>
          <w:highlight w:val="none"/>
        </w:rPr>
        <w:t>一、评标方法</w:t>
      </w:r>
      <w:bookmarkEnd w:id="538"/>
      <w:bookmarkEnd w:id="539"/>
      <w:bookmarkEnd w:id="540"/>
    </w:p>
    <w:p>
      <w:pPr>
        <w:adjustRightInd/>
        <w:spacing w:line="360" w:lineRule="auto"/>
        <w:ind w:firstLine="413" w:firstLineChars="19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本项目采用综合评分法。</w:t>
      </w:r>
      <w:r>
        <w:rPr>
          <w:rFonts w:hint="eastAsia" w:ascii="宋体" w:hAnsi="宋体" w:eastAsia="宋体" w:cs="宋体"/>
          <w:color w:val="auto"/>
          <w:kern w:val="0"/>
          <w:sz w:val="21"/>
          <w:szCs w:val="20"/>
          <w:highlight w:val="none"/>
        </w:rPr>
        <w:t>综合评分法，是指投标文件满足招标文件全部实质性要求，且按照评审因素的量化指标评审得分最高的投标人为中标候选人的评标方法。</w:t>
      </w:r>
    </w:p>
    <w:p>
      <w:pPr>
        <w:spacing w:line="360" w:lineRule="auto"/>
        <w:outlineLvl w:val="0"/>
        <w:rPr>
          <w:rFonts w:hint="eastAsia" w:ascii="宋体" w:hAnsi="宋体" w:eastAsia="宋体" w:cs="宋体"/>
          <w:color w:val="auto"/>
          <w:kern w:val="0"/>
          <w:sz w:val="28"/>
          <w:szCs w:val="28"/>
          <w:highlight w:val="none"/>
        </w:rPr>
      </w:pPr>
      <w:bookmarkStart w:id="541" w:name="_Toc10735"/>
      <w:bookmarkStart w:id="542" w:name="_Toc22154"/>
      <w:bookmarkStart w:id="543" w:name="_Toc15641"/>
      <w:r>
        <w:rPr>
          <w:rFonts w:hint="eastAsia" w:ascii="宋体" w:hAnsi="宋体" w:eastAsia="宋体" w:cs="宋体"/>
          <w:b/>
          <w:color w:val="auto"/>
          <w:sz w:val="28"/>
          <w:szCs w:val="28"/>
          <w:highlight w:val="none"/>
        </w:rPr>
        <w:t>二、评标标准</w:t>
      </w:r>
      <w:bookmarkEnd w:id="541"/>
      <w:bookmarkEnd w:id="542"/>
      <w:bookmarkEnd w:id="543"/>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pPr>
        <w:spacing w:line="360" w:lineRule="auto"/>
        <w:outlineLvl w:val="0"/>
        <w:rPr>
          <w:rFonts w:hint="eastAsia" w:ascii="宋体" w:hAnsi="宋体" w:eastAsia="宋体" w:cs="宋体"/>
          <w:b/>
          <w:color w:val="auto"/>
          <w:sz w:val="28"/>
          <w:szCs w:val="28"/>
          <w:highlight w:val="none"/>
        </w:rPr>
      </w:pPr>
      <w:bookmarkStart w:id="544" w:name="_Toc3802"/>
      <w:bookmarkStart w:id="545" w:name="_Toc6031"/>
      <w:bookmarkStart w:id="546" w:name="_Toc14835"/>
      <w:r>
        <w:rPr>
          <w:rFonts w:hint="eastAsia" w:ascii="宋体" w:hAnsi="宋体" w:eastAsia="宋体" w:cs="宋体"/>
          <w:b/>
          <w:color w:val="auto"/>
          <w:sz w:val="28"/>
          <w:szCs w:val="28"/>
          <w:highlight w:val="none"/>
        </w:rPr>
        <w:t>三、评标程序</w:t>
      </w:r>
      <w:bookmarkEnd w:id="544"/>
      <w:bookmarkEnd w:id="545"/>
      <w:bookmarkEnd w:id="546"/>
    </w:p>
    <w:p>
      <w:pPr>
        <w:spacing w:line="360" w:lineRule="auto"/>
        <w:ind w:firstLine="413" w:firstLineChars="19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lang w:val="en-US" w:eastAsia="zh-CN"/>
        </w:rPr>
        <w:t>1.</w:t>
      </w:r>
      <w:r>
        <w:rPr>
          <w:rFonts w:hint="eastAsia" w:ascii="宋体" w:hAnsi="宋体" w:eastAsia="宋体" w:cs="宋体"/>
          <w:b/>
          <w:color w:val="auto"/>
          <w:kern w:val="0"/>
          <w:sz w:val="21"/>
          <w:szCs w:val="20"/>
          <w:highlight w:val="none"/>
        </w:rPr>
        <w:t>符合性审查。</w:t>
      </w:r>
      <w:r>
        <w:rPr>
          <w:rFonts w:hint="eastAsia" w:ascii="宋体" w:hAnsi="宋体" w:eastAsia="宋体" w:cs="宋体"/>
          <w:color w:val="auto"/>
          <w:kern w:val="0"/>
          <w:sz w:val="21"/>
          <w:szCs w:val="20"/>
          <w:highlight w:val="none"/>
        </w:rPr>
        <w:t>评标委员会应当对符合资格的投标人的投标文件进行符合性审查，以确定其是否满足招标文件的实质性要求。</w:t>
      </w:r>
      <w:r>
        <w:rPr>
          <w:rFonts w:hint="eastAsia" w:ascii="宋体" w:hAnsi="宋体" w:eastAsia="宋体" w:cs="宋体"/>
          <w:b/>
          <w:bCs/>
          <w:color w:val="auto"/>
          <w:kern w:val="0"/>
          <w:sz w:val="21"/>
          <w:szCs w:val="20"/>
          <w:highlight w:val="none"/>
        </w:rPr>
        <w:t>不满足招标文件的实质性要求的，投标无效。</w:t>
      </w:r>
    </w:p>
    <w:p>
      <w:pPr>
        <w:spacing w:line="360" w:lineRule="auto"/>
        <w:ind w:firstLine="413" w:firstLineChars="19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 xml:space="preserve">2 </w:t>
      </w:r>
      <w:r>
        <w:rPr>
          <w:rFonts w:hint="eastAsia" w:ascii="宋体" w:hAnsi="宋体" w:eastAsia="宋体" w:cs="宋体"/>
          <w:b/>
          <w:color w:val="auto"/>
          <w:kern w:val="0"/>
          <w:sz w:val="21"/>
          <w:szCs w:val="20"/>
          <w:highlight w:val="none"/>
          <w:lang w:val="en-US" w:eastAsia="zh-CN"/>
        </w:rPr>
        <w:t>.</w:t>
      </w:r>
      <w:r>
        <w:rPr>
          <w:rFonts w:hint="eastAsia" w:ascii="宋体" w:hAnsi="宋体" w:eastAsia="宋体" w:cs="宋体"/>
          <w:b/>
          <w:color w:val="auto"/>
          <w:kern w:val="0"/>
          <w:sz w:val="21"/>
          <w:szCs w:val="20"/>
          <w:highlight w:val="none"/>
        </w:rPr>
        <w:t>比较与评价。</w:t>
      </w:r>
      <w:r>
        <w:rPr>
          <w:rFonts w:hint="eastAsia" w:ascii="宋体" w:hAnsi="宋体" w:eastAsia="宋体" w:cs="宋体"/>
          <w:color w:val="auto"/>
          <w:kern w:val="0"/>
          <w:sz w:val="21"/>
          <w:szCs w:val="20"/>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lang w:val="en-US" w:eastAsia="zh-CN"/>
        </w:rPr>
        <w:t>3.</w:t>
      </w:r>
      <w:r>
        <w:rPr>
          <w:rFonts w:hint="eastAsia" w:ascii="宋体" w:hAnsi="宋体" w:eastAsia="宋体" w:cs="宋体"/>
          <w:b/>
          <w:color w:val="auto"/>
          <w:kern w:val="0"/>
          <w:sz w:val="21"/>
          <w:szCs w:val="20"/>
          <w:highlight w:val="none"/>
        </w:rPr>
        <w:t>汇总商务技术得分。</w:t>
      </w:r>
      <w:r>
        <w:rPr>
          <w:rFonts w:hint="eastAsia" w:ascii="宋体" w:hAnsi="宋体" w:eastAsia="宋体" w:cs="宋体"/>
          <w:color w:val="auto"/>
          <w:kern w:val="0"/>
          <w:sz w:val="21"/>
          <w:szCs w:val="20"/>
          <w:highlight w:val="none"/>
        </w:rPr>
        <w:t>评标委员会各成员应当独立对每个投标人的商务和技术文件进行评价，并汇总商务技术得分情况。</w:t>
      </w:r>
    </w:p>
    <w:p>
      <w:pPr>
        <w:spacing w:line="360" w:lineRule="auto"/>
        <w:ind w:firstLine="413" w:firstLineChars="196"/>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w:t>
      </w:r>
      <w:r>
        <w:rPr>
          <w:rFonts w:hint="eastAsia" w:ascii="宋体" w:hAnsi="宋体" w:eastAsia="宋体" w:cs="宋体"/>
          <w:b/>
          <w:color w:val="auto"/>
          <w:kern w:val="0"/>
          <w:sz w:val="21"/>
          <w:szCs w:val="20"/>
          <w:highlight w:val="none"/>
          <w:lang w:val="en-US" w:eastAsia="zh-CN"/>
        </w:rPr>
        <w:t>.</w:t>
      </w:r>
      <w:r>
        <w:rPr>
          <w:rFonts w:hint="eastAsia" w:ascii="宋体" w:hAnsi="宋体" w:eastAsia="宋体" w:cs="宋体"/>
          <w:b/>
          <w:color w:val="auto"/>
          <w:kern w:val="0"/>
          <w:sz w:val="21"/>
          <w:szCs w:val="20"/>
          <w:highlight w:val="none"/>
        </w:rPr>
        <w:t>报价评审。</w:t>
      </w:r>
    </w:p>
    <w:p>
      <w:pPr>
        <w:pStyle w:val="106"/>
        <w:spacing w:before="0"/>
        <w:ind w:firstLine="445" w:firstLineChars="212"/>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4.1</w:t>
      </w:r>
      <w:r>
        <w:rPr>
          <w:rFonts w:hint="eastAsia" w:ascii="宋体" w:hAnsi="宋体" w:eastAsia="宋体" w:cs="宋体"/>
          <w:color w:val="auto"/>
          <w:kern w:val="0"/>
          <w:sz w:val="21"/>
          <w:szCs w:val="20"/>
          <w:highlight w:val="none"/>
        </w:rPr>
        <w:t>投标文件报价出现前后不一致的，按照下列规定修正：</w:t>
      </w:r>
    </w:p>
    <w:p>
      <w:pPr>
        <w:pStyle w:val="106"/>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1</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投标文件中开标一览表(报价表)内容与投标文件中相应内容不一致的，以开标一览表(报价表)为准;</w:t>
      </w:r>
    </w:p>
    <w:p>
      <w:pPr>
        <w:pStyle w:val="106"/>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2</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大写金额和小写金额不一致的，以大写金额为准;</w:t>
      </w:r>
    </w:p>
    <w:p>
      <w:pPr>
        <w:pStyle w:val="106"/>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单价金额小数点或者百分比有明显错位的，以开标一览表的总价为准，并修改单价;</w:t>
      </w:r>
    </w:p>
    <w:p>
      <w:pPr>
        <w:pStyle w:val="106"/>
        <w:spacing w:before="0"/>
        <w:ind w:firstLine="445" w:firstLineChars="212"/>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4</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总价金额与按单价汇总金额不一致的，以单价金额计算结果为准。</w:t>
      </w:r>
    </w:p>
    <w:p>
      <w:pPr>
        <w:pStyle w:val="106"/>
        <w:spacing w:before="0"/>
        <w:ind w:firstLine="445" w:firstLineChars="212"/>
        <w:rPr>
          <w:rFonts w:hint="eastAsia" w:ascii="宋体" w:hAnsi="宋体" w:eastAsia="宋体" w:cs="宋体"/>
          <w:color w:val="auto"/>
          <w:kern w:val="0"/>
          <w:sz w:val="21"/>
          <w:szCs w:val="16"/>
          <w:highlight w:val="none"/>
          <w:lang w:eastAsia="zh-CN"/>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5</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同时出现两种以上不一致的，按照3.4.1规定的顺序修正。修正后的报价按照财政部第87号令《政府采购货物和服务招标投标管理办法》第五十一条第二款的规定经投标人确认后产生约束力。</w:t>
      </w:r>
    </w:p>
    <w:p>
      <w:pPr>
        <w:pStyle w:val="106"/>
        <w:spacing w:before="0"/>
        <w:ind w:firstLine="445" w:firstLineChars="212"/>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4.2</w:t>
      </w:r>
      <w:r>
        <w:rPr>
          <w:rFonts w:hint="eastAsia" w:ascii="宋体" w:hAnsi="宋体" w:eastAsia="宋体" w:cs="宋体"/>
          <w:b w:val="0"/>
          <w:bCs w:val="0"/>
          <w:color w:val="auto"/>
          <w:kern w:val="0"/>
          <w:sz w:val="21"/>
          <w:szCs w:val="20"/>
          <w:highlight w:val="none"/>
        </w:rPr>
        <w:t>投标文件出现不是唯一的、有选择性投标报价的，投标无效。</w:t>
      </w:r>
    </w:p>
    <w:p>
      <w:pPr>
        <w:pStyle w:val="106"/>
        <w:spacing w:before="0"/>
        <w:ind w:firstLine="445" w:firstLineChars="212"/>
        <w:rPr>
          <w:rFonts w:hint="eastAsia" w:ascii="宋体" w:hAnsi="宋体" w:eastAsia="宋体" w:cs="宋体"/>
          <w:b w:val="0"/>
          <w:bCs w:val="0"/>
          <w:color w:val="auto"/>
          <w:kern w:val="0"/>
          <w:sz w:val="21"/>
          <w:szCs w:val="20"/>
          <w:highlight w:val="none"/>
        </w:rPr>
      </w:pPr>
      <w:r>
        <w:rPr>
          <w:rFonts w:hint="eastAsia" w:ascii="宋体" w:hAnsi="宋体" w:eastAsia="宋体" w:cs="宋体"/>
          <w:color w:val="auto"/>
          <w:kern w:val="0"/>
          <w:sz w:val="21"/>
          <w:szCs w:val="20"/>
          <w:highlight w:val="none"/>
        </w:rPr>
        <w:t>4.3</w:t>
      </w:r>
      <w:r>
        <w:rPr>
          <w:rFonts w:hint="eastAsia" w:ascii="宋体" w:hAnsi="宋体" w:eastAsia="宋体" w:cs="宋体"/>
          <w:b w:val="0"/>
          <w:bCs w:val="0"/>
          <w:color w:val="auto"/>
          <w:kern w:val="0"/>
          <w:sz w:val="21"/>
          <w:szCs w:val="20"/>
          <w:highlight w:val="none"/>
        </w:rPr>
        <w:t>投标报价超过招标文件中规定的预算金额或者最高限价的，投标无效。</w:t>
      </w:r>
    </w:p>
    <w:p>
      <w:pPr>
        <w:pStyle w:val="106"/>
        <w:spacing w:before="0"/>
        <w:ind w:firstLine="445" w:firstLineChars="212"/>
        <w:rPr>
          <w:rFonts w:hint="eastAsia" w:ascii="宋体" w:hAnsi="宋体" w:eastAsia="宋体" w:cs="宋体"/>
          <w:b/>
          <w:bCs/>
          <w:color w:val="auto"/>
          <w:kern w:val="0"/>
          <w:sz w:val="21"/>
          <w:szCs w:val="16"/>
          <w:highlight w:val="none"/>
        </w:rPr>
      </w:pPr>
      <w:r>
        <w:rPr>
          <w:rFonts w:hint="eastAsia" w:ascii="宋体" w:hAnsi="宋体" w:eastAsia="宋体" w:cs="宋体"/>
          <w:color w:val="auto"/>
          <w:kern w:val="0"/>
          <w:sz w:val="21"/>
          <w:szCs w:val="16"/>
          <w:highlight w:val="none"/>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b w:val="0"/>
          <w:bCs w:val="0"/>
          <w:color w:val="auto"/>
          <w:kern w:val="0"/>
          <w:sz w:val="21"/>
          <w:szCs w:val="16"/>
          <w:highlight w:val="none"/>
        </w:rPr>
        <w:t>投标人不能证明其报价合理性的，评标委员会应当将其作为无效投标处理。</w:t>
      </w:r>
    </w:p>
    <w:p>
      <w:pPr>
        <w:pStyle w:val="106"/>
        <w:spacing w:before="0"/>
        <w:ind w:firstLine="445" w:firstLineChars="212"/>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1"/>
          <w:szCs w:val="16"/>
          <w:highlight w:val="none"/>
          <w:lang w:val="en-US" w:eastAsia="zh-CN"/>
        </w:rPr>
        <w:t>4%</w:t>
      </w:r>
      <w:r>
        <w:rPr>
          <w:rFonts w:hint="eastAsia" w:ascii="宋体" w:hAnsi="宋体" w:eastAsia="宋体" w:cs="宋体"/>
          <w:color w:val="auto"/>
          <w:kern w:val="0"/>
          <w:sz w:val="21"/>
          <w:szCs w:val="16"/>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5</w:t>
      </w:r>
      <w:r>
        <w:rPr>
          <w:rFonts w:hint="eastAsia" w:ascii="宋体" w:hAnsi="宋体" w:eastAsia="宋体" w:cs="宋体"/>
          <w:b/>
          <w:color w:val="auto"/>
          <w:kern w:val="0"/>
          <w:sz w:val="21"/>
          <w:szCs w:val="20"/>
          <w:highlight w:val="none"/>
          <w:lang w:val="en-US" w:eastAsia="zh-CN"/>
        </w:rPr>
        <w:t>.</w:t>
      </w:r>
      <w:r>
        <w:rPr>
          <w:rFonts w:hint="eastAsia" w:ascii="宋体" w:hAnsi="宋体" w:eastAsia="宋体" w:cs="宋体"/>
          <w:b/>
          <w:color w:val="auto"/>
          <w:kern w:val="0"/>
          <w:sz w:val="21"/>
          <w:szCs w:val="20"/>
          <w:highlight w:val="none"/>
        </w:rPr>
        <w:t>排序与推荐。</w:t>
      </w:r>
      <w:r>
        <w:rPr>
          <w:rFonts w:hint="eastAsia" w:ascii="宋体" w:hAnsi="宋体" w:eastAsia="宋体" w:cs="宋体"/>
          <w:color w:val="auto"/>
          <w:kern w:val="0"/>
          <w:sz w:val="21"/>
          <w:szCs w:val="2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hint="eastAsia" w:ascii="宋体" w:hAnsi="宋体" w:eastAsia="宋体" w:cs="宋体"/>
          <w:b/>
          <w:bCs/>
          <w:color w:val="auto"/>
          <w:kern w:val="0"/>
          <w:sz w:val="21"/>
          <w:szCs w:val="20"/>
          <w:highlight w:val="none"/>
        </w:rPr>
      </w:pPr>
      <w:r>
        <w:rPr>
          <w:rFonts w:hint="eastAsia" w:ascii="宋体" w:hAnsi="宋体" w:eastAsia="宋体" w:cs="宋体"/>
          <w:b/>
          <w:bCs/>
          <w:color w:val="auto"/>
          <w:kern w:val="0"/>
          <w:sz w:val="21"/>
          <w:szCs w:val="2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1"/>
          <w:szCs w:val="20"/>
          <w:highlight w:val="none"/>
        </w:rPr>
        <w:t>6</w:t>
      </w:r>
      <w:r>
        <w:rPr>
          <w:rFonts w:hint="eastAsia" w:ascii="宋体" w:hAnsi="宋体" w:eastAsia="宋体" w:cs="宋体"/>
          <w:b/>
          <w:color w:val="auto"/>
          <w:kern w:val="0"/>
          <w:sz w:val="21"/>
          <w:szCs w:val="20"/>
          <w:highlight w:val="none"/>
          <w:lang w:val="en-US" w:eastAsia="zh-CN"/>
        </w:rPr>
        <w:t>.</w:t>
      </w:r>
      <w:r>
        <w:rPr>
          <w:rFonts w:hint="eastAsia" w:ascii="宋体" w:hAnsi="宋体" w:eastAsia="宋体" w:cs="宋体"/>
          <w:b/>
          <w:color w:val="auto"/>
          <w:kern w:val="0"/>
          <w:sz w:val="21"/>
          <w:szCs w:val="20"/>
          <w:highlight w:val="none"/>
        </w:rPr>
        <w:t>编写评标报告。</w:t>
      </w:r>
      <w:r>
        <w:rPr>
          <w:rFonts w:hint="eastAsia" w:ascii="宋体" w:hAnsi="宋体" w:eastAsia="宋体" w:cs="宋体"/>
          <w:color w:val="auto"/>
          <w:kern w:val="0"/>
          <w:sz w:val="21"/>
          <w:szCs w:val="20"/>
          <w:highlight w:val="none"/>
        </w:rPr>
        <w:t>评标委员会根据全体评标成员签字的原始评标记录和评标结果</w:t>
      </w:r>
      <w:r>
        <w:rPr>
          <w:rFonts w:hint="eastAsia" w:ascii="宋体" w:hAnsi="宋体" w:eastAsia="宋体" w:cs="宋体"/>
          <w:color w:val="auto"/>
          <w:kern w:val="0"/>
          <w:sz w:val="21"/>
          <w:szCs w:val="20"/>
          <w:highlight w:val="none"/>
          <w:lang w:eastAsia="zh-CN"/>
        </w:rPr>
        <w:t>，</w:t>
      </w:r>
      <w:r>
        <w:rPr>
          <w:rFonts w:hint="eastAsia" w:ascii="宋体" w:hAnsi="宋体" w:eastAsia="宋体" w:cs="宋体"/>
          <w:b/>
          <w:bCs/>
          <w:color w:val="auto"/>
          <w:kern w:val="0"/>
          <w:sz w:val="21"/>
          <w:szCs w:val="20"/>
          <w:highlight w:val="none"/>
          <w:lang w:val="en-US" w:eastAsia="zh-CN"/>
        </w:rPr>
        <w:t>按照评审得分由高到低推荐中标候选供应商（中标候选供应商应包括所有合格供应商），</w:t>
      </w:r>
      <w:r>
        <w:rPr>
          <w:rFonts w:hint="eastAsia" w:ascii="宋体" w:hAnsi="宋体" w:eastAsia="宋体" w:cs="宋体"/>
          <w:color w:val="auto"/>
          <w:kern w:val="0"/>
          <w:sz w:val="21"/>
          <w:szCs w:val="20"/>
          <w:highlight w:val="none"/>
          <w:lang w:val="en-US" w:eastAsia="zh-CN"/>
        </w:rPr>
        <w:t>并</w:t>
      </w:r>
      <w:r>
        <w:rPr>
          <w:rFonts w:hint="eastAsia" w:ascii="宋体" w:hAnsi="宋体" w:eastAsia="宋体" w:cs="宋体"/>
          <w:color w:val="auto"/>
          <w:kern w:val="0"/>
          <w:sz w:val="21"/>
          <w:szCs w:val="20"/>
          <w:highlight w:val="none"/>
        </w:rPr>
        <w:t>编写评标报告。</w:t>
      </w:r>
      <w:r>
        <w:rPr>
          <w:rFonts w:hint="eastAsia" w:ascii="宋体" w:hAnsi="宋体" w:eastAsia="宋体" w:cs="宋体"/>
          <w:color w:val="auto"/>
          <w:kern w:val="0"/>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宋体" w:hAnsi="宋体" w:eastAsia="宋体" w:cs="宋体"/>
          <w:b/>
          <w:color w:val="auto"/>
          <w:sz w:val="28"/>
          <w:szCs w:val="28"/>
          <w:highlight w:val="none"/>
        </w:rPr>
      </w:pPr>
      <w:bookmarkStart w:id="547" w:name="_Toc5999"/>
      <w:bookmarkStart w:id="548" w:name="_Toc4234"/>
      <w:bookmarkStart w:id="549" w:name="_Toc11310"/>
      <w:r>
        <w:rPr>
          <w:rFonts w:hint="eastAsia" w:ascii="宋体" w:hAnsi="宋体" w:eastAsia="宋体" w:cs="宋体"/>
          <w:b/>
          <w:color w:val="auto"/>
          <w:sz w:val="28"/>
          <w:szCs w:val="28"/>
          <w:highlight w:val="none"/>
        </w:rPr>
        <w:t>四、评标中的其他事项</w:t>
      </w:r>
      <w:bookmarkEnd w:id="547"/>
      <w:bookmarkEnd w:id="548"/>
      <w:bookmarkEnd w:id="549"/>
    </w:p>
    <w:p>
      <w:pPr>
        <w:pStyle w:val="106"/>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2</w:t>
      </w:r>
      <w:r>
        <w:rPr>
          <w:rFonts w:hint="eastAsia" w:ascii="宋体" w:hAnsi="宋体" w:eastAsia="宋体" w:cs="宋体"/>
          <w:b/>
          <w:color w:val="auto"/>
          <w:kern w:val="0"/>
          <w:highlight w:val="none"/>
          <w:lang w:val="en-US" w:eastAsia="zh-CN"/>
        </w:rPr>
        <w:t>.</w:t>
      </w:r>
      <w:r>
        <w:rPr>
          <w:rFonts w:hint="eastAsia" w:ascii="宋体" w:hAnsi="宋体" w:eastAsia="宋体" w:cs="宋体"/>
          <w:b/>
          <w:color w:val="auto"/>
          <w:kern w:val="0"/>
          <w:highlight w:val="none"/>
        </w:rPr>
        <w:t>投标无效。</w:t>
      </w:r>
      <w:r>
        <w:rPr>
          <w:rFonts w:hint="eastAsia" w:ascii="宋体" w:hAnsi="宋体" w:eastAsia="宋体" w:cs="宋体"/>
          <w:b/>
          <w:bCs/>
          <w:color w:val="auto"/>
          <w:kern w:val="0"/>
          <w:sz w:val="24"/>
          <w:highlight w:val="none"/>
        </w:rPr>
        <w:t>▲</w:t>
      </w:r>
      <w:r>
        <w:rPr>
          <w:rFonts w:hint="eastAsia" w:ascii="宋体" w:hAnsi="宋体" w:eastAsia="宋体" w:cs="宋体"/>
          <w:b/>
          <w:bCs/>
          <w:color w:val="auto"/>
          <w:szCs w:val="21"/>
          <w:highlight w:val="none"/>
        </w:rPr>
        <w:t>有下列情况之一的，投标无效：</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投标人不具备招标文件中规定的资格要求的（投标人未提供有效的资格文件的，视为投标人不具备招标文件中规定的资格要求）；</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投标文件未按照招标文件要求签署、盖章的；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eastAsia="zh-CN"/>
        </w:rPr>
        <w:t>人拟采购的产品属于政府强制采购的节能产品品目清单范围的，投标人未按招标文件要求提供国家确定的认证机构出具的、处于有效期之内的节能产品认证证书的；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szCs w:val="22"/>
          <w:highlight w:val="none"/>
        </w:rPr>
        <w:t>若</w:t>
      </w:r>
      <w:r>
        <w:rPr>
          <w:rFonts w:hint="eastAsia" w:ascii="宋体" w:hAnsi="宋体" w:cs="宋体"/>
          <w:color w:val="auto"/>
          <w:szCs w:val="22"/>
          <w:highlight w:val="none"/>
          <w:lang w:val="en-US" w:eastAsia="zh-CN"/>
        </w:rPr>
        <w:t>投标</w:t>
      </w:r>
      <w:r>
        <w:rPr>
          <w:rFonts w:hint="eastAsia" w:ascii="宋体" w:hAnsi="宋体" w:cs="宋体"/>
          <w:color w:val="auto"/>
          <w:szCs w:val="21"/>
          <w:highlight w:val="none"/>
        </w:rPr>
        <w:t>文件为授权代表签署的而未提供有效的法定代表人授权书的；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投标文件含有采购人不能接受的附加条件的；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投标文件中承诺的投标有效期少于招标文件中载明的投标有效期的；</w:t>
      </w:r>
    </w:p>
    <w:p>
      <w:pPr>
        <w:numPr>
          <w:ilvl w:val="0"/>
          <w:numId w:val="11"/>
        </w:numPr>
        <w:snapToGrid w:val="0"/>
        <w:spacing w:line="360" w:lineRule="auto"/>
        <w:ind w:left="5" w:leftChars="0" w:firstLine="41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投标文件出现不是唯一的、有选择性投标报价的</w:t>
      </w:r>
      <w:r>
        <w:rPr>
          <w:rFonts w:hint="eastAsia" w:ascii="宋体" w:hAnsi="宋体" w:eastAsia="宋体" w:cs="宋体"/>
          <w:color w:val="auto"/>
          <w:kern w:val="0"/>
          <w:sz w:val="21"/>
          <w:szCs w:val="21"/>
          <w:highlight w:val="none"/>
          <w:lang w:eastAsia="zh-CN"/>
        </w:rPr>
        <w:t>；</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投标报价超过招标文件中规定的预算金额或者最高限价的</w:t>
      </w:r>
      <w:r>
        <w:rPr>
          <w:rFonts w:hint="eastAsia" w:ascii="宋体" w:hAnsi="宋体" w:eastAsia="宋体" w:cs="宋体"/>
          <w:color w:val="auto"/>
          <w:kern w:val="0"/>
          <w:sz w:val="21"/>
          <w:szCs w:val="21"/>
          <w:highlight w:val="none"/>
          <w:lang w:eastAsia="zh-CN"/>
        </w:rPr>
        <w:t>；</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投标人对根据修正原则修正后的报价不确认的；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投标人提供虚假材料投标的；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投标人仅提交备份投标文件，没有在电子交易平台传输递交投标文件的，投标无效；</w:t>
      </w:r>
    </w:p>
    <w:p>
      <w:pPr>
        <w:numPr>
          <w:ilvl w:val="0"/>
          <w:numId w:val="11"/>
        </w:numPr>
        <w:spacing w:line="360" w:lineRule="auto"/>
        <w:ind w:left="5" w:leftChars="0" w:firstLine="415" w:firstLineChars="0"/>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投标文件不满足招标文件的其它实质性要求的；</w:t>
      </w:r>
    </w:p>
    <w:p>
      <w:pPr>
        <w:numPr>
          <w:ilvl w:val="0"/>
          <w:numId w:val="11"/>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pPr>
        <w:spacing w:line="360" w:lineRule="auto"/>
        <w:ind w:firstLine="482" w:firstLineChars="2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color w:val="auto"/>
          <w:kern w:val="0"/>
          <w:sz w:val="21"/>
          <w:szCs w:val="22"/>
          <w:highlight w:val="none"/>
          <w:lang w:val="en-US" w:eastAsia="zh-CN" w:bidi="ar-SA"/>
        </w:rPr>
        <w:t>▲有下列情形之一的，视为投标人串通投标，其投标无效：</w:t>
      </w:r>
    </w:p>
    <w:p>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rPr>
        <w:t>不同投标人的投标文件由同一单位或者个人编制；</w:t>
      </w:r>
    </w:p>
    <w:p>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不同投标人委托同一单位或者个人办理投标事宜；</w:t>
      </w:r>
    </w:p>
    <w:p>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rPr>
        <w:t>不同投标人的投标文件载明的项目管理成员或者联系人员为同一人；</w:t>
      </w:r>
    </w:p>
    <w:p>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不同投标人的投标文件异常一致或者投标报价呈规律性差异；</w:t>
      </w:r>
    </w:p>
    <w:p>
      <w:pPr>
        <w:spacing w:line="360" w:lineRule="auto"/>
        <w:ind w:firstLine="420" w:firstLineChars="20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rPr>
        <w:t>不同投标人的投标文件相互混装；</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（6）法律、法规或规章规定的其他串通行为</w:t>
      </w:r>
      <w:r>
        <w:rPr>
          <w:rFonts w:hint="eastAsia" w:ascii="宋体" w:hAnsi="宋体" w:eastAsia="宋体" w:cs="宋体"/>
          <w:color w:val="auto"/>
          <w:kern w:val="0"/>
          <w:sz w:val="21"/>
          <w:szCs w:val="21"/>
          <w:highlight w:val="none"/>
          <w:lang w:val="en-US"/>
        </w:rPr>
        <w:t>。</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符合专业条件的供应商或者对招标文件作实质响应的供应商不足3家的；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出现影响采购公正的违法、违规行为的；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投标人的报价均超过了采购预算，采购人不能支付的；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因重大变故，采购任务取消的。</w:t>
      </w:r>
    </w:p>
    <w:p>
      <w:pPr>
        <w:pStyle w:val="16"/>
        <w:snapToGrid w:val="0"/>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kern w:val="0"/>
          <w:highlight w:val="none"/>
          <w:lang w:val="en-US" w:eastAsia="zh-CN"/>
        </w:rPr>
        <w:t>6</w:t>
      </w:r>
      <w:r>
        <w:rPr>
          <w:rFonts w:hint="eastAsia" w:ascii="宋体" w:hAnsi="宋体" w:eastAsia="宋体" w:cs="宋体"/>
          <w:b/>
          <w:color w:val="auto"/>
          <w:kern w:val="0"/>
          <w:highlight w:val="none"/>
        </w:rPr>
        <w:t>.重新开展采购。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未确定中标或者中标人的，终止本次政府采购活动，重新开展政府采购活动。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政府采购合同已签订但尚未履行的，撤销合同，从合格的中标或者成交候选人中另行确定中标或者中标人；没有合格的中标或者成交候选人的，重新开展政府采购活动。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政府采购合同已经履行，给采购人、供应商造成损失的，由责任人承担赔偿责任。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规定处理。</w:t>
      </w:r>
    </w:p>
    <w:p>
      <w:pPr>
        <w:pStyle w:val="2"/>
        <w:keepNext w:val="0"/>
        <w:keepLines w:val="0"/>
        <w:pageBreakBefore/>
        <w:tabs>
          <w:tab w:val="left" w:pos="840"/>
        </w:tabs>
        <w:spacing w:before="156" w:beforeLines="50" w:after="156" w:afterLines="50" w:line="400" w:lineRule="exact"/>
        <w:jc w:val="center"/>
        <w:rPr>
          <w:rFonts w:hint="eastAsia" w:ascii="宋体" w:hAnsi="宋体" w:eastAsia="宋体" w:cs="宋体"/>
          <w:b/>
          <w:color w:val="auto"/>
          <w:kern w:val="44"/>
          <w:sz w:val="32"/>
          <w:szCs w:val="32"/>
          <w:highlight w:val="none"/>
          <w:lang w:val="en-US" w:eastAsia="zh-CN" w:bidi="ar-SA"/>
        </w:rPr>
      </w:pPr>
      <w:bookmarkStart w:id="550" w:name="_Toc27385"/>
      <w:bookmarkStart w:id="551" w:name="_Toc5696"/>
      <w:bookmarkStart w:id="552" w:name="_Toc21591"/>
      <w:r>
        <w:rPr>
          <w:rFonts w:hint="eastAsia" w:ascii="宋体" w:hAnsi="宋体" w:eastAsia="宋体" w:cs="宋体"/>
          <w:b/>
          <w:color w:val="auto"/>
          <w:kern w:val="44"/>
          <w:sz w:val="32"/>
          <w:szCs w:val="32"/>
          <w:highlight w:val="none"/>
          <w:lang w:val="en-US" w:eastAsia="zh-CN" w:bidi="ar-SA"/>
        </w:rPr>
        <w:t xml:space="preserve">第五部分  </w:t>
      </w:r>
      <w:bookmarkEnd w:id="128"/>
      <w:bookmarkEnd w:id="129"/>
      <w:r>
        <w:rPr>
          <w:rFonts w:hint="eastAsia" w:ascii="宋体" w:hAnsi="宋体" w:eastAsia="宋体" w:cs="宋体"/>
          <w:b/>
          <w:color w:val="auto"/>
          <w:kern w:val="44"/>
          <w:sz w:val="32"/>
          <w:szCs w:val="32"/>
          <w:highlight w:val="none"/>
          <w:lang w:val="en-US" w:eastAsia="zh-CN" w:bidi="ar-SA"/>
        </w:rPr>
        <w:t>拟签订的合同文本</w:t>
      </w:r>
      <w:bookmarkEnd w:id="550"/>
      <w:bookmarkEnd w:id="551"/>
      <w:bookmarkEnd w:id="552"/>
    </w:p>
    <w:p>
      <w:pPr>
        <w:rPr>
          <w:rFonts w:hint="eastAsia"/>
          <w:color w:val="auto"/>
          <w:highlight w:val="none"/>
          <w:lang w:val="en-US" w:eastAsia="zh-CN"/>
        </w:rPr>
      </w:pPr>
    </w:p>
    <w:p>
      <w:pPr>
        <w:pStyle w:val="152"/>
        <w:spacing w:line="560" w:lineRule="exact"/>
        <w:ind w:left="0" w:leftChars="0" w:firstLine="0" w:firstLineChars="0"/>
        <w:jc w:val="cente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第一部分 合同书</w:t>
      </w:r>
    </w:p>
    <w:p>
      <w:pPr>
        <w:pStyle w:val="152"/>
        <w:rPr>
          <w:rFonts w:ascii="仿宋" w:hAnsi="仿宋" w:eastAsia="仿宋"/>
          <w:color w:val="auto"/>
          <w:szCs w:val="24"/>
          <w:highlight w:val="none"/>
        </w:rPr>
      </w:pPr>
    </w:p>
    <w:p>
      <w:pPr>
        <w:pStyle w:val="152"/>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s="Times New Roman"/>
          <w:color w:val="auto"/>
          <w:sz w:val="24"/>
          <w:highlight w:val="none"/>
          <w:lang w:eastAsia="zh-CN"/>
        </w:rPr>
        <w:t>瑞安市妇幼保健院胃肠镜系统采购</w:t>
      </w:r>
      <w:r>
        <w:rPr>
          <w:rFonts w:hint="eastAsia" w:ascii="仿宋" w:hAnsi="仿宋" w:eastAsia="仿宋" w:cs="Times New Roman"/>
          <w:color w:val="auto"/>
          <w:sz w:val="24"/>
          <w:highlight w:val="none"/>
        </w:rPr>
        <w:t xml:space="preserve">     </w:t>
      </w:r>
      <w:r>
        <w:rPr>
          <w:rFonts w:ascii="仿宋" w:hAnsi="仿宋" w:eastAsia="仿宋"/>
          <w:color w:val="auto"/>
          <w:sz w:val="24"/>
          <w:highlight w:val="none"/>
          <w:u w:val="single"/>
        </w:rPr>
        <w:t xml:space="preserve">                              </w:t>
      </w:r>
    </w:p>
    <w:p>
      <w:pPr>
        <w:pStyle w:val="153"/>
        <w:spacing w:before="120" w:line="22" w:lineRule="atLeast"/>
        <w:rPr>
          <w:rFonts w:ascii="仿宋" w:hAnsi="仿宋" w:eastAsia="仿宋"/>
          <w:color w:val="auto"/>
          <w:szCs w:val="24"/>
          <w:highlight w:val="none"/>
        </w:rPr>
      </w:pPr>
    </w:p>
    <w:p>
      <w:pPr>
        <w:pStyle w:val="153"/>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公开招标</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瑞安市妇幼保健院胃肠镜系统采购，编号：ZJKB2024021</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评标委员会</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瑞安市妇幼保健院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b/>
          <w:color w:val="auto"/>
          <w:sz w:val="24"/>
          <w:highlight w:val="none"/>
        </w:rPr>
      </w:pPr>
      <w:bookmarkStart w:id="553" w:name="_Toc2232"/>
      <w:bookmarkStart w:id="554" w:name="_Toc3029"/>
      <w:bookmarkStart w:id="555" w:name="_Toc24059"/>
      <w:bookmarkStart w:id="556" w:name="_Toc16014"/>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553"/>
      <w:bookmarkEnd w:id="554"/>
      <w:bookmarkEnd w:id="555"/>
      <w:bookmarkEnd w:id="55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560" w:lineRule="exact"/>
        <w:ind w:firstLine="482" w:firstLineChars="200"/>
        <w:outlineLvl w:val="0"/>
        <w:rPr>
          <w:rFonts w:ascii="仿宋" w:hAnsi="仿宋" w:eastAsia="仿宋"/>
          <w:b/>
          <w:color w:val="auto"/>
          <w:sz w:val="24"/>
          <w:highlight w:val="none"/>
        </w:rPr>
      </w:pPr>
      <w:bookmarkStart w:id="557" w:name="_Toc27126"/>
      <w:bookmarkStart w:id="558" w:name="_Toc16927"/>
      <w:bookmarkStart w:id="559" w:name="_Toc24300"/>
      <w:bookmarkStart w:id="560" w:name="_Toc21295"/>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557"/>
      <w:bookmarkEnd w:id="558"/>
      <w:bookmarkEnd w:id="559"/>
      <w:bookmarkEnd w:id="560"/>
    </w:p>
    <w:p>
      <w:pPr>
        <w:spacing w:line="560" w:lineRule="exact"/>
        <w:ind w:firstLine="480" w:firstLineChars="200"/>
        <w:jc w:val="left"/>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hint="eastAsia" w:ascii="仿宋" w:hAnsi="仿宋" w:eastAsia="仿宋"/>
          <w:color w:val="auto"/>
          <w:sz w:val="24"/>
          <w:highlight w:val="none"/>
          <w:lang w:eastAsia="zh-CN"/>
        </w:rPr>
        <w:t>、品牌、规格型号</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561" w:name="_Toc21631"/>
      <w:bookmarkStart w:id="562" w:name="_Toc29169"/>
      <w:bookmarkStart w:id="563" w:name="_Toc21551"/>
      <w:bookmarkStart w:id="564" w:name="_Toc23292"/>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561"/>
      <w:bookmarkEnd w:id="562"/>
      <w:bookmarkEnd w:id="563"/>
      <w:bookmarkEnd w:id="564"/>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（含税）</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37"/>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886" w:type="dxa"/>
            <w:gridSpan w:val="2"/>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54"/>
              <w:spacing w:line="560" w:lineRule="exact"/>
              <w:ind w:firstLine="200"/>
              <w:jc w:val="center"/>
              <w:rPr>
                <w:rFonts w:ascii="仿宋" w:hAnsi="仿宋" w:eastAsia="仿宋" w:cs="Times New Roman"/>
                <w:color w:val="auto"/>
                <w:sz w:val="24"/>
                <w:szCs w:val="24"/>
                <w:highlight w:val="none"/>
              </w:rPr>
            </w:pPr>
          </w:p>
        </w:tc>
      </w:tr>
    </w:tbl>
    <w:p>
      <w:pPr>
        <w:spacing w:line="560" w:lineRule="exact"/>
        <w:ind w:firstLine="482" w:firstLineChars="200"/>
        <w:outlineLvl w:val="0"/>
        <w:rPr>
          <w:rFonts w:hint="eastAsia" w:ascii="仿宋" w:hAnsi="仿宋" w:eastAsia="仿宋"/>
          <w:b/>
          <w:bCs w:val="0"/>
          <w:color w:val="auto"/>
          <w:sz w:val="24"/>
          <w:highlight w:val="none"/>
        </w:rPr>
      </w:pPr>
      <w:bookmarkStart w:id="565" w:name="_Toc21149"/>
      <w:bookmarkStart w:id="566" w:name="_Toc22618"/>
      <w:bookmarkStart w:id="567" w:name="_Toc1814"/>
      <w:bookmarkStart w:id="568" w:name="_Toc10340"/>
      <w:r>
        <w:rPr>
          <w:rFonts w:hint="eastAsia" w:ascii="仿宋" w:hAnsi="仿宋" w:eastAsia="仿宋"/>
          <w:b/>
          <w:bCs w:val="0"/>
          <w:color w:val="auto"/>
          <w:sz w:val="24"/>
          <w:highlight w:val="none"/>
        </w:rPr>
        <w:t>1.4履约保证金</w:t>
      </w:r>
      <w:bookmarkEnd w:id="565"/>
    </w:p>
    <w:p>
      <w:pPr>
        <w:spacing w:line="560" w:lineRule="exact"/>
        <w:ind w:firstLine="480" w:firstLineChars="200"/>
        <w:outlineLvl w:val="0"/>
        <w:rPr>
          <w:rFonts w:hint="eastAsia" w:ascii="仿宋" w:hAnsi="仿宋" w:eastAsia="仿宋"/>
          <w:b w:val="0"/>
          <w:bCs/>
          <w:color w:val="auto"/>
          <w:sz w:val="24"/>
          <w:highlight w:val="none"/>
        </w:rPr>
      </w:pPr>
      <w:bookmarkStart w:id="569" w:name="_Toc16670"/>
      <w:r>
        <w:rPr>
          <w:rFonts w:hint="eastAsia" w:ascii="仿宋" w:hAnsi="仿宋" w:eastAsia="仿宋"/>
          <w:b w:val="0"/>
          <w:bCs/>
          <w:color w:val="auto"/>
          <w:sz w:val="24"/>
          <w:highlight w:val="none"/>
        </w:rPr>
        <w:t>乙方</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u w:val="single"/>
          <w:lang w:val="en-US" w:eastAsia="zh-CN"/>
        </w:rPr>
        <w:t>否</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（是/否）需要支付履约保证金。若需要支付履约保证金的，则：</w:t>
      </w:r>
      <w:bookmarkEnd w:id="569"/>
    </w:p>
    <w:p>
      <w:pPr>
        <w:spacing w:line="560" w:lineRule="exact"/>
        <w:ind w:firstLine="480" w:firstLineChars="200"/>
        <w:outlineLvl w:val="0"/>
        <w:rPr>
          <w:rFonts w:hint="eastAsia" w:ascii="仿宋" w:hAnsi="仿宋" w:eastAsia="仿宋"/>
          <w:b w:val="0"/>
          <w:bCs/>
          <w:color w:val="auto"/>
          <w:sz w:val="24"/>
          <w:highlight w:val="none"/>
        </w:rPr>
      </w:pPr>
      <w:bookmarkStart w:id="570" w:name="_Toc24892"/>
      <w:r>
        <w:rPr>
          <w:rFonts w:hint="eastAsia" w:ascii="仿宋" w:hAnsi="仿宋" w:eastAsia="仿宋"/>
          <w:b w:val="0"/>
          <w:bCs/>
          <w:color w:val="auto"/>
          <w:sz w:val="24"/>
          <w:highlight w:val="none"/>
        </w:rPr>
        <w:t>1.4.1履约保证金的比例为合同金额的</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u w:val="single"/>
          <w:lang w:val="en-US" w:eastAsia="zh-CN"/>
        </w:rPr>
        <w:t>/</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w:t>
      </w:r>
      <w:bookmarkEnd w:id="570"/>
    </w:p>
    <w:p>
      <w:pPr>
        <w:spacing w:line="560" w:lineRule="exact"/>
        <w:ind w:firstLine="480" w:firstLineChars="200"/>
        <w:outlineLvl w:val="0"/>
        <w:rPr>
          <w:rFonts w:hint="eastAsia" w:ascii="仿宋" w:hAnsi="仿宋" w:eastAsia="仿宋"/>
          <w:b w:val="0"/>
          <w:bCs/>
          <w:color w:val="auto"/>
          <w:sz w:val="24"/>
          <w:highlight w:val="none"/>
        </w:rPr>
      </w:pPr>
      <w:bookmarkStart w:id="571" w:name="_Toc9843"/>
      <w:r>
        <w:rPr>
          <w:rFonts w:hint="eastAsia" w:ascii="仿宋" w:hAnsi="仿宋" w:eastAsia="仿宋"/>
          <w:b w:val="0"/>
          <w:bCs/>
          <w:color w:val="auto"/>
          <w:sz w:val="24"/>
          <w:highlight w:val="none"/>
        </w:rPr>
        <w:t>1.4.2履约保证金支付方式详见</w:t>
      </w:r>
      <w:r>
        <w:rPr>
          <w:rFonts w:hint="eastAsia" w:ascii="仿宋" w:hAnsi="仿宋" w:eastAsia="仿宋"/>
          <w:b w:val="0"/>
          <w:bCs/>
          <w:color w:val="auto"/>
          <w:sz w:val="24"/>
          <w:highlight w:val="none"/>
          <w:u w:val="single"/>
        </w:rPr>
        <w:t xml:space="preserve">    </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w:t>
      </w:r>
      <w:bookmarkEnd w:id="571"/>
    </w:p>
    <w:p>
      <w:pPr>
        <w:spacing w:line="560" w:lineRule="exact"/>
        <w:ind w:firstLine="480" w:firstLineChars="200"/>
        <w:outlineLvl w:val="0"/>
        <w:rPr>
          <w:rFonts w:hint="eastAsia" w:ascii="仿宋" w:hAnsi="仿宋" w:eastAsia="仿宋"/>
          <w:b w:val="0"/>
          <w:bCs/>
          <w:color w:val="auto"/>
          <w:sz w:val="24"/>
          <w:highlight w:val="none"/>
        </w:rPr>
      </w:pPr>
      <w:bookmarkStart w:id="572" w:name="_Toc27850"/>
      <w:r>
        <w:rPr>
          <w:rFonts w:hint="eastAsia" w:ascii="仿宋" w:hAnsi="仿宋" w:eastAsia="仿宋"/>
          <w:b w:val="0"/>
          <w:bCs/>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572"/>
    </w:p>
    <w:p>
      <w:pPr>
        <w:spacing w:line="560" w:lineRule="exact"/>
        <w:ind w:firstLine="480" w:firstLineChars="200"/>
        <w:outlineLvl w:val="0"/>
        <w:rPr>
          <w:rFonts w:hint="eastAsia" w:ascii="仿宋" w:hAnsi="仿宋" w:eastAsia="仿宋"/>
          <w:b w:val="0"/>
          <w:bCs/>
          <w:color w:val="auto"/>
          <w:sz w:val="24"/>
          <w:highlight w:val="none"/>
        </w:rPr>
      </w:pPr>
      <w:bookmarkStart w:id="573" w:name="_Toc966"/>
      <w:r>
        <w:rPr>
          <w:rFonts w:hint="eastAsia" w:ascii="仿宋" w:hAnsi="仿宋" w:eastAsia="仿宋"/>
          <w:b w:val="0"/>
          <w:bCs/>
          <w:color w:val="auto"/>
          <w:sz w:val="24"/>
          <w:highlight w:val="none"/>
        </w:rPr>
        <w:t>1.4.4 甲方在项目验收结束后及时退还履约保证金。甲方在项目通过验收之日起</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u w:val="single"/>
          <w:lang w:val="en-US" w:eastAsia="zh-CN"/>
        </w:rPr>
        <w:t xml:space="preserve"> </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 w:val="0"/>
          <w:bCs/>
          <w:color w:val="auto"/>
          <w:sz w:val="24"/>
          <w:highlight w:val="none"/>
          <w:u w:val="single"/>
        </w:rPr>
        <w:t xml:space="preserve">  0.05   </w:t>
      </w:r>
      <w:r>
        <w:rPr>
          <w:rFonts w:hint="eastAsia" w:ascii="仿宋" w:hAnsi="仿宋" w:eastAsia="仿宋"/>
          <w:b w:val="0"/>
          <w:bCs/>
          <w:color w:val="auto"/>
          <w:sz w:val="24"/>
          <w:highlight w:val="none"/>
        </w:rPr>
        <w:t>%计算，最高限额为本合同履约保证金的</w:t>
      </w:r>
      <w:r>
        <w:rPr>
          <w:rFonts w:hint="eastAsia" w:ascii="仿宋" w:hAnsi="仿宋" w:eastAsia="仿宋"/>
          <w:b w:val="0"/>
          <w:bCs/>
          <w:color w:val="auto"/>
          <w:sz w:val="24"/>
          <w:highlight w:val="none"/>
          <w:u w:val="single"/>
        </w:rPr>
        <w:t xml:space="preserve">  20   </w:t>
      </w:r>
      <w:r>
        <w:rPr>
          <w:rFonts w:hint="eastAsia" w:ascii="仿宋" w:hAnsi="仿宋" w:eastAsia="仿宋"/>
          <w:b w:val="0"/>
          <w:bCs/>
          <w:color w:val="auto"/>
          <w:sz w:val="24"/>
          <w:highlight w:val="none"/>
        </w:rPr>
        <w:t>%。</w:t>
      </w:r>
      <w:bookmarkEnd w:id="573"/>
    </w:p>
    <w:p>
      <w:pPr>
        <w:spacing w:line="560" w:lineRule="exact"/>
        <w:ind w:firstLine="482" w:firstLineChars="200"/>
        <w:outlineLvl w:val="0"/>
        <w:rPr>
          <w:rFonts w:hint="eastAsia" w:ascii="仿宋" w:hAnsi="仿宋" w:eastAsia="仿宋"/>
          <w:b w:val="0"/>
          <w:bCs/>
          <w:color w:val="auto"/>
          <w:sz w:val="24"/>
          <w:highlight w:val="none"/>
        </w:rPr>
      </w:pPr>
      <w:bookmarkStart w:id="574" w:name="_Toc15614"/>
      <w:r>
        <w:rPr>
          <w:rFonts w:hint="eastAsia" w:ascii="仿宋" w:hAnsi="仿宋" w:eastAsia="仿宋"/>
          <w:b/>
          <w:bCs w:val="0"/>
          <w:color w:val="auto"/>
          <w:sz w:val="24"/>
          <w:highlight w:val="none"/>
        </w:rPr>
        <w:t>1.5预付款</w:t>
      </w:r>
      <w:bookmarkEnd w:id="574"/>
    </w:p>
    <w:p>
      <w:pPr>
        <w:spacing w:line="560" w:lineRule="exact"/>
        <w:ind w:firstLine="480" w:firstLineChars="200"/>
        <w:outlineLvl w:val="0"/>
        <w:rPr>
          <w:rFonts w:hint="eastAsia" w:ascii="仿宋" w:hAnsi="仿宋" w:eastAsia="仿宋"/>
          <w:b w:val="0"/>
          <w:bCs/>
          <w:color w:val="auto"/>
          <w:sz w:val="24"/>
          <w:highlight w:val="none"/>
        </w:rPr>
      </w:pPr>
      <w:bookmarkStart w:id="575" w:name="_Toc8769"/>
      <w:r>
        <w:rPr>
          <w:rFonts w:hint="eastAsia" w:ascii="仿宋" w:hAnsi="仿宋" w:eastAsia="仿宋"/>
          <w:b w:val="0"/>
          <w:bCs/>
          <w:color w:val="auto"/>
          <w:sz w:val="24"/>
          <w:highlight w:val="none"/>
        </w:rPr>
        <w:t>甲方</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（是/否）需要支付预付款。若需要支付预付款的，则：</w:t>
      </w:r>
      <w:bookmarkEnd w:id="575"/>
    </w:p>
    <w:p>
      <w:pPr>
        <w:spacing w:line="560" w:lineRule="exact"/>
        <w:ind w:firstLine="480" w:firstLineChars="200"/>
        <w:outlineLvl w:val="0"/>
        <w:rPr>
          <w:rFonts w:hint="eastAsia" w:ascii="仿宋" w:hAnsi="仿宋" w:eastAsia="仿宋"/>
          <w:b w:val="0"/>
          <w:bCs/>
          <w:color w:val="auto"/>
          <w:sz w:val="24"/>
          <w:highlight w:val="none"/>
        </w:rPr>
      </w:pPr>
      <w:bookmarkStart w:id="576" w:name="_Toc23908"/>
      <w:r>
        <w:rPr>
          <w:rFonts w:hint="eastAsia" w:ascii="仿宋" w:hAnsi="仿宋" w:eastAsia="仿宋"/>
          <w:b w:val="0"/>
          <w:bCs/>
          <w:color w:val="auto"/>
          <w:sz w:val="24"/>
          <w:highlight w:val="none"/>
        </w:rPr>
        <w:t>1.5.1预付款比例、支付方式、时间详见</w:t>
      </w:r>
      <w:r>
        <w:rPr>
          <w:rFonts w:hint="eastAsia" w:ascii="仿宋" w:hAnsi="仿宋" w:eastAsia="仿宋"/>
          <w:b w:val="0"/>
          <w:bCs/>
          <w:color w:val="auto"/>
          <w:sz w:val="24"/>
          <w:highlight w:val="none"/>
          <w:u w:val="single"/>
        </w:rPr>
        <w:t xml:space="preserve">    </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 xml:space="preserve"> ；</w:t>
      </w:r>
      <w:bookmarkEnd w:id="576"/>
    </w:p>
    <w:p>
      <w:pPr>
        <w:spacing w:line="560" w:lineRule="exact"/>
        <w:ind w:firstLine="480" w:firstLineChars="200"/>
        <w:outlineLvl w:val="0"/>
        <w:rPr>
          <w:rFonts w:hint="eastAsia" w:ascii="仿宋" w:hAnsi="仿宋" w:eastAsia="仿宋"/>
          <w:b w:val="0"/>
          <w:bCs/>
          <w:color w:val="auto"/>
          <w:sz w:val="24"/>
          <w:highlight w:val="none"/>
        </w:rPr>
      </w:pPr>
      <w:bookmarkStart w:id="577" w:name="_Toc21029"/>
      <w:r>
        <w:rPr>
          <w:rFonts w:hint="eastAsia" w:ascii="仿宋" w:hAnsi="仿宋" w:eastAsia="仿宋"/>
          <w:b w:val="0"/>
          <w:bCs/>
          <w:color w:val="auto"/>
          <w:sz w:val="24"/>
          <w:highlight w:val="none"/>
        </w:rPr>
        <w:t>1.5.2预付款的扣回方式详见</w:t>
      </w:r>
      <w:r>
        <w:rPr>
          <w:rFonts w:hint="eastAsia" w:ascii="仿宋" w:hAnsi="仿宋" w:eastAsia="仿宋"/>
          <w:b w:val="0"/>
          <w:bCs/>
          <w:color w:val="auto"/>
          <w:sz w:val="24"/>
          <w:highlight w:val="none"/>
          <w:u w:val="single"/>
        </w:rPr>
        <w:t xml:space="preserve">    </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 xml:space="preserve"> ；</w:t>
      </w:r>
      <w:bookmarkEnd w:id="577"/>
    </w:p>
    <w:p>
      <w:pPr>
        <w:spacing w:line="560" w:lineRule="exact"/>
        <w:ind w:firstLine="480" w:firstLineChars="200"/>
        <w:outlineLvl w:val="0"/>
        <w:rPr>
          <w:rFonts w:hint="eastAsia" w:ascii="仿宋" w:hAnsi="仿宋" w:eastAsia="仿宋"/>
          <w:b w:val="0"/>
          <w:bCs/>
          <w:color w:val="auto"/>
          <w:sz w:val="24"/>
          <w:highlight w:val="none"/>
        </w:rPr>
      </w:pPr>
      <w:bookmarkStart w:id="578" w:name="_Toc3221"/>
      <w:r>
        <w:rPr>
          <w:rFonts w:hint="eastAsia" w:ascii="仿宋" w:hAnsi="仿宋" w:eastAsia="仿宋"/>
          <w:b w:val="0"/>
          <w:bCs/>
          <w:color w:val="auto"/>
          <w:sz w:val="24"/>
          <w:highlight w:val="none"/>
        </w:rPr>
        <w:t>1.5.3预付款的担保措施详见</w:t>
      </w:r>
      <w:r>
        <w:rPr>
          <w:rFonts w:hint="eastAsia" w:ascii="仿宋" w:hAnsi="仿宋" w:eastAsia="仿宋"/>
          <w:b w:val="0"/>
          <w:bCs/>
          <w:color w:val="auto"/>
          <w:sz w:val="24"/>
          <w:highlight w:val="none"/>
          <w:u w:val="single"/>
        </w:rPr>
        <w:t xml:space="preserve">    </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 xml:space="preserve"> 。</w:t>
      </w:r>
      <w:bookmarkEnd w:id="578"/>
    </w:p>
    <w:p>
      <w:pPr>
        <w:spacing w:line="560" w:lineRule="exact"/>
        <w:ind w:firstLine="482" w:firstLineChars="200"/>
        <w:outlineLvl w:val="0"/>
        <w:rPr>
          <w:rFonts w:hint="eastAsia" w:ascii="仿宋" w:hAnsi="仿宋" w:eastAsia="仿宋"/>
          <w:b/>
          <w:bCs w:val="0"/>
          <w:color w:val="auto"/>
          <w:sz w:val="24"/>
          <w:highlight w:val="none"/>
        </w:rPr>
      </w:pPr>
      <w:bookmarkStart w:id="579" w:name="_Toc12694"/>
      <w:r>
        <w:rPr>
          <w:rFonts w:hint="eastAsia" w:ascii="仿宋" w:hAnsi="仿宋" w:eastAsia="仿宋"/>
          <w:b/>
          <w:bCs w:val="0"/>
          <w:color w:val="auto"/>
          <w:sz w:val="24"/>
          <w:highlight w:val="none"/>
        </w:rPr>
        <w:t>1.6资金支付</w:t>
      </w:r>
      <w:bookmarkEnd w:id="579"/>
    </w:p>
    <w:p>
      <w:pPr>
        <w:spacing w:line="560" w:lineRule="exact"/>
        <w:ind w:firstLine="480" w:firstLineChars="200"/>
        <w:outlineLvl w:val="0"/>
        <w:rPr>
          <w:rFonts w:hint="eastAsia" w:ascii="仿宋" w:hAnsi="仿宋" w:eastAsia="仿宋"/>
          <w:b w:val="0"/>
          <w:bCs/>
          <w:color w:val="auto"/>
          <w:sz w:val="24"/>
          <w:highlight w:val="none"/>
        </w:rPr>
      </w:pPr>
      <w:bookmarkStart w:id="580" w:name="_Toc10831"/>
      <w:r>
        <w:rPr>
          <w:rFonts w:hint="eastAsia" w:ascii="仿宋" w:hAnsi="仿宋" w:eastAsia="仿宋"/>
          <w:b w:val="0"/>
          <w:bCs/>
          <w:color w:val="auto"/>
          <w:sz w:val="24"/>
          <w:highlight w:val="none"/>
        </w:rPr>
        <w:t>1.6.1甲方应严格履行合同，及时组织验收，验收合格后及时将合同款支付完毕。对于满足合同约定支付条件的，甲方自收到发票后</w:t>
      </w:r>
      <w:r>
        <w:rPr>
          <w:rFonts w:hint="eastAsia" w:ascii="仿宋" w:hAnsi="仿宋" w:eastAsia="仿宋"/>
          <w:b w:val="0"/>
          <w:bCs/>
          <w:color w:val="auto"/>
          <w:sz w:val="24"/>
          <w:highlight w:val="none"/>
          <w:lang w:eastAsia="zh-CN"/>
        </w:rPr>
        <w:t>7</w:t>
      </w:r>
      <w:r>
        <w:rPr>
          <w:rFonts w:hint="eastAsia" w:ascii="仿宋" w:hAnsi="仿宋" w:eastAsia="仿宋"/>
          <w:b w:val="0"/>
          <w:bCs/>
          <w:color w:val="auto"/>
          <w:sz w:val="24"/>
          <w:highlight w:val="none"/>
        </w:rPr>
        <w:t>个工作日内将资金支付到合同约定的乙方账户，有条件的甲方可以即时支付。甲方不得以机构变动、人员更替、政策调整、单位放假等为由延迟付款。</w:t>
      </w:r>
      <w:bookmarkEnd w:id="580"/>
    </w:p>
    <w:p>
      <w:pPr>
        <w:spacing w:line="560" w:lineRule="exact"/>
        <w:ind w:firstLine="480" w:firstLineChars="200"/>
        <w:outlineLvl w:val="0"/>
        <w:rPr>
          <w:rFonts w:hint="eastAsia" w:ascii="仿宋" w:hAnsi="仿宋" w:eastAsia="仿宋"/>
          <w:b w:val="0"/>
          <w:bCs/>
          <w:color w:val="auto"/>
          <w:sz w:val="24"/>
          <w:highlight w:val="none"/>
        </w:rPr>
      </w:pPr>
      <w:bookmarkStart w:id="581" w:name="_Toc6881"/>
      <w:r>
        <w:rPr>
          <w:rFonts w:hint="eastAsia" w:ascii="仿宋" w:hAnsi="仿宋" w:eastAsia="仿宋"/>
          <w:b w:val="0"/>
          <w:bCs/>
          <w:color w:val="auto"/>
          <w:sz w:val="24"/>
          <w:highlight w:val="none"/>
        </w:rPr>
        <w:t>1.6.2资金支付的方式、时间和条件详见</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w:t>
      </w:r>
      <w:bookmarkEnd w:id="581"/>
    </w:p>
    <w:p>
      <w:pPr>
        <w:spacing w:line="560" w:lineRule="exact"/>
        <w:ind w:firstLine="482" w:firstLineChars="200"/>
        <w:outlineLvl w:val="0"/>
        <w:rPr>
          <w:rFonts w:hint="eastAsia" w:ascii="仿宋" w:hAnsi="仿宋" w:eastAsia="仿宋"/>
          <w:b/>
          <w:bCs w:val="0"/>
          <w:color w:val="auto"/>
          <w:sz w:val="24"/>
          <w:highlight w:val="none"/>
        </w:rPr>
      </w:pPr>
      <w:bookmarkStart w:id="582" w:name="_Toc17190"/>
      <w:r>
        <w:rPr>
          <w:rFonts w:hint="eastAsia" w:ascii="仿宋" w:hAnsi="仿宋" w:eastAsia="仿宋"/>
          <w:b/>
          <w:bCs w:val="0"/>
          <w:color w:val="auto"/>
          <w:sz w:val="24"/>
          <w:highlight w:val="none"/>
        </w:rPr>
        <w:t>1.7货物交付期限、地点和方式</w:t>
      </w:r>
      <w:bookmarkEnd w:id="582"/>
    </w:p>
    <w:p>
      <w:pPr>
        <w:spacing w:line="560" w:lineRule="exact"/>
        <w:ind w:firstLine="480" w:firstLineChars="200"/>
        <w:outlineLvl w:val="0"/>
        <w:rPr>
          <w:rFonts w:hint="eastAsia" w:ascii="仿宋" w:hAnsi="仿宋" w:eastAsia="仿宋"/>
          <w:b w:val="0"/>
          <w:bCs/>
          <w:color w:val="auto"/>
          <w:sz w:val="24"/>
          <w:highlight w:val="none"/>
        </w:rPr>
      </w:pPr>
      <w:bookmarkStart w:id="583" w:name="_Toc32219"/>
      <w:r>
        <w:rPr>
          <w:rFonts w:hint="eastAsia" w:ascii="仿宋" w:hAnsi="仿宋" w:eastAsia="仿宋"/>
          <w:b w:val="0"/>
          <w:bCs/>
          <w:color w:val="auto"/>
          <w:sz w:val="24"/>
          <w:highlight w:val="none"/>
        </w:rPr>
        <w:t>1.7.1 交付期限：详见</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w:t>
      </w:r>
      <w:bookmarkEnd w:id="583"/>
    </w:p>
    <w:p>
      <w:pPr>
        <w:spacing w:line="560" w:lineRule="exact"/>
        <w:ind w:firstLine="480" w:firstLineChars="200"/>
        <w:outlineLvl w:val="0"/>
        <w:rPr>
          <w:rFonts w:hint="eastAsia" w:ascii="仿宋" w:hAnsi="仿宋" w:eastAsia="仿宋"/>
          <w:b w:val="0"/>
          <w:bCs/>
          <w:color w:val="auto"/>
          <w:sz w:val="24"/>
          <w:highlight w:val="none"/>
        </w:rPr>
      </w:pPr>
      <w:bookmarkStart w:id="584" w:name="_Toc3811"/>
      <w:r>
        <w:rPr>
          <w:rFonts w:hint="eastAsia" w:ascii="仿宋" w:hAnsi="仿宋" w:eastAsia="仿宋"/>
          <w:b w:val="0"/>
          <w:bCs/>
          <w:color w:val="auto"/>
          <w:sz w:val="24"/>
          <w:highlight w:val="none"/>
        </w:rPr>
        <w:t>1.7.2 交付地点：</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w:t>
      </w:r>
      <w:bookmarkEnd w:id="584"/>
    </w:p>
    <w:p>
      <w:pPr>
        <w:spacing w:line="560" w:lineRule="exact"/>
        <w:ind w:firstLine="480" w:firstLineChars="200"/>
        <w:outlineLvl w:val="0"/>
        <w:rPr>
          <w:rFonts w:hint="eastAsia" w:ascii="仿宋" w:hAnsi="仿宋" w:eastAsia="仿宋"/>
          <w:b w:val="0"/>
          <w:bCs/>
          <w:color w:val="auto"/>
          <w:sz w:val="24"/>
          <w:highlight w:val="none"/>
        </w:rPr>
      </w:pPr>
      <w:bookmarkStart w:id="585" w:name="_Toc17735"/>
      <w:r>
        <w:rPr>
          <w:rFonts w:hint="eastAsia" w:ascii="仿宋" w:hAnsi="仿宋" w:eastAsia="仿宋"/>
          <w:b w:val="0"/>
          <w:bCs/>
          <w:color w:val="auto"/>
          <w:sz w:val="24"/>
          <w:highlight w:val="none"/>
        </w:rPr>
        <w:t>1.7.3 交付方式：</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w:t>
      </w:r>
      <w:bookmarkEnd w:id="585"/>
    </w:p>
    <w:p>
      <w:pPr>
        <w:spacing w:line="560" w:lineRule="exact"/>
        <w:ind w:firstLine="482" w:firstLineChars="200"/>
        <w:outlineLvl w:val="0"/>
        <w:rPr>
          <w:rFonts w:hint="eastAsia" w:ascii="仿宋" w:hAnsi="仿宋" w:eastAsia="仿宋"/>
          <w:b/>
          <w:bCs w:val="0"/>
          <w:color w:val="auto"/>
          <w:sz w:val="24"/>
          <w:highlight w:val="none"/>
        </w:rPr>
      </w:pPr>
      <w:bookmarkStart w:id="586" w:name="_Toc7894"/>
      <w:r>
        <w:rPr>
          <w:rFonts w:hint="eastAsia" w:ascii="仿宋" w:hAnsi="仿宋" w:eastAsia="仿宋"/>
          <w:b/>
          <w:bCs w:val="0"/>
          <w:color w:val="auto"/>
          <w:sz w:val="24"/>
          <w:highlight w:val="none"/>
        </w:rPr>
        <w:t>1.8违约责任</w:t>
      </w:r>
      <w:bookmarkEnd w:id="586"/>
    </w:p>
    <w:p>
      <w:pPr>
        <w:spacing w:line="560" w:lineRule="exact"/>
        <w:ind w:firstLine="480" w:firstLineChars="200"/>
        <w:outlineLvl w:val="0"/>
        <w:rPr>
          <w:rFonts w:hint="eastAsia" w:ascii="仿宋" w:hAnsi="仿宋" w:eastAsia="仿宋"/>
          <w:b w:val="0"/>
          <w:bCs/>
          <w:color w:val="auto"/>
          <w:sz w:val="24"/>
          <w:highlight w:val="none"/>
        </w:rPr>
      </w:pPr>
      <w:bookmarkStart w:id="587" w:name="_Toc12394"/>
      <w:r>
        <w:rPr>
          <w:rFonts w:hint="eastAsia" w:ascii="仿宋" w:hAnsi="仿宋" w:eastAsia="仿宋"/>
          <w:b w:val="0"/>
          <w:bCs/>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b w:val="0"/>
          <w:bCs/>
          <w:color w:val="auto"/>
          <w:sz w:val="24"/>
          <w:highlight w:val="none"/>
          <w:u w:val="single"/>
        </w:rPr>
        <w:t xml:space="preserve">  0.05   </w:t>
      </w:r>
      <w:r>
        <w:rPr>
          <w:rFonts w:hint="eastAsia" w:ascii="仿宋" w:hAnsi="仿宋" w:eastAsia="仿宋"/>
          <w:b w:val="0"/>
          <w:bCs/>
          <w:color w:val="auto"/>
          <w:sz w:val="24"/>
          <w:highlight w:val="none"/>
        </w:rPr>
        <w:t>%计算，最高限额为本合同总价的</w:t>
      </w:r>
      <w:r>
        <w:rPr>
          <w:rFonts w:hint="eastAsia" w:ascii="仿宋" w:hAnsi="仿宋" w:eastAsia="仿宋"/>
          <w:b w:val="0"/>
          <w:bCs/>
          <w:color w:val="auto"/>
          <w:sz w:val="24"/>
          <w:highlight w:val="none"/>
          <w:u w:val="single"/>
        </w:rPr>
        <w:t xml:space="preserve"> 20   </w:t>
      </w:r>
      <w:r>
        <w:rPr>
          <w:rFonts w:hint="eastAsia" w:ascii="仿宋" w:hAnsi="仿宋" w:eastAsia="仿宋"/>
          <w:b w:val="0"/>
          <w:bCs/>
          <w:color w:val="auto"/>
          <w:sz w:val="24"/>
          <w:highlight w:val="none"/>
        </w:rPr>
        <w:t>%；迟延交付货物的违约金计算数额达到前述最高限额之日起，甲方有权在要求乙方支付违约金的同时，书面通知乙方解除本合同；</w:t>
      </w:r>
      <w:bookmarkEnd w:id="587"/>
    </w:p>
    <w:p>
      <w:pPr>
        <w:spacing w:line="560" w:lineRule="exact"/>
        <w:ind w:firstLine="480" w:firstLineChars="200"/>
        <w:outlineLvl w:val="0"/>
        <w:rPr>
          <w:rFonts w:hint="eastAsia" w:ascii="仿宋" w:hAnsi="仿宋" w:eastAsia="仿宋"/>
          <w:b w:val="0"/>
          <w:bCs/>
          <w:color w:val="auto"/>
          <w:sz w:val="24"/>
          <w:highlight w:val="none"/>
        </w:rPr>
      </w:pPr>
      <w:bookmarkStart w:id="588" w:name="_Toc9114"/>
      <w:r>
        <w:rPr>
          <w:rFonts w:hint="eastAsia" w:ascii="仿宋" w:hAnsi="仿宋" w:eastAsia="仿宋"/>
          <w:b w:val="0"/>
          <w:bCs/>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b w:val="0"/>
          <w:bCs/>
          <w:color w:val="auto"/>
          <w:sz w:val="24"/>
          <w:highlight w:val="none"/>
          <w:u w:val="single"/>
        </w:rPr>
        <w:t xml:space="preserve"> 0.05 %</w:t>
      </w:r>
      <w:r>
        <w:rPr>
          <w:rFonts w:hint="eastAsia" w:ascii="仿宋" w:hAnsi="仿宋" w:eastAsia="仿宋"/>
          <w:b w:val="0"/>
          <w:bCs/>
          <w:color w:val="auto"/>
          <w:sz w:val="24"/>
          <w:highlight w:val="none"/>
        </w:rPr>
        <w:t>计算，最高限额为本合同总价的</w:t>
      </w:r>
      <w:r>
        <w:rPr>
          <w:rFonts w:hint="eastAsia" w:ascii="仿宋" w:hAnsi="仿宋" w:eastAsia="仿宋"/>
          <w:b w:val="0"/>
          <w:bCs/>
          <w:color w:val="auto"/>
          <w:sz w:val="24"/>
          <w:highlight w:val="none"/>
          <w:u w:val="single"/>
        </w:rPr>
        <w:t xml:space="preserve">   20   </w:t>
      </w:r>
      <w:r>
        <w:rPr>
          <w:rFonts w:hint="eastAsia" w:ascii="仿宋" w:hAnsi="仿宋" w:eastAsia="仿宋"/>
          <w:b w:val="0"/>
          <w:bCs/>
          <w:color w:val="auto"/>
          <w:sz w:val="24"/>
          <w:highlight w:val="none"/>
        </w:rPr>
        <w:t>%；迟延付款的违约金计算数额达到前述最高限额之日起，乙方有权在要求甲方支付违约金的同时，书面通知甲方解除本合同；</w:t>
      </w:r>
      <w:bookmarkEnd w:id="588"/>
    </w:p>
    <w:p>
      <w:pPr>
        <w:spacing w:line="560" w:lineRule="exact"/>
        <w:ind w:firstLine="480" w:firstLineChars="200"/>
        <w:outlineLvl w:val="0"/>
        <w:rPr>
          <w:rFonts w:hint="eastAsia" w:ascii="仿宋" w:hAnsi="仿宋" w:eastAsia="仿宋"/>
          <w:b w:val="0"/>
          <w:bCs/>
          <w:color w:val="auto"/>
          <w:sz w:val="24"/>
          <w:highlight w:val="none"/>
        </w:rPr>
      </w:pPr>
      <w:bookmarkStart w:id="589" w:name="_Toc2609"/>
      <w:r>
        <w:rPr>
          <w:rFonts w:hint="eastAsia" w:ascii="仿宋" w:hAnsi="仿宋" w:eastAsia="仿宋"/>
          <w:b w:val="0"/>
          <w:bCs/>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589"/>
    </w:p>
    <w:p>
      <w:pPr>
        <w:spacing w:line="560" w:lineRule="exact"/>
        <w:ind w:firstLine="480" w:firstLineChars="200"/>
        <w:outlineLvl w:val="0"/>
        <w:rPr>
          <w:rFonts w:hint="eastAsia" w:ascii="仿宋" w:hAnsi="仿宋" w:eastAsia="仿宋"/>
          <w:b w:val="0"/>
          <w:bCs/>
          <w:color w:val="auto"/>
          <w:sz w:val="24"/>
          <w:highlight w:val="none"/>
        </w:rPr>
      </w:pPr>
      <w:bookmarkStart w:id="590" w:name="_Toc11812"/>
      <w:r>
        <w:rPr>
          <w:rFonts w:hint="eastAsia" w:ascii="仿宋" w:hAnsi="仿宋" w:eastAsia="仿宋"/>
          <w:b w:val="0"/>
          <w:bCs/>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bookmarkEnd w:id="590"/>
    </w:p>
    <w:p>
      <w:pPr>
        <w:spacing w:line="560" w:lineRule="exact"/>
        <w:ind w:firstLine="480" w:firstLineChars="200"/>
        <w:outlineLvl w:val="0"/>
        <w:rPr>
          <w:rFonts w:hint="eastAsia" w:ascii="仿宋" w:hAnsi="仿宋" w:eastAsia="仿宋"/>
          <w:b w:val="0"/>
          <w:bCs/>
          <w:color w:val="auto"/>
          <w:sz w:val="24"/>
          <w:highlight w:val="none"/>
        </w:rPr>
      </w:pPr>
      <w:bookmarkStart w:id="591" w:name="_Toc12951"/>
      <w:r>
        <w:rPr>
          <w:rFonts w:hint="eastAsia" w:ascii="仿宋" w:hAnsi="仿宋" w:eastAsia="仿宋"/>
          <w:b w:val="0"/>
          <w:bCs/>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bookmarkEnd w:id="591"/>
    </w:p>
    <w:p>
      <w:pPr>
        <w:spacing w:line="560" w:lineRule="exact"/>
        <w:ind w:firstLine="480" w:firstLineChars="200"/>
        <w:outlineLvl w:val="0"/>
        <w:rPr>
          <w:rFonts w:hint="eastAsia" w:ascii="仿宋" w:hAnsi="仿宋" w:eastAsia="仿宋"/>
          <w:b w:val="0"/>
          <w:bCs/>
          <w:color w:val="auto"/>
          <w:sz w:val="24"/>
          <w:highlight w:val="none"/>
        </w:rPr>
      </w:pPr>
      <w:bookmarkStart w:id="592" w:name="_Toc11788"/>
      <w:r>
        <w:rPr>
          <w:rFonts w:hint="eastAsia" w:ascii="仿宋" w:hAnsi="仿宋" w:eastAsia="仿宋"/>
          <w:b w:val="0"/>
          <w:bCs/>
          <w:color w:val="auto"/>
          <w:sz w:val="24"/>
          <w:highlight w:val="none"/>
        </w:rPr>
        <w:t>1.8.6违约责任</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另有约定的，从其约定。</w:t>
      </w:r>
      <w:bookmarkEnd w:id="592"/>
    </w:p>
    <w:p>
      <w:pPr>
        <w:spacing w:line="560" w:lineRule="exact"/>
        <w:ind w:firstLine="482" w:firstLineChars="200"/>
        <w:outlineLvl w:val="0"/>
        <w:rPr>
          <w:rFonts w:hint="eastAsia" w:ascii="仿宋" w:hAnsi="仿宋" w:eastAsia="仿宋"/>
          <w:b/>
          <w:bCs w:val="0"/>
          <w:color w:val="auto"/>
          <w:sz w:val="24"/>
          <w:highlight w:val="none"/>
        </w:rPr>
      </w:pPr>
      <w:bookmarkStart w:id="593" w:name="_Toc21549"/>
      <w:r>
        <w:rPr>
          <w:rFonts w:hint="eastAsia" w:ascii="仿宋" w:hAnsi="仿宋" w:eastAsia="仿宋"/>
          <w:b/>
          <w:bCs w:val="0"/>
          <w:color w:val="auto"/>
          <w:sz w:val="24"/>
          <w:highlight w:val="none"/>
        </w:rPr>
        <w:t>1.9合同争议的解决</w:t>
      </w:r>
      <w:bookmarkEnd w:id="593"/>
    </w:p>
    <w:p>
      <w:pPr>
        <w:spacing w:line="560" w:lineRule="exact"/>
        <w:ind w:firstLine="480" w:firstLineChars="200"/>
        <w:outlineLvl w:val="0"/>
        <w:rPr>
          <w:rFonts w:hint="eastAsia" w:ascii="仿宋" w:hAnsi="仿宋" w:eastAsia="仿宋"/>
          <w:b w:val="0"/>
          <w:bCs/>
          <w:color w:val="auto"/>
          <w:sz w:val="24"/>
          <w:highlight w:val="none"/>
        </w:rPr>
      </w:pPr>
      <w:r>
        <w:rPr>
          <w:rFonts w:hint="eastAsia" w:ascii="仿宋" w:hAnsi="仿宋" w:eastAsia="仿宋"/>
          <w:b w:val="0"/>
          <w:bCs/>
          <w:color w:val="auto"/>
          <w:sz w:val="24"/>
          <w:highlight w:val="none"/>
        </w:rPr>
        <w:t xml:space="preserve">  </w:t>
      </w:r>
      <w:bookmarkStart w:id="594" w:name="_Toc16251"/>
      <w:r>
        <w:rPr>
          <w:rFonts w:hint="eastAsia" w:ascii="仿宋" w:hAnsi="仿宋" w:eastAsia="仿宋"/>
          <w:b w:val="0"/>
          <w:bCs/>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条款规定的方式解决：</w:t>
      </w:r>
      <w:bookmarkEnd w:id="594"/>
    </w:p>
    <w:p>
      <w:pPr>
        <w:spacing w:line="560" w:lineRule="exact"/>
        <w:ind w:firstLine="480" w:firstLineChars="200"/>
        <w:outlineLvl w:val="0"/>
        <w:rPr>
          <w:rFonts w:hint="eastAsia" w:ascii="仿宋" w:hAnsi="仿宋" w:eastAsia="仿宋"/>
          <w:b w:val="0"/>
          <w:bCs/>
          <w:color w:val="auto"/>
          <w:sz w:val="24"/>
          <w:highlight w:val="none"/>
        </w:rPr>
      </w:pPr>
      <w:bookmarkStart w:id="595" w:name="_Toc12017"/>
      <w:r>
        <w:rPr>
          <w:rFonts w:hint="eastAsia" w:ascii="仿宋" w:hAnsi="仿宋" w:eastAsia="仿宋"/>
          <w:b w:val="0"/>
          <w:bCs/>
          <w:color w:val="auto"/>
          <w:sz w:val="24"/>
          <w:highlight w:val="none"/>
        </w:rPr>
        <w:t>1.9.1 将争议提交</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仲裁委员会依申请仲裁时其现行有效的仲裁规则裁决；</w:t>
      </w:r>
      <w:bookmarkEnd w:id="595"/>
    </w:p>
    <w:p>
      <w:pPr>
        <w:spacing w:line="560" w:lineRule="exact"/>
        <w:ind w:firstLine="480" w:firstLineChars="200"/>
        <w:outlineLvl w:val="0"/>
        <w:rPr>
          <w:rFonts w:hint="eastAsia" w:ascii="仿宋" w:hAnsi="仿宋" w:eastAsia="仿宋"/>
          <w:b w:val="0"/>
          <w:bCs/>
          <w:color w:val="auto"/>
          <w:sz w:val="24"/>
          <w:highlight w:val="none"/>
        </w:rPr>
      </w:pPr>
      <w:bookmarkStart w:id="596" w:name="_Toc11550"/>
      <w:r>
        <w:rPr>
          <w:rFonts w:hint="eastAsia" w:ascii="仿宋" w:hAnsi="仿宋" w:eastAsia="仿宋"/>
          <w:b w:val="0"/>
          <w:bCs/>
          <w:color w:val="auto"/>
          <w:sz w:val="24"/>
          <w:highlight w:val="none"/>
        </w:rPr>
        <w:t>1.9.2 向</w:t>
      </w:r>
      <w:r>
        <w:rPr>
          <w:rFonts w:hint="eastAsia" w:ascii="仿宋" w:hAnsi="仿宋" w:eastAsia="仿宋"/>
          <w:b/>
          <w:bCs w:val="0"/>
          <w:color w:val="auto"/>
          <w:sz w:val="24"/>
          <w:highlight w:val="none"/>
          <w:u w:val="single"/>
        </w:rPr>
        <w:t>合同专用条款</w:t>
      </w:r>
      <w:r>
        <w:rPr>
          <w:rFonts w:hint="eastAsia" w:ascii="仿宋" w:hAnsi="仿宋" w:eastAsia="仿宋"/>
          <w:b w:val="0"/>
          <w:bCs/>
          <w:color w:val="auto"/>
          <w:sz w:val="24"/>
          <w:highlight w:val="none"/>
        </w:rPr>
        <w:t>人民法院起诉。</w:t>
      </w:r>
      <w:bookmarkEnd w:id="596"/>
    </w:p>
    <w:p>
      <w:pPr>
        <w:spacing w:line="560" w:lineRule="exact"/>
        <w:ind w:firstLine="482" w:firstLineChars="200"/>
        <w:outlineLvl w:val="0"/>
        <w:rPr>
          <w:rFonts w:hint="eastAsia" w:ascii="仿宋" w:hAnsi="仿宋" w:eastAsia="仿宋"/>
          <w:b/>
          <w:bCs w:val="0"/>
          <w:color w:val="auto"/>
          <w:sz w:val="24"/>
          <w:highlight w:val="none"/>
        </w:rPr>
      </w:pPr>
      <w:bookmarkStart w:id="597" w:name="_Toc27355"/>
      <w:r>
        <w:rPr>
          <w:rFonts w:hint="eastAsia" w:ascii="仿宋" w:hAnsi="仿宋" w:eastAsia="仿宋"/>
          <w:b/>
          <w:bCs w:val="0"/>
          <w:color w:val="auto"/>
          <w:sz w:val="24"/>
          <w:highlight w:val="none"/>
        </w:rPr>
        <w:t>2.0 合同生效</w:t>
      </w:r>
      <w:bookmarkEnd w:id="597"/>
    </w:p>
    <w:p>
      <w:pPr>
        <w:spacing w:line="560" w:lineRule="exact"/>
        <w:ind w:firstLine="480" w:firstLineChars="200"/>
        <w:outlineLvl w:val="0"/>
        <w:rPr>
          <w:rFonts w:hint="eastAsia" w:ascii="仿宋" w:hAnsi="仿宋" w:eastAsia="仿宋"/>
          <w:b w:val="0"/>
          <w:bCs/>
          <w:color w:val="auto"/>
          <w:sz w:val="24"/>
          <w:highlight w:val="none"/>
        </w:rPr>
      </w:pPr>
      <w:bookmarkStart w:id="598" w:name="_Toc28423"/>
      <w:r>
        <w:rPr>
          <w:rFonts w:hint="eastAsia" w:ascii="仿宋" w:hAnsi="仿宋" w:eastAsia="仿宋"/>
          <w:b w:val="0"/>
          <w:bCs/>
          <w:color w:val="auto"/>
          <w:sz w:val="24"/>
          <w:highlight w:val="none"/>
        </w:rPr>
        <w:t>本合同自双方当事人盖章签字时生效。</w:t>
      </w:r>
      <w:bookmarkEnd w:id="598"/>
    </w:p>
    <w:p>
      <w:pPr>
        <w:spacing w:line="560" w:lineRule="exact"/>
        <w:ind w:firstLine="480" w:firstLineChars="200"/>
        <w:outlineLvl w:val="0"/>
        <w:rPr>
          <w:rFonts w:hint="eastAsia" w:ascii="仿宋" w:hAnsi="仿宋" w:eastAsia="仿宋"/>
          <w:b w:val="0"/>
          <w:bCs/>
          <w:color w:val="auto"/>
          <w:sz w:val="24"/>
          <w:highlight w:val="none"/>
        </w:rPr>
      </w:pPr>
    </w:p>
    <w:p>
      <w:pPr>
        <w:spacing w:line="560" w:lineRule="exact"/>
        <w:ind w:firstLine="482" w:firstLineChars="200"/>
        <w:outlineLvl w:val="0"/>
        <w:rPr>
          <w:rFonts w:hint="eastAsia" w:ascii="仿宋" w:hAnsi="仿宋" w:eastAsia="仿宋"/>
          <w:b w:val="0"/>
          <w:bCs/>
          <w:color w:val="auto"/>
          <w:sz w:val="24"/>
          <w:highlight w:val="none"/>
        </w:rPr>
      </w:pPr>
      <w:bookmarkStart w:id="599" w:name="_Toc14277"/>
      <w:r>
        <w:rPr>
          <w:rFonts w:hint="eastAsia" w:ascii="仿宋" w:hAnsi="仿宋" w:eastAsia="仿宋"/>
          <w:b/>
          <w:bCs w:val="0"/>
          <w:color w:val="auto"/>
          <w:sz w:val="24"/>
          <w:highlight w:val="none"/>
        </w:rPr>
        <w:t>甲方：</w:t>
      </w:r>
      <w:r>
        <w:rPr>
          <w:rFonts w:hint="eastAsia" w:ascii="仿宋" w:hAnsi="仿宋" w:eastAsia="仿宋"/>
          <w:b w:val="0"/>
          <w:bCs/>
          <w:color w:val="auto"/>
          <w:sz w:val="24"/>
          <w:highlight w:val="none"/>
        </w:rPr>
        <w:t xml:space="preserve">                                   </w:t>
      </w:r>
      <w:r>
        <w:rPr>
          <w:rFonts w:hint="eastAsia" w:ascii="仿宋" w:hAnsi="仿宋" w:eastAsia="仿宋"/>
          <w:b/>
          <w:bCs w:val="0"/>
          <w:color w:val="auto"/>
          <w:sz w:val="24"/>
          <w:highlight w:val="none"/>
        </w:rPr>
        <w:t>乙方：</w:t>
      </w:r>
      <w:bookmarkEnd w:id="599"/>
    </w:p>
    <w:p>
      <w:pPr>
        <w:spacing w:line="560" w:lineRule="exact"/>
        <w:ind w:firstLine="480" w:firstLineChars="200"/>
        <w:outlineLvl w:val="0"/>
        <w:rPr>
          <w:rFonts w:hint="eastAsia" w:ascii="仿宋" w:hAnsi="仿宋" w:eastAsia="仿宋"/>
          <w:b w:val="0"/>
          <w:bCs/>
          <w:color w:val="auto"/>
          <w:sz w:val="24"/>
          <w:highlight w:val="none"/>
        </w:rPr>
      </w:pPr>
      <w:bookmarkStart w:id="600" w:name="_Toc30070"/>
      <w:r>
        <w:rPr>
          <w:rFonts w:hint="eastAsia" w:ascii="仿宋" w:hAnsi="仿宋" w:eastAsia="仿宋"/>
          <w:b w:val="0"/>
          <w:bCs/>
          <w:color w:val="auto"/>
          <w:sz w:val="24"/>
          <w:highlight w:val="none"/>
        </w:rPr>
        <w:t>统一社会信用代码：                        统一社会信用代码或身份证号码：</w:t>
      </w:r>
      <w:bookmarkEnd w:id="600"/>
    </w:p>
    <w:p>
      <w:pPr>
        <w:spacing w:line="560" w:lineRule="exact"/>
        <w:ind w:firstLine="480" w:firstLineChars="200"/>
        <w:outlineLvl w:val="0"/>
        <w:rPr>
          <w:rFonts w:hint="eastAsia" w:ascii="仿宋" w:hAnsi="仿宋" w:eastAsia="仿宋"/>
          <w:b w:val="0"/>
          <w:bCs/>
          <w:color w:val="auto"/>
          <w:sz w:val="24"/>
          <w:highlight w:val="none"/>
        </w:rPr>
      </w:pPr>
    </w:p>
    <w:p>
      <w:pPr>
        <w:spacing w:line="560" w:lineRule="exact"/>
        <w:ind w:firstLine="480" w:firstLineChars="200"/>
        <w:outlineLvl w:val="0"/>
        <w:rPr>
          <w:rFonts w:hint="eastAsia" w:ascii="仿宋" w:hAnsi="仿宋" w:eastAsia="仿宋"/>
          <w:b w:val="0"/>
          <w:bCs/>
          <w:color w:val="auto"/>
          <w:sz w:val="24"/>
          <w:highlight w:val="none"/>
        </w:rPr>
      </w:pPr>
      <w:bookmarkStart w:id="601" w:name="_Toc28055"/>
      <w:r>
        <w:rPr>
          <w:rFonts w:hint="eastAsia" w:ascii="仿宋" w:hAnsi="仿宋" w:eastAsia="仿宋"/>
          <w:b w:val="0"/>
          <w:bCs/>
          <w:color w:val="auto"/>
          <w:sz w:val="24"/>
          <w:highlight w:val="none"/>
        </w:rPr>
        <w:t>住所：                                   住所：</w:t>
      </w:r>
      <w:bookmarkEnd w:id="601"/>
    </w:p>
    <w:p>
      <w:pPr>
        <w:spacing w:line="560" w:lineRule="exact"/>
        <w:ind w:firstLine="480" w:firstLineChars="200"/>
        <w:outlineLvl w:val="0"/>
        <w:rPr>
          <w:rFonts w:hint="eastAsia" w:ascii="仿宋" w:hAnsi="仿宋" w:eastAsia="仿宋"/>
          <w:b w:val="0"/>
          <w:bCs/>
          <w:color w:val="auto"/>
          <w:sz w:val="24"/>
          <w:highlight w:val="none"/>
        </w:rPr>
      </w:pPr>
      <w:bookmarkStart w:id="602" w:name="_Toc18121"/>
      <w:r>
        <w:rPr>
          <w:rFonts w:hint="eastAsia" w:ascii="仿宋" w:hAnsi="仿宋" w:eastAsia="仿宋"/>
          <w:b w:val="0"/>
          <w:bCs/>
          <w:color w:val="auto"/>
          <w:sz w:val="24"/>
          <w:highlight w:val="none"/>
        </w:rPr>
        <w:t>法定代表人或                             法定代表人</w:t>
      </w:r>
      <w:bookmarkEnd w:id="602"/>
    </w:p>
    <w:p>
      <w:pPr>
        <w:spacing w:line="560" w:lineRule="exact"/>
        <w:ind w:firstLine="480" w:firstLineChars="200"/>
        <w:outlineLvl w:val="0"/>
        <w:rPr>
          <w:rFonts w:hint="eastAsia" w:ascii="仿宋" w:hAnsi="仿宋" w:eastAsia="仿宋"/>
          <w:b w:val="0"/>
          <w:bCs/>
          <w:color w:val="auto"/>
          <w:sz w:val="24"/>
          <w:highlight w:val="none"/>
        </w:rPr>
      </w:pPr>
      <w:bookmarkStart w:id="603" w:name="_Toc14052"/>
      <w:r>
        <w:rPr>
          <w:rFonts w:hint="eastAsia" w:ascii="仿宋" w:hAnsi="仿宋" w:eastAsia="仿宋"/>
          <w:b w:val="0"/>
          <w:bCs/>
          <w:color w:val="auto"/>
          <w:sz w:val="24"/>
          <w:highlight w:val="none"/>
        </w:rPr>
        <w:t>授权代表（签字）：                        或授权代表（签字）:</w:t>
      </w:r>
      <w:bookmarkEnd w:id="603"/>
      <w:r>
        <w:rPr>
          <w:rFonts w:hint="eastAsia" w:ascii="仿宋" w:hAnsi="仿宋" w:eastAsia="仿宋"/>
          <w:b w:val="0"/>
          <w:bCs/>
          <w:color w:val="auto"/>
          <w:sz w:val="24"/>
          <w:highlight w:val="none"/>
        </w:rPr>
        <w:t xml:space="preserve"> </w:t>
      </w:r>
    </w:p>
    <w:p>
      <w:pPr>
        <w:spacing w:line="560" w:lineRule="exact"/>
        <w:ind w:firstLine="480" w:firstLineChars="200"/>
        <w:outlineLvl w:val="0"/>
        <w:rPr>
          <w:rFonts w:hint="eastAsia" w:ascii="仿宋" w:hAnsi="仿宋" w:eastAsia="仿宋"/>
          <w:b w:val="0"/>
          <w:bCs/>
          <w:color w:val="auto"/>
          <w:sz w:val="24"/>
          <w:highlight w:val="none"/>
        </w:rPr>
      </w:pPr>
      <w:bookmarkStart w:id="604" w:name="_Toc29234"/>
      <w:r>
        <w:rPr>
          <w:rFonts w:hint="eastAsia" w:ascii="仿宋" w:hAnsi="仿宋" w:eastAsia="仿宋"/>
          <w:b w:val="0"/>
          <w:bCs/>
          <w:color w:val="auto"/>
          <w:sz w:val="24"/>
          <w:highlight w:val="none"/>
        </w:rPr>
        <w:t>联系人：                                 联系人：</w:t>
      </w:r>
      <w:bookmarkEnd w:id="604"/>
    </w:p>
    <w:p>
      <w:pPr>
        <w:spacing w:line="560" w:lineRule="exact"/>
        <w:ind w:firstLine="480" w:firstLineChars="200"/>
        <w:outlineLvl w:val="0"/>
        <w:rPr>
          <w:rFonts w:hint="eastAsia" w:ascii="仿宋" w:hAnsi="仿宋" w:eastAsia="仿宋"/>
          <w:b w:val="0"/>
          <w:bCs/>
          <w:color w:val="auto"/>
          <w:sz w:val="24"/>
          <w:highlight w:val="none"/>
        </w:rPr>
      </w:pPr>
      <w:bookmarkStart w:id="605" w:name="_Toc24920"/>
      <w:r>
        <w:rPr>
          <w:rFonts w:hint="eastAsia" w:ascii="仿宋" w:hAnsi="仿宋" w:eastAsia="仿宋"/>
          <w:b w:val="0"/>
          <w:bCs/>
          <w:color w:val="auto"/>
          <w:sz w:val="24"/>
          <w:highlight w:val="none"/>
        </w:rPr>
        <w:t>约定送达地址：                           约定送达地址：</w:t>
      </w:r>
      <w:bookmarkEnd w:id="605"/>
    </w:p>
    <w:p>
      <w:pPr>
        <w:spacing w:line="560" w:lineRule="exact"/>
        <w:ind w:firstLine="480" w:firstLineChars="200"/>
        <w:outlineLvl w:val="0"/>
        <w:rPr>
          <w:rFonts w:hint="eastAsia" w:ascii="仿宋" w:hAnsi="仿宋" w:eastAsia="仿宋"/>
          <w:b w:val="0"/>
          <w:bCs/>
          <w:color w:val="auto"/>
          <w:sz w:val="24"/>
          <w:highlight w:val="none"/>
        </w:rPr>
      </w:pPr>
      <w:bookmarkStart w:id="606" w:name="_Toc9446"/>
      <w:r>
        <w:rPr>
          <w:rFonts w:hint="eastAsia" w:ascii="仿宋" w:hAnsi="仿宋" w:eastAsia="仿宋"/>
          <w:b w:val="0"/>
          <w:bCs/>
          <w:color w:val="auto"/>
          <w:sz w:val="24"/>
          <w:highlight w:val="none"/>
        </w:rPr>
        <w:t>邮政编码：                               邮政编码：</w:t>
      </w:r>
      <w:bookmarkEnd w:id="606"/>
    </w:p>
    <w:p>
      <w:pPr>
        <w:spacing w:line="560" w:lineRule="exact"/>
        <w:ind w:firstLine="480" w:firstLineChars="200"/>
        <w:outlineLvl w:val="0"/>
        <w:rPr>
          <w:rFonts w:hint="eastAsia" w:ascii="仿宋" w:hAnsi="仿宋" w:eastAsia="仿宋"/>
          <w:b w:val="0"/>
          <w:bCs/>
          <w:color w:val="auto"/>
          <w:sz w:val="24"/>
          <w:highlight w:val="none"/>
        </w:rPr>
      </w:pPr>
      <w:bookmarkStart w:id="607" w:name="_Toc2726"/>
      <w:r>
        <w:rPr>
          <w:rFonts w:hint="eastAsia" w:ascii="仿宋" w:hAnsi="仿宋" w:eastAsia="仿宋"/>
          <w:b w:val="0"/>
          <w:bCs/>
          <w:color w:val="auto"/>
          <w:sz w:val="24"/>
          <w:highlight w:val="none"/>
        </w:rPr>
        <w:t>电话:                                    电话:</w:t>
      </w:r>
      <w:bookmarkEnd w:id="607"/>
      <w:r>
        <w:rPr>
          <w:rFonts w:hint="eastAsia" w:ascii="仿宋" w:hAnsi="仿宋" w:eastAsia="仿宋"/>
          <w:b w:val="0"/>
          <w:bCs/>
          <w:color w:val="auto"/>
          <w:sz w:val="24"/>
          <w:highlight w:val="none"/>
        </w:rPr>
        <w:t xml:space="preserve"> </w:t>
      </w:r>
    </w:p>
    <w:p>
      <w:pPr>
        <w:spacing w:line="560" w:lineRule="exact"/>
        <w:ind w:firstLine="480" w:firstLineChars="200"/>
        <w:outlineLvl w:val="0"/>
        <w:rPr>
          <w:rFonts w:hint="eastAsia" w:ascii="仿宋" w:hAnsi="仿宋" w:eastAsia="仿宋"/>
          <w:b w:val="0"/>
          <w:bCs/>
          <w:color w:val="auto"/>
          <w:sz w:val="24"/>
          <w:highlight w:val="none"/>
        </w:rPr>
      </w:pPr>
      <w:bookmarkStart w:id="608" w:name="_Toc24025"/>
      <w:r>
        <w:rPr>
          <w:rFonts w:hint="eastAsia" w:ascii="仿宋" w:hAnsi="仿宋" w:eastAsia="仿宋"/>
          <w:b w:val="0"/>
          <w:bCs/>
          <w:color w:val="auto"/>
          <w:sz w:val="24"/>
          <w:highlight w:val="none"/>
        </w:rPr>
        <w:t>传真:                                    传真:</w:t>
      </w:r>
      <w:bookmarkEnd w:id="608"/>
    </w:p>
    <w:p>
      <w:pPr>
        <w:spacing w:line="560" w:lineRule="exact"/>
        <w:ind w:firstLine="480" w:firstLineChars="200"/>
        <w:outlineLvl w:val="0"/>
        <w:rPr>
          <w:rFonts w:hint="eastAsia" w:ascii="仿宋" w:hAnsi="仿宋" w:eastAsia="仿宋"/>
          <w:b w:val="0"/>
          <w:bCs/>
          <w:color w:val="auto"/>
          <w:sz w:val="24"/>
          <w:highlight w:val="none"/>
        </w:rPr>
      </w:pPr>
      <w:bookmarkStart w:id="609" w:name="_Toc21976"/>
      <w:r>
        <w:rPr>
          <w:rFonts w:hint="eastAsia" w:ascii="仿宋" w:hAnsi="仿宋" w:eastAsia="仿宋"/>
          <w:b w:val="0"/>
          <w:bCs/>
          <w:color w:val="auto"/>
          <w:sz w:val="24"/>
          <w:highlight w:val="none"/>
        </w:rPr>
        <w:t>电子邮箱：                               电子邮箱：</w:t>
      </w:r>
      <w:bookmarkEnd w:id="609"/>
    </w:p>
    <w:p>
      <w:pPr>
        <w:spacing w:line="560" w:lineRule="exact"/>
        <w:ind w:firstLine="480" w:firstLineChars="200"/>
        <w:outlineLvl w:val="0"/>
        <w:rPr>
          <w:rFonts w:hint="eastAsia" w:ascii="仿宋" w:hAnsi="仿宋" w:eastAsia="仿宋"/>
          <w:b w:val="0"/>
          <w:bCs/>
          <w:color w:val="auto"/>
          <w:sz w:val="24"/>
          <w:highlight w:val="none"/>
        </w:rPr>
      </w:pPr>
      <w:bookmarkStart w:id="610" w:name="_Toc23621"/>
      <w:r>
        <w:rPr>
          <w:rFonts w:hint="eastAsia" w:ascii="仿宋" w:hAnsi="仿宋" w:eastAsia="仿宋"/>
          <w:b w:val="0"/>
          <w:bCs/>
          <w:color w:val="auto"/>
          <w:sz w:val="24"/>
          <w:highlight w:val="none"/>
        </w:rPr>
        <w:t>开户银行：                               开户银行：</w:t>
      </w:r>
      <w:bookmarkEnd w:id="610"/>
      <w:r>
        <w:rPr>
          <w:rFonts w:hint="eastAsia" w:ascii="仿宋" w:hAnsi="仿宋" w:eastAsia="仿宋"/>
          <w:b w:val="0"/>
          <w:bCs/>
          <w:color w:val="auto"/>
          <w:sz w:val="24"/>
          <w:highlight w:val="none"/>
        </w:rPr>
        <w:t xml:space="preserve"> </w:t>
      </w:r>
    </w:p>
    <w:p>
      <w:pPr>
        <w:spacing w:line="560" w:lineRule="exact"/>
        <w:ind w:firstLine="480" w:firstLineChars="200"/>
        <w:outlineLvl w:val="0"/>
        <w:rPr>
          <w:rFonts w:hint="eastAsia" w:ascii="仿宋" w:hAnsi="仿宋" w:eastAsia="仿宋"/>
          <w:b w:val="0"/>
          <w:bCs/>
          <w:color w:val="auto"/>
          <w:sz w:val="24"/>
          <w:highlight w:val="none"/>
        </w:rPr>
      </w:pPr>
      <w:bookmarkStart w:id="611" w:name="_Toc29743"/>
      <w:r>
        <w:rPr>
          <w:rFonts w:hint="eastAsia" w:ascii="仿宋" w:hAnsi="仿宋" w:eastAsia="仿宋"/>
          <w:b w:val="0"/>
          <w:bCs/>
          <w:color w:val="auto"/>
          <w:sz w:val="24"/>
          <w:highlight w:val="none"/>
        </w:rPr>
        <w:t>开户名称：                               开户名称：</w:t>
      </w:r>
      <w:bookmarkEnd w:id="611"/>
      <w:r>
        <w:rPr>
          <w:rFonts w:hint="eastAsia" w:ascii="仿宋" w:hAnsi="仿宋" w:eastAsia="仿宋"/>
          <w:b w:val="0"/>
          <w:bCs/>
          <w:color w:val="auto"/>
          <w:sz w:val="24"/>
          <w:highlight w:val="none"/>
        </w:rPr>
        <w:t xml:space="preserve"> </w:t>
      </w:r>
    </w:p>
    <w:p>
      <w:pPr>
        <w:spacing w:line="560" w:lineRule="exact"/>
        <w:ind w:firstLine="480" w:firstLineChars="200"/>
        <w:outlineLvl w:val="0"/>
        <w:rPr>
          <w:rFonts w:hint="eastAsia" w:ascii="仿宋" w:hAnsi="仿宋" w:eastAsia="仿宋"/>
          <w:b w:val="0"/>
          <w:bCs/>
          <w:color w:val="auto"/>
          <w:sz w:val="24"/>
          <w:highlight w:val="none"/>
        </w:rPr>
      </w:pPr>
      <w:bookmarkStart w:id="612" w:name="_Toc1937"/>
      <w:r>
        <w:rPr>
          <w:rFonts w:hint="eastAsia" w:ascii="仿宋" w:hAnsi="仿宋" w:eastAsia="仿宋"/>
          <w:b w:val="0"/>
          <w:bCs/>
          <w:color w:val="auto"/>
          <w:sz w:val="24"/>
          <w:highlight w:val="none"/>
        </w:rPr>
        <w:t>开户账号：                               开户账号：</w:t>
      </w:r>
      <w:bookmarkEnd w:id="612"/>
    </w:p>
    <w:bookmarkEnd w:id="566"/>
    <w:bookmarkEnd w:id="567"/>
    <w:bookmarkEnd w:id="568"/>
    <w:p>
      <w:pPr>
        <w:widowControl/>
        <w:spacing w:line="560" w:lineRule="exact"/>
        <w:jc w:val="left"/>
        <w:rPr>
          <w:rFonts w:ascii="仿宋" w:hAnsi="仿宋" w:eastAsia="仿宋"/>
          <w:b/>
          <w:color w:val="auto"/>
          <w:sz w:val="24"/>
          <w:highlight w:val="none"/>
        </w:rPr>
      </w:pPr>
      <w:bookmarkStart w:id="613" w:name="_Toc331685783"/>
    </w:p>
    <w:p>
      <w:pPr>
        <w:rPr>
          <w:rFonts w:ascii="仿宋" w:hAnsi="仿宋" w:eastAsia="仿宋"/>
          <w:b/>
          <w:color w:val="auto"/>
          <w:sz w:val="24"/>
          <w:highlight w:val="none"/>
        </w:rPr>
      </w:pPr>
    </w:p>
    <w:p>
      <w:pPr>
        <w:pStyle w:val="12"/>
        <w:rPr>
          <w:rFonts w:ascii="仿宋" w:hAnsi="仿宋" w:eastAsia="仿宋"/>
          <w:b/>
          <w:color w:val="auto"/>
          <w:sz w:val="24"/>
          <w:highlight w:val="none"/>
        </w:rPr>
      </w:pPr>
    </w:p>
    <w:p>
      <w:pPr>
        <w:rPr>
          <w:color w:val="auto"/>
          <w:highlight w:val="none"/>
        </w:rPr>
      </w:pPr>
    </w:p>
    <w:p>
      <w:pPr>
        <w:pStyle w:val="152"/>
        <w:spacing w:line="560" w:lineRule="exact"/>
        <w:ind w:left="0" w:leftChars="0" w:firstLine="0" w:firstLineChars="0"/>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br w:type="page"/>
      </w:r>
      <w:r>
        <w:rPr>
          <w:rFonts w:hint="eastAsia" w:ascii="仿宋" w:hAnsi="仿宋" w:eastAsia="仿宋"/>
          <w:b/>
          <w:color w:val="auto"/>
          <w:sz w:val="28"/>
          <w:szCs w:val="28"/>
          <w:highlight w:val="none"/>
        </w:rPr>
        <w:t>第二部分</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合同一般条款</w:t>
      </w:r>
      <w:bookmarkEnd w:id="613"/>
    </w:p>
    <w:p>
      <w:pPr>
        <w:spacing w:line="560" w:lineRule="exact"/>
        <w:ind w:firstLine="482" w:firstLineChars="200"/>
        <w:outlineLvl w:val="0"/>
        <w:rPr>
          <w:rFonts w:ascii="仿宋" w:hAnsi="仿宋" w:eastAsia="仿宋"/>
          <w:b/>
          <w:color w:val="auto"/>
          <w:sz w:val="24"/>
          <w:highlight w:val="none"/>
        </w:rPr>
      </w:pPr>
      <w:bookmarkStart w:id="614" w:name="_Toc26102"/>
      <w:bookmarkStart w:id="615" w:name="_Ref467379109"/>
      <w:bookmarkStart w:id="616" w:name="_Ref467378499"/>
      <w:bookmarkStart w:id="617" w:name="_Ref467378463"/>
      <w:bookmarkStart w:id="618" w:name="_Toc487900349"/>
      <w:bookmarkStart w:id="619" w:name="_Ref467379214"/>
      <w:bookmarkStart w:id="620" w:name="_Toc279701240"/>
      <w:bookmarkStart w:id="621" w:name="_Toc28763"/>
      <w:bookmarkStart w:id="622" w:name="_Toc16917"/>
      <w:bookmarkStart w:id="623" w:name="_Ref467379094"/>
      <w:bookmarkStart w:id="624" w:name="_Ref467379101"/>
      <w:bookmarkStart w:id="625" w:name="_Toc19614"/>
      <w:bookmarkStart w:id="626" w:name="_Ref467379195"/>
      <w:bookmarkStart w:id="627" w:name="_Ref467378404"/>
      <w:bookmarkStart w:id="628" w:name="_Toc259093669"/>
      <w:bookmarkStart w:id="629" w:name="_Ref467379225"/>
      <w:bookmarkStart w:id="630" w:name="_Ref467379205"/>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highlight w:val="none"/>
        </w:rPr>
      </w:pPr>
      <w:bookmarkStart w:id="631"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631"/>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632"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632"/>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633"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633"/>
    </w:p>
    <w:p>
      <w:pPr>
        <w:spacing w:line="560" w:lineRule="exact"/>
        <w:ind w:firstLine="482" w:firstLineChars="200"/>
        <w:outlineLvl w:val="0"/>
        <w:rPr>
          <w:rFonts w:ascii="仿宋" w:hAnsi="仿宋" w:eastAsia="仿宋"/>
          <w:b/>
          <w:color w:val="auto"/>
          <w:sz w:val="24"/>
          <w:highlight w:val="none"/>
        </w:rPr>
      </w:pPr>
      <w:bookmarkStart w:id="634" w:name="_Toc27635"/>
      <w:bookmarkStart w:id="635" w:name="_Toc17240"/>
      <w:bookmarkStart w:id="636" w:name="_Toc279701241"/>
      <w:bookmarkStart w:id="637" w:name="_Toc259093670"/>
      <w:bookmarkStart w:id="638" w:name="_Toc32504"/>
      <w:bookmarkStart w:id="639" w:name="_Toc13336"/>
      <w:bookmarkStart w:id="640" w:name="_Toc48790035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634"/>
      <w:bookmarkEnd w:id="635"/>
      <w:bookmarkEnd w:id="636"/>
      <w:bookmarkEnd w:id="637"/>
      <w:bookmarkEnd w:id="638"/>
      <w:bookmarkEnd w:id="639"/>
      <w:bookmarkEnd w:id="640"/>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highlight w:val="none"/>
        </w:rPr>
      </w:pPr>
      <w:bookmarkStart w:id="641" w:name="_Toc27853"/>
      <w:bookmarkStart w:id="642" w:name="_Toc31634"/>
      <w:bookmarkStart w:id="643" w:name="_Toc259093671"/>
      <w:bookmarkStart w:id="644" w:name="_Toc487900351"/>
      <w:bookmarkStart w:id="645" w:name="_Toc9829"/>
      <w:bookmarkStart w:id="646" w:name="_Toc15089"/>
      <w:bookmarkStart w:id="647" w:name="_Toc279701242"/>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641"/>
      <w:bookmarkEnd w:id="642"/>
      <w:bookmarkEnd w:id="643"/>
      <w:bookmarkEnd w:id="644"/>
      <w:bookmarkEnd w:id="645"/>
      <w:bookmarkEnd w:id="646"/>
      <w:bookmarkEnd w:id="647"/>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48" w:name="_Toc11932"/>
      <w:bookmarkStart w:id="649" w:name="_Toc29149"/>
      <w:bookmarkStart w:id="650" w:name="_Toc4194"/>
      <w:bookmarkStart w:id="651" w:name="_Toc30867"/>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648"/>
      <w:bookmarkEnd w:id="649"/>
      <w:bookmarkEnd w:id="650"/>
      <w:bookmarkEnd w:id="65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52" w:name="_Ref467379542"/>
      <w:bookmarkStart w:id="653" w:name="_Ref467379536"/>
      <w:bookmarkStart w:id="654" w:name="_Toc259093674"/>
      <w:bookmarkStart w:id="655" w:name="_Toc279701245"/>
      <w:bookmarkStart w:id="656" w:name="_Toc487900354"/>
      <w:bookmarkStart w:id="657" w:name="_Ref467378591"/>
      <w:bookmarkStart w:id="658" w:name="_Ref467378541"/>
      <w:bookmarkStart w:id="659" w:name="_Ref467379527"/>
      <w:bookmarkStart w:id="660" w:name="_Toc30272"/>
      <w:bookmarkStart w:id="661" w:name="_Toc26182"/>
      <w:bookmarkStart w:id="662" w:name="_Toc19074"/>
      <w:bookmarkStart w:id="663" w:name="_Toc5976"/>
      <w:r>
        <w:rPr>
          <w:rFonts w:ascii="仿宋" w:hAnsi="仿宋" w:eastAsia="仿宋"/>
          <w:b/>
          <w:color w:val="auto"/>
          <w:sz w:val="24"/>
          <w:highlight w:val="none"/>
        </w:rPr>
        <w:t>2.</w:t>
      </w:r>
      <w:bookmarkEnd w:id="652"/>
      <w:bookmarkEnd w:id="653"/>
      <w:bookmarkEnd w:id="654"/>
      <w:bookmarkEnd w:id="655"/>
      <w:bookmarkEnd w:id="656"/>
      <w:bookmarkEnd w:id="657"/>
      <w:bookmarkEnd w:id="658"/>
      <w:bookmarkEnd w:id="659"/>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660"/>
      <w:bookmarkEnd w:id="661"/>
      <w:bookmarkEnd w:id="662"/>
      <w:bookmarkEnd w:id="663"/>
    </w:p>
    <w:p>
      <w:pPr>
        <w:spacing w:line="560" w:lineRule="exact"/>
        <w:ind w:firstLine="480" w:firstLineChars="200"/>
        <w:rPr>
          <w:rFonts w:ascii="仿宋" w:hAnsi="仿宋" w:eastAsia="仿宋"/>
          <w:color w:val="auto"/>
          <w:sz w:val="24"/>
          <w:highlight w:val="none"/>
        </w:rPr>
      </w:pPr>
      <w:bookmarkStart w:id="664" w:name="_Ref467379657"/>
      <w:r>
        <w:rPr>
          <w:rFonts w:ascii="仿宋" w:hAnsi="仿宋" w:eastAsia="仿宋"/>
          <w:color w:val="auto"/>
          <w:sz w:val="24"/>
          <w:highlight w:val="none"/>
        </w:rPr>
        <w:t>2.5.1</w:t>
      </w:r>
      <w:bookmarkEnd w:id="664"/>
      <w:bookmarkStart w:id="665" w:name="_Toc186431854"/>
      <w:bookmarkStart w:id="666" w:name="_Ref467379807"/>
      <w:bookmarkStart w:id="667" w:name="_Toc259093676"/>
      <w:bookmarkStart w:id="668" w:name="_Toc279701247"/>
      <w:bookmarkStart w:id="669" w:name="_Ref467379793"/>
      <w:bookmarkStart w:id="670"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665"/>
      <w:bookmarkStart w:id="671" w:name="_Toc186431855"/>
      <w:r>
        <w:rPr>
          <w:rFonts w:hint="eastAsia" w:ascii="仿宋" w:hAnsi="仿宋" w:eastAsia="仿宋"/>
          <w:color w:val="auto"/>
          <w:sz w:val="24"/>
          <w:highlight w:val="none"/>
        </w:rPr>
        <w:t>。</w:t>
      </w:r>
    </w:p>
    <w:bookmarkEnd w:id="666"/>
    <w:bookmarkEnd w:id="667"/>
    <w:bookmarkEnd w:id="668"/>
    <w:bookmarkEnd w:id="669"/>
    <w:bookmarkEnd w:id="670"/>
    <w:bookmarkEnd w:id="671"/>
    <w:p>
      <w:pPr>
        <w:spacing w:line="560" w:lineRule="exact"/>
        <w:ind w:firstLine="482" w:firstLineChars="200"/>
        <w:outlineLvl w:val="0"/>
        <w:rPr>
          <w:rFonts w:ascii="仿宋" w:hAnsi="仿宋" w:eastAsia="仿宋"/>
          <w:b/>
          <w:color w:val="auto"/>
          <w:sz w:val="24"/>
          <w:highlight w:val="none"/>
        </w:rPr>
      </w:pPr>
      <w:bookmarkStart w:id="672" w:name="_Ref467379852"/>
      <w:bookmarkStart w:id="673" w:name="_Toc259093677"/>
      <w:bookmarkStart w:id="674" w:name="_Ref467379923"/>
      <w:bookmarkStart w:id="675" w:name="_Ref467379863"/>
      <w:bookmarkStart w:id="676" w:name="_Toc487900358"/>
      <w:bookmarkStart w:id="677" w:name="_Toc279701248"/>
      <w:bookmarkStart w:id="678" w:name="_Toc9530"/>
      <w:bookmarkStart w:id="679" w:name="_Toc16110"/>
      <w:bookmarkStart w:id="680" w:name="_Toc774"/>
      <w:bookmarkStart w:id="681" w:name="_Toc3225"/>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672"/>
      <w:bookmarkEnd w:id="673"/>
      <w:bookmarkEnd w:id="674"/>
      <w:bookmarkEnd w:id="675"/>
      <w:bookmarkEnd w:id="676"/>
      <w:bookmarkEnd w:id="677"/>
      <w:r>
        <w:rPr>
          <w:rFonts w:hint="eastAsia" w:ascii="仿宋" w:hAnsi="仿宋" w:eastAsia="仿宋"/>
          <w:b/>
          <w:color w:val="auto"/>
          <w:sz w:val="24"/>
          <w:highlight w:val="none"/>
        </w:rPr>
        <w:t>和保密义务</w:t>
      </w:r>
      <w:bookmarkEnd w:id="678"/>
      <w:bookmarkEnd w:id="679"/>
      <w:bookmarkEnd w:id="680"/>
      <w:bookmarkEnd w:id="68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682" w:name="_Toc1061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68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683" w:name="_Toc17244"/>
      <w:bookmarkStart w:id="684" w:name="_Toc3549"/>
      <w:bookmarkStart w:id="685" w:name="_Toc487900362"/>
      <w:bookmarkStart w:id="686" w:name="_Toc279701252"/>
      <w:bookmarkStart w:id="687"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683"/>
      <w:bookmarkEnd w:id="684"/>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88" w:name="_Toc14055"/>
      <w:bookmarkStart w:id="689" w:name="_Toc23892"/>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685"/>
      <w:bookmarkEnd w:id="686"/>
      <w:bookmarkEnd w:id="687"/>
      <w:bookmarkEnd w:id="688"/>
      <w:bookmarkEnd w:id="68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highlight w:val="none"/>
        </w:rPr>
      </w:pPr>
      <w:bookmarkStart w:id="690" w:name="_Toc7502"/>
      <w:bookmarkStart w:id="691" w:name="_Toc18683"/>
      <w:bookmarkStart w:id="692" w:name="_Toc487900364"/>
      <w:bookmarkStart w:id="693" w:name="_Toc259093683"/>
      <w:bookmarkStart w:id="694" w:name="_Ref467378121"/>
      <w:bookmarkStart w:id="695" w:name="_Toc279701254"/>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690"/>
      <w:bookmarkEnd w:id="69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696" w:name="_Toc279701259"/>
      <w:bookmarkStart w:id="697" w:name="_Toc487900369"/>
      <w:bookmarkStart w:id="698" w:name="_Toc259093688"/>
    </w:p>
    <w:p>
      <w:pPr>
        <w:spacing w:line="560" w:lineRule="exact"/>
        <w:ind w:firstLine="482" w:firstLineChars="200"/>
        <w:outlineLvl w:val="0"/>
        <w:rPr>
          <w:rFonts w:ascii="仿宋" w:hAnsi="仿宋" w:eastAsia="仿宋"/>
          <w:b/>
          <w:color w:val="auto"/>
          <w:sz w:val="24"/>
          <w:highlight w:val="none"/>
        </w:rPr>
      </w:pPr>
      <w:bookmarkStart w:id="699" w:name="_Toc22955"/>
      <w:bookmarkStart w:id="700" w:name="_Toc10366"/>
      <w:bookmarkStart w:id="701" w:name="_Toc18256"/>
      <w:bookmarkStart w:id="702" w:name="_Toc15237"/>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696"/>
      <w:bookmarkEnd w:id="697"/>
      <w:bookmarkEnd w:id="698"/>
      <w:r>
        <w:rPr>
          <w:rFonts w:hint="eastAsia" w:ascii="仿宋" w:hAnsi="仿宋" w:eastAsia="仿宋"/>
          <w:b/>
          <w:color w:val="auto"/>
          <w:sz w:val="24"/>
          <w:highlight w:val="none"/>
        </w:rPr>
        <w:t>和分包</w:t>
      </w:r>
      <w:bookmarkEnd w:id="699"/>
      <w:bookmarkEnd w:id="700"/>
      <w:bookmarkEnd w:id="701"/>
      <w:bookmarkEnd w:id="70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highlight w:val="none"/>
        </w:rPr>
      </w:pPr>
      <w:bookmarkStart w:id="703" w:name="_Toc13566"/>
      <w:bookmarkStart w:id="704" w:name="_Toc16508"/>
      <w:bookmarkStart w:id="705" w:name="_Toc14066"/>
      <w:bookmarkStart w:id="706" w:name="_Toc23078"/>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703"/>
      <w:bookmarkEnd w:id="704"/>
      <w:bookmarkEnd w:id="705"/>
      <w:bookmarkEnd w:id="706"/>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b/>
          <w:color w:val="auto"/>
          <w:sz w:val="24"/>
          <w:highlight w:val="none"/>
        </w:rPr>
      </w:pPr>
      <w:bookmarkStart w:id="707" w:name="_Toc689"/>
      <w:bookmarkStart w:id="708" w:name="_Toc487900365"/>
      <w:bookmarkStart w:id="709" w:name="_Toc30676"/>
      <w:bookmarkStart w:id="710" w:name="_Toc6969"/>
      <w:bookmarkStart w:id="711" w:name="_Toc17169"/>
      <w:bookmarkStart w:id="712" w:name="_Toc279701255"/>
      <w:bookmarkStart w:id="713" w:name="_Toc259093684"/>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707"/>
      <w:bookmarkEnd w:id="708"/>
      <w:bookmarkEnd w:id="709"/>
      <w:bookmarkEnd w:id="710"/>
      <w:bookmarkEnd w:id="711"/>
      <w:bookmarkEnd w:id="712"/>
      <w:bookmarkEnd w:id="713"/>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highlight w:val="none"/>
        </w:rPr>
      </w:pPr>
      <w:bookmarkStart w:id="714" w:name="_Toc279701258"/>
      <w:bookmarkStart w:id="715" w:name="_Toc8298"/>
      <w:bookmarkStart w:id="716" w:name="_Toc16959"/>
      <w:bookmarkStart w:id="717" w:name="_Toc7102"/>
      <w:bookmarkStart w:id="718" w:name="_Toc259093687"/>
      <w:bookmarkStart w:id="719" w:name="_Toc487900368"/>
      <w:bookmarkStart w:id="720" w:name="_Toc824"/>
      <w:r>
        <w:rPr>
          <w:rFonts w:ascii="仿宋" w:hAnsi="仿宋" w:eastAsia="仿宋"/>
          <w:b/>
          <w:color w:val="auto"/>
          <w:sz w:val="24"/>
          <w:highlight w:val="none"/>
        </w:rPr>
        <w:t>2.14乙方破产</w:t>
      </w:r>
      <w:bookmarkEnd w:id="714"/>
      <w:bookmarkEnd w:id="715"/>
      <w:bookmarkEnd w:id="716"/>
      <w:bookmarkEnd w:id="717"/>
      <w:bookmarkEnd w:id="718"/>
      <w:bookmarkEnd w:id="719"/>
      <w:bookmarkEnd w:id="720"/>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highlight w:val="none"/>
        </w:rPr>
      </w:pPr>
      <w:bookmarkStart w:id="721" w:name="_Toc15387"/>
      <w:bookmarkStart w:id="722" w:name="_Toc6134"/>
      <w:bookmarkStart w:id="723" w:name="_Toc29333"/>
      <w:bookmarkStart w:id="724" w:name="_Toc29826"/>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721"/>
      <w:bookmarkEnd w:id="722"/>
      <w:bookmarkEnd w:id="723"/>
      <w:bookmarkEnd w:id="72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725" w:name="_Toc6596"/>
      <w:bookmarkStart w:id="726" w:name="_Toc1125"/>
      <w:bookmarkStart w:id="727" w:name="_Toc25623"/>
      <w:bookmarkStart w:id="728" w:name="_Toc14563"/>
      <w:r>
        <w:rPr>
          <w:rFonts w:ascii="仿宋" w:hAnsi="仿宋" w:eastAsia="仿宋"/>
          <w:b/>
          <w:color w:val="auto"/>
          <w:sz w:val="24"/>
          <w:highlight w:val="none"/>
        </w:rPr>
        <w:t>2.16检验和验收</w:t>
      </w:r>
      <w:bookmarkEnd w:id="725"/>
      <w:bookmarkEnd w:id="726"/>
      <w:bookmarkEnd w:id="727"/>
      <w:bookmarkEnd w:id="728"/>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2.16.1</w:t>
      </w:r>
      <w:r>
        <w:rPr>
          <w:rFonts w:hint="eastAsia" w:ascii="仿宋" w:hAnsi="仿宋" w:eastAsia="仿宋" w:cs="Times New Roman"/>
          <w:color w:val="auto"/>
          <w:sz w:val="24"/>
          <w:highlight w:val="none"/>
          <w:lang w:eastAsia="zh-CN"/>
        </w:rPr>
        <w:t>货物验收标准：</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lang w:eastAsia="zh-CN"/>
        </w:rPr>
        <w:t>提供的所有货物必须是全新未使用过的货物。</w:t>
      </w:r>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2.16.2</w:t>
      </w:r>
      <w:r>
        <w:rPr>
          <w:rFonts w:hint="eastAsia" w:ascii="仿宋" w:hAnsi="仿宋" w:eastAsia="仿宋" w:cs="Times New Roman"/>
          <w:color w:val="auto"/>
          <w:sz w:val="24"/>
          <w:highlight w:val="none"/>
          <w:lang w:eastAsia="zh-CN"/>
        </w:rPr>
        <w:t>属放射诊疗项目货物的，须通过相关性能检测，满足职业病危害控制效果评价的性能要求，相关</w:t>
      </w:r>
      <w:r>
        <w:rPr>
          <w:rFonts w:hint="eastAsia" w:ascii="仿宋" w:hAnsi="仿宋" w:eastAsia="仿宋" w:cs="Times New Roman"/>
          <w:color w:val="auto"/>
          <w:sz w:val="24"/>
          <w:highlight w:val="none"/>
          <w:lang w:val="en-US" w:eastAsia="zh-CN"/>
        </w:rPr>
        <w:t>检测</w:t>
      </w:r>
      <w:r>
        <w:rPr>
          <w:rFonts w:hint="eastAsia" w:ascii="仿宋" w:hAnsi="仿宋" w:eastAsia="仿宋" w:cs="Times New Roman"/>
          <w:color w:val="auto"/>
          <w:sz w:val="24"/>
          <w:highlight w:val="none"/>
          <w:lang w:eastAsia="zh-CN"/>
        </w:rPr>
        <w:t>费用由</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lang w:eastAsia="zh-CN"/>
        </w:rPr>
        <w:t>自行承担。</w:t>
      </w:r>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2.16.3</w:t>
      </w:r>
      <w:r>
        <w:rPr>
          <w:rFonts w:hint="eastAsia" w:ascii="仿宋" w:hAnsi="仿宋" w:eastAsia="仿宋" w:cs="Times New Roman"/>
          <w:color w:val="auto"/>
          <w:sz w:val="24"/>
          <w:highlight w:val="none"/>
          <w:lang w:eastAsia="zh-CN"/>
        </w:rPr>
        <w:t>货物应符合国家相关标准、投标文件的性能指标及功能要求。</w:t>
      </w:r>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2.16.4</w:t>
      </w:r>
      <w:r>
        <w:rPr>
          <w:rFonts w:hint="eastAsia" w:ascii="仿宋" w:hAnsi="仿宋" w:eastAsia="仿宋" w:cs="Times New Roman"/>
          <w:color w:val="auto"/>
          <w:sz w:val="24"/>
          <w:highlight w:val="none"/>
          <w:lang w:eastAsia="zh-CN"/>
        </w:rPr>
        <w:t>达到货物验收标准后，</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lang w:eastAsia="zh-CN"/>
        </w:rPr>
        <w:t>应及时通知</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甲方接到通知后</w:t>
      </w:r>
      <w:r>
        <w:rPr>
          <w:rFonts w:hint="eastAsia" w:ascii="仿宋" w:hAnsi="仿宋" w:eastAsia="仿宋" w:cs="Times New Roman"/>
          <w:color w:val="auto"/>
          <w:sz w:val="24"/>
          <w:highlight w:val="none"/>
          <w:lang w:eastAsia="zh-CN"/>
        </w:rPr>
        <w:t>应在10个工作日内组织验收，必要时邀请相关的专业人员或机构参与验收。经</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lang w:eastAsia="zh-CN"/>
        </w:rPr>
        <w:t>认可后，与设备性能指标、合同内容一起作为设备验收标准。达到货物验收标准且满足其他验收标准的，进行项目合格验收，</w:t>
      </w:r>
      <w:r>
        <w:rPr>
          <w:rFonts w:hint="eastAsia" w:ascii="仿宋" w:hAnsi="仿宋" w:eastAsia="仿宋" w:cs="Times New Roman"/>
          <w:color w:val="auto"/>
          <w:sz w:val="24"/>
          <w:highlight w:val="none"/>
          <w:lang w:val="en-US" w:eastAsia="zh-CN"/>
        </w:rPr>
        <w:t>双方</w:t>
      </w:r>
      <w:r>
        <w:rPr>
          <w:rFonts w:hint="eastAsia" w:ascii="仿宋" w:hAnsi="仿宋" w:eastAsia="仿宋" w:cs="Times New Roman"/>
          <w:color w:val="auto"/>
          <w:sz w:val="24"/>
          <w:highlight w:val="none"/>
          <w:lang w:eastAsia="zh-CN"/>
        </w:rPr>
        <w:t>共同签署验收报告</w:t>
      </w:r>
      <w:r>
        <w:rPr>
          <w:rFonts w:hint="eastAsia" w:ascii="仿宋" w:hAnsi="仿宋" w:eastAsia="仿宋" w:cs="Times New Roman"/>
          <w:color w:val="auto"/>
          <w:sz w:val="24"/>
          <w:highlight w:val="none"/>
          <w:lang w:val="en-US" w:eastAsia="zh-CN"/>
        </w:rPr>
        <w:t>并加盖公章。</w:t>
      </w:r>
      <w:r>
        <w:rPr>
          <w:rFonts w:hint="eastAsia" w:ascii="仿宋" w:hAnsi="仿宋" w:eastAsia="仿宋" w:cs="Times New Roman"/>
          <w:color w:val="auto"/>
          <w:sz w:val="24"/>
          <w:highlight w:val="none"/>
          <w:lang w:eastAsia="zh-CN"/>
        </w:rPr>
        <w:t>验收中发现设备达不到验收标准或合同规定的性能指标，</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lang w:eastAsia="zh-CN"/>
        </w:rPr>
        <w:t>必须更换设备，并且赔偿由此给</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lang w:eastAsia="zh-CN"/>
        </w:rPr>
        <w:t>造成的损失。</w:t>
      </w:r>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2.16.5乙方</w:t>
      </w:r>
      <w:r>
        <w:rPr>
          <w:rFonts w:hint="eastAsia" w:ascii="仿宋" w:hAnsi="仿宋" w:eastAsia="仿宋" w:cs="Times New Roman"/>
          <w:color w:val="auto"/>
          <w:sz w:val="24"/>
          <w:highlight w:val="none"/>
          <w:lang w:eastAsia="zh-CN"/>
        </w:rPr>
        <w:t>向</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lang w:eastAsia="zh-CN"/>
        </w:rPr>
        <w:t>提交必要的合格证明文件、检测报告、技术资料、安装报告资料。</w:t>
      </w:r>
    </w:p>
    <w:p>
      <w:pPr>
        <w:spacing w:line="560" w:lineRule="exact"/>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2.16.6</w:t>
      </w:r>
      <w:r>
        <w:rPr>
          <w:rFonts w:hint="eastAsia" w:ascii="仿宋" w:hAnsi="仿宋" w:eastAsia="仿宋" w:cs="Times New Roman"/>
          <w:color w:val="auto"/>
          <w:sz w:val="24"/>
          <w:highlight w:val="none"/>
          <w:lang w:eastAsia="zh-CN"/>
        </w:rPr>
        <w:t>验收过程中所发生的所有费用（含检测、耗材、</w:t>
      </w:r>
      <w:r>
        <w:rPr>
          <w:rFonts w:hint="eastAsia" w:ascii="仿宋" w:hAnsi="仿宋" w:eastAsia="仿宋" w:cs="Times New Roman"/>
          <w:color w:val="auto"/>
          <w:sz w:val="24"/>
          <w:highlight w:val="none"/>
          <w:lang w:val="en-US" w:eastAsia="zh-CN"/>
        </w:rPr>
        <w:t>专家费</w:t>
      </w:r>
      <w:r>
        <w:rPr>
          <w:rFonts w:hint="eastAsia" w:ascii="仿宋" w:hAnsi="仿宋" w:eastAsia="仿宋" w:cs="Times New Roman"/>
          <w:color w:val="auto"/>
          <w:sz w:val="24"/>
          <w:highlight w:val="none"/>
          <w:lang w:eastAsia="zh-CN"/>
        </w:rPr>
        <w:t>等）由</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lang w:eastAsia="zh-CN"/>
        </w:rPr>
        <w:t>承担。</w:t>
      </w:r>
    </w:p>
    <w:bookmarkEnd w:id="692"/>
    <w:bookmarkEnd w:id="693"/>
    <w:bookmarkEnd w:id="694"/>
    <w:bookmarkEnd w:id="695"/>
    <w:p>
      <w:pPr>
        <w:spacing w:line="560" w:lineRule="exact"/>
        <w:ind w:firstLine="482" w:firstLineChars="200"/>
        <w:outlineLvl w:val="0"/>
        <w:rPr>
          <w:rFonts w:ascii="仿宋" w:hAnsi="仿宋" w:eastAsia="仿宋"/>
          <w:b/>
          <w:color w:val="auto"/>
          <w:sz w:val="24"/>
          <w:highlight w:val="none"/>
        </w:rPr>
      </w:pPr>
      <w:bookmarkStart w:id="729" w:name="_Toc279701261"/>
      <w:bookmarkStart w:id="730" w:name="_Toc259093690"/>
      <w:bookmarkStart w:id="731" w:name="_Toc487900371"/>
      <w:bookmarkStart w:id="732" w:name="_Toc25182"/>
      <w:bookmarkStart w:id="733" w:name="_Toc11284"/>
      <w:bookmarkStart w:id="734" w:name="_Toc233"/>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729"/>
      <w:bookmarkEnd w:id="730"/>
      <w:bookmarkEnd w:id="731"/>
      <w:r>
        <w:rPr>
          <w:rFonts w:hint="eastAsia" w:ascii="仿宋" w:hAnsi="仿宋" w:eastAsia="仿宋"/>
          <w:b/>
          <w:color w:val="auto"/>
          <w:sz w:val="24"/>
          <w:highlight w:val="none"/>
        </w:rPr>
        <w:t>和送达</w:t>
      </w:r>
      <w:bookmarkEnd w:id="732"/>
      <w:bookmarkEnd w:id="733"/>
      <w:bookmarkEnd w:id="734"/>
    </w:p>
    <w:p>
      <w:pPr>
        <w:spacing w:line="560" w:lineRule="exact"/>
        <w:ind w:firstLine="480" w:firstLineChars="200"/>
        <w:rPr>
          <w:rFonts w:ascii="仿宋" w:hAnsi="仿宋" w:eastAsia="仿宋"/>
          <w:color w:val="auto"/>
          <w:sz w:val="24"/>
          <w:highlight w:val="none"/>
        </w:rPr>
      </w:pPr>
      <w:bookmarkStart w:id="735" w:name="_Toc6698"/>
      <w:bookmarkStart w:id="736" w:name="_Toc3135"/>
      <w:bookmarkStart w:id="737" w:name="_Toc279701262"/>
      <w:bookmarkStart w:id="738" w:name="_Toc487900372"/>
      <w:bookmarkStart w:id="739" w:name="_Toc25909369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735"/>
      <w:bookmarkEnd w:id="736"/>
    </w:p>
    <w:p>
      <w:pPr>
        <w:spacing w:line="560" w:lineRule="exact"/>
        <w:ind w:firstLine="480" w:firstLineChars="200"/>
        <w:rPr>
          <w:rFonts w:ascii="仿宋" w:hAnsi="仿宋" w:eastAsia="仿宋"/>
          <w:color w:val="auto"/>
          <w:sz w:val="24"/>
          <w:highlight w:val="none"/>
        </w:rPr>
      </w:pPr>
      <w:bookmarkStart w:id="740" w:name="_Toc23294"/>
      <w:bookmarkStart w:id="741" w:name="_Toc23128"/>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740"/>
      <w:bookmarkEnd w:id="741"/>
    </w:p>
    <w:p>
      <w:pPr>
        <w:spacing w:line="560" w:lineRule="exact"/>
        <w:ind w:firstLine="482" w:firstLineChars="200"/>
        <w:outlineLvl w:val="0"/>
        <w:rPr>
          <w:rFonts w:ascii="仿宋" w:hAnsi="仿宋" w:eastAsia="仿宋"/>
          <w:b/>
          <w:color w:val="auto"/>
          <w:sz w:val="24"/>
          <w:highlight w:val="none"/>
        </w:rPr>
      </w:pPr>
      <w:bookmarkStart w:id="742" w:name="_Toc1518"/>
      <w:bookmarkStart w:id="743" w:name="_Toc30599"/>
      <w:bookmarkStart w:id="744" w:name="_Toc18540"/>
      <w:bookmarkStart w:id="745"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737"/>
      <w:bookmarkEnd w:id="738"/>
      <w:bookmarkEnd w:id="739"/>
      <w:bookmarkEnd w:id="742"/>
      <w:bookmarkEnd w:id="743"/>
      <w:bookmarkEnd w:id="744"/>
      <w:bookmarkEnd w:id="745"/>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560" w:lineRule="exact"/>
        <w:ind w:firstLine="482" w:firstLineChars="200"/>
        <w:outlineLvl w:val="0"/>
        <w:rPr>
          <w:rFonts w:ascii="仿宋" w:hAnsi="仿宋" w:eastAsia="仿宋"/>
          <w:b/>
          <w:color w:val="auto"/>
          <w:sz w:val="24"/>
          <w:highlight w:val="none"/>
        </w:rPr>
      </w:pPr>
      <w:bookmarkStart w:id="746" w:name="_Toc12773"/>
      <w:bookmarkStart w:id="747" w:name="_Toc279701263"/>
      <w:bookmarkStart w:id="748" w:name="_Toc18912"/>
      <w:bookmarkStart w:id="749" w:name="_Toc18567"/>
      <w:bookmarkStart w:id="750" w:name="_Toc487900373"/>
      <w:bookmarkStart w:id="751" w:name="_Toc10330"/>
      <w:bookmarkStart w:id="752" w:name="_Toc259093692"/>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746"/>
      <w:bookmarkEnd w:id="747"/>
      <w:bookmarkEnd w:id="748"/>
      <w:bookmarkEnd w:id="749"/>
      <w:bookmarkEnd w:id="750"/>
      <w:bookmarkEnd w:id="751"/>
      <w:bookmarkEnd w:id="75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560" w:lineRule="exact"/>
        <w:ind w:firstLine="482" w:firstLineChars="200"/>
        <w:outlineLvl w:val="0"/>
        <w:rPr>
          <w:rFonts w:ascii="仿宋" w:hAnsi="仿宋" w:eastAsia="仿宋"/>
          <w:b/>
          <w:color w:val="auto"/>
          <w:sz w:val="24"/>
          <w:highlight w:val="none"/>
        </w:rPr>
      </w:pPr>
      <w:bookmarkStart w:id="753" w:name="_Toc19890"/>
      <w:bookmarkStart w:id="754" w:name="_Toc5304"/>
      <w:bookmarkStart w:id="755" w:name="_Toc14001"/>
      <w:bookmarkStart w:id="756" w:name="_Toc6885"/>
      <w:r>
        <w:rPr>
          <w:rFonts w:ascii="仿宋" w:hAnsi="仿宋" w:eastAsia="仿宋"/>
          <w:b/>
          <w:color w:val="auto"/>
          <w:sz w:val="24"/>
          <w:highlight w:val="none"/>
        </w:rPr>
        <w:t>2.2</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合同份数</w:t>
      </w:r>
      <w:bookmarkEnd w:id="753"/>
      <w:bookmarkEnd w:id="754"/>
      <w:bookmarkEnd w:id="755"/>
      <w:bookmarkEnd w:id="75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152"/>
        <w:spacing w:line="560" w:lineRule="exact"/>
        <w:ind w:left="0" w:leftChars="0" w:firstLine="0" w:firstLineChars="0"/>
        <w:jc w:val="center"/>
        <w:rPr>
          <w:rFonts w:ascii="仿宋" w:hAnsi="仿宋" w:eastAsia="仿宋"/>
          <w:b/>
          <w:color w:val="auto"/>
          <w:szCs w:val="24"/>
          <w:highlight w:val="none"/>
        </w:rPr>
      </w:pPr>
      <w:r>
        <w:rPr>
          <w:rFonts w:ascii="仿宋" w:hAnsi="仿宋" w:eastAsia="仿宋" w:cs="Times New Roman"/>
          <w:color w:val="auto"/>
          <w:kern w:val="0"/>
          <w:szCs w:val="24"/>
          <w:highlight w:val="none"/>
        </w:rPr>
        <w:br w:type="page"/>
      </w:r>
      <w:r>
        <w:rPr>
          <w:rFonts w:hint="eastAsia" w:ascii="仿宋" w:hAnsi="仿宋" w:eastAsia="仿宋"/>
          <w:b/>
          <w:color w:val="auto"/>
          <w:sz w:val="30"/>
          <w:szCs w:val="30"/>
          <w:highlight w:val="none"/>
        </w:rPr>
        <w:t>第三部分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lang w:eastAsia="zh-CN"/>
              </w:rPr>
            </w:pPr>
            <w:r>
              <w:rPr>
                <w:rFonts w:ascii="仿宋" w:hAnsi="仿宋" w:eastAsia="仿宋" w:cs="Times New Roman"/>
                <w:color w:val="auto"/>
                <w:sz w:val="24"/>
                <w:highlight w:val="none"/>
              </w:rPr>
              <w:t>1.4.</w:t>
            </w:r>
            <w:r>
              <w:rPr>
                <w:rFonts w:hint="eastAsia" w:ascii="仿宋" w:hAnsi="仿宋" w:eastAsia="仿宋" w:cs="Times New Roman"/>
                <w:color w:val="auto"/>
                <w:sz w:val="24"/>
                <w:highlight w:val="none"/>
                <w:lang w:val="en-US" w:eastAsia="zh-CN"/>
              </w:rPr>
              <w:t>2</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b w:val="0"/>
                <w:bCs/>
                <w:color w:val="auto"/>
                <w:sz w:val="24"/>
                <w:highlight w:val="none"/>
              </w:rPr>
              <w:t>履约保证金支付方式</w:t>
            </w:r>
            <w:r>
              <w:rPr>
                <w:rFonts w:hint="eastAsia" w:ascii="仿宋" w:hAnsi="仿宋" w:eastAsia="仿宋" w:cs="Times New Roman"/>
                <w:b w:val="0"/>
                <w:bCs/>
                <w:color w:val="auto"/>
                <w:sz w:val="24"/>
                <w:highlight w:val="none"/>
                <w:lang w:eastAsia="zh-CN"/>
              </w:rPr>
              <w:t>：</w:t>
            </w:r>
            <w:r>
              <w:rPr>
                <w:rFonts w:hint="eastAsia" w:ascii="仿宋" w:hAnsi="仿宋" w:eastAsia="仿宋" w:cs="Times New Roman"/>
                <w:b w:val="0"/>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ascii="仿宋" w:hAnsi="仿宋" w:eastAsia="仿宋" w:cs="Times New Roman"/>
                <w:color w:val="auto"/>
                <w:sz w:val="24"/>
                <w:highlight w:val="none"/>
              </w:rPr>
              <w:t xml:space="preserve">1.5.1 </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b w:val="0"/>
                <w:bCs/>
                <w:color w:val="auto"/>
                <w:sz w:val="24"/>
                <w:highlight w:val="none"/>
              </w:rPr>
              <w:t>预付款比例、支付方式、时间</w:t>
            </w:r>
            <w:r>
              <w:rPr>
                <w:rFonts w:hint="eastAsia" w:ascii="仿宋" w:hAnsi="仿宋" w:eastAsia="仿宋" w:cs="Times New Roman"/>
                <w:b w:val="0"/>
                <w:bCs/>
                <w:color w:val="auto"/>
                <w:sz w:val="24"/>
                <w:highlight w:val="none"/>
                <w:lang w:eastAsia="zh-CN"/>
              </w:rPr>
              <w:t>：</w:t>
            </w:r>
            <w:r>
              <w:rPr>
                <w:rFonts w:hint="eastAsia" w:ascii="Times New Roman" w:hAnsi="宋体" w:eastAsia="宋体" w:cs="Times New Roman"/>
                <w:bCs/>
                <w:color w:val="auto"/>
                <w:szCs w:val="21"/>
                <w:highlight w:val="none"/>
                <w:lang w:val="en-US" w:eastAsia="zh-CN"/>
              </w:rPr>
              <w:t>合同签订生效且具备实施条件之日起，收到乙方提供的有效发票后7个工作日内</w:t>
            </w:r>
            <w:r>
              <w:rPr>
                <w:rFonts w:hint="eastAsia" w:ascii="仿宋" w:hAnsi="仿宋" w:eastAsia="仿宋" w:cs="Times New Roman"/>
                <w:b w:val="0"/>
                <w:bCs/>
                <w:color w:val="auto"/>
                <w:sz w:val="24"/>
                <w:highlight w:val="none"/>
                <w:lang w:eastAsia="zh-CN"/>
              </w:rPr>
              <w:t>，</w:t>
            </w:r>
            <w:r>
              <w:rPr>
                <w:rFonts w:hint="eastAsia" w:ascii="仿宋" w:hAnsi="仿宋" w:eastAsia="仿宋" w:cs="Times New Roman"/>
                <w:b w:val="0"/>
                <w:bCs/>
                <w:color w:val="auto"/>
                <w:sz w:val="24"/>
                <w:highlight w:val="none"/>
                <w:lang w:val="en-US" w:eastAsia="zh-CN"/>
              </w:rPr>
              <w:t>甲方</w:t>
            </w:r>
            <w:r>
              <w:rPr>
                <w:rFonts w:hint="eastAsia" w:ascii="仿宋" w:hAnsi="仿宋" w:eastAsia="仿宋" w:cs="Times New Roman"/>
                <w:b w:val="0"/>
                <w:bCs/>
                <w:color w:val="auto"/>
                <w:sz w:val="24"/>
                <w:highlight w:val="none"/>
                <w:lang w:eastAsia="zh-CN"/>
              </w:rPr>
              <w:t>须支付合同价款的40%作为预付款。（根据浙财采监〔2022〕3号文件要求，在签订合同时，如</w:t>
            </w:r>
            <w:r>
              <w:rPr>
                <w:rFonts w:hint="eastAsia" w:ascii="仿宋" w:hAnsi="仿宋" w:eastAsia="仿宋" w:cs="Times New Roman"/>
                <w:b w:val="0"/>
                <w:bCs/>
                <w:color w:val="auto"/>
                <w:sz w:val="24"/>
                <w:highlight w:val="none"/>
                <w:lang w:val="en-US" w:eastAsia="zh-CN"/>
              </w:rPr>
              <w:t>乙方</w:t>
            </w:r>
            <w:r>
              <w:rPr>
                <w:rFonts w:hint="eastAsia" w:ascii="仿宋" w:hAnsi="仿宋" w:eastAsia="仿宋" w:cs="Times New Roman"/>
                <w:b w:val="0"/>
                <w:bCs/>
                <w:color w:val="auto"/>
                <w:sz w:val="24"/>
                <w:highlight w:val="none"/>
                <w:lang w:eastAsia="zh-CN"/>
              </w:rPr>
              <w:t>为大型企业或</w:t>
            </w:r>
            <w:r>
              <w:rPr>
                <w:rFonts w:hint="eastAsia" w:ascii="仿宋" w:hAnsi="仿宋" w:eastAsia="仿宋" w:cs="Times New Roman"/>
                <w:b w:val="0"/>
                <w:bCs/>
                <w:color w:val="auto"/>
                <w:sz w:val="24"/>
                <w:highlight w:val="none"/>
                <w:lang w:val="en-US" w:eastAsia="zh-CN"/>
              </w:rPr>
              <w:t>乙方</w:t>
            </w:r>
            <w:r>
              <w:rPr>
                <w:rFonts w:hint="eastAsia" w:ascii="仿宋" w:hAnsi="仿宋" w:eastAsia="仿宋" w:cs="Times New Roman"/>
                <w:b w:val="0"/>
                <w:bCs/>
                <w:color w:val="auto"/>
                <w:sz w:val="24"/>
                <w:highlight w:val="none"/>
                <w:lang w:eastAsia="zh-CN"/>
              </w:rPr>
              <w:t>明确表示无需预付款或者主动要求降低预付款比例的，</w:t>
            </w:r>
            <w:r>
              <w:rPr>
                <w:rFonts w:hint="eastAsia" w:ascii="仿宋" w:hAnsi="仿宋" w:eastAsia="仿宋" w:cs="Times New Roman"/>
                <w:b w:val="0"/>
                <w:bCs/>
                <w:color w:val="auto"/>
                <w:sz w:val="24"/>
                <w:highlight w:val="none"/>
                <w:lang w:val="en-US" w:eastAsia="zh-CN"/>
              </w:rPr>
              <w:t>甲方</w:t>
            </w:r>
            <w:r>
              <w:rPr>
                <w:rFonts w:hint="eastAsia" w:ascii="仿宋" w:hAnsi="仿宋" w:eastAsia="仿宋" w:cs="Times New Roman"/>
                <w:b w:val="0"/>
                <w:bCs/>
                <w:color w:val="auto"/>
                <w:sz w:val="24"/>
                <w:highlight w:val="none"/>
                <w:lang w:eastAsia="zh-CN"/>
              </w:rPr>
              <w:t>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ascii="仿宋" w:hAnsi="仿宋" w:eastAsia="仿宋" w:cs="Times New Roman"/>
                <w:color w:val="auto"/>
                <w:sz w:val="24"/>
                <w:highlight w:val="none"/>
              </w:rPr>
              <w:t>1.5.2</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b w:val="0"/>
                <w:bCs/>
                <w:color w:val="auto"/>
                <w:sz w:val="24"/>
                <w:highlight w:val="none"/>
              </w:rPr>
              <w:t>预付款的扣回方式</w:t>
            </w:r>
            <w:r>
              <w:rPr>
                <w:rFonts w:hint="eastAsia" w:ascii="仿宋" w:hAnsi="仿宋" w:eastAsia="仿宋" w:cs="Times New Roman"/>
                <w:b w:val="0"/>
                <w:bCs/>
                <w:color w:val="auto"/>
                <w:sz w:val="24"/>
                <w:highlight w:val="none"/>
                <w:lang w:eastAsia="zh-CN"/>
              </w:rPr>
              <w:t>：预付款在后续货款中作相应抵扣。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ascii="仿宋" w:hAnsi="仿宋" w:eastAsia="仿宋" w:cs="Times New Roman"/>
                <w:color w:val="auto"/>
                <w:sz w:val="24"/>
                <w:highlight w:val="none"/>
              </w:rPr>
              <w:t xml:space="preserve">1.5.3 </w:t>
            </w:r>
          </w:p>
        </w:tc>
        <w:tc>
          <w:tcPr>
            <w:tcW w:w="8275" w:type="dxa"/>
            <w:noWrap w:val="0"/>
            <w:vAlign w:val="center"/>
          </w:tcPr>
          <w:p>
            <w:pPr>
              <w:spacing w:line="360" w:lineRule="auto"/>
              <w:rPr>
                <w:rFonts w:hint="default" w:ascii="仿宋" w:hAnsi="仿宋" w:eastAsia="仿宋" w:cs="Times New Roman"/>
                <w:color w:val="auto"/>
                <w:sz w:val="24"/>
                <w:highlight w:val="none"/>
                <w:lang w:val="en-US" w:eastAsia="zh-CN"/>
              </w:rPr>
            </w:pPr>
            <w:r>
              <w:rPr>
                <w:rFonts w:hint="eastAsia" w:ascii="仿宋" w:hAnsi="仿宋" w:eastAsia="仿宋" w:cs="Times New Roman"/>
                <w:b w:val="0"/>
                <w:bCs/>
                <w:color w:val="auto"/>
                <w:sz w:val="24"/>
                <w:highlight w:val="none"/>
              </w:rPr>
              <w:t>预付款的担保措施</w:t>
            </w:r>
            <w:r>
              <w:rPr>
                <w:rFonts w:hint="eastAsia" w:ascii="仿宋" w:hAnsi="仿宋" w:eastAsia="仿宋" w:cs="Times New Roman"/>
                <w:b w:val="0"/>
                <w:bCs/>
                <w:color w:val="auto"/>
                <w:sz w:val="24"/>
                <w:highlight w:val="none"/>
                <w:lang w:eastAsia="zh-CN"/>
              </w:rPr>
              <w:t>：</w:t>
            </w:r>
            <w:r>
              <w:rPr>
                <w:rFonts w:hint="eastAsia" w:ascii="仿宋" w:hAnsi="仿宋" w:eastAsia="仿宋" w:cs="Times New Roman"/>
                <w:b w:val="0"/>
                <w:bCs/>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1.6.</w:t>
            </w:r>
            <w:r>
              <w:rPr>
                <w:rFonts w:hint="eastAsia" w:ascii="仿宋" w:hAnsi="仿宋" w:eastAsia="仿宋" w:cs="Times New Roman"/>
                <w:color w:val="auto"/>
                <w:sz w:val="24"/>
                <w:highlight w:val="none"/>
                <w:lang w:val="en-US" w:eastAsia="zh-CN"/>
              </w:rPr>
              <w:t>2</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b w:val="0"/>
                <w:bCs/>
                <w:color w:val="auto"/>
                <w:sz w:val="24"/>
                <w:highlight w:val="none"/>
              </w:rPr>
              <w:t>资金支付的方式、时间和条件</w:t>
            </w:r>
            <w:r>
              <w:rPr>
                <w:rFonts w:hint="eastAsia" w:ascii="仿宋" w:hAnsi="仿宋" w:eastAsia="仿宋" w:cs="Times New Roman"/>
                <w:b w:val="0"/>
                <w:bCs/>
                <w:color w:val="auto"/>
                <w:sz w:val="24"/>
                <w:highlight w:val="none"/>
                <w:lang w:eastAsia="zh-CN"/>
              </w:rPr>
              <w:t>：验收合格后卖方开具合同总金额单张发票（若无法开具单张发票，请提供税务额度限制相关证明），买方收到发票后2个月内付款。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1.7</w:t>
            </w:r>
            <w:r>
              <w:rPr>
                <w:rFonts w:hint="eastAsia" w:ascii="仿宋" w:hAnsi="仿宋" w:eastAsia="仿宋" w:cs="Times New Roman"/>
                <w:color w:val="auto"/>
                <w:sz w:val="24"/>
                <w:highlight w:val="none"/>
                <w:lang w:val="en-US" w:eastAsia="zh-CN"/>
              </w:rPr>
              <w:t>.1</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b w:val="0"/>
                <w:bCs/>
                <w:color w:val="auto"/>
                <w:sz w:val="24"/>
                <w:highlight w:val="none"/>
              </w:rPr>
              <w:t>交付期限：</w:t>
            </w:r>
            <w:r>
              <w:rPr>
                <w:rFonts w:hint="eastAsia" w:ascii="仿宋" w:hAnsi="仿宋" w:eastAsia="仿宋" w:cs="Times New Roman"/>
                <w:b w:val="0"/>
                <w:bCs/>
                <w:color w:val="auto"/>
                <w:sz w:val="24"/>
                <w:highlight w:val="none"/>
                <w:lang w:eastAsia="zh-CN"/>
              </w:rPr>
              <w:t>合同签订之日起2个月</w:t>
            </w:r>
            <w:r>
              <w:rPr>
                <w:rFonts w:hint="eastAsia" w:ascii="仿宋" w:hAnsi="仿宋" w:eastAsia="仿宋" w:cs="Times New Roman"/>
                <w:b w:val="0"/>
                <w:bCs/>
                <w:color w:val="auto"/>
                <w:sz w:val="24"/>
                <w:highlight w:val="none"/>
                <w:lang w:val="en-US" w:eastAsia="zh-CN"/>
              </w:rPr>
              <w:t>内完成安装和调试。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1.7.</w:t>
            </w:r>
            <w:r>
              <w:rPr>
                <w:rFonts w:hint="eastAsia" w:ascii="仿宋" w:hAnsi="仿宋" w:eastAsia="仿宋" w:cs="Times New Roman"/>
                <w:color w:val="auto"/>
                <w:sz w:val="24"/>
                <w:highlight w:val="none"/>
                <w:lang w:val="en-US" w:eastAsia="zh-CN"/>
              </w:rPr>
              <w:t>2</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b w:val="0"/>
                <w:bCs/>
                <w:color w:val="auto"/>
                <w:sz w:val="24"/>
                <w:highlight w:val="none"/>
              </w:rPr>
              <w:t>交付地点：</w:t>
            </w:r>
            <w:r>
              <w:rPr>
                <w:rFonts w:hint="eastAsia" w:ascii="仿宋" w:hAnsi="仿宋" w:eastAsia="仿宋" w:cs="Times New Roman"/>
                <w:b w:val="0"/>
                <w:bCs/>
                <w:color w:val="auto"/>
                <w:sz w:val="24"/>
                <w:highlight w:val="none"/>
                <w:lang w:val="en-US" w:eastAsia="zh-CN"/>
              </w:rPr>
              <w:t>瑞安市妇幼保健院</w:t>
            </w:r>
            <w:r>
              <w:rPr>
                <w:rFonts w:hint="eastAsia" w:ascii="仿宋" w:hAnsi="仿宋" w:eastAsia="仿宋" w:cs="Times New Roman"/>
                <w:b w:val="0"/>
                <w:bCs/>
                <w:color w:val="auto"/>
                <w:sz w:val="24"/>
                <w:highlight w:val="none"/>
                <w:lang w:eastAsia="zh-CN"/>
              </w:rPr>
              <w:t>指定</w:t>
            </w:r>
            <w:r>
              <w:rPr>
                <w:rFonts w:hint="eastAsia" w:ascii="仿宋" w:hAnsi="仿宋" w:eastAsia="仿宋" w:cs="Times New Roman"/>
                <w:b w:val="0"/>
                <w:bCs/>
                <w:color w:val="auto"/>
                <w:sz w:val="24"/>
                <w:highlight w:val="none"/>
                <w:lang w:val="en-US" w:eastAsia="zh-CN"/>
              </w:rPr>
              <w:t>地点</w:t>
            </w:r>
            <w:r>
              <w:rPr>
                <w:rFonts w:hint="eastAsia" w:ascii="仿宋" w:hAnsi="仿宋" w:eastAsia="仿宋" w:cs="Times New Roman"/>
                <w:b w:val="0"/>
                <w:bCs/>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1.7.</w:t>
            </w:r>
            <w:r>
              <w:rPr>
                <w:rFonts w:hint="eastAsia" w:ascii="仿宋" w:hAnsi="仿宋" w:eastAsia="仿宋" w:cs="Times New Roman"/>
                <w:color w:val="auto"/>
                <w:sz w:val="24"/>
                <w:highlight w:val="none"/>
                <w:lang w:val="en-US" w:eastAsia="zh-CN"/>
              </w:rPr>
              <w:t>3</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b w:val="0"/>
                <w:bCs/>
                <w:color w:val="auto"/>
                <w:sz w:val="24"/>
                <w:highlight w:val="none"/>
              </w:rPr>
              <w:t>交付方式：</w:t>
            </w:r>
            <w:r>
              <w:rPr>
                <w:rFonts w:hint="eastAsia" w:ascii="仿宋" w:hAnsi="仿宋" w:eastAsia="仿宋" w:cs="Times New Roman"/>
                <w:b w:val="0"/>
                <w:bCs/>
                <w:color w:val="auto"/>
                <w:sz w:val="24"/>
                <w:highlight w:val="none"/>
                <w:lang w:eastAsia="zh-CN"/>
              </w:rPr>
              <w:t>在接到</w:t>
            </w:r>
            <w:r>
              <w:rPr>
                <w:rFonts w:hint="eastAsia" w:ascii="仿宋" w:hAnsi="仿宋" w:eastAsia="仿宋" w:cs="Times New Roman"/>
                <w:b w:val="0"/>
                <w:bCs/>
                <w:color w:val="auto"/>
                <w:sz w:val="24"/>
                <w:highlight w:val="none"/>
                <w:lang w:val="en-US" w:eastAsia="zh-CN"/>
              </w:rPr>
              <w:t>甲方</w:t>
            </w:r>
            <w:r>
              <w:rPr>
                <w:rFonts w:hint="eastAsia" w:ascii="仿宋" w:hAnsi="仿宋" w:eastAsia="仿宋" w:cs="Times New Roman"/>
                <w:b w:val="0"/>
                <w:bCs/>
                <w:color w:val="auto"/>
                <w:sz w:val="24"/>
                <w:highlight w:val="none"/>
                <w:lang w:eastAsia="zh-CN"/>
              </w:rPr>
              <w:t>通知后，</w:t>
            </w:r>
            <w:r>
              <w:rPr>
                <w:rFonts w:hint="eastAsia" w:ascii="仿宋" w:hAnsi="仿宋" w:eastAsia="仿宋" w:cs="Times New Roman"/>
                <w:b w:val="0"/>
                <w:bCs/>
                <w:color w:val="auto"/>
                <w:sz w:val="24"/>
                <w:highlight w:val="none"/>
                <w:lang w:val="en-US" w:eastAsia="zh-CN"/>
              </w:rPr>
              <w:t>乙方</w:t>
            </w:r>
            <w:r>
              <w:rPr>
                <w:rFonts w:hint="eastAsia" w:ascii="仿宋" w:hAnsi="仿宋" w:eastAsia="仿宋" w:cs="Times New Roman"/>
                <w:b w:val="0"/>
                <w:bCs/>
                <w:color w:val="auto"/>
                <w:sz w:val="24"/>
                <w:highlight w:val="none"/>
                <w:lang w:eastAsia="zh-CN"/>
              </w:rPr>
              <w:t>须对</w:t>
            </w:r>
            <w:r>
              <w:rPr>
                <w:rFonts w:hint="eastAsia" w:ascii="仿宋" w:hAnsi="仿宋" w:eastAsia="仿宋" w:cs="Times New Roman"/>
                <w:b w:val="0"/>
                <w:bCs/>
                <w:color w:val="auto"/>
                <w:sz w:val="24"/>
                <w:highlight w:val="none"/>
                <w:lang w:val="en-US" w:eastAsia="zh-CN"/>
              </w:rPr>
              <w:t>甲方</w:t>
            </w:r>
            <w:r>
              <w:rPr>
                <w:rFonts w:hint="eastAsia" w:ascii="仿宋" w:hAnsi="仿宋" w:eastAsia="仿宋" w:cs="Times New Roman"/>
                <w:b w:val="0"/>
                <w:bCs/>
                <w:color w:val="auto"/>
                <w:sz w:val="24"/>
                <w:highlight w:val="none"/>
                <w:lang w:eastAsia="zh-CN"/>
              </w:rPr>
              <w:t>现场进行查勘，现场勘察后10个工作日内书面提供</w:t>
            </w:r>
            <w:r>
              <w:rPr>
                <w:rFonts w:hint="eastAsia" w:ascii="仿宋" w:hAnsi="仿宋" w:eastAsia="仿宋" w:cs="Times New Roman"/>
                <w:b w:val="0"/>
                <w:bCs/>
                <w:color w:val="auto"/>
                <w:sz w:val="24"/>
                <w:highlight w:val="none"/>
                <w:lang w:val="en-US" w:eastAsia="zh-CN"/>
              </w:rPr>
              <w:t>甲方</w:t>
            </w:r>
            <w:r>
              <w:rPr>
                <w:rFonts w:hint="eastAsia" w:ascii="仿宋" w:hAnsi="仿宋" w:eastAsia="仿宋" w:cs="Times New Roman"/>
                <w:b w:val="0"/>
                <w:bCs/>
                <w:color w:val="auto"/>
                <w:sz w:val="24"/>
                <w:highlight w:val="none"/>
                <w:lang w:eastAsia="zh-CN"/>
              </w:rPr>
              <w:t>认可的运输方案及安装方案，安装</w:t>
            </w:r>
            <w:r>
              <w:rPr>
                <w:rFonts w:hint="eastAsia" w:ascii="仿宋" w:hAnsi="仿宋" w:eastAsia="仿宋" w:cs="Times New Roman"/>
                <w:b w:val="0"/>
                <w:bCs/>
                <w:color w:val="auto"/>
                <w:sz w:val="24"/>
                <w:highlight w:val="none"/>
                <w:lang w:val="en-US" w:eastAsia="zh-CN"/>
              </w:rPr>
              <w:t>至甲方</w:t>
            </w:r>
            <w:r>
              <w:rPr>
                <w:rFonts w:hint="eastAsia" w:ascii="仿宋" w:hAnsi="仿宋" w:eastAsia="仿宋" w:cs="Times New Roman"/>
                <w:b w:val="0"/>
                <w:bCs/>
                <w:color w:val="auto"/>
                <w:sz w:val="24"/>
                <w:highlight w:val="none"/>
                <w:lang w:eastAsia="zh-CN"/>
              </w:rPr>
              <w:t>指定机房。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1.8.6</w:t>
            </w:r>
          </w:p>
        </w:tc>
        <w:tc>
          <w:tcPr>
            <w:tcW w:w="8275" w:type="dxa"/>
            <w:noWrap w:val="0"/>
            <w:vAlign w:val="center"/>
          </w:tcPr>
          <w:p>
            <w:pPr>
              <w:spacing w:line="360" w:lineRule="auto"/>
              <w:ind w:left="-420" w:leftChars="-200" w:right="-420" w:rightChars="-200"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1.9</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本合同履行过程中发生的任何争议，双方当事人均可通过和解或者调解解决；不愿和解、调解或者和解、调解不成的，</w:t>
            </w:r>
            <w:r>
              <w:rPr>
                <w:rFonts w:hint="eastAsia" w:ascii="仿宋" w:hAnsi="仿宋" w:eastAsia="仿宋" w:cs="Times New Roman"/>
                <w:b w:val="0"/>
                <w:bCs/>
                <w:color w:val="auto"/>
                <w:sz w:val="24"/>
                <w:highlight w:val="none"/>
              </w:rPr>
              <w:t>向</w:t>
            </w:r>
            <w:r>
              <w:rPr>
                <w:rFonts w:hint="eastAsia" w:ascii="仿宋" w:hAnsi="仿宋" w:eastAsia="仿宋" w:cs="Times New Roman"/>
                <w:b w:val="0"/>
                <w:bCs/>
                <w:color w:val="auto"/>
                <w:sz w:val="24"/>
                <w:highlight w:val="none"/>
                <w:lang w:val="en-US" w:eastAsia="zh-CN"/>
              </w:rPr>
              <w:t>项目所在地</w:t>
            </w:r>
            <w:r>
              <w:rPr>
                <w:rFonts w:hint="eastAsia" w:ascii="仿宋" w:hAnsi="仿宋" w:eastAsia="仿宋" w:cs="Times New Roman"/>
                <w:b w:val="0"/>
                <w:bCs/>
                <w:color w:val="auto"/>
                <w:sz w:val="24"/>
                <w:highlight w:val="none"/>
              </w:rPr>
              <w:t>人民法院起诉</w:t>
            </w:r>
            <w:r>
              <w:rPr>
                <w:rFonts w:hint="eastAsia" w:ascii="仿宋" w:hAnsi="仿宋" w:eastAsia="仿宋" w:cs="Times New Roman"/>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.2</w:t>
            </w:r>
          </w:p>
        </w:tc>
        <w:tc>
          <w:tcPr>
            <w:tcW w:w="8275" w:type="dxa"/>
            <w:noWrap w:val="0"/>
            <w:vAlign w:val="center"/>
          </w:tcPr>
          <w:p>
            <w:pPr>
              <w:spacing w:line="360" w:lineRule="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所提供的产品应具有知识产权的合法产品，且中标人保证所提供的货物或其任何一部分均不会侵犯任何第三方的知识产权。货物所含的软件招标人具有永久使用权。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.4.1</w:t>
            </w:r>
            <w:r>
              <w:rPr>
                <w:rFonts w:hint="eastAsia" w:ascii="仿宋" w:hAnsi="仿宋" w:eastAsia="仿宋" w:cs="Times New Roman"/>
                <w:color w:val="auto"/>
                <w:sz w:val="24"/>
                <w:highlight w:val="none"/>
              </w:rPr>
              <w:t xml:space="preserve"> </w:t>
            </w:r>
          </w:p>
        </w:tc>
        <w:tc>
          <w:tcPr>
            <w:tcW w:w="8275" w:type="dxa"/>
            <w:noWrap w:val="0"/>
            <w:vAlign w:val="top"/>
          </w:tcPr>
          <w:p>
            <w:pPr>
              <w:spacing w:line="360" w:lineRule="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ascii="仿宋" w:hAnsi="仿宋" w:eastAsia="仿宋" w:cs="Times New Roman"/>
                <w:color w:val="auto"/>
                <w:sz w:val="24"/>
                <w:highlight w:val="none"/>
              </w:rPr>
            </w:pPr>
            <w:r>
              <w:rPr>
                <w:rFonts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4</w:t>
            </w:r>
            <w:r>
              <w:rPr>
                <w:rFonts w:ascii="仿宋" w:hAnsi="仿宋" w:eastAsia="仿宋" w:cs="Times New Roman"/>
                <w:color w:val="auto"/>
                <w:sz w:val="24"/>
                <w:highlight w:val="none"/>
              </w:rPr>
              <w:t>.3</w:t>
            </w:r>
          </w:p>
        </w:tc>
        <w:tc>
          <w:tcPr>
            <w:tcW w:w="8275" w:type="dxa"/>
            <w:noWrap w:val="0"/>
            <w:vAlign w:val="center"/>
          </w:tcPr>
          <w:p>
            <w:pPr>
              <w:spacing w:line="360" w:lineRule="auto"/>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lang w:eastAsia="zh-CN"/>
              </w:rPr>
            </w:pPr>
            <w:r>
              <w:rPr>
                <w:rFonts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8</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货物或者在途货物或者交付给第一承运人后的货物毁损、灭失的风险负担详见合同专用条款。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lang w:eastAsia="zh-CN"/>
              </w:rPr>
            </w:pPr>
            <w:r>
              <w:rPr>
                <w:rFonts w:ascii="仿宋" w:hAnsi="仿宋" w:eastAsia="仿宋" w:cs="Times New Roman"/>
                <w:color w:val="auto"/>
                <w:sz w:val="24"/>
                <w:highlight w:val="none"/>
              </w:rPr>
              <w:t>2.1</w:t>
            </w:r>
            <w:r>
              <w:rPr>
                <w:rFonts w:hint="eastAsia" w:ascii="仿宋" w:hAnsi="仿宋" w:eastAsia="仿宋" w:cs="Times New Roman"/>
                <w:color w:val="auto"/>
                <w:sz w:val="24"/>
                <w:highlight w:val="none"/>
                <w:lang w:val="en-US" w:eastAsia="zh-CN"/>
              </w:rPr>
              <w:t>2</w:t>
            </w:r>
            <w:r>
              <w:rPr>
                <w:rFonts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3</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因不可抗力致使合同有变更必要的，双方当事人应在合同专用条款约定时间内以书面形式变更合同；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lang w:eastAsia="zh-CN"/>
              </w:rPr>
            </w:pPr>
            <w:r>
              <w:rPr>
                <w:rFonts w:ascii="仿宋" w:hAnsi="仿宋" w:eastAsia="仿宋" w:cs="Times New Roman"/>
                <w:color w:val="auto"/>
                <w:sz w:val="24"/>
                <w:highlight w:val="none"/>
              </w:rPr>
              <w:t>2.1</w:t>
            </w:r>
            <w:r>
              <w:rPr>
                <w:rFonts w:hint="eastAsia" w:ascii="仿宋" w:hAnsi="仿宋" w:eastAsia="仿宋" w:cs="Times New Roman"/>
                <w:color w:val="auto"/>
                <w:sz w:val="24"/>
                <w:highlight w:val="none"/>
                <w:lang w:val="en-US" w:eastAsia="zh-CN"/>
              </w:rPr>
              <w:t>2</w:t>
            </w:r>
            <w:r>
              <w:rPr>
                <w:rFonts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4</w:t>
            </w:r>
          </w:p>
        </w:tc>
        <w:tc>
          <w:tcPr>
            <w:tcW w:w="8275" w:type="dxa"/>
            <w:noWrap w:val="0"/>
            <w:vAlign w:val="center"/>
          </w:tcPr>
          <w:p>
            <w:pPr>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受不可抗力影响的一方在不可抗力发生后，应在合同专用条款约定时间内以书面形式通知对方当事人，并在合同专用条款约定时间内，将有关部门出具的证明文件送达对方当事人。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2.2</w:t>
            </w:r>
            <w:r>
              <w:rPr>
                <w:rFonts w:hint="eastAsia" w:ascii="仿宋" w:hAnsi="仿宋" w:eastAsia="仿宋" w:cs="Times New Roman"/>
                <w:color w:val="auto"/>
                <w:sz w:val="24"/>
                <w:highlight w:val="none"/>
                <w:lang w:val="en-US" w:eastAsia="zh-CN"/>
              </w:rPr>
              <w:t>0</w:t>
            </w:r>
            <w:r>
              <w:rPr>
                <w:rFonts w:hint="eastAsia" w:ascii="仿宋" w:hAnsi="仿宋" w:eastAsia="仿宋" w:cs="Times New Roman"/>
                <w:color w:val="auto"/>
                <w:sz w:val="24"/>
                <w:highlight w:val="none"/>
              </w:rPr>
              <w:t xml:space="preserve"> </w:t>
            </w:r>
          </w:p>
        </w:tc>
        <w:tc>
          <w:tcPr>
            <w:tcW w:w="8275" w:type="dxa"/>
            <w:noWrap w:val="0"/>
            <w:vAlign w:val="center"/>
          </w:tcPr>
          <w:p>
            <w:pPr>
              <w:spacing w:line="360" w:lineRule="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本合同正本一式</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份，副本</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份</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甲乙双方各执</w:t>
            </w:r>
            <w:r>
              <w:rPr>
                <w:rFonts w:hint="eastAsia" w:ascii="仿宋" w:hAnsi="仿宋" w:eastAsia="仿宋" w:cs="Times New Roman"/>
                <w:color w:val="auto"/>
                <w:sz w:val="24"/>
                <w:highlight w:val="none"/>
                <w:u w:val="single"/>
                <w:lang w:val="en-US" w:eastAsia="zh-CN"/>
              </w:rPr>
              <w:t xml:space="preserve">    </w:t>
            </w:r>
            <w:r>
              <w:rPr>
                <w:rFonts w:hint="eastAsia" w:ascii="仿宋" w:hAnsi="仿宋" w:eastAsia="仿宋" w:cs="Times New Roman"/>
                <w:color w:val="auto"/>
                <w:sz w:val="24"/>
                <w:highlight w:val="none"/>
              </w:rPr>
              <w:t>份；每份均具有同等法律效力</w:t>
            </w:r>
            <w:r>
              <w:rPr>
                <w:rFonts w:hint="eastAsia" w:ascii="仿宋" w:hAnsi="仿宋" w:eastAsia="仿宋" w:cs="Times New Roman"/>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Times New Roman"/>
                <w:color w:val="auto"/>
                <w:kern w:val="2"/>
                <w:sz w:val="24"/>
                <w:szCs w:val="22"/>
                <w:highlight w:val="none"/>
                <w:lang w:val="en-US" w:eastAsia="zh-CN" w:bidi="ar-SA"/>
              </w:rPr>
            </w:pPr>
            <w:bookmarkStart w:id="757" w:name="_Toc24518"/>
            <w:bookmarkStart w:id="758" w:name="_Toc2222"/>
            <w:bookmarkStart w:id="759" w:name="_Toc274"/>
            <w:r>
              <w:rPr>
                <w:rFonts w:hint="eastAsia" w:ascii="仿宋" w:hAnsi="仿宋" w:eastAsia="仿宋" w:cs="Times New Roman"/>
                <w:color w:val="auto"/>
                <w:sz w:val="24"/>
                <w:highlight w:val="none"/>
                <w:lang w:val="en-US" w:eastAsia="zh-CN"/>
              </w:rPr>
              <w:t>2.21</w:t>
            </w:r>
          </w:p>
        </w:tc>
        <w:tc>
          <w:tcPr>
            <w:tcW w:w="8275" w:type="dxa"/>
            <w:noWrap w:val="0"/>
            <w:vAlign w:val="center"/>
          </w:tcPr>
          <w:p>
            <w:pPr>
              <w:spacing w:line="360" w:lineRule="auto"/>
              <w:rPr>
                <w:rFonts w:hint="eastAsia" w:ascii="仿宋" w:hAnsi="仿宋" w:eastAsia="仿宋" w:cs="Times New Roman"/>
                <w:color w:val="auto"/>
                <w:kern w:val="2"/>
                <w:sz w:val="24"/>
                <w:szCs w:val="22"/>
                <w:highlight w:val="none"/>
                <w:lang w:val="en-US" w:eastAsia="zh-CN" w:bidi="ar-SA"/>
              </w:rPr>
            </w:pPr>
            <w:r>
              <w:rPr>
                <w:rFonts w:hint="eastAsia" w:ascii="仿宋" w:hAnsi="仿宋" w:eastAsia="仿宋" w:cs="Times New Roman"/>
                <w:color w:val="auto"/>
                <w:sz w:val="24"/>
                <w:highlight w:val="none"/>
                <w:lang w:val="en-US" w:eastAsia="zh-CN"/>
              </w:rPr>
              <w:t>其他：《售后服务承诺书》作为合同的附件</w:t>
            </w:r>
          </w:p>
        </w:tc>
      </w:tr>
    </w:tbl>
    <w:p>
      <w:pPr>
        <w:pStyle w:val="2"/>
        <w:keepNext w:val="0"/>
        <w:keepLines w:val="0"/>
        <w:pageBreakBefore/>
        <w:tabs>
          <w:tab w:val="left" w:pos="840"/>
        </w:tabs>
        <w:spacing w:before="312" w:beforeLines="100" w:after="312" w:afterLines="100" w:line="40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六</w:t>
      </w:r>
      <w:r>
        <w:rPr>
          <w:rFonts w:hint="eastAsia" w:ascii="宋体" w:hAnsi="宋体" w:eastAsia="宋体" w:cs="宋体"/>
          <w:color w:val="auto"/>
          <w:sz w:val="28"/>
          <w:szCs w:val="36"/>
          <w:highlight w:val="none"/>
        </w:rPr>
        <w:t xml:space="preserve">部分  </w:t>
      </w:r>
      <w:bookmarkEnd w:id="22"/>
      <w:bookmarkEnd w:id="23"/>
      <w:r>
        <w:rPr>
          <w:rFonts w:hint="eastAsia" w:ascii="宋体" w:hAnsi="宋体" w:eastAsia="宋体" w:cs="宋体"/>
          <w:color w:val="auto"/>
          <w:sz w:val="28"/>
          <w:szCs w:val="36"/>
          <w:highlight w:val="none"/>
        </w:rPr>
        <w:t>应提交的有关格式范例</w:t>
      </w:r>
      <w:bookmarkEnd w:id="757"/>
      <w:bookmarkEnd w:id="758"/>
      <w:bookmarkEnd w:id="759"/>
    </w:p>
    <w:p>
      <w:pPr>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 </w:t>
      </w:r>
      <w:bookmarkStart w:id="760" w:name="_Toc1715"/>
      <w:bookmarkStart w:id="761" w:name="_Toc25231"/>
      <w:bookmarkStart w:id="762" w:name="_Toc25765"/>
      <w:r>
        <w:rPr>
          <w:rFonts w:hint="eastAsia" w:ascii="宋体" w:hAnsi="宋体" w:eastAsia="宋体" w:cs="宋体"/>
          <w:b/>
          <w:color w:val="auto"/>
          <w:kern w:val="0"/>
          <w:sz w:val="32"/>
          <w:szCs w:val="32"/>
          <w:highlight w:val="none"/>
        </w:rPr>
        <w:t>资格文件部分</w:t>
      </w:r>
      <w:bookmarkEnd w:id="760"/>
      <w:bookmarkEnd w:id="761"/>
      <w:bookmarkEnd w:id="762"/>
    </w:p>
    <w:p>
      <w:pPr>
        <w:snapToGrid w:val="0"/>
        <w:spacing w:line="400" w:lineRule="atLeast"/>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snapToGrid w:val="0"/>
        <w:spacing w:line="360" w:lineRule="auto"/>
        <w:rPr>
          <w:rFonts w:hint="eastAsia" w:ascii="宋体" w:hAnsi="宋体" w:eastAsia="宋体" w:cs="宋体"/>
          <w:color w:val="auto"/>
          <w:sz w:val="21"/>
          <w:szCs w:val="21"/>
          <w:highlight w:val="none"/>
        </w:rPr>
      </w:pPr>
    </w:p>
    <w:p>
      <w:pPr>
        <w:numPr>
          <w:ilvl w:val="0"/>
          <w:numId w:val="12"/>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具有独立承担民事责任能力的证明材料……………………………（页码）</w:t>
      </w:r>
    </w:p>
    <w:p>
      <w:pPr>
        <w:numPr>
          <w:ilvl w:val="0"/>
          <w:numId w:val="12"/>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符合参加政府采购活动应当具备的一般条件的承诺函……………（页码）</w:t>
      </w:r>
    </w:p>
    <w:p>
      <w:pPr>
        <w:numPr>
          <w:ilvl w:val="0"/>
          <w:numId w:val="12"/>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落实政府采购政策需满足的资格要求………………………………（页码）</w:t>
      </w:r>
    </w:p>
    <w:p>
      <w:pPr>
        <w:numPr>
          <w:ilvl w:val="0"/>
          <w:numId w:val="12"/>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本项目的特定资格要求………………………………………………（页码）</w:t>
      </w:r>
    </w:p>
    <w:p>
      <w:pPr>
        <w:snapToGrid w:val="0"/>
        <w:spacing w:line="400" w:lineRule="atLeast"/>
        <w:ind w:left="426"/>
        <w:rPr>
          <w:rFonts w:hint="eastAsia" w:ascii="宋体" w:hAnsi="宋体" w:eastAsia="宋体" w:cs="宋体"/>
          <w:color w:val="auto"/>
          <w:highlight w:val="none"/>
        </w:rPr>
      </w:pPr>
    </w:p>
    <w:p>
      <w:pPr>
        <w:snapToGrid w:val="0"/>
        <w:spacing w:line="400" w:lineRule="atLeast"/>
        <w:ind w:firstLine="420" w:firstLineChars="200"/>
        <w:rPr>
          <w:rFonts w:hint="eastAsia" w:ascii="宋体" w:hAnsi="宋体" w:eastAsia="宋体" w:cs="宋体"/>
          <w:color w:val="auto"/>
          <w:highlight w:val="none"/>
        </w:rPr>
      </w:pPr>
    </w:p>
    <w:p>
      <w:pPr>
        <w:spacing w:line="400" w:lineRule="atLeast"/>
        <w:rPr>
          <w:rFonts w:hint="eastAsia" w:ascii="宋体" w:hAnsi="宋体" w:eastAsia="宋体" w:cs="宋体"/>
          <w:b/>
          <w:color w:val="auto"/>
          <w:sz w:val="28"/>
          <w:szCs w:val="36"/>
          <w:highlight w:val="none"/>
        </w:rPr>
      </w:pPr>
      <w:bookmarkStart w:id="763" w:name="_Toc3603"/>
      <w:bookmarkStart w:id="764" w:name="_Toc7860"/>
      <w:bookmarkStart w:id="765" w:name="_Toc26806"/>
      <w:bookmarkStart w:id="766" w:name="_Toc15858"/>
      <w:bookmarkStart w:id="767" w:name="_Toc7092"/>
      <w:bookmarkStart w:id="768" w:name="_Toc376414485"/>
      <w:bookmarkStart w:id="769" w:name="_Toc31870"/>
      <w:bookmarkStart w:id="770" w:name="_Toc29673"/>
      <w:bookmarkStart w:id="771" w:name="_Toc376436266"/>
      <w:bookmarkStart w:id="772" w:name="_Toc419811115"/>
      <w:bookmarkStart w:id="773" w:name="_Toc4311"/>
      <w:bookmarkStart w:id="774" w:name="_Toc25605"/>
      <w:bookmarkStart w:id="775" w:name="_Toc1432"/>
      <w:bookmarkStart w:id="776" w:name="_Toc474156108"/>
      <w:bookmarkStart w:id="777" w:name="_Toc454832231"/>
    </w:p>
    <w:p>
      <w:pPr>
        <w:pStyle w:val="3"/>
        <w:numPr>
          <w:ilvl w:val="0"/>
          <w:numId w:val="13"/>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val="0"/>
          <w:color w:val="auto"/>
          <w:highlight w:val="none"/>
        </w:rPr>
        <w:br w:type="page"/>
      </w:r>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8" w:name="_Toc26338"/>
      <w:bookmarkStart w:id="779" w:name="_Toc7544"/>
      <w:bookmarkStart w:id="780" w:name="_Toc419811114"/>
      <w:bookmarkStart w:id="781" w:name="_Toc28708"/>
      <w:bookmarkStart w:id="782" w:name="_Toc31004"/>
      <w:r>
        <w:rPr>
          <w:rFonts w:hint="eastAsia" w:ascii="宋体" w:hAnsi="宋体" w:eastAsia="宋体" w:cs="宋体"/>
          <w:b/>
          <w:color w:val="auto"/>
          <w:kern w:val="0"/>
          <w:sz w:val="28"/>
          <w:szCs w:val="28"/>
          <w:highlight w:val="none"/>
        </w:rPr>
        <w:t>具有独立承担民事责任能力的证明材料</w:t>
      </w:r>
      <w:bookmarkEnd w:id="778"/>
      <w:bookmarkEnd w:id="779"/>
    </w:p>
    <w:p>
      <w:pPr>
        <w:pStyle w:val="31"/>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p>
    <w:p>
      <w:pPr>
        <w:pStyle w:val="31"/>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供应商须在</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文件中出具符合以下情况的证明材料复印件（五选一）：</w:t>
      </w:r>
    </w:p>
    <w:p>
      <w:pPr>
        <w:pStyle w:val="31"/>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1</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如供应商是企业（包括合伙企业），提供在工商部门注册的有效“企业法人营业执照”或“营业执照”；</w:t>
      </w:r>
    </w:p>
    <w:p>
      <w:pPr>
        <w:pStyle w:val="31"/>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2</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如供应商是事业单位，提供有效的“事业单位法人证书”；</w:t>
      </w:r>
    </w:p>
    <w:p>
      <w:pPr>
        <w:pStyle w:val="31"/>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3</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如供应商是非企业专业服务机构的，提供执业许可证等证明文件；</w:t>
      </w:r>
    </w:p>
    <w:p>
      <w:pPr>
        <w:pStyle w:val="31"/>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4</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如供应商是个体工商户，提供有效的“个体工商户营业执照”；</w:t>
      </w:r>
    </w:p>
    <w:p>
      <w:pPr>
        <w:pStyle w:val="31"/>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5</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如供应商是自然人，提供有效的自然人身份证明（居民身份证正反面或公安机关出具的临时居民身份证正反面或港澳台胞证或护照）。</w:t>
      </w:r>
    </w:p>
    <w:p>
      <w:pPr>
        <w:pStyle w:val="31"/>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3"/>
        <w:numPr>
          <w:ilvl w:val="0"/>
          <w:numId w:val="13"/>
        </w:numPr>
        <w:tabs>
          <w:tab w:val="left" w:pos="840"/>
        </w:tabs>
        <w:spacing w:before="0" w:after="156" w:afterLines="50" w:line="400" w:lineRule="exact"/>
        <w:ind w:left="0" w:leftChars="0" w:firstLine="420" w:firstLineChars="0"/>
        <w:jc w:val="center"/>
        <w:rPr>
          <w:rFonts w:hint="eastAsia" w:ascii="宋体" w:hAnsi="宋体" w:eastAsia="宋体" w:cs="宋体"/>
          <w:color w:val="auto"/>
          <w:sz w:val="28"/>
          <w:szCs w:val="36"/>
          <w:highlight w:val="none"/>
        </w:rPr>
      </w:pPr>
      <w:r>
        <w:rPr>
          <w:rFonts w:hint="eastAsia" w:ascii="宋体" w:hAnsi="宋体" w:cs="宋体"/>
          <w:b/>
          <w:color w:val="auto"/>
          <w:kern w:val="0"/>
          <w:sz w:val="32"/>
          <w:szCs w:val="32"/>
          <w:highlight w:val="none"/>
          <w:lang w:val="en-US" w:eastAsia="zh-CN"/>
        </w:rPr>
        <w:br w:type="page"/>
      </w:r>
      <w:bookmarkStart w:id="783" w:name="_Toc9693"/>
      <w:bookmarkStart w:id="784" w:name="_Toc26892"/>
      <w:r>
        <w:rPr>
          <w:rFonts w:hint="eastAsia" w:ascii="宋体" w:hAnsi="宋体" w:eastAsia="宋体" w:cs="宋体"/>
          <w:b/>
          <w:bCs w:val="0"/>
          <w:color w:val="auto"/>
          <w:sz w:val="28"/>
          <w:szCs w:val="36"/>
          <w:highlight w:val="none"/>
        </w:rPr>
        <w:t>符合参加政府采购活动应当具备的一般条件的承诺函</w:t>
      </w:r>
      <w:bookmarkEnd w:id="783"/>
      <w:bookmarkEnd w:id="784"/>
    </w:p>
    <w:p>
      <w:pPr>
        <w:rPr>
          <w:rFonts w:hint="eastAsia" w:ascii="宋体" w:hAnsi="宋体" w:eastAsia="宋体" w:cs="宋体"/>
          <w:color w:val="auto"/>
          <w:highlight w:val="none"/>
        </w:rPr>
      </w:pPr>
    </w:p>
    <w:p>
      <w:pPr>
        <w:spacing w:line="276" w:lineRule="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瑞安市妇幼保健院</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浙江凯宝工程项目管理有限公司</w:t>
      </w:r>
      <w:r>
        <w:rPr>
          <w:rFonts w:hint="eastAsia" w:ascii="宋体" w:hAnsi="宋体" w:eastAsia="宋体" w:cs="Times New Roman"/>
          <w:bCs/>
          <w:color w:val="auto"/>
          <w:highlight w:val="none"/>
        </w:rPr>
        <w:t>：</w:t>
      </w:r>
    </w:p>
    <w:p>
      <w:pPr>
        <w:rPr>
          <w:rFonts w:ascii="Times New Roman" w:hAnsi="Times New Roman" w:eastAsia="宋体" w:cs="Times New Roman"/>
          <w:color w:val="auto"/>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我方参与（项目名称）【</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编号：（采购编号）】政府采购活动，郑重承诺：</w:t>
      </w:r>
    </w:p>
    <w:p>
      <w:pPr>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20" w:firstLineChars="200"/>
        <w:jc w:val="left"/>
        <w:rPr>
          <w:rStyle w:val="39"/>
          <w:rFonts w:hint="eastAsia" w:ascii="宋体" w:hAnsi="宋体" w:eastAsia="宋体" w:cs="宋体"/>
          <w:color w:val="auto"/>
          <w:sz w:val="21"/>
          <w:szCs w:val="21"/>
          <w:highlight w:val="none"/>
        </w:rPr>
      </w:pPr>
      <w:r>
        <w:rPr>
          <w:rStyle w:val="39"/>
          <w:rFonts w:hint="eastAsia" w:ascii="宋体" w:hAnsi="宋体" w:eastAsia="宋体" w:cs="宋体"/>
          <w:b w:val="0"/>
          <w:bCs w:val="0"/>
          <w:color w:val="auto"/>
          <w:sz w:val="21"/>
          <w:szCs w:val="21"/>
          <w:highlight w:val="none"/>
          <w:lang w:eastAsia="zh-CN"/>
        </w:rPr>
        <w:t>我方</w:t>
      </w:r>
      <w:r>
        <w:rPr>
          <w:rStyle w:val="39"/>
          <w:rFonts w:hint="eastAsia" w:ascii="宋体" w:hAnsi="宋体" w:eastAsia="宋体" w:cs="宋体"/>
          <w:b w:val="0"/>
          <w:bCs w:val="0"/>
          <w:color w:val="auto"/>
          <w:sz w:val="21"/>
          <w:szCs w:val="21"/>
          <w:highlight w:val="none"/>
        </w:rPr>
        <w:t>对上述承诺的真实性负责。上述承诺如有虚假，将按“提供虚假材料谋取中标、成交”情形，由采购人取消我公司任何资格（投标/中标/签订合同），且由采购单位/采购代理机构报告至政府采购监管部门。</w:t>
      </w:r>
      <w:r>
        <w:rPr>
          <w:rStyle w:val="39"/>
          <w:rFonts w:hint="eastAsia" w:ascii="宋体" w:hAnsi="宋体" w:eastAsia="宋体" w:cs="宋体"/>
          <w:color w:val="auto"/>
          <w:sz w:val="21"/>
          <w:szCs w:val="21"/>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napToGrid w:val="0"/>
        <w:spacing w:line="360" w:lineRule="auto"/>
        <w:ind w:firstLine="420" w:firstLineChars="200"/>
        <w:jc w:val="left"/>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eastAsia="zh-CN"/>
        </w:rPr>
        <w:t>方</w:t>
      </w:r>
      <w:r>
        <w:rPr>
          <w:rStyle w:val="39"/>
          <w:rFonts w:hint="eastAsia" w:ascii="宋体" w:hAnsi="宋体" w:eastAsia="宋体" w:cs="宋体"/>
          <w:color w:val="auto"/>
          <w:sz w:val="21"/>
          <w:szCs w:val="21"/>
          <w:highlight w:val="none"/>
        </w:rPr>
        <w:t>已知晓前述法律规定，对此无任何异议。</w:t>
      </w:r>
    </w:p>
    <w:p>
      <w:pPr>
        <w:spacing w:line="360" w:lineRule="auto"/>
        <w:rPr>
          <w:rStyle w:val="142"/>
          <w:rFonts w:ascii="宋体" w:hAnsi="宋体" w:cs="Arial"/>
          <w:b/>
          <w:bCs/>
          <w:color w:val="auto"/>
          <w:szCs w:val="21"/>
          <w:highlight w:val="none"/>
        </w:rPr>
      </w:pPr>
    </w:p>
    <w:p>
      <w:pPr>
        <w:spacing w:line="360" w:lineRule="auto"/>
        <w:rPr>
          <w:rFonts w:ascii="宋体" w:hAnsi="宋体"/>
          <w:b/>
          <w:bCs/>
          <w:color w:val="auto"/>
          <w:szCs w:val="21"/>
          <w:highlight w:val="none"/>
        </w:rPr>
      </w:pPr>
      <w:r>
        <w:rPr>
          <w:rStyle w:val="142"/>
          <w:rFonts w:ascii="宋体" w:hAnsi="宋体" w:cs="Arial"/>
          <w:b/>
          <w:bCs/>
          <w:color w:val="auto"/>
          <w:szCs w:val="21"/>
          <w:highlight w:val="none"/>
        </w:rPr>
        <w:t>注：</w:t>
      </w:r>
      <w:bookmarkStart w:id="785" w:name="_Toc9599"/>
      <w:bookmarkStart w:id="786" w:name="_Toc16992"/>
      <w:bookmarkStart w:id="787" w:name="_Toc12722"/>
      <w:r>
        <w:rPr>
          <w:rFonts w:hint="eastAsia" w:ascii="宋体" w:hAnsi="宋体"/>
          <w:b/>
          <w:bCs/>
          <w:color w:val="auto"/>
          <w:szCs w:val="21"/>
          <w:highlight w:val="none"/>
        </w:rPr>
        <w:t>1.</w:t>
      </w:r>
      <w:r>
        <w:rPr>
          <w:rStyle w:val="142"/>
          <w:rFonts w:ascii="宋体" w:hAnsi="宋体" w:cs="Arial"/>
          <w:color w:val="auto"/>
          <w:szCs w:val="21"/>
          <w:highlight w:val="none"/>
        </w:rPr>
        <w:t>▲</w:t>
      </w:r>
      <w:r>
        <w:rPr>
          <w:rFonts w:hint="eastAsia" w:ascii="宋体" w:hAnsi="宋体" w:cs="宋体"/>
          <w:b/>
          <w:bCs/>
          <w:color w:val="auto"/>
          <w:szCs w:val="21"/>
          <w:highlight w:val="none"/>
        </w:rPr>
        <w:t>本承诺函必须提供。</w:t>
      </w:r>
    </w:p>
    <w:p>
      <w:pPr>
        <w:spacing w:line="360" w:lineRule="auto"/>
        <w:rPr>
          <w:rStyle w:val="142"/>
          <w:rFonts w:ascii="宋体" w:hAnsi="宋体" w:cs="Arial"/>
          <w:b/>
          <w:bCs/>
          <w:color w:val="auto"/>
          <w:szCs w:val="21"/>
          <w:highlight w:val="none"/>
        </w:rPr>
      </w:pPr>
      <w:r>
        <w:rPr>
          <w:rFonts w:hint="eastAsia" w:ascii="宋体" w:hAnsi="宋体"/>
          <w:b/>
          <w:bCs/>
          <w:color w:val="auto"/>
          <w:szCs w:val="21"/>
          <w:highlight w:val="none"/>
        </w:rPr>
        <w:t>2.参加政府采购活动的时间是指供应商参加本项目的政府采购活动时间为准（具体以投标截止时间为准）。</w:t>
      </w:r>
      <w:bookmarkEnd w:id="785"/>
      <w:bookmarkEnd w:id="786"/>
      <w:bookmarkEnd w:id="787"/>
    </w:p>
    <w:p>
      <w:pPr>
        <w:snapToGrid w:val="0"/>
        <w:spacing w:line="360" w:lineRule="auto"/>
        <w:ind w:firstLine="420" w:firstLineChars="200"/>
        <w:jc w:val="left"/>
        <w:rPr>
          <w:rFonts w:hint="eastAsia" w:ascii="宋体" w:hAnsi="宋体" w:eastAsia="宋体" w:cs="宋体"/>
          <w:color w:val="auto"/>
          <w:sz w:val="21"/>
          <w:szCs w:val="21"/>
          <w:highlight w:val="none"/>
        </w:rPr>
      </w:pPr>
    </w:p>
    <w:p>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pStyle w:val="16"/>
        <w:ind w:left="0" w:leftChars="0" w:firstLine="0" w:firstLineChars="0"/>
        <w:rPr>
          <w:rFonts w:hint="eastAsia" w:ascii="宋体" w:hAnsi="宋体" w:eastAsia="宋体" w:cs="宋体"/>
          <w:color w:val="auto"/>
          <w:highlight w:val="none"/>
        </w:rPr>
      </w:pPr>
    </w:p>
    <w:p>
      <w:pPr>
        <w:pStyle w:val="16"/>
        <w:ind w:left="0" w:leftChars="0" w:firstLine="0" w:firstLineChars="0"/>
        <w:rPr>
          <w:rFonts w:hint="eastAsia" w:ascii="宋体" w:hAnsi="宋体" w:eastAsia="宋体" w:cs="宋体"/>
          <w:color w:val="auto"/>
          <w:highlight w:val="none"/>
        </w:rPr>
      </w:pPr>
    </w:p>
    <w:p>
      <w:pPr>
        <w:pStyle w:val="3"/>
        <w:numPr>
          <w:ilvl w:val="0"/>
          <w:numId w:val="13"/>
        </w:numPr>
        <w:tabs>
          <w:tab w:val="left" w:pos="840"/>
        </w:tabs>
        <w:spacing w:before="0" w:after="156" w:afterLines="50" w:line="400" w:lineRule="exact"/>
        <w:ind w:left="0" w:leftChars="0" w:firstLine="420" w:firstLineChars="0"/>
        <w:jc w:val="center"/>
        <w:rPr>
          <w:rFonts w:hint="eastAsia" w:ascii="宋体" w:hAnsi="宋体" w:eastAsia="宋体" w:cs="宋体"/>
          <w:b/>
          <w:bCs w:val="0"/>
          <w:color w:val="auto"/>
          <w:kern w:val="2"/>
          <w:sz w:val="28"/>
          <w:szCs w:val="36"/>
          <w:highlight w:val="none"/>
          <w:lang w:val="en-US" w:eastAsia="zh-CN" w:bidi="ar-SA"/>
        </w:rPr>
      </w:pPr>
      <w:bookmarkStart w:id="788" w:name="_Toc6274"/>
      <w:bookmarkStart w:id="789" w:name="_Toc9753"/>
      <w:bookmarkStart w:id="790" w:name="_Toc26372"/>
      <w:r>
        <w:rPr>
          <w:rFonts w:hint="eastAsia" w:ascii="宋体" w:hAnsi="宋体" w:eastAsia="宋体" w:cs="宋体"/>
          <w:b/>
          <w:bCs w:val="0"/>
          <w:color w:val="auto"/>
          <w:kern w:val="2"/>
          <w:sz w:val="28"/>
          <w:szCs w:val="36"/>
          <w:highlight w:val="none"/>
          <w:lang w:val="en-US" w:eastAsia="zh-CN" w:bidi="ar-SA"/>
        </w:rPr>
        <w:t>落实政府采购政策需满足的资格要求</w:t>
      </w:r>
      <w:bookmarkEnd w:id="788"/>
      <w:bookmarkEnd w:id="789"/>
    </w:p>
    <w:p>
      <w:pPr>
        <w:numPr>
          <w:ilvl w:val="0"/>
          <w:numId w:val="0"/>
        </w:numPr>
        <w:spacing w:line="360" w:lineRule="auto"/>
        <w:ind w:left="420" w:leftChars="0"/>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公告</w:t>
      </w:r>
      <w:r>
        <w:rPr>
          <w:rFonts w:hint="eastAsia" w:ascii="宋体" w:hAnsi="宋体" w:eastAsia="宋体" w:cs="宋体"/>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b/>
          <w:color w:val="auto"/>
          <w:sz w:val="24"/>
          <w:highlight w:val="none"/>
        </w:rPr>
      </w:pPr>
    </w:p>
    <w:p>
      <w:pPr>
        <w:pStyle w:val="1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3"/>
        <w:numPr>
          <w:ilvl w:val="0"/>
          <w:numId w:val="13"/>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rPr>
        <w:br w:type="page"/>
      </w:r>
      <w:bookmarkStart w:id="791" w:name="_Toc28612"/>
      <w:bookmarkStart w:id="792" w:name="_Toc24900"/>
      <w:r>
        <w:rPr>
          <w:rFonts w:hint="eastAsia" w:ascii="宋体" w:hAnsi="宋体" w:eastAsia="宋体" w:cs="宋体"/>
          <w:b/>
          <w:color w:val="auto"/>
          <w:kern w:val="0"/>
          <w:sz w:val="28"/>
          <w:szCs w:val="28"/>
          <w:highlight w:val="none"/>
        </w:rPr>
        <w:t>本项目的特定资格要求</w:t>
      </w:r>
      <w:bookmarkEnd w:id="791"/>
      <w:bookmarkEnd w:id="792"/>
    </w:p>
    <w:p>
      <w:pPr>
        <w:numPr>
          <w:ilvl w:val="0"/>
          <w:numId w:val="0"/>
        </w:numPr>
        <w:spacing w:line="360" w:lineRule="auto"/>
        <w:ind w:left="42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pStyle w:val="1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highlight w:val="none"/>
        </w:rPr>
      </w:pPr>
    </w:p>
    <w:p>
      <w:pPr>
        <w:pStyle w:val="12"/>
        <w:rPr>
          <w:rFonts w:hint="eastAsia" w:ascii="宋体" w:hAnsi="宋体" w:eastAsia="宋体" w:cs="宋体"/>
          <w:color w:val="auto"/>
          <w:sz w:val="28"/>
          <w:szCs w:val="28"/>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宋体" w:hAnsi="宋体" w:eastAsia="宋体" w:cs="宋体"/>
          <w:b/>
          <w:color w:val="auto"/>
          <w:kern w:val="0"/>
          <w:sz w:val="28"/>
          <w:szCs w:val="28"/>
          <w:highlight w:val="none"/>
          <w:lang w:val="en-US" w:eastAsia="zh-CN"/>
        </w:rPr>
        <w:br w:type="page"/>
      </w:r>
      <w:bookmarkEnd w:id="790"/>
      <w:r>
        <w:rPr>
          <w:rFonts w:hint="eastAsia" w:ascii="宋体" w:hAnsi="宋体" w:eastAsia="宋体" w:cs="宋体"/>
          <w:color w:val="auto"/>
          <w:sz w:val="28"/>
          <w:szCs w:val="36"/>
          <w:highlight w:val="none"/>
          <w:lang w:val="en-US" w:eastAsia="zh-CN"/>
        </w:rPr>
        <w:t xml:space="preserve"> </w:t>
      </w:r>
      <w:bookmarkStart w:id="793" w:name="_Toc25088"/>
      <w:bookmarkStart w:id="794" w:name="_Toc25318"/>
      <w:bookmarkStart w:id="795" w:name="_Toc9308"/>
      <w:r>
        <w:rPr>
          <w:rFonts w:hint="eastAsia" w:ascii="宋体" w:hAnsi="宋体" w:eastAsia="宋体" w:cs="宋体"/>
          <w:b/>
          <w:color w:val="auto"/>
          <w:kern w:val="0"/>
          <w:sz w:val="28"/>
          <w:szCs w:val="28"/>
          <w:highlight w:val="none"/>
        </w:rPr>
        <w:t>商务技术文件部分</w:t>
      </w:r>
      <w:bookmarkEnd w:id="793"/>
      <w:bookmarkEnd w:id="794"/>
      <w:bookmarkEnd w:id="795"/>
    </w:p>
    <w:p>
      <w:pPr>
        <w:snapToGrid w:val="0"/>
        <w:spacing w:line="360" w:lineRule="auto"/>
        <w:ind w:left="479" w:leftChars="228"/>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目录</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评标标准相应的商务技术资料………………………………………………………（页码）</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pPr>
        <w:numPr>
          <w:ilvl w:val="0"/>
          <w:numId w:val="14"/>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售后服务承诺书………………………………………………………………………（页码）</w:t>
      </w:r>
    </w:p>
    <w:p>
      <w:pPr>
        <w:pStyle w:val="3"/>
        <w:numPr>
          <w:ilvl w:val="1"/>
          <w:numId w:val="0"/>
        </w:numPr>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color w:val="auto"/>
          <w:sz w:val="24"/>
          <w:highlight w:val="none"/>
        </w:rPr>
        <w:br w:type="page"/>
      </w:r>
      <w:bookmarkStart w:id="796" w:name="_Toc16303"/>
      <w:bookmarkStart w:id="797" w:name="_Toc28033"/>
      <w:bookmarkStart w:id="798" w:name="_Toc433808004"/>
      <w:bookmarkStart w:id="799" w:name="_Toc384303166"/>
      <w:bookmarkStart w:id="800" w:name="_Toc486931332"/>
      <w:bookmarkStart w:id="801" w:name="_Toc433019964"/>
      <w:bookmarkStart w:id="802" w:name="_Toc10325"/>
      <w:bookmarkStart w:id="803" w:name="_Toc384303171"/>
      <w:bookmarkStart w:id="804" w:name="_Toc402258849"/>
      <w:bookmarkStart w:id="805" w:name="_Toc453158714"/>
      <w:bookmarkStart w:id="806" w:name="_Toc14715"/>
      <w:bookmarkStart w:id="807" w:name="_Toc26167"/>
      <w:r>
        <w:rPr>
          <w:rFonts w:hint="eastAsia" w:ascii="宋体" w:hAnsi="宋体" w:eastAsia="宋体" w:cs="宋体"/>
          <w:b/>
          <w:bCs w:val="0"/>
          <w:color w:val="auto"/>
          <w:kern w:val="2"/>
          <w:sz w:val="28"/>
          <w:szCs w:val="36"/>
          <w:highlight w:val="none"/>
          <w:lang w:val="en-US" w:eastAsia="zh-CN" w:bidi="ar-SA"/>
        </w:rPr>
        <w:t>一、投标函</w:t>
      </w:r>
      <w:bookmarkEnd w:id="796"/>
      <w:bookmarkEnd w:id="797"/>
    </w:p>
    <w:p>
      <w:pPr>
        <w:spacing w:line="360" w:lineRule="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瑞安市妇幼保健院</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浙江凯宝工程项目管理有限公司</w:t>
      </w:r>
      <w:r>
        <w:rPr>
          <w:rFonts w:hint="eastAsia" w:ascii="宋体" w:hAnsi="宋体" w:eastAsia="宋体" w:cs="Times New Roman"/>
          <w:bCs/>
          <w:color w:val="auto"/>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eastAsia="宋体" w:cs="宋体"/>
          <w:color w:val="auto"/>
          <w:sz w:val="21"/>
          <w:szCs w:val="21"/>
          <w:highlight w:val="none"/>
          <w:lang w:eastAsia="zh-CN"/>
        </w:rPr>
        <w:t>瑞安市妇幼保健院胃肠镜系统采购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Cs w:val="21"/>
          <w:highlight w:val="none"/>
          <w:lang w:eastAsia="zh-CN"/>
        </w:rPr>
        <w:t>ZJKB2024021</w:t>
      </w:r>
      <w:r>
        <w:rPr>
          <w:rFonts w:hint="eastAsia" w:ascii="宋体" w:hAnsi="宋体" w:eastAsia="宋体" w:cs="宋体"/>
          <w:color w:val="auto"/>
          <w:sz w:val="21"/>
          <w:szCs w:val="21"/>
          <w:highlight w:val="none"/>
        </w:rPr>
        <w:t>】招标的有关活动，并对此项目进行投标。为此：</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，本投标文件在投标有效期满之前均具有约束力。</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pPr>
        <w:snapToGrid w:val="0"/>
        <w:spacing w:line="360" w:lineRule="auto"/>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具有独立承担民事责任能力的证明材料；</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napToGrid w:val="0"/>
        <w:spacing w:line="360" w:lineRule="auto"/>
        <w:ind w:left="21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val="zh-CN"/>
        </w:rPr>
        <w:t xml:space="preserve"> </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符合性审查资料；</w:t>
      </w:r>
    </w:p>
    <w:p>
      <w:pPr>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评标标准相应的商务技术资料；</w:t>
      </w:r>
    </w:p>
    <w:p>
      <w:pPr>
        <w:snapToGrid w:val="0"/>
        <w:spacing w:line="360" w:lineRule="auto"/>
        <w:ind w:left="420" w:leftChars="2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政府采购供应商廉洁自律承诺书；</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pPr>
        <w:snapToGrid w:val="0"/>
        <w:spacing w:line="360" w:lineRule="auto"/>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2.3.1开标一览表（报价表）</w:t>
      </w:r>
      <w:r>
        <w:rPr>
          <w:rFonts w:hint="eastAsia" w:ascii="宋体" w:hAnsi="宋体" w:eastAsia="宋体" w:cs="宋体"/>
          <w:color w:val="auto"/>
          <w:sz w:val="21"/>
          <w:szCs w:val="21"/>
          <w:highlight w:val="none"/>
          <w:lang w:val="en-US" w:eastAsia="zh-CN"/>
        </w:rPr>
        <w:t>。</w:t>
      </w:r>
    </w:p>
    <w:p>
      <w:pPr>
        <w:snapToGrid w:val="0"/>
        <w:spacing w:line="360" w:lineRule="auto"/>
        <w:ind w:left="420" w:leftChars="2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2报价明细表。</w:t>
      </w:r>
    </w:p>
    <w:p>
      <w:pPr>
        <w:snapToGrid w:val="0"/>
        <w:spacing w:line="360" w:lineRule="auto"/>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2.3.3</w:t>
      </w:r>
      <w:r>
        <w:rPr>
          <w:rFonts w:hint="eastAsia" w:ascii="宋体" w:hAnsi="宋体" w:eastAsia="宋体" w:cs="宋体"/>
          <w:color w:val="auto"/>
          <w:sz w:val="21"/>
          <w:szCs w:val="21"/>
          <w:highlight w:val="none"/>
        </w:rPr>
        <w:t>中小企业声明函（如果有）。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rPr>
        <w:t xml:space="preserve">）：                          </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ascii="宋体" w:hAnsi="宋体" w:eastAsia="宋体" w:cs="宋体"/>
          <w:color w:val="auto"/>
          <w:sz w:val="21"/>
          <w:szCs w:val="21"/>
          <w:highlight w:val="none"/>
        </w:rPr>
      </w:pPr>
    </w:p>
    <w:p>
      <w:pPr>
        <w:spacing w:line="360" w:lineRule="auto"/>
        <w:rPr>
          <w:rFonts w:ascii="宋体" w:hAnsi="宋体"/>
          <w:b/>
          <w:bCs/>
          <w:color w:val="auto"/>
          <w:szCs w:val="21"/>
          <w:highlight w:val="none"/>
        </w:rPr>
      </w:pPr>
      <w:r>
        <w:rPr>
          <w:rStyle w:val="142"/>
          <w:rFonts w:ascii="宋体" w:hAnsi="宋体" w:cs="Arial"/>
          <w:b/>
          <w:bCs/>
          <w:color w:val="auto"/>
          <w:szCs w:val="21"/>
          <w:highlight w:val="none"/>
        </w:rPr>
        <w:t>注：</w:t>
      </w:r>
      <w:r>
        <w:rPr>
          <w:rStyle w:val="142"/>
          <w:rFonts w:ascii="宋体" w:hAnsi="宋体" w:cs="Arial"/>
          <w:color w:val="auto"/>
          <w:szCs w:val="21"/>
          <w:highlight w:val="none"/>
        </w:rPr>
        <w:t>▲</w:t>
      </w:r>
      <w:r>
        <w:rPr>
          <w:rFonts w:hint="eastAsia" w:ascii="宋体" w:hAnsi="宋体" w:cs="宋体"/>
          <w:b/>
          <w:bCs/>
          <w:color w:val="auto"/>
          <w:szCs w:val="21"/>
          <w:highlight w:val="none"/>
        </w:rPr>
        <w:t>本</w:t>
      </w:r>
      <w:r>
        <w:rPr>
          <w:rFonts w:hint="eastAsia" w:ascii="宋体" w:hAnsi="宋体" w:cs="宋体"/>
          <w:b/>
          <w:bCs/>
          <w:color w:val="auto"/>
          <w:szCs w:val="21"/>
          <w:highlight w:val="none"/>
          <w:lang w:val="en-US" w:eastAsia="zh-CN"/>
        </w:rPr>
        <w:t>表</w:t>
      </w:r>
      <w:r>
        <w:rPr>
          <w:rFonts w:hint="eastAsia" w:ascii="宋体" w:hAnsi="宋体" w:cs="宋体"/>
          <w:b/>
          <w:bCs/>
          <w:color w:val="auto"/>
          <w:szCs w:val="21"/>
          <w:highlight w:val="none"/>
        </w:rPr>
        <w:t>必须提供。</w:t>
      </w:r>
    </w:p>
    <w:p>
      <w:pPr>
        <w:pStyle w:val="3"/>
        <w:numPr>
          <w:ilvl w:val="1"/>
          <w:numId w:val="0"/>
        </w:numPr>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zh-CN" w:eastAsia="zh-CN" w:bidi="ar-SA"/>
        </w:rPr>
        <w:br w:type="page"/>
      </w:r>
      <w:bookmarkStart w:id="808" w:name="_Toc18900"/>
      <w:bookmarkStart w:id="809" w:name="_Toc29841"/>
      <w:r>
        <w:rPr>
          <w:rFonts w:hint="eastAsia" w:ascii="宋体" w:hAnsi="宋体" w:eastAsia="宋体" w:cs="宋体"/>
          <w:b/>
          <w:bCs w:val="0"/>
          <w:color w:val="auto"/>
          <w:kern w:val="2"/>
          <w:sz w:val="28"/>
          <w:szCs w:val="36"/>
          <w:highlight w:val="none"/>
          <w:lang w:val="zh-CN" w:eastAsia="zh-CN" w:bidi="ar-SA"/>
        </w:rPr>
        <w:t>二、授权委托书或法定代表人（单位负责人、自然人本人）身份证明</w:t>
      </w:r>
      <w:bookmarkEnd w:id="808"/>
      <w:bookmarkEnd w:id="809"/>
    </w:p>
    <w:p>
      <w:pPr>
        <w:spacing w:line="360" w:lineRule="auto"/>
        <w:ind w:firstLine="612"/>
        <w:jc w:val="center"/>
        <w:outlineLvl w:val="9"/>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en-US" w:eastAsia="zh-CN" w:bidi="ar-SA"/>
        </w:rPr>
        <w:t>法定代表人授权书</w:t>
      </w:r>
    </w:p>
    <w:p>
      <w:pPr>
        <w:pStyle w:val="31"/>
        <w:spacing w:before="0" w:beforeAutospacing="0" w:after="0" w:afterAutospacing="0"/>
        <w:ind w:firstLine="420"/>
        <w:rPr>
          <w:rFonts w:hint="eastAsia" w:ascii="宋体" w:hAnsi="宋体" w:eastAsia="宋体" w:cs="宋体"/>
          <w:color w:val="auto"/>
          <w:szCs w:val="21"/>
          <w:highlight w:val="none"/>
        </w:rPr>
      </w:pPr>
    </w:p>
    <w:p>
      <w:pPr>
        <w:widowControl/>
        <w:autoSpaceDE w:val="0"/>
        <w:autoSpaceDN w:val="0"/>
        <w:spacing w:line="360" w:lineRule="auto"/>
        <w:ind w:firstLine="0" w:firstLineChars="0"/>
        <w:rPr>
          <w:rStyle w:val="142"/>
          <w:rFonts w:ascii="Arial" w:hAnsi="Arial" w:cs="Arial"/>
          <w:i w:val="0"/>
          <w:iCs w:val="0"/>
          <w:color w:val="auto"/>
          <w:highlight w:val="none"/>
        </w:rPr>
      </w:pPr>
      <w:r>
        <w:rPr>
          <w:rFonts w:hint="eastAsia" w:ascii="宋体" w:hAnsi="宋体" w:cs="宋体"/>
          <w:b w:val="0"/>
          <w:bCs/>
          <w:i w:val="0"/>
          <w:iCs w:val="0"/>
          <w:color w:val="auto"/>
          <w:szCs w:val="21"/>
          <w:highlight w:val="none"/>
          <w:u w:val="single"/>
          <w:lang w:val="en-US" w:eastAsia="zh-CN"/>
        </w:rPr>
        <w:t>瑞安市妇幼保健院、浙江凯宝工程项目管理有限公司</w:t>
      </w:r>
      <w:r>
        <w:rPr>
          <w:rFonts w:hint="eastAsia" w:ascii="宋体" w:hAnsi="宋体" w:cs="宋体"/>
          <w:b w:val="0"/>
          <w:bCs/>
          <w:i w:val="0"/>
          <w:iCs w:val="0"/>
          <w:color w:val="auto"/>
          <w:szCs w:val="21"/>
          <w:highlight w:val="none"/>
          <w:lang w:bidi="ar"/>
        </w:rPr>
        <w:t>：</w:t>
      </w:r>
    </w:p>
    <w:p>
      <w:pPr>
        <w:spacing w:line="360" w:lineRule="auto"/>
        <w:ind w:firstLine="612"/>
        <w:jc w:val="left"/>
        <w:outlineLvl w:val="9"/>
        <w:rPr>
          <w:rFonts w:hint="eastAsia" w:ascii="宋体" w:hAnsi="宋体" w:cs="宋体"/>
          <w:color w:val="auto"/>
          <w:szCs w:val="21"/>
          <w:highlight w:val="none"/>
        </w:rPr>
      </w:pPr>
      <w:r>
        <w:rPr>
          <w:rFonts w:hint="eastAsia" w:ascii="宋体" w:hAnsi="宋体" w:cs="宋体"/>
          <w:i w:val="0"/>
          <w:iCs w:val="0"/>
          <w:color w:val="auto"/>
          <w:szCs w:val="21"/>
          <w:highlight w:val="none"/>
          <w:lang w:bidi="ar"/>
        </w:rPr>
        <w:t>本授权委托书声明：我</w:t>
      </w:r>
      <w:r>
        <w:rPr>
          <w:rFonts w:hint="eastAsia" w:ascii="宋体" w:hAnsi="宋体" w:cs="宋体"/>
          <w:i w:val="0"/>
          <w:iCs w:val="0"/>
          <w:color w:val="auto"/>
          <w:szCs w:val="21"/>
          <w:highlight w:val="none"/>
          <w:u w:val="single"/>
          <w:lang w:bidi="ar"/>
        </w:rPr>
        <w:t>（法人代表姓名）</w:t>
      </w:r>
      <w:r>
        <w:rPr>
          <w:rFonts w:hint="eastAsia" w:ascii="宋体" w:hAnsi="宋体" w:cs="宋体"/>
          <w:i w:val="0"/>
          <w:iCs w:val="0"/>
          <w:color w:val="auto"/>
          <w:szCs w:val="21"/>
          <w:highlight w:val="none"/>
          <w:lang w:bidi="ar"/>
        </w:rPr>
        <w:t>系</w:t>
      </w:r>
      <w:r>
        <w:rPr>
          <w:rFonts w:hint="eastAsia" w:ascii="宋体" w:hAnsi="宋体" w:cs="宋体"/>
          <w:i w:val="0"/>
          <w:iCs w:val="0"/>
          <w:color w:val="auto"/>
          <w:szCs w:val="21"/>
          <w:highlight w:val="none"/>
          <w:u w:val="single"/>
          <w:lang w:bidi="ar"/>
        </w:rPr>
        <w:t xml:space="preserve">（投标人名称） </w:t>
      </w:r>
      <w:r>
        <w:rPr>
          <w:rFonts w:hint="eastAsia" w:ascii="宋体" w:hAnsi="宋体" w:cs="宋体"/>
          <w:i w:val="0"/>
          <w:iCs w:val="0"/>
          <w:color w:val="auto"/>
          <w:szCs w:val="21"/>
          <w:highlight w:val="none"/>
          <w:lang w:bidi="ar"/>
        </w:rPr>
        <w:t>的法定代表人，现授权委托</w:t>
      </w:r>
      <w:r>
        <w:rPr>
          <w:rFonts w:hint="eastAsia" w:ascii="宋体" w:hAnsi="宋体" w:cs="宋体"/>
          <w:i w:val="0"/>
          <w:iCs w:val="0"/>
          <w:color w:val="auto"/>
          <w:szCs w:val="21"/>
          <w:highlight w:val="none"/>
          <w:u w:val="single"/>
          <w:lang w:bidi="ar"/>
        </w:rPr>
        <w:t>（授权代表姓名）</w:t>
      </w:r>
      <w:r>
        <w:rPr>
          <w:rFonts w:hint="eastAsia" w:ascii="宋体" w:hAnsi="宋体" w:cs="宋体"/>
          <w:i w:val="0"/>
          <w:iCs w:val="0"/>
          <w:color w:val="auto"/>
          <w:szCs w:val="21"/>
          <w:highlight w:val="none"/>
          <w:lang w:bidi="ar"/>
        </w:rPr>
        <w:t>为我公司法定代表人授</w:t>
      </w:r>
      <w:r>
        <w:rPr>
          <w:rFonts w:hint="eastAsia" w:ascii="宋体" w:hAnsi="宋体" w:cs="宋体"/>
          <w:color w:val="auto"/>
          <w:szCs w:val="21"/>
          <w:highlight w:val="none"/>
          <w:lang w:bidi="ar"/>
        </w:rPr>
        <w:t>权代表，参加贵处组织的</w:t>
      </w:r>
      <w:r>
        <w:rPr>
          <w:rStyle w:val="142"/>
          <w:rFonts w:ascii="Arial" w:hAnsi="Arial" w:cs="Arial"/>
          <w:color w:val="auto"/>
          <w:highlight w:val="none"/>
          <w:u w:val="single"/>
        </w:rPr>
        <w:t xml:space="preserve">       项目名称         </w:t>
      </w:r>
      <w:r>
        <w:rPr>
          <w:rStyle w:val="142"/>
          <w:rFonts w:ascii="Arial" w:hAnsi="Arial" w:cs="Arial"/>
          <w:color w:val="auto"/>
          <w:highlight w:val="none"/>
        </w:rPr>
        <w:t>（项目编号：    ）</w:t>
      </w:r>
      <w:r>
        <w:rPr>
          <w:rFonts w:hint="eastAsia" w:ascii="宋体" w:hAnsi="宋体" w:cs="宋体"/>
          <w:color w:val="auto"/>
          <w:szCs w:val="21"/>
          <w:highlight w:val="none"/>
          <w:lang w:bidi="ar"/>
        </w:rPr>
        <w:t>投标，全权处理本次招投标活动中的一切事宜，我承认授权代表全权代表我所签署的本项目的投标文件的内容。</w:t>
      </w:r>
    </w:p>
    <w:p>
      <w:pPr>
        <w:spacing w:line="360" w:lineRule="auto"/>
        <w:ind w:firstLine="697"/>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授权代表无转授权，特此授权。</w:t>
      </w:r>
    </w:p>
    <w:p>
      <w:pPr>
        <w:spacing w:line="240" w:lineRule="auto"/>
        <w:jc w:val="left"/>
        <w:outlineLvl w:val="9"/>
        <w:rPr>
          <w:rFonts w:hint="eastAsia" w:ascii="宋体" w:hAnsi="宋体" w:cs="宋体"/>
          <w:color w:val="auto"/>
          <w:szCs w:val="21"/>
          <w:highlight w:val="none"/>
        </w:rPr>
      </w:pPr>
    </w:p>
    <w:p>
      <w:pPr>
        <w:spacing w:line="240" w:lineRule="auto"/>
        <w:jc w:val="left"/>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bidi="ar"/>
        </w:rPr>
        <w:t>授权代表</w:t>
      </w:r>
      <w:r>
        <w:rPr>
          <w:rFonts w:hint="eastAsia" w:ascii="宋体" w:hAnsi="宋体" w:cs="宋体"/>
          <w:color w:val="auto"/>
          <w:szCs w:val="21"/>
          <w:highlight w:val="none"/>
          <w:lang w:val="en-US" w:eastAsia="zh-CN" w:bidi="ar"/>
        </w:rPr>
        <w:t>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职务：</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电</w:t>
      </w:r>
      <w:r>
        <w:rPr>
          <w:rFonts w:hint="eastAsia" w:ascii="宋体" w:hAnsi="宋体" w:cs="宋体"/>
          <w:color w:val="auto"/>
          <w:szCs w:val="21"/>
          <w:highlight w:val="none"/>
          <w:lang w:val="en-US" w:eastAsia="zh-CN" w:bidi="ar"/>
        </w:rPr>
        <w:t>联系方式</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p>
    <w:p>
      <w:pPr>
        <w:spacing w:line="240" w:lineRule="auto"/>
        <w:ind w:firstLine="2940" w:firstLineChars="1400"/>
        <w:jc w:val="left"/>
        <w:outlineLvl w:val="9"/>
        <w:rPr>
          <w:rFonts w:hint="eastAsia" w:ascii="宋体" w:hAnsi="宋体" w:cs="宋体"/>
          <w:color w:val="auto"/>
          <w:szCs w:val="21"/>
          <w:highlight w:val="none"/>
        </w:rPr>
      </w:pPr>
    </w:p>
    <w:p>
      <w:pPr>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附：投标人授权代表身份证复印件。</w:t>
      </w:r>
      <w:r>
        <w:rPr>
          <w:rFonts w:hint="eastAsia" w:ascii="宋体" w:hAnsi="宋体" w:cs="宋体"/>
          <w:b/>
          <w:bCs/>
          <w:color w:val="auto"/>
          <w:szCs w:val="21"/>
          <w:highlight w:val="none"/>
          <w:lang w:eastAsia="zh-CN"/>
        </w:rPr>
        <w:t>（正反面）</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16"/>
              <w:jc w:val="left"/>
              <w:outlineLvl w:val="9"/>
              <w:rPr>
                <w:rFonts w:hint="eastAsia" w:ascii="宋体" w:hAnsi="宋体" w:eastAsia="宋体" w:cs="宋体"/>
                <w:b/>
                <w:bCs/>
                <w:color w:val="auto"/>
                <w:szCs w:val="21"/>
                <w:highlight w:val="none"/>
                <w:vertAlign w:val="baseline"/>
              </w:rPr>
            </w:pPr>
          </w:p>
        </w:tc>
        <w:tc>
          <w:tcPr>
            <w:tcW w:w="4520" w:type="dxa"/>
            <w:noWrap w:val="0"/>
            <w:vAlign w:val="top"/>
          </w:tcPr>
          <w:p>
            <w:pPr>
              <w:pStyle w:val="16"/>
              <w:jc w:val="left"/>
              <w:outlineLvl w:val="9"/>
              <w:rPr>
                <w:rFonts w:hint="eastAsia" w:ascii="宋体" w:hAnsi="宋体" w:eastAsia="宋体" w:cs="宋体"/>
                <w:b/>
                <w:bCs/>
                <w:color w:val="auto"/>
                <w:szCs w:val="21"/>
                <w:highlight w:val="none"/>
                <w:vertAlign w:val="baseline"/>
              </w:rPr>
            </w:pPr>
          </w:p>
        </w:tc>
      </w:tr>
    </w:tbl>
    <w:p>
      <w:pPr>
        <w:spacing w:line="240" w:lineRule="auto"/>
        <w:ind w:firstLine="2730" w:firstLineChars="1300"/>
        <w:jc w:val="left"/>
        <w:outlineLvl w:val="9"/>
        <w:rPr>
          <w:rFonts w:hint="eastAsia" w:ascii="宋体" w:hAnsi="宋体" w:cs="宋体"/>
          <w:color w:val="auto"/>
          <w:szCs w:val="21"/>
          <w:highlight w:val="none"/>
          <w:lang w:bidi="ar"/>
        </w:rPr>
      </w:pPr>
    </w:p>
    <w:p>
      <w:pPr>
        <w:spacing w:line="240" w:lineRule="auto"/>
        <w:ind w:firstLine="2730" w:firstLineChars="1300"/>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投标人全称：</w:t>
      </w:r>
      <w:r>
        <w:rPr>
          <w:rFonts w:hint="eastAsia" w:ascii="宋体" w:hAnsi="宋体" w:cs="宋体"/>
          <w:color w:val="auto"/>
          <w:szCs w:val="21"/>
          <w:highlight w:val="none"/>
          <w:u w:val="single"/>
          <w:lang w:bidi="ar"/>
        </w:rPr>
        <w:t xml:space="preserve">                             （盖</w:t>
      </w:r>
      <w:r>
        <w:rPr>
          <w:rFonts w:hint="eastAsia" w:ascii="宋体" w:hAnsi="宋体" w:cs="宋体"/>
          <w:color w:val="auto"/>
          <w:szCs w:val="21"/>
          <w:highlight w:val="none"/>
          <w:u w:val="single"/>
          <w:lang w:eastAsia="zh-CN" w:bidi="ar"/>
        </w:rPr>
        <w:t>公</w:t>
      </w:r>
      <w:r>
        <w:rPr>
          <w:rFonts w:hint="eastAsia" w:ascii="宋体" w:hAnsi="宋体" w:cs="宋体"/>
          <w:color w:val="auto"/>
          <w:szCs w:val="21"/>
          <w:highlight w:val="none"/>
          <w:u w:val="single"/>
          <w:lang w:bidi="ar"/>
        </w:rPr>
        <w:t>章）</w:t>
      </w:r>
    </w:p>
    <w:p>
      <w:pPr>
        <w:spacing w:line="240" w:lineRule="auto"/>
        <w:ind w:left="2100" w:leftChars="1000" w:firstLine="840" w:firstLineChars="400"/>
        <w:jc w:val="left"/>
        <w:outlineLvl w:val="9"/>
        <w:rPr>
          <w:rFonts w:hint="eastAsia" w:ascii="宋体" w:hAnsi="宋体" w:cs="宋体"/>
          <w:color w:val="auto"/>
          <w:szCs w:val="21"/>
          <w:highlight w:val="none"/>
        </w:rPr>
      </w:pPr>
    </w:p>
    <w:p>
      <w:pPr>
        <w:spacing w:line="240" w:lineRule="auto"/>
        <w:ind w:firstLine="2730" w:firstLineChars="1300"/>
        <w:jc w:val="left"/>
        <w:outlineLvl w:val="9"/>
        <w:rPr>
          <w:rFonts w:hint="eastAsia" w:ascii="宋体" w:hAnsi="宋体" w:cs="宋体"/>
          <w:color w:val="auto"/>
          <w:szCs w:val="21"/>
          <w:highlight w:val="none"/>
          <w:u w:val="singl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（签字或盖章）</w:t>
      </w:r>
    </w:p>
    <w:p>
      <w:pPr>
        <w:spacing w:line="240" w:lineRule="auto"/>
        <w:ind w:left="2100" w:leftChars="1000" w:firstLine="840" w:firstLineChars="400"/>
        <w:jc w:val="left"/>
        <w:outlineLvl w:val="9"/>
        <w:rPr>
          <w:rFonts w:hint="eastAsia" w:ascii="宋体" w:hAnsi="宋体" w:cs="宋体"/>
          <w:color w:val="auto"/>
          <w:szCs w:val="21"/>
          <w:highlight w:val="none"/>
          <w:u w:val="single"/>
        </w:rPr>
      </w:pPr>
    </w:p>
    <w:p>
      <w:pPr>
        <w:spacing w:line="240" w:lineRule="auto"/>
        <w:ind w:firstLine="4200" w:firstLineChars="2000"/>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授权委托日期：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pacing w:line="360" w:lineRule="auto"/>
        <w:ind w:left="2833" w:leftChars="1349" w:firstLine="2100" w:firstLineChars="1000"/>
        <w:jc w:val="left"/>
        <w:outlineLvl w:val="9"/>
        <w:rPr>
          <w:rFonts w:hint="eastAsia" w:ascii="宋体" w:hAnsi="宋体" w:cs="宋体"/>
          <w:color w:val="auto"/>
          <w:szCs w:val="21"/>
          <w:highlight w:val="none"/>
        </w:rPr>
      </w:pPr>
    </w:p>
    <w:p>
      <w:pPr>
        <w:pStyle w:val="15"/>
        <w:spacing w:line="240" w:lineRule="auto"/>
        <w:jc w:val="left"/>
        <w:outlineLvl w:val="9"/>
        <w:rPr>
          <w:rFonts w:hint="eastAsia" w:ascii="宋体" w:hAnsi="宋体" w:eastAsia="宋体" w:cs="宋体"/>
          <w:b/>
          <w:color w:val="auto"/>
          <w:sz w:val="21"/>
          <w:szCs w:val="21"/>
          <w:highlight w:val="none"/>
          <w:lang w:val="en-US" w:eastAsia="zh-CN"/>
        </w:rPr>
      </w:pPr>
    </w:p>
    <w:p>
      <w:pPr>
        <w:pStyle w:val="15"/>
        <w:spacing w:line="240" w:lineRule="auto"/>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注：1.</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授权代表参与投标的，</w:t>
      </w:r>
      <w:r>
        <w:rPr>
          <w:rFonts w:hint="eastAsia" w:ascii="宋体" w:hAnsi="宋体" w:eastAsia="宋体" w:cs="宋体"/>
          <w:b w:val="0"/>
          <w:bCs/>
          <w:color w:val="auto"/>
          <w:sz w:val="21"/>
          <w:szCs w:val="21"/>
          <w:highlight w:val="none"/>
          <w:lang w:val="en-US" w:eastAsia="zh-CN"/>
        </w:rPr>
        <w:t>则</w:t>
      </w:r>
      <w:r>
        <w:rPr>
          <w:rFonts w:hint="eastAsia" w:ascii="宋体" w:hAnsi="宋体" w:eastAsia="宋体" w:cs="宋体"/>
          <w:b w:val="0"/>
          <w:bCs/>
          <w:color w:val="auto"/>
          <w:sz w:val="21"/>
          <w:szCs w:val="21"/>
          <w:highlight w:val="none"/>
        </w:rPr>
        <w:t>须提供</w:t>
      </w:r>
      <w:r>
        <w:rPr>
          <w:rFonts w:hint="eastAsia" w:ascii="宋体" w:hAnsi="宋体" w:eastAsia="宋体" w:cs="宋体"/>
          <w:b w:val="0"/>
          <w:bCs/>
          <w:color w:val="auto"/>
          <w:sz w:val="21"/>
          <w:szCs w:val="21"/>
          <w:highlight w:val="none"/>
          <w:lang w:val="en-US" w:eastAsia="zh-CN"/>
        </w:rPr>
        <w:t>本</w:t>
      </w:r>
      <w:r>
        <w:rPr>
          <w:rFonts w:hint="eastAsia" w:ascii="宋体" w:hAnsi="宋体" w:eastAsia="宋体" w:cs="宋体"/>
          <w:b w:val="0"/>
          <w:bCs/>
          <w:color w:val="auto"/>
          <w:sz w:val="21"/>
          <w:szCs w:val="21"/>
          <w:highlight w:val="none"/>
        </w:rPr>
        <w:t>《法定代表人授权书》。</w:t>
      </w:r>
    </w:p>
    <w:p>
      <w:pPr>
        <w:rPr>
          <w:rFonts w:hint="default"/>
          <w:color w:val="auto"/>
          <w:highlight w:val="none"/>
          <w:lang w:val="en-US" w:eastAsia="zh-CN"/>
        </w:rPr>
      </w:pPr>
    </w:p>
    <w:p>
      <w:pPr>
        <w:autoSpaceDE w:val="0"/>
        <w:autoSpaceDN w:val="0"/>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br w:type="page"/>
      </w:r>
      <w:r>
        <w:rPr>
          <w:rFonts w:hint="eastAsia" w:ascii="宋体" w:hAnsi="宋体" w:eastAsia="宋体" w:cs="宋体"/>
          <w:b/>
          <w:bCs w:val="0"/>
          <w:color w:val="auto"/>
          <w:kern w:val="2"/>
          <w:sz w:val="28"/>
          <w:szCs w:val="36"/>
          <w:highlight w:val="none"/>
          <w:lang w:val="zh-CN" w:eastAsia="zh-CN" w:bidi="ar-SA"/>
        </w:rPr>
        <w:t>法定代表人、单位负责人或自然人本人的身份证明（适用于法定代表人、单位负责人或者自然人本人代表投标人参加投标）</w:t>
      </w:r>
    </w:p>
    <w:p>
      <w:pPr>
        <w:autoSpaceDE w:val="0"/>
        <w:autoSpaceDN w:val="0"/>
        <w:spacing w:line="360" w:lineRule="auto"/>
        <w:rPr>
          <w:rFonts w:hint="eastAsia" w:hAnsi="宋体" w:eastAsia="宋体" w:cs="Times New Roman"/>
          <w:b/>
          <w:bCs/>
          <w:color w:val="auto"/>
          <w:sz w:val="28"/>
          <w:szCs w:val="28"/>
          <w:highlight w:val="none"/>
          <w:lang w:eastAsia="zh-CN"/>
        </w:rPr>
      </w:pPr>
    </w:p>
    <w:p>
      <w:pPr>
        <w:widowControl/>
        <w:autoSpaceDE w:val="0"/>
        <w:autoSpaceDN w:val="0"/>
        <w:spacing w:line="360" w:lineRule="auto"/>
        <w:ind w:firstLine="3092" w:firstLineChars="1100"/>
        <w:rPr>
          <w:rFonts w:hint="eastAsia" w:hAnsi="宋体" w:eastAsia="宋体" w:cs="Times New Roman"/>
          <w:b/>
          <w:bCs/>
          <w:color w:val="auto"/>
          <w:sz w:val="28"/>
          <w:szCs w:val="28"/>
          <w:highlight w:val="none"/>
          <w:lang w:eastAsia="zh-CN"/>
        </w:rPr>
      </w:pPr>
      <w:r>
        <w:rPr>
          <w:rFonts w:hint="eastAsia" w:hAnsi="宋体" w:eastAsia="宋体" w:cs="Times New Roman"/>
          <w:b/>
          <w:bCs/>
          <w:color w:val="auto"/>
          <w:sz w:val="28"/>
          <w:szCs w:val="28"/>
          <w:highlight w:val="none"/>
          <w:lang w:eastAsia="zh-CN"/>
        </w:rPr>
        <w:t>法定代表人身份证明</w:t>
      </w:r>
    </w:p>
    <w:p>
      <w:pPr>
        <w:widowControl/>
        <w:autoSpaceDE w:val="0"/>
        <w:autoSpaceDN w:val="0"/>
        <w:spacing w:line="360" w:lineRule="auto"/>
        <w:ind w:firstLine="0" w:firstLineChars="0"/>
        <w:rPr>
          <w:rStyle w:val="142"/>
          <w:rFonts w:ascii="Arial" w:hAnsi="Arial" w:cs="Arial"/>
          <w:color w:val="auto"/>
          <w:highlight w:val="none"/>
        </w:rPr>
      </w:pPr>
      <w:r>
        <w:rPr>
          <w:rFonts w:hint="eastAsia" w:ascii="宋体" w:hAnsi="宋体" w:cs="宋体"/>
          <w:b w:val="0"/>
          <w:bCs/>
          <w:color w:val="auto"/>
          <w:szCs w:val="21"/>
          <w:highlight w:val="none"/>
          <w:u w:val="single"/>
          <w:lang w:val="en-US" w:eastAsia="zh-CN"/>
        </w:rPr>
        <w:t>瑞安市妇幼保健院、浙江凯宝工程项目管理有限公司</w:t>
      </w:r>
      <w:r>
        <w:rPr>
          <w:rFonts w:hint="eastAsia" w:ascii="宋体" w:hAnsi="宋体" w:cs="宋体"/>
          <w:b w:val="0"/>
          <w:bCs/>
          <w:color w:val="auto"/>
          <w:szCs w:val="21"/>
          <w:highlight w:val="none"/>
          <w:lang w:bidi="ar"/>
        </w:rPr>
        <w:t>：</w:t>
      </w:r>
    </w:p>
    <w:p>
      <w:pPr>
        <w:rPr>
          <w:rFonts w:hint="eastAsia"/>
          <w:color w:val="auto"/>
          <w:highlight w:val="none"/>
          <w:lang w:val="en-US" w:eastAsia="zh-CN"/>
        </w:rPr>
      </w:pPr>
    </w:p>
    <w:p>
      <w:pPr>
        <w:pStyle w:val="17"/>
        <w:ind w:left="0" w:leftChars="0" w:firstLine="420" w:firstLineChars="200"/>
        <w:rPr>
          <w:rFonts w:hint="eastAsia" w:ascii="宋体" w:hAnsi="宋体" w:cs="宋体"/>
          <w:b w:val="0"/>
          <w:bCs/>
          <w:color w:val="auto"/>
          <w:szCs w:val="21"/>
          <w:highlight w:val="none"/>
          <w:u w:val="single"/>
          <w:lang w:val="en-US" w:eastAsia="zh-CN" w:bidi="ar"/>
        </w:rPr>
      </w:pPr>
      <w:r>
        <w:rPr>
          <w:rStyle w:val="142"/>
          <w:rFonts w:hint="eastAsia" w:ascii="Arial" w:hAnsi="Arial" w:cs="Arial"/>
          <w:color w:val="auto"/>
          <w:sz w:val="21"/>
          <w:szCs w:val="22"/>
          <w:highlight w:val="none"/>
          <w:lang w:val="en-US" w:eastAsia="zh-CN" w:bidi="ar-SA"/>
        </w:rPr>
        <w:t>姓名：</w:t>
      </w:r>
      <w:r>
        <w:rPr>
          <w:rFonts w:hint="eastAsia" w:ascii="宋体" w:hAnsi="宋体" w:cs="宋体"/>
          <w:b w:val="0"/>
          <w:bCs/>
          <w:color w:val="auto"/>
          <w:szCs w:val="21"/>
          <w:highlight w:val="none"/>
          <w:u w:val="single"/>
          <w:lang w:val="en-US" w:eastAsia="zh-CN" w:bidi="ar"/>
        </w:rPr>
        <w:t xml:space="preserve">          </w:t>
      </w:r>
      <w:r>
        <w:rPr>
          <w:rStyle w:val="142"/>
          <w:rFonts w:hint="eastAsia" w:ascii="Arial" w:hAnsi="Arial" w:cs="Arial"/>
          <w:color w:val="auto"/>
          <w:sz w:val="21"/>
          <w:szCs w:val="22"/>
          <w:highlight w:val="none"/>
          <w:lang w:val="en-US" w:eastAsia="zh-CN" w:bidi="ar-SA"/>
        </w:rPr>
        <w:t>性别：</w:t>
      </w:r>
      <w:r>
        <w:rPr>
          <w:rFonts w:hint="eastAsia" w:ascii="宋体" w:hAnsi="宋体" w:cs="宋体"/>
          <w:b w:val="0"/>
          <w:bCs/>
          <w:color w:val="auto"/>
          <w:szCs w:val="21"/>
          <w:highlight w:val="none"/>
          <w:u w:val="single"/>
          <w:lang w:val="en-US" w:eastAsia="zh-CN" w:bidi="ar"/>
        </w:rPr>
        <w:t xml:space="preserve">          </w:t>
      </w:r>
      <w:r>
        <w:rPr>
          <w:rStyle w:val="142"/>
          <w:rFonts w:hint="eastAsia" w:ascii="Arial" w:hAnsi="Arial" w:cs="Arial"/>
          <w:color w:val="auto"/>
          <w:sz w:val="21"/>
          <w:szCs w:val="22"/>
          <w:highlight w:val="none"/>
          <w:lang w:val="en-US" w:eastAsia="zh-CN" w:bidi="ar-SA"/>
        </w:rPr>
        <w:t>职务：</w:t>
      </w:r>
      <w:r>
        <w:rPr>
          <w:rFonts w:hint="eastAsia" w:ascii="宋体" w:hAnsi="宋体" w:cs="宋体"/>
          <w:b w:val="0"/>
          <w:bCs/>
          <w:color w:val="auto"/>
          <w:szCs w:val="21"/>
          <w:highlight w:val="none"/>
          <w:u w:val="single"/>
          <w:lang w:val="en-US" w:eastAsia="zh-CN" w:bidi="ar"/>
        </w:rPr>
        <w:t xml:space="preserve">          </w:t>
      </w:r>
    </w:p>
    <w:p>
      <w:pPr>
        <w:pStyle w:val="17"/>
        <w:ind w:left="0" w:leftChars="0" w:right="869" w:rightChars="414" w:firstLine="420" w:firstLineChars="200"/>
        <w:rPr>
          <w:rFonts w:hint="eastAsia" w:cs="宋体"/>
          <w:b w:val="0"/>
          <w:bCs/>
          <w:color w:val="auto"/>
          <w:sz w:val="21"/>
          <w:szCs w:val="16"/>
          <w:highlight w:val="none"/>
          <w:u w:val="none"/>
          <w:lang w:val="en-US" w:eastAsia="zh-CN" w:bidi="ar"/>
        </w:rPr>
      </w:pPr>
      <w:r>
        <w:rPr>
          <w:rStyle w:val="142"/>
          <w:rFonts w:hint="eastAsia" w:ascii="Arial" w:hAnsi="Arial" w:cs="Arial"/>
          <w:color w:val="auto"/>
          <w:sz w:val="21"/>
          <w:szCs w:val="22"/>
          <w:highlight w:val="none"/>
          <w:lang w:val="en-US" w:eastAsia="zh-CN" w:bidi="ar-SA"/>
        </w:rPr>
        <w:t>联系方式：</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Cs w:val="21"/>
          <w:highlight w:val="none"/>
          <w:u w:val="none"/>
          <w:lang w:val="en-US" w:eastAsia="zh-CN" w:bidi="ar"/>
        </w:rPr>
        <w:t>，</w:t>
      </w:r>
      <w:r>
        <w:rPr>
          <w:rStyle w:val="142"/>
          <w:rFonts w:hint="eastAsia" w:ascii="Arial" w:hAnsi="Arial" w:cs="Arial"/>
          <w:color w:val="auto"/>
          <w:sz w:val="21"/>
          <w:szCs w:val="22"/>
          <w:highlight w:val="none"/>
          <w:lang w:val="en-US" w:eastAsia="zh-CN" w:bidi="ar-SA"/>
        </w:rPr>
        <w:t>系</w:t>
      </w:r>
      <w:r>
        <w:rPr>
          <w:rFonts w:hint="eastAsia" w:ascii="宋体" w:hAnsi="宋体" w:cs="宋体"/>
          <w:b w:val="0"/>
          <w:bCs/>
          <w:color w:val="auto"/>
          <w:szCs w:val="21"/>
          <w:highlight w:val="none"/>
          <w:u w:val="single"/>
          <w:lang w:val="en-US" w:eastAsia="zh-CN" w:bidi="ar"/>
        </w:rPr>
        <w:t xml:space="preserve">   </w:t>
      </w:r>
      <w:r>
        <w:rPr>
          <w:rStyle w:val="142"/>
          <w:rFonts w:hint="eastAsia" w:ascii="Arial" w:hAnsi="Arial" w:cs="Arial"/>
          <w:i w:val="0"/>
          <w:iCs w:val="0"/>
          <w:color w:val="auto"/>
          <w:sz w:val="21"/>
          <w:szCs w:val="22"/>
          <w:highlight w:val="none"/>
          <w:u w:val="single"/>
          <w:lang w:val="en-US" w:eastAsia="zh-CN" w:bidi="ar-SA"/>
        </w:rPr>
        <w:t>（投标人名称）</w:t>
      </w:r>
      <w:r>
        <w:rPr>
          <w:rFonts w:hint="eastAsia" w:ascii="宋体" w:hAnsi="宋体" w:cs="宋体"/>
          <w:b w:val="0"/>
          <w:bCs/>
          <w:i w:val="0"/>
          <w:iCs w:val="0"/>
          <w:color w:val="auto"/>
          <w:szCs w:val="21"/>
          <w:highlight w:val="none"/>
          <w:u w:val="single"/>
          <w:lang w:val="en-US" w:eastAsia="zh-CN" w:bidi="ar"/>
        </w:rPr>
        <w:t xml:space="preserve">   </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 w:val="21"/>
          <w:szCs w:val="16"/>
          <w:highlight w:val="none"/>
          <w:u w:val="none"/>
          <w:lang w:val="en-US" w:eastAsia="zh-CN" w:bidi="ar"/>
        </w:rPr>
        <w:t>的法定代表人，特此证明。</w:t>
      </w:r>
    </w:p>
    <w:p>
      <w:pPr>
        <w:pStyle w:val="17"/>
        <w:ind w:left="0" w:leftChars="0" w:firstLine="420" w:firstLineChars="200"/>
        <w:rPr>
          <w:rFonts w:hint="eastAsia" w:cs="宋体"/>
          <w:b w:val="0"/>
          <w:bCs/>
          <w:color w:val="auto"/>
          <w:sz w:val="21"/>
          <w:szCs w:val="16"/>
          <w:highlight w:val="none"/>
          <w:u w:val="none"/>
          <w:lang w:val="en-US" w:eastAsia="zh-CN" w:bidi="ar"/>
        </w:rPr>
      </w:pPr>
    </w:p>
    <w:p>
      <w:pPr>
        <w:pStyle w:val="17"/>
        <w:ind w:left="0" w:leftChars="0" w:firstLine="420" w:firstLineChars="200"/>
        <w:rPr>
          <w:rFonts w:hint="eastAsia" w:cs="宋体"/>
          <w:b w:val="0"/>
          <w:bCs/>
          <w:color w:val="auto"/>
          <w:sz w:val="21"/>
          <w:szCs w:val="16"/>
          <w:highlight w:val="none"/>
          <w:u w:val="none"/>
          <w:lang w:val="en-US" w:eastAsia="zh-CN" w:bidi="ar"/>
        </w:rPr>
      </w:pPr>
    </w:p>
    <w:p>
      <w:pPr>
        <w:pStyle w:val="17"/>
        <w:ind w:left="0" w:leftChars="0" w:firstLine="420" w:firstLineChars="200"/>
        <w:jc w:val="right"/>
        <w:rPr>
          <w:rFonts w:hint="eastAsia" w:cs="宋体"/>
          <w:b w:val="0"/>
          <w:bCs/>
          <w:color w:val="auto"/>
          <w:sz w:val="21"/>
          <w:szCs w:val="16"/>
          <w:highlight w:val="none"/>
          <w:u w:val="none"/>
          <w:lang w:val="en-US" w:eastAsia="zh-CN" w:bidi="ar"/>
        </w:rPr>
      </w:pPr>
    </w:p>
    <w:p>
      <w:pPr>
        <w:pStyle w:val="17"/>
        <w:ind w:left="0" w:leftChars="0" w:firstLine="420" w:firstLineChars="200"/>
        <w:jc w:val="left"/>
        <w:rPr>
          <w:rFonts w:hint="eastAsia" w:cs="宋体"/>
          <w:b w:val="0"/>
          <w:bCs/>
          <w:color w:val="auto"/>
          <w:sz w:val="21"/>
          <w:szCs w:val="16"/>
          <w:highlight w:val="none"/>
          <w:u w:val="none"/>
          <w:lang w:val="en-US" w:eastAsia="zh-CN" w:bidi="ar"/>
        </w:rPr>
      </w:pPr>
    </w:p>
    <w:p>
      <w:pPr>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法定代表人</w:t>
      </w:r>
      <w:r>
        <w:rPr>
          <w:rFonts w:hint="eastAsia" w:ascii="宋体" w:hAnsi="宋体" w:cs="宋体"/>
          <w:b/>
          <w:bCs/>
          <w:color w:val="auto"/>
          <w:szCs w:val="21"/>
          <w:highlight w:val="none"/>
        </w:rPr>
        <w:t>身份证复印件。</w:t>
      </w:r>
      <w:r>
        <w:rPr>
          <w:rFonts w:hint="eastAsia" w:ascii="宋体" w:hAnsi="宋体" w:cs="宋体"/>
          <w:b/>
          <w:bCs/>
          <w:color w:val="auto"/>
          <w:szCs w:val="21"/>
          <w:highlight w:val="none"/>
          <w:lang w:eastAsia="zh-CN"/>
        </w:rPr>
        <w:t>（正反面）</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16"/>
              <w:jc w:val="left"/>
              <w:outlineLvl w:val="9"/>
              <w:rPr>
                <w:rFonts w:hint="eastAsia" w:ascii="宋体" w:hAnsi="宋体" w:eastAsia="宋体" w:cs="宋体"/>
                <w:b/>
                <w:bCs/>
                <w:color w:val="auto"/>
                <w:szCs w:val="21"/>
                <w:highlight w:val="none"/>
                <w:vertAlign w:val="baseline"/>
              </w:rPr>
            </w:pPr>
          </w:p>
        </w:tc>
        <w:tc>
          <w:tcPr>
            <w:tcW w:w="4520" w:type="dxa"/>
            <w:noWrap w:val="0"/>
            <w:vAlign w:val="top"/>
          </w:tcPr>
          <w:p>
            <w:pPr>
              <w:pStyle w:val="16"/>
              <w:jc w:val="left"/>
              <w:outlineLvl w:val="9"/>
              <w:rPr>
                <w:rFonts w:hint="eastAsia" w:ascii="宋体" w:hAnsi="宋体" w:eastAsia="宋体" w:cs="宋体"/>
                <w:b/>
                <w:bCs/>
                <w:color w:val="auto"/>
                <w:szCs w:val="21"/>
                <w:highlight w:val="none"/>
                <w:vertAlign w:val="baseline"/>
              </w:rPr>
            </w:pPr>
          </w:p>
        </w:tc>
      </w:tr>
    </w:tbl>
    <w:p>
      <w:pPr>
        <w:pStyle w:val="17"/>
        <w:ind w:left="0" w:leftChars="0" w:firstLine="420" w:firstLineChars="200"/>
        <w:jc w:val="right"/>
        <w:rPr>
          <w:rFonts w:hint="eastAsia" w:cs="宋体"/>
          <w:b w:val="0"/>
          <w:bCs/>
          <w:color w:val="auto"/>
          <w:sz w:val="21"/>
          <w:szCs w:val="16"/>
          <w:highlight w:val="none"/>
          <w:u w:val="none"/>
          <w:lang w:val="en-US" w:eastAsia="zh-CN" w:bidi="ar"/>
        </w:rPr>
      </w:pPr>
    </w:p>
    <w:p>
      <w:pPr>
        <w:pStyle w:val="17"/>
        <w:ind w:left="0" w:leftChars="0" w:firstLine="420" w:firstLineChars="200"/>
        <w:jc w:val="right"/>
        <w:rPr>
          <w:rFonts w:hint="eastAsia" w:cs="宋体"/>
          <w:b w:val="0"/>
          <w:bCs/>
          <w:color w:val="auto"/>
          <w:sz w:val="21"/>
          <w:szCs w:val="16"/>
          <w:highlight w:val="none"/>
          <w:u w:val="none"/>
          <w:lang w:val="en-US" w:eastAsia="zh-CN" w:bidi="ar"/>
        </w:rPr>
      </w:pPr>
    </w:p>
    <w:p>
      <w:pPr>
        <w:pStyle w:val="17"/>
        <w:ind w:left="0" w:leftChars="0" w:firstLine="420" w:firstLineChars="200"/>
        <w:jc w:val="right"/>
        <w:rPr>
          <w:rFonts w:hint="eastAsia" w:cs="宋体"/>
          <w:b w:val="0"/>
          <w:bCs/>
          <w:color w:val="auto"/>
          <w:sz w:val="21"/>
          <w:szCs w:val="16"/>
          <w:highlight w:val="none"/>
          <w:u w:val="none"/>
          <w:lang w:val="en-US" w:eastAsia="zh-CN" w:bidi="ar"/>
        </w:rPr>
      </w:pPr>
    </w:p>
    <w:p>
      <w:pPr>
        <w:pStyle w:val="17"/>
        <w:ind w:left="0" w:leftChars="0" w:firstLine="420" w:firstLineChars="200"/>
        <w:jc w:val="right"/>
        <w:rPr>
          <w:rFonts w:hint="eastAsia" w:cs="宋体"/>
          <w:b w:val="0"/>
          <w:bCs/>
          <w:color w:val="auto"/>
          <w:sz w:val="21"/>
          <w:szCs w:val="16"/>
          <w:highlight w:val="none"/>
          <w:u w:val="none"/>
          <w:lang w:val="en-US" w:eastAsia="zh-CN" w:bidi="ar"/>
        </w:rPr>
      </w:pPr>
    </w:p>
    <w:p>
      <w:pPr>
        <w:spacing w:line="480" w:lineRule="auto"/>
        <w:jc w:val="right"/>
        <w:rPr>
          <w:rFonts w:hint="eastAsia" w:ascii="宋体" w:hAnsi="宋体" w:cs="宋体"/>
          <w:bCs/>
          <w:color w:val="auto"/>
          <w:szCs w:val="21"/>
          <w:highlight w:val="none"/>
          <w:lang w:bidi="ar"/>
        </w:rPr>
      </w:pPr>
      <w:r>
        <w:rPr>
          <w:rFonts w:hint="eastAsia" w:ascii="宋体" w:hAnsi="宋体" w:cs="宋体"/>
          <w:bCs/>
          <w:color w:val="auto"/>
          <w:szCs w:val="21"/>
          <w:highlight w:val="none"/>
          <w:lang w:eastAsia="zh-CN" w:bidi="ar"/>
        </w:rPr>
        <w:t>投标人</w:t>
      </w:r>
      <w:r>
        <w:rPr>
          <w:rFonts w:hint="eastAsia" w:ascii="宋体" w:hAnsi="宋体" w:cs="宋体"/>
          <w:bCs/>
          <w:color w:val="auto"/>
          <w:szCs w:val="21"/>
          <w:highlight w:val="none"/>
          <w:lang w:bidi="ar"/>
        </w:rPr>
        <w:t>全称：</w:t>
      </w:r>
      <w:r>
        <w:rPr>
          <w:rFonts w:hint="eastAsia" w:cs="宋体"/>
          <w:color w:val="auto"/>
          <w:sz w:val="21"/>
          <w:szCs w:val="21"/>
          <w:highlight w:val="none"/>
          <w:u w:val="single"/>
          <w:lang w:bidi="ar"/>
        </w:rPr>
        <w:t xml:space="preserve">                    （盖公章）</w:t>
      </w:r>
    </w:p>
    <w:p>
      <w:pPr>
        <w:spacing w:line="480" w:lineRule="auto"/>
        <w:ind w:firstLine="4830" w:firstLineChars="2300"/>
        <w:rPr>
          <w:rFonts w:hint="eastAsia" w:cs="宋体"/>
          <w:bCs/>
          <w:color w:val="auto"/>
          <w:szCs w:val="21"/>
          <w:highlight w:val="none"/>
        </w:rPr>
      </w:pPr>
      <w:r>
        <w:rPr>
          <w:rFonts w:hint="eastAsia" w:ascii="宋体" w:hAnsi="宋体" w:cs="宋体"/>
          <w:bCs/>
          <w:color w:val="auto"/>
          <w:szCs w:val="21"/>
          <w:highlight w:val="none"/>
        </w:rPr>
        <w:t>日期：</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 xml:space="preserve">年 </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月</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日</w:t>
      </w:r>
    </w:p>
    <w:p>
      <w:pPr>
        <w:pStyle w:val="15"/>
        <w:spacing w:line="240" w:lineRule="auto"/>
        <w:jc w:val="left"/>
        <w:outlineLvl w:val="9"/>
        <w:rPr>
          <w:rFonts w:hint="eastAsia" w:ascii="宋体" w:hAnsi="宋体" w:eastAsia="宋体" w:cs="宋体"/>
          <w:b/>
          <w:color w:val="auto"/>
          <w:sz w:val="21"/>
          <w:szCs w:val="21"/>
          <w:highlight w:val="none"/>
          <w:lang w:val="en-US" w:eastAsia="zh-CN"/>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p>
    <w:p>
      <w:pPr>
        <w:pStyle w:val="3"/>
        <w:numPr>
          <w:ilvl w:val="1"/>
          <w:numId w:val="0"/>
        </w:numPr>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bidi="ar-SA"/>
        </w:rPr>
      </w:pPr>
      <w:bookmarkStart w:id="810" w:name="_Toc10909"/>
      <w:bookmarkStart w:id="811" w:name="_Toc16569"/>
      <w:r>
        <w:rPr>
          <w:rFonts w:hint="eastAsia" w:ascii="宋体" w:hAnsi="宋体" w:eastAsia="宋体" w:cs="宋体"/>
          <w:b/>
          <w:bCs w:val="0"/>
          <w:color w:val="auto"/>
          <w:kern w:val="2"/>
          <w:sz w:val="28"/>
          <w:szCs w:val="28"/>
          <w:highlight w:val="none"/>
          <w:lang w:val="en-US" w:eastAsia="zh-CN" w:bidi="ar-SA"/>
        </w:rPr>
        <w:t>三、符合性审查资料</w:t>
      </w:r>
      <w:bookmarkEnd w:id="810"/>
      <w:bookmarkEnd w:id="811"/>
    </w:p>
    <w:p>
      <w:pPr>
        <w:jc w:val="center"/>
        <w:rPr>
          <w:rFonts w:ascii="仿宋_GB2312" w:hAnsi="仿宋" w:eastAsia="仿宋_GB2312" w:cs="仿宋_GB2312"/>
          <w:b/>
          <w:color w:val="auto"/>
          <w:kern w:val="0"/>
          <w:sz w:val="32"/>
          <w:szCs w:val="32"/>
          <w:highlight w:val="none"/>
        </w:rPr>
      </w:pP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991" w:type="dxa"/>
            <w:noWrap w:val="0"/>
            <w:vAlign w:val="center"/>
          </w:tcPr>
          <w:p>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551" w:type="dxa"/>
            <w:noWrap w:val="0"/>
            <w:vAlign w:val="center"/>
          </w:tcPr>
          <w:p>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w:t>
            </w:r>
          </w:p>
          <w:p>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991"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2551"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418" w:type="dxa"/>
            <w:noWrap w:val="0"/>
            <w:vAlign w:val="top"/>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4991"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2551"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418"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991"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2551"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招标文件其它实质性要求相应的材料（“▲” 系指实质性要求条款，招标文件无其它实质性要求的，无需提供）</w:t>
            </w:r>
          </w:p>
        </w:tc>
        <w:tc>
          <w:tcPr>
            <w:tcW w:w="1418"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bl>
    <w:p>
      <w:pPr>
        <w:pStyle w:val="12"/>
        <w:ind w:left="0" w:leftChars="0"/>
        <w:rPr>
          <w:color w:val="auto"/>
          <w:highlight w:val="none"/>
        </w:rPr>
      </w:pPr>
    </w:p>
    <w:p>
      <w:pPr>
        <w:jc w:val="both"/>
        <w:rPr>
          <w:rFonts w:ascii="仿宋_GB2312" w:hAnsi="仿宋" w:eastAsia="仿宋_GB2312" w:cs="仿宋_GB2312"/>
          <w:b/>
          <w:color w:val="auto"/>
          <w:kern w:val="0"/>
          <w:sz w:val="32"/>
          <w:szCs w:val="32"/>
          <w:highlight w:val="none"/>
        </w:rPr>
      </w:pPr>
      <w:r>
        <w:rPr>
          <w:rFonts w:hint="eastAsia" w:ascii="宋体" w:hAnsi="宋体" w:eastAsia="宋体" w:cs="宋体"/>
          <w:color w:val="auto"/>
          <w:sz w:val="21"/>
          <w:szCs w:val="21"/>
          <w:highlight w:val="none"/>
          <w:lang w:val="en-US" w:eastAsia="zh-CN"/>
        </w:rPr>
        <w:t>注：按本格式和要求提供</w:t>
      </w:r>
      <w:r>
        <w:rPr>
          <w:rFonts w:hint="eastAsia" w:ascii="宋体" w:hAnsi="宋体" w:eastAsia="宋体" w:cs="宋体"/>
          <w:b/>
          <w:color w:val="auto"/>
          <w:kern w:val="0"/>
          <w:sz w:val="21"/>
          <w:szCs w:val="21"/>
          <w:highlight w:val="none"/>
        </w:rPr>
        <w:t xml:space="preserve"> </w:t>
      </w: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3"/>
        <w:numPr>
          <w:ilvl w:val="1"/>
          <w:numId w:val="0"/>
        </w:numPr>
        <w:tabs>
          <w:tab w:val="left" w:pos="840"/>
        </w:tabs>
        <w:spacing w:before="0" w:after="156" w:afterLines="50" w:line="400" w:lineRule="exact"/>
        <w:jc w:val="center"/>
        <w:rPr>
          <w:color w:val="auto"/>
          <w:highlight w:val="none"/>
        </w:rPr>
      </w:pPr>
      <w:r>
        <w:rPr>
          <w:rFonts w:hint="eastAsia" w:ascii="仿宋_GB2312" w:hAnsi="仿宋" w:eastAsia="仿宋_GB2312" w:cs="仿宋_GB2312"/>
          <w:b/>
          <w:color w:val="auto"/>
          <w:kern w:val="0"/>
          <w:sz w:val="32"/>
          <w:szCs w:val="32"/>
          <w:highlight w:val="none"/>
        </w:rPr>
        <w:br w:type="page"/>
      </w:r>
      <w:bookmarkStart w:id="812" w:name="_Toc3828"/>
      <w:bookmarkStart w:id="813" w:name="_Toc24318"/>
      <w:r>
        <w:rPr>
          <w:rFonts w:hint="eastAsia" w:ascii="宋体" w:hAnsi="宋体" w:eastAsia="宋体" w:cs="宋体"/>
          <w:b/>
          <w:color w:val="auto"/>
          <w:kern w:val="0"/>
          <w:sz w:val="28"/>
          <w:szCs w:val="28"/>
          <w:highlight w:val="none"/>
          <w:lang w:val="en-US" w:eastAsia="zh-CN"/>
        </w:rPr>
        <w:t>四</w:t>
      </w:r>
      <w:r>
        <w:rPr>
          <w:rFonts w:hint="eastAsia" w:ascii="宋体" w:hAnsi="宋体" w:eastAsia="宋体" w:cs="宋体"/>
          <w:b/>
          <w:bCs w:val="0"/>
          <w:color w:val="auto"/>
          <w:kern w:val="2"/>
          <w:sz w:val="28"/>
          <w:szCs w:val="28"/>
          <w:highlight w:val="none"/>
          <w:lang w:val="en-US" w:eastAsia="zh-CN" w:bidi="ar-SA"/>
        </w:rPr>
        <w:t>、评标标准相应的商务技术资料</w:t>
      </w:r>
      <w:bookmarkEnd w:id="812"/>
      <w:bookmarkEnd w:id="813"/>
    </w:p>
    <w:p>
      <w:pPr>
        <w:snapToGrid w:val="0"/>
        <w:spacing w:line="360" w:lineRule="auto"/>
        <w:jc w:val="left"/>
        <w:rPr>
          <w:rFonts w:hint="eastAsia" w:ascii="宋体" w:hAnsi="宋体" w:eastAsia="宋体" w:cs="宋体"/>
          <w:b/>
          <w:color w:val="auto"/>
          <w:sz w:val="21"/>
          <w:szCs w:val="20"/>
          <w:highlight w:val="none"/>
          <w:lang w:eastAsia="zh-CN"/>
        </w:rPr>
      </w:pPr>
      <w:r>
        <w:rPr>
          <w:rFonts w:hint="eastAsia" w:ascii="宋体" w:hAnsi="宋体" w:eastAsia="宋体" w:cs="宋体"/>
          <w:b/>
          <w:color w:val="auto"/>
          <w:sz w:val="21"/>
          <w:szCs w:val="20"/>
          <w:highlight w:val="none"/>
        </w:rPr>
        <w:t>（按招标文件第四部分评标办法前附表中“投标文件中评标标准相应的商务技术资料目录”提供资料）</w:t>
      </w:r>
      <w:r>
        <w:rPr>
          <w:rFonts w:hint="eastAsia" w:ascii="宋体" w:hAnsi="宋体" w:eastAsia="宋体" w:cs="宋体"/>
          <w:b/>
          <w:color w:val="auto"/>
          <w:sz w:val="21"/>
          <w:szCs w:val="20"/>
          <w:highlight w:val="none"/>
          <w:lang w:eastAsia="zh-CN"/>
        </w:rPr>
        <w:t>，</w:t>
      </w:r>
      <w:r>
        <w:rPr>
          <w:rFonts w:hint="eastAsia" w:ascii="宋体" w:hAnsi="宋体" w:eastAsia="宋体" w:cs="宋体"/>
          <w:b/>
          <w:color w:val="auto"/>
          <w:sz w:val="21"/>
          <w:szCs w:val="20"/>
          <w:highlight w:val="none"/>
          <w:lang w:val="en-US" w:eastAsia="zh-CN"/>
        </w:rPr>
        <w:t>相关格式参考如下：</w:t>
      </w:r>
    </w:p>
    <w:p>
      <w:pPr>
        <w:jc w:val="center"/>
        <w:rPr>
          <w:rFonts w:ascii="仿宋_GB2312" w:hAnsi="仿宋" w:eastAsia="仿宋_GB2312" w:cs="仿宋_GB2312"/>
          <w:b/>
          <w:color w:val="auto"/>
          <w:kern w:val="0"/>
          <w:sz w:val="32"/>
          <w:szCs w:val="32"/>
          <w:highlight w:val="none"/>
        </w:rPr>
      </w:pPr>
    </w:p>
    <w:p>
      <w:pPr>
        <w:pStyle w:val="12"/>
        <w:rPr>
          <w:rFonts w:ascii="仿宋_GB2312" w:hAnsi="仿宋" w:eastAsia="仿宋_GB2312" w:cs="仿宋_GB2312"/>
          <w:b/>
          <w:color w:val="auto"/>
          <w:kern w:val="0"/>
          <w:sz w:val="32"/>
          <w:szCs w:val="32"/>
          <w:highlight w:val="none"/>
        </w:rPr>
      </w:pPr>
    </w:p>
    <w:p>
      <w:pPr>
        <w:pStyle w:val="12"/>
        <w:rPr>
          <w:color w:val="auto"/>
          <w:highlight w:val="none"/>
        </w:rPr>
      </w:pPr>
      <w:r>
        <w:rPr>
          <w:rFonts w:hint="eastAsia" w:ascii="宋体" w:hAnsi="宋体" w:eastAsia="宋体" w:cs="宋体"/>
          <w:b/>
          <w:bCs w:val="0"/>
          <w:color w:val="auto"/>
          <w:kern w:val="2"/>
          <w:sz w:val="28"/>
          <w:szCs w:val="28"/>
          <w:highlight w:val="none"/>
          <w:lang w:val="en-US" w:eastAsia="zh-CN" w:bidi="ar-SA"/>
        </w:rPr>
        <w:br w:type="page"/>
      </w:r>
    </w:p>
    <w:p>
      <w:pPr>
        <w:pStyle w:val="12"/>
        <w:rPr>
          <w:color w:val="auto"/>
          <w:highlight w:val="none"/>
        </w:rPr>
      </w:pPr>
    </w:p>
    <w:p>
      <w:pPr>
        <w:pStyle w:val="3"/>
        <w:numPr>
          <w:ilvl w:val="0"/>
          <w:numId w:val="15"/>
        </w:numPr>
        <w:tabs>
          <w:tab w:val="left" w:pos="840"/>
        </w:tabs>
        <w:spacing w:before="0" w:after="156" w:afterLines="50" w:line="400" w:lineRule="exact"/>
        <w:jc w:val="center"/>
        <w:rPr>
          <w:rFonts w:hint="eastAsia" w:ascii="仿宋_GB2312" w:hAnsi="仿宋" w:eastAsia="仿宋_GB2312" w:cs="仿宋_GB2312"/>
          <w:b/>
          <w:color w:val="auto"/>
          <w:kern w:val="0"/>
          <w:sz w:val="32"/>
          <w:szCs w:val="32"/>
          <w:highlight w:val="none"/>
        </w:rPr>
      </w:pPr>
      <w:bookmarkStart w:id="814" w:name="_Toc29316"/>
      <w:bookmarkStart w:id="815" w:name="_Toc21996"/>
      <w:r>
        <w:rPr>
          <w:rFonts w:hint="eastAsia" w:ascii="仿宋_GB2312" w:hAnsi="仿宋" w:eastAsia="仿宋_GB2312" w:cs="仿宋_GB2312"/>
          <w:b/>
          <w:color w:val="auto"/>
          <w:kern w:val="0"/>
          <w:sz w:val="32"/>
          <w:szCs w:val="32"/>
          <w:highlight w:val="none"/>
        </w:rPr>
        <w:t>投标标的清单</w:t>
      </w:r>
    </w:p>
    <w:tbl>
      <w:tblPr>
        <w:tblStyle w:val="3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仿宋_GB2312" w:hAnsi="仿宋" w:eastAsia="仿宋_GB2312" w:cs="Times New Roman"/>
                <w:b/>
                <w:bCs/>
                <w:color w:val="auto"/>
                <w:sz w:val="24"/>
                <w:highlight w:val="none"/>
              </w:rPr>
            </w:pPr>
          </w:p>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备注</w:t>
            </w:r>
            <w:r>
              <w:rPr>
                <w:rFonts w:hint="eastAsia" w:ascii="仿宋_GB2312" w:hAnsi="仿宋" w:eastAsia="仿宋_GB2312" w:cs="Times New Roman"/>
                <w:b/>
                <w:bCs/>
                <w:color w:val="auto"/>
                <w:sz w:val="24"/>
                <w:highlight w:val="none"/>
                <w:lang w:eastAsia="zh-CN"/>
              </w:rPr>
              <w:t>（</w:t>
            </w:r>
            <w:r>
              <w:rPr>
                <w:rFonts w:hint="eastAsia" w:ascii="仿宋_GB2312" w:hAnsi="仿宋" w:eastAsia="仿宋_GB2312" w:cs="Times New Roman"/>
                <w:b/>
                <w:bCs/>
                <w:color w:val="auto"/>
                <w:sz w:val="24"/>
                <w:highlight w:val="none"/>
                <w:lang w:val="en-US" w:eastAsia="zh-CN"/>
              </w:rPr>
              <w:t>如果有</w:t>
            </w:r>
            <w:r>
              <w:rPr>
                <w:rFonts w:hint="eastAsia" w:ascii="仿宋_GB2312" w:hAnsi="仿宋" w:eastAsia="仿宋_GB2312" w:cs="Times New Roman"/>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ascii="仿宋_GB2312" w:hAnsi="仿宋" w:eastAsia="仿宋_GB2312" w:cs="仿宋_GB2312"/>
                <w:b/>
                <w:color w:val="auto"/>
                <w:kern w:val="0"/>
                <w:sz w:val="32"/>
                <w:szCs w:val="32"/>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仿宋" w:eastAsia="仿宋_GB2312" w:cs="仿宋_GB2312"/>
                <w:b/>
                <w:color w:val="auto"/>
                <w:kern w:val="0"/>
                <w:sz w:val="32"/>
                <w:szCs w:val="32"/>
                <w:highlight w:val="none"/>
              </w:rPr>
            </w:pPr>
          </w:p>
        </w:tc>
      </w:tr>
    </w:tbl>
    <w:p>
      <w:pPr>
        <w:pStyle w:val="12"/>
        <w:ind w:left="0" w:leftChars="0"/>
        <w:rPr>
          <w:color w:val="auto"/>
          <w:highlight w:val="none"/>
        </w:rPr>
      </w:pPr>
      <w:r>
        <w:rPr>
          <w:rFonts w:hint="eastAsia" w:ascii="仿宋_GB2312" w:hAnsi="仿宋" w:eastAsia="仿宋_GB2312" w:cs="仿宋_GB2312"/>
          <w:color w:val="auto"/>
          <w:sz w:val="24"/>
          <w:highlight w:val="none"/>
          <w:lang w:val="en-US" w:eastAsia="zh-CN"/>
        </w:rPr>
        <w:t>注：按本格式和要求提供</w:t>
      </w:r>
    </w:p>
    <w:p>
      <w:pPr>
        <w:pStyle w:val="3"/>
        <w:numPr>
          <w:ilvl w:val="0"/>
          <w:numId w:val="15"/>
        </w:numPr>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br w:type="page"/>
      </w:r>
      <w:r>
        <w:rPr>
          <w:rFonts w:hint="eastAsia" w:ascii="宋体" w:hAnsi="宋体" w:eastAsia="宋体" w:cs="宋体"/>
          <w:b/>
          <w:bCs w:val="0"/>
          <w:color w:val="auto"/>
          <w:kern w:val="2"/>
          <w:sz w:val="28"/>
          <w:szCs w:val="28"/>
          <w:highlight w:val="none"/>
          <w:lang w:val="en-US" w:eastAsia="zh-CN" w:bidi="ar-SA"/>
        </w:rPr>
        <w:t>商务技术偏离表</w:t>
      </w:r>
      <w:bookmarkEnd w:id="814"/>
      <w:bookmarkEnd w:id="815"/>
    </w:p>
    <w:p>
      <w:pPr>
        <w:numPr>
          <w:ilvl w:val="0"/>
          <w:numId w:val="0"/>
        </w:numPr>
        <w:rPr>
          <w:rFonts w:hint="eastAsia"/>
          <w:color w:val="auto"/>
          <w:highlight w:val="none"/>
          <w:lang w:val="en-US" w:eastAsia="zh-CN"/>
        </w:rPr>
      </w:pPr>
    </w:p>
    <w:tbl>
      <w:tblPr>
        <w:tblStyle w:val="38"/>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0" w:type="dxa"/>
            <w:noWrap w:val="0"/>
            <w:vAlign w:val="center"/>
          </w:tcPr>
          <w:p>
            <w:pPr>
              <w:jc w:val="center"/>
              <w:rPr>
                <w:rFonts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序号</w:t>
            </w:r>
          </w:p>
        </w:tc>
        <w:tc>
          <w:tcPr>
            <w:tcW w:w="3689" w:type="dxa"/>
            <w:noWrap w:val="0"/>
            <w:vAlign w:val="center"/>
          </w:tcPr>
          <w:p>
            <w:pPr>
              <w:jc w:val="center"/>
              <w:rPr>
                <w:rFonts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招标文件章节及具体内容</w:t>
            </w:r>
          </w:p>
        </w:tc>
        <w:tc>
          <w:tcPr>
            <w:tcW w:w="3551" w:type="dxa"/>
            <w:noWrap w:val="0"/>
            <w:vAlign w:val="center"/>
          </w:tcPr>
          <w:p>
            <w:pPr>
              <w:jc w:val="center"/>
              <w:rPr>
                <w:rFonts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投标文件章节及具体内容</w:t>
            </w:r>
          </w:p>
        </w:tc>
        <w:tc>
          <w:tcPr>
            <w:tcW w:w="1278" w:type="dxa"/>
            <w:noWrap w:val="0"/>
            <w:vAlign w:val="center"/>
          </w:tcPr>
          <w:p>
            <w:pPr>
              <w:jc w:val="center"/>
              <w:rPr>
                <w:rFonts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60" w:type="dxa"/>
            <w:noWrap w:val="0"/>
            <w:vAlign w:val="center"/>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9" w:type="dxa"/>
            <w:noWrap w:val="0"/>
            <w:vAlign w:val="center"/>
          </w:tcPr>
          <w:p>
            <w:pPr>
              <w:jc w:val="center"/>
              <w:rPr>
                <w:rFonts w:ascii="仿宋_GB2312" w:hAnsi="仿宋" w:eastAsia="仿宋_GB2312" w:cs="仿宋_GB2312"/>
                <w:b/>
                <w:color w:val="auto"/>
                <w:kern w:val="0"/>
                <w:sz w:val="32"/>
                <w:szCs w:val="32"/>
                <w:highlight w:val="none"/>
              </w:rPr>
            </w:pPr>
          </w:p>
        </w:tc>
        <w:tc>
          <w:tcPr>
            <w:tcW w:w="3551" w:type="dxa"/>
            <w:noWrap w:val="0"/>
            <w:vAlign w:val="center"/>
          </w:tcPr>
          <w:p>
            <w:pPr>
              <w:jc w:val="center"/>
              <w:rPr>
                <w:rFonts w:ascii="仿宋_GB2312" w:hAnsi="仿宋" w:eastAsia="仿宋_GB2312" w:cs="仿宋_GB2312"/>
                <w:b/>
                <w:color w:val="auto"/>
                <w:kern w:val="0"/>
                <w:sz w:val="32"/>
                <w:szCs w:val="32"/>
                <w:highlight w:val="none"/>
              </w:rPr>
            </w:pPr>
          </w:p>
        </w:tc>
        <w:tc>
          <w:tcPr>
            <w:tcW w:w="1278" w:type="dxa"/>
            <w:noWrap w:val="0"/>
            <w:vAlign w:val="center"/>
          </w:tcPr>
          <w:p>
            <w:pPr>
              <w:jc w:val="center"/>
              <w:rPr>
                <w:rFonts w:ascii="仿宋_GB2312" w:hAnsi="仿宋" w:eastAsia="仿宋_GB2312" w:cs="仿宋_GB2312"/>
                <w:b/>
                <w:color w:val="auto"/>
                <w:kern w:val="0"/>
                <w:sz w:val="32"/>
                <w:szCs w:val="32"/>
                <w:highlight w:val="none"/>
              </w:rPr>
            </w:pPr>
          </w:p>
        </w:tc>
      </w:tr>
    </w:tbl>
    <w:p>
      <w:pPr>
        <w:pStyle w:val="24"/>
        <w:spacing w:line="400" w:lineRule="atLeast"/>
        <w:ind w:left="0" w:leftChars="0" w:firstLine="422" w:firstLineChars="200"/>
        <w:rPr>
          <w:rFonts w:hint="eastAsia" w:ascii="宋体" w:hAnsi="宋体" w:eastAsia="宋体" w:cs="宋体"/>
          <w:b/>
          <w:bCs/>
          <w:caps/>
          <w:color w:val="auto"/>
          <w:kern w:val="0"/>
          <w:sz w:val="21"/>
          <w:szCs w:val="21"/>
          <w:highlight w:val="none"/>
          <w:lang w:val="en-US" w:eastAsia="zh-CN" w:bidi="ar-SA"/>
        </w:rPr>
      </w:pPr>
      <w:r>
        <w:rPr>
          <w:rFonts w:hint="eastAsia" w:cs="宋体"/>
          <w:color w:val="auto"/>
          <w:highlight w:val="none"/>
        </w:rPr>
        <w:t>注：</w:t>
      </w:r>
      <w:r>
        <w:rPr>
          <w:rFonts w:hint="eastAsia" w:ascii="宋体" w:hAnsi="宋体" w:cs="宋体"/>
          <w:b/>
          <w:bCs/>
          <w:caps/>
          <w:color w:val="auto"/>
          <w:kern w:val="0"/>
          <w:sz w:val="21"/>
          <w:szCs w:val="21"/>
          <w:highlight w:val="none"/>
          <w:lang w:val="en-US" w:eastAsia="zh-CN" w:bidi="ar-SA"/>
        </w:rPr>
        <w:t>1、</w:t>
      </w:r>
      <w:r>
        <w:rPr>
          <w:rFonts w:hint="eastAsia" w:ascii="宋体" w:hAnsi="宋体" w:eastAsia="宋体" w:cs="宋体"/>
          <w:b/>
          <w:bCs/>
          <w:caps/>
          <w:color w:val="auto"/>
          <w:kern w:val="0"/>
          <w:sz w:val="21"/>
          <w:szCs w:val="21"/>
          <w:highlight w:val="none"/>
          <w:lang w:val="en-US" w:eastAsia="zh-CN" w:bidi="ar-SA"/>
        </w:rPr>
        <w:t xml:space="preserve">投标人必须按“第三部分  采购需求--二、采购内容及技术要求--（二）参数要求”中“ </w:t>
      </w:r>
      <w:r>
        <w:rPr>
          <w:rFonts w:hint="eastAsia" w:ascii="宋体" w:hAnsi="宋体" w:eastAsia="宋体" w:cs="宋体"/>
          <w:b/>
          <w:bCs/>
          <w:color w:val="auto"/>
          <w:sz w:val="21"/>
          <w:szCs w:val="21"/>
          <w:highlight w:val="none"/>
        </w:rPr>
        <w:t>主要性能参数</w:t>
      </w:r>
      <w:r>
        <w:rPr>
          <w:rFonts w:hint="eastAsia" w:ascii="宋体" w:hAnsi="宋体" w:eastAsia="宋体" w:cs="宋体"/>
          <w:b/>
          <w:bCs/>
          <w:caps/>
          <w:color w:val="auto"/>
          <w:kern w:val="0"/>
          <w:sz w:val="21"/>
          <w:szCs w:val="21"/>
          <w:highlight w:val="none"/>
          <w:lang w:val="en-US" w:eastAsia="zh-CN" w:bidi="ar-SA"/>
        </w:rPr>
        <w:t>”的各项参数一一对应，</w:t>
      </w:r>
    </w:p>
    <w:p>
      <w:pPr>
        <w:ind w:firstLine="632" w:firstLineChars="300"/>
        <w:rPr>
          <w:rFonts w:hint="eastAsia" w:ascii="宋体" w:hAnsi="宋体" w:eastAsia="宋体" w:cs="宋体"/>
          <w:b/>
          <w:bCs/>
          <w:caps/>
          <w:color w:val="auto"/>
          <w:kern w:val="0"/>
          <w:sz w:val="21"/>
          <w:szCs w:val="21"/>
          <w:highlight w:val="none"/>
          <w:lang w:val="en-US" w:eastAsia="zh-CN" w:bidi="ar-SA"/>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r>
        <w:rPr>
          <w:rFonts w:hint="eastAsia" w:ascii="宋体" w:hAnsi="宋体" w:eastAsia="宋体" w:cs="宋体"/>
          <w:b/>
          <w:bCs/>
          <w:caps/>
          <w:color w:val="auto"/>
          <w:kern w:val="0"/>
          <w:sz w:val="21"/>
          <w:szCs w:val="21"/>
          <w:highlight w:val="none"/>
          <w:lang w:val="en-US" w:eastAsia="zh-CN" w:bidi="ar-SA"/>
        </w:rPr>
        <w:t>2、“偏离情况”栏填写：“正偏离”或“负偏离”或“符合”</w:t>
      </w:r>
    </w:p>
    <w:p>
      <w:pPr>
        <w:pStyle w:val="3"/>
        <w:numPr>
          <w:ilvl w:val="0"/>
          <w:numId w:val="15"/>
        </w:numPr>
        <w:tabs>
          <w:tab w:val="left" w:pos="840"/>
        </w:tabs>
        <w:spacing w:before="0" w:after="156" w:afterLines="50" w:line="400" w:lineRule="exact"/>
        <w:jc w:val="center"/>
        <w:rPr>
          <w:rFonts w:hint="eastAsia" w:ascii="宋体" w:hAnsi="宋体" w:eastAsia="宋体" w:cs="宋体"/>
          <w:b/>
          <w:bCs w:val="0"/>
          <w:color w:val="auto"/>
          <w:sz w:val="28"/>
          <w:szCs w:val="36"/>
          <w:highlight w:val="none"/>
        </w:rPr>
      </w:pPr>
      <w:bookmarkStart w:id="816" w:name="_Toc73100339"/>
      <w:bookmarkStart w:id="817" w:name="_Toc15680"/>
      <w:bookmarkStart w:id="818" w:name="_Toc20153"/>
      <w:bookmarkStart w:id="819" w:name="_Toc18277"/>
      <w:r>
        <w:rPr>
          <w:rFonts w:hint="eastAsia" w:ascii="宋体" w:hAnsi="宋体" w:eastAsia="宋体" w:cs="宋体"/>
          <w:b/>
          <w:bCs w:val="0"/>
          <w:color w:val="auto"/>
          <w:sz w:val="28"/>
          <w:szCs w:val="36"/>
          <w:highlight w:val="none"/>
        </w:rPr>
        <w:t>20</w:t>
      </w:r>
      <w:r>
        <w:rPr>
          <w:rFonts w:hint="eastAsia" w:ascii="宋体" w:hAnsi="宋体" w:eastAsia="宋体" w:cs="宋体"/>
          <w:b/>
          <w:bCs w:val="0"/>
          <w:color w:val="auto"/>
          <w:sz w:val="28"/>
          <w:szCs w:val="36"/>
          <w:highlight w:val="none"/>
          <w:lang w:val="en-US" w:eastAsia="zh-CN"/>
        </w:rPr>
        <w:t>21</w:t>
      </w:r>
      <w:r>
        <w:rPr>
          <w:rFonts w:hint="eastAsia" w:ascii="宋体" w:hAnsi="宋体" w:eastAsia="宋体" w:cs="宋体"/>
          <w:b/>
          <w:bCs w:val="0"/>
          <w:color w:val="auto"/>
          <w:sz w:val="28"/>
          <w:szCs w:val="36"/>
          <w:highlight w:val="none"/>
        </w:rPr>
        <w:t>年1月</w:t>
      </w:r>
      <w:r>
        <w:rPr>
          <w:rFonts w:hint="eastAsia" w:ascii="宋体" w:hAnsi="宋体" w:eastAsia="宋体" w:cs="宋体"/>
          <w:b/>
          <w:bCs w:val="0"/>
          <w:color w:val="auto"/>
          <w:sz w:val="28"/>
          <w:szCs w:val="36"/>
          <w:highlight w:val="none"/>
          <w:lang w:val="en-US" w:eastAsia="zh-CN"/>
        </w:rPr>
        <w:t>1日</w:t>
      </w:r>
      <w:r>
        <w:rPr>
          <w:rFonts w:hint="eastAsia" w:ascii="宋体" w:hAnsi="宋体" w:eastAsia="宋体" w:cs="宋体"/>
          <w:b/>
          <w:bCs w:val="0"/>
          <w:color w:val="auto"/>
          <w:sz w:val="28"/>
          <w:szCs w:val="36"/>
          <w:highlight w:val="none"/>
        </w:rPr>
        <w:t>以来项目业绩一览表</w:t>
      </w:r>
    </w:p>
    <w:p>
      <w:pPr>
        <w:spacing w:before="312" w:beforeLines="100" w:after="156" w:afterLines="50"/>
        <w:ind w:right="-11"/>
        <w:rPr>
          <w:rFonts w:hint="eastAsia"/>
          <w:b/>
          <w:bCs/>
          <w:color w:val="auto"/>
          <w:sz w:val="30"/>
          <w:highlight w:val="none"/>
        </w:rPr>
      </w:pPr>
      <w:r>
        <w:rPr>
          <w:rFonts w:hint="eastAsia" w:ascii="宋体" w:hAnsi="宋体"/>
          <w:b/>
          <w:color w:val="auto"/>
          <w:szCs w:val="21"/>
          <w:highlight w:val="none"/>
        </w:rPr>
        <w:t>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85"/>
        <w:gridCol w:w="1890"/>
        <w:gridCol w:w="1785"/>
        <w:gridCol w:w="1680"/>
        <w:gridCol w:w="14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新宋体" w:hAnsi="新宋体" w:eastAsia="新宋体" w:cs="Times New Roman"/>
                <w:b/>
                <w:bCs/>
                <w:color w:val="auto"/>
                <w:sz w:val="22"/>
                <w:highlight w:val="none"/>
              </w:rPr>
              <w:t>序号</w:t>
            </w:r>
          </w:p>
        </w:tc>
        <w:tc>
          <w:tcPr>
            <w:tcW w:w="1890"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新宋体" w:hAnsi="新宋体" w:eastAsia="新宋体" w:cs="Times New Roman"/>
                <w:b/>
                <w:bCs/>
                <w:color w:val="auto"/>
                <w:sz w:val="22"/>
                <w:highlight w:val="none"/>
              </w:rPr>
              <w:t>项目名称</w:t>
            </w:r>
          </w:p>
        </w:tc>
        <w:tc>
          <w:tcPr>
            <w:tcW w:w="1785"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新宋体" w:hAnsi="新宋体" w:eastAsia="新宋体" w:cs="Times New Roman"/>
                <w:b/>
                <w:bCs/>
                <w:color w:val="auto"/>
                <w:sz w:val="22"/>
                <w:highlight w:val="none"/>
              </w:rPr>
              <w:t>用户单位</w:t>
            </w:r>
          </w:p>
        </w:tc>
        <w:tc>
          <w:tcPr>
            <w:tcW w:w="1680"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新宋体" w:hAnsi="新宋体" w:eastAsia="新宋体" w:cs="Times New Roman"/>
                <w:b/>
                <w:bCs/>
                <w:color w:val="auto"/>
                <w:sz w:val="22"/>
                <w:highlight w:val="none"/>
              </w:rPr>
              <w:t>合同金额</w:t>
            </w:r>
          </w:p>
        </w:tc>
        <w:tc>
          <w:tcPr>
            <w:tcW w:w="1470"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新宋体" w:hAnsi="新宋体" w:eastAsia="新宋体" w:cs="Times New Roman"/>
                <w:b/>
                <w:bCs/>
                <w:color w:val="auto"/>
                <w:sz w:val="22"/>
                <w:highlight w:val="none"/>
              </w:rPr>
              <w:t>合同日期</w:t>
            </w:r>
          </w:p>
        </w:tc>
        <w:tc>
          <w:tcPr>
            <w:tcW w:w="1260" w:type="dxa"/>
            <w:noWrap w:val="0"/>
            <w:vAlign w:val="center"/>
          </w:tcPr>
          <w:p>
            <w:pPr>
              <w:spacing w:line="380" w:lineRule="exact"/>
              <w:jc w:val="center"/>
              <w:rPr>
                <w:rFonts w:hint="eastAsia" w:ascii="新宋体" w:hAnsi="新宋体" w:eastAsia="新宋体" w:cs="Times New Roman"/>
                <w:b/>
                <w:bCs/>
                <w:color w:val="auto"/>
                <w:sz w:val="22"/>
                <w:highlight w:val="none"/>
              </w:rPr>
            </w:pPr>
            <w:r>
              <w:rPr>
                <w:rFonts w:hint="eastAsia" w:ascii="Calibri" w:hAnsi="Calibri" w:eastAsia="宋体" w:cs="Times New Roman"/>
                <w:b/>
                <w:bCs/>
                <w:color w:val="auto"/>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trPr>
        <w:tc>
          <w:tcPr>
            <w:tcW w:w="11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890" w:type="dxa"/>
            <w:noWrap w:val="0"/>
            <w:vAlign w:val="center"/>
          </w:tcPr>
          <w:p>
            <w:pPr>
              <w:autoSpaceDE w:val="0"/>
              <w:autoSpaceDN w:val="0"/>
              <w:adjustRightInd w:val="0"/>
              <w:jc w:val="center"/>
              <w:rPr>
                <w:rFonts w:ascii="宋体" w:hAnsi="Calibri" w:eastAsia="宋体" w:cs="Times New Roman"/>
                <w:color w:val="auto"/>
                <w:highlight w:val="none"/>
              </w:rPr>
            </w:pPr>
          </w:p>
        </w:tc>
        <w:tc>
          <w:tcPr>
            <w:tcW w:w="1785" w:type="dxa"/>
            <w:noWrap w:val="0"/>
            <w:vAlign w:val="center"/>
          </w:tcPr>
          <w:p>
            <w:pPr>
              <w:autoSpaceDE w:val="0"/>
              <w:autoSpaceDN w:val="0"/>
              <w:adjustRightInd w:val="0"/>
              <w:jc w:val="center"/>
              <w:rPr>
                <w:rFonts w:ascii="宋体" w:hAnsi="Calibri" w:eastAsia="宋体" w:cs="Times New Roman"/>
                <w:color w:val="auto"/>
                <w:highlight w:val="none"/>
              </w:rPr>
            </w:pPr>
          </w:p>
        </w:tc>
        <w:tc>
          <w:tcPr>
            <w:tcW w:w="1680" w:type="dxa"/>
            <w:noWrap w:val="0"/>
            <w:vAlign w:val="center"/>
          </w:tcPr>
          <w:p>
            <w:pPr>
              <w:autoSpaceDE w:val="0"/>
              <w:autoSpaceDN w:val="0"/>
              <w:adjustRightInd w:val="0"/>
              <w:jc w:val="center"/>
              <w:rPr>
                <w:rFonts w:ascii="宋体" w:hAnsi="Calibri" w:eastAsia="宋体" w:cs="Times New Roman"/>
                <w:color w:val="auto"/>
                <w:highlight w:val="none"/>
              </w:rPr>
            </w:pPr>
          </w:p>
        </w:tc>
        <w:tc>
          <w:tcPr>
            <w:tcW w:w="1470" w:type="dxa"/>
            <w:noWrap w:val="0"/>
            <w:vAlign w:val="center"/>
          </w:tcPr>
          <w:p>
            <w:pPr>
              <w:autoSpaceDE w:val="0"/>
              <w:autoSpaceDN w:val="0"/>
              <w:adjustRightInd w:val="0"/>
              <w:jc w:val="center"/>
              <w:rPr>
                <w:rFonts w:ascii="宋体" w:hAnsi="Calibri" w:eastAsia="宋体" w:cs="Times New Roman"/>
                <w:color w:val="auto"/>
                <w:highlight w:val="none"/>
              </w:rPr>
            </w:pPr>
          </w:p>
        </w:tc>
        <w:tc>
          <w:tcPr>
            <w:tcW w:w="1260" w:type="dxa"/>
            <w:noWrap w:val="0"/>
            <w:vAlign w:val="center"/>
          </w:tcPr>
          <w:p>
            <w:pPr>
              <w:autoSpaceDE w:val="0"/>
              <w:autoSpaceDN w:val="0"/>
              <w:adjustRightInd w:val="0"/>
              <w:jc w:val="center"/>
              <w:rPr>
                <w:rFonts w:ascii="宋体" w:hAnsi="Calibri" w:eastAsia="宋体" w:cs="Times New Roman"/>
                <w:color w:val="auto"/>
                <w:highlight w:val="none"/>
              </w:rPr>
            </w:pPr>
          </w:p>
        </w:tc>
      </w:tr>
    </w:tbl>
    <w:p>
      <w:pPr>
        <w:spacing w:before="156" w:beforeLines="50" w:line="360" w:lineRule="auto"/>
        <w:ind w:right="-21" w:rightChars="-10" w:firstLine="422" w:firstLineChars="200"/>
        <w:rPr>
          <w:rFonts w:hint="eastAsia" w:ascii="新宋体" w:hAnsi="新宋体" w:eastAsia="宋体"/>
          <w:color w:val="auto"/>
          <w:sz w:val="22"/>
          <w:highlight w:val="none"/>
          <w:lang w:eastAsia="zh-CN"/>
        </w:rPr>
      </w:pPr>
      <w:r>
        <w:rPr>
          <w:rFonts w:hint="eastAsia" w:ascii="宋体" w:hAnsi="宋体"/>
          <w:b/>
          <w:color w:val="auto"/>
          <w:highlight w:val="none"/>
        </w:rPr>
        <w:t>注：</w:t>
      </w:r>
      <w:r>
        <w:rPr>
          <w:rFonts w:hint="eastAsia" w:ascii="宋体" w:hAnsi="宋体"/>
          <w:b/>
          <w:color w:val="auto"/>
          <w:highlight w:val="none"/>
          <w:lang w:val="en-US" w:eastAsia="zh-CN"/>
        </w:rPr>
        <w:t>1、</w:t>
      </w:r>
      <w:r>
        <w:rPr>
          <w:rFonts w:hint="eastAsia" w:ascii="宋体" w:hAnsi="宋体"/>
          <w:b/>
          <w:color w:val="auto"/>
          <w:highlight w:val="none"/>
        </w:rPr>
        <w:t>业绩有效性认定：提供</w:t>
      </w:r>
      <w:r>
        <w:rPr>
          <w:rFonts w:hint="eastAsia" w:ascii="宋体" w:hAnsi="宋体"/>
          <w:b/>
          <w:color w:val="auto"/>
          <w:highlight w:val="none"/>
          <w:lang w:val="en-US" w:eastAsia="zh-CN"/>
        </w:rPr>
        <w:t>完整的</w:t>
      </w:r>
      <w:r>
        <w:rPr>
          <w:rFonts w:hint="eastAsia" w:ascii="宋体" w:hAnsi="宋体"/>
          <w:b/>
          <w:color w:val="auto"/>
          <w:highlight w:val="none"/>
        </w:rPr>
        <w:t>合同扫描件并加盖</w:t>
      </w:r>
      <w:r>
        <w:rPr>
          <w:rFonts w:hint="eastAsia" w:ascii="宋体" w:hAnsi="宋体"/>
          <w:b/>
          <w:color w:val="auto"/>
          <w:highlight w:val="none"/>
          <w:lang w:val="en-US" w:eastAsia="zh-CN"/>
        </w:rPr>
        <w:t>公章</w:t>
      </w:r>
      <w:r>
        <w:rPr>
          <w:rFonts w:hint="eastAsia" w:ascii="宋体" w:hAnsi="宋体"/>
          <w:b/>
          <w:color w:val="auto"/>
          <w:highlight w:val="none"/>
        </w:rPr>
        <w:t>；业绩认定时间以合同的签订时间为准。</w:t>
      </w:r>
    </w:p>
    <w:bookmarkEnd w:id="816"/>
    <w:bookmarkEnd w:id="817"/>
    <w:bookmarkEnd w:id="818"/>
    <w:bookmarkEnd w:id="819"/>
    <w:p>
      <w:pPr>
        <w:rPr>
          <w:rFonts w:hAnsi="宋体"/>
          <w:b/>
          <w:bCs w:val="0"/>
          <w:color w:val="auto"/>
          <w:sz w:val="28"/>
          <w:szCs w:val="36"/>
          <w:highlight w:val="none"/>
        </w:rPr>
      </w:pPr>
      <w:bookmarkStart w:id="820" w:name="_Toc19222"/>
      <w:bookmarkStart w:id="821" w:name="_Toc15909"/>
      <w:bookmarkStart w:id="822" w:name="_Toc32216"/>
      <w:r>
        <w:rPr>
          <w:rFonts w:hint="eastAsia" w:ascii="Times New Roman" w:hAnsi="宋体" w:eastAsia="宋体" w:cs="Times New Roman"/>
          <w:b/>
          <w:bCs w:val="0"/>
          <w:color w:val="auto"/>
          <w:kern w:val="2"/>
          <w:sz w:val="28"/>
          <w:szCs w:val="36"/>
          <w:highlight w:val="none"/>
          <w:lang w:val="en-US" w:eastAsia="zh-CN" w:bidi="ar-SA"/>
        </w:rPr>
        <w:br w:type="page"/>
      </w:r>
    </w:p>
    <w:p>
      <w:pPr>
        <w:pStyle w:val="3"/>
        <w:numPr>
          <w:ilvl w:val="0"/>
          <w:numId w:val="15"/>
        </w:numPr>
        <w:tabs>
          <w:tab w:val="left" w:pos="840"/>
        </w:tabs>
        <w:spacing w:before="0" w:after="156" w:afterLines="50" w:line="400" w:lineRule="exact"/>
        <w:jc w:val="center"/>
        <w:rPr>
          <w:rFonts w:hAnsi="宋体"/>
          <w:b/>
          <w:bCs w:val="0"/>
          <w:color w:val="auto"/>
          <w:sz w:val="28"/>
          <w:szCs w:val="36"/>
          <w:highlight w:val="none"/>
        </w:rPr>
      </w:pPr>
      <w:r>
        <w:rPr>
          <w:rFonts w:hint="eastAsia" w:ascii="Times New Roman" w:hAnsi="宋体" w:eastAsia="宋体" w:cs="Times New Roman"/>
          <w:b/>
          <w:bCs w:val="0"/>
          <w:color w:val="auto"/>
          <w:kern w:val="2"/>
          <w:sz w:val="28"/>
          <w:szCs w:val="36"/>
          <w:highlight w:val="none"/>
          <w:lang w:val="en-US" w:eastAsia="zh-CN" w:bidi="ar-SA"/>
        </w:rPr>
        <w:t>环境标志产品、节能产品</w:t>
      </w:r>
    </w:p>
    <w:p>
      <w:pPr>
        <w:spacing w:line="360" w:lineRule="auto"/>
        <w:ind w:left="34" w:leftChars="0"/>
        <w:rPr>
          <w:rFonts w:hint="eastAsia"/>
          <w:color w:val="auto"/>
          <w:highlight w:val="none"/>
        </w:rPr>
      </w:pPr>
    </w:p>
    <w:p>
      <w:pPr>
        <w:spacing w:line="360" w:lineRule="auto"/>
        <w:ind w:left="34" w:leftChars="0"/>
        <w:rPr>
          <w:rFonts w:hint="eastAsia" w:ascii="宋体" w:hAnsi="宋体" w:eastAsia="宋体" w:cs="Times New Roman"/>
          <w:b/>
          <w:color w:val="auto"/>
          <w:sz w:val="24"/>
          <w:szCs w:val="24"/>
          <w:highlight w:val="none"/>
        </w:rPr>
      </w:pPr>
      <w:r>
        <w:rPr>
          <w:rFonts w:hint="eastAsia"/>
          <w:color w:val="auto"/>
          <w:highlight w:val="none"/>
        </w:rPr>
        <w:t>对所投产品是否取得有效的政府采购节能产品、环境标志产品认证证书的情况</w:t>
      </w:r>
      <w:r>
        <w:rPr>
          <w:rFonts w:hint="eastAsia"/>
          <w:color w:val="auto"/>
          <w:highlight w:val="none"/>
          <w:lang w:eastAsia="zh-CN"/>
        </w:rPr>
        <w:t>，</w:t>
      </w:r>
      <w:r>
        <w:rPr>
          <w:rFonts w:hint="eastAsia"/>
          <w:color w:val="auto"/>
          <w:highlight w:val="none"/>
          <w:lang w:val="en-US" w:eastAsia="zh-CN"/>
        </w:rPr>
        <w:t>若是，须</w:t>
      </w:r>
      <w:r>
        <w:rPr>
          <w:rFonts w:hint="eastAsia"/>
          <w:color w:val="auto"/>
          <w:highlight w:val="none"/>
        </w:rPr>
        <w:t>提供国家确定的认证机构出具的、处于有效期之内的节能产品、环境标志产品认证证书</w:t>
      </w:r>
      <w:r>
        <w:rPr>
          <w:rFonts w:hint="eastAsia"/>
          <w:color w:val="auto"/>
          <w:highlight w:val="none"/>
          <w:lang w:val="en-US" w:eastAsia="zh-CN"/>
        </w:rPr>
        <w:t>扫描件</w:t>
      </w:r>
      <w:r>
        <w:rPr>
          <w:rFonts w:hint="eastAsia"/>
          <w:color w:val="auto"/>
          <w:highlight w:val="none"/>
          <w:lang w:eastAsia="zh-CN"/>
        </w:rPr>
        <w:t>。</w:t>
      </w:r>
    </w:p>
    <w:p>
      <w:pPr>
        <w:pStyle w:val="3"/>
        <w:numPr>
          <w:ilvl w:val="0"/>
          <w:numId w:val="15"/>
        </w:numPr>
        <w:tabs>
          <w:tab w:val="left" w:pos="840"/>
        </w:tabs>
        <w:spacing w:before="0" w:after="156" w:afterLines="50" w:line="400" w:lineRule="exact"/>
        <w:jc w:val="center"/>
        <w:rPr>
          <w:rFonts w:hAnsi="宋体"/>
          <w:b/>
          <w:bCs w:val="0"/>
          <w:color w:val="auto"/>
          <w:sz w:val="28"/>
          <w:szCs w:val="36"/>
          <w:highlight w:val="none"/>
        </w:rPr>
      </w:pPr>
      <w:r>
        <w:rPr>
          <w:rFonts w:hint="eastAsia" w:ascii="Times New Roman" w:hAnsi="宋体" w:eastAsia="宋体" w:cs="Times New Roman"/>
          <w:b/>
          <w:bCs w:val="0"/>
          <w:color w:val="auto"/>
          <w:kern w:val="2"/>
          <w:sz w:val="28"/>
          <w:szCs w:val="36"/>
          <w:highlight w:val="none"/>
          <w:lang w:val="en-US" w:eastAsia="zh-CN" w:bidi="ar-SA"/>
        </w:rPr>
        <w:br w:type="page"/>
      </w:r>
      <w:r>
        <w:rPr>
          <w:rFonts w:hint="eastAsia" w:ascii="Times New Roman" w:hAnsi="宋体" w:eastAsia="宋体" w:cs="Times New Roman"/>
          <w:b/>
          <w:bCs w:val="0"/>
          <w:color w:val="auto"/>
          <w:kern w:val="2"/>
          <w:sz w:val="28"/>
          <w:szCs w:val="36"/>
          <w:highlight w:val="none"/>
          <w:lang w:val="en-US" w:eastAsia="zh-CN" w:bidi="ar-SA"/>
        </w:rPr>
        <w:t>安装、调试的方案和措施</w:t>
      </w:r>
      <w:r>
        <w:rPr>
          <w:rFonts w:hint="eastAsia" w:ascii="Times New Roman" w:hAnsi="宋体" w:eastAsia="宋体" w:cs="Times New Roman"/>
          <w:b/>
          <w:bCs w:val="0"/>
          <w:color w:val="auto"/>
          <w:kern w:val="2"/>
          <w:sz w:val="28"/>
          <w:szCs w:val="36"/>
          <w:highlight w:val="none"/>
          <w:lang w:val="zh-CN" w:eastAsia="zh-CN" w:bidi="ar-SA"/>
        </w:rPr>
        <w:t>（</w:t>
      </w:r>
      <w:r>
        <w:rPr>
          <w:rFonts w:hint="eastAsia" w:ascii="Times New Roman" w:hAnsi="宋体" w:eastAsia="宋体" w:cs="Times New Roman"/>
          <w:b/>
          <w:bCs w:val="0"/>
          <w:color w:val="auto"/>
          <w:kern w:val="2"/>
          <w:sz w:val="28"/>
          <w:szCs w:val="36"/>
          <w:highlight w:val="none"/>
          <w:lang w:val="en-US" w:eastAsia="zh-CN" w:bidi="ar-SA"/>
        </w:rPr>
        <w:t>格式自拟</w:t>
      </w:r>
      <w:r>
        <w:rPr>
          <w:rFonts w:hint="eastAsia" w:ascii="Times New Roman" w:hAnsi="宋体" w:eastAsia="宋体" w:cs="Times New Roman"/>
          <w:b/>
          <w:bCs w:val="0"/>
          <w:color w:val="auto"/>
          <w:kern w:val="2"/>
          <w:sz w:val="28"/>
          <w:szCs w:val="36"/>
          <w:highlight w:val="none"/>
          <w:lang w:val="zh-CN" w:eastAsia="zh-CN" w:bidi="ar-SA"/>
        </w:rPr>
        <w:t>）</w:t>
      </w:r>
    </w:p>
    <w:p>
      <w:pPr>
        <w:pStyle w:val="3"/>
        <w:numPr>
          <w:ilvl w:val="0"/>
          <w:numId w:val="15"/>
        </w:numPr>
        <w:tabs>
          <w:tab w:val="left" w:pos="840"/>
        </w:tabs>
        <w:spacing w:before="0" w:after="156" w:afterLines="50" w:line="400" w:lineRule="exact"/>
        <w:jc w:val="center"/>
        <w:rPr>
          <w:rFonts w:hAnsi="宋体"/>
          <w:b/>
          <w:bCs w:val="0"/>
          <w:color w:val="auto"/>
          <w:sz w:val="28"/>
          <w:szCs w:val="36"/>
          <w:highlight w:val="none"/>
        </w:rPr>
      </w:pPr>
      <w:r>
        <w:rPr>
          <w:rFonts w:hint="eastAsia" w:ascii="Times New Roman" w:hAnsi="宋体" w:eastAsia="宋体" w:cs="Times New Roman"/>
          <w:b/>
          <w:bCs w:val="0"/>
          <w:color w:val="auto"/>
          <w:kern w:val="2"/>
          <w:sz w:val="28"/>
          <w:szCs w:val="36"/>
          <w:highlight w:val="none"/>
          <w:lang w:val="en-US" w:eastAsia="zh-CN" w:bidi="ar-SA"/>
        </w:rPr>
        <w:br w:type="page"/>
      </w:r>
      <w:r>
        <w:rPr>
          <w:rFonts w:hint="eastAsia" w:ascii="Times New Roman" w:hAnsi="宋体" w:eastAsia="宋体" w:cs="Times New Roman"/>
          <w:b/>
          <w:bCs w:val="0"/>
          <w:color w:val="auto"/>
          <w:kern w:val="2"/>
          <w:sz w:val="28"/>
          <w:szCs w:val="36"/>
          <w:highlight w:val="none"/>
          <w:lang w:val="en-US" w:eastAsia="zh-CN" w:bidi="ar-SA"/>
        </w:rPr>
        <w:t>技术培训的方案和措施</w:t>
      </w:r>
      <w:r>
        <w:rPr>
          <w:rFonts w:hint="eastAsia" w:ascii="Times New Roman" w:hAnsi="宋体" w:eastAsia="宋体" w:cs="Times New Roman"/>
          <w:b/>
          <w:bCs w:val="0"/>
          <w:color w:val="auto"/>
          <w:kern w:val="2"/>
          <w:sz w:val="28"/>
          <w:szCs w:val="36"/>
          <w:highlight w:val="none"/>
          <w:lang w:val="zh-CN" w:eastAsia="zh-CN" w:bidi="ar-SA"/>
        </w:rPr>
        <w:t>（</w:t>
      </w:r>
      <w:r>
        <w:rPr>
          <w:rFonts w:hint="eastAsia" w:ascii="Times New Roman" w:hAnsi="宋体" w:eastAsia="宋体" w:cs="Times New Roman"/>
          <w:b/>
          <w:bCs w:val="0"/>
          <w:color w:val="auto"/>
          <w:kern w:val="2"/>
          <w:sz w:val="28"/>
          <w:szCs w:val="36"/>
          <w:highlight w:val="none"/>
          <w:lang w:val="en-US" w:eastAsia="zh-CN" w:bidi="ar-SA"/>
        </w:rPr>
        <w:t>格式自拟</w:t>
      </w:r>
      <w:r>
        <w:rPr>
          <w:rFonts w:hint="eastAsia" w:ascii="Times New Roman" w:hAnsi="宋体" w:eastAsia="宋体" w:cs="Times New Roman"/>
          <w:b/>
          <w:bCs w:val="0"/>
          <w:color w:val="auto"/>
          <w:kern w:val="2"/>
          <w:sz w:val="28"/>
          <w:szCs w:val="36"/>
          <w:highlight w:val="none"/>
          <w:lang w:val="zh-CN" w:eastAsia="zh-CN" w:bidi="ar-SA"/>
        </w:rPr>
        <w:t>）</w:t>
      </w:r>
    </w:p>
    <w:p>
      <w:pPr>
        <w:pStyle w:val="3"/>
        <w:numPr>
          <w:ilvl w:val="0"/>
          <w:numId w:val="15"/>
        </w:numPr>
        <w:tabs>
          <w:tab w:val="left" w:pos="840"/>
        </w:tabs>
        <w:spacing w:before="0" w:after="156" w:afterLines="50" w:line="400" w:lineRule="exact"/>
        <w:jc w:val="center"/>
        <w:rPr>
          <w:rFonts w:ascii="Times New Roman" w:hAnsi="Times New Roman"/>
          <w:b/>
          <w:color w:val="auto"/>
          <w:sz w:val="30"/>
          <w:szCs w:val="30"/>
          <w:highlight w:val="none"/>
        </w:rPr>
      </w:pPr>
      <w:r>
        <w:rPr>
          <w:rFonts w:ascii="Times New Roman" w:hAnsi="Times New Roman"/>
          <w:b/>
          <w:color w:val="auto"/>
          <w:sz w:val="30"/>
          <w:szCs w:val="30"/>
          <w:highlight w:val="none"/>
        </w:rPr>
        <w:br w:type="page"/>
      </w:r>
      <w:r>
        <w:rPr>
          <w:rFonts w:hint="eastAsia" w:ascii="Cambria" w:hAnsi="宋体" w:eastAsia="宋体" w:cs="Times New Roman"/>
          <w:b/>
          <w:bCs/>
          <w:color w:val="auto"/>
          <w:kern w:val="2"/>
          <w:sz w:val="28"/>
          <w:szCs w:val="36"/>
          <w:highlight w:val="none"/>
          <w:lang w:val="en-US" w:eastAsia="zh-CN" w:bidi="ar-SA"/>
        </w:rPr>
        <w:t>随机标准附件、备品备件、零配件、专用工具清单配备一览表</w:t>
      </w:r>
    </w:p>
    <w:p>
      <w:pPr>
        <w:spacing w:line="400" w:lineRule="atLeast"/>
        <w:rPr>
          <w:rFonts w:ascii="宋体" w:hAnsi="宋体"/>
          <w:color w:val="auto"/>
          <w:szCs w:val="21"/>
          <w:highlight w:val="none"/>
        </w:rPr>
      </w:pPr>
      <w:r>
        <w:rPr>
          <w:rFonts w:hint="eastAsia" w:ascii="宋体" w:hAnsi="宋体"/>
          <w:b/>
          <w:color w:val="auto"/>
          <w:szCs w:val="21"/>
          <w:highlight w:val="none"/>
        </w:rPr>
        <w:t>项目编号：</w:t>
      </w:r>
    </w:p>
    <w:tbl>
      <w:tblPr>
        <w:tblStyle w:val="3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26"/>
        <w:gridCol w:w="2250"/>
        <w:gridCol w:w="1349"/>
        <w:gridCol w:w="1243"/>
        <w:gridCol w:w="81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678" w:type="dxa"/>
            <w:noWrap w:val="0"/>
            <w:vAlign w:val="center"/>
          </w:tcPr>
          <w:p>
            <w:pPr>
              <w:spacing w:line="400" w:lineRule="atLeast"/>
              <w:jc w:val="center"/>
              <w:rPr>
                <w:rFonts w:ascii="宋体" w:hAnsi="Calibri" w:eastAsia="宋体" w:cs="Times New Roman"/>
                <w:b/>
                <w:bCs/>
                <w:color w:val="auto"/>
                <w:highlight w:val="none"/>
              </w:rPr>
            </w:pPr>
            <w:r>
              <w:rPr>
                <w:rFonts w:hint="eastAsia" w:ascii="宋体" w:hAnsi="Calibri" w:eastAsia="宋体" w:cs="Times New Roman"/>
                <w:b/>
                <w:bCs/>
                <w:color w:val="auto"/>
                <w:highlight w:val="none"/>
              </w:rPr>
              <w:t>序号</w:t>
            </w:r>
          </w:p>
        </w:tc>
        <w:tc>
          <w:tcPr>
            <w:tcW w:w="2026"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名称</w:t>
            </w:r>
          </w:p>
        </w:tc>
        <w:tc>
          <w:tcPr>
            <w:tcW w:w="2250"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主要技术指标</w:t>
            </w:r>
          </w:p>
        </w:tc>
        <w:tc>
          <w:tcPr>
            <w:tcW w:w="1349"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规格型号</w:t>
            </w:r>
          </w:p>
        </w:tc>
        <w:tc>
          <w:tcPr>
            <w:tcW w:w="1243"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品牌/产地</w:t>
            </w:r>
          </w:p>
        </w:tc>
        <w:tc>
          <w:tcPr>
            <w:tcW w:w="812"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数量</w:t>
            </w:r>
          </w:p>
        </w:tc>
        <w:tc>
          <w:tcPr>
            <w:tcW w:w="930"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noWrap w:val="0"/>
            <w:vAlign w:val="center"/>
          </w:tcPr>
          <w:p>
            <w:pPr>
              <w:spacing w:line="400" w:lineRule="atLeast"/>
              <w:ind w:firstLine="592"/>
              <w:jc w:val="center"/>
              <w:rPr>
                <w:rFonts w:ascii="宋体" w:hAnsi="Calibri" w:eastAsia="宋体" w:cs="Times New Roman"/>
                <w:color w:val="auto"/>
                <w:highlight w:val="none"/>
              </w:rPr>
            </w:pPr>
          </w:p>
        </w:tc>
        <w:tc>
          <w:tcPr>
            <w:tcW w:w="2026" w:type="dxa"/>
            <w:noWrap w:val="0"/>
            <w:vAlign w:val="center"/>
          </w:tcPr>
          <w:p>
            <w:pPr>
              <w:spacing w:line="400" w:lineRule="atLeast"/>
              <w:ind w:firstLine="592"/>
              <w:jc w:val="center"/>
              <w:rPr>
                <w:rFonts w:ascii="宋体" w:hAnsi="Calibri" w:eastAsia="宋体" w:cs="Times New Roman"/>
                <w:color w:val="auto"/>
                <w:highlight w:val="none"/>
              </w:rPr>
            </w:pPr>
          </w:p>
        </w:tc>
        <w:tc>
          <w:tcPr>
            <w:tcW w:w="2250" w:type="dxa"/>
            <w:noWrap w:val="0"/>
            <w:vAlign w:val="center"/>
          </w:tcPr>
          <w:p>
            <w:pPr>
              <w:spacing w:line="400" w:lineRule="atLeast"/>
              <w:ind w:firstLine="592"/>
              <w:jc w:val="center"/>
              <w:rPr>
                <w:rFonts w:ascii="宋体" w:hAnsi="Calibri" w:eastAsia="宋体" w:cs="Times New Roman"/>
                <w:color w:val="auto"/>
                <w:highlight w:val="none"/>
              </w:rPr>
            </w:pPr>
          </w:p>
        </w:tc>
        <w:tc>
          <w:tcPr>
            <w:tcW w:w="1349" w:type="dxa"/>
            <w:noWrap w:val="0"/>
            <w:vAlign w:val="center"/>
          </w:tcPr>
          <w:p>
            <w:pPr>
              <w:spacing w:line="400" w:lineRule="atLeast"/>
              <w:ind w:firstLine="592"/>
              <w:jc w:val="center"/>
              <w:rPr>
                <w:rFonts w:ascii="宋体" w:hAnsi="Calibri" w:eastAsia="宋体" w:cs="Times New Roman"/>
                <w:color w:val="auto"/>
                <w:highlight w:val="none"/>
              </w:rPr>
            </w:pPr>
          </w:p>
        </w:tc>
        <w:tc>
          <w:tcPr>
            <w:tcW w:w="1243" w:type="dxa"/>
            <w:noWrap w:val="0"/>
            <w:vAlign w:val="center"/>
          </w:tcPr>
          <w:p>
            <w:pPr>
              <w:spacing w:line="400" w:lineRule="atLeast"/>
              <w:ind w:firstLine="592"/>
              <w:jc w:val="center"/>
              <w:rPr>
                <w:rFonts w:ascii="宋体" w:hAnsi="Calibri" w:eastAsia="宋体" w:cs="Times New Roman"/>
                <w:color w:val="auto"/>
                <w:highlight w:val="none"/>
              </w:rPr>
            </w:pPr>
          </w:p>
        </w:tc>
        <w:tc>
          <w:tcPr>
            <w:tcW w:w="812" w:type="dxa"/>
            <w:noWrap w:val="0"/>
            <w:vAlign w:val="center"/>
          </w:tcPr>
          <w:p>
            <w:pPr>
              <w:spacing w:line="400" w:lineRule="atLeast"/>
              <w:ind w:firstLine="592"/>
              <w:jc w:val="center"/>
              <w:rPr>
                <w:rFonts w:ascii="宋体" w:hAnsi="Calibri" w:eastAsia="宋体" w:cs="Times New Roman"/>
                <w:color w:val="auto"/>
                <w:highlight w:val="none"/>
              </w:rPr>
            </w:pPr>
          </w:p>
        </w:tc>
        <w:tc>
          <w:tcPr>
            <w:tcW w:w="930" w:type="dxa"/>
            <w:noWrap w:val="0"/>
            <w:vAlign w:val="center"/>
          </w:tcPr>
          <w:p>
            <w:pPr>
              <w:spacing w:line="400" w:lineRule="atLeast"/>
              <w:ind w:firstLine="592"/>
              <w:jc w:val="center"/>
              <w:rPr>
                <w:rFonts w:ascii="宋体" w:hAnsi="Calibri" w:eastAsia="宋体" w:cs="Times New Roman"/>
                <w:color w:val="auto"/>
                <w:highlight w:val="none"/>
              </w:rPr>
            </w:pPr>
          </w:p>
        </w:tc>
      </w:tr>
    </w:tbl>
    <w:p>
      <w:pPr>
        <w:pStyle w:val="6"/>
        <w:spacing w:line="276" w:lineRule="auto"/>
        <w:ind w:firstLine="0"/>
        <w:rPr>
          <w:rFonts w:ascii="宋体" w:hAnsi="宋体" w:cs="Arial"/>
          <w:color w:val="auto"/>
          <w:highlight w:val="none"/>
        </w:rPr>
      </w:pPr>
      <w:r>
        <w:rPr>
          <w:rFonts w:hint="eastAsia" w:ascii="宋体" w:hAnsi="宋体"/>
          <w:color w:val="auto"/>
          <w:highlight w:val="none"/>
        </w:rPr>
        <w:t>注：</w:t>
      </w:r>
      <w:r>
        <w:rPr>
          <w:rFonts w:hint="eastAsia" w:ascii="宋体" w:hAnsi="宋体"/>
          <w:color w:val="auto"/>
          <w:highlight w:val="none"/>
        </w:rPr>
        <w:tab/>
      </w:r>
      <w:r>
        <w:rPr>
          <w:rFonts w:ascii="宋体" w:hAnsi="宋体" w:cs="Arial"/>
          <w:color w:val="auto"/>
          <w:highlight w:val="none"/>
        </w:rPr>
        <w:t>1. 本表所列</w:t>
      </w:r>
      <w:r>
        <w:rPr>
          <w:rFonts w:hint="eastAsia" w:ascii="宋体" w:hAnsi="宋体" w:cs="Arial"/>
          <w:color w:val="auto"/>
          <w:highlight w:val="none"/>
        </w:rPr>
        <w:t>清单，</w:t>
      </w:r>
      <w:r>
        <w:rPr>
          <w:rFonts w:hint="eastAsia" w:ascii="宋体" w:hAnsi="宋体" w:cs="Arial"/>
          <w:color w:val="auto"/>
          <w:highlight w:val="none"/>
          <w:lang w:val="en-US" w:eastAsia="zh-CN"/>
        </w:rPr>
        <w:t>其</w:t>
      </w:r>
      <w:r>
        <w:rPr>
          <w:rFonts w:ascii="宋体" w:hAnsi="宋体" w:cs="Arial"/>
          <w:color w:val="auto"/>
          <w:highlight w:val="none"/>
        </w:rPr>
        <w:t>价格</w:t>
      </w:r>
      <w:r>
        <w:rPr>
          <w:rFonts w:hint="eastAsia" w:ascii="宋体" w:hAnsi="宋体" w:cs="Arial"/>
          <w:color w:val="auto"/>
          <w:highlight w:val="none"/>
          <w:lang w:val="en-US" w:eastAsia="zh-CN"/>
        </w:rPr>
        <w:t>包含在</w:t>
      </w:r>
      <w:r>
        <w:rPr>
          <w:rFonts w:hint="eastAsia" w:ascii="宋体" w:hAnsi="宋体" w:cs="Arial"/>
          <w:color w:val="auto"/>
          <w:highlight w:val="none"/>
        </w:rPr>
        <w:t>投标报价</w:t>
      </w:r>
      <w:r>
        <w:rPr>
          <w:rFonts w:hint="eastAsia" w:ascii="宋体" w:hAnsi="宋体" w:cs="Arial"/>
          <w:color w:val="auto"/>
          <w:highlight w:val="none"/>
          <w:lang w:val="en-US" w:eastAsia="zh-CN"/>
        </w:rPr>
        <w:t>中</w:t>
      </w:r>
      <w:r>
        <w:rPr>
          <w:rFonts w:hint="eastAsia" w:ascii="宋体" w:hAnsi="宋体" w:cs="Arial"/>
          <w:color w:val="auto"/>
          <w:highlight w:val="none"/>
        </w:rPr>
        <w:t>。</w:t>
      </w:r>
    </w:p>
    <w:p>
      <w:pPr>
        <w:rPr>
          <w:rFonts w:ascii="宋体" w:hAnsi="宋体" w:cs="Arial"/>
          <w:color w:val="auto"/>
          <w:highlight w:val="none"/>
        </w:rPr>
      </w:pPr>
      <w:r>
        <w:rPr>
          <w:rFonts w:hint="eastAsia" w:ascii="宋体" w:hAnsi="宋体" w:cs="Arial"/>
          <w:color w:val="auto"/>
          <w:highlight w:val="none"/>
          <w:lang w:val="en-US" w:eastAsia="zh-CN"/>
        </w:rPr>
        <w:t>2</w:t>
      </w:r>
      <w:r>
        <w:rPr>
          <w:rFonts w:ascii="宋体" w:hAnsi="宋体" w:cs="Arial"/>
          <w:color w:val="auto"/>
          <w:highlight w:val="none"/>
        </w:rPr>
        <w:t>. 此表仅提供了表格形式，</w:t>
      </w:r>
      <w:r>
        <w:rPr>
          <w:rFonts w:hint="eastAsia" w:ascii="宋体" w:hAnsi="宋体" w:cs="Arial"/>
          <w:color w:val="auto"/>
          <w:highlight w:val="none"/>
          <w:lang w:val="en-US" w:eastAsia="zh-CN"/>
        </w:rPr>
        <w:t>投标人</w:t>
      </w:r>
      <w:r>
        <w:rPr>
          <w:rFonts w:ascii="宋体" w:hAnsi="宋体" w:cs="Arial"/>
          <w:color w:val="auto"/>
          <w:highlight w:val="none"/>
        </w:rPr>
        <w:t>应根据需要准备足够数量的表格来填写。</w:t>
      </w: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34"/>
        <w:rPr>
          <w:color w:val="auto"/>
          <w:highlight w:val="none"/>
        </w:rPr>
        <w:sectPr>
          <w:pgSz w:w="11906" w:h="16838"/>
          <w:pgMar w:top="1276" w:right="1418" w:bottom="1247" w:left="1418" w:header="851" w:footer="992" w:gutter="0"/>
          <w:pgNumType w:fmt="numberInDash"/>
          <w:cols w:space="720" w:num="1"/>
          <w:titlePg/>
          <w:docGrid w:linePitch="312" w:charSpace="0"/>
        </w:sectPr>
      </w:pPr>
    </w:p>
    <w:p>
      <w:pPr>
        <w:pStyle w:val="3"/>
        <w:numPr>
          <w:ilvl w:val="0"/>
          <w:numId w:val="15"/>
        </w:numPr>
        <w:tabs>
          <w:tab w:val="left" w:pos="840"/>
        </w:tabs>
        <w:spacing w:before="0" w:after="156" w:afterLines="50" w:line="400" w:lineRule="exact"/>
        <w:jc w:val="center"/>
        <w:rPr>
          <w:rFonts w:ascii="Times New Roman" w:hAnsi="Times New Roman"/>
          <w:b/>
          <w:color w:val="auto"/>
          <w:sz w:val="30"/>
          <w:szCs w:val="30"/>
          <w:highlight w:val="none"/>
        </w:rPr>
      </w:pPr>
      <w:r>
        <w:rPr>
          <w:rFonts w:ascii="Times New Roman" w:hAnsi="Times New Roman"/>
          <w:b/>
          <w:color w:val="auto"/>
          <w:sz w:val="30"/>
          <w:szCs w:val="30"/>
          <w:highlight w:val="none"/>
        </w:rPr>
        <w:t>运行成本列表</w:t>
      </w:r>
    </w:p>
    <w:p>
      <w:pPr>
        <w:spacing w:line="400" w:lineRule="atLeast"/>
        <w:rPr>
          <w:rFonts w:ascii="宋体" w:hAnsi="宋体"/>
          <w:color w:val="auto"/>
          <w:szCs w:val="21"/>
          <w:highlight w:val="none"/>
        </w:rPr>
      </w:pPr>
      <w:r>
        <w:rPr>
          <w:rFonts w:hint="eastAsia" w:ascii="宋体" w:hAnsi="宋体"/>
          <w:b/>
          <w:color w:val="auto"/>
          <w:szCs w:val="21"/>
          <w:highlight w:val="none"/>
        </w:rPr>
        <w:t>项目编号：</w:t>
      </w:r>
    </w:p>
    <w:tbl>
      <w:tblPr>
        <w:tblStyle w:val="3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74"/>
        <w:gridCol w:w="1490"/>
        <w:gridCol w:w="1019"/>
        <w:gridCol w:w="1758"/>
        <w:gridCol w:w="94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4" w:type="dxa"/>
            <w:noWrap w:val="0"/>
            <w:vAlign w:val="center"/>
          </w:tcPr>
          <w:p>
            <w:pPr>
              <w:spacing w:line="400" w:lineRule="atLeast"/>
              <w:jc w:val="center"/>
              <w:rPr>
                <w:rFonts w:ascii="宋体" w:hAnsi="Calibri" w:eastAsia="宋体" w:cs="Times New Roman"/>
                <w:b/>
                <w:bCs/>
                <w:color w:val="auto"/>
                <w:highlight w:val="none"/>
              </w:rPr>
            </w:pPr>
            <w:r>
              <w:rPr>
                <w:rFonts w:hint="eastAsia" w:ascii="宋体" w:hAnsi="Calibri" w:eastAsia="宋体" w:cs="Times New Roman"/>
                <w:b/>
                <w:bCs/>
                <w:color w:val="auto"/>
                <w:highlight w:val="none"/>
              </w:rPr>
              <w:t>序号</w:t>
            </w:r>
          </w:p>
        </w:tc>
        <w:tc>
          <w:tcPr>
            <w:tcW w:w="2374" w:type="dxa"/>
            <w:noWrap w:val="0"/>
            <w:vAlign w:val="center"/>
          </w:tcPr>
          <w:p>
            <w:pPr>
              <w:spacing w:line="400" w:lineRule="atLeast"/>
              <w:jc w:val="center"/>
              <w:rPr>
                <w:rFonts w:hint="eastAsia" w:ascii="宋体" w:hAnsi="Times New Roman" w:eastAsia="宋体" w:cs="Times New Roman"/>
                <w:b/>
                <w:bCs/>
                <w:color w:val="auto"/>
                <w:highlight w:val="none"/>
              </w:rPr>
            </w:pPr>
            <w:r>
              <w:rPr>
                <w:rFonts w:hint="eastAsia" w:ascii="宋体" w:hAnsi="Times New Roman" w:eastAsia="宋体" w:cs="Times New Roman"/>
                <w:b/>
                <w:bCs/>
                <w:color w:val="auto"/>
                <w:highlight w:val="none"/>
              </w:rPr>
              <w:t>消耗品或易耗品内容</w:t>
            </w:r>
          </w:p>
        </w:tc>
        <w:tc>
          <w:tcPr>
            <w:tcW w:w="1490" w:type="dxa"/>
            <w:noWrap w:val="0"/>
            <w:vAlign w:val="center"/>
          </w:tcPr>
          <w:p>
            <w:pPr>
              <w:spacing w:line="400" w:lineRule="atLeast"/>
              <w:jc w:val="center"/>
              <w:rPr>
                <w:rFonts w:hint="eastAsia" w:ascii="宋体" w:hAnsi="Times New Roman" w:eastAsia="宋体" w:cs="Times New Roman"/>
                <w:b/>
                <w:bCs/>
                <w:color w:val="auto"/>
                <w:highlight w:val="none"/>
              </w:rPr>
            </w:pPr>
            <w:r>
              <w:rPr>
                <w:rFonts w:ascii="宋体" w:hAnsi="Times New Roman" w:eastAsia="宋体" w:cs="Times New Roman"/>
                <w:b/>
                <w:bCs/>
                <w:color w:val="auto"/>
                <w:highlight w:val="none"/>
              </w:rPr>
              <w:t>型号和规格</w:t>
            </w:r>
          </w:p>
        </w:tc>
        <w:tc>
          <w:tcPr>
            <w:tcW w:w="1019" w:type="dxa"/>
            <w:noWrap w:val="0"/>
            <w:vAlign w:val="center"/>
          </w:tcPr>
          <w:p>
            <w:pPr>
              <w:spacing w:line="400" w:lineRule="atLeast"/>
              <w:jc w:val="center"/>
              <w:rPr>
                <w:rFonts w:hint="eastAsia" w:ascii="宋体" w:hAnsi="Times New Roman" w:eastAsia="宋体" w:cs="Times New Roman"/>
                <w:b/>
                <w:bCs/>
                <w:color w:val="auto"/>
                <w:highlight w:val="none"/>
              </w:rPr>
            </w:pPr>
            <w:r>
              <w:rPr>
                <w:rFonts w:ascii="宋体" w:hAnsi="Times New Roman" w:eastAsia="宋体" w:cs="Times New Roman"/>
                <w:b/>
                <w:bCs/>
                <w:color w:val="auto"/>
                <w:highlight w:val="none"/>
              </w:rPr>
              <w:t>单位</w:t>
            </w:r>
          </w:p>
        </w:tc>
        <w:tc>
          <w:tcPr>
            <w:tcW w:w="1758" w:type="dxa"/>
            <w:noWrap w:val="0"/>
            <w:vAlign w:val="center"/>
          </w:tcPr>
          <w:p>
            <w:pPr>
              <w:spacing w:line="400" w:lineRule="atLeast"/>
              <w:jc w:val="center"/>
              <w:rPr>
                <w:rFonts w:hint="eastAsia" w:ascii="宋体" w:hAnsi="Times New Roman" w:eastAsia="宋体" w:cs="Times New Roman"/>
                <w:b/>
                <w:bCs/>
                <w:color w:val="auto"/>
                <w:highlight w:val="none"/>
              </w:rPr>
            </w:pPr>
            <w:r>
              <w:rPr>
                <w:rFonts w:ascii="宋体" w:hAnsi="Times New Roman" w:eastAsia="宋体" w:cs="Times New Roman"/>
                <w:b/>
                <w:bCs/>
                <w:color w:val="auto"/>
                <w:highlight w:val="none"/>
              </w:rPr>
              <w:t>制造商/产地/品牌</w:t>
            </w:r>
          </w:p>
        </w:tc>
        <w:tc>
          <w:tcPr>
            <w:tcW w:w="949" w:type="dxa"/>
            <w:noWrap w:val="0"/>
            <w:vAlign w:val="center"/>
          </w:tcPr>
          <w:p>
            <w:pPr>
              <w:spacing w:line="400" w:lineRule="atLeast"/>
              <w:jc w:val="center"/>
              <w:rPr>
                <w:rFonts w:hint="eastAsia" w:ascii="宋体" w:hAnsi="Times New Roman" w:eastAsia="宋体" w:cs="Times New Roman"/>
                <w:b/>
                <w:bCs/>
                <w:color w:val="auto"/>
                <w:highlight w:val="none"/>
              </w:rPr>
            </w:pPr>
            <w:r>
              <w:rPr>
                <w:rFonts w:ascii="宋体" w:hAnsi="Times New Roman" w:eastAsia="宋体" w:cs="Times New Roman"/>
                <w:b/>
                <w:bCs/>
                <w:color w:val="auto"/>
                <w:highlight w:val="none"/>
              </w:rPr>
              <w:t>单价</w:t>
            </w:r>
          </w:p>
        </w:tc>
        <w:tc>
          <w:tcPr>
            <w:tcW w:w="873" w:type="dxa"/>
            <w:noWrap w:val="0"/>
            <w:vAlign w:val="center"/>
          </w:tcPr>
          <w:p>
            <w:pPr>
              <w:spacing w:line="400" w:lineRule="atLeast"/>
              <w:jc w:val="center"/>
              <w:rPr>
                <w:rFonts w:hint="eastAsia" w:ascii="宋体" w:hAnsi="Times New Roman" w:eastAsia="宋体" w:cs="Times New Roman"/>
                <w:b/>
                <w:bCs/>
                <w:color w:val="auto"/>
                <w:highlight w:val="none"/>
              </w:rPr>
            </w:pPr>
            <w:r>
              <w:rPr>
                <w:rFonts w:ascii="宋体" w:hAnsi="Times New Roman" w:eastAsia="宋体" w:cs="Times New Roman"/>
                <w:b/>
                <w:bCs/>
                <w:color w:val="auto"/>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94" w:type="dxa"/>
            <w:noWrap w:val="0"/>
            <w:vAlign w:val="center"/>
          </w:tcPr>
          <w:p>
            <w:pPr>
              <w:spacing w:line="400" w:lineRule="atLeast"/>
              <w:ind w:firstLine="592"/>
              <w:jc w:val="center"/>
              <w:rPr>
                <w:rFonts w:ascii="宋体" w:hAnsi="Calibri" w:eastAsia="宋体" w:cs="Times New Roman"/>
                <w:color w:val="auto"/>
                <w:highlight w:val="none"/>
              </w:rPr>
            </w:pPr>
          </w:p>
        </w:tc>
        <w:tc>
          <w:tcPr>
            <w:tcW w:w="2374" w:type="dxa"/>
            <w:noWrap w:val="0"/>
            <w:vAlign w:val="center"/>
          </w:tcPr>
          <w:p>
            <w:pPr>
              <w:spacing w:line="400" w:lineRule="atLeast"/>
              <w:ind w:firstLine="592"/>
              <w:jc w:val="center"/>
              <w:rPr>
                <w:rFonts w:ascii="宋体" w:hAnsi="Calibri" w:eastAsia="宋体" w:cs="Times New Roman"/>
                <w:color w:val="auto"/>
                <w:highlight w:val="none"/>
              </w:rPr>
            </w:pPr>
          </w:p>
        </w:tc>
        <w:tc>
          <w:tcPr>
            <w:tcW w:w="1490" w:type="dxa"/>
            <w:noWrap w:val="0"/>
            <w:vAlign w:val="center"/>
          </w:tcPr>
          <w:p>
            <w:pPr>
              <w:spacing w:line="400" w:lineRule="atLeast"/>
              <w:ind w:firstLine="592"/>
              <w:jc w:val="center"/>
              <w:rPr>
                <w:rFonts w:ascii="宋体" w:hAnsi="Calibri" w:eastAsia="宋体" w:cs="Times New Roman"/>
                <w:color w:val="auto"/>
                <w:highlight w:val="none"/>
              </w:rPr>
            </w:pPr>
          </w:p>
        </w:tc>
        <w:tc>
          <w:tcPr>
            <w:tcW w:w="1019" w:type="dxa"/>
            <w:noWrap w:val="0"/>
            <w:vAlign w:val="center"/>
          </w:tcPr>
          <w:p>
            <w:pPr>
              <w:spacing w:line="400" w:lineRule="atLeast"/>
              <w:ind w:firstLine="592"/>
              <w:jc w:val="center"/>
              <w:rPr>
                <w:rFonts w:ascii="宋体" w:hAnsi="Calibri" w:eastAsia="宋体" w:cs="Times New Roman"/>
                <w:color w:val="auto"/>
                <w:highlight w:val="none"/>
              </w:rPr>
            </w:pPr>
          </w:p>
        </w:tc>
        <w:tc>
          <w:tcPr>
            <w:tcW w:w="1758" w:type="dxa"/>
            <w:noWrap w:val="0"/>
            <w:vAlign w:val="center"/>
          </w:tcPr>
          <w:p>
            <w:pPr>
              <w:spacing w:line="400" w:lineRule="atLeast"/>
              <w:ind w:firstLine="592"/>
              <w:jc w:val="center"/>
              <w:rPr>
                <w:rFonts w:ascii="宋体" w:hAnsi="Calibri" w:eastAsia="宋体" w:cs="Times New Roman"/>
                <w:color w:val="auto"/>
                <w:highlight w:val="none"/>
              </w:rPr>
            </w:pPr>
          </w:p>
        </w:tc>
        <w:tc>
          <w:tcPr>
            <w:tcW w:w="949" w:type="dxa"/>
            <w:noWrap w:val="0"/>
            <w:vAlign w:val="center"/>
          </w:tcPr>
          <w:p>
            <w:pPr>
              <w:spacing w:line="400" w:lineRule="atLeast"/>
              <w:ind w:firstLine="592"/>
              <w:jc w:val="center"/>
              <w:rPr>
                <w:rFonts w:ascii="宋体" w:hAnsi="Calibri" w:eastAsia="宋体" w:cs="Times New Roman"/>
                <w:color w:val="auto"/>
                <w:highlight w:val="none"/>
              </w:rPr>
            </w:pPr>
          </w:p>
        </w:tc>
        <w:tc>
          <w:tcPr>
            <w:tcW w:w="873" w:type="dxa"/>
            <w:noWrap w:val="0"/>
            <w:vAlign w:val="center"/>
          </w:tcPr>
          <w:p>
            <w:pPr>
              <w:spacing w:line="400" w:lineRule="atLeast"/>
              <w:ind w:firstLine="592"/>
              <w:jc w:val="center"/>
              <w:rPr>
                <w:rFonts w:ascii="宋体" w:hAnsi="Calibri" w:eastAsia="宋体" w:cs="Times New Roman"/>
                <w:color w:val="auto"/>
                <w:highlight w:val="none"/>
              </w:rPr>
            </w:pPr>
          </w:p>
        </w:tc>
      </w:tr>
    </w:tbl>
    <w:p>
      <w:pPr>
        <w:pStyle w:val="6"/>
        <w:spacing w:line="276" w:lineRule="auto"/>
        <w:ind w:firstLine="0"/>
        <w:rPr>
          <w:rFonts w:ascii="宋体" w:hAnsi="宋体" w:cs="Arial"/>
          <w:color w:val="auto"/>
          <w:highlight w:val="none"/>
        </w:rPr>
      </w:pPr>
      <w:r>
        <w:rPr>
          <w:rFonts w:hint="eastAsia" w:ascii="宋体" w:hAnsi="宋体"/>
          <w:color w:val="auto"/>
          <w:highlight w:val="none"/>
        </w:rPr>
        <w:t>注：</w:t>
      </w:r>
      <w:r>
        <w:rPr>
          <w:rFonts w:ascii="宋体" w:hAnsi="宋体" w:cs="Arial"/>
          <w:color w:val="auto"/>
          <w:highlight w:val="none"/>
        </w:rPr>
        <w:t xml:space="preserve"> 此表仅提供了表格形式，</w:t>
      </w:r>
      <w:r>
        <w:rPr>
          <w:rFonts w:hint="eastAsia" w:ascii="宋体" w:hAnsi="宋体" w:cs="Arial"/>
          <w:color w:val="auto"/>
          <w:highlight w:val="none"/>
          <w:lang w:val="en-US" w:eastAsia="zh-CN"/>
        </w:rPr>
        <w:t>投标人</w:t>
      </w:r>
      <w:r>
        <w:rPr>
          <w:rFonts w:ascii="宋体" w:hAnsi="宋体" w:cs="Arial"/>
          <w:color w:val="auto"/>
          <w:highlight w:val="none"/>
        </w:rPr>
        <w:t>应根据需要准备足够数量的表格来填写。</w:t>
      </w: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napToGrid w:val="0"/>
        <w:spacing w:before="50" w:after="120" w:afterLines="50" w:line="360" w:lineRule="auto"/>
        <w:jc w:val="left"/>
        <w:rPr>
          <w:rFonts w:ascii="Times New Roman" w:hAnsi="Times New Roman"/>
          <w:b/>
          <w:bCs/>
          <w:color w:val="auto"/>
          <w:sz w:val="24"/>
          <w:szCs w:val="20"/>
          <w:highlight w:val="none"/>
        </w:rPr>
      </w:pPr>
    </w:p>
    <w:p>
      <w:pPr>
        <w:pStyle w:val="3"/>
        <w:numPr>
          <w:ilvl w:val="0"/>
          <w:numId w:val="15"/>
        </w:numPr>
        <w:tabs>
          <w:tab w:val="left" w:pos="840"/>
        </w:tabs>
        <w:spacing w:before="0" w:after="156" w:afterLines="50" w:line="400" w:lineRule="exact"/>
        <w:jc w:val="center"/>
        <w:rPr>
          <w:rFonts w:hAnsi="宋体"/>
          <w:b/>
          <w:bCs w:val="0"/>
          <w:color w:val="auto"/>
          <w:sz w:val="28"/>
          <w:szCs w:val="36"/>
          <w:highlight w:val="none"/>
        </w:rPr>
      </w:pPr>
      <w:r>
        <w:rPr>
          <w:rFonts w:hint="eastAsia" w:hAnsi="宋体" w:eastAsia="宋体" w:cs="Times New Roman"/>
          <w:b/>
          <w:bCs/>
          <w:color w:val="auto"/>
          <w:sz w:val="28"/>
          <w:szCs w:val="36"/>
          <w:highlight w:val="none"/>
          <w:lang w:val="en-US" w:eastAsia="zh-CN"/>
        </w:rPr>
        <w:br w:type="page"/>
      </w:r>
      <w:r>
        <w:rPr>
          <w:rFonts w:hint="eastAsia" w:hAnsi="宋体" w:eastAsia="宋体" w:cs="Times New Roman"/>
          <w:b/>
          <w:bCs/>
          <w:color w:val="auto"/>
          <w:sz w:val="28"/>
          <w:szCs w:val="36"/>
          <w:highlight w:val="none"/>
          <w:lang w:val="en-US" w:eastAsia="zh-CN"/>
        </w:rPr>
        <w:t>维修成本:包括保修价格，维修配件价格，维修服务费价格等</w:t>
      </w:r>
    </w:p>
    <w:p>
      <w:pPr>
        <w:pStyle w:val="3"/>
        <w:numPr>
          <w:ilvl w:val="0"/>
          <w:numId w:val="0"/>
        </w:numPr>
        <w:tabs>
          <w:tab w:val="left" w:pos="840"/>
        </w:tabs>
        <w:spacing w:before="0" w:after="156" w:afterLines="50" w:line="400" w:lineRule="exact"/>
        <w:jc w:val="center"/>
        <w:rPr>
          <w:rFonts w:hAnsi="宋体"/>
          <w:b/>
          <w:bCs w:val="0"/>
          <w:color w:val="auto"/>
          <w:sz w:val="28"/>
          <w:szCs w:val="36"/>
          <w:highlight w:val="none"/>
        </w:rPr>
      </w:pPr>
      <w:r>
        <w:rPr>
          <w:rFonts w:hint="eastAsia" w:ascii="Times New Roman" w:hAnsi="宋体" w:eastAsia="宋体" w:cs="Times New Roman"/>
          <w:b/>
          <w:bCs w:val="0"/>
          <w:color w:val="auto"/>
          <w:kern w:val="2"/>
          <w:sz w:val="28"/>
          <w:szCs w:val="36"/>
          <w:highlight w:val="none"/>
          <w:lang w:val="zh-CN" w:eastAsia="zh-CN" w:bidi="ar-SA"/>
        </w:rPr>
        <w:t>（</w:t>
      </w:r>
      <w:r>
        <w:rPr>
          <w:rFonts w:hint="eastAsia" w:ascii="Times New Roman" w:hAnsi="宋体" w:eastAsia="宋体" w:cs="Times New Roman"/>
          <w:b/>
          <w:bCs w:val="0"/>
          <w:color w:val="auto"/>
          <w:kern w:val="2"/>
          <w:sz w:val="28"/>
          <w:szCs w:val="36"/>
          <w:highlight w:val="none"/>
          <w:lang w:val="en-US" w:eastAsia="zh-CN" w:bidi="ar-SA"/>
        </w:rPr>
        <w:t>格式自拟</w:t>
      </w:r>
      <w:r>
        <w:rPr>
          <w:rFonts w:hint="eastAsia" w:ascii="Times New Roman" w:hAnsi="宋体" w:eastAsia="宋体" w:cs="Times New Roman"/>
          <w:b/>
          <w:bCs w:val="0"/>
          <w:color w:val="auto"/>
          <w:kern w:val="2"/>
          <w:sz w:val="28"/>
          <w:szCs w:val="36"/>
          <w:highlight w:val="none"/>
          <w:lang w:val="zh-CN" w:eastAsia="zh-CN" w:bidi="ar-SA"/>
        </w:rPr>
        <w:t>）</w:t>
      </w:r>
    </w:p>
    <w:p>
      <w:pPr>
        <w:pStyle w:val="3"/>
        <w:numPr>
          <w:ilvl w:val="0"/>
          <w:numId w:val="15"/>
        </w:numPr>
        <w:tabs>
          <w:tab w:val="left" w:pos="840"/>
        </w:tabs>
        <w:spacing w:before="0" w:after="156" w:afterLines="50" w:line="400" w:lineRule="exact"/>
        <w:jc w:val="center"/>
        <w:rPr>
          <w:rFonts w:hAnsi="宋体"/>
          <w:b/>
          <w:bCs w:val="0"/>
          <w:color w:val="auto"/>
          <w:sz w:val="28"/>
          <w:szCs w:val="36"/>
          <w:highlight w:val="none"/>
        </w:rPr>
      </w:pPr>
      <w:r>
        <w:rPr>
          <w:rFonts w:hint="eastAsia" w:ascii="Times New Roman" w:hAnsi="宋体" w:eastAsia="宋体" w:cs="Times New Roman"/>
          <w:b/>
          <w:bCs w:val="0"/>
          <w:color w:val="auto"/>
          <w:kern w:val="2"/>
          <w:sz w:val="28"/>
          <w:szCs w:val="36"/>
          <w:highlight w:val="none"/>
          <w:lang w:val="en-US" w:eastAsia="zh-CN" w:bidi="ar-SA"/>
        </w:rPr>
        <w:br w:type="page"/>
      </w:r>
      <w:r>
        <w:rPr>
          <w:rFonts w:hint="eastAsia" w:ascii="Times New Roman" w:hAnsi="宋体" w:eastAsia="宋体" w:cs="Times New Roman"/>
          <w:b/>
          <w:bCs w:val="0"/>
          <w:color w:val="auto"/>
          <w:kern w:val="2"/>
          <w:sz w:val="28"/>
          <w:szCs w:val="36"/>
          <w:highlight w:val="none"/>
          <w:lang w:val="en-US" w:eastAsia="zh-CN" w:bidi="ar-SA"/>
        </w:rPr>
        <w:t>售后服务机构技术服务人员情况</w:t>
      </w:r>
      <w:bookmarkEnd w:id="820"/>
      <w:bookmarkEnd w:id="821"/>
      <w:bookmarkEnd w:id="822"/>
    </w:p>
    <w:p>
      <w:pPr>
        <w:spacing w:line="400" w:lineRule="atLeast"/>
        <w:jc w:val="lef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lang w:eastAsia="zh-CN"/>
        </w:rPr>
        <w:t>瑞安市妇幼保健院胃肠镜系统采购</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项目编号：</w:t>
      </w:r>
      <w:r>
        <w:rPr>
          <w:rFonts w:hint="eastAsia" w:ascii="宋体" w:hAnsi="宋体" w:cs="宋体"/>
          <w:b/>
          <w:color w:val="auto"/>
          <w:szCs w:val="21"/>
          <w:highlight w:val="none"/>
          <w:lang w:eastAsia="zh-CN"/>
        </w:rPr>
        <w:t>ZJKB2024021</w:t>
      </w:r>
    </w:p>
    <w:tbl>
      <w:tblPr>
        <w:tblStyle w:val="37"/>
        <w:tblW w:w="97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71"/>
        <w:gridCol w:w="1192"/>
        <w:gridCol w:w="985"/>
        <w:gridCol w:w="985"/>
        <w:gridCol w:w="1191"/>
        <w:gridCol w:w="1285"/>
        <w:gridCol w:w="1285"/>
        <w:gridCol w:w="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序号</w:t>
            </w:r>
          </w:p>
        </w:tc>
        <w:tc>
          <w:tcPr>
            <w:tcW w:w="1071"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姓名</w:t>
            </w:r>
          </w:p>
        </w:tc>
        <w:tc>
          <w:tcPr>
            <w:tcW w:w="1192"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性别</w:t>
            </w:r>
          </w:p>
        </w:tc>
        <w:tc>
          <w:tcPr>
            <w:tcW w:w="985"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年龄</w:t>
            </w:r>
          </w:p>
        </w:tc>
        <w:tc>
          <w:tcPr>
            <w:tcW w:w="985"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学历</w:t>
            </w:r>
          </w:p>
        </w:tc>
        <w:tc>
          <w:tcPr>
            <w:tcW w:w="1191"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职称/资格证书</w:t>
            </w:r>
          </w:p>
        </w:tc>
        <w:tc>
          <w:tcPr>
            <w:tcW w:w="1285"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拟任</w:t>
            </w:r>
          </w:p>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职务</w:t>
            </w:r>
          </w:p>
        </w:tc>
        <w:tc>
          <w:tcPr>
            <w:tcW w:w="1285"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从事相关行业服务简历、年限</w:t>
            </w:r>
          </w:p>
        </w:tc>
        <w:tc>
          <w:tcPr>
            <w:tcW w:w="924" w:type="dxa"/>
            <w:noWrap w:val="0"/>
            <w:vAlign w:val="center"/>
          </w:tcPr>
          <w:p>
            <w:pPr>
              <w:overflowPunct w:val="0"/>
              <w:spacing w:line="300" w:lineRule="exact"/>
              <w:jc w:val="center"/>
              <w:rPr>
                <w:rFonts w:ascii="新宋体" w:hAnsi="新宋体" w:eastAsia="新宋体" w:cs="Times New Roman"/>
                <w:color w:val="auto"/>
                <w:sz w:val="22"/>
                <w:highlight w:val="none"/>
              </w:rPr>
            </w:pPr>
            <w:r>
              <w:rPr>
                <w:rFonts w:hint="eastAsia" w:ascii="新宋体" w:hAnsi="新宋体" w:eastAsia="新宋体" w:cs="Times New Roman"/>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85" w:type="dxa"/>
            <w:noWrap w:val="0"/>
            <w:vAlign w:val="center"/>
          </w:tcPr>
          <w:p>
            <w:pPr>
              <w:jc w:val="center"/>
              <w:rPr>
                <w:rFonts w:ascii="Arial" w:hAnsi="Arial" w:eastAsia="宋体" w:cs="Arial"/>
                <w:color w:val="auto"/>
                <w:sz w:val="24"/>
                <w:highlight w:val="none"/>
              </w:rPr>
            </w:pPr>
          </w:p>
        </w:tc>
        <w:tc>
          <w:tcPr>
            <w:tcW w:w="1071" w:type="dxa"/>
            <w:noWrap w:val="0"/>
            <w:vAlign w:val="center"/>
          </w:tcPr>
          <w:p>
            <w:pPr>
              <w:jc w:val="center"/>
              <w:rPr>
                <w:rFonts w:ascii="Arial" w:hAnsi="Arial" w:eastAsia="宋体" w:cs="Arial"/>
                <w:color w:val="auto"/>
                <w:sz w:val="24"/>
                <w:highlight w:val="none"/>
              </w:rPr>
            </w:pPr>
          </w:p>
        </w:tc>
        <w:tc>
          <w:tcPr>
            <w:tcW w:w="1192"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985" w:type="dxa"/>
            <w:noWrap w:val="0"/>
            <w:vAlign w:val="center"/>
          </w:tcPr>
          <w:p>
            <w:pPr>
              <w:jc w:val="center"/>
              <w:rPr>
                <w:rFonts w:ascii="Arial" w:hAnsi="Arial" w:eastAsia="宋体" w:cs="Arial"/>
                <w:color w:val="auto"/>
                <w:sz w:val="24"/>
                <w:highlight w:val="none"/>
              </w:rPr>
            </w:pPr>
          </w:p>
        </w:tc>
        <w:tc>
          <w:tcPr>
            <w:tcW w:w="1191" w:type="dxa"/>
            <w:noWrap w:val="0"/>
            <w:vAlign w:val="center"/>
          </w:tcPr>
          <w:p>
            <w:pPr>
              <w:jc w:val="center"/>
              <w:rPr>
                <w:rFonts w:ascii="Arial" w:hAnsi="Arial" w:eastAsia="宋体" w:cs="Arial"/>
                <w:color w:val="auto"/>
                <w:sz w:val="24"/>
                <w:highlight w:val="none"/>
              </w:rPr>
            </w:pPr>
          </w:p>
        </w:tc>
        <w:tc>
          <w:tcPr>
            <w:tcW w:w="1285" w:type="dxa"/>
            <w:noWrap w:val="0"/>
            <w:vAlign w:val="top"/>
          </w:tcPr>
          <w:p>
            <w:pPr>
              <w:jc w:val="center"/>
              <w:rPr>
                <w:rFonts w:ascii="Arial" w:hAnsi="Arial" w:eastAsia="宋体" w:cs="Arial"/>
                <w:color w:val="auto"/>
                <w:sz w:val="24"/>
                <w:highlight w:val="none"/>
              </w:rPr>
            </w:pPr>
          </w:p>
        </w:tc>
        <w:tc>
          <w:tcPr>
            <w:tcW w:w="1285" w:type="dxa"/>
            <w:noWrap w:val="0"/>
            <w:vAlign w:val="center"/>
          </w:tcPr>
          <w:p>
            <w:pPr>
              <w:jc w:val="center"/>
              <w:rPr>
                <w:rFonts w:ascii="Arial" w:hAnsi="Arial" w:eastAsia="宋体" w:cs="Arial"/>
                <w:color w:val="auto"/>
                <w:sz w:val="24"/>
                <w:highlight w:val="none"/>
              </w:rPr>
            </w:pPr>
          </w:p>
        </w:tc>
        <w:tc>
          <w:tcPr>
            <w:tcW w:w="924" w:type="dxa"/>
            <w:noWrap w:val="0"/>
            <w:vAlign w:val="center"/>
          </w:tcPr>
          <w:p>
            <w:pPr>
              <w:jc w:val="center"/>
              <w:rPr>
                <w:rFonts w:ascii="Arial" w:hAnsi="Arial" w:eastAsia="宋体" w:cs="Arial"/>
                <w:color w:val="auto"/>
                <w:sz w:val="24"/>
                <w:highlight w:val="none"/>
              </w:rPr>
            </w:pPr>
          </w:p>
        </w:tc>
      </w:tr>
    </w:tbl>
    <w:p>
      <w:pPr>
        <w:pStyle w:val="24"/>
        <w:tabs>
          <w:tab w:val="left" w:pos="1915"/>
          <w:tab w:val="clear" w:pos="8948"/>
        </w:tabs>
        <w:spacing w:before="0" w:after="0"/>
        <w:ind w:left="142"/>
        <w:rPr>
          <w:rFonts w:ascii="Arial" w:hAnsi="宋体" w:cs="Arial"/>
          <w:color w:val="auto"/>
          <w:highlight w:val="none"/>
        </w:rPr>
      </w:pPr>
      <w:r>
        <w:rPr>
          <w:rFonts w:ascii="Arial" w:hAnsi="宋体" w:cs="Arial"/>
          <w:color w:val="auto"/>
          <w:highlight w:val="none"/>
        </w:rPr>
        <w:t>注：</w:t>
      </w:r>
    </w:p>
    <w:p>
      <w:pPr>
        <w:pStyle w:val="24"/>
        <w:tabs>
          <w:tab w:val="left" w:pos="1915"/>
          <w:tab w:val="clear" w:pos="8948"/>
        </w:tabs>
        <w:spacing w:before="0" w:after="0" w:line="360" w:lineRule="auto"/>
        <w:ind w:left="142"/>
        <w:rPr>
          <w:rFonts w:hint="eastAsia" w:ascii="宋体" w:hAnsi="宋体" w:cs="Arial"/>
          <w:b/>
          <w:snapToGrid w:val="0"/>
          <w:color w:val="auto"/>
          <w:szCs w:val="21"/>
          <w:highlight w:val="none"/>
        </w:rPr>
      </w:pPr>
      <w:r>
        <w:rPr>
          <w:rFonts w:hint="eastAsia" w:ascii="Arial" w:hAnsi="宋体" w:cs="Arial"/>
          <w:color w:val="auto"/>
          <w:highlight w:val="none"/>
          <w:lang w:val="en-US" w:eastAsia="zh-CN"/>
        </w:rPr>
        <w:t>1、</w:t>
      </w:r>
      <w:r>
        <w:rPr>
          <w:rFonts w:hint="eastAsia" w:ascii="宋体" w:hAnsi="宋体" w:cs="Arial"/>
          <w:b/>
          <w:color w:val="auto"/>
          <w:highlight w:val="none"/>
        </w:rPr>
        <w:t>随表提交</w:t>
      </w:r>
      <w:r>
        <w:rPr>
          <w:rFonts w:hint="eastAsia" w:ascii="宋体" w:hAnsi="宋体" w:cs="Arial"/>
          <w:b/>
          <w:snapToGrid w:val="0"/>
          <w:color w:val="auto"/>
          <w:szCs w:val="21"/>
          <w:highlight w:val="none"/>
        </w:rPr>
        <w:t>身份证、学历证书（或学位证书）、职称/执业资格证书等相关证明材料</w:t>
      </w:r>
      <w:r>
        <w:rPr>
          <w:rFonts w:hint="eastAsia" w:ascii="宋体" w:hAnsi="宋体" w:cs="Arial"/>
          <w:b/>
          <w:snapToGrid w:val="0"/>
          <w:color w:val="auto"/>
          <w:szCs w:val="21"/>
          <w:highlight w:val="none"/>
          <w:lang w:eastAsia="zh-CN"/>
        </w:rPr>
        <w:t>（</w:t>
      </w:r>
      <w:r>
        <w:rPr>
          <w:rFonts w:hint="eastAsia" w:ascii="宋体" w:hAnsi="宋体" w:cs="Arial"/>
          <w:b/>
          <w:snapToGrid w:val="0"/>
          <w:color w:val="auto"/>
          <w:szCs w:val="21"/>
          <w:highlight w:val="none"/>
          <w:lang w:val="en-US" w:eastAsia="zh-CN"/>
        </w:rPr>
        <w:t>如有</w:t>
      </w:r>
      <w:r>
        <w:rPr>
          <w:rFonts w:hint="eastAsia" w:ascii="宋体" w:hAnsi="宋体" w:cs="Arial"/>
          <w:b/>
          <w:snapToGrid w:val="0"/>
          <w:color w:val="auto"/>
          <w:szCs w:val="21"/>
          <w:highlight w:val="none"/>
          <w:lang w:eastAsia="zh-CN"/>
        </w:rPr>
        <w:t>）（</w:t>
      </w:r>
      <w:r>
        <w:rPr>
          <w:rFonts w:hint="eastAsia" w:ascii="宋体" w:hAnsi="宋体" w:cs="Arial"/>
          <w:b/>
          <w:snapToGrid w:val="0"/>
          <w:color w:val="auto"/>
          <w:szCs w:val="21"/>
          <w:highlight w:val="none"/>
          <w:lang w:val="en-US" w:eastAsia="zh-CN"/>
        </w:rPr>
        <w:t>详见评分办法要求</w:t>
      </w:r>
      <w:r>
        <w:rPr>
          <w:rFonts w:hint="eastAsia" w:ascii="宋体" w:hAnsi="宋体" w:cs="Arial"/>
          <w:b/>
          <w:snapToGrid w:val="0"/>
          <w:color w:val="auto"/>
          <w:szCs w:val="21"/>
          <w:highlight w:val="none"/>
          <w:lang w:eastAsia="zh-CN"/>
        </w:rPr>
        <w:t>）</w:t>
      </w:r>
      <w:r>
        <w:rPr>
          <w:rFonts w:hint="eastAsia" w:ascii="宋体" w:hAnsi="宋体" w:cs="Arial"/>
          <w:b/>
          <w:snapToGrid w:val="0"/>
          <w:color w:val="auto"/>
          <w:szCs w:val="21"/>
          <w:highlight w:val="none"/>
        </w:rPr>
        <w:t>扫描件</w:t>
      </w:r>
      <w:r>
        <w:rPr>
          <w:rFonts w:hint="eastAsia" w:ascii="宋体" w:hAnsi="宋体" w:cs="Arial"/>
          <w:b/>
          <w:snapToGrid w:val="0"/>
          <w:color w:val="auto"/>
          <w:szCs w:val="21"/>
          <w:highlight w:val="none"/>
          <w:lang w:eastAsia="zh-CN"/>
        </w:rPr>
        <w:t>加盖公章</w:t>
      </w:r>
      <w:r>
        <w:rPr>
          <w:rFonts w:hint="eastAsia" w:ascii="宋体" w:hAnsi="宋体" w:cs="Arial"/>
          <w:b/>
          <w:snapToGrid w:val="0"/>
          <w:color w:val="auto"/>
          <w:szCs w:val="21"/>
          <w:highlight w:val="none"/>
        </w:rPr>
        <w:t>。</w:t>
      </w:r>
    </w:p>
    <w:p>
      <w:pPr>
        <w:pStyle w:val="151"/>
        <w:spacing w:line="360" w:lineRule="auto"/>
        <w:ind w:firstLine="210" w:firstLineChars="100"/>
        <w:rPr>
          <w:rFonts w:hint="eastAsia" w:ascii="宋体" w:hAnsi="宋体" w:cs="Arial"/>
          <w:b/>
          <w:snapToGrid w:val="0"/>
          <w:color w:val="auto"/>
          <w:szCs w:val="21"/>
          <w:highlight w:val="none"/>
        </w:rPr>
      </w:pPr>
      <w:r>
        <w:rPr>
          <w:rFonts w:hint="eastAsia"/>
          <w:color w:val="auto"/>
          <w:highlight w:val="none"/>
          <w:lang w:val="en-US" w:eastAsia="zh-CN"/>
        </w:rPr>
        <w:t>2、</w:t>
      </w:r>
      <w:r>
        <w:rPr>
          <w:rFonts w:hint="eastAsia"/>
          <w:color w:val="auto"/>
          <w:highlight w:val="none"/>
        </w:rPr>
        <w:t>列入本表人员如要更换，需经</w:t>
      </w:r>
      <w:r>
        <w:rPr>
          <w:rFonts w:hint="eastAsia"/>
          <w:color w:val="auto"/>
          <w:highlight w:val="none"/>
          <w:lang w:eastAsia="zh-CN"/>
        </w:rPr>
        <w:t>采购人</w:t>
      </w:r>
      <w:r>
        <w:rPr>
          <w:rFonts w:hint="eastAsia"/>
          <w:color w:val="auto"/>
          <w:highlight w:val="none"/>
        </w:rPr>
        <w:t>同意；擅自更换或不到位属违约行为。</w:t>
      </w:r>
    </w:p>
    <w:p>
      <w:pPr>
        <w:pStyle w:val="120"/>
        <w:widowControl w:val="0"/>
        <w:pBdr>
          <w:left w:val="none" w:color="auto" w:sz="0" w:space="0"/>
          <w:bottom w:val="none" w:color="auto" w:sz="0" w:space="0"/>
          <w:right w:val="none" w:color="auto" w:sz="0" w:space="0"/>
        </w:pBdr>
        <w:spacing w:before="0" w:beforeAutospacing="0" w:after="0" w:afterAutospacing="0" w:line="276" w:lineRule="auto"/>
        <w:rPr>
          <w:rFonts w:ascii="Times New Roman" w:hAnsi="Times New Roman" w:eastAsia="宋体"/>
          <w:color w:val="auto"/>
          <w:kern w:val="2"/>
          <w:sz w:val="21"/>
          <w:highlight w:val="none"/>
        </w:rPr>
      </w:pPr>
    </w:p>
    <w:p>
      <w:pPr>
        <w:pStyle w:val="34"/>
        <w:rPr>
          <w:rFonts w:hint="eastAsia"/>
          <w:color w:val="auto"/>
          <w:highlight w:val="none"/>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16"/>
        <w:rPr>
          <w:color w:val="auto"/>
          <w:highlight w:val="none"/>
        </w:rPr>
      </w:pPr>
    </w:p>
    <w:p>
      <w:pPr>
        <w:pStyle w:val="3"/>
        <w:numPr>
          <w:ilvl w:val="1"/>
          <w:numId w:val="0"/>
        </w:numPr>
        <w:tabs>
          <w:tab w:val="left" w:pos="840"/>
        </w:tabs>
        <w:spacing w:before="0" w:after="156" w:afterLines="50" w:line="400" w:lineRule="exact"/>
        <w:jc w:val="center"/>
        <w:rPr>
          <w:rFonts w:hint="eastAsia" w:ascii="宋体" w:hAnsi="宋体" w:eastAsia="宋体" w:cs="宋体"/>
          <w:b/>
          <w:bCs/>
          <w:color w:val="auto"/>
          <w:kern w:val="0"/>
          <w:sz w:val="28"/>
          <w:szCs w:val="28"/>
          <w:highlight w:val="none"/>
          <w:lang w:val="en-US" w:eastAsia="zh-CN"/>
        </w:rPr>
      </w:pPr>
      <w:bookmarkStart w:id="823" w:name="_Toc495925975"/>
      <w:bookmarkEnd w:id="823"/>
      <w:bookmarkStart w:id="824" w:name="_Toc204398773"/>
      <w:bookmarkEnd w:id="824"/>
      <w:bookmarkStart w:id="825" w:name="_Toc495925976"/>
      <w:bookmarkEnd w:id="825"/>
      <w:r>
        <w:rPr>
          <w:rFonts w:hint="eastAsia" w:ascii="宋体" w:hAnsi="宋体" w:eastAsia="宋体" w:cs="宋体"/>
          <w:b/>
          <w:bCs/>
          <w:color w:val="auto"/>
          <w:kern w:val="0"/>
          <w:sz w:val="28"/>
          <w:szCs w:val="28"/>
          <w:highlight w:val="none"/>
          <w:lang w:val="en-US" w:eastAsia="zh-CN"/>
        </w:rPr>
        <w:br w:type="page"/>
      </w:r>
      <w:bookmarkStart w:id="826" w:name="_Toc8327"/>
      <w:bookmarkStart w:id="827" w:name="_Toc4405"/>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lang w:val="zh-CN" w:eastAsia="zh-CN"/>
        </w:rPr>
        <w:t>政府采购供应商廉洁自律承诺书</w:t>
      </w:r>
      <w:bookmarkEnd w:id="826"/>
      <w:bookmarkEnd w:id="827"/>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pacing w:line="360" w:lineRule="auto"/>
        <w:jc w:val="both"/>
        <w:rPr>
          <w:rFonts w:hint="eastAsia" w:ascii="宋体" w:hAnsi="宋体" w:eastAsia="宋体" w:cs="宋体"/>
          <w:b/>
          <w:bCs/>
          <w:color w:val="auto"/>
          <w:sz w:val="21"/>
          <w:szCs w:val="21"/>
          <w:highlight w:val="none"/>
        </w:rPr>
      </w:pPr>
    </w:p>
    <w:p>
      <w:pPr>
        <w:spacing w:line="360" w:lineRule="auto"/>
        <w:jc w:val="both"/>
        <w:rPr>
          <w:rFonts w:hint="eastAsia" w:ascii="宋体" w:hAnsi="宋体" w:eastAsia="宋体" w:cs="宋体"/>
          <w:b/>
          <w:bCs/>
          <w:color w:val="auto"/>
          <w:sz w:val="21"/>
          <w:szCs w:val="21"/>
          <w:highlight w:val="none"/>
        </w:rPr>
      </w:pPr>
    </w:p>
    <w:p>
      <w:pPr>
        <w:spacing w:line="360" w:lineRule="auto"/>
        <w:jc w:val="both"/>
        <w:rPr>
          <w:rFonts w:hint="default" w:ascii="宋体" w:hAnsi="宋体" w:eastAsia="宋体" w:cs="宋体"/>
          <w:b/>
          <w:bCs/>
          <w:color w:val="auto"/>
          <w:sz w:val="21"/>
          <w:szCs w:val="21"/>
          <w:highlight w:val="none"/>
          <w:lang w:val="en-US"/>
        </w:rPr>
        <w:sectPr>
          <w:pgSz w:w="11906" w:h="16838"/>
          <w:pgMar w:top="1276" w:right="1418" w:bottom="1247" w:left="1418" w:header="851" w:footer="992" w:gutter="0"/>
          <w:pgNumType w:fmt="numberInDash"/>
          <w:cols w:space="720" w:num="1"/>
          <w:titlePg/>
          <w:docGrid w:linePitch="312" w:charSpace="0"/>
        </w:sectPr>
      </w:pPr>
      <w:r>
        <w:rPr>
          <w:rFonts w:hint="eastAsia" w:ascii="宋体" w:hAnsi="宋体" w:eastAsia="宋体" w:cs="宋体"/>
          <w:b/>
          <w:bCs/>
          <w:color w:val="auto"/>
          <w:sz w:val="21"/>
          <w:szCs w:val="21"/>
          <w:highlight w:val="none"/>
          <w:lang w:val="en-US" w:eastAsia="zh-CN"/>
        </w:rPr>
        <w:t>注：按本格式和要求提供。</w:t>
      </w:r>
    </w:p>
    <w:p>
      <w:pPr>
        <w:pStyle w:val="3"/>
        <w:numPr>
          <w:ilvl w:val="1"/>
          <w:numId w:val="0"/>
        </w:numPr>
        <w:tabs>
          <w:tab w:val="left" w:pos="840"/>
        </w:tabs>
        <w:spacing w:before="0" w:after="156" w:afterLines="50" w:line="400" w:lineRule="exact"/>
        <w:jc w:val="center"/>
        <w:rPr>
          <w:rFonts w:hint="eastAsia" w:ascii="Times New Roman" w:hAnsi="宋体" w:eastAsia="宋体" w:cs="Times New Roman"/>
          <w:b/>
          <w:color w:val="auto"/>
          <w:kern w:val="0"/>
          <w:sz w:val="28"/>
          <w:szCs w:val="28"/>
          <w:highlight w:val="none"/>
          <w:lang w:eastAsia="zh-CN"/>
        </w:rPr>
      </w:pPr>
      <w:bookmarkStart w:id="828" w:name="_Toc24786"/>
      <w:bookmarkStart w:id="829" w:name="_Toc32704"/>
      <w:r>
        <w:rPr>
          <w:rFonts w:hint="eastAsia" w:ascii="宋体" w:hAnsi="宋体" w:eastAsia="宋体" w:cs="宋体"/>
          <w:b/>
          <w:bCs/>
          <w:color w:val="auto"/>
          <w:sz w:val="28"/>
          <w:szCs w:val="36"/>
          <w:highlight w:val="none"/>
          <w:lang w:val="en-US" w:eastAsia="zh-CN"/>
        </w:rPr>
        <w:t>六</w:t>
      </w:r>
      <w:r>
        <w:rPr>
          <w:rFonts w:hint="eastAsia" w:ascii="Times New Roman" w:hAnsi="宋体" w:eastAsia="宋体" w:cs="Times New Roman"/>
          <w:b/>
          <w:color w:val="auto"/>
          <w:kern w:val="0"/>
          <w:sz w:val="28"/>
          <w:szCs w:val="28"/>
          <w:highlight w:val="none"/>
          <w:lang w:eastAsia="zh-CN"/>
        </w:rPr>
        <w:t>、售后服务承诺书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21"/>
          <w:highlight w:val="none"/>
          <w:lang w:eastAsia="zh-CN"/>
        </w:rPr>
        <w:t>瑞安市妇幼保健</w:t>
      </w:r>
      <w:r>
        <w:rPr>
          <w:rFonts w:hint="eastAsia" w:ascii="宋体" w:hAnsi="宋体" w:cs="宋体"/>
          <w:color w:val="auto"/>
          <w:sz w:val="21"/>
          <w:szCs w:val="21"/>
          <w:highlight w:val="none"/>
          <w:lang w:val="en-US" w:eastAsia="zh-CN"/>
        </w:rPr>
        <w:t>院</w:t>
      </w:r>
      <w:r>
        <w:rPr>
          <w:rFonts w:hint="eastAsia" w:ascii="宋体" w:hAnsi="宋体" w:eastAsia="宋体" w:cs="宋体"/>
          <w:color w:val="auto"/>
          <w:sz w:val="21"/>
          <w:szCs w:val="21"/>
          <w:highlight w:val="none"/>
          <w:lang w:eastAsia="zh-CN"/>
        </w:rPr>
        <w:t>：</w:t>
      </w:r>
    </w:p>
    <w:p>
      <w:pPr>
        <w:spacing w:line="324" w:lineRule="auto"/>
        <w:ind w:right="-107" w:rightChars="-51"/>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p>
    <w:p>
      <w:pPr>
        <w:spacing w:line="324" w:lineRule="auto"/>
        <w:ind w:right="-107" w:rightChars="-51" w:firstLine="420" w:firstLineChars="200"/>
        <w:rPr>
          <w:rFonts w:hint="eastAsia"/>
          <w:color w:val="auto"/>
          <w:highlight w:val="none"/>
        </w:rPr>
      </w:pPr>
      <w:r>
        <w:rPr>
          <w:rFonts w:hint="eastAsia"/>
          <w:color w:val="auto"/>
          <w:highlight w:val="none"/>
        </w:rPr>
        <w:t>就贵方项目（采购编号：</w:t>
      </w:r>
      <w:r>
        <w:rPr>
          <w:rFonts w:hint="eastAsia"/>
          <w:color w:val="auto"/>
          <w:highlight w:val="none"/>
          <w:lang w:val="en-US" w:eastAsia="zh-CN"/>
        </w:rPr>
        <w:t xml:space="preserve">          </w:t>
      </w:r>
      <w:r>
        <w:rPr>
          <w:rFonts w:hint="eastAsia"/>
          <w:color w:val="auto"/>
          <w:highlight w:val="none"/>
        </w:rPr>
        <w:t>）的售后服务，我方做出以下承诺：</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承诺自项目中标通知发出之日起生效。</w:t>
      </w: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1、质量保证：</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乙方应提供</w:t>
      </w:r>
      <w:r>
        <w:rPr>
          <w:rFonts w:hint="eastAsia" w:ascii="宋体" w:hAnsi="宋体" w:eastAsia="宋体" w:cs="宋体"/>
          <w:b w:val="0"/>
          <w:color w:val="auto"/>
          <w:sz w:val="21"/>
          <w:szCs w:val="21"/>
          <w:highlight w:val="none"/>
          <w:u w:val="single"/>
        </w:rPr>
        <w:t> </w:t>
      </w:r>
      <w:r>
        <w:rPr>
          <w:rFonts w:hint="eastAsia" w:ascii="宋体" w:hAnsi="宋体" w:eastAsia="宋体" w:cs="宋体"/>
          <w:b w:val="0"/>
          <w:color w:val="auto"/>
          <w:sz w:val="21"/>
          <w:szCs w:val="21"/>
          <w:highlight w:val="none"/>
          <w:u w:val="single"/>
          <w:lang w:val="en-US" w:eastAsia="zh-CN"/>
        </w:rPr>
        <w:t xml:space="preserve">     年</w:t>
      </w:r>
      <w:r>
        <w:rPr>
          <w:rFonts w:hint="eastAsia" w:ascii="宋体" w:hAnsi="宋体" w:eastAsia="宋体" w:cs="宋体"/>
          <w:b w:val="0"/>
          <w:color w:val="auto"/>
          <w:sz w:val="21"/>
          <w:szCs w:val="21"/>
          <w:highlight w:val="none"/>
        </w:rPr>
        <w:t>保修期，保修期的期限应以设备验收合格、完成培训考核后</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以甲方验收单时间起</w:t>
      </w:r>
      <w:r>
        <w:rPr>
          <w:rFonts w:hint="eastAsia" w:ascii="宋体" w:hAnsi="宋体" w:eastAsia="宋体" w:cs="宋体"/>
          <w:b w:val="0"/>
          <w:color w:val="auto"/>
          <w:sz w:val="21"/>
          <w:szCs w:val="21"/>
          <w:highlight w:val="none"/>
        </w:rPr>
        <w:t>计算，保修期内免费更换零配件及</w:t>
      </w:r>
      <w:r>
        <w:rPr>
          <w:rFonts w:hint="eastAsia" w:ascii="宋体" w:hAnsi="宋体" w:eastAsia="宋体" w:cs="宋体"/>
          <w:b w:val="0"/>
          <w:color w:val="auto"/>
          <w:sz w:val="21"/>
          <w:szCs w:val="21"/>
          <w:highlight w:val="none"/>
          <w:lang w:val="en-US" w:eastAsia="zh-CN"/>
        </w:rPr>
        <w:t>维修费用</w:t>
      </w:r>
      <w:r>
        <w:rPr>
          <w:rFonts w:hint="eastAsia" w:ascii="宋体" w:hAnsi="宋体" w:eastAsia="宋体" w:cs="宋体"/>
          <w:b w:val="0"/>
          <w:color w:val="auto"/>
          <w:sz w:val="21"/>
          <w:szCs w:val="21"/>
          <w:highlight w:val="none"/>
        </w:rPr>
        <w:t>。</w:t>
      </w:r>
    </w:p>
    <w:p>
      <w:pPr>
        <w:numPr>
          <w:ilvl w:val="0"/>
          <w:numId w:val="0"/>
        </w:numPr>
        <w:spacing w:line="360" w:lineRule="auto"/>
        <w:ind w:left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设备保修期内，承诺人要确保设备正常运行，设备的功能和技术指标达到投标文件和国家相关标准。</w:t>
      </w:r>
    </w:p>
    <w:p>
      <w:pPr>
        <w:pStyle w:val="6"/>
        <w:numPr>
          <w:ilvl w:val="0"/>
          <w:numId w:val="0"/>
        </w:numPr>
        <w:spacing w:line="360" w:lineRule="auto"/>
        <w:ind w:left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设备保修期内，因设备任何配件出现故障或性能无法达到要求，须免费更换全新未使用过的维修配件（下称“零配件”)，所有费用由承诺人承担。</w:t>
      </w:r>
    </w:p>
    <w:p>
      <w:pPr>
        <w:pStyle w:val="6"/>
        <w:numPr>
          <w:ilvl w:val="0"/>
          <w:numId w:val="0"/>
        </w:numPr>
        <w:spacing w:line="360" w:lineRule="auto"/>
        <w:ind w:left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设备保修期内，供应商承诺按照设备使用说明书要求进行保养</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每年应提供不少于2次的预防性</w:t>
      </w:r>
      <w:r>
        <w:rPr>
          <w:rFonts w:hint="eastAsia" w:ascii="宋体" w:hAnsi="宋体" w:eastAsia="宋体" w:cs="宋体"/>
          <w:b w:val="0"/>
          <w:color w:val="auto"/>
          <w:sz w:val="21"/>
          <w:szCs w:val="21"/>
          <w:highlight w:val="none"/>
          <w:lang w:eastAsia="zh-CN"/>
        </w:rPr>
        <w:t>维护</w:t>
      </w:r>
      <w:r>
        <w:rPr>
          <w:rFonts w:hint="eastAsia" w:ascii="宋体" w:hAnsi="宋体" w:eastAsia="宋体" w:cs="宋体"/>
          <w:b w:val="0"/>
          <w:color w:val="auto"/>
          <w:sz w:val="21"/>
          <w:szCs w:val="21"/>
          <w:highlight w:val="none"/>
        </w:rPr>
        <w:t>保养</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zh-CN"/>
        </w:rPr>
        <w:t>每次PM计划时间跨度不大于1个月</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并提供设备维修、保养详细工作报告单。</w:t>
      </w:r>
    </w:p>
    <w:p>
      <w:pPr>
        <w:pStyle w:val="6"/>
        <w:numPr>
          <w:ilvl w:val="0"/>
          <w:numId w:val="0"/>
        </w:numPr>
        <w:spacing w:line="360" w:lineRule="auto"/>
        <w:ind w:left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设备保修期内</w:t>
      </w:r>
      <w:r>
        <w:rPr>
          <w:rFonts w:hint="eastAsia" w:ascii="宋体" w:hAnsi="宋体" w:eastAsia="宋体" w:cs="宋体"/>
          <w:b w:val="0"/>
          <w:color w:val="auto"/>
          <w:sz w:val="21"/>
          <w:szCs w:val="21"/>
          <w:highlight w:val="none"/>
          <w:lang w:val="en-US" w:eastAsia="zh-CN"/>
        </w:rPr>
        <w:t>，乙方应对货物出现的质量及安全问题负责处理解决并承担一切费用（费用包括但不限于配件、人工、搬运、安装调试等费用）。</w:t>
      </w:r>
    </w:p>
    <w:p>
      <w:pPr>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val="0"/>
          <w:color w:val="auto"/>
          <w:sz w:val="21"/>
          <w:szCs w:val="21"/>
          <w:highlight w:val="none"/>
        </w:rPr>
        <w:t>设备保修期内</w:t>
      </w:r>
      <w:r>
        <w:rPr>
          <w:rFonts w:hint="eastAsia" w:ascii="宋体" w:hAnsi="宋体" w:eastAsia="宋体" w:cs="宋体"/>
          <w:color w:val="auto"/>
          <w:sz w:val="21"/>
          <w:szCs w:val="21"/>
          <w:highlight w:val="none"/>
        </w:rPr>
        <w:t>，存在安全隐患，有可能对操作人员、患者、自身、其他设备、周边环境造成不良影响的，应在获知后</w:t>
      </w:r>
      <w:r>
        <w:rPr>
          <w:rFonts w:hint="eastAsia" w:ascii="宋体" w:hAnsi="宋体" w:eastAsia="宋体" w:cs="宋体"/>
          <w:color w:val="auto"/>
          <w:sz w:val="21"/>
          <w:szCs w:val="21"/>
          <w:highlight w:val="none"/>
          <w:lang w:val="en-US" w:eastAsia="zh-CN"/>
        </w:rPr>
        <w:t>15日</w:t>
      </w:r>
      <w:r>
        <w:rPr>
          <w:rFonts w:hint="eastAsia" w:ascii="宋体" w:hAnsi="宋体" w:eastAsia="宋体" w:cs="宋体"/>
          <w:color w:val="auto"/>
          <w:sz w:val="21"/>
          <w:szCs w:val="21"/>
          <w:highlight w:val="none"/>
        </w:rPr>
        <w:t>内予以解决。未能解决，且双方无法达成一致的，应予以退货。</w:t>
      </w:r>
    </w:p>
    <w:p>
      <w:pPr>
        <w:pStyle w:val="6"/>
        <w:spacing w:line="360" w:lineRule="auto"/>
        <w:ind w:left="0" w:lef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（7）乙方未在约定时间内修复的或同一货物经 3 次维修后仍不能稳定、可靠运行的，甲方有权要求乙方免费更换，</w:t>
      </w:r>
      <w:r>
        <w:rPr>
          <w:rFonts w:hint="eastAsia" w:ascii="宋体" w:hAnsi="宋体" w:eastAsia="宋体" w:cs="宋体"/>
          <w:b w:val="0"/>
          <w:color w:val="auto"/>
          <w:sz w:val="21"/>
          <w:szCs w:val="21"/>
          <w:highlight w:val="none"/>
        </w:rPr>
        <w:t>供应商需在第</w:t>
      </w:r>
      <w:r>
        <w:rPr>
          <w:rFonts w:hint="eastAsia" w:ascii="宋体" w:hAnsi="宋体" w:eastAsia="宋体" w:cs="宋体"/>
          <w:b w:val="0"/>
          <w:color w:val="auto"/>
          <w:sz w:val="21"/>
          <w:szCs w:val="21"/>
          <w:highlight w:val="none"/>
          <w:lang w:val="en-US" w:eastAsia="zh-CN"/>
        </w:rPr>
        <w:t>三</w:t>
      </w:r>
      <w:r>
        <w:rPr>
          <w:rFonts w:hint="eastAsia" w:ascii="宋体" w:hAnsi="宋体" w:eastAsia="宋体" w:cs="宋体"/>
          <w:b w:val="0"/>
          <w:color w:val="auto"/>
          <w:sz w:val="21"/>
          <w:szCs w:val="21"/>
          <w:highlight w:val="none"/>
        </w:rPr>
        <w:t>次设备故障发生后3个月内更换</w:t>
      </w:r>
      <w:r>
        <w:rPr>
          <w:rFonts w:hint="eastAsia" w:ascii="宋体" w:hAnsi="宋体" w:eastAsia="宋体" w:cs="宋体"/>
          <w:b w:val="0"/>
          <w:color w:val="auto"/>
          <w:sz w:val="21"/>
          <w:szCs w:val="21"/>
          <w:highlight w:val="none"/>
          <w:lang w:val="en-US" w:eastAsia="zh-CN"/>
        </w:rPr>
        <w:t>同款</w:t>
      </w:r>
      <w:r>
        <w:rPr>
          <w:rFonts w:hint="eastAsia" w:ascii="宋体" w:hAnsi="宋体" w:eastAsia="宋体" w:cs="宋体"/>
          <w:b w:val="0"/>
          <w:color w:val="auto"/>
          <w:sz w:val="21"/>
          <w:szCs w:val="21"/>
          <w:highlight w:val="none"/>
        </w:rPr>
        <w:t>全新设备。</w:t>
      </w:r>
      <w:r>
        <w:rPr>
          <w:rFonts w:hint="eastAsia" w:ascii="宋体" w:hAnsi="宋体" w:eastAsia="宋体" w:cs="宋体"/>
          <w:b w:val="0"/>
          <w:color w:val="auto"/>
          <w:sz w:val="21"/>
          <w:szCs w:val="21"/>
          <w:highlight w:val="none"/>
          <w:lang w:val="en-US" w:eastAsia="zh-CN"/>
        </w:rPr>
        <w:t>返修或更换后的设备及部件保修期应重新计算，人为原因除外。</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rPr>
        <w:t>质保期内每年每个设备故障率均不得超过14天</w:t>
      </w:r>
      <w:r>
        <w:rPr>
          <w:rFonts w:hint="eastAsia" w:ascii="宋体" w:hAnsi="宋体" w:cs="宋体"/>
          <w:color w:val="auto"/>
          <w:sz w:val="21"/>
          <w:szCs w:val="21"/>
          <w:highlight w:val="none"/>
          <w:lang w:eastAsia="zh-CN"/>
        </w:rPr>
        <w:t>，每超过一天该设备（或镜子）质保期相应延长10天。</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零配件在该设备停产后保证</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年的供应，零配件须符合或优于设备技术要求</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2、售后服务</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rPr>
        <w:t>远程技术支持：乙方应具有稳定的技术支持队伍和完善的服务支持网络，提供 24 小时技术支持服务，及时响应甲方的技术服务支持需求，提出有效的解决方案，解决甲方在货物使用过程中遇到的实际问题。</w:t>
      </w:r>
    </w:p>
    <w:p>
      <w:pPr>
        <w:pStyle w:val="14"/>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现场技术支持：对于通过电话、邮件等远程技术支持不能解决的问题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乙方应</w:t>
      </w:r>
      <w:r>
        <w:rPr>
          <w:rFonts w:hint="eastAsia" w:ascii="宋体" w:hAnsi="宋体" w:eastAsia="宋体" w:cs="宋体"/>
          <w:color w:val="auto"/>
          <w:sz w:val="21"/>
          <w:szCs w:val="21"/>
          <w:highlight w:val="none"/>
          <w:lang w:val="zh-CN"/>
        </w:rPr>
        <w:t>在接报修电话后，</w:t>
      </w:r>
      <w:r>
        <w:rPr>
          <w:rFonts w:hint="eastAsia" w:ascii="宋体" w:hAnsi="宋体" w:eastAsia="宋体" w:cs="宋体"/>
          <w:color w:val="auto"/>
          <w:sz w:val="21"/>
          <w:szCs w:val="21"/>
          <w:highlight w:val="none"/>
          <w:lang w:val="en-US" w:eastAsia="zh-CN"/>
        </w:rPr>
        <w:t>48小时内到现场实施维修</w:t>
      </w:r>
      <w:r>
        <w:rPr>
          <w:rFonts w:hint="eastAsia" w:ascii="宋体" w:hAnsi="宋体" w:eastAsia="宋体" w:cs="宋体"/>
          <w:color w:val="auto"/>
          <w:sz w:val="21"/>
          <w:szCs w:val="21"/>
          <w:highlight w:val="none"/>
          <w:lang w:val="zh-CN"/>
        </w:rPr>
        <w:t>，在确定故障后，应在24小时内将维修零部件送达维修现场。</w:t>
      </w:r>
      <w:r>
        <w:rPr>
          <w:rFonts w:hint="eastAsia" w:ascii="宋体" w:hAnsi="宋体" w:eastAsia="宋体" w:cs="宋体"/>
          <w:color w:val="auto"/>
          <w:sz w:val="21"/>
          <w:szCs w:val="21"/>
          <w:highlight w:val="none"/>
        </w:rPr>
        <w:t>发生紧急抢修事故的，乙方应在接到甲方通知后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24小时内到达现场抢修。</w:t>
      </w:r>
      <w:r>
        <w:rPr>
          <w:rFonts w:hint="eastAsia" w:ascii="宋体" w:hAnsi="宋体" w:eastAsia="宋体" w:cs="宋体"/>
          <w:color w:val="auto"/>
          <w:sz w:val="21"/>
          <w:szCs w:val="21"/>
          <w:highlight w:val="none"/>
          <w:lang w:val="zh-CN"/>
        </w:rPr>
        <w:t>单次故障修复时间不长于5个工作日。否则须在5个工作日之内提供功能完整、性能合格的备用设备。</w:t>
      </w:r>
    </w:p>
    <w:p>
      <w:pPr>
        <w:pStyle w:val="14"/>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技术升级支持：乙方应提供货物所配置软件的终身免费维护和升级服务，保证货物正常</w:t>
      </w:r>
      <w:r>
        <w:rPr>
          <w:rFonts w:hint="eastAsia" w:ascii="宋体" w:hAnsi="宋体" w:eastAsia="宋体" w:cs="宋体"/>
          <w:color w:val="auto"/>
          <w:sz w:val="21"/>
          <w:szCs w:val="21"/>
          <w:highlight w:val="none"/>
          <w:lang w:val="zh-CN"/>
        </w:rPr>
        <w:t>运行，且不影响甲方其它运行环境。</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保修期届满后，乙方对本合同项下货物提供终身维修服务，且维修时只收取所需维修部件的成本费，服务内容应与保修期内的要求相一致。</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保修价格：</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元/年/套（提供保修期外购买整机保修合同的价格）</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如后期购买设备保修服务，</w:t>
      </w:r>
      <w:r>
        <w:rPr>
          <w:rFonts w:hint="eastAsia" w:ascii="宋体" w:hAnsi="宋体" w:eastAsia="宋体" w:cs="宋体"/>
          <w:color w:val="auto"/>
          <w:sz w:val="21"/>
          <w:szCs w:val="21"/>
          <w:highlight w:val="none"/>
          <w:lang w:val="zh-CN"/>
        </w:rPr>
        <w:t>按不高于</w:t>
      </w:r>
      <w:r>
        <w:rPr>
          <w:rFonts w:hint="eastAsia" w:ascii="宋体" w:hAnsi="宋体" w:eastAsia="宋体" w:cs="宋体"/>
          <w:color w:val="auto"/>
          <w:sz w:val="21"/>
          <w:szCs w:val="21"/>
          <w:highlight w:val="none"/>
          <w:lang w:val="en-US" w:eastAsia="zh-CN"/>
        </w:rPr>
        <w:t>合同中的保修</w:t>
      </w:r>
      <w:r>
        <w:rPr>
          <w:rFonts w:hint="eastAsia" w:ascii="宋体" w:hAnsi="宋体" w:eastAsia="宋体" w:cs="宋体"/>
          <w:color w:val="auto"/>
          <w:sz w:val="21"/>
          <w:szCs w:val="21"/>
          <w:highlight w:val="none"/>
          <w:lang w:val="zh-CN"/>
        </w:rPr>
        <w:t>价格执行。</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承诺方须无偿、实时提供设备设置、调试所需密码及权限。</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每次完成设备维修或保养后，须</w:t>
      </w:r>
      <w:r>
        <w:rPr>
          <w:rFonts w:hint="eastAsia" w:ascii="宋体" w:hAnsi="宋体" w:eastAsia="宋体" w:cs="宋体"/>
          <w:color w:val="auto"/>
          <w:sz w:val="21"/>
          <w:szCs w:val="21"/>
          <w:highlight w:val="none"/>
          <w:lang w:val="en-US" w:eastAsia="zh-CN"/>
        </w:rPr>
        <w:t>在7个工作日内</w:t>
      </w:r>
      <w:r>
        <w:rPr>
          <w:rFonts w:hint="eastAsia" w:ascii="宋体" w:hAnsi="宋体"/>
          <w:color w:val="auto"/>
          <w:szCs w:val="21"/>
          <w:highlight w:val="none"/>
        </w:rPr>
        <w:t>向</w:t>
      </w:r>
      <w:r>
        <w:rPr>
          <w:rFonts w:hint="eastAsia" w:ascii="宋体" w:hAnsi="宋体"/>
          <w:color w:val="auto"/>
          <w:szCs w:val="21"/>
          <w:highlight w:val="none"/>
          <w:lang w:val="en-US" w:eastAsia="zh-CN"/>
        </w:rPr>
        <w:t>甲方</w:t>
      </w:r>
      <w:r>
        <w:rPr>
          <w:rFonts w:hint="eastAsia" w:ascii="宋体" w:hAnsi="宋体" w:eastAsia="宋体" w:cs="宋体"/>
          <w:color w:val="auto"/>
          <w:sz w:val="21"/>
          <w:szCs w:val="21"/>
          <w:highlight w:val="none"/>
          <w:lang w:val="zh-CN"/>
        </w:rPr>
        <w:t>提供维修及保养的报告。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p>
      <w:pPr>
        <w:pStyle w:val="31"/>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本条约定的质量保证及售后服务系合同主要义务的重要组成部分。乙方未履行本条约定，视为乙方未按照合同规定的时间交货和提供服务，构成违约，参照本合同中对误期赔偿费的规定承担违约责任。</w:t>
      </w:r>
    </w:p>
    <w:p>
      <w:pPr>
        <w:pStyle w:val="31"/>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承诺人：本售后服务承诺书须由投标人逐条响应承诺，并加盖公章。</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pacing w:line="360" w:lineRule="auto"/>
        <w:jc w:val="center"/>
        <w:outlineLvl w:val="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br w:type="page"/>
      </w:r>
      <w:bookmarkStart w:id="830" w:name="_Toc27177"/>
      <w:r>
        <w:rPr>
          <w:rFonts w:hint="eastAsia" w:ascii="宋体" w:hAnsi="宋体" w:eastAsia="宋体" w:cs="宋体"/>
          <w:b/>
          <w:bCs/>
          <w:color w:val="auto"/>
          <w:sz w:val="28"/>
          <w:szCs w:val="36"/>
          <w:highlight w:val="none"/>
          <w:lang w:val="en-US" w:eastAsia="zh-CN"/>
        </w:rPr>
        <w:t>报价文件部分</w:t>
      </w:r>
      <w:bookmarkEnd w:id="828"/>
      <w:bookmarkEnd w:id="829"/>
      <w:bookmarkEnd w:id="830"/>
    </w:p>
    <w:p>
      <w:pPr>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rPr>
          <w:rFonts w:ascii="仿宋_GB2312" w:hAnsi="仿宋" w:eastAsia="仿宋_GB2312" w:cs="仿宋_GB2312"/>
          <w:b/>
          <w:color w:val="auto"/>
          <w:kern w:val="0"/>
          <w:sz w:val="36"/>
          <w:szCs w:val="36"/>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（1）开标一览表（报价表）………………………………………………………（页码）</w:t>
      </w:r>
    </w:p>
    <w:p>
      <w:pPr>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……………………………………………………………………（页码）</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中小企业声明函………………………………………………………………（页码）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14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numberInDash"/>
          <w:cols w:space="720" w:num="1"/>
          <w:titlePg/>
          <w:docGrid w:linePitch="312" w:charSpace="0"/>
        </w:sectPr>
      </w:pPr>
    </w:p>
    <w:p>
      <w:pPr>
        <w:pStyle w:val="3"/>
        <w:numPr>
          <w:ilvl w:val="1"/>
          <w:numId w:val="0"/>
        </w:numPr>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rPr>
      </w:pPr>
      <w:bookmarkStart w:id="831" w:name="_Toc10619"/>
      <w:bookmarkStart w:id="832" w:name="_Toc9759"/>
      <w:r>
        <w:rPr>
          <w:rFonts w:hint="eastAsia" w:ascii="宋体" w:hAnsi="宋体" w:eastAsia="宋体" w:cs="宋体"/>
          <w:b/>
          <w:bCs w:val="0"/>
          <w:color w:val="auto"/>
          <w:kern w:val="2"/>
          <w:sz w:val="28"/>
          <w:szCs w:val="28"/>
          <w:highlight w:val="none"/>
        </w:rPr>
        <w:t>一</w:t>
      </w:r>
      <w:r>
        <w:rPr>
          <w:rFonts w:hint="eastAsia" w:ascii="宋体" w:hAnsi="宋体" w:eastAsia="宋体" w:cs="宋体"/>
          <w:b/>
          <w:bCs w:val="0"/>
          <w:color w:val="auto"/>
          <w:kern w:val="2"/>
          <w:sz w:val="28"/>
          <w:szCs w:val="28"/>
          <w:highlight w:val="none"/>
          <w:lang w:val="en-US" w:eastAsia="zh-CN"/>
        </w:rPr>
        <w:t>-1</w:t>
      </w:r>
      <w:r>
        <w:rPr>
          <w:rFonts w:hint="eastAsia" w:ascii="宋体" w:hAnsi="宋体" w:eastAsia="宋体" w:cs="宋体"/>
          <w:b/>
          <w:bCs w:val="0"/>
          <w:color w:val="auto"/>
          <w:kern w:val="2"/>
          <w:sz w:val="28"/>
          <w:szCs w:val="28"/>
          <w:highlight w:val="none"/>
        </w:rPr>
        <w:t>、开标一览表（报价表）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lang w:eastAsia="zh-CN"/>
        </w:rPr>
        <w:t>瑞安市妇幼保健院胃肠镜系统采购</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项目</w:t>
      </w:r>
      <w:r>
        <w:rPr>
          <w:rFonts w:hint="eastAsia" w:ascii="仿宋_GB2312" w:hAnsi="仿宋" w:eastAsia="仿宋_GB2312" w:cs="仿宋_GB2312"/>
          <w:color w:val="auto"/>
          <w:kern w:val="0"/>
          <w:sz w:val="24"/>
          <w:highlight w:val="none"/>
          <w:lang w:val="zh-CN"/>
        </w:rPr>
        <w:t>编号：</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37"/>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836"/>
        <w:gridCol w:w="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27"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Times New Roman"/>
                <w:b/>
                <w:color w:val="auto"/>
                <w:sz w:val="24"/>
                <w:highlight w:val="none"/>
              </w:rPr>
              <w:t>序号</w:t>
            </w:r>
          </w:p>
        </w:tc>
        <w:tc>
          <w:tcPr>
            <w:tcW w:w="3836"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Times New Roman"/>
                <w:b/>
                <w:color w:val="auto"/>
                <w:sz w:val="24"/>
                <w:highlight w:val="none"/>
              </w:rPr>
              <w:t>名称</w:t>
            </w:r>
          </w:p>
        </w:tc>
        <w:tc>
          <w:tcPr>
            <w:tcW w:w="4595"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27" w:type="dxa"/>
            <w:noWrap w:val="0"/>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836" w:type="dxa"/>
            <w:noWrap w:val="0"/>
            <w:vAlign w:val="center"/>
          </w:tcPr>
          <w:p>
            <w:pPr>
              <w:snapToGrid w:val="0"/>
              <w:spacing w:line="360" w:lineRule="auto"/>
              <w:jc w:val="left"/>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瑞安市妇幼保健院胃肠镜系统采购</w:t>
            </w:r>
          </w:p>
        </w:tc>
        <w:tc>
          <w:tcPr>
            <w:tcW w:w="4595" w:type="dxa"/>
            <w:noWrap w:val="0"/>
            <w:vAlign w:val="center"/>
          </w:tcPr>
          <w:p>
            <w:pPr>
              <w:snapToGrid w:val="0"/>
              <w:spacing w:line="360" w:lineRule="auto"/>
              <w:jc w:val="both"/>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（小写）</w:t>
            </w:r>
          </w:p>
          <w:p>
            <w:pPr>
              <w:snapToGrid w:val="0"/>
              <w:spacing w:line="360" w:lineRule="auto"/>
              <w:jc w:val="both"/>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（大写）</w:t>
            </w:r>
          </w:p>
        </w:tc>
      </w:tr>
      <w:bookmarkEnd w:id="831"/>
      <w:bookmarkEnd w:id="832"/>
    </w:tbl>
    <w:p>
      <w:pPr>
        <w:widowControl/>
        <w:numPr>
          <w:ilvl w:val="0"/>
          <w:numId w:val="0"/>
        </w:numPr>
        <w:spacing w:line="360" w:lineRule="exact"/>
        <w:ind w:left="780" w:leftChars="0"/>
        <w:jc w:val="left"/>
        <w:rPr>
          <w:rFonts w:hint="eastAsia"/>
          <w:color w:val="auto"/>
          <w:highlight w:val="none"/>
          <w:lang w:eastAsia="zh-CN"/>
        </w:rPr>
      </w:pPr>
    </w:p>
    <w:p>
      <w:pPr>
        <w:numPr>
          <w:ilvl w:val="0"/>
          <w:numId w:val="16"/>
        </w:numPr>
        <w:spacing w:line="276" w:lineRule="auto"/>
        <w:rPr>
          <w:rFonts w:hint="eastAsia" w:ascii="宋体" w:hAnsi="宋体"/>
          <w:b/>
          <w:color w:val="auto"/>
          <w:szCs w:val="21"/>
          <w:highlight w:val="none"/>
        </w:rPr>
      </w:pPr>
      <w:r>
        <w:rPr>
          <w:rFonts w:hint="eastAsia" w:ascii="Arial" w:hAnsi="Arial" w:cs="Arial"/>
          <w:color w:val="auto"/>
          <w:highlight w:val="none"/>
        </w:rPr>
        <w:t>此表</w:t>
      </w:r>
      <w:r>
        <w:rPr>
          <w:rFonts w:hint="eastAsia"/>
          <w:color w:val="auto"/>
          <w:highlight w:val="none"/>
        </w:rPr>
        <w:t>投标</w:t>
      </w:r>
      <w:r>
        <w:rPr>
          <w:rFonts w:hint="eastAsia"/>
          <w:color w:val="auto"/>
          <w:highlight w:val="none"/>
          <w:lang w:val="en-US" w:eastAsia="zh-CN"/>
        </w:rPr>
        <w:t>报价</w:t>
      </w:r>
      <w:r>
        <w:rPr>
          <w:rFonts w:hint="eastAsia" w:ascii="Arial" w:hAnsi="Arial" w:cs="Arial"/>
          <w:color w:val="auto"/>
          <w:highlight w:val="none"/>
        </w:rPr>
        <w:t>应与“</w:t>
      </w:r>
      <w:r>
        <w:rPr>
          <w:rFonts w:hint="eastAsia" w:ascii="Arial" w:hAnsi="Arial" w:cs="Arial"/>
          <w:color w:val="auto"/>
          <w:highlight w:val="none"/>
          <w:lang w:val="en-US" w:eastAsia="zh-CN"/>
        </w:rPr>
        <w:t xml:space="preserve">一-2 </w:t>
      </w:r>
      <w:r>
        <w:rPr>
          <w:rFonts w:hint="eastAsia" w:ascii="Arial" w:hAnsi="Arial" w:cs="Arial"/>
          <w:color w:val="auto"/>
          <w:highlight w:val="none"/>
        </w:rPr>
        <w:t>报价明细表”合计</w:t>
      </w:r>
      <w:r>
        <w:rPr>
          <w:rFonts w:hint="eastAsia" w:ascii="Arial" w:hAnsi="Arial" w:cs="Arial"/>
          <w:color w:val="auto"/>
          <w:highlight w:val="none"/>
          <w:lang w:eastAsia="zh-CN"/>
        </w:rPr>
        <w:t>价</w:t>
      </w:r>
      <w:r>
        <w:rPr>
          <w:rFonts w:hint="eastAsia" w:ascii="Arial" w:hAnsi="Arial" w:cs="Arial"/>
          <w:color w:val="auto"/>
          <w:highlight w:val="none"/>
        </w:rPr>
        <w:t>相一致。</w:t>
      </w:r>
    </w:p>
    <w:p>
      <w:pPr>
        <w:numPr>
          <w:ilvl w:val="0"/>
          <w:numId w:val="16"/>
        </w:numPr>
        <w:spacing w:line="360" w:lineRule="exact"/>
        <w:rPr>
          <w:rFonts w:hint="eastAsia" w:ascii="新宋体" w:hAnsi="新宋体" w:eastAsia="新宋体"/>
          <w:color w:val="auto"/>
          <w:szCs w:val="21"/>
          <w:highlight w:val="none"/>
        </w:rPr>
      </w:pPr>
      <w:r>
        <w:rPr>
          <w:rFonts w:hint="eastAsia" w:ascii="新宋体" w:hAnsi="新宋体" w:eastAsia="新宋体"/>
          <w:color w:val="auto"/>
          <w:szCs w:val="21"/>
          <w:highlight w:val="none"/>
        </w:rPr>
        <w:t>此表不得自行增减内容。</w:t>
      </w: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3"/>
        <w:numPr>
          <w:ilvl w:val="0"/>
          <w:numId w:val="0"/>
        </w:numPr>
        <w:tabs>
          <w:tab w:val="left" w:pos="840"/>
        </w:tabs>
        <w:spacing w:before="0" w:after="156" w:afterLines="50" w:line="400" w:lineRule="exact"/>
        <w:ind w:leftChars="0"/>
        <w:jc w:val="center"/>
        <w:rPr>
          <w:rFonts w:hint="eastAsia" w:ascii="宋体" w:hAnsi="宋体" w:eastAsia="宋体" w:cs="宋体"/>
          <w:b/>
          <w:bCs/>
          <w:color w:val="auto"/>
          <w:sz w:val="28"/>
          <w:szCs w:val="28"/>
          <w:highlight w:val="none"/>
          <w:lang w:val="en-US" w:eastAsia="zh-CN"/>
        </w:rPr>
        <w:sectPr>
          <w:pgSz w:w="11906" w:h="16838"/>
          <w:pgMar w:top="1134" w:right="1274" w:bottom="1020" w:left="1575" w:header="680" w:footer="680" w:gutter="0"/>
          <w:pgNumType w:fmt="numberInDash"/>
          <w:cols w:space="720" w:num="1"/>
          <w:titlePg/>
          <w:docGrid w:type="lines" w:linePitch="312" w:charSpace="0"/>
        </w:sectPr>
      </w:pPr>
    </w:p>
    <w:p>
      <w:pPr>
        <w:pStyle w:val="3"/>
        <w:numPr>
          <w:ilvl w:val="1"/>
          <w:numId w:val="0"/>
        </w:numPr>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rPr>
      </w:pPr>
      <w:bookmarkStart w:id="833" w:name="_Toc2172"/>
      <w:bookmarkStart w:id="834" w:name="_Toc18824"/>
      <w:r>
        <w:rPr>
          <w:rFonts w:hint="eastAsia" w:ascii="宋体" w:hAnsi="宋体" w:eastAsia="宋体" w:cs="宋体"/>
          <w:b/>
          <w:bCs w:val="0"/>
          <w:color w:val="auto"/>
          <w:kern w:val="2"/>
          <w:sz w:val="28"/>
          <w:szCs w:val="28"/>
          <w:highlight w:val="none"/>
        </w:rPr>
        <w:t>一</w:t>
      </w:r>
      <w:r>
        <w:rPr>
          <w:rFonts w:hint="eastAsia" w:ascii="宋体" w:hAnsi="宋体" w:eastAsia="宋体" w:cs="宋体"/>
          <w:b/>
          <w:bCs w:val="0"/>
          <w:color w:val="auto"/>
          <w:kern w:val="2"/>
          <w:sz w:val="28"/>
          <w:szCs w:val="28"/>
          <w:highlight w:val="none"/>
          <w:lang w:val="en-US" w:eastAsia="zh-CN"/>
        </w:rPr>
        <w:t>-2报价明细表</w:t>
      </w:r>
    </w:p>
    <w:p>
      <w:pPr>
        <w:rPr>
          <w:rFonts w:hint="default"/>
          <w:lang w:val="en-US" w:eastAsia="zh-CN"/>
        </w:rPr>
      </w:pPr>
    </w:p>
    <w:tbl>
      <w:tblPr>
        <w:tblStyle w:val="37"/>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84"/>
        <w:gridCol w:w="2046"/>
        <w:gridCol w:w="1322"/>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592" w:type="dxa"/>
            <w:noWrap w:val="0"/>
            <w:vAlign w:val="center"/>
          </w:tcPr>
          <w:p>
            <w:pPr>
              <w:spacing w:line="360" w:lineRule="auto"/>
              <w:jc w:val="center"/>
              <w:rPr>
                <w:rFonts w:hint="eastAsia" w:ascii="仿宋_GB2312" w:hAnsi="仿宋" w:eastAsia="仿宋_GB2312" w:cs="Times New Roman"/>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序号</w:t>
            </w:r>
          </w:p>
        </w:tc>
        <w:tc>
          <w:tcPr>
            <w:tcW w:w="1284" w:type="dxa"/>
            <w:noWrap w:val="0"/>
            <w:vAlign w:val="center"/>
          </w:tcPr>
          <w:p>
            <w:pPr>
              <w:spacing w:line="360" w:lineRule="auto"/>
              <w:jc w:val="center"/>
              <w:rPr>
                <w:rFonts w:ascii="新宋体" w:hAnsi="新宋体" w:eastAsia="新宋体" w:cs="Times New Roman"/>
                <w:b/>
                <w:color w:val="auto"/>
                <w:sz w:val="22"/>
                <w:highlight w:val="none"/>
              </w:rPr>
            </w:pPr>
            <w:r>
              <w:rPr>
                <w:rFonts w:hint="eastAsia" w:ascii="仿宋_GB2312" w:hAnsi="仿宋" w:eastAsia="仿宋_GB2312" w:cs="Times New Roman"/>
                <w:b/>
                <w:color w:val="auto"/>
                <w:sz w:val="24"/>
                <w:highlight w:val="none"/>
              </w:rPr>
              <w:t>名称</w:t>
            </w:r>
          </w:p>
        </w:tc>
        <w:tc>
          <w:tcPr>
            <w:tcW w:w="2046" w:type="dxa"/>
            <w:noWrap w:val="0"/>
            <w:vAlign w:val="top"/>
          </w:tcPr>
          <w:p>
            <w:pPr>
              <w:spacing w:line="360" w:lineRule="auto"/>
              <w:jc w:val="center"/>
              <w:rPr>
                <w:rFonts w:ascii="仿宋_GB2312" w:hAnsi="仿宋" w:eastAsia="仿宋_GB2312" w:cs="Times New Roman"/>
                <w:b/>
                <w:color w:val="auto"/>
                <w:sz w:val="24"/>
                <w:highlight w:val="none"/>
              </w:rPr>
            </w:pPr>
          </w:p>
          <w:p>
            <w:pPr>
              <w:spacing w:line="360" w:lineRule="auto"/>
              <w:jc w:val="center"/>
              <w:rPr>
                <w:rFonts w:ascii="新宋体" w:hAnsi="新宋体" w:eastAsia="新宋体" w:cs="Times New Roman"/>
                <w:b/>
                <w:color w:val="auto"/>
                <w:sz w:val="22"/>
                <w:highlight w:val="none"/>
              </w:rPr>
            </w:pPr>
            <w:r>
              <w:rPr>
                <w:rFonts w:hint="eastAsia" w:ascii="仿宋_GB2312" w:hAnsi="仿宋" w:eastAsia="仿宋_GB2312" w:cs="Times New Roman"/>
                <w:b/>
                <w:color w:val="auto"/>
                <w:sz w:val="24"/>
                <w:highlight w:val="none"/>
              </w:rPr>
              <w:t>品牌（如果有）</w:t>
            </w:r>
          </w:p>
        </w:tc>
        <w:tc>
          <w:tcPr>
            <w:tcW w:w="1322" w:type="dxa"/>
            <w:noWrap w:val="0"/>
            <w:vAlign w:val="center"/>
          </w:tcPr>
          <w:p>
            <w:pPr>
              <w:spacing w:line="360" w:lineRule="auto"/>
              <w:jc w:val="center"/>
              <w:rPr>
                <w:rFonts w:ascii="新宋体" w:hAnsi="新宋体" w:eastAsia="新宋体" w:cs="Times New Roman"/>
                <w:b/>
                <w:color w:val="auto"/>
                <w:sz w:val="22"/>
                <w:highlight w:val="none"/>
              </w:rPr>
            </w:pPr>
            <w:r>
              <w:rPr>
                <w:rFonts w:hint="eastAsia" w:ascii="仿宋_GB2312" w:hAnsi="仿宋" w:eastAsia="仿宋_GB2312" w:cs="Times New Roman"/>
                <w:b/>
                <w:color w:val="auto"/>
                <w:sz w:val="24"/>
                <w:highlight w:val="none"/>
              </w:rPr>
              <w:t>规格型号</w:t>
            </w:r>
          </w:p>
        </w:tc>
        <w:tc>
          <w:tcPr>
            <w:tcW w:w="1457" w:type="dxa"/>
            <w:noWrap w:val="0"/>
            <w:vAlign w:val="center"/>
          </w:tcPr>
          <w:p>
            <w:pPr>
              <w:spacing w:line="360" w:lineRule="auto"/>
              <w:jc w:val="center"/>
              <w:rPr>
                <w:rFonts w:ascii="新宋体" w:hAnsi="新宋体" w:eastAsia="新宋体" w:cs="Times New Roman"/>
                <w:b/>
                <w:color w:val="auto"/>
                <w:sz w:val="22"/>
                <w:highlight w:val="none"/>
              </w:rPr>
            </w:pPr>
            <w:r>
              <w:rPr>
                <w:rFonts w:hint="eastAsia" w:ascii="仿宋_GB2312" w:hAnsi="仿宋" w:eastAsia="仿宋_GB2312" w:cs="Times New Roman"/>
                <w:b/>
                <w:color w:val="auto"/>
                <w:sz w:val="24"/>
                <w:highlight w:val="none"/>
              </w:rPr>
              <w:t>数量</w:t>
            </w:r>
          </w:p>
        </w:tc>
        <w:tc>
          <w:tcPr>
            <w:tcW w:w="1457" w:type="dxa"/>
            <w:noWrap w:val="0"/>
            <w:vAlign w:val="center"/>
          </w:tcPr>
          <w:p>
            <w:pPr>
              <w:spacing w:line="360" w:lineRule="auto"/>
              <w:jc w:val="center"/>
              <w:rPr>
                <w:rFonts w:hint="eastAsia" w:ascii="Times New Roman" w:hAnsi="Calibri" w:eastAsia="宋体" w:cs="Times New Roman"/>
                <w:b/>
                <w:color w:val="auto"/>
                <w:highlight w:val="none"/>
                <w:lang w:eastAsia="zh-CN"/>
              </w:rPr>
            </w:pPr>
            <w:r>
              <w:rPr>
                <w:rFonts w:hint="eastAsia" w:ascii="仿宋_GB2312" w:hAnsi="仿宋" w:eastAsia="仿宋_GB2312" w:cs="Times New Roman"/>
                <w:b/>
                <w:color w:val="auto"/>
                <w:sz w:val="24"/>
                <w:highlight w:val="none"/>
              </w:rPr>
              <w:t>单价</w:t>
            </w:r>
          </w:p>
        </w:tc>
        <w:tc>
          <w:tcPr>
            <w:tcW w:w="1457" w:type="dxa"/>
            <w:noWrap w:val="0"/>
            <w:vAlign w:val="center"/>
          </w:tcPr>
          <w:p>
            <w:pPr>
              <w:spacing w:line="360" w:lineRule="auto"/>
              <w:jc w:val="center"/>
              <w:rPr>
                <w:rFonts w:hint="eastAsia" w:ascii="Times New Roman" w:hAnsi="Calibri" w:eastAsia="宋体" w:cs="Times New Roman"/>
                <w:b/>
                <w:color w:val="auto"/>
                <w:highlight w:val="none"/>
                <w:lang w:eastAsia="zh-CN"/>
              </w:rPr>
            </w:pPr>
            <w:r>
              <w:rPr>
                <w:rFonts w:hint="eastAsia" w:ascii="仿宋_GB2312" w:hAnsi="仿宋" w:eastAsia="仿宋_GB2312" w:cs="Times New Roman"/>
                <w:b/>
                <w:color w:val="auto"/>
                <w:sz w:val="24"/>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92" w:type="dxa"/>
            <w:noWrap w:val="0"/>
            <w:vAlign w:val="center"/>
          </w:tcPr>
          <w:p>
            <w:pPr>
              <w:pStyle w:val="145"/>
              <w:snapToGrid w:val="0"/>
              <w:jc w:val="center"/>
              <w:rPr>
                <w:rFonts w:hint="default" w:ascii="Times New Roman" w:eastAsia="宋体" w:cs="Times New Roman"/>
                <w:b/>
                <w:bCs w:val="0"/>
                <w:color w:val="auto"/>
                <w:highlight w:val="none"/>
                <w:lang w:val="en-US" w:eastAsia="zh-CN"/>
              </w:rPr>
            </w:pPr>
            <w:r>
              <w:rPr>
                <w:rFonts w:hint="eastAsia" w:ascii="Times New Roman" w:eastAsia="宋体" w:cs="Times New Roman"/>
                <w:b/>
                <w:bCs w:val="0"/>
                <w:color w:val="auto"/>
                <w:highlight w:val="none"/>
                <w:lang w:val="en-US" w:eastAsia="zh-CN"/>
              </w:rPr>
              <w:t>1</w:t>
            </w:r>
          </w:p>
        </w:tc>
        <w:tc>
          <w:tcPr>
            <w:tcW w:w="1284" w:type="dxa"/>
            <w:noWrap w:val="0"/>
            <w:vAlign w:val="center"/>
          </w:tcPr>
          <w:p>
            <w:pPr>
              <w:pStyle w:val="145"/>
              <w:snapToGrid w:val="0"/>
              <w:jc w:val="center"/>
              <w:rPr>
                <w:rFonts w:hint="default" w:ascii="Times New Roman" w:eastAsia="宋体" w:cs="Times New Roman"/>
                <w:b/>
                <w:bCs w:val="0"/>
                <w:color w:val="auto"/>
                <w:highlight w:val="none"/>
                <w:lang w:val="en-US" w:eastAsia="zh-CN"/>
              </w:rPr>
            </w:pPr>
          </w:p>
        </w:tc>
        <w:tc>
          <w:tcPr>
            <w:tcW w:w="2046" w:type="dxa"/>
            <w:noWrap w:val="0"/>
            <w:vAlign w:val="center"/>
          </w:tcPr>
          <w:p>
            <w:pPr>
              <w:adjustRightInd w:val="0"/>
              <w:snapToGrid w:val="0"/>
              <w:jc w:val="center"/>
              <w:rPr>
                <w:rFonts w:hint="eastAsia" w:ascii="Times New Roman" w:hAnsi="Calibri" w:eastAsia="宋体" w:cs="Times New Roman"/>
                <w:b/>
                <w:color w:val="auto"/>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92" w:type="dxa"/>
            <w:noWrap w:val="0"/>
            <w:vAlign w:val="center"/>
          </w:tcPr>
          <w:p>
            <w:pPr>
              <w:pStyle w:val="145"/>
              <w:snapToGrid w:val="0"/>
              <w:jc w:val="center"/>
              <w:rPr>
                <w:rFonts w:hint="default" w:ascii="Times New Roman" w:eastAsia="宋体" w:cs="Times New Roman"/>
                <w:b/>
                <w:bCs w:val="0"/>
                <w:color w:val="auto"/>
                <w:highlight w:val="none"/>
                <w:lang w:val="en-US" w:eastAsia="zh-CN"/>
              </w:rPr>
            </w:pPr>
            <w:r>
              <w:rPr>
                <w:rFonts w:hint="eastAsia" w:ascii="Times New Roman" w:eastAsia="宋体" w:cs="Times New Roman"/>
                <w:b/>
                <w:bCs w:val="0"/>
                <w:color w:val="auto"/>
                <w:highlight w:val="none"/>
                <w:lang w:val="en-US" w:eastAsia="zh-CN"/>
              </w:rPr>
              <w:t>2</w:t>
            </w:r>
          </w:p>
        </w:tc>
        <w:tc>
          <w:tcPr>
            <w:tcW w:w="1284" w:type="dxa"/>
            <w:noWrap w:val="0"/>
            <w:vAlign w:val="center"/>
          </w:tcPr>
          <w:p>
            <w:pPr>
              <w:pStyle w:val="145"/>
              <w:snapToGrid w:val="0"/>
              <w:jc w:val="center"/>
              <w:rPr>
                <w:rFonts w:hint="eastAsia" w:ascii="Times New Roman" w:eastAsia="宋体" w:cs="Times New Roman"/>
                <w:b/>
                <w:bCs w:val="0"/>
                <w:color w:val="auto"/>
                <w:highlight w:val="none"/>
                <w:lang w:val="en-US" w:eastAsia="zh-CN"/>
              </w:rPr>
            </w:pPr>
          </w:p>
        </w:tc>
        <w:tc>
          <w:tcPr>
            <w:tcW w:w="2046" w:type="dxa"/>
            <w:noWrap w:val="0"/>
            <w:vAlign w:val="center"/>
          </w:tcPr>
          <w:p>
            <w:pPr>
              <w:adjustRightInd w:val="0"/>
              <w:snapToGrid w:val="0"/>
              <w:jc w:val="center"/>
              <w:rPr>
                <w:rFonts w:hint="eastAsia" w:ascii="Times New Roman" w:hAnsi="Calibri" w:eastAsia="宋体" w:cs="Times New Roman"/>
                <w:b/>
                <w:color w:val="auto"/>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92" w:type="dxa"/>
            <w:noWrap w:val="0"/>
            <w:vAlign w:val="center"/>
          </w:tcPr>
          <w:p>
            <w:pPr>
              <w:pStyle w:val="145"/>
              <w:snapToGrid w:val="0"/>
              <w:jc w:val="center"/>
              <w:rPr>
                <w:rFonts w:hint="default" w:ascii="Times New Roman" w:eastAsia="宋体" w:cs="Times New Roman"/>
                <w:b/>
                <w:bCs w:val="0"/>
                <w:color w:val="auto"/>
                <w:highlight w:val="none"/>
                <w:lang w:val="en-US" w:eastAsia="zh-CN"/>
              </w:rPr>
            </w:pPr>
            <w:r>
              <w:rPr>
                <w:rFonts w:hint="eastAsia" w:ascii="Times New Roman" w:eastAsia="宋体" w:cs="Times New Roman"/>
                <w:b/>
                <w:bCs w:val="0"/>
                <w:color w:val="auto"/>
                <w:highlight w:val="none"/>
                <w:lang w:val="en-US" w:eastAsia="zh-CN"/>
              </w:rPr>
              <w:t>3</w:t>
            </w:r>
          </w:p>
        </w:tc>
        <w:tc>
          <w:tcPr>
            <w:tcW w:w="1284" w:type="dxa"/>
            <w:noWrap w:val="0"/>
            <w:vAlign w:val="center"/>
          </w:tcPr>
          <w:p>
            <w:pPr>
              <w:pStyle w:val="145"/>
              <w:snapToGrid w:val="0"/>
              <w:jc w:val="center"/>
              <w:rPr>
                <w:rFonts w:hint="eastAsia" w:ascii="Times New Roman" w:eastAsia="宋体" w:cs="Times New Roman"/>
                <w:b/>
                <w:bCs w:val="0"/>
                <w:color w:val="auto"/>
                <w:highlight w:val="none"/>
                <w:lang w:val="en-US" w:eastAsia="zh-CN"/>
              </w:rPr>
            </w:pPr>
          </w:p>
        </w:tc>
        <w:tc>
          <w:tcPr>
            <w:tcW w:w="2046" w:type="dxa"/>
            <w:noWrap w:val="0"/>
            <w:vAlign w:val="center"/>
          </w:tcPr>
          <w:p>
            <w:pPr>
              <w:adjustRightInd w:val="0"/>
              <w:snapToGrid w:val="0"/>
              <w:jc w:val="center"/>
              <w:rPr>
                <w:rFonts w:hint="eastAsia" w:ascii="Times New Roman" w:hAnsi="Calibri" w:eastAsia="宋体" w:cs="Times New Roman"/>
                <w:b/>
                <w:color w:val="auto"/>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92" w:type="dxa"/>
            <w:noWrap w:val="0"/>
            <w:vAlign w:val="center"/>
          </w:tcPr>
          <w:p>
            <w:pPr>
              <w:pStyle w:val="145"/>
              <w:snapToGrid w:val="0"/>
              <w:jc w:val="center"/>
              <w:rPr>
                <w:rFonts w:hint="default" w:ascii="Times New Roman" w:eastAsia="宋体" w:cs="Times New Roman"/>
                <w:b/>
                <w:bCs w:val="0"/>
                <w:color w:val="auto"/>
                <w:highlight w:val="none"/>
                <w:lang w:val="en-US" w:eastAsia="zh-CN"/>
              </w:rPr>
            </w:pPr>
            <w:r>
              <w:rPr>
                <w:rFonts w:hint="eastAsia" w:ascii="Times New Roman" w:eastAsia="宋体" w:cs="Times New Roman"/>
                <w:b/>
                <w:bCs w:val="0"/>
                <w:color w:val="auto"/>
                <w:highlight w:val="none"/>
                <w:lang w:val="en-US" w:eastAsia="zh-CN"/>
              </w:rPr>
              <w:t>……</w:t>
            </w:r>
          </w:p>
        </w:tc>
        <w:tc>
          <w:tcPr>
            <w:tcW w:w="1284" w:type="dxa"/>
            <w:noWrap w:val="0"/>
            <w:vAlign w:val="center"/>
          </w:tcPr>
          <w:p>
            <w:pPr>
              <w:pStyle w:val="145"/>
              <w:snapToGrid w:val="0"/>
              <w:jc w:val="center"/>
              <w:rPr>
                <w:rFonts w:hint="eastAsia" w:ascii="Times New Roman" w:eastAsia="宋体" w:cs="Times New Roman"/>
                <w:b/>
                <w:bCs w:val="0"/>
                <w:color w:val="auto"/>
                <w:highlight w:val="none"/>
                <w:lang w:val="en-US" w:eastAsia="zh-CN"/>
              </w:rPr>
            </w:pPr>
          </w:p>
        </w:tc>
        <w:tc>
          <w:tcPr>
            <w:tcW w:w="2046" w:type="dxa"/>
            <w:noWrap w:val="0"/>
            <w:vAlign w:val="center"/>
          </w:tcPr>
          <w:p>
            <w:pPr>
              <w:adjustRightInd w:val="0"/>
              <w:snapToGrid w:val="0"/>
              <w:jc w:val="center"/>
              <w:rPr>
                <w:rFonts w:hint="eastAsia" w:ascii="Times New Roman" w:hAnsi="Calibri" w:eastAsia="宋体" w:cs="Times New Roman"/>
                <w:b/>
                <w:color w:val="auto"/>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92"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1284"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2046" w:type="dxa"/>
            <w:noWrap w:val="0"/>
            <w:vAlign w:val="center"/>
          </w:tcPr>
          <w:p>
            <w:pPr>
              <w:adjustRightInd w:val="0"/>
              <w:snapToGrid w:val="0"/>
              <w:jc w:val="center"/>
              <w:rPr>
                <w:rFonts w:ascii="新宋体" w:hAnsi="新宋体" w:eastAsia="新宋体" w:cs="Times New Roman"/>
                <w:b/>
                <w:color w:val="auto"/>
                <w:sz w:val="22"/>
                <w:highlight w:val="none"/>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92"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1284"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2046" w:type="dxa"/>
            <w:noWrap w:val="0"/>
            <w:vAlign w:val="center"/>
          </w:tcPr>
          <w:p>
            <w:pPr>
              <w:adjustRightInd w:val="0"/>
              <w:snapToGrid w:val="0"/>
              <w:jc w:val="center"/>
              <w:rPr>
                <w:rFonts w:hint="eastAsia" w:ascii="新宋体" w:hAnsi="新宋体" w:eastAsia="新宋体" w:cs="Times New Roman"/>
                <w:b/>
                <w:color w:val="auto"/>
                <w:sz w:val="22"/>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92"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1284" w:type="dxa"/>
            <w:noWrap w:val="0"/>
            <w:vAlign w:val="center"/>
          </w:tcPr>
          <w:p>
            <w:pPr>
              <w:pStyle w:val="145"/>
              <w:snapToGrid w:val="0"/>
              <w:jc w:val="center"/>
              <w:rPr>
                <w:rFonts w:hint="eastAsia" w:ascii="新宋体" w:hAnsi="新宋体" w:eastAsia="新宋体"/>
                <w:b/>
                <w:bCs w:val="0"/>
                <w:color w:val="auto"/>
                <w:sz w:val="22"/>
                <w:highlight w:val="none"/>
                <w:lang w:val="en-US" w:eastAsia="zh-CN"/>
              </w:rPr>
            </w:pPr>
          </w:p>
        </w:tc>
        <w:tc>
          <w:tcPr>
            <w:tcW w:w="2046" w:type="dxa"/>
            <w:noWrap w:val="0"/>
            <w:vAlign w:val="center"/>
          </w:tcPr>
          <w:p>
            <w:pPr>
              <w:adjustRightInd w:val="0"/>
              <w:snapToGrid w:val="0"/>
              <w:jc w:val="center"/>
              <w:rPr>
                <w:rFonts w:hint="eastAsia" w:ascii="新宋体" w:hAnsi="新宋体" w:eastAsia="新宋体" w:cs="Times New Roman"/>
                <w:b/>
                <w:color w:val="auto"/>
                <w:sz w:val="22"/>
                <w:highlight w:val="none"/>
                <w:lang w:eastAsia="zh-CN"/>
              </w:rPr>
            </w:pP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592" w:type="dxa"/>
            <w:noWrap w:val="0"/>
            <w:vAlign w:val="center"/>
          </w:tcPr>
          <w:p>
            <w:pPr>
              <w:adjustRightInd w:val="0"/>
              <w:snapToGrid w:val="0"/>
              <w:jc w:val="center"/>
              <w:rPr>
                <w:rFonts w:hint="eastAsia" w:ascii="新宋体" w:hAnsi="新宋体" w:eastAsia="新宋体" w:cs="Times New Roman"/>
                <w:b/>
                <w:color w:val="auto"/>
                <w:sz w:val="22"/>
                <w:highlight w:val="none"/>
                <w:lang w:eastAsia="zh-CN"/>
              </w:rPr>
            </w:pPr>
          </w:p>
        </w:tc>
        <w:tc>
          <w:tcPr>
            <w:tcW w:w="3330" w:type="dxa"/>
            <w:gridSpan w:val="2"/>
            <w:noWrap w:val="0"/>
            <w:vAlign w:val="center"/>
          </w:tcPr>
          <w:p>
            <w:pPr>
              <w:adjustRightInd w:val="0"/>
              <w:snapToGrid w:val="0"/>
              <w:jc w:val="center"/>
              <w:rPr>
                <w:rFonts w:ascii="新宋体" w:hAnsi="新宋体" w:eastAsia="新宋体" w:cs="Times New Roman"/>
                <w:b/>
                <w:color w:val="auto"/>
                <w:sz w:val="22"/>
                <w:highlight w:val="none"/>
              </w:rPr>
            </w:pPr>
            <w:r>
              <w:rPr>
                <w:rFonts w:hint="eastAsia" w:ascii="新宋体" w:hAnsi="新宋体" w:eastAsia="新宋体" w:cs="Times New Roman"/>
                <w:b/>
                <w:color w:val="auto"/>
                <w:sz w:val="22"/>
                <w:highlight w:val="none"/>
                <w:lang w:eastAsia="zh-CN"/>
              </w:rPr>
              <w:t>合计价（元）</w:t>
            </w:r>
          </w:p>
        </w:tc>
        <w:tc>
          <w:tcPr>
            <w:tcW w:w="1322"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c>
          <w:tcPr>
            <w:tcW w:w="1457" w:type="dxa"/>
            <w:noWrap w:val="0"/>
            <w:vAlign w:val="center"/>
          </w:tcPr>
          <w:p>
            <w:pPr>
              <w:pStyle w:val="145"/>
              <w:snapToGrid w:val="0"/>
              <w:jc w:val="center"/>
              <w:rPr>
                <w:rFonts w:ascii="新宋体" w:hAnsi="新宋体" w:eastAsia="新宋体"/>
                <w:color w:val="auto"/>
                <w:sz w:val="22"/>
                <w:highlight w:val="none"/>
              </w:rPr>
            </w:pPr>
          </w:p>
        </w:tc>
      </w:tr>
    </w:tbl>
    <w:p>
      <w:pPr>
        <w:ind w:firstLine="420" w:firstLineChars="200"/>
        <w:rPr>
          <w:rFonts w:hint="eastAsia" w:ascii="Arial" w:hAnsi="Arial" w:cs="Arial"/>
          <w:color w:val="auto"/>
          <w:highlight w:val="none"/>
          <w:lang w:val="en-US" w:eastAsia="zh-CN"/>
        </w:rPr>
      </w:pP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lang w:val="en-US" w:eastAsia="zh-CN"/>
        </w:rPr>
        <w:t>注：</w:t>
      </w:r>
      <w:r>
        <w:rPr>
          <w:rFonts w:hint="eastAsia" w:ascii="Arial" w:hAnsi="Arial" w:cs="Arial"/>
          <w:color w:val="auto"/>
          <w:highlight w:val="none"/>
        </w:rPr>
        <w:t>1、本表仅供参考，各磋商供应商可根据投标方案自行编制报价明细表；</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2、本表所列费用为本项目的全部费用，除此外，不允许增加任何费用。</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3、此表合计价应与“</w:t>
      </w:r>
      <w:r>
        <w:rPr>
          <w:rFonts w:hint="eastAsia" w:ascii="Arial" w:hAnsi="Arial" w:cs="Arial"/>
          <w:color w:val="auto"/>
          <w:highlight w:val="none"/>
          <w:lang w:val="en-US" w:eastAsia="zh-CN"/>
        </w:rPr>
        <w:t>一-1</w:t>
      </w:r>
      <w:r>
        <w:rPr>
          <w:rFonts w:hint="eastAsia" w:ascii="Arial" w:hAnsi="Arial" w:cs="Arial"/>
          <w:color w:val="auto"/>
          <w:highlight w:val="none"/>
        </w:rPr>
        <w:t xml:space="preserve"> </w:t>
      </w:r>
      <w:r>
        <w:rPr>
          <w:rFonts w:hint="eastAsia" w:ascii="Arial" w:hAnsi="Arial" w:cs="Arial"/>
          <w:color w:val="auto"/>
          <w:highlight w:val="none"/>
          <w:lang w:val="en-US" w:eastAsia="zh-CN"/>
        </w:rPr>
        <w:t>开标</w:t>
      </w:r>
      <w:r>
        <w:rPr>
          <w:rFonts w:hint="eastAsia" w:ascii="Arial" w:hAnsi="Arial" w:cs="Arial"/>
          <w:color w:val="auto"/>
          <w:highlight w:val="none"/>
        </w:rPr>
        <w:t>一览表”</w:t>
      </w:r>
      <w:r>
        <w:rPr>
          <w:rFonts w:hint="eastAsia"/>
          <w:color w:val="auto"/>
          <w:highlight w:val="none"/>
        </w:rPr>
        <w:t xml:space="preserve"> </w:t>
      </w:r>
      <w:r>
        <w:rPr>
          <w:rFonts w:hint="eastAsia"/>
          <w:color w:val="auto"/>
          <w:highlight w:val="none"/>
          <w:lang w:eastAsia="zh-CN"/>
        </w:rPr>
        <w:t>投标</w:t>
      </w:r>
      <w:r>
        <w:rPr>
          <w:rFonts w:hint="eastAsia"/>
          <w:color w:val="auto"/>
          <w:highlight w:val="none"/>
          <w:lang w:val="en-US" w:eastAsia="zh-CN"/>
        </w:rPr>
        <w:t>报价</w:t>
      </w:r>
      <w:r>
        <w:rPr>
          <w:rFonts w:hint="eastAsia" w:ascii="Arial" w:hAnsi="Arial" w:cs="Arial"/>
          <w:color w:val="auto"/>
          <w:highlight w:val="none"/>
        </w:rPr>
        <w:t>相一致。</w:t>
      </w: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3"/>
        <w:numPr>
          <w:ilvl w:val="1"/>
          <w:numId w:val="0"/>
        </w:numPr>
        <w:tabs>
          <w:tab w:val="left" w:pos="840"/>
        </w:tabs>
        <w:spacing w:before="0" w:after="156" w:afterLines="50" w:line="400" w:lineRule="exact"/>
        <w:jc w:val="center"/>
        <w:rPr>
          <w:rFonts w:hint="eastAsia" w:ascii="宋体" w:hAnsi="宋体" w:eastAsia="宋体" w:cs="宋体"/>
          <w:b/>
          <w:color w:val="auto"/>
          <w:sz w:val="28"/>
          <w:szCs w:val="28"/>
          <w:highlight w:val="none"/>
        </w:rPr>
      </w:pPr>
      <w:r>
        <w:rPr>
          <w:rFonts w:hint="eastAsia" w:ascii="宋体" w:hAnsi="宋体" w:eastAsia="宋体" w:cs="宋体"/>
          <w:b/>
          <w:bCs w:val="0"/>
          <w:color w:val="auto"/>
          <w:kern w:val="2"/>
          <w:sz w:val="28"/>
          <w:szCs w:val="28"/>
          <w:highlight w:val="none"/>
          <w:lang w:val="en-US" w:eastAsia="zh-CN"/>
        </w:rPr>
        <w:br w:type="page"/>
      </w:r>
      <w:r>
        <w:rPr>
          <w:rFonts w:hint="eastAsia" w:ascii="宋体" w:hAnsi="宋体" w:eastAsia="宋体" w:cs="宋体"/>
          <w:b/>
          <w:bCs/>
          <w:color w:val="auto"/>
          <w:sz w:val="28"/>
          <w:szCs w:val="28"/>
          <w:highlight w:val="none"/>
          <w:lang w:val="en-US" w:eastAsia="zh-CN"/>
        </w:rPr>
        <w:t>二</w:t>
      </w:r>
      <w:bookmarkEnd w:id="833"/>
      <w:bookmarkEnd w:id="834"/>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color w:val="auto"/>
          <w:sz w:val="28"/>
          <w:szCs w:val="28"/>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采购人</w:t>
      </w:r>
      <w:r>
        <w:rPr>
          <w:rFonts w:hint="eastAsia" w:ascii="仿宋_GB2312" w:hAnsi="宋体" w:eastAsia="仿宋_GB2312"/>
          <w:color w:val="auto"/>
          <w:sz w:val="24"/>
          <w:highlight w:val="none"/>
          <w:u w:val="single"/>
        </w:rPr>
        <w:t>）</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u w:val="single"/>
        </w:rPr>
        <w:t xml:space="preserve"> </w:t>
      </w:r>
      <w:r>
        <w:rPr>
          <w:rFonts w:hint="eastAsia"/>
          <w:color w:val="auto"/>
          <w:highlight w:val="none"/>
          <w:u w:val="single"/>
          <w:lang w:val="en-US" w:eastAsia="zh-CN"/>
        </w:rPr>
        <w:t>肠胃镜设备</w:t>
      </w:r>
      <w:r>
        <w:rPr>
          <w:rFonts w:ascii="仿宋_GB2312" w:hAnsi="宋体" w:eastAsia="仿宋_GB2312"/>
          <w:color w:val="auto"/>
          <w:sz w:val="24"/>
          <w:highlight w:val="none"/>
          <w:u w:val="single"/>
        </w:rPr>
        <w:t xml:space="preserve"> </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rPr>
          <w:color w:val="auto"/>
          <w:highlight w:val="none"/>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hint="eastAsia"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hint="eastAsia" w:ascii="仿宋_GB2312" w:hAnsi="宋体" w:eastAsia="仿宋_GB2312"/>
          <w:color w:val="auto"/>
          <w:sz w:val="18"/>
          <w:szCs w:val="18"/>
          <w:highlight w:val="none"/>
        </w:rPr>
      </w:pP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p>
    <w:p>
      <w:pPr>
        <w:numPr>
          <w:ilvl w:val="0"/>
          <w:numId w:val="0"/>
        </w:numPr>
        <w:spacing w:line="360" w:lineRule="auto"/>
        <w:ind w:right="42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p>
    <w:p>
      <w:pPr>
        <w:numPr>
          <w:ilvl w:val="0"/>
          <w:numId w:val="0"/>
        </w:num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420" w:firstLine="420" w:firstLineChars="200"/>
        <w:textAlignment w:val="auto"/>
        <w:rPr>
          <w:rFonts w:hint="eastAsia" w:ascii="宋体" w:hAnsi="宋体" w:eastAsia="宋体" w:cs="宋体"/>
          <w:color w:val="auto"/>
          <w:sz w:val="21"/>
          <w:szCs w:val="21"/>
          <w:highlight w:val="none"/>
        </w:rPr>
      </w:pPr>
    </w:p>
    <w:p>
      <w:pPr>
        <w:keepNext/>
        <w:keepLines/>
        <w:pageBreakBefore w:val="0"/>
        <w:widowControl w:val="0"/>
        <w:numPr>
          <w:ilvl w:val="0"/>
          <w:numId w:val="0"/>
        </w:numPr>
        <w:tabs>
          <w:tab w:val="left" w:pos="840"/>
        </w:tabs>
        <w:kinsoku/>
        <w:wordWrap/>
        <w:overflowPunct/>
        <w:topLinePunct w:val="0"/>
        <w:autoSpaceDE/>
        <w:autoSpaceDN/>
        <w:bidi w:val="0"/>
        <w:adjustRightInd/>
        <w:snapToGrid/>
        <w:spacing w:before="0" w:after="156" w:afterLines="50" w:line="400" w:lineRule="exact"/>
        <w:ind w:left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lang w:val="en-US" w:eastAsia="zh-CN"/>
        </w:rPr>
        <w:t>中小企业划型标准</w:t>
      </w:r>
      <w:r>
        <w:rPr>
          <w:rFonts w:hint="eastAsia" w:ascii="Times New Roman" w:hAnsi="Times New Roman" w:eastAsia="宋体" w:cs="宋体"/>
          <w:caps w:val="0"/>
          <w:color w:val="auto"/>
          <w:highlight w:val="none"/>
        </w:rPr>
        <w:drawing>
          <wp:anchor distT="0" distB="0" distL="114300" distR="114300" simplePos="0" relativeHeight="251660288" behindDoc="1" locked="0" layoutInCell="1" allowOverlap="1">
            <wp:simplePos x="0" y="0"/>
            <wp:positionH relativeFrom="column">
              <wp:posOffset>-21590</wp:posOffset>
            </wp:positionH>
            <wp:positionV relativeFrom="page">
              <wp:posOffset>1274445</wp:posOffset>
            </wp:positionV>
            <wp:extent cx="5498465" cy="8139430"/>
            <wp:effectExtent l="0" t="0" r="6985" b="13970"/>
            <wp:wrapTight wrapText="bothSides">
              <wp:wrapPolygon>
                <wp:start x="21592" y="-2"/>
                <wp:lineTo x="0" y="0"/>
                <wp:lineTo x="0" y="21600"/>
                <wp:lineTo x="21592" y="21602"/>
                <wp:lineTo x="8" y="21602"/>
                <wp:lineTo x="21600" y="21600"/>
                <wp:lineTo x="21600" y="0"/>
                <wp:lineTo x="8" y="-2"/>
                <wp:lineTo x="21592" y="-2"/>
              </wp:wrapPolygon>
            </wp:wrapTight>
            <wp:docPr id="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7"/>
                    <pic:cNvPicPr>
                      <a:picLocks noChangeAspect="1"/>
                    </pic:cNvPicPr>
                  </pic:nvPicPr>
                  <pic:blipFill>
                    <a:blip r:embed="rId22"/>
                    <a:stretch>
                      <a:fillRect/>
                    </a:stretch>
                  </pic:blipFill>
                  <pic:spPr>
                    <a:xfrm>
                      <a:off x="0" y="0"/>
                      <a:ext cx="5498465" cy="8139430"/>
                    </a:xfrm>
                    <a:prstGeom prst="rect">
                      <a:avLst/>
                    </a:prstGeom>
                    <a:noFill/>
                    <a:ln>
                      <a:noFill/>
                    </a:ln>
                  </pic:spPr>
                </pic:pic>
              </a:graphicData>
            </a:graphic>
          </wp:anchor>
        </w:drawing>
      </w: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lang w:val="en-US" w:eastAsia="zh-CN"/>
        </w:rPr>
        <w:t xml:space="preserve">二-2 </w:t>
      </w:r>
      <w:r>
        <w:rPr>
          <w:rFonts w:hint="eastAsia" w:ascii="宋体" w:hAnsi="宋体" w:eastAsia="宋体" w:cs="宋体"/>
          <w:b/>
          <w:bCs/>
          <w:color w:val="auto"/>
          <w:sz w:val="28"/>
          <w:szCs w:val="28"/>
          <w:highlight w:val="none"/>
        </w:rPr>
        <w:t>残疾人福利性单位声明函</w:t>
      </w:r>
    </w:p>
    <w:p>
      <w:pPr>
        <w:spacing w:line="360" w:lineRule="auto"/>
        <w:rPr>
          <w:rFonts w:ascii="仿宋_GB2312" w:hAnsi="仿宋" w:eastAsia="仿宋_GB2312"/>
          <w:b/>
          <w:color w:val="auto"/>
          <w:spacing w:val="6"/>
          <w:sz w:val="30"/>
          <w:szCs w:val="30"/>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sz w:val="21"/>
          <w:szCs w:val="21"/>
          <w:highlight w:val="none"/>
          <w:u w:val="single"/>
        </w:rPr>
        <w:t>__</w:t>
      </w:r>
      <w:r>
        <w:rPr>
          <w:rFonts w:hint="eastAsia" w:ascii="宋体" w:hAnsi="宋体" w:eastAsia="宋体" w:cs="宋体"/>
          <w:b w:val="0"/>
          <w:bCs w:val="0"/>
          <w:color w:val="auto"/>
          <w:sz w:val="21"/>
          <w:szCs w:val="21"/>
          <w:highlight w:val="none"/>
          <w:u w:val="single"/>
          <w:lang w:val="en-US" w:eastAsia="zh-CN"/>
        </w:rPr>
        <w:t>(采购人)</w:t>
      </w:r>
      <w:r>
        <w:rPr>
          <w:rFonts w:hint="eastAsia" w:ascii="宋体" w:hAnsi="宋体" w:eastAsia="宋体" w:cs="宋体"/>
          <w:b w:val="0"/>
          <w:bCs w:val="0"/>
          <w:color w:val="auto"/>
          <w:sz w:val="21"/>
          <w:szCs w:val="21"/>
          <w:highlight w:val="none"/>
          <w:u w:val="single"/>
        </w:rPr>
        <w:t>___</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项目编号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pPr>
        <w:keepNext w:val="0"/>
        <w:keepLines w:val="0"/>
        <w:pageBreakBefore w:val="0"/>
        <w:widowControl w:val="0"/>
        <w:tabs>
          <w:tab w:val="left" w:pos="4860"/>
        </w:tabs>
        <w:kinsoku/>
        <w:wordWrap/>
        <w:overflowPunct/>
        <w:topLinePunct w:val="0"/>
        <w:autoSpaceDE/>
        <w:autoSpaceDN/>
        <w:bidi w:val="0"/>
        <w:adjustRightInd/>
        <w:snapToGrid/>
        <w:spacing w:line="360" w:lineRule="auto"/>
        <w:ind w:left="0" w:leftChars="0" w:right="1559"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keepNext w:val="0"/>
        <w:keepLines w:val="0"/>
        <w:pageBreakBefore w:val="0"/>
        <w:widowControl w:val="0"/>
        <w:tabs>
          <w:tab w:val="left" w:pos="4860"/>
        </w:tabs>
        <w:kinsoku/>
        <w:wordWrap/>
        <w:overflowPunct/>
        <w:topLinePunct w:val="0"/>
        <w:autoSpaceDE/>
        <w:autoSpaceDN/>
        <w:bidi w:val="0"/>
        <w:adjustRightInd/>
        <w:snapToGrid/>
        <w:spacing w:line="360" w:lineRule="auto"/>
        <w:ind w:left="0" w:leftChars="0" w:right="1559" w:firstLine="0" w:firstLineChars="0"/>
        <w:jc w:val="center"/>
        <w:textAlignment w:val="auto"/>
        <w:outlineLvl w:val="0"/>
        <w:rPr>
          <w:rFonts w:hint="eastAsia" w:ascii="宋体" w:hAnsi="宋体" w:eastAsia="宋体" w:cs="宋体"/>
          <w:b/>
          <w:color w:val="auto"/>
          <w:sz w:val="28"/>
          <w:szCs w:val="36"/>
          <w:highlight w:val="none"/>
        </w:rPr>
      </w:pPr>
      <w:r>
        <w:rPr>
          <w:rFonts w:hint="eastAsia" w:ascii="宋体" w:hAnsi="宋体" w:eastAsia="宋体" w:cs="宋体"/>
          <w:b/>
          <w:color w:val="auto"/>
          <w:kern w:val="0"/>
          <w:sz w:val="28"/>
          <w:szCs w:val="28"/>
          <w:highlight w:val="none"/>
        </w:rPr>
        <w:br w:type="page"/>
      </w:r>
      <w:bookmarkStart w:id="835" w:name="_Toc30552"/>
      <w:bookmarkStart w:id="836" w:name="_Toc7815"/>
      <w:bookmarkStart w:id="837" w:name="_Toc6014"/>
      <w:r>
        <w:rPr>
          <w:rFonts w:hint="eastAsia" w:ascii="宋体" w:hAnsi="宋体" w:eastAsia="宋体" w:cs="宋体"/>
          <w:b/>
          <w:color w:val="auto"/>
          <w:kern w:val="44"/>
          <w:sz w:val="28"/>
          <w:szCs w:val="36"/>
          <w:highlight w:val="none"/>
          <w:lang w:val="en-US" w:eastAsia="zh-CN" w:bidi="ar-SA"/>
        </w:rPr>
        <w:t>第七部分 实质性响应条款及无效标条款</w:t>
      </w:r>
      <w:bookmarkEnd w:id="835"/>
      <w:bookmarkEnd w:id="836"/>
      <w:bookmarkEnd w:id="837"/>
    </w:p>
    <w:p>
      <w:pPr>
        <w:pStyle w:val="26"/>
        <w:widowControl/>
        <w:numPr>
          <w:ilvl w:val="0"/>
          <w:numId w:val="17"/>
        </w:numPr>
        <w:spacing w:line="360" w:lineRule="auto"/>
        <w:ind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实质性条款</w:t>
      </w:r>
    </w:p>
    <w:p>
      <w:pPr>
        <w:widowControl/>
        <w:numPr>
          <w:ilvl w:val="0"/>
          <w:numId w:val="18"/>
        </w:numPr>
        <w:tabs>
          <w:tab w:val="left" w:pos="0"/>
        </w:tabs>
        <w:spacing w:line="360" w:lineRule="auto"/>
        <w:ind w:left="5" w:firstLine="415" w:firstLineChars="19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预算金额（最高限价）：</w:t>
      </w:r>
      <w:r>
        <w:rPr>
          <w:rFonts w:hint="eastAsia" w:ascii="宋体" w:hAnsi="宋体" w:cs="宋体"/>
          <w:b/>
          <w:bCs/>
          <w:color w:val="auto"/>
          <w:sz w:val="21"/>
          <w:szCs w:val="21"/>
          <w:highlight w:val="none"/>
          <w:lang w:val="en-US" w:eastAsia="zh-CN"/>
        </w:rPr>
        <w:t>280</w:t>
      </w:r>
      <w:r>
        <w:rPr>
          <w:rFonts w:hint="eastAsia" w:ascii="宋体" w:hAnsi="宋体" w:eastAsia="宋体" w:cs="宋体"/>
          <w:b/>
          <w:bCs/>
          <w:color w:val="auto"/>
          <w:sz w:val="21"/>
          <w:szCs w:val="21"/>
          <w:highlight w:val="none"/>
          <w:lang w:val="en-US" w:eastAsia="zh-CN"/>
        </w:rPr>
        <w:t>万元。</w:t>
      </w:r>
    </w:p>
    <w:p>
      <w:pPr>
        <w:widowControl/>
        <w:numPr>
          <w:ilvl w:val="0"/>
          <w:numId w:val="18"/>
        </w:numPr>
        <w:tabs>
          <w:tab w:val="left" w:pos="0"/>
        </w:tabs>
        <w:spacing w:line="360" w:lineRule="auto"/>
        <w:ind w:left="5"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申请人的资格要求</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lang w:eastAsia="zh-CN"/>
        </w:rPr>
        <w:t>。</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2.落实政府采购政策需满足的资格要求：</w:t>
      </w:r>
      <w:r>
        <w:rPr>
          <w:rFonts w:hint="eastAsia" w:ascii="宋体" w:hAnsi="宋体" w:eastAsia="宋体" w:cs="宋体"/>
          <w:b/>
          <w:bCs/>
          <w:color w:val="auto"/>
          <w:sz w:val="21"/>
          <w:szCs w:val="21"/>
          <w:highlight w:val="none"/>
          <w:lang w:eastAsia="zh-CN"/>
        </w:rPr>
        <w:t>无</w:t>
      </w:r>
      <w:r>
        <w:rPr>
          <w:rFonts w:hint="eastAsia" w:ascii="宋体" w:hAnsi="宋体" w:eastAsia="宋体" w:cs="宋体"/>
          <w:b/>
          <w:bCs/>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3.本项目的特定资格要求：</w:t>
      </w:r>
      <w:r>
        <w:rPr>
          <w:rFonts w:hint="eastAsia" w:ascii="宋体" w:hAnsi="宋体" w:eastAsia="宋体" w:cs="宋体"/>
          <w:b/>
          <w:bCs/>
          <w:color w:val="auto"/>
          <w:sz w:val="21"/>
          <w:szCs w:val="21"/>
          <w:highlight w:val="none"/>
          <w:lang w:val="en-US" w:eastAsia="zh-CN"/>
        </w:rPr>
        <w:t>无</w:t>
      </w:r>
      <w:r>
        <w:rPr>
          <w:rFonts w:hint="eastAsia" w:ascii="宋体" w:hAnsi="宋体" w:eastAsia="宋体" w:cs="宋体"/>
          <w:b/>
          <w:bCs/>
          <w:color w:val="auto"/>
          <w:sz w:val="21"/>
          <w:szCs w:val="21"/>
          <w:highlight w:val="none"/>
          <w:u w:val="none"/>
        </w:rPr>
        <w:t>。</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交货期</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rPr>
        <w:t>合同签订后30个工作日内到货，货物必须是2023年6月1日后生产。</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▲保修期：投标产品验收合格后保修</w:t>
      </w:r>
      <w:r>
        <w:rPr>
          <w:rFonts w:hint="eastAsia" w:ascii="宋体" w:hAnsi="宋体" w:cs="宋体"/>
          <w:b w:val="0"/>
          <w:bCs w:val="0"/>
          <w:color w:val="auto"/>
          <w:sz w:val="21"/>
          <w:szCs w:val="21"/>
          <w:highlight w:val="none"/>
          <w:lang w:val="en-US" w:eastAsia="zh-CN"/>
        </w:rPr>
        <w:t>≥3年</w:t>
      </w:r>
      <w:r>
        <w:rPr>
          <w:rFonts w:hint="eastAsia" w:ascii="宋体" w:hAnsi="宋体" w:eastAsia="宋体" w:cs="宋体"/>
          <w:b w:val="0"/>
          <w:bCs w:val="0"/>
          <w:color w:val="auto"/>
          <w:sz w:val="21"/>
          <w:szCs w:val="21"/>
          <w:highlight w:val="none"/>
          <w:lang w:val="en-US" w:eastAsia="zh-CN"/>
        </w:rPr>
        <w:t>（包含所有易耗件），投标时提供制造商原厂保修证明。整机终生免费提供软件功能升级服务，并及时提供设备新功能和临床应用的资料。零配件在该设备停产后仍需保证10年的供应。</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《符合参加政府采购活动应当具备的一般条件的承诺函》</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《投标函》</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《开标一览表》</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▲投标人为医疗器械生产企业的：第二类、第三类医疗器械生产企业提供《医疗器械生产许可证》、第一类医疗器械生产企业提供第一类医疗器械生产备案凭证；</w:t>
      </w:r>
    </w:p>
    <w:p>
      <w:pPr>
        <w:widowControl/>
        <w:numPr>
          <w:numId w:val="0"/>
        </w:numPr>
        <w:tabs>
          <w:tab w:val="left" w:pos="0"/>
        </w:tabs>
        <w:spacing w:line="360" w:lineRule="auto"/>
        <w:ind w:left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投标人为医疗器械经营企业的：第三类医疗器械经营企业提供《医疗器械经营许可证》、第二类医疗器械经营企业提供第二类医疗器械经营备案凭证；</w:t>
      </w:r>
    </w:p>
    <w:p>
      <w:pPr>
        <w:widowControl/>
        <w:numPr>
          <w:ilvl w:val="0"/>
          <w:numId w:val="18"/>
        </w:numPr>
        <w:tabs>
          <w:tab w:val="left" w:pos="0"/>
        </w:tabs>
        <w:spacing w:line="360" w:lineRule="auto"/>
        <w:ind w:left="5" w:firstLine="413" w:firstLineChars="1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▲提供食品药品监督管理部门核发的完整有效的医疗器械注册或备案证明； </w:t>
      </w:r>
    </w:p>
    <w:p>
      <w:pPr>
        <w:widowControl/>
        <w:numPr>
          <w:ilvl w:val="0"/>
          <w:numId w:val="18"/>
        </w:numPr>
        <w:tabs>
          <w:tab w:val="left" w:pos="0"/>
        </w:tabs>
        <w:spacing w:line="360" w:lineRule="auto"/>
        <w:ind w:left="5" w:firstLine="413" w:firstLineChars="197"/>
        <w:rPr>
          <w:rFonts w:hint="eastAsia"/>
          <w:color w:val="auto"/>
          <w:highlight w:val="none"/>
          <w:lang w:val="en-US" w:eastAsia="zh-CN"/>
        </w:rPr>
      </w:pPr>
      <w:r>
        <w:rPr>
          <w:rFonts w:hint="eastAsia"/>
          <w:color w:val="auto"/>
          <w:highlight w:val="none"/>
          <w:lang w:val="en-US" w:eastAsia="zh-CN"/>
        </w:rPr>
        <w:t>参数要求</w:t>
      </w:r>
    </w:p>
    <w:tbl>
      <w:tblPr>
        <w:tblStyle w:val="38"/>
        <w:tblW w:w="8739"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66" w:type="dxa"/>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673" w:type="dxa"/>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主要性能参数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6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ascii="宋体" w:hAnsi="宋体"/>
                <w:color w:val="000000"/>
                <w:sz w:val="24"/>
              </w:rPr>
              <w:t>10</w:t>
            </w:r>
          </w:p>
        </w:tc>
        <w:tc>
          <w:tcPr>
            <w:tcW w:w="7673" w:type="dxa"/>
            <w:noWrap w:val="0"/>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若设备有信息系统数据接口，需全部免费开放，能联接HIS、LIS、PACS等医院现有相关系统，实现互联互通。涉及到的所有接口费用（HIS、LIS、PACS等系统双向接口）均已包含在投标总价内。</w:t>
            </w:r>
          </w:p>
        </w:tc>
      </w:tr>
    </w:tbl>
    <w:p>
      <w:pPr>
        <w:pStyle w:val="6"/>
        <w:spacing w:line="360" w:lineRule="auto"/>
        <w:ind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必须对以上内容作出实质性响应，否则视作无效投标，如</w:t>
      </w:r>
      <w:r>
        <w:rPr>
          <w:rFonts w:hint="eastAsia" w:ascii="宋体" w:hAnsi="宋体" w:eastAsia="宋体" w:cs="宋体"/>
          <w:b/>
          <w:bCs/>
          <w:color w:val="auto"/>
          <w:sz w:val="21"/>
          <w:szCs w:val="21"/>
          <w:highlight w:val="none"/>
          <w:lang w:eastAsia="zh-CN"/>
        </w:rPr>
        <w:t>上述</w:t>
      </w:r>
      <w:r>
        <w:rPr>
          <w:rFonts w:hint="eastAsia" w:ascii="宋体" w:hAnsi="宋体" w:eastAsia="宋体" w:cs="宋体"/>
          <w:b/>
          <w:bCs/>
          <w:color w:val="auto"/>
          <w:sz w:val="21"/>
          <w:szCs w:val="21"/>
          <w:highlight w:val="none"/>
        </w:rPr>
        <w:t>实质性条款有所遗漏，以</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文件</w:t>
      </w:r>
      <w:r>
        <w:rPr>
          <w:rFonts w:hint="eastAsia" w:ascii="宋体" w:hAnsi="宋体" w:eastAsia="宋体" w:cs="宋体"/>
          <w:b/>
          <w:bCs/>
          <w:color w:val="auto"/>
          <w:sz w:val="21"/>
          <w:szCs w:val="21"/>
          <w:highlight w:val="none"/>
        </w:rPr>
        <w:t>中标识“▲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为准。若评标委员会认为其他有关技术及商务部分存在重大负偏离，将可能做无效投标处理。</w:t>
      </w:r>
    </w:p>
    <w:p>
      <w:pPr>
        <w:pStyle w:val="26"/>
        <w:widowControl/>
        <w:numPr>
          <w:ilvl w:val="0"/>
          <w:numId w:val="17"/>
        </w:numPr>
        <w:spacing w:line="360" w:lineRule="auto"/>
        <w:ind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无效标条款</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投标人不具备招标文件中规定的资格要求的（投标人未提供有效的资格文件的，视为投标人不具备招标文件中规定的资格要求）；</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投标文件未按照招标文件要求签署、盖章的；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文件为授权代表签署的而未提供有效的法定代表人授权书的；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投标文件含有采购人不能接受的附加条件的；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投标文件中承诺的投标有效期少于招标文件中载明的投标有效期的；</w:t>
      </w:r>
    </w:p>
    <w:p>
      <w:pPr>
        <w:numPr>
          <w:ilvl w:val="0"/>
          <w:numId w:val="19"/>
        </w:numPr>
        <w:snapToGrid w:val="0"/>
        <w:spacing w:line="360" w:lineRule="auto"/>
        <w:ind w:left="5" w:leftChars="0" w:firstLine="41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投标文件出现不是唯一的、有选择性投标报价的</w:t>
      </w:r>
      <w:r>
        <w:rPr>
          <w:rFonts w:hint="eastAsia" w:ascii="宋体" w:hAnsi="宋体" w:eastAsia="宋体" w:cs="宋体"/>
          <w:color w:val="auto"/>
          <w:kern w:val="0"/>
          <w:sz w:val="21"/>
          <w:szCs w:val="21"/>
          <w:highlight w:val="none"/>
          <w:lang w:eastAsia="zh-CN"/>
        </w:rPr>
        <w:t>；</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投标报价超过招标文件中规定的预算金额或者最高限价的</w:t>
      </w:r>
      <w:r>
        <w:rPr>
          <w:rFonts w:hint="eastAsia" w:ascii="宋体" w:hAnsi="宋体" w:eastAsia="宋体" w:cs="宋体"/>
          <w:color w:val="auto"/>
          <w:kern w:val="0"/>
          <w:sz w:val="21"/>
          <w:szCs w:val="21"/>
          <w:highlight w:val="none"/>
          <w:lang w:eastAsia="zh-CN"/>
        </w:rPr>
        <w:t>；</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投标人对根据修正原则修正后的报价不确认的；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投标人提供虚假材料投标的；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投标人仅提交备份投标文件，没有在电子交易平台传输递交投标文件的，投标无效；</w:t>
      </w:r>
    </w:p>
    <w:p>
      <w:pPr>
        <w:numPr>
          <w:ilvl w:val="0"/>
          <w:numId w:val="19"/>
        </w:numPr>
        <w:spacing w:line="360" w:lineRule="auto"/>
        <w:ind w:left="5" w:leftChars="0" w:firstLine="415" w:firstLineChars="0"/>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投标文件不满足招标文件的其它实质性要求的；</w:t>
      </w:r>
    </w:p>
    <w:p>
      <w:pPr>
        <w:numPr>
          <w:ilvl w:val="0"/>
          <w:numId w:val="19"/>
        </w:numPr>
        <w:spacing w:line="360" w:lineRule="auto"/>
        <w:ind w:left="5" w:leftChars="0" w:firstLine="415"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pPr>
        <w:pStyle w:val="26"/>
        <w:widowControl/>
        <w:numPr>
          <w:ilvl w:val="0"/>
          <w:numId w:val="17"/>
        </w:numPr>
        <w:spacing w:line="360" w:lineRule="auto"/>
        <w:ind w:leftChars="0"/>
        <w:rPr>
          <w:rFonts w:hint="eastAsia" w:ascii="宋体" w:hAnsi="宋体" w:eastAsia="宋体" w:cs="宋体"/>
          <w:b/>
          <w:bCs/>
          <w:color w:val="auto"/>
          <w:kern w:val="0"/>
          <w:sz w:val="21"/>
          <w:szCs w:val="21"/>
          <w:highlight w:val="none"/>
          <w:lang w:val="en-US"/>
        </w:rPr>
      </w:pPr>
      <w:r>
        <w:rPr>
          <w:rFonts w:hint="eastAsia" w:ascii="宋体" w:hAnsi="宋体" w:eastAsia="宋体" w:cs="宋体"/>
          <w:b/>
          <w:color w:val="auto"/>
          <w:kern w:val="0"/>
          <w:sz w:val="21"/>
          <w:szCs w:val="21"/>
          <w:highlight w:val="none"/>
          <w:lang w:val="en-US" w:eastAsia="zh-CN" w:bidi="ar-SA"/>
        </w:rPr>
        <w:t>有下列情形之一的，视为投标人串通投标，其投标无效：</w:t>
      </w:r>
    </w:p>
    <w:p>
      <w:pPr>
        <w:numPr>
          <w:ilvl w:val="0"/>
          <w:numId w:val="20"/>
        </w:numPr>
        <w:spacing w:line="360" w:lineRule="auto"/>
        <w:ind w:left="5" w:leftChars="0" w:firstLine="415" w:firstLineChars="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不同投标人的投标文件由同一单位或者个人编制；</w:t>
      </w:r>
    </w:p>
    <w:p>
      <w:pPr>
        <w:numPr>
          <w:ilvl w:val="0"/>
          <w:numId w:val="20"/>
        </w:numPr>
        <w:spacing w:line="360" w:lineRule="auto"/>
        <w:ind w:left="5" w:leftChars="0" w:firstLine="415" w:firstLineChars="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不同投标人委托同一单位或者个人办理投标事宜；</w:t>
      </w:r>
    </w:p>
    <w:p>
      <w:pPr>
        <w:numPr>
          <w:ilvl w:val="0"/>
          <w:numId w:val="20"/>
        </w:numPr>
        <w:spacing w:line="360" w:lineRule="auto"/>
        <w:ind w:left="5" w:leftChars="0" w:firstLine="415" w:firstLineChars="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不同投标人的投标文件载明的项目管理成员或者联系人员为同一人；</w:t>
      </w:r>
    </w:p>
    <w:p>
      <w:pPr>
        <w:numPr>
          <w:ilvl w:val="0"/>
          <w:numId w:val="20"/>
        </w:numPr>
        <w:spacing w:line="360" w:lineRule="auto"/>
        <w:ind w:left="5" w:leftChars="0" w:firstLine="415" w:firstLineChars="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不同投标人的投标文件异常一致或者投标报价呈规律性差异；</w:t>
      </w:r>
    </w:p>
    <w:p>
      <w:pPr>
        <w:numPr>
          <w:ilvl w:val="0"/>
          <w:numId w:val="20"/>
        </w:numPr>
        <w:spacing w:line="360" w:lineRule="auto"/>
        <w:ind w:left="5" w:leftChars="0" w:firstLine="415" w:firstLineChars="0"/>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不同投标人的投标文件相互混装；</w:t>
      </w:r>
    </w:p>
    <w:p>
      <w:pPr>
        <w:numPr>
          <w:ilvl w:val="0"/>
          <w:numId w:val="20"/>
        </w:numPr>
        <w:spacing w:line="360" w:lineRule="auto"/>
        <w:ind w:left="5" w:leftChars="0" w:firstLine="415" w:firstLineChars="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kern w:val="0"/>
          <w:sz w:val="21"/>
          <w:szCs w:val="21"/>
          <w:highlight w:val="none"/>
          <w:lang w:val="en-US" w:eastAsia="zh-CN"/>
        </w:rPr>
        <w:t>法律、法规或规章规定的其他串通行为。</w:t>
      </w:r>
    </w:p>
    <w:p>
      <w:pPr>
        <w:widowControl w:val="0"/>
        <w:adjustRightInd/>
        <w:spacing w:line="360" w:lineRule="auto"/>
        <w:jc w:val="both"/>
        <w:textAlignment w:val="auto"/>
        <w:rPr>
          <w:rFonts w:hint="eastAsia"/>
          <w:color w:val="auto"/>
          <w:highlight w:val="none"/>
        </w:rPr>
      </w:pPr>
    </w:p>
    <w:p>
      <w:pPr>
        <w:pStyle w:val="6"/>
        <w:spacing w:line="360" w:lineRule="auto"/>
        <w:ind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如</w:t>
      </w:r>
      <w:r>
        <w:rPr>
          <w:rFonts w:hint="eastAsia" w:ascii="宋体" w:hAnsi="宋体" w:cs="宋体"/>
          <w:b/>
          <w:bCs/>
          <w:color w:val="auto"/>
          <w:szCs w:val="21"/>
          <w:highlight w:val="none"/>
          <w:lang w:eastAsia="zh-CN"/>
        </w:rPr>
        <w:t>上述</w:t>
      </w:r>
      <w:r>
        <w:rPr>
          <w:rFonts w:hint="eastAsia" w:ascii="宋体" w:hAnsi="宋体" w:cs="宋体"/>
          <w:b/>
          <w:bCs/>
          <w:color w:val="auto"/>
          <w:szCs w:val="21"/>
          <w:highlight w:val="none"/>
          <w:lang w:val="en-US" w:eastAsia="zh-CN"/>
        </w:rPr>
        <w:t>无效标</w:t>
      </w:r>
      <w:r>
        <w:rPr>
          <w:rFonts w:hint="eastAsia" w:ascii="宋体" w:hAnsi="宋体" w:cs="宋体"/>
          <w:b/>
          <w:bCs/>
          <w:color w:val="auto"/>
          <w:szCs w:val="21"/>
          <w:highlight w:val="none"/>
        </w:rPr>
        <w:t>条款有所遗漏，以</w:t>
      </w:r>
      <w:r>
        <w:rPr>
          <w:rFonts w:hint="eastAsia" w:ascii="宋体" w:hAnsi="宋体" w:cs="宋体"/>
          <w:b/>
          <w:bCs/>
          <w:color w:val="auto"/>
          <w:szCs w:val="21"/>
          <w:highlight w:val="none"/>
          <w:lang w:val="en-US" w:eastAsia="zh-CN"/>
        </w:rPr>
        <w:t>招标</w:t>
      </w:r>
      <w:r>
        <w:rPr>
          <w:rFonts w:hint="eastAsia" w:ascii="宋体" w:hAnsi="宋体" w:cs="宋体"/>
          <w:b/>
          <w:bCs/>
          <w:color w:val="auto"/>
          <w:szCs w:val="21"/>
          <w:highlight w:val="none"/>
          <w:lang w:eastAsia="zh-CN"/>
        </w:rPr>
        <w:t>文件</w:t>
      </w:r>
      <w:r>
        <w:rPr>
          <w:rFonts w:hint="eastAsia" w:ascii="宋体" w:hAnsi="宋体" w:cs="宋体"/>
          <w:b/>
          <w:bCs/>
          <w:color w:val="auto"/>
          <w:szCs w:val="21"/>
          <w:highlight w:val="none"/>
        </w:rPr>
        <w:t>中</w:t>
      </w:r>
      <w:r>
        <w:rPr>
          <w:rFonts w:hint="eastAsia" w:ascii="宋体" w:hAnsi="宋体" w:cs="宋体"/>
          <w:b/>
          <w:bCs/>
          <w:color w:val="auto"/>
          <w:szCs w:val="21"/>
          <w:highlight w:val="none"/>
          <w:lang w:val="en-US" w:eastAsia="zh-CN"/>
        </w:rPr>
        <w:t>表述</w:t>
      </w:r>
      <w:r>
        <w:rPr>
          <w:rFonts w:hint="eastAsia" w:ascii="宋体" w:hAnsi="宋体" w:cs="宋体"/>
          <w:b/>
          <w:bCs/>
          <w:color w:val="auto"/>
          <w:szCs w:val="21"/>
          <w:highlight w:val="none"/>
        </w:rPr>
        <w:t>为准。</w:t>
      </w: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pStyle w:val="2"/>
        <w:keepNext w:val="0"/>
        <w:keepLines w:val="0"/>
        <w:pageBreakBefore/>
        <w:tabs>
          <w:tab w:val="left" w:pos="840"/>
        </w:tabs>
        <w:spacing w:before="312" w:beforeLines="100" w:after="312" w:afterLines="100" w:line="400" w:lineRule="atLeast"/>
        <w:jc w:val="left"/>
        <w:rPr>
          <w:rFonts w:ascii="仿宋_GB2312" w:hAnsi="仿宋" w:eastAsia="仿宋_GB2312"/>
          <w:b/>
          <w:color w:val="auto"/>
          <w:spacing w:val="6"/>
          <w:sz w:val="32"/>
          <w:szCs w:val="32"/>
          <w:highlight w:val="none"/>
        </w:rPr>
      </w:pPr>
      <w:bookmarkStart w:id="838" w:name="_Toc26925"/>
      <w:bookmarkStart w:id="839" w:name="_Toc29270"/>
      <w:bookmarkStart w:id="840" w:name="_Toc21233"/>
      <w:r>
        <w:rPr>
          <w:rFonts w:hint="eastAsia" w:ascii="仿宋_GB2312" w:hAnsi="仿宋" w:eastAsia="仿宋_GB2312" w:cs="Times New Roman"/>
          <w:b/>
          <w:color w:val="auto"/>
          <w:spacing w:val="6"/>
          <w:kern w:val="2"/>
          <w:sz w:val="32"/>
          <w:szCs w:val="32"/>
          <w:highlight w:val="none"/>
          <w:lang w:val="en-US" w:eastAsia="zh-CN" w:bidi="ar-SA"/>
        </w:rPr>
        <w:t xml:space="preserve">其他附件：                                          </w:t>
      </w:r>
      <w:r>
        <w:rPr>
          <w:rFonts w:hint="eastAsia" w:ascii="仿宋_GB2312" w:hAnsi="仿宋" w:eastAsia="仿宋_GB2312"/>
          <w:b/>
          <w:color w:val="auto"/>
          <w:spacing w:val="6"/>
          <w:sz w:val="32"/>
          <w:szCs w:val="32"/>
          <w:highlight w:val="none"/>
        </w:rPr>
        <w:t>附</w:t>
      </w:r>
      <w:r>
        <w:rPr>
          <w:rFonts w:hint="eastAsia" w:ascii="仿宋_GB2312" w:hAnsi="仿宋" w:eastAsia="仿宋_GB2312"/>
          <w:b/>
          <w:color w:val="auto"/>
          <w:spacing w:val="6"/>
          <w:sz w:val="32"/>
          <w:szCs w:val="32"/>
          <w:highlight w:val="none"/>
          <w:lang w:val="en-US" w:eastAsia="zh-CN"/>
        </w:rPr>
        <w:t>件1</w:t>
      </w:r>
      <w:r>
        <w:rPr>
          <w:rFonts w:ascii="仿宋_GB2312" w:hAnsi="仿宋" w:eastAsia="仿宋_GB2312"/>
          <w:b/>
          <w:color w:val="auto"/>
          <w:spacing w:val="6"/>
          <w:sz w:val="32"/>
          <w:szCs w:val="32"/>
          <w:highlight w:val="none"/>
        </w:rPr>
        <w:t>：质疑函范本及制作说明</w:t>
      </w:r>
      <w:bookmarkEnd w:id="838"/>
      <w:bookmarkEnd w:id="839"/>
      <w:bookmarkEnd w:id="840"/>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keepNext w:val="0"/>
        <w:keepLines w:val="0"/>
        <w:pageBreakBefore/>
        <w:widowControl w:val="0"/>
        <w:tabs>
          <w:tab w:val="left" w:pos="840"/>
        </w:tabs>
        <w:kinsoku/>
        <w:wordWrap/>
        <w:overflowPunct/>
        <w:topLinePunct w:val="0"/>
        <w:autoSpaceDE/>
        <w:autoSpaceDN/>
        <w:bidi w:val="0"/>
        <w:adjustRightInd/>
        <w:snapToGrid/>
        <w:spacing w:before="312" w:beforeLines="100" w:after="312" w:afterLines="100" w:line="400" w:lineRule="atLeast"/>
        <w:jc w:val="left"/>
        <w:textAlignment w:val="auto"/>
        <w:outlineLvl w:val="9"/>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2</w:t>
      </w:r>
      <w:r>
        <w:rPr>
          <w:rFonts w:ascii="仿宋_GB2312" w:hAnsi="仿宋" w:eastAsia="仿宋_GB2312"/>
          <w:b/>
          <w:color w:val="auto"/>
          <w:spacing w:val="6"/>
          <w:sz w:val="32"/>
          <w:szCs w:val="32"/>
          <w:highlight w:val="none"/>
        </w:rPr>
        <w:t>：投诉书范本及制作说明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b/>
          <w:color w:val="auto"/>
          <w:spacing w:val="6"/>
          <w:sz w:val="32"/>
          <w:szCs w:val="32"/>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r>
        <w:rPr>
          <w:rFonts w:ascii="仿宋_GB2312" w:hAnsi="仿宋" w:eastAsia="仿宋_GB2312"/>
          <w:color w:val="auto"/>
          <w:sz w:val="24"/>
          <w:highlight w:val="none"/>
        </w:rPr>
        <w:br w:type="page"/>
      </w:r>
      <w:r>
        <w:rPr>
          <w:rFonts w:hint="eastAsia" w:ascii="仿宋_GB2312" w:hAnsi="仿宋" w:eastAsia="仿宋_GB2312" w:cs="Times New Roman"/>
          <w:b/>
          <w:color w:val="auto"/>
          <w:spacing w:val="6"/>
          <w:kern w:val="44"/>
          <w:sz w:val="32"/>
          <w:szCs w:val="32"/>
          <w:highlight w:val="none"/>
          <w:lang w:val="en-US" w:eastAsia="zh-CN" w:bidi="ar-SA"/>
        </w:rPr>
        <w:t>附件3：</w:t>
      </w:r>
    </w:p>
    <w:p>
      <w:pPr>
        <w:widowControl/>
        <w:spacing w:line="360" w:lineRule="auto"/>
        <w:ind w:firstLine="643" w:firstLineChars="200"/>
        <w:jc w:val="center"/>
        <w:rPr>
          <w:rFonts w:hint="eastAsia" w:cs="宋体"/>
          <w:b/>
          <w:bCs/>
          <w:color w:val="auto"/>
          <w:sz w:val="32"/>
          <w:szCs w:val="28"/>
          <w:highlight w:val="none"/>
          <w:lang w:val="en-US" w:eastAsia="zh-CN"/>
        </w:rPr>
      </w:pPr>
      <w:r>
        <w:rPr>
          <w:rFonts w:hint="eastAsia" w:cs="宋体"/>
          <w:b/>
          <w:bCs/>
          <w:color w:val="auto"/>
          <w:sz w:val="32"/>
          <w:szCs w:val="28"/>
          <w:highlight w:val="none"/>
          <w:lang w:val="en-US" w:eastAsia="zh-CN"/>
        </w:rPr>
        <w:t>政府采购活动现场确认声明书</w:t>
      </w:r>
    </w:p>
    <w:p>
      <w:pPr>
        <w:pStyle w:val="18"/>
        <w:snapToGrid w:val="0"/>
        <w:spacing w:beforeLines="0" w:afterLines="0" w:line="420" w:lineRule="exact"/>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采购人、采购代理机构   </w:t>
      </w:r>
      <w:r>
        <w:rPr>
          <w:rFonts w:hint="eastAsia" w:ascii="仿宋" w:hAnsi="仿宋" w:eastAsia="仿宋" w:cs="仿宋"/>
          <w:color w:val="auto"/>
          <w:sz w:val="24"/>
          <w:szCs w:val="24"/>
          <w:highlight w:val="none"/>
        </w:rPr>
        <w:t>：</w:t>
      </w:r>
    </w:p>
    <w:p>
      <w:pPr>
        <w:pStyle w:val="18"/>
        <w:snapToGrid w:val="0"/>
        <w:spacing w:before="0" w:beforeLines="0" w:after="0" w:afterLines="0" w:line="4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）政府采购活动，经与本单位法人代表（负责人）联系确认，现就有关公平竞争事项郑重声明如下：</w:t>
      </w:r>
    </w:p>
    <w:p>
      <w:pPr>
        <w:pStyle w:val="18"/>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一、本单位与采购人之间□不存在利害关系□存在下列利害关系：</w:t>
      </w:r>
    </w:p>
    <w:p>
      <w:pPr>
        <w:pStyle w:val="18"/>
        <w:snapToGrid w:val="0"/>
        <w:spacing w:before="0" w:beforeLines="0" w:after="0" w:afterLines="0" w:line="420" w:lineRule="exact"/>
        <w:ind w:firstLine="480" w:firstLineChars="200"/>
        <w:rPr>
          <w:rFonts w:hint="eastAsia" w:ascii="仿宋" w:hAnsi="仿宋" w:eastAsia="仿宋" w:cs="仿宋"/>
          <w:b/>
          <w:bCs/>
          <w:color w:val="auto"/>
          <w:sz w:val="24"/>
          <w:szCs w:val="24"/>
          <w:highlight w:val="none"/>
        </w:rPr>
      </w:pPr>
      <w:bookmarkStart w:id="841" w:name="_Toc27231"/>
      <w:bookmarkStart w:id="842" w:name="_Toc17468"/>
      <w:bookmarkStart w:id="843" w:name="_Toc12112"/>
      <w:bookmarkStart w:id="844" w:name="_Toc6003"/>
      <w:bookmarkStart w:id="845" w:name="_Toc15373"/>
      <w:r>
        <w:rPr>
          <w:rFonts w:hint="eastAsia" w:ascii="仿宋" w:hAnsi="仿宋" w:eastAsia="仿宋" w:cs="仿宋"/>
          <w:color w:val="auto"/>
          <w:sz w:val="24"/>
          <w:szCs w:val="24"/>
          <w:highlight w:val="none"/>
        </w:rPr>
        <w:t>A.投资关系    B.行政隶属关系    C.业务指导关系</w:t>
      </w:r>
      <w:bookmarkEnd w:id="841"/>
      <w:bookmarkEnd w:id="842"/>
      <w:bookmarkEnd w:id="843"/>
      <w:bookmarkEnd w:id="844"/>
      <w:bookmarkEnd w:id="845"/>
    </w:p>
    <w:p>
      <w:pPr>
        <w:snapToGrid w:val="0"/>
        <w:spacing w:beforeLines="0" w:afterLines="0" w:line="420" w:lineRule="exact"/>
        <w:ind w:firstLine="480" w:firstLineChars="200"/>
        <w:rPr>
          <w:rFonts w:hint="eastAsia" w:ascii="仿宋" w:hAnsi="仿宋" w:eastAsia="仿宋" w:cs="仿宋"/>
          <w:color w:val="auto"/>
          <w:sz w:val="24"/>
          <w:szCs w:val="24"/>
          <w:highlight w:val="none"/>
        </w:rPr>
      </w:pPr>
      <w:bookmarkStart w:id="846" w:name="_Toc24424"/>
      <w:bookmarkStart w:id="847" w:name="_Toc19012"/>
      <w:bookmarkStart w:id="848" w:name="_Toc4044"/>
      <w:bookmarkStart w:id="849" w:name="_Toc28394"/>
      <w:bookmarkStart w:id="850" w:name="_Toc9171"/>
      <w:r>
        <w:rPr>
          <w:rFonts w:hint="eastAsia" w:ascii="仿宋" w:hAnsi="仿宋" w:eastAsia="仿宋" w:cs="仿宋"/>
          <w:color w:val="auto"/>
          <w:sz w:val="24"/>
          <w:szCs w:val="24"/>
          <w:highlight w:val="none"/>
        </w:rPr>
        <w:t>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bookmarkEnd w:id="846"/>
      <w:bookmarkEnd w:id="847"/>
      <w:bookmarkEnd w:id="848"/>
      <w:bookmarkEnd w:id="849"/>
      <w:bookmarkEnd w:id="850"/>
    </w:p>
    <w:p>
      <w:pPr>
        <w:snapToGrid w:val="0"/>
        <w:spacing w:beforeLines="0" w:afterLines="0" w:line="420" w:lineRule="exact"/>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现已清楚知道参加本项目采购活动的其他所有投标人名称，本单位□与其他所有投标人之间均不存在利害关系  □与</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之间存在下列利害关系：</w:t>
      </w:r>
    </w:p>
    <w:p>
      <w:pPr>
        <w:snapToGrid w:val="0"/>
        <w:spacing w:beforeLines="0" w:afterLines="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A.法定代表人或负责人或实际控制人是同一人</w:t>
      </w:r>
    </w:p>
    <w:p>
      <w:pPr>
        <w:pStyle w:val="18"/>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18"/>
        <w:snapToGrid w:val="0"/>
        <w:spacing w:before="0" w:beforeLines="0" w:after="0" w:afterLines="0" w:line="42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C.法定代表人或负责人或实际控制人是直系血亲关系</w:t>
      </w:r>
    </w:p>
    <w:p>
      <w:pPr>
        <w:pStyle w:val="18"/>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18"/>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18"/>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18"/>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pPr>
        <w:pStyle w:val="18"/>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H.存在分级代理或代销关系、同一生产制造商关系、管理关系、重要业务（占</w:t>
      </w:r>
      <w:r>
        <w:rPr>
          <w:rFonts w:hint="eastAsia" w:ascii="仿宋" w:hAnsi="仿宋" w:eastAsia="仿宋" w:cs="仿宋"/>
          <w:color w:val="auto"/>
          <w:sz w:val="24"/>
          <w:szCs w:val="24"/>
          <w:highlight w:val="none"/>
        </w:rPr>
        <w:t>主营业务收入50%以上）或重要财务往来关系（如融资）等其他实质性控制关系</w:t>
      </w:r>
    </w:p>
    <w:p>
      <w:pPr>
        <w:pStyle w:val="18"/>
        <w:snapToGrid w:val="0"/>
        <w:spacing w:before="0" w:beforeLines="0" w:after="0" w:afterLines="0" w:line="420" w:lineRule="exact"/>
        <w:ind w:left="-190" w:firstLine="691" w:firstLineChars="288"/>
        <w:rPr>
          <w:rFonts w:hint="eastAsia" w:ascii="仿宋" w:hAnsi="仿宋" w:eastAsia="仿宋" w:cs="仿宋"/>
          <w:color w:val="auto"/>
          <w:kern w:val="0"/>
          <w:sz w:val="24"/>
          <w:szCs w:val="24"/>
          <w:highlight w:val="none"/>
        </w:rPr>
      </w:pPr>
      <w:bookmarkStart w:id="851" w:name="_Toc23144"/>
      <w:bookmarkStart w:id="852" w:name="_Toc3905"/>
      <w:bookmarkStart w:id="853" w:name="_Toc21051"/>
      <w:bookmarkStart w:id="854" w:name="_Toc19277"/>
      <w:bookmarkStart w:id="855" w:name="_Toc24972"/>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bookmarkEnd w:id="851"/>
      <w:bookmarkEnd w:id="852"/>
      <w:bookmarkEnd w:id="853"/>
      <w:bookmarkEnd w:id="854"/>
      <w:bookmarkEnd w:id="855"/>
    </w:p>
    <w:p>
      <w:pPr>
        <w:pStyle w:val="18"/>
        <w:numPr>
          <w:ilvl w:val="0"/>
          <w:numId w:val="0"/>
        </w:numPr>
        <w:tabs>
          <w:tab w:val="left" w:pos="210"/>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现已清楚知道并严格遵守政府采购法律法规和现场纪律。</w:t>
      </w:r>
    </w:p>
    <w:p>
      <w:pPr>
        <w:numPr>
          <w:ilvl w:val="0"/>
          <w:numId w:val="0"/>
        </w:numPr>
        <w:tabs>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pStyle w:val="17"/>
        <w:spacing w:beforeLines="0" w:afterLines="0"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pPr>
        <w:pStyle w:val="17"/>
        <w:spacing w:beforeLines="0" w:afterLines="0" w:line="360" w:lineRule="auto"/>
        <w:ind w:left="0" w:right="-252" w:firstLine="0" w:firstLineChars="0"/>
        <w:jc w:val="both"/>
        <w:rPr>
          <w:rFonts w:hint="eastAsia" w:ascii="仿宋" w:hAnsi="仿宋" w:eastAsia="仿宋" w:cs="仿宋"/>
          <w:color w:val="auto"/>
          <w:sz w:val="24"/>
          <w:szCs w:val="24"/>
          <w:highlight w:val="none"/>
          <w:u w:val="single"/>
          <w:lang w:val="en-US" w:eastAsia="zh-CN" w:bidi="ar"/>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sz w:val="24"/>
          <w:szCs w:val="24"/>
          <w:highlight w:val="none"/>
          <w:lang w:eastAsia="zh-CN" w:bidi="ar"/>
        </w:rPr>
        <w:t>投标人</w:t>
      </w:r>
      <w:r>
        <w:rPr>
          <w:rFonts w:hint="eastAsia" w:ascii="仿宋" w:hAnsi="仿宋" w:eastAsia="仿宋" w:cs="仿宋"/>
          <w:color w:val="auto"/>
          <w:sz w:val="24"/>
          <w:szCs w:val="24"/>
          <w:highlight w:val="none"/>
          <w:lang w:bidi="ar"/>
        </w:rPr>
        <w:t>全称：</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bidi="ar"/>
        </w:rPr>
        <w:t>（盖公章</w:t>
      </w:r>
      <w:r>
        <w:rPr>
          <w:rFonts w:hint="eastAsia" w:ascii="仿宋" w:hAnsi="仿宋" w:eastAsia="仿宋" w:cs="仿宋"/>
          <w:color w:val="auto"/>
          <w:sz w:val="24"/>
          <w:szCs w:val="24"/>
          <w:highlight w:val="none"/>
          <w:u w:val="single"/>
          <w:lang w:eastAsia="zh-CN" w:bidi="ar"/>
        </w:rPr>
        <w:t>）</w:t>
      </w:r>
      <w:r>
        <w:rPr>
          <w:rFonts w:hint="eastAsia" w:ascii="仿宋" w:hAnsi="仿宋" w:eastAsia="仿宋" w:cs="仿宋"/>
          <w:color w:val="auto"/>
          <w:sz w:val="24"/>
          <w:szCs w:val="24"/>
          <w:highlight w:val="none"/>
          <w:u w:val="single"/>
          <w:lang w:val="en-US" w:eastAsia="zh-CN" w:bidi="ar"/>
        </w:rPr>
        <w:t xml:space="preserve"> </w:t>
      </w:r>
    </w:p>
    <w:p>
      <w:pPr>
        <w:pStyle w:val="17"/>
        <w:spacing w:beforeLines="0" w:afterLines="0" w:line="360" w:lineRule="auto"/>
        <w:ind w:right="-252" w:firstLine="3120" w:firstLineChars="130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bidi="ar"/>
        </w:rPr>
        <w:t>投标人代表签名：</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lang w:val="en-US" w:eastAsia="zh-CN" w:bidi="ar"/>
        </w:rPr>
        <w:t xml:space="preserve">            </w:t>
      </w:r>
    </w:p>
    <w:p>
      <w:pPr>
        <w:pStyle w:val="17"/>
        <w:spacing w:beforeLines="0" w:afterLines="0" w:line="240" w:lineRule="auto"/>
        <w:ind w:firstLine="2160" w:firstLineChars="900"/>
        <w:jc w:val="both"/>
        <w:rPr>
          <w:rFonts w:hint="eastAsia" w:hAnsi="宋体" w:cs="宋体"/>
          <w:bCs/>
          <w:color w:val="auto"/>
          <w:sz w:val="24"/>
          <w:szCs w:val="24"/>
          <w:highlight w:val="none"/>
        </w:rPr>
      </w:pP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年</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月</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日</w:t>
      </w:r>
      <w:r>
        <w:rPr>
          <w:rFonts w:hint="eastAsia" w:hAnsi="宋体" w:cs="宋体"/>
          <w:bCs/>
          <w:color w:val="auto"/>
          <w:sz w:val="24"/>
          <w:szCs w:val="24"/>
          <w:highlight w:val="none"/>
        </w:rPr>
        <w:t xml:space="preserve"> </w:t>
      </w:r>
    </w:p>
    <w:p>
      <w:pPr>
        <w:keepNext/>
        <w:keepLines/>
        <w:pageBreakBefore/>
        <w:widowControl w:val="0"/>
        <w:tabs>
          <w:tab w:val="left" w:pos="432"/>
        </w:tabs>
        <w:kinsoku/>
        <w:wordWrap/>
        <w:overflowPunct/>
        <w:topLinePunct w:val="0"/>
        <w:autoSpaceDE/>
        <w:autoSpaceDN/>
        <w:bidi w:val="0"/>
        <w:adjustRightInd/>
        <w:snapToGrid/>
        <w:spacing w:before="78" w:beforeLines="25" w:after="0" w:line="360" w:lineRule="auto"/>
        <w:ind w:left="0" w:firstLine="0"/>
        <w:jc w:val="left"/>
        <w:textAlignment w:val="auto"/>
        <w:outlineLvl w:val="9"/>
        <w:rPr>
          <w:rFonts w:hint="eastAsia" w:cs="宋体"/>
          <w:b/>
          <w:bCs/>
          <w:color w:val="auto"/>
          <w:highlight w:val="none"/>
          <w:lang w:val="en-US" w:eastAsia="zh-CN"/>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4</w:t>
      </w:r>
      <w:r>
        <w:rPr>
          <w:rFonts w:ascii="仿宋_GB2312" w:hAnsi="仿宋" w:eastAsia="仿宋_GB2312"/>
          <w:b/>
          <w:color w:val="auto"/>
          <w:spacing w:val="6"/>
          <w:sz w:val="32"/>
          <w:szCs w:val="32"/>
          <w:highlight w:val="none"/>
        </w:rPr>
        <w:t>：</w:t>
      </w:r>
    </w:p>
    <w:bookmarkEnd w:id="24"/>
    <w:bookmarkEnd w:id="25"/>
    <w:bookmarkEnd w:id="26"/>
    <w:bookmarkEnd w:id="27"/>
    <w:bookmarkEnd w:id="28"/>
    <w:bookmarkEnd w:id="776"/>
    <w:bookmarkEnd w:id="777"/>
    <w:bookmarkEnd w:id="780"/>
    <w:bookmarkEnd w:id="781"/>
    <w:bookmarkEnd w:id="782"/>
    <w:bookmarkEnd w:id="798"/>
    <w:bookmarkEnd w:id="799"/>
    <w:bookmarkEnd w:id="800"/>
    <w:bookmarkEnd w:id="801"/>
    <w:bookmarkEnd w:id="802"/>
    <w:bookmarkEnd w:id="803"/>
    <w:bookmarkEnd w:id="804"/>
    <w:bookmarkEnd w:id="805"/>
    <w:bookmarkEnd w:id="806"/>
    <w:bookmarkEnd w:id="807"/>
    <w:p>
      <w:pPr>
        <w:keepNext/>
        <w:keepLines/>
        <w:pageBreakBefore w:val="0"/>
        <w:widowControl/>
        <w:numPr>
          <w:ilvl w:val="1"/>
          <w:numId w:val="0"/>
        </w:numPr>
        <w:tabs>
          <w:tab w:val="left" w:pos="840"/>
        </w:tabs>
        <w:kinsoku/>
        <w:wordWrap/>
        <w:overflowPunct/>
        <w:topLinePunct w:val="0"/>
        <w:autoSpaceDE/>
        <w:autoSpaceDN/>
        <w:bidi w:val="0"/>
        <w:adjustRightInd/>
        <w:snapToGrid/>
        <w:spacing w:before="0" w:afterLines="50" w:line="400" w:lineRule="exact"/>
        <w:jc w:val="center"/>
        <w:textAlignment w:val="auto"/>
        <w:outlineLvl w:val="9"/>
        <w:rPr>
          <w:rFonts w:hint="eastAsia" w:ascii="Cambria" w:hAnsi="Cambria" w:eastAsia="宋体" w:cs="Times New Roman"/>
          <w:b/>
          <w:bCs/>
          <w:color w:val="auto"/>
          <w:sz w:val="28"/>
          <w:szCs w:val="32"/>
          <w:highlight w:val="none"/>
          <w:lang w:val="en-US" w:eastAsia="zh-CN" w:bidi="ar-SA"/>
        </w:rPr>
      </w:pPr>
      <w:r>
        <w:rPr>
          <w:rFonts w:hint="eastAsia" w:hAnsi="宋体" w:eastAsia="宋体" w:cs="Times New Roman"/>
          <w:b/>
          <w:bCs w:val="0"/>
          <w:color w:val="auto"/>
          <w:sz w:val="28"/>
          <w:szCs w:val="36"/>
          <w:highlight w:val="none"/>
          <w:lang w:val="en-US" w:eastAsia="zh-CN"/>
        </w:rPr>
        <w:t>政府采购履约验收书</w:t>
      </w:r>
      <w:r>
        <w:rPr>
          <w:rFonts w:hint="eastAsia" w:ascii="Cambria" w:hAnsi="Cambria" w:eastAsia="宋体" w:cs="Times New Roman"/>
          <w:b/>
          <w:bCs/>
          <w:color w:val="auto"/>
          <w:sz w:val="28"/>
          <w:szCs w:val="32"/>
          <w:highlight w:val="none"/>
          <w:lang w:val="en-US" w:eastAsia="zh-CN" w:bidi="ar-SA"/>
        </w:rPr>
        <w:t>（参考模板）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55" w:firstLineChars="207"/>
        <w:jc w:val="left"/>
        <w:textAlignment w:val="auto"/>
        <w:rPr>
          <w:rFonts w:hint="eastAsia" w:ascii="Cambria" w:hAnsi="Cambria" w:eastAsia="宋体" w:cs="Times New Roman"/>
          <w:b/>
          <w:bCs/>
          <w:color w:val="auto"/>
          <w:sz w:val="28"/>
          <w:szCs w:val="32"/>
          <w:highlight w:val="none"/>
          <w:lang w:val="en-US" w:eastAsia="zh-CN" w:bidi="ar-SA"/>
        </w:rPr>
      </w:pPr>
      <w:r>
        <w:rPr>
          <w:rFonts w:hint="eastAsia" w:ascii="宋体" w:hAnsi="宋体" w:eastAsia="宋体" w:cs="宋体"/>
          <w:color w:val="auto"/>
          <w:kern w:val="0"/>
          <w:sz w:val="22"/>
          <w:szCs w:val="22"/>
          <w:highlight w:val="none"/>
        </w:rPr>
        <w:t>根据政府采购项目（</w:t>
      </w:r>
      <w:r>
        <w:rPr>
          <w:rFonts w:hint="eastAsia" w:ascii="宋体" w:hAnsi="宋体" w:eastAsia="宋体" w:cs="宋体"/>
          <w:color w:val="auto"/>
          <w:kern w:val="0"/>
          <w:sz w:val="22"/>
          <w:szCs w:val="22"/>
          <w:highlight w:val="none"/>
          <w:u w:val="single"/>
        </w:rPr>
        <w:t>采购合同编号：</w:t>
      </w:r>
      <w:r>
        <w:rPr>
          <w:rFonts w:hint="eastAsia" w:ascii="宋体" w:hAnsi="宋体" w:eastAsia="宋体" w:cs="宋体"/>
          <w:color w:val="auto"/>
          <w:kern w:val="0"/>
          <w:sz w:val="22"/>
          <w:szCs w:val="22"/>
          <w:highlight w:val="none"/>
          <w:u w:val="single"/>
        </w:rPr>
        <w:softHyphen/>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）的约定，我单位对（</w:t>
      </w:r>
      <w:r>
        <w:rPr>
          <w:rFonts w:hint="eastAsia" w:ascii="宋体" w:hAnsi="宋体" w:eastAsia="宋体" w:cs="宋体"/>
          <w:color w:val="auto"/>
          <w:kern w:val="0"/>
          <w:sz w:val="22"/>
          <w:szCs w:val="22"/>
          <w:highlight w:val="none"/>
          <w:u w:val="single"/>
        </w:rPr>
        <w:t xml:space="preserve">  项目名称   </w:t>
      </w:r>
      <w:r>
        <w:rPr>
          <w:rFonts w:hint="eastAsia" w:ascii="宋体" w:hAnsi="宋体" w:eastAsia="宋体" w:cs="宋体"/>
          <w:color w:val="auto"/>
          <w:kern w:val="0"/>
          <w:sz w:val="22"/>
          <w:szCs w:val="22"/>
          <w:highlight w:val="none"/>
        </w:rPr>
        <w:t>）政府采购项目中标（或成交）供应商（</w:t>
      </w:r>
      <w:r>
        <w:rPr>
          <w:rFonts w:hint="eastAsia" w:ascii="宋体" w:hAnsi="宋体" w:eastAsia="宋体" w:cs="宋体"/>
          <w:color w:val="auto"/>
          <w:kern w:val="0"/>
          <w:sz w:val="22"/>
          <w:szCs w:val="22"/>
          <w:highlight w:val="none"/>
          <w:u w:val="single"/>
        </w:rPr>
        <w:t xml:space="preserve">            公司名称              </w:t>
      </w:r>
      <w:r>
        <w:rPr>
          <w:rFonts w:hint="eastAsia" w:ascii="宋体" w:hAnsi="宋体" w:eastAsia="宋体" w:cs="宋体"/>
          <w:color w:val="auto"/>
          <w:kern w:val="0"/>
          <w:sz w:val="22"/>
          <w:szCs w:val="22"/>
          <w:highlight w:val="none"/>
        </w:rPr>
        <w:t>）提供的货物、服务（或政府采购工程）进行了验收，验收情况如下：</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30"/>
        <w:gridCol w:w="826"/>
        <w:gridCol w:w="995"/>
        <w:gridCol w:w="33"/>
        <w:gridCol w:w="891"/>
        <w:gridCol w:w="118"/>
        <w:gridCol w:w="661"/>
        <w:gridCol w:w="341"/>
        <w:gridCol w:w="63"/>
        <w:gridCol w:w="1321"/>
        <w:gridCol w:w="973"/>
        <w:gridCol w:w="1001"/>
        <w:gridCol w:w="9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5"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合同规定验收时间</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代理机构名称</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选择简易验收理由</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选择非一次性验收理由</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8"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邀请本项目其他供应商</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参与验收供应商名称</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采购人、使用人分离项目</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使用单位名称</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实际使用人人数（如有）</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00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其他验收人员数量</w:t>
            </w:r>
          </w:p>
        </w:tc>
        <w:tc>
          <w:tcPr>
            <w:tcW w:w="958"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315" w:firstLineChars="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称（专业）</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830"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2"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30"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30"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30"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30"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分段情况</w:t>
            </w:r>
          </w:p>
        </w:tc>
        <w:tc>
          <w:tcPr>
            <w:tcW w:w="2932"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229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品牌、型号、规格、数量及外观质量</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运行状况及安装调试</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人员、设备配备情况</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95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5" w:hRule="atLeast"/>
          <w:jc w:val="center"/>
        </w:trPr>
        <w:tc>
          <w:tcPr>
            <w:tcW w:w="165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存在问题和改进意见</w:t>
            </w:r>
          </w:p>
        </w:tc>
        <w:tc>
          <w:tcPr>
            <w:tcW w:w="7355" w:type="dxa"/>
            <w:gridSpan w:val="11"/>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60" w:lineRule="exact"/>
              <w:jc w:val="both"/>
              <w:rPr>
                <w:rFonts w:hint="eastAsia" w:ascii="宋体" w:hAnsi="宋体" w:eastAsia="宋体" w:cs="宋体"/>
                <w:color w:val="auto"/>
                <w:sz w:val="21"/>
                <w:szCs w:val="21"/>
                <w:highlight w:val="none"/>
              </w:rPr>
            </w:pPr>
          </w:p>
          <w:p>
            <w:pPr>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7" w:hRule="atLeast"/>
          <w:jc w:val="center"/>
        </w:trPr>
        <w:tc>
          <w:tcPr>
            <w:tcW w:w="1656"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w:t>
            </w:r>
          </w:p>
          <w:p>
            <w:pPr>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w:t>
            </w:r>
          </w:p>
        </w:tc>
        <w:tc>
          <w:tcPr>
            <w:tcW w:w="7355" w:type="dxa"/>
            <w:gridSpan w:val="11"/>
            <w:tcBorders>
              <w:top w:val="single" w:color="auto" w:sz="8" w:space="0"/>
              <w:left w:val="single" w:color="auto" w:sz="8" w:space="0"/>
              <w:bottom w:val="single" w:color="auto" w:sz="4" w:space="0"/>
              <w:right w:val="single" w:color="auto" w:sz="8" w:space="0"/>
            </w:tcBorders>
            <w:noWrap w:val="0"/>
            <w:vAlign w:val="center"/>
          </w:tcPr>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  □合  格        □不合格</w:t>
            </w:r>
          </w:p>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其他需要说明的事项：</w:t>
            </w:r>
          </w:p>
          <w:p>
            <w:pPr>
              <w:spacing w:before="100" w:beforeAutospacing="1" w:after="100" w:afterAutospacing="1" w:line="360" w:lineRule="exact"/>
              <w:jc w:val="left"/>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3" w:hRule="atLeast"/>
          <w:jc w:val="center"/>
        </w:trPr>
        <w:tc>
          <w:tcPr>
            <w:tcW w:w="1656"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c>
          <w:tcPr>
            <w:tcW w:w="7355" w:type="dxa"/>
            <w:gridSpan w:val="11"/>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pPr>
              <w:spacing w:before="100" w:beforeAutospacing="1" w:after="100" w:afterAutospacing="1" w:line="360" w:lineRule="exact"/>
              <w:ind w:firstLine="4515" w:firstLineChars="2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9011" w:type="dxa"/>
            <w:gridSpan w:val="13"/>
            <w:tcBorders>
              <w:top w:val="single" w:color="auto" w:sz="8" w:space="0"/>
              <w:left w:val="single" w:color="auto" w:sz="8" w:space="0"/>
              <w:bottom w:val="single" w:color="auto" w:sz="8" w:space="0"/>
              <w:right w:val="single" w:color="auto" w:sz="8" w:space="0"/>
            </w:tcBorders>
            <w:noWrap w:val="0"/>
            <w:vAlign w:val="center"/>
          </w:tcPr>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p>
            <w:pPr>
              <w:spacing w:before="100" w:beforeAutospacing="1" w:after="100" w:afterAutospacing="1" w:line="360" w:lineRule="exact"/>
              <w:jc w:val="both"/>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1" w:hRule="atLeast"/>
          <w:jc w:val="center"/>
        </w:trPr>
        <w:tc>
          <w:tcPr>
            <w:tcW w:w="4354"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采购人意见：</w:t>
            </w: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负责人：      （盖章）</w:t>
            </w:r>
          </w:p>
          <w:p>
            <w:pPr>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65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w:t>
            </w: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jc w:val="left"/>
              <w:rPr>
                <w:rFonts w:hint="eastAsia" w:ascii="宋体" w:hAnsi="宋体" w:eastAsia="宋体" w:cs="宋体"/>
                <w:color w:val="auto"/>
                <w:sz w:val="21"/>
                <w:szCs w:val="21"/>
                <w:highlight w:val="none"/>
              </w:rPr>
            </w:pPr>
          </w:p>
          <w:p>
            <w:pPr>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供应商盖章或授权代表签字：</w:t>
            </w:r>
          </w:p>
          <w:p>
            <w:pPr>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w:t>
            </w:r>
          </w:p>
          <w:p>
            <w:pPr>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ind w:firstLine="105" w:firstLineChars="50"/>
        <w:rPr>
          <w:rFonts w:hint="eastAsia" w:ascii="宋体" w:hAnsi="宋体" w:eastAsia="宋体" w:cs="宋体"/>
          <w:color w:val="auto"/>
          <w:sz w:val="21"/>
          <w:szCs w:val="21"/>
          <w:highlight w:val="none"/>
        </w:rPr>
      </w:pPr>
    </w:p>
    <w:p>
      <w:pPr>
        <w:spacing w:line="24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21"/>
        </w:numPr>
        <w:spacing w:line="24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该表为履约验收书的综合性参考模板，</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可以根据工作实际进行调整。</w:t>
      </w:r>
    </w:p>
    <w:p>
      <w:pPr>
        <w:numPr>
          <w:ilvl w:val="0"/>
          <w:numId w:val="21"/>
        </w:numPr>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采购人按照合同规定的技术、服务、安全标准，组织对供应商履约情况进行验收，并出具验收书。验收报告应当包括每一项技术、服务、安全标准履约情况。</w:t>
      </w:r>
    </w:p>
    <w:p>
      <w:pPr>
        <w:numPr>
          <w:ilvl w:val="0"/>
          <w:numId w:val="21"/>
        </w:numPr>
        <w:tabs>
          <w:tab w:val="left" w:pos="360"/>
        </w:tabs>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向社会公众提供的公共服务项目，验收时应当邀请服务对象参与并出具意见，验收结果应当向社会公告。</w:t>
      </w:r>
    </w:p>
    <w:p>
      <w:pPr>
        <w:autoSpaceDE w:val="0"/>
        <w:autoSpaceDN w:val="0"/>
        <w:jc w:val="center"/>
        <w:rPr>
          <w:rFonts w:hint="eastAsia" w:ascii="仿宋" w:hAnsi="仿宋" w:eastAsia="仿宋"/>
          <w:b/>
          <w:color w:val="auto"/>
          <w:spacing w:val="6"/>
          <w:sz w:val="32"/>
          <w:szCs w:val="32"/>
          <w:highlight w:val="none"/>
        </w:rPr>
      </w:pPr>
    </w:p>
    <w:sectPr>
      <w:pgSz w:w="11906" w:h="16838"/>
      <w:pgMar w:top="1134" w:right="1274" w:bottom="1020" w:left="1575" w:header="680" w:footer="68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Kaiti SC">
    <w:altName w:val="等线"/>
    <w:panose1 w:val="020106000401010101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1"/>
      </w:rPr>
    </w:pPr>
    <w:r>
      <w:fldChar w:fldCharType="begin"/>
    </w:r>
    <w:r>
      <w:rPr>
        <w:rStyle w:val="41"/>
      </w:rPr>
      <w:instrText xml:space="preserve">PAGE  </w:instrText>
    </w:r>
    <w:r>
      <w:fldChar w:fldCharType="end"/>
    </w:r>
  </w:p>
  <w:p>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- 11 -</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- 42 -</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Rat4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xFq3gEAAL8DAAAOAAAAAAAA&#10;AAEAIAAAAB4BAABkcnMvZTJvRG9jLnhtbFBLBQYAAAAABgAGAFkBAABu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- 42 -</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- 41 -</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2kwN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q2kwN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- 41 -</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- 69 -</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hiY98BAAC/AwAADgAAAGRycy9lMm9Eb2MueG1srVPBjtMwEL0j8Q+W&#10;7zRph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04hiY9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- 69 -</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- 67 -</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FURN4BAAC/AwAADgAAAGRycy9lMm9Eb2MueG1srVNNrtMwEN4jcQfL&#10;e5q0Eq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2z5&#10;POnTB6wo7S5QYhxe+YG2ZvYjORPtoQWb/kSIUZzUPV/VVUNkMl1ar9brkkKSYvOB8Iv76wEwvlHe&#10;smTUHGh8WVVxeodxTJ1TUjXnb7UxeYTG/eUgzOQpUu9jj8mKw36YCO19cyY+9A6oTufhC2c9bUHN&#10;HS09Z+atI5HTwswGzMZ+NoSTdLHmkbPRfB3HxToG0Icur1pqCsPLY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MVRE3gEAAL8DAAAOAAAAAAAA&#10;AAEAIAAAAB4BAABkcnMvZTJvRG9jLnhtbFBLBQYAAAAABgAGAFkBAABu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- 67 -</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left"/>
      <w:rPr>
        <w:rFonts w:ascii="宋体" w:hAnsi="宋体"/>
        <w:sz w:val="15"/>
      </w:rPr>
    </w:pPr>
    <w:r>
      <w:rPr>
        <w:rFonts w:hint="eastAsia" w:ascii="宋体" w:hAnsi="宋体"/>
        <w:sz w:val="21"/>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535"/>
        <w:tab w:val="right" w:pos="9070"/>
      </w:tabs>
      <w:ind w:firstLine="241" w:firstLineChars="100"/>
      <w:jc w:val="both"/>
      <w:rPr>
        <w:rFonts w:ascii="仿宋_GB2312" w:eastAsia="仿宋_GB2312"/>
        <w:b w:val="0"/>
        <w:i/>
        <w:sz w:val="18"/>
        <w:u w:val="single"/>
        <w:lang w:val="en-US"/>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0B12F"/>
    <w:multiLevelType w:val="singleLevel"/>
    <w:tmpl w:val="B3C0B12F"/>
    <w:lvl w:ilvl="0" w:tentative="0">
      <w:start w:val="1"/>
      <w:numFmt w:val="decimal"/>
      <w:suff w:val="nothing"/>
      <w:lvlText w:val="（%1）"/>
      <w:lvlJc w:val="left"/>
      <w:pPr>
        <w:ind w:left="0" w:firstLine="403"/>
      </w:pPr>
      <w:rPr>
        <w:rFonts w:hint="default"/>
      </w:rPr>
    </w:lvl>
  </w:abstractNum>
  <w:abstractNum w:abstractNumId="1">
    <w:nsid w:val="C13CECAE"/>
    <w:multiLevelType w:val="singleLevel"/>
    <w:tmpl w:val="C13CECAE"/>
    <w:lvl w:ilvl="0" w:tentative="0">
      <w:start w:val="1"/>
      <w:numFmt w:val="chineseCounting"/>
      <w:suff w:val="nothing"/>
      <w:lvlText w:val="%1、"/>
      <w:lvlJc w:val="left"/>
      <w:pPr>
        <w:ind w:left="0" w:firstLine="420"/>
      </w:pPr>
      <w:rPr>
        <w:rFonts w:hint="eastAsia"/>
      </w:rPr>
    </w:lvl>
  </w:abstractNum>
  <w:abstractNum w:abstractNumId="2">
    <w:nsid w:val="C8BE59BF"/>
    <w:multiLevelType w:val="multilevel"/>
    <w:tmpl w:val="C8BE59BF"/>
    <w:lvl w:ilvl="0" w:tentative="0">
      <w:start w:val="1"/>
      <w:numFmt w:val="decimal"/>
      <w:lvlText w:val="%1．"/>
      <w:lvlJc w:val="left"/>
      <w:pPr>
        <w:tabs>
          <w:tab w:val="left" w:pos="680"/>
        </w:tabs>
        <w:ind w:left="680" w:hanging="680"/>
      </w:pPr>
      <w:rPr>
        <w:rFonts w:hint="default"/>
        <w:b w:val="0"/>
        <w:i w:val="0"/>
        <w:sz w:val="21"/>
        <w:szCs w:val="21"/>
        <w:lang w:val="en-US"/>
      </w:rPr>
    </w:lvl>
    <w:lvl w:ilvl="1" w:tentative="0">
      <w:start w:val="1"/>
      <w:numFmt w:val="decimal"/>
      <w:lvlText w:val="%1.%2"/>
      <w:lvlJc w:val="left"/>
      <w:pPr>
        <w:tabs>
          <w:tab w:val="left" w:pos="680"/>
        </w:tabs>
        <w:ind w:left="680" w:hanging="680"/>
      </w:pPr>
      <w:rPr>
        <w:rFonts w:hint="default" w:ascii="Arial" w:hAnsi="Arial" w:eastAsia="宋体"/>
        <w:b/>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CC96E82E"/>
    <w:multiLevelType w:val="singleLevel"/>
    <w:tmpl w:val="CC96E82E"/>
    <w:lvl w:ilvl="0" w:tentative="0">
      <w:start w:val="1"/>
      <w:numFmt w:val="decimal"/>
      <w:lvlText w:val="(%1)"/>
      <w:lvlJc w:val="left"/>
      <w:pPr>
        <w:ind w:left="425" w:hanging="425"/>
      </w:pPr>
      <w:rPr>
        <w:rFonts w:hint="default"/>
      </w:rPr>
    </w:lvl>
  </w:abstractNum>
  <w:abstractNum w:abstractNumId="4">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956"/>
        </w:tabs>
        <w:ind w:left="956"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default" w:ascii="宋体" w:hAnsi="宋体" w:eastAsia="宋体" w:cs="宋体"/>
        <w:sz w:val="21"/>
        <w:szCs w:val="21"/>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0000016"/>
    <w:multiLevelType w:val="multilevel"/>
    <w:tmpl w:val="00000016"/>
    <w:lvl w:ilvl="0" w:tentative="0">
      <w:start w:val="1"/>
      <w:numFmt w:val="chineseCountingThousand"/>
      <w:pStyle w:val="112"/>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pStyle w:val="103"/>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21B387"/>
    <w:multiLevelType w:val="singleLevel"/>
    <w:tmpl w:val="0D21B387"/>
    <w:lvl w:ilvl="0" w:tentative="0">
      <w:start w:val="1"/>
      <w:numFmt w:val="chineseCounting"/>
      <w:suff w:val="nothing"/>
      <w:lvlText w:val="（%1）"/>
      <w:lvlJc w:val="left"/>
      <w:pPr>
        <w:ind w:left="0" w:firstLine="420"/>
      </w:pPr>
      <w:rPr>
        <w:rFonts w:hint="eastAsia"/>
      </w:rPr>
    </w:lvl>
  </w:abstractNum>
  <w:abstractNum w:abstractNumId="8">
    <w:nsid w:val="0E9032FA"/>
    <w:multiLevelType w:val="singleLevel"/>
    <w:tmpl w:val="0E9032FA"/>
    <w:lvl w:ilvl="0" w:tentative="0">
      <w:start w:val="1"/>
      <w:numFmt w:val="decimal"/>
      <w:lvlText w:val="(%1)"/>
      <w:lvlJc w:val="left"/>
      <w:pPr>
        <w:ind w:left="425" w:hanging="425"/>
      </w:pPr>
      <w:rPr>
        <w:rFonts w:hint="default"/>
      </w:rPr>
    </w:lvl>
  </w:abstractNum>
  <w:abstractNum w:abstractNumId="9">
    <w:nsid w:val="13219772"/>
    <w:multiLevelType w:val="singleLevel"/>
    <w:tmpl w:val="13219772"/>
    <w:lvl w:ilvl="0" w:tentative="0">
      <w:start w:val="1"/>
      <w:numFmt w:val="chineseCounting"/>
      <w:suff w:val="space"/>
      <w:lvlText w:val="第%1部分"/>
      <w:lvlJc w:val="left"/>
      <w:rPr>
        <w:rFonts w:hint="eastAsia"/>
      </w:rPr>
    </w:lvl>
  </w:abstractNum>
  <w:abstractNum w:abstractNumId="10">
    <w:nsid w:val="165B6239"/>
    <w:multiLevelType w:val="singleLevel"/>
    <w:tmpl w:val="165B6239"/>
    <w:lvl w:ilvl="0" w:tentative="0">
      <w:start w:val="1"/>
      <w:numFmt w:val="decimal"/>
      <w:lvlText w:val="(%1)"/>
      <w:lvlJc w:val="left"/>
      <w:pPr>
        <w:ind w:left="425" w:hanging="425"/>
      </w:pPr>
      <w:rPr>
        <w:rFonts w:hint="default"/>
      </w:rPr>
    </w:lvl>
  </w:abstractNum>
  <w:abstractNum w:abstractNumId="11">
    <w:nsid w:val="1E437745"/>
    <w:multiLevelType w:val="singleLevel"/>
    <w:tmpl w:val="1E437745"/>
    <w:lvl w:ilvl="0" w:tentative="0">
      <w:start w:val="1"/>
      <w:numFmt w:val="chineseCounting"/>
      <w:suff w:val="nothing"/>
      <w:lvlText w:val="%1、"/>
      <w:lvlJc w:val="left"/>
      <w:pPr>
        <w:ind w:left="0" w:firstLine="420"/>
      </w:pPr>
      <w:rPr>
        <w:rFonts w:hint="eastAsia"/>
      </w:rPr>
    </w:lvl>
  </w:abstractNum>
  <w:abstractNum w:abstractNumId="12">
    <w:nsid w:val="2072BF9F"/>
    <w:multiLevelType w:val="singleLevel"/>
    <w:tmpl w:val="2072BF9F"/>
    <w:lvl w:ilvl="0" w:tentative="0">
      <w:start w:val="1"/>
      <w:numFmt w:val="decimal"/>
      <w:lvlText w:val="%1."/>
      <w:lvlJc w:val="left"/>
      <w:pPr>
        <w:ind w:left="425" w:hanging="425"/>
      </w:pPr>
      <w:rPr>
        <w:rFonts w:hint="default"/>
      </w:rPr>
    </w:lvl>
  </w:abstractNum>
  <w:abstractNum w:abstractNumId="13">
    <w:nsid w:val="4D0E38F0"/>
    <w:multiLevelType w:val="singleLevel"/>
    <w:tmpl w:val="4D0E38F0"/>
    <w:lvl w:ilvl="0" w:tentative="0">
      <w:start w:val="1"/>
      <w:numFmt w:val="decimal"/>
      <w:lvlText w:val="(%1)"/>
      <w:lvlJc w:val="left"/>
      <w:pPr>
        <w:ind w:left="425" w:hanging="425"/>
      </w:pPr>
      <w:rPr>
        <w:rFonts w:hint="default"/>
      </w:rPr>
    </w:lvl>
  </w:abstractNum>
  <w:abstractNum w:abstractNumId="14">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15">
    <w:nsid w:val="5F2C2F1B"/>
    <w:multiLevelType w:val="singleLevel"/>
    <w:tmpl w:val="5F2C2F1B"/>
    <w:lvl w:ilvl="0" w:tentative="0">
      <w:start w:val="1"/>
      <w:numFmt w:val="chineseCounting"/>
      <w:suff w:val="nothing"/>
      <w:lvlText w:val="%1、"/>
      <w:lvlJc w:val="left"/>
      <w:pPr>
        <w:ind w:left="0" w:firstLine="420"/>
      </w:pPr>
      <w:rPr>
        <w:rFonts w:hint="eastAsia"/>
        <w:sz w:val="24"/>
        <w:szCs w:val="24"/>
      </w:rPr>
    </w:lvl>
  </w:abstractNum>
  <w:abstractNum w:abstractNumId="16">
    <w:nsid w:val="6DDC6220"/>
    <w:multiLevelType w:val="multilevel"/>
    <w:tmpl w:val="6DDC6220"/>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7">
    <w:nsid w:val="6EDB71BF"/>
    <w:multiLevelType w:val="singleLevel"/>
    <w:tmpl w:val="6EDB71BF"/>
    <w:lvl w:ilvl="0" w:tentative="0">
      <w:start w:val="1"/>
      <w:numFmt w:val="decimal"/>
      <w:suff w:val="nothing"/>
      <w:lvlText w:val="（%1）"/>
      <w:lvlJc w:val="left"/>
    </w:lvl>
  </w:abstractNum>
  <w:abstractNum w:abstractNumId="18">
    <w:nsid w:val="74AAD70C"/>
    <w:multiLevelType w:val="singleLevel"/>
    <w:tmpl w:val="74AAD70C"/>
    <w:lvl w:ilvl="0" w:tentative="0">
      <w:start w:val="1"/>
      <w:numFmt w:val="decimal"/>
      <w:lvlText w:val="(%1)"/>
      <w:lvlJc w:val="left"/>
      <w:pPr>
        <w:ind w:left="425" w:hanging="425"/>
      </w:pPr>
      <w:rPr>
        <w:rFonts w:hint="default"/>
      </w:rPr>
    </w:lvl>
  </w:abstractNum>
  <w:abstractNum w:abstractNumId="19">
    <w:nsid w:val="7E41D911"/>
    <w:multiLevelType w:val="singleLevel"/>
    <w:tmpl w:val="7E41D911"/>
    <w:lvl w:ilvl="0" w:tentative="0">
      <w:start w:val="1"/>
      <w:numFmt w:val="decimal"/>
      <w:lvlText w:val="%1."/>
      <w:lvlJc w:val="left"/>
      <w:pPr>
        <w:ind w:left="425" w:hanging="425"/>
      </w:pPr>
      <w:rPr>
        <w:rFonts w:hint="default"/>
      </w:rPr>
    </w:lvl>
  </w:abstractNum>
  <w:abstractNum w:abstractNumId="20">
    <w:nsid w:val="7E58107C"/>
    <w:multiLevelType w:val="singleLevel"/>
    <w:tmpl w:val="7E58107C"/>
    <w:lvl w:ilvl="0" w:tentative="0">
      <w:start w:val="1"/>
      <w:numFmt w:val="chineseCounting"/>
      <w:suff w:val="nothing"/>
      <w:lvlText w:val="（%1）"/>
      <w:lvlJc w:val="left"/>
      <w:rPr>
        <w:rFonts w:hint="eastAsia"/>
      </w:rPr>
    </w:lvl>
  </w:abstractNum>
  <w:num w:numId="1">
    <w:abstractNumId w:val="6"/>
  </w:num>
  <w:num w:numId="2">
    <w:abstractNumId w:val="9"/>
  </w:num>
  <w:num w:numId="3">
    <w:abstractNumId w:val="4"/>
  </w:num>
  <w:num w:numId="4">
    <w:abstractNumId w:val="5"/>
  </w:num>
  <w:num w:numId="5">
    <w:abstractNumId w:val="17"/>
  </w:num>
  <w:num w:numId="6">
    <w:abstractNumId w:val="15"/>
  </w:num>
  <w:num w:numId="7">
    <w:abstractNumId w:val="14"/>
  </w:num>
  <w:num w:numId="8">
    <w:abstractNumId w:val="2"/>
  </w:num>
  <w:num w:numId="9">
    <w:abstractNumId w:val="0"/>
  </w:num>
  <w:num w:numId="10">
    <w:abstractNumId w:val="12"/>
  </w:num>
  <w:num w:numId="11">
    <w:abstractNumId w:val="3"/>
  </w:num>
  <w:num w:numId="12">
    <w:abstractNumId w:val="8"/>
  </w:num>
  <w:num w:numId="13">
    <w:abstractNumId w:val="11"/>
  </w:num>
  <w:num w:numId="14">
    <w:abstractNumId w:val="13"/>
  </w:num>
  <w:num w:numId="15">
    <w:abstractNumId w:val="20"/>
  </w:num>
  <w:num w:numId="16">
    <w:abstractNumId w:val="16"/>
  </w:num>
  <w:num w:numId="17">
    <w:abstractNumId w:val="1"/>
  </w:num>
  <w:num w:numId="18">
    <w:abstractNumId w:val="7"/>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jhjYTBlMDczYzRkMjEwOWExZmM1NWJmOGM0ZTgifQ=="/>
  </w:docVars>
  <w:rsids>
    <w:rsidRoot w:val="00172A27"/>
    <w:rsid w:val="00004BB9"/>
    <w:rsid w:val="00004F3F"/>
    <w:rsid w:val="00005431"/>
    <w:rsid w:val="0000677B"/>
    <w:rsid w:val="00011B76"/>
    <w:rsid w:val="000127CE"/>
    <w:rsid w:val="00013F21"/>
    <w:rsid w:val="000230C3"/>
    <w:rsid w:val="000267DB"/>
    <w:rsid w:val="0002682A"/>
    <w:rsid w:val="00031055"/>
    <w:rsid w:val="00032884"/>
    <w:rsid w:val="00032CB5"/>
    <w:rsid w:val="000330DF"/>
    <w:rsid w:val="000330E8"/>
    <w:rsid w:val="0003523E"/>
    <w:rsid w:val="00040451"/>
    <w:rsid w:val="0004066D"/>
    <w:rsid w:val="00042DED"/>
    <w:rsid w:val="00042E44"/>
    <w:rsid w:val="00043713"/>
    <w:rsid w:val="0004389F"/>
    <w:rsid w:val="00052255"/>
    <w:rsid w:val="0005366B"/>
    <w:rsid w:val="00054A05"/>
    <w:rsid w:val="0005582C"/>
    <w:rsid w:val="00063154"/>
    <w:rsid w:val="000643CC"/>
    <w:rsid w:val="00064414"/>
    <w:rsid w:val="00064560"/>
    <w:rsid w:val="00064E72"/>
    <w:rsid w:val="00073270"/>
    <w:rsid w:val="0007411A"/>
    <w:rsid w:val="00075585"/>
    <w:rsid w:val="00080A1A"/>
    <w:rsid w:val="00080AC8"/>
    <w:rsid w:val="00082416"/>
    <w:rsid w:val="00085363"/>
    <w:rsid w:val="000860B2"/>
    <w:rsid w:val="000876BD"/>
    <w:rsid w:val="00091421"/>
    <w:rsid w:val="00091FC4"/>
    <w:rsid w:val="00093565"/>
    <w:rsid w:val="000A2CED"/>
    <w:rsid w:val="000A5AFD"/>
    <w:rsid w:val="000B5857"/>
    <w:rsid w:val="000C3DE9"/>
    <w:rsid w:val="000C5549"/>
    <w:rsid w:val="000C582C"/>
    <w:rsid w:val="000C72DB"/>
    <w:rsid w:val="000D053E"/>
    <w:rsid w:val="000D113E"/>
    <w:rsid w:val="000D2C4A"/>
    <w:rsid w:val="000D4C1B"/>
    <w:rsid w:val="000D5205"/>
    <w:rsid w:val="000D5218"/>
    <w:rsid w:val="000D5F16"/>
    <w:rsid w:val="000E1104"/>
    <w:rsid w:val="000E229C"/>
    <w:rsid w:val="000E3176"/>
    <w:rsid w:val="000E4A8F"/>
    <w:rsid w:val="000E6865"/>
    <w:rsid w:val="000E6CBD"/>
    <w:rsid w:val="000E71FF"/>
    <w:rsid w:val="000F5932"/>
    <w:rsid w:val="000F6E4A"/>
    <w:rsid w:val="000F74E6"/>
    <w:rsid w:val="00100528"/>
    <w:rsid w:val="00101B83"/>
    <w:rsid w:val="00101E4F"/>
    <w:rsid w:val="00104903"/>
    <w:rsid w:val="00106459"/>
    <w:rsid w:val="001066C2"/>
    <w:rsid w:val="0011084D"/>
    <w:rsid w:val="001112F9"/>
    <w:rsid w:val="00111D9D"/>
    <w:rsid w:val="00113B6B"/>
    <w:rsid w:val="001173CB"/>
    <w:rsid w:val="001175CE"/>
    <w:rsid w:val="001224FC"/>
    <w:rsid w:val="0012785E"/>
    <w:rsid w:val="001347C0"/>
    <w:rsid w:val="001376BD"/>
    <w:rsid w:val="00141B3C"/>
    <w:rsid w:val="0014402A"/>
    <w:rsid w:val="00145580"/>
    <w:rsid w:val="001477B0"/>
    <w:rsid w:val="00147CDA"/>
    <w:rsid w:val="00150384"/>
    <w:rsid w:val="00151EED"/>
    <w:rsid w:val="00152D83"/>
    <w:rsid w:val="001609CC"/>
    <w:rsid w:val="00162049"/>
    <w:rsid w:val="001639F5"/>
    <w:rsid w:val="00165F95"/>
    <w:rsid w:val="0016720A"/>
    <w:rsid w:val="0017227A"/>
    <w:rsid w:val="00176382"/>
    <w:rsid w:val="00181D6C"/>
    <w:rsid w:val="00186D4B"/>
    <w:rsid w:val="00190F0A"/>
    <w:rsid w:val="001975B0"/>
    <w:rsid w:val="001A1B4D"/>
    <w:rsid w:val="001A33D7"/>
    <w:rsid w:val="001A5CB6"/>
    <w:rsid w:val="001A7CD9"/>
    <w:rsid w:val="001B3A28"/>
    <w:rsid w:val="001B4246"/>
    <w:rsid w:val="001B42D8"/>
    <w:rsid w:val="001B6B2E"/>
    <w:rsid w:val="001B7059"/>
    <w:rsid w:val="001B77FB"/>
    <w:rsid w:val="001C1209"/>
    <w:rsid w:val="001C1289"/>
    <w:rsid w:val="001C3536"/>
    <w:rsid w:val="001C6111"/>
    <w:rsid w:val="001D0596"/>
    <w:rsid w:val="001D0732"/>
    <w:rsid w:val="001D1365"/>
    <w:rsid w:val="001D1BFD"/>
    <w:rsid w:val="001D2C6B"/>
    <w:rsid w:val="001D4091"/>
    <w:rsid w:val="001D7269"/>
    <w:rsid w:val="001E0970"/>
    <w:rsid w:val="001E1D0C"/>
    <w:rsid w:val="001E2664"/>
    <w:rsid w:val="001E2E10"/>
    <w:rsid w:val="001E566B"/>
    <w:rsid w:val="001F6E9C"/>
    <w:rsid w:val="002004B4"/>
    <w:rsid w:val="00201425"/>
    <w:rsid w:val="00203C4C"/>
    <w:rsid w:val="00205D9B"/>
    <w:rsid w:val="00205EE5"/>
    <w:rsid w:val="00211805"/>
    <w:rsid w:val="00211A2A"/>
    <w:rsid w:val="002138C8"/>
    <w:rsid w:val="00222441"/>
    <w:rsid w:val="002258BB"/>
    <w:rsid w:val="00226567"/>
    <w:rsid w:val="002305EE"/>
    <w:rsid w:val="00230D29"/>
    <w:rsid w:val="00232385"/>
    <w:rsid w:val="00232B4B"/>
    <w:rsid w:val="00233211"/>
    <w:rsid w:val="0023631F"/>
    <w:rsid w:val="00237ACC"/>
    <w:rsid w:val="00241ACA"/>
    <w:rsid w:val="00252106"/>
    <w:rsid w:val="0025442E"/>
    <w:rsid w:val="0026671F"/>
    <w:rsid w:val="00270467"/>
    <w:rsid w:val="002712CC"/>
    <w:rsid w:val="002734DD"/>
    <w:rsid w:val="00274C1D"/>
    <w:rsid w:val="002843E4"/>
    <w:rsid w:val="0028707F"/>
    <w:rsid w:val="00293F66"/>
    <w:rsid w:val="002A5AA8"/>
    <w:rsid w:val="002A686A"/>
    <w:rsid w:val="002B1CE8"/>
    <w:rsid w:val="002B2E12"/>
    <w:rsid w:val="002B37B3"/>
    <w:rsid w:val="002B440B"/>
    <w:rsid w:val="002B52FE"/>
    <w:rsid w:val="002C216F"/>
    <w:rsid w:val="002C4652"/>
    <w:rsid w:val="002C54B3"/>
    <w:rsid w:val="002D2785"/>
    <w:rsid w:val="002D3A14"/>
    <w:rsid w:val="002D6E85"/>
    <w:rsid w:val="002D7E92"/>
    <w:rsid w:val="002E01B0"/>
    <w:rsid w:val="002E46AA"/>
    <w:rsid w:val="002E578F"/>
    <w:rsid w:val="002E6171"/>
    <w:rsid w:val="002F1317"/>
    <w:rsid w:val="002F1E3D"/>
    <w:rsid w:val="002F224C"/>
    <w:rsid w:val="002F36E9"/>
    <w:rsid w:val="002F413E"/>
    <w:rsid w:val="002F500C"/>
    <w:rsid w:val="002F74B1"/>
    <w:rsid w:val="002F7E12"/>
    <w:rsid w:val="00306D0A"/>
    <w:rsid w:val="003075AC"/>
    <w:rsid w:val="00311356"/>
    <w:rsid w:val="00311E84"/>
    <w:rsid w:val="00312D99"/>
    <w:rsid w:val="003152CA"/>
    <w:rsid w:val="0032150A"/>
    <w:rsid w:val="00321BD2"/>
    <w:rsid w:val="003234D7"/>
    <w:rsid w:val="00323BAC"/>
    <w:rsid w:val="00324100"/>
    <w:rsid w:val="003249C8"/>
    <w:rsid w:val="0033242F"/>
    <w:rsid w:val="00333181"/>
    <w:rsid w:val="00340369"/>
    <w:rsid w:val="00340A9E"/>
    <w:rsid w:val="003435EE"/>
    <w:rsid w:val="003437D7"/>
    <w:rsid w:val="00345D2E"/>
    <w:rsid w:val="00346AEE"/>
    <w:rsid w:val="00350AE5"/>
    <w:rsid w:val="00352E2D"/>
    <w:rsid w:val="00353887"/>
    <w:rsid w:val="00353C75"/>
    <w:rsid w:val="00355095"/>
    <w:rsid w:val="003564FB"/>
    <w:rsid w:val="003624CE"/>
    <w:rsid w:val="0036410F"/>
    <w:rsid w:val="0036527B"/>
    <w:rsid w:val="00370870"/>
    <w:rsid w:val="0037101F"/>
    <w:rsid w:val="00371285"/>
    <w:rsid w:val="0037187D"/>
    <w:rsid w:val="00373D0F"/>
    <w:rsid w:val="00374231"/>
    <w:rsid w:val="00375DB4"/>
    <w:rsid w:val="003812AA"/>
    <w:rsid w:val="00381381"/>
    <w:rsid w:val="00382065"/>
    <w:rsid w:val="00387963"/>
    <w:rsid w:val="00390802"/>
    <w:rsid w:val="003943D6"/>
    <w:rsid w:val="00394ACA"/>
    <w:rsid w:val="003A0C91"/>
    <w:rsid w:val="003A22B5"/>
    <w:rsid w:val="003A2AE9"/>
    <w:rsid w:val="003A546D"/>
    <w:rsid w:val="003A72BB"/>
    <w:rsid w:val="003A74FC"/>
    <w:rsid w:val="003B15D1"/>
    <w:rsid w:val="003B3621"/>
    <w:rsid w:val="003B3CC9"/>
    <w:rsid w:val="003B5BE0"/>
    <w:rsid w:val="003B5D0D"/>
    <w:rsid w:val="003C79D4"/>
    <w:rsid w:val="003C7D1D"/>
    <w:rsid w:val="003D1F04"/>
    <w:rsid w:val="003D2913"/>
    <w:rsid w:val="003D2A01"/>
    <w:rsid w:val="003D7A23"/>
    <w:rsid w:val="003D7A47"/>
    <w:rsid w:val="003E0A64"/>
    <w:rsid w:val="003E251F"/>
    <w:rsid w:val="003E3B82"/>
    <w:rsid w:val="003F26D8"/>
    <w:rsid w:val="003F42AA"/>
    <w:rsid w:val="003F6A6A"/>
    <w:rsid w:val="004019C3"/>
    <w:rsid w:val="0040579C"/>
    <w:rsid w:val="00406E31"/>
    <w:rsid w:val="004078E6"/>
    <w:rsid w:val="0041030B"/>
    <w:rsid w:val="00412ACF"/>
    <w:rsid w:val="0041364E"/>
    <w:rsid w:val="00413888"/>
    <w:rsid w:val="004138D1"/>
    <w:rsid w:val="004173CD"/>
    <w:rsid w:val="004176E3"/>
    <w:rsid w:val="00424070"/>
    <w:rsid w:val="00425104"/>
    <w:rsid w:val="0043118C"/>
    <w:rsid w:val="0043188B"/>
    <w:rsid w:val="00432154"/>
    <w:rsid w:val="00433345"/>
    <w:rsid w:val="00435D8A"/>
    <w:rsid w:val="00437F32"/>
    <w:rsid w:val="00440502"/>
    <w:rsid w:val="0044266E"/>
    <w:rsid w:val="004469C2"/>
    <w:rsid w:val="00446B63"/>
    <w:rsid w:val="00446FC4"/>
    <w:rsid w:val="00450B0D"/>
    <w:rsid w:val="00453833"/>
    <w:rsid w:val="00454FEA"/>
    <w:rsid w:val="00457B0D"/>
    <w:rsid w:val="00457DB7"/>
    <w:rsid w:val="0046395F"/>
    <w:rsid w:val="00463D33"/>
    <w:rsid w:val="00465486"/>
    <w:rsid w:val="00466AC3"/>
    <w:rsid w:val="004738D1"/>
    <w:rsid w:val="0047450A"/>
    <w:rsid w:val="004751BE"/>
    <w:rsid w:val="00477419"/>
    <w:rsid w:val="004927F4"/>
    <w:rsid w:val="004928C2"/>
    <w:rsid w:val="004965D0"/>
    <w:rsid w:val="004968A0"/>
    <w:rsid w:val="00496958"/>
    <w:rsid w:val="004A1489"/>
    <w:rsid w:val="004A1FB9"/>
    <w:rsid w:val="004A2CA9"/>
    <w:rsid w:val="004A402C"/>
    <w:rsid w:val="004B0AEA"/>
    <w:rsid w:val="004B5A91"/>
    <w:rsid w:val="004B5D3E"/>
    <w:rsid w:val="004B6021"/>
    <w:rsid w:val="004B76A0"/>
    <w:rsid w:val="004B7CAB"/>
    <w:rsid w:val="004C5F95"/>
    <w:rsid w:val="004D0283"/>
    <w:rsid w:val="004D438C"/>
    <w:rsid w:val="004D5AFD"/>
    <w:rsid w:val="004E669C"/>
    <w:rsid w:val="004F170B"/>
    <w:rsid w:val="004F2CC7"/>
    <w:rsid w:val="004F2F96"/>
    <w:rsid w:val="004F30BE"/>
    <w:rsid w:val="004F34A4"/>
    <w:rsid w:val="004F7B3B"/>
    <w:rsid w:val="00501E5F"/>
    <w:rsid w:val="00503BE5"/>
    <w:rsid w:val="005067B0"/>
    <w:rsid w:val="00507389"/>
    <w:rsid w:val="00510053"/>
    <w:rsid w:val="00511D9C"/>
    <w:rsid w:val="005122D3"/>
    <w:rsid w:val="00512A31"/>
    <w:rsid w:val="00512C3E"/>
    <w:rsid w:val="0051408C"/>
    <w:rsid w:val="00514D80"/>
    <w:rsid w:val="00516F4B"/>
    <w:rsid w:val="00525B1C"/>
    <w:rsid w:val="00527AB3"/>
    <w:rsid w:val="0053206D"/>
    <w:rsid w:val="005322DC"/>
    <w:rsid w:val="00532A51"/>
    <w:rsid w:val="00532B8B"/>
    <w:rsid w:val="005353EE"/>
    <w:rsid w:val="00536EAA"/>
    <w:rsid w:val="00537439"/>
    <w:rsid w:val="0054272F"/>
    <w:rsid w:val="00544301"/>
    <w:rsid w:val="00544519"/>
    <w:rsid w:val="0055046C"/>
    <w:rsid w:val="005515D2"/>
    <w:rsid w:val="00554BC3"/>
    <w:rsid w:val="005602EF"/>
    <w:rsid w:val="00565079"/>
    <w:rsid w:val="00566FC5"/>
    <w:rsid w:val="005710D0"/>
    <w:rsid w:val="00572300"/>
    <w:rsid w:val="00572EA8"/>
    <w:rsid w:val="00574517"/>
    <w:rsid w:val="00574A2D"/>
    <w:rsid w:val="00576C01"/>
    <w:rsid w:val="00580D54"/>
    <w:rsid w:val="00581205"/>
    <w:rsid w:val="005828ED"/>
    <w:rsid w:val="0058585D"/>
    <w:rsid w:val="005858DA"/>
    <w:rsid w:val="00587678"/>
    <w:rsid w:val="005956B3"/>
    <w:rsid w:val="005957B2"/>
    <w:rsid w:val="005976CC"/>
    <w:rsid w:val="005977B2"/>
    <w:rsid w:val="005A1243"/>
    <w:rsid w:val="005A752C"/>
    <w:rsid w:val="005B187C"/>
    <w:rsid w:val="005B64B8"/>
    <w:rsid w:val="005B65D7"/>
    <w:rsid w:val="005B76F0"/>
    <w:rsid w:val="005C2A2E"/>
    <w:rsid w:val="005D5666"/>
    <w:rsid w:val="005D758A"/>
    <w:rsid w:val="005E4205"/>
    <w:rsid w:val="005F3E69"/>
    <w:rsid w:val="005F4B57"/>
    <w:rsid w:val="005F5B82"/>
    <w:rsid w:val="005F65FB"/>
    <w:rsid w:val="005F6D6A"/>
    <w:rsid w:val="00602227"/>
    <w:rsid w:val="00604A6D"/>
    <w:rsid w:val="00610452"/>
    <w:rsid w:val="00612540"/>
    <w:rsid w:val="00612B0B"/>
    <w:rsid w:val="00616267"/>
    <w:rsid w:val="006166EE"/>
    <w:rsid w:val="00616DC1"/>
    <w:rsid w:val="00620618"/>
    <w:rsid w:val="00620F02"/>
    <w:rsid w:val="00620F53"/>
    <w:rsid w:val="00622262"/>
    <w:rsid w:val="0062319C"/>
    <w:rsid w:val="0062630D"/>
    <w:rsid w:val="006278B9"/>
    <w:rsid w:val="006332F5"/>
    <w:rsid w:val="0063338A"/>
    <w:rsid w:val="006375D1"/>
    <w:rsid w:val="006400F5"/>
    <w:rsid w:val="006406CA"/>
    <w:rsid w:val="00640EDE"/>
    <w:rsid w:val="00647E54"/>
    <w:rsid w:val="00650AA9"/>
    <w:rsid w:val="0065117A"/>
    <w:rsid w:val="006511E9"/>
    <w:rsid w:val="0065402E"/>
    <w:rsid w:val="0065513A"/>
    <w:rsid w:val="00657793"/>
    <w:rsid w:val="006631F2"/>
    <w:rsid w:val="0066328A"/>
    <w:rsid w:val="00664865"/>
    <w:rsid w:val="00667B76"/>
    <w:rsid w:val="00667CD1"/>
    <w:rsid w:val="00672322"/>
    <w:rsid w:val="006745B2"/>
    <w:rsid w:val="0067485A"/>
    <w:rsid w:val="00675B9A"/>
    <w:rsid w:val="00676359"/>
    <w:rsid w:val="006767CE"/>
    <w:rsid w:val="0067702D"/>
    <w:rsid w:val="00686EE0"/>
    <w:rsid w:val="00692C60"/>
    <w:rsid w:val="006940B1"/>
    <w:rsid w:val="006949D6"/>
    <w:rsid w:val="006A02A8"/>
    <w:rsid w:val="006A3564"/>
    <w:rsid w:val="006A48A7"/>
    <w:rsid w:val="006A58F2"/>
    <w:rsid w:val="006A6054"/>
    <w:rsid w:val="006A63C6"/>
    <w:rsid w:val="006A6BFE"/>
    <w:rsid w:val="006A7370"/>
    <w:rsid w:val="006B1AC5"/>
    <w:rsid w:val="006B1C08"/>
    <w:rsid w:val="006B3EF1"/>
    <w:rsid w:val="006B520C"/>
    <w:rsid w:val="006C0294"/>
    <w:rsid w:val="006C3DC7"/>
    <w:rsid w:val="006C4A0A"/>
    <w:rsid w:val="006C7237"/>
    <w:rsid w:val="006D23CE"/>
    <w:rsid w:val="006D4BB3"/>
    <w:rsid w:val="006D6F29"/>
    <w:rsid w:val="006D7B11"/>
    <w:rsid w:val="006E23FC"/>
    <w:rsid w:val="006E4BD4"/>
    <w:rsid w:val="006E5FA4"/>
    <w:rsid w:val="006F1568"/>
    <w:rsid w:val="006F4505"/>
    <w:rsid w:val="006F5F43"/>
    <w:rsid w:val="007001EA"/>
    <w:rsid w:val="00705001"/>
    <w:rsid w:val="00707FAC"/>
    <w:rsid w:val="0071069D"/>
    <w:rsid w:val="00711660"/>
    <w:rsid w:val="00711854"/>
    <w:rsid w:val="00712113"/>
    <w:rsid w:val="00715ED0"/>
    <w:rsid w:val="00720EFB"/>
    <w:rsid w:val="00726E0F"/>
    <w:rsid w:val="0072728A"/>
    <w:rsid w:val="007276C0"/>
    <w:rsid w:val="00730E07"/>
    <w:rsid w:val="0073212A"/>
    <w:rsid w:val="00734BC8"/>
    <w:rsid w:val="0073554B"/>
    <w:rsid w:val="00736029"/>
    <w:rsid w:val="007366EC"/>
    <w:rsid w:val="0074652B"/>
    <w:rsid w:val="007505F8"/>
    <w:rsid w:val="007529A1"/>
    <w:rsid w:val="00756005"/>
    <w:rsid w:val="007576FB"/>
    <w:rsid w:val="007627B7"/>
    <w:rsid w:val="00763A8F"/>
    <w:rsid w:val="00766FC9"/>
    <w:rsid w:val="00775338"/>
    <w:rsid w:val="0078032A"/>
    <w:rsid w:val="0078143C"/>
    <w:rsid w:val="00787025"/>
    <w:rsid w:val="007874D3"/>
    <w:rsid w:val="00787845"/>
    <w:rsid w:val="00793346"/>
    <w:rsid w:val="00793F3A"/>
    <w:rsid w:val="007A1205"/>
    <w:rsid w:val="007A218C"/>
    <w:rsid w:val="007A41ED"/>
    <w:rsid w:val="007A4920"/>
    <w:rsid w:val="007A7FC0"/>
    <w:rsid w:val="007B41EE"/>
    <w:rsid w:val="007B4380"/>
    <w:rsid w:val="007C1030"/>
    <w:rsid w:val="007C28DD"/>
    <w:rsid w:val="007C6262"/>
    <w:rsid w:val="007C6CE2"/>
    <w:rsid w:val="007D1A34"/>
    <w:rsid w:val="007D1FAB"/>
    <w:rsid w:val="007D3C73"/>
    <w:rsid w:val="007D7F50"/>
    <w:rsid w:val="007E18AC"/>
    <w:rsid w:val="007E1A3D"/>
    <w:rsid w:val="007E2C1D"/>
    <w:rsid w:val="007E3163"/>
    <w:rsid w:val="007E3660"/>
    <w:rsid w:val="007E4688"/>
    <w:rsid w:val="007E5744"/>
    <w:rsid w:val="007E76F5"/>
    <w:rsid w:val="007E7891"/>
    <w:rsid w:val="007F35A8"/>
    <w:rsid w:val="007F71C0"/>
    <w:rsid w:val="007F72F4"/>
    <w:rsid w:val="007F7C17"/>
    <w:rsid w:val="008026F8"/>
    <w:rsid w:val="008039B9"/>
    <w:rsid w:val="0080618A"/>
    <w:rsid w:val="00806AAD"/>
    <w:rsid w:val="00806AE7"/>
    <w:rsid w:val="00807053"/>
    <w:rsid w:val="0081260C"/>
    <w:rsid w:val="00813FBB"/>
    <w:rsid w:val="00814A54"/>
    <w:rsid w:val="00815A06"/>
    <w:rsid w:val="00815C47"/>
    <w:rsid w:val="008179DE"/>
    <w:rsid w:val="00817B2A"/>
    <w:rsid w:val="00822452"/>
    <w:rsid w:val="0082623B"/>
    <w:rsid w:val="0082638C"/>
    <w:rsid w:val="00826A9D"/>
    <w:rsid w:val="008271DF"/>
    <w:rsid w:val="008314C7"/>
    <w:rsid w:val="00833174"/>
    <w:rsid w:val="00836CDC"/>
    <w:rsid w:val="008400A5"/>
    <w:rsid w:val="00844201"/>
    <w:rsid w:val="0085284F"/>
    <w:rsid w:val="008639AF"/>
    <w:rsid w:val="00863B8D"/>
    <w:rsid w:val="00866074"/>
    <w:rsid w:val="008707F5"/>
    <w:rsid w:val="00874D5E"/>
    <w:rsid w:val="00877030"/>
    <w:rsid w:val="008779EF"/>
    <w:rsid w:val="008825AF"/>
    <w:rsid w:val="008837AE"/>
    <w:rsid w:val="00883851"/>
    <w:rsid w:val="00883B65"/>
    <w:rsid w:val="008A06C2"/>
    <w:rsid w:val="008A59E2"/>
    <w:rsid w:val="008A607D"/>
    <w:rsid w:val="008A7087"/>
    <w:rsid w:val="008A75B7"/>
    <w:rsid w:val="008B1EA3"/>
    <w:rsid w:val="008B230E"/>
    <w:rsid w:val="008B2E08"/>
    <w:rsid w:val="008B37F7"/>
    <w:rsid w:val="008B3E27"/>
    <w:rsid w:val="008B6DE7"/>
    <w:rsid w:val="008C0BD1"/>
    <w:rsid w:val="008D0B7D"/>
    <w:rsid w:val="008D0F42"/>
    <w:rsid w:val="008D1F19"/>
    <w:rsid w:val="008D2476"/>
    <w:rsid w:val="008D25C5"/>
    <w:rsid w:val="008E0676"/>
    <w:rsid w:val="008E1704"/>
    <w:rsid w:val="008E3EFF"/>
    <w:rsid w:val="008E41F8"/>
    <w:rsid w:val="008F0D88"/>
    <w:rsid w:val="008F191D"/>
    <w:rsid w:val="008F236A"/>
    <w:rsid w:val="008F2673"/>
    <w:rsid w:val="008F67D5"/>
    <w:rsid w:val="00900ACA"/>
    <w:rsid w:val="00901B2B"/>
    <w:rsid w:val="00901C35"/>
    <w:rsid w:val="00903A70"/>
    <w:rsid w:val="00903ACD"/>
    <w:rsid w:val="00906035"/>
    <w:rsid w:val="009107D2"/>
    <w:rsid w:val="00916BA8"/>
    <w:rsid w:val="00916DD6"/>
    <w:rsid w:val="00922A93"/>
    <w:rsid w:val="00922C27"/>
    <w:rsid w:val="0092331C"/>
    <w:rsid w:val="009274FB"/>
    <w:rsid w:val="00932BCC"/>
    <w:rsid w:val="00933D60"/>
    <w:rsid w:val="00934602"/>
    <w:rsid w:val="00940124"/>
    <w:rsid w:val="00944A7F"/>
    <w:rsid w:val="00946B9A"/>
    <w:rsid w:val="00946FB2"/>
    <w:rsid w:val="009516E8"/>
    <w:rsid w:val="00952334"/>
    <w:rsid w:val="00954497"/>
    <w:rsid w:val="00954C20"/>
    <w:rsid w:val="0095502A"/>
    <w:rsid w:val="0095567E"/>
    <w:rsid w:val="00955A59"/>
    <w:rsid w:val="009639E4"/>
    <w:rsid w:val="00965EB8"/>
    <w:rsid w:val="00970043"/>
    <w:rsid w:val="00977370"/>
    <w:rsid w:val="00977CD0"/>
    <w:rsid w:val="0098332F"/>
    <w:rsid w:val="009837A3"/>
    <w:rsid w:val="00984E81"/>
    <w:rsid w:val="00985CFC"/>
    <w:rsid w:val="00991E38"/>
    <w:rsid w:val="00992EB9"/>
    <w:rsid w:val="0099439B"/>
    <w:rsid w:val="009953A4"/>
    <w:rsid w:val="00995D64"/>
    <w:rsid w:val="00996EB7"/>
    <w:rsid w:val="009A10DB"/>
    <w:rsid w:val="009A2BED"/>
    <w:rsid w:val="009B4DA3"/>
    <w:rsid w:val="009B72F4"/>
    <w:rsid w:val="009C1333"/>
    <w:rsid w:val="009C219C"/>
    <w:rsid w:val="009C2BF4"/>
    <w:rsid w:val="009C2E64"/>
    <w:rsid w:val="009C488E"/>
    <w:rsid w:val="009D14B4"/>
    <w:rsid w:val="009D44BC"/>
    <w:rsid w:val="009D5078"/>
    <w:rsid w:val="009D74BA"/>
    <w:rsid w:val="009E00D6"/>
    <w:rsid w:val="009E4440"/>
    <w:rsid w:val="009F1057"/>
    <w:rsid w:val="009F11B1"/>
    <w:rsid w:val="009F420F"/>
    <w:rsid w:val="009F52E0"/>
    <w:rsid w:val="00A030D1"/>
    <w:rsid w:val="00A03937"/>
    <w:rsid w:val="00A04298"/>
    <w:rsid w:val="00A108B6"/>
    <w:rsid w:val="00A1607B"/>
    <w:rsid w:val="00A2419E"/>
    <w:rsid w:val="00A26D0B"/>
    <w:rsid w:val="00A318CC"/>
    <w:rsid w:val="00A32A6C"/>
    <w:rsid w:val="00A331D9"/>
    <w:rsid w:val="00A40483"/>
    <w:rsid w:val="00A43BF5"/>
    <w:rsid w:val="00A45208"/>
    <w:rsid w:val="00A467EF"/>
    <w:rsid w:val="00A53B1A"/>
    <w:rsid w:val="00A550BF"/>
    <w:rsid w:val="00A60DDE"/>
    <w:rsid w:val="00A622FB"/>
    <w:rsid w:val="00A65369"/>
    <w:rsid w:val="00A66B2F"/>
    <w:rsid w:val="00A676E3"/>
    <w:rsid w:val="00A67DF3"/>
    <w:rsid w:val="00A722E7"/>
    <w:rsid w:val="00A73208"/>
    <w:rsid w:val="00A82E4B"/>
    <w:rsid w:val="00A84086"/>
    <w:rsid w:val="00A841D9"/>
    <w:rsid w:val="00A85B68"/>
    <w:rsid w:val="00A85EB1"/>
    <w:rsid w:val="00A87BAF"/>
    <w:rsid w:val="00A917C3"/>
    <w:rsid w:val="00A93315"/>
    <w:rsid w:val="00A97988"/>
    <w:rsid w:val="00AA30C4"/>
    <w:rsid w:val="00AA4BDD"/>
    <w:rsid w:val="00AB08A8"/>
    <w:rsid w:val="00AB56A7"/>
    <w:rsid w:val="00AB647C"/>
    <w:rsid w:val="00AC3693"/>
    <w:rsid w:val="00AC76A9"/>
    <w:rsid w:val="00AD18E1"/>
    <w:rsid w:val="00AD3513"/>
    <w:rsid w:val="00AE6C00"/>
    <w:rsid w:val="00AF23D0"/>
    <w:rsid w:val="00AF24E5"/>
    <w:rsid w:val="00AF2A3F"/>
    <w:rsid w:val="00AF4C9A"/>
    <w:rsid w:val="00AF5894"/>
    <w:rsid w:val="00AF7A85"/>
    <w:rsid w:val="00B00308"/>
    <w:rsid w:val="00B00D95"/>
    <w:rsid w:val="00B012AB"/>
    <w:rsid w:val="00B04226"/>
    <w:rsid w:val="00B045A8"/>
    <w:rsid w:val="00B106FC"/>
    <w:rsid w:val="00B10AE5"/>
    <w:rsid w:val="00B10CBC"/>
    <w:rsid w:val="00B1599A"/>
    <w:rsid w:val="00B16E0A"/>
    <w:rsid w:val="00B172BC"/>
    <w:rsid w:val="00B2029E"/>
    <w:rsid w:val="00B20F4E"/>
    <w:rsid w:val="00B21294"/>
    <w:rsid w:val="00B23CE1"/>
    <w:rsid w:val="00B33FCF"/>
    <w:rsid w:val="00B348D0"/>
    <w:rsid w:val="00B363E2"/>
    <w:rsid w:val="00B4187B"/>
    <w:rsid w:val="00B44B24"/>
    <w:rsid w:val="00B52E41"/>
    <w:rsid w:val="00B56DD8"/>
    <w:rsid w:val="00B572BA"/>
    <w:rsid w:val="00B601A5"/>
    <w:rsid w:val="00B61FE2"/>
    <w:rsid w:val="00B624DE"/>
    <w:rsid w:val="00B707D8"/>
    <w:rsid w:val="00B718E0"/>
    <w:rsid w:val="00B731CE"/>
    <w:rsid w:val="00B75244"/>
    <w:rsid w:val="00B76DC0"/>
    <w:rsid w:val="00B80ECD"/>
    <w:rsid w:val="00B840C7"/>
    <w:rsid w:val="00B9176C"/>
    <w:rsid w:val="00B96216"/>
    <w:rsid w:val="00BA1867"/>
    <w:rsid w:val="00BB3A9F"/>
    <w:rsid w:val="00BB4316"/>
    <w:rsid w:val="00BB7979"/>
    <w:rsid w:val="00BC07F3"/>
    <w:rsid w:val="00BC0D20"/>
    <w:rsid w:val="00BC3601"/>
    <w:rsid w:val="00BC54DC"/>
    <w:rsid w:val="00BD0117"/>
    <w:rsid w:val="00BD46A1"/>
    <w:rsid w:val="00BD6759"/>
    <w:rsid w:val="00BD759A"/>
    <w:rsid w:val="00BD7840"/>
    <w:rsid w:val="00BE0827"/>
    <w:rsid w:val="00BE1E2F"/>
    <w:rsid w:val="00BE4256"/>
    <w:rsid w:val="00BE6C7B"/>
    <w:rsid w:val="00BE6C83"/>
    <w:rsid w:val="00BF1B0F"/>
    <w:rsid w:val="00BF461A"/>
    <w:rsid w:val="00BF57EB"/>
    <w:rsid w:val="00C01935"/>
    <w:rsid w:val="00C049B7"/>
    <w:rsid w:val="00C10A62"/>
    <w:rsid w:val="00C115FF"/>
    <w:rsid w:val="00C128E1"/>
    <w:rsid w:val="00C14FD7"/>
    <w:rsid w:val="00C23D91"/>
    <w:rsid w:val="00C24AD0"/>
    <w:rsid w:val="00C26D2D"/>
    <w:rsid w:val="00C2730B"/>
    <w:rsid w:val="00C27A5C"/>
    <w:rsid w:val="00C30A9F"/>
    <w:rsid w:val="00C31F8B"/>
    <w:rsid w:val="00C32235"/>
    <w:rsid w:val="00C34CEF"/>
    <w:rsid w:val="00C37D70"/>
    <w:rsid w:val="00C42ED5"/>
    <w:rsid w:val="00C437D4"/>
    <w:rsid w:val="00C4630C"/>
    <w:rsid w:val="00C46B7E"/>
    <w:rsid w:val="00C56881"/>
    <w:rsid w:val="00C56EC5"/>
    <w:rsid w:val="00C5750F"/>
    <w:rsid w:val="00C575D0"/>
    <w:rsid w:val="00C613F0"/>
    <w:rsid w:val="00C63328"/>
    <w:rsid w:val="00C638B5"/>
    <w:rsid w:val="00C64A39"/>
    <w:rsid w:val="00C64BB9"/>
    <w:rsid w:val="00C65E3E"/>
    <w:rsid w:val="00C70469"/>
    <w:rsid w:val="00C7054B"/>
    <w:rsid w:val="00C70801"/>
    <w:rsid w:val="00C70CF0"/>
    <w:rsid w:val="00C70FA5"/>
    <w:rsid w:val="00C74615"/>
    <w:rsid w:val="00C76891"/>
    <w:rsid w:val="00C76F83"/>
    <w:rsid w:val="00C77FD8"/>
    <w:rsid w:val="00C80522"/>
    <w:rsid w:val="00C80D16"/>
    <w:rsid w:val="00C905E4"/>
    <w:rsid w:val="00C93F16"/>
    <w:rsid w:val="00C94A1F"/>
    <w:rsid w:val="00C953DD"/>
    <w:rsid w:val="00C95B37"/>
    <w:rsid w:val="00CA2178"/>
    <w:rsid w:val="00CA31E5"/>
    <w:rsid w:val="00CA345F"/>
    <w:rsid w:val="00CA501F"/>
    <w:rsid w:val="00CB05CA"/>
    <w:rsid w:val="00CB4B35"/>
    <w:rsid w:val="00CB5AEB"/>
    <w:rsid w:val="00CB6B52"/>
    <w:rsid w:val="00CC5525"/>
    <w:rsid w:val="00CC734E"/>
    <w:rsid w:val="00CD22CC"/>
    <w:rsid w:val="00CD46B0"/>
    <w:rsid w:val="00CD5A2C"/>
    <w:rsid w:val="00CD6F14"/>
    <w:rsid w:val="00CE12EF"/>
    <w:rsid w:val="00CE1FAD"/>
    <w:rsid w:val="00CE2979"/>
    <w:rsid w:val="00CE4D3D"/>
    <w:rsid w:val="00CE5C18"/>
    <w:rsid w:val="00CE78C9"/>
    <w:rsid w:val="00CF06C9"/>
    <w:rsid w:val="00CF21DE"/>
    <w:rsid w:val="00CF2FC0"/>
    <w:rsid w:val="00CF3A4F"/>
    <w:rsid w:val="00CF3B2E"/>
    <w:rsid w:val="00CF4E9E"/>
    <w:rsid w:val="00D0431F"/>
    <w:rsid w:val="00D04C4F"/>
    <w:rsid w:val="00D04F5C"/>
    <w:rsid w:val="00D06897"/>
    <w:rsid w:val="00D07D87"/>
    <w:rsid w:val="00D134F1"/>
    <w:rsid w:val="00D2105D"/>
    <w:rsid w:val="00D24687"/>
    <w:rsid w:val="00D25AF6"/>
    <w:rsid w:val="00D26CA4"/>
    <w:rsid w:val="00D279E8"/>
    <w:rsid w:val="00D31BE9"/>
    <w:rsid w:val="00D3783A"/>
    <w:rsid w:val="00D4235C"/>
    <w:rsid w:val="00D439AD"/>
    <w:rsid w:val="00D444B3"/>
    <w:rsid w:val="00D44F02"/>
    <w:rsid w:val="00D467D9"/>
    <w:rsid w:val="00D51900"/>
    <w:rsid w:val="00D54293"/>
    <w:rsid w:val="00D54EB5"/>
    <w:rsid w:val="00D601D6"/>
    <w:rsid w:val="00D603F5"/>
    <w:rsid w:val="00D60D14"/>
    <w:rsid w:val="00D62DF9"/>
    <w:rsid w:val="00D64CCC"/>
    <w:rsid w:val="00D7240A"/>
    <w:rsid w:val="00D732D9"/>
    <w:rsid w:val="00D75C89"/>
    <w:rsid w:val="00D8049D"/>
    <w:rsid w:val="00D84094"/>
    <w:rsid w:val="00D90695"/>
    <w:rsid w:val="00D960E6"/>
    <w:rsid w:val="00D963CB"/>
    <w:rsid w:val="00D977C1"/>
    <w:rsid w:val="00DA0982"/>
    <w:rsid w:val="00DA1E35"/>
    <w:rsid w:val="00DA5162"/>
    <w:rsid w:val="00DA5C23"/>
    <w:rsid w:val="00DA6265"/>
    <w:rsid w:val="00DA6B1F"/>
    <w:rsid w:val="00DB0F73"/>
    <w:rsid w:val="00DB367E"/>
    <w:rsid w:val="00DB5434"/>
    <w:rsid w:val="00DB75EC"/>
    <w:rsid w:val="00DC00FF"/>
    <w:rsid w:val="00DC440C"/>
    <w:rsid w:val="00DC5A04"/>
    <w:rsid w:val="00DC789B"/>
    <w:rsid w:val="00DD08A3"/>
    <w:rsid w:val="00DD364A"/>
    <w:rsid w:val="00DD445C"/>
    <w:rsid w:val="00DD50B8"/>
    <w:rsid w:val="00DD58D9"/>
    <w:rsid w:val="00DD77A8"/>
    <w:rsid w:val="00DE3A63"/>
    <w:rsid w:val="00DE4E8F"/>
    <w:rsid w:val="00DE574A"/>
    <w:rsid w:val="00DE772A"/>
    <w:rsid w:val="00DF4AB1"/>
    <w:rsid w:val="00DF5665"/>
    <w:rsid w:val="00DF6B4A"/>
    <w:rsid w:val="00E004B9"/>
    <w:rsid w:val="00E053CC"/>
    <w:rsid w:val="00E05E23"/>
    <w:rsid w:val="00E0627E"/>
    <w:rsid w:val="00E10261"/>
    <w:rsid w:val="00E142DC"/>
    <w:rsid w:val="00E15DD5"/>
    <w:rsid w:val="00E1609E"/>
    <w:rsid w:val="00E24695"/>
    <w:rsid w:val="00E26090"/>
    <w:rsid w:val="00E33297"/>
    <w:rsid w:val="00E34285"/>
    <w:rsid w:val="00E35067"/>
    <w:rsid w:val="00E37167"/>
    <w:rsid w:val="00E376F7"/>
    <w:rsid w:val="00E40219"/>
    <w:rsid w:val="00E41714"/>
    <w:rsid w:val="00E5192A"/>
    <w:rsid w:val="00E57F60"/>
    <w:rsid w:val="00E61D2A"/>
    <w:rsid w:val="00E62B9C"/>
    <w:rsid w:val="00E65B86"/>
    <w:rsid w:val="00E73C3B"/>
    <w:rsid w:val="00E75623"/>
    <w:rsid w:val="00E8077B"/>
    <w:rsid w:val="00E858BE"/>
    <w:rsid w:val="00E86732"/>
    <w:rsid w:val="00E8688F"/>
    <w:rsid w:val="00E91D40"/>
    <w:rsid w:val="00EA1A8B"/>
    <w:rsid w:val="00EA1DDD"/>
    <w:rsid w:val="00EA4D04"/>
    <w:rsid w:val="00EB5E95"/>
    <w:rsid w:val="00EB605A"/>
    <w:rsid w:val="00EB7724"/>
    <w:rsid w:val="00EC2552"/>
    <w:rsid w:val="00EC2841"/>
    <w:rsid w:val="00EC4624"/>
    <w:rsid w:val="00EC7D41"/>
    <w:rsid w:val="00ED1B4E"/>
    <w:rsid w:val="00ED2A15"/>
    <w:rsid w:val="00ED32E2"/>
    <w:rsid w:val="00ED4DBC"/>
    <w:rsid w:val="00ED6AD2"/>
    <w:rsid w:val="00ED7E2E"/>
    <w:rsid w:val="00EE183A"/>
    <w:rsid w:val="00EE19F1"/>
    <w:rsid w:val="00EE24CF"/>
    <w:rsid w:val="00EE6429"/>
    <w:rsid w:val="00EE7053"/>
    <w:rsid w:val="00EE785C"/>
    <w:rsid w:val="00EF0139"/>
    <w:rsid w:val="00EF3D91"/>
    <w:rsid w:val="00EF3F78"/>
    <w:rsid w:val="00EF7AC8"/>
    <w:rsid w:val="00F00336"/>
    <w:rsid w:val="00F048DC"/>
    <w:rsid w:val="00F064BC"/>
    <w:rsid w:val="00F0754E"/>
    <w:rsid w:val="00F12418"/>
    <w:rsid w:val="00F24B70"/>
    <w:rsid w:val="00F2660D"/>
    <w:rsid w:val="00F30344"/>
    <w:rsid w:val="00F30588"/>
    <w:rsid w:val="00F32076"/>
    <w:rsid w:val="00F36687"/>
    <w:rsid w:val="00F36A2F"/>
    <w:rsid w:val="00F41507"/>
    <w:rsid w:val="00F46C90"/>
    <w:rsid w:val="00F476D0"/>
    <w:rsid w:val="00F52A87"/>
    <w:rsid w:val="00F55E0A"/>
    <w:rsid w:val="00F57A2C"/>
    <w:rsid w:val="00F57D3E"/>
    <w:rsid w:val="00F6012D"/>
    <w:rsid w:val="00F651E4"/>
    <w:rsid w:val="00F67F04"/>
    <w:rsid w:val="00F71206"/>
    <w:rsid w:val="00F71A82"/>
    <w:rsid w:val="00F71BE7"/>
    <w:rsid w:val="00F7462A"/>
    <w:rsid w:val="00F7683E"/>
    <w:rsid w:val="00F85BC6"/>
    <w:rsid w:val="00F931E2"/>
    <w:rsid w:val="00F95643"/>
    <w:rsid w:val="00F9777D"/>
    <w:rsid w:val="00FA081C"/>
    <w:rsid w:val="00FA17E1"/>
    <w:rsid w:val="00FA3262"/>
    <w:rsid w:val="00FA3B15"/>
    <w:rsid w:val="00FB00B3"/>
    <w:rsid w:val="00FB2AD6"/>
    <w:rsid w:val="00FB390A"/>
    <w:rsid w:val="00FB59F7"/>
    <w:rsid w:val="00FC1B21"/>
    <w:rsid w:val="00FD0C03"/>
    <w:rsid w:val="00FD12A7"/>
    <w:rsid w:val="00FD3FDD"/>
    <w:rsid w:val="00FD6D3B"/>
    <w:rsid w:val="00FD7674"/>
    <w:rsid w:val="00FE6028"/>
    <w:rsid w:val="00FE6897"/>
    <w:rsid w:val="00FE7940"/>
    <w:rsid w:val="00FF054D"/>
    <w:rsid w:val="00FF5196"/>
    <w:rsid w:val="01106134"/>
    <w:rsid w:val="01113887"/>
    <w:rsid w:val="01301099"/>
    <w:rsid w:val="01453CA8"/>
    <w:rsid w:val="01457570"/>
    <w:rsid w:val="01962088"/>
    <w:rsid w:val="01A32EE1"/>
    <w:rsid w:val="01E55EBE"/>
    <w:rsid w:val="02303DD4"/>
    <w:rsid w:val="02313F99"/>
    <w:rsid w:val="02510B1D"/>
    <w:rsid w:val="0256549D"/>
    <w:rsid w:val="02655444"/>
    <w:rsid w:val="02A1111E"/>
    <w:rsid w:val="02C44E0D"/>
    <w:rsid w:val="02D03BE6"/>
    <w:rsid w:val="02E00618"/>
    <w:rsid w:val="02E7397E"/>
    <w:rsid w:val="02F648F7"/>
    <w:rsid w:val="030C0485"/>
    <w:rsid w:val="03235C63"/>
    <w:rsid w:val="032A1114"/>
    <w:rsid w:val="032E6180"/>
    <w:rsid w:val="036E13BB"/>
    <w:rsid w:val="036F4380"/>
    <w:rsid w:val="037D571B"/>
    <w:rsid w:val="03903EDC"/>
    <w:rsid w:val="03913917"/>
    <w:rsid w:val="03951A9E"/>
    <w:rsid w:val="03AE6866"/>
    <w:rsid w:val="03B2599D"/>
    <w:rsid w:val="03D942D2"/>
    <w:rsid w:val="03E04F58"/>
    <w:rsid w:val="03E77CC4"/>
    <w:rsid w:val="03FE4301"/>
    <w:rsid w:val="0417685A"/>
    <w:rsid w:val="042C1D21"/>
    <w:rsid w:val="04650CDD"/>
    <w:rsid w:val="04820ADC"/>
    <w:rsid w:val="04883B4D"/>
    <w:rsid w:val="0496221C"/>
    <w:rsid w:val="04B138EF"/>
    <w:rsid w:val="04DB7FBA"/>
    <w:rsid w:val="04F17744"/>
    <w:rsid w:val="051E0912"/>
    <w:rsid w:val="05335B13"/>
    <w:rsid w:val="055F0D17"/>
    <w:rsid w:val="05654685"/>
    <w:rsid w:val="0582268A"/>
    <w:rsid w:val="059A1A89"/>
    <w:rsid w:val="05A476BE"/>
    <w:rsid w:val="05C11576"/>
    <w:rsid w:val="05E65A92"/>
    <w:rsid w:val="05EC0902"/>
    <w:rsid w:val="05F91E7B"/>
    <w:rsid w:val="06130C3F"/>
    <w:rsid w:val="06184D91"/>
    <w:rsid w:val="06222576"/>
    <w:rsid w:val="063514CB"/>
    <w:rsid w:val="063B3638"/>
    <w:rsid w:val="06426774"/>
    <w:rsid w:val="064F0D02"/>
    <w:rsid w:val="065E7ECD"/>
    <w:rsid w:val="06726E5D"/>
    <w:rsid w:val="067E01C3"/>
    <w:rsid w:val="067F238A"/>
    <w:rsid w:val="06957B95"/>
    <w:rsid w:val="06A60CFB"/>
    <w:rsid w:val="06B3627B"/>
    <w:rsid w:val="06B9371C"/>
    <w:rsid w:val="06DA4BFF"/>
    <w:rsid w:val="06E60D29"/>
    <w:rsid w:val="072429E9"/>
    <w:rsid w:val="0728596A"/>
    <w:rsid w:val="074327A4"/>
    <w:rsid w:val="074827F6"/>
    <w:rsid w:val="07B12193"/>
    <w:rsid w:val="07F95421"/>
    <w:rsid w:val="07FD0529"/>
    <w:rsid w:val="07FD5ED5"/>
    <w:rsid w:val="07FF198E"/>
    <w:rsid w:val="082B276F"/>
    <w:rsid w:val="08684AAB"/>
    <w:rsid w:val="08687FE8"/>
    <w:rsid w:val="086A7264"/>
    <w:rsid w:val="087150EF"/>
    <w:rsid w:val="08757B43"/>
    <w:rsid w:val="0882289C"/>
    <w:rsid w:val="089F1C5C"/>
    <w:rsid w:val="08B732BE"/>
    <w:rsid w:val="08D4685B"/>
    <w:rsid w:val="08D54357"/>
    <w:rsid w:val="09030D18"/>
    <w:rsid w:val="090455E8"/>
    <w:rsid w:val="0922463B"/>
    <w:rsid w:val="09562AEB"/>
    <w:rsid w:val="09823246"/>
    <w:rsid w:val="09950D67"/>
    <w:rsid w:val="09AD448B"/>
    <w:rsid w:val="09B14AFE"/>
    <w:rsid w:val="09ED4C49"/>
    <w:rsid w:val="0A0A511E"/>
    <w:rsid w:val="0A0E224A"/>
    <w:rsid w:val="0A125063"/>
    <w:rsid w:val="0A136643"/>
    <w:rsid w:val="0A1714E9"/>
    <w:rsid w:val="0A2F65CA"/>
    <w:rsid w:val="0A334D52"/>
    <w:rsid w:val="0A4B5B40"/>
    <w:rsid w:val="0A5C6C69"/>
    <w:rsid w:val="0A8E28B4"/>
    <w:rsid w:val="0A913FEA"/>
    <w:rsid w:val="0AA947AE"/>
    <w:rsid w:val="0ABE1E9B"/>
    <w:rsid w:val="0AC0422D"/>
    <w:rsid w:val="0AC1245F"/>
    <w:rsid w:val="0AC30D18"/>
    <w:rsid w:val="0AE30145"/>
    <w:rsid w:val="0B113201"/>
    <w:rsid w:val="0B1426D4"/>
    <w:rsid w:val="0B1A674F"/>
    <w:rsid w:val="0B290995"/>
    <w:rsid w:val="0B453357"/>
    <w:rsid w:val="0B792935"/>
    <w:rsid w:val="0B7E587A"/>
    <w:rsid w:val="0B844D07"/>
    <w:rsid w:val="0B850E65"/>
    <w:rsid w:val="0B967D90"/>
    <w:rsid w:val="0BA94FA9"/>
    <w:rsid w:val="0BAB1EDE"/>
    <w:rsid w:val="0BC55AF4"/>
    <w:rsid w:val="0BEB658A"/>
    <w:rsid w:val="0C017411"/>
    <w:rsid w:val="0C200F9B"/>
    <w:rsid w:val="0C201FA6"/>
    <w:rsid w:val="0C3628D7"/>
    <w:rsid w:val="0C3C3C66"/>
    <w:rsid w:val="0C53442A"/>
    <w:rsid w:val="0C542D5E"/>
    <w:rsid w:val="0C6E11BF"/>
    <w:rsid w:val="0C8B5128"/>
    <w:rsid w:val="0C8E2713"/>
    <w:rsid w:val="0CAA0BCF"/>
    <w:rsid w:val="0CB15C56"/>
    <w:rsid w:val="0D0A10FA"/>
    <w:rsid w:val="0D3F5DD3"/>
    <w:rsid w:val="0D491978"/>
    <w:rsid w:val="0D4A5EC1"/>
    <w:rsid w:val="0D6A253D"/>
    <w:rsid w:val="0D705AB7"/>
    <w:rsid w:val="0D75118E"/>
    <w:rsid w:val="0DBE2B84"/>
    <w:rsid w:val="0DD137AA"/>
    <w:rsid w:val="0E0B445B"/>
    <w:rsid w:val="0E1A1C17"/>
    <w:rsid w:val="0E1E1875"/>
    <w:rsid w:val="0E680D42"/>
    <w:rsid w:val="0E6A2847"/>
    <w:rsid w:val="0E770F85"/>
    <w:rsid w:val="0E7B0020"/>
    <w:rsid w:val="0E84662C"/>
    <w:rsid w:val="0ECA14D0"/>
    <w:rsid w:val="0EDA7F1C"/>
    <w:rsid w:val="0EE76DB1"/>
    <w:rsid w:val="0F094F01"/>
    <w:rsid w:val="0F140D90"/>
    <w:rsid w:val="0F156F3A"/>
    <w:rsid w:val="0F340B72"/>
    <w:rsid w:val="0F3C00EC"/>
    <w:rsid w:val="0F5F2145"/>
    <w:rsid w:val="0F672951"/>
    <w:rsid w:val="0FB81D67"/>
    <w:rsid w:val="0FD95A7E"/>
    <w:rsid w:val="0FFC27C9"/>
    <w:rsid w:val="0FFF6CB9"/>
    <w:rsid w:val="10142E25"/>
    <w:rsid w:val="101E1A48"/>
    <w:rsid w:val="10262C63"/>
    <w:rsid w:val="10433D9A"/>
    <w:rsid w:val="1063131E"/>
    <w:rsid w:val="107240E4"/>
    <w:rsid w:val="107B1F8D"/>
    <w:rsid w:val="10812002"/>
    <w:rsid w:val="10A00B82"/>
    <w:rsid w:val="10AD47A5"/>
    <w:rsid w:val="10B27F7D"/>
    <w:rsid w:val="10F6076A"/>
    <w:rsid w:val="11183182"/>
    <w:rsid w:val="11294AF9"/>
    <w:rsid w:val="11344C55"/>
    <w:rsid w:val="113963C1"/>
    <w:rsid w:val="1140629B"/>
    <w:rsid w:val="11673533"/>
    <w:rsid w:val="116E48C1"/>
    <w:rsid w:val="117B5716"/>
    <w:rsid w:val="119E16C4"/>
    <w:rsid w:val="11DE1AE7"/>
    <w:rsid w:val="120649EE"/>
    <w:rsid w:val="12333628"/>
    <w:rsid w:val="12614426"/>
    <w:rsid w:val="12780033"/>
    <w:rsid w:val="1290609D"/>
    <w:rsid w:val="12BB6237"/>
    <w:rsid w:val="12F4646A"/>
    <w:rsid w:val="13041294"/>
    <w:rsid w:val="13096BD1"/>
    <w:rsid w:val="13160981"/>
    <w:rsid w:val="132210DB"/>
    <w:rsid w:val="1324691C"/>
    <w:rsid w:val="133332BC"/>
    <w:rsid w:val="1347361C"/>
    <w:rsid w:val="13AF4AC8"/>
    <w:rsid w:val="13B83F2D"/>
    <w:rsid w:val="13CE6E01"/>
    <w:rsid w:val="13D00878"/>
    <w:rsid w:val="13DF6E78"/>
    <w:rsid w:val="13F15336"/>
    <w:rsid w:val="13F34ACE"/>
    <w:rsid w:val="13FE089B"/>
    <w:rsid w:val="141838B7"/>
    <w:rsid w:val="14183B51"/>
    <w:rsid w:val="14282B60"/>
    <w:rsid w:val="14363F8E"/>
    <w:rsid w:val="14590CB6"/>
    <w:rsid w:val="14631473"/>
    <w:rsid w:val="14B70CBA"/>
    <w:rsid w:val="14C316C0"/>
    <w:rsid w:val="14C8253B"/>
    <w:rsid w:val="14CF7C0D"/>
    <w:rsid w:val="14E7711E"/>
    <w:rsid w:val="150C5BD4"/>
    <w:rsid w:val="1515249B"/>
    <w:rsid w:val="15392D4C"/>
    <w:rsid w:val="15441299"/>
    <w:rsid w:val="15542020"/>
    <w:rsid w:val="155D5602"/>
    <w:rsid w:val="1565422D"/>
    <w:rsid w:val="156C2F98"/>
    <w:rsid w:val="15881E4F"/>
    <w:rsid w:val="15A66514"/>
    <w:rsid w:val="15A95174"/>
    <w:rsid w:val="15B6423E"/>
    <w:rsid w:val="15D37812"/>
    <w:rsid w:val="15D8055B"/>
    <w:rsid w:val="15F3685F"/>
    <w:rsid w:val="160957B4"/>
    <w:rsid w:val="1621314C"/>
    <w:rsid w:val="164C3CEE"/>
    <w:rsid w:val="16595BBB"/>
    <w:rsid w:val="169105EB"/>
    <w:rsid w:val="169200DE"/>
    <w:rsid w:val="1697623B"/>
    <w:rsid w:val="16C8615D"/>
    <w:rsid w:val="16D743E7"/>
    <w:rsid w:val="16D82B9C"/>
    <w:rsid w:val="16E7284B"/>
    <w:rsid w:val="16EA2DC4"/>
    <w:rsid w:val="16F2564D"/>
    <w:rsid w:val="16FD6AE2"/>
    <w:rsid w:val="16FE2965"/>
    <w:rsid w:val="171F7FDE"/>
    <w:rsid w:val="173363A9"/>
    <w:rsid w:val="174A5489"/>
    <w:rsid w:val="17542066"/>
    <w:rsid w:val="17792AAB"/>
    <w:rsid w:val="17795EF4"/>
    <w:rsid w:val="17914E66"/>
    <w:rsid w:val="17970D28"/>
    <w:rsid w:val="17A1081D"/>
    <w:rsid w:val="17A7338F"/>
    <w:rsid w:val="17AA4FB3"/>
    <w:rsid w:val="17AF0F58"/>
    <w:rsid w:val="17B2781B"/>
    <w:rsid w:val="17FB16F2"/>
    <w:rsid w:val="17FE1BE4"/>
    <w:rsid w:val="181B22BC"/>
    <w:rsid w:val="18B20B16"/>
    <w:rsid w:val="18DD0C37"/>
    <w:rsid w:val="18F2402A"/>
    <w:rsid w:val="19380B8A"/>
    <w:rsid w:val="193E0D50"/>
    <w:rsid w:val="195200A1"/>
    <w:rsid w:val="19792055"/>
    <w:rsid w:val="19853477"/>
    <w:rsid w:val="199A3E11"/>
    <w:rsid w:val="199A64A6"/>
    <w:rsid w:val="19CE05F3"/>
    <w:rsid w:val="19E472DF"/>
    <w:rsid w:val="19FB2F01"/>
    <w:rsid w:val="1A6044A4"/>
    <w:rsid w:val="1A8567D8"/>
    <w:rsid w:val="1A89451A"/>
    <w:rsid w:val="1AA247A1"/>
    <w:rsid w:val="1AE23C2A"/>
    <w:rsid w:val="1B140288"/>
    <w:rsid w:val="1B1A43C9"/>
    <w:rsid w:val="1B1C2A85"/>
    <w:rsid w:val="1B4D379A"/>
    <w:rsid w:val="1B505BC7"/>
    <w:rsid w:val="1B530478"/>
    <w:rsid w:val="1B6B4C57"/>
    <w:rsid w:val="1B993715"/>
    <w:rsid w:val="1BD253FB"/>
    <w:rsid w:val="1BDE21FB"/>
    <w:rsid w:val="1BE17F4F"/>
    <w:rsid w:val="1BE24C9A"/>
    <w:rsid w:val="1C1D58AF"/>
    <w:rsid w:val="1C302C53"/>
    <w:rsid w:val="1C4E6F52"/>
    <w:rsid w:val="1C5A3E63"/>
    <w:rsid w:val="1C6F7EA9"/>
    <w:rsid w:val="1CC52ED3"/>
    <w:rsid w:val="1CD22DC8"/>
    <w:rsid w:val="1CD53A47"/>
    <w:rsid w:val="1CF274A1"/>
    <w:rsid w:val="1D1851D8"/>
    <w:rsid w:val="1D3C37FB"/>
    <w:rsid w:val="1D570900"/>
    <w:rsid w:val="1D6E1C30"/>
    <w:rsid w:val="1DC314DE"/>
    <w:rsid w:val="1DE772AF"/>
    <w:rsid w:val="1DF24321"/>
    <w:rsid w:val="1E0E5411"/>
    <w:rsid w:val="1E4372AE"/>
    <w:rsid w:val="1E484EFD"/>
    <w:rsid w:val="1E660ECA"/>
    <w:rsid w:val="1E7B0933"/>
    <w:rsid w:val="1ED65854"/>
    <w:rsid w:val="1EEC35EA"/>
    <w:rsid w:val="1EF67EAD"/>
    <w:rsid w:val="1EFB2E9E"/>
    <w:rsid w:val="1F21385A"/>
    <w:rsid w:val="1F3D4215"/>
    <w:rsid w:val="1F585CFC"/>
    <w:rsid w:val="1F7E265A"/>
    <w:rsid w:val="1F9D6DB0"/>
    <w:rsid w:val="1FBA2980"/>
    <w:rsid w:val="200B53BD"/>
    <w:rsid w:val="2010025C"/>
    <w:rsid w:val="20184C9C"/>
    <w:rsid w:val="20200788"/>
    <w:rsid w:val="203007C9"/>
    <w:rsid w:val="203E6C63"/>
    <w:rsid w:val="204F4CE6"/>
    <w:rsid w:val="208204C4"/>
    <w:rsid w:val="20A04CC4"/>
    <w:rsid w:val="20A3724D"/>
    <w:rsid w:val="20D023B2"/>
    <w:rsid w:val="20D46F2B"/>
    <w:rsid w:val="20EE4EAA"/>
    <w:rsid w:val="210E6E8C"/>
    <w:rsid w:val="211C54DD"/>
    <w:rsid w:val="21274A8D"/>
    <w:rsid w:val="21366A7E"/>
    <w:rsid w:val="21436DF2"/>
    <w:rsid w:val="215265FB"/>
    <w:rsid w:val="21616CBA"/>
    <w:rsid w:val="21A15D0C"/>
    <w:rsid w:val="22087577"/>
    <w:rsid w:val="222F3BF9"/>
    <w:rsid w:val="22595868"/>
    <w:rsid w:val="225D45BC"/>
    <w:rsid w:val="225E21B1"/>
    <w:rsid w:val="22620B1A"/>
    <w:rsid w:val="226351CD"/>
    <w:rsid w:val="226A57B8"/>
    <w:rsid w:val="2280289F"/>
    <w:rsid w:val="228617E4"/>
    <w:rsid w:val="229B7723"/>
    <w:rsid w:val="229E4D2B"/>
    <w:rsid w:val="22AB7CC8"/>
    <w:rsid w:val="22B452E7"/>
    <w:rsid w:val="22BD2FB3"/>
    <w:rsid w:val="22DF6447"/>
    <w:rsid w:val="22F10EAE"/>
    <w:rsid w:val="22FA4207"/>
    <w:rsid w:val="23031FBE"/>
    <w:rsid w:val="230C7A96"/>
    <w:rsid w:val="2315555B"/>
    <w:rsid w:val="23203D54"/>
    <w:rsid w:val="232F51CC"/>
    <w:rsid w:val="233732E7"/>
    <w:rsid w:val="23377874"/>
    <w:rsid w:val="236F7322"/>
    <w:rsid w:val="23727B8C"/>
    <w:rsid w:val="23D926A5"/>
    <w:rsid w:val="23DD2B94"/>
    <w:rsid w:val="23DD796E"/>
    <w:rsid w:val="23F04AB6"/>
    <w:rsid w:val="2426552C"/>
    <w:rsid w:val="24333740"/>
    <w:rsid w:val="244220F1"/>
    <w:rsid w:val="24455956"/>
    <w:rsid w:val="245165E7"/>
    <w:rsid w:val="24525BA6"/>
    <w:rsid w:val="245A309F"/>
    <w:rsid w:val="24690641"/>
    <w:rsid w:val="247F7FED"/>
    <w:rsid w:val="24A718BD"/>
    <w:rsid w:val="24AB4C4C"/>
    <w:rsid w:val="24F05453"/>
    <w:rsid w:val="251B66B7"/>
    <w:rsid w:val="254029EC"/>
    <w:rsid w:val="254161FF"/>
    <w:rsid w:val="256A68D4"/>
    <w:rsid w:val="256E4219"/>
    <w:rsid w:val="25805181"/>
    <w:rsid w:val="25812FE1"/>
    <w:rsid w:val="25832249"/>
    <w:rsid w:val="25B3069D"/>
    <w:rsid w:val="25B37DF9"/>
    <w:rsid w:val="25B763DF"/>
    <w:rsid w:val="25CA4B1C"/>
    <w:rsid w:val="25DE7BE8"/>
    <w:rsid w:val="25E0350F"/>
    <w:rsid w:val="25E8502A"/>
    <w:rsid w:val="25EF7A30"/>
    <w:rsid w:val="25F969F8"/>
    <w:rsid w:val="25FB0048"/>
    <w:rsid w:val="25FE5881"/>
    <w:rsid w:val="26216F07"/>
    <w:rsid w:val="262B2929"/>
    <w:rsid w:val="262E7455"/>
    <w:rsid w:val="26487037"/>
    <w:rsid w:val="26495DFE"/>
    <w:rsid w:val="26793695"/>
    <w:rsid w:val="268B0304"/>
    <w:rsid w:val="269B4DE3"/>
    <w:rsid w:val="26A85D28"/>
    <w:rsid w:val="26B30B61"/>
    <w:rsid w:val="26B80F25"/>
    <w:rsid w:val="26C4140B"/>
    <w:rsid w:val="26E20A34"/>
    <w:rsid w:val="26F56226"/>
    <w:rsid w:val="270E64D3"/>
    <w:rsid w:val="272C71BF"/>
    <w:rsid w:val="276B56D3"/>
    <w:rsid w:val="278236C4"/>
    <w:rsid w:val="27A12DBA"/>
    <w:rsid w:val="281C5214"/>
    <w:rsid w:val="2826007F"/>
    <w:rsid w:val="28360266"/>
    <w:rsid w:val="288353A8"/>
    <w:rsid w:val="289A760A"/>
    <w:rsid w:val="28D144E3"/>
    <w:rsid w:val="28D177B8"/>
    <w:rsid w:val="28F00CFD"/>
    <w:rsid w:val="29057462"/>
    <w:rsid w:val="2916677C"/>
    <w:rsid w:val="291F5CEE"/>
    <w:rsid w:val="29286663"/>
    <w:rsid w:val="29693D53"/>
    <w:rsid w:val="29B267D7"/>
    <w:rsid w:val="29BC34FD"/>
    <w:rsid w:val="29C4731D"/>
    <w:rsid w:val="29F80D74"/>
    <w:rsid w:val="2A1536D4"/>
    <w:rsid w:val="2A1A7AE0"/>
    <w:rsid w:val="2A2917C3"/>
    <w:rsid w:val="2A3F4BF5"/>
    <w:rsid w:val="2A8354A3"/>
    <w:rsid w:val="2AB20F52"/>
    <w:rsid w:val="2AB47391"/>
    <w:rsid w:val="2ABC1DA2"/>
    <w:rsid w:val="2AC46EA9"/>
    <w:rsid w:val="2AF50F82"/>
    <w:rsid w:val="2B043FDB"/>
    <w:rsid w:val="2B1C5C3D"/>
    <w:rsid w:val="2B446695"/>
    <w:rsid w:val="2B451B38"/>
    <w:rsid w:val="2B457143"/>
    <w:rsid w:val="2B5873FA"/>
    <w:rsid w:val="2B5F17B8"/>
    <w:rsid w:val="2B640CE9"/>
    <w:rsid w:val="2B6F3D65"/>
    <w:rsid w:val="2B826A15"/>
    <w:rsid w:val="2B994E9D"/>
    <w:rsid w:val="2B9F440E"/>
    <w:rsid w:val="2BCA7A15"/>
    <w:rsid w:val="2BFC75FE"/>
    <w:rsid w:val="2C225973"/>
    <w:rsid w:val="2C303448"/>
    <w:rsid w:val="2C655690"/>
    <w:rsid w:val="2CA3146B"/>
    <w:rsid w:val="2CAB4A1A"/>
    <w:rsid w:val="2CC50F8D"/>
    <w:rsid w:val="2CC62BE5"/>
    <w:rsid w:val="2CD85913"/>
    <w:rsid w:val="2CEC427A"/>
    <w:rsid w:val="2CF1337F"/>
    <w:rsid w:val="2CF6422C"/>
    <w:rsid w:val="2D315F55"/>
    <w:rsid w:val="2D3856DC"/>
    <w:rsid w:val="2D4676B1"/>
    <w:rsid w:val="2D595506"/>
    <w:rsid w:val="2D8A380B"/>
    <w:rsid w:val="2DDC0B5C"/>
    <w:rsid w:val="2DFA1131"/>
    <w:rsid w:val="2E201964"/>
    <w:rsid w:val="2E551C75"/>
    <w:rsid w:val="2E575FBA"/>
    <w:rsid w:val="2E794BD9"/>
    <w:rsid w:val="2E8542D6"/>
    <w:rsid w:val="2E884DBD"/>
    <w:rsid w:val="2E964E2A"/>
    <w:rsid w:val="2EA10E3B"/>
    <w:rsid w:val="2EB5368F"/>
    <w:rsid w:val="2EC504F9"/>
    <w:rsid w:val="2ED22B1D"/>
    <w:rsid w:val="2F6839AF"/>
    <w:rsid w:val="2F7C7CF1"/>
    <w:rsid w:val="2F936379"/>
    <w:rsid w:val="2FD1009E"/>
    <w:rsid w:val="2FD2680B"/>
    <w:rsid w:val="2FE73D65"/>
    <w:rsid w:val="2FF6508B"/>
    <w:rsid w:val="301B0D63"/>
    <w:rsid w:val="3071271E"/>
    <w:rsid w:val="30A43435"/>
    <w:rsid w:val="30CA6CB2"/>
    <w:rsid w:val="30E06041"/>
    <w:rsid w:val="30EA36A2"/>
    <w:rsid w:val="30F71CFB"/>
    <w:rsid w:val="31132938"/>
    <w:rsid w:val="31291E9E"/>
    <w:rsid w:val="314E63C6"/>
    <w:rsid w:val="315216B2"/>
    <w:rsid w:val="31523460"/>
    <w:rsid w:val="31561DC2"/>
    <w:rsid w:val="315B1458"/>
    <w:rsid w:val="31942449"/>
    <w:rsid w:val="31957F08"/>
    <w:rsid w:val="31A77BC5"/>
    <w:rsid w:val="31A97905"/>
    <w:rsid w:val="31EA67E6"/>
    <w:rsid w:val="320335ED"/>
    <w:rsid w:val="32042895"/>
    <w:rsid w:val="32281B2C"/>
    <w:rsid w:val="323D1E85"/>
    <w:rsid w:val="32462B1E"/>
    <w:rsid w:val="326E0133"/>
    <w:rsid w:val="32745A66"/>
    <w:rsid w:val="32755172"/>
    <w:rsid w:val="32915BD5"/>
    <w:rsid w:val="329C1745"/>
    <w:rsid w:val="32B14E64"/>
    <w:rsid w:val="32B90D5E"/>
    <w:rsid w:val="32C4038E"/>
    <w:rsid w:val="32C438A6"/>
    <w:rsid w:val="32CA1D0A"/>
    <w:rsid w:val="32D63C1D"/>
    <w:rsid w:val="32E465AD"/>
    <w:rsid w:val="33022C64"/>
    <w:rsid w:val="33105381"/>
    <w:rsid w:val="33146F93"/>
    <w:rsid w:val="33247AF3"/>
    <w:rsid w:val="333B5E40"/>
    <w:rsid w:val="333E01D9"/>
    <w:rsid w:val="337F42B4"/>
    <w:rsid w:val="33925D96"/>
    <w:rsid w:val="33C628C7"/>
    <w:rsid w:val="33EA226B"/>
    <w:rsid w:val="33FD6DAC"/>
    <w:rsid w:val="34140E66"/>
    <w:rsid w:val="341F4793"/>
    <w:rsid w:val="34485E1F"/>
    <w:rsid w:val="344F012B"/>
    <w:rsid w:val="345D03FA"/>
    <w:rsid w:val="34650274"/>
    <w:rsid w:val="346C34B7"/>
    <w:rsid w:val="347B2445"/>
    <w:rsid w:val="34832594"/>
    <w:rsid w:val="34BB13EA"/>
    <w:rsid w:val="34D2328A"/>
    <w:rsid w:val="34E02D8C"/>
    <w:rsid w:val="34E5796A"/>
    <w:rsid w:val="35036FEC"/>
    <w:rsid w:val="350659BC"/>
    <w:rsid w:val="35337E55"/>
    <w:rsid w:val="35414088"/>
    <w:rsid w:val="3555309B"/>
    <w:rsid w:val="35566473"/>
    <w:rsid w:val="35671D42"/>
    <w:rsid w:val="35773163"/>
    <w:rsid w:val="357946BD"/>
    <w:rsid w:val="35831336"/>
    <w:rsid w:val="35AF0E81"/>
    <w:rsid w:val="35C35997"/>
    <w:rsid w:val="35E0371C"/>
    <w:rsid w:val="360464C0"/>
    <w:rsid w:val="361240AE"/>
    <w:rsid w:val="36295795"/>
    <w:rsid w:val="3665425F"/>
    <w:rsid w:val="368D43A2"/>
    <w:rsid w:val="36997495"/>
    <w:rsid w:val="369C25AC"/>
    <w:rsid w:val="369D7DA3"/>
    <w:rsid w:val="36B424C7"/>
    <w:rsid w:val="36BB514C"/>
    <w:rsid w:val="36C4095C"/>
    <w:rsid w:val="36DC2357"/>
    <w:rsid w:val="37310A0F"/>
    <w:rsid w:val="37562E82"/>
    <w:rsid w:val="38001FB3"/>
    <w:rsid w:val="380265EC"/>
    <w:rsid w:val="38161688"/>
    <w:rsid w:val="382172F9"/>
    <w:rsid w:val="38231D43"/>
    <w:rsid w:val="38310A62"/>
    <w:rsid w:val="3832617D"/>
    <w:rsid w:val="386D5023"/>
    <w:rsid w:val="3875059D"/>
    <w:rsid w:val="3891486E"/>
    <w:rsid w:val="389F6445"/>
    <w:rsid w:val="38B42740"/>
    <w:rsid w:val="38C442CC"/>
    <w:rsid w:val="38DF7323"/>
    <w:rsid w:val="38E35AD8"/>
    <w:rsid w:val="38E946AA"/>
    <w:rsid w:val="390F1C37"/>
    <w:rsid w:val="390F7DD7"/>
    <w:rsid w:val="391140D6"/>
    <w:rsid w:val="392258C9"/>
    <w:rsid w:val="3942293E"/>
    <w:rsid w:val="39671A73"/>
    <w:rsid w:val="397C30BF"/>
    <w:rsid w:val="397E5EB3"/>
    <w:rsid w:val="3989221B"/>
    <w:rsid w:val="39AC56D7"/>
    <w:rsid w:val="39CF3290"/>
    <w:rsid w:val="39EF7065"/>
    <w:rsid w:val="39F85EFD"/>
    <w:rsid w:val="3A103EB8"/>
    <w:rsid w:val="3A192D6D"/>
    <w:rsid w:val="3A3301DF"/>
    <w:rsid w:val="3A5A62AC"/>
    <w:rsid w:val="3A5B6A7A"/>
    <w:rsid w:val="3A695377"/>
    <w:rsid w:val="3A6B5017"/>
    <w:rsid w:val="3A7E2DA9"/>
    <w:rsid w:val="3AE570F3"/>
    <w:rsid w:val="3AF256A5"/>
    <w:rsid w:val="3AF70BD4"/>
    <w:rsid w:val="3B077069"/>
    <w:rsid w:val="3B0C0B24"/>
    <w:rsid w:val="3B4B7D33"/>
    <w:rsid w:val="3B6504A6"/>
    <w:rsid w:val="3B6735A2"/>
    <w:rsid w:val="3B8C4BE8"/>
    <w:rsid w:val="3B976916"/>
    <w:rsid w:val="3BCB4B07"/>
    <w:rsid w:val="3BF515B8"/>
    <w:rsid w:val="3BFA6BCE"/>
    <w:rsid w:val="3BFB5C8F"/>
    <w:rsid w:val="3C221BAD"/>
    <w:rsid w:val="3C406CD7"/>
    <w:rsid w:val="3C4170EE"/>
    <w:rsid w:val="3C4720F4"/>
    <w:rsid w:val="3C4B2F73"/>
    <w:rsid w:val="3C4C6491"/>
    <w:rsid w:val="3C5C33E5"/>
    <w:rsid w:val="3C660FD1"/>
    <w:rsid w:val="3C9E1074"/>
    <w:rsid w:val="3CB20C11"/>
    <w:rsid w:val="3CB21D9B"/>
    <w:rsid w:val="3CC6540F"/>
    <w:rsid w:val="3CD25455"/>
    <w:rsid w:val="3D053A7C"/>
    <w:rsid w:val="3D271C45"/>
    <w:rsid w:val="3D454380"/>
    <w:rsid w:val="3D670293"/>
    <w:rsid w:val="3D8522C5"/>
    <w:rsid w:val="3D8D5EA2"/>
    <w:rsid w:val="3DA22203"/>
    <w:rsid w:val="3DC6320C"/>
    <w:rsid w:val="3DD60EA2"/>
    <w:rsid w:val="3E0A6674"/>
    <w:rsid w:val="3E1D012E"/>
    <w:rsid w:val="3E2D3326"/>
    <w:rsid w:val="3E385776"/>
    <w:rsid w:val="3E591EB2"/>
    <w:rsid w:val="3E5E5BF8"/>
    <w:rsid w:val="3E823E10"/>
    <w:rsid w:val="3E9F0F73"/>
    <w:rsid w:val="3EA64DEB"/>
    <w:rsid w:val="3EAB5934"/>
    <w:rsid w:val="3EC741D8"/>
    <w:rsid w:val="3ED23E32"/>
    <w:rsid w:val="3ED31B2C"/>
    <w:rsid w:val="3EEE43E3"/>
    <w:rsid w:val="3EF50C07"/>
    <w:rsid w:val="3EF54076"/>
    <w:rsid w:val="3F200799"/>
    <w:rsid w:val="3F2C1CED"/>
    <w:rsid w:val="3F2C3CB0"/>
    <w:rsid w:val="3F475088"/>
    <w:rsid w:val="3F7B44BC"/>
    <w:rsid w:val="3FC457F7"/>
    <w:rsid w:val="3FD71C33"/>
    <w:rsid w:val="3FDE65F3"/>
    <w:rsid w:val="3FE34C01"/>
    <w:rsid w:val="3FE67B95"/>
    <w:rsid w:val="401006BD"/>
    <w:rsid w:val="401A346B"/>
    <w:rsid w:val="402661E4"/>
    <w:rsid w:val="40503261"/>
    <w:rsid w:val="405834AE"/>
    <w:rsid w:val="40C86820"/>
    <w:rsid w:val="40C94DC1"/>
    <w:rsid w:val="40DF03D6"/>
    <w:rsid w:val="410152A9"/>
    <w:rsid w:val="41256E84"/>
    <w:rsid w:val="419533E1"/>
    <w:rsid w:val="41A43864"/>
    <w:rsid w:val="41C96AF1"/>
    <w:rsid w:val="41D07866"/>
    <w:rsid w:val="41EA6630"/>
    <w:rsid w:val="41F9434B"/>
    <w:rsid w:val="420D1579"/>
    <w:rsid w:val="42172D86"/>
    <w:rsid w:val="4262727B"/>
    <w:rsid w:val="42725710"/>
    <w:rsid w:val="429F7DEE"/>
    <w:rsid w:val="42EA0614"/>
    <w:rsid w:val="431C567C"/>
    <w:rsid w:val="432127FA"/>
    <w:rsid w:val="432B7EEE"/>
    <w:rsid w:val="435729D0"/>
    <w:rsid w:val="435B55A5"/>
    <w:rsid w:val="43653127"/>
    <w:rsid w:val="43995203"/>
    <w:rsid w:val="43A47C59"/>
    <w:rsid w:val="43C95E9E"/>
    <w:rsid w:val="43CC2629"/>
    <w:rsid w:val="43CE088A"/>
    <w:rsid w:val="43DE6DD5"/>
    <w:rsid w:val="43FF401D"/>
    <w:rsid w:val="44291F4D"/>
    <w:rsid w:val="443E4443"/>
    <w:rsid w:val="4467255E"/>
    <w:rsid w:val="44833725"/>
    <w:rsid w:val="44A95BD0"/>
    <w:rsid w:val="44B73DBB"/>
    <w:rsid w:val="44C67F95"/>
    <w:rsid w:val="44D53D34"/>
    <w:rsid w:val="44D86389"/>
    <w:rsid w:val="44DA39D7"/>
    <w:rsid w:val="44EA5F13"/>
    <w:rsid w:val="4508490B"/>
    <w:rsid w:val="45125F7E"/>
    <w:rsid w:val="451A1E03"/>
    <w:rsid w:val="4557344D"/>
    <w:rsid w:val="45682DFA"/>
    <w:rsid w:val="45740414"/>
    <w:rsid w:val="45792B73"/>
    <w:rsid w:val="45806396"/>
    <w:rsid w:val="45AC0555"/>
    <w:rsid w:val="45CB2940"/>
    <w:rsid w:val="45CF6D6F"/>
    <w:rsid w:val="45D97854"/>
    <w:rsid w:val="45DE58BD"/>
    <w:rsid w:val="4637777E"/>
    <w:rsid w:val="463D744C"/>
    <w:rsid w:val="464306AC"/>
    <w:rsid w:val="467001B9"/>
    <w:rsid w:val="467438E1"/>
    <w:rsid w:val="468A1328"/>
    <w:rsid w:val="46A078EC"/>
    <w:rsid w:val="46C62EF8"/>
    <w:rsid w:val="46FC7967"/>
    <w:rsid w:val="46FE2242"/>
    <w:rsid w:val="470D5FE6"/>
    <w:rsid w:val="471A5365"/>
    <w:rsid w:val="472C6263"/>
    <w:rsid w:val="473E2141"/>
    <w:rsid w:val="477E5CB2"/>
    <w:rsid w:val="47A345BE"/>
    <w:rsid w:val="47BD2ED0"/>
    <w:rsid w:val="47C66890"/>
    <w:rsid w:val="47C81235"/>
    <w:rsid w:val="480212E4"/>
    <w:rsid w:val="482D5AAD"/>
    <w:rsid w:val="483005FB"/>
    <w:rsid w:val="4847001C"/>
    <w:rsid w:val="48480A7F"/>
    <w:rsid w:val="484823EC"/>
    <w:rsid w:val="485E04E5"/>
    <w:rsid w:val="486D71FE"/>
    <w:rsid w:val="4876750A"/>
    <w:rsid w:val="487D7E8B"/>
    <w:rsid w:val="48B147F9"/>
    <w:rsid w:val="48BA0136"/>
    <w:rsid w:val="48C670FE"/>
    <w:rsid w:val="48C72D96"/>
    <w:rsid w:val="48F9496F"/>
    <w:rsid w:val="48FB7FBD"/>
    <w:rsid w:val="493043B6"/>
    <w:rsid w:val="49387C84"/>
    <w:rsid w:val="494E0C48"/>
    <w:rsid w:val="4989333F"/>
    <w:rsid w:val="49926016"/>
    <w:rsid w:val="49B05584"/>
    <w:rsid w:val="49C1485A"/>
    <w:rsid w:val="49E012F6"/>
    <w:rsid w:val="49EA2E70"/>
    <w:rsid w:val="49EF45A5"/>
    <w:rsid w:val="4A27211E"/>
    <w:rsid w:val="4A384B9D"/>
    <w:rsid w:val="4A6A203C"/>
    <w:rsid w:val="4AA9233E"/>
    <w:rsid w:val="4AB93625"/>
    <w:rsid w:val="4ACE1952"/>
    <w:rsid w:val="4AF528F5"/>
    <w:rsid w:val="4B062BD9"/>
    <w:rsid w:val="4B945695"/>
    <w:rsid w:val="4B975CC9"/>
    <w:rsid w:val="4BAC58F5"/>
    <w:rsid w:val="4BCF57F6"/>
    <w:rsid w:val="4BF21DCC"/>
    <w:rsid w:val="4BFF6805"/>
    <w:rsid w:val="4C191EC0"/>
    <w:rsid w:val="4C201416"/>
    <w:rsid w:val="4C5C7548"/>
    <w:rsid w:val="4C6D0D8A"/>
    <w:rsid w:val="4C765087"/>
    <w:rsid w:val="4C852728"/>
    <w:rsid w:val="4C8E1FF9"/>
    <w:rsid w:val="4C9E4B73"/>
    <w:rsid w:val="4CAC2B07"/>
    <w:rsid w:val="4CBE5954"/>
    <w:rsid w:val="4CE27DB3"/>
    <w:rsid w:val="4CE879BE"/>
    <w:rsid w:val="4CF66F3E"/>
    <w:rsid w:val="4CFD651E"/>
    <w:rsid w:val="4D0640BC"/>
    <w:rsid w:val="4D0D4C45"/>
    <w:rsid w:val="4D267A05"/>
    <w:rsid w:val="4D584BE5"/>
    <w:rsid w:val="4D6455CC"/>
    <w:rsid w:val="4D6550F2"/>
    <w:rsid w:val="4D693BB4"/>
    <w:rsid w:val="4DA65320"/>
    <w:rsid w:val="4DDD2235"/>
    <w:rsid w:val="4DEB632E"/>
    <w:rsid w:val="4DF74D1B"/>
    <w:rsid w:val="4DFA2A5E"/>
    <w:rsid w:val="4E386E2C"/>
    <w:rsid w:val="4E74636C"/>
    <w:rsid w:val="4EB41A09"/>
    <w:rsid w:val="4EBC120C"/>
    <w:rsid w:val="4EF70D4B"/>
    <w:rsid w:val="4F0022F6"/>
    <w:rsid w:val="4F084EF3"/>
    <w:rsid w:val="4F186465"/>
    <w:rsid w:val="4F2012E2"/>
    <w:rsid w:val="4F351F9F"/>
    <w:rsid w:val="4F3B6582"/>
    <w:rsid w:val="4F5151E2"/>
    <w:rsid w:val="4F692CA4"/>
    <w:rsid w:val="4F6F5570"/>
    <w:rsid w:val="4F73455F"/>
    <w:rsid w:val="4FA75F1F"/>
    <w:rsid w:val="4FB96FCF"/>
    <w:rsid w:val="4FC63203"/>
    <w:rsid w:val="4FEC2968"/>
    <w:rsid w:val="4FF16428"/>
    <w:rsid w:val="50034F5C"/>
    <w:rsid w:val="502413B8"/>
    <w:rsid w:val="502678B2"/>
    <w:rsid w:val="50285660"/>
    <w:rsid w:val="503009B9"/>
    <w:rsid w:val="504C1BD9"/>
    <w:rsid w:val="50CC392A"/>
    <w:rsid w:val="50D26AC9"/>
    <w:rsid w:val="50DC451C"/>
    <w:rsid w:val="50E31AE7"/>
    <w:rsid w:val="51057A2C"/>
    <w:rsid w:val="51200A2D"/>
    <w:rsid w:val="514B234A"/>
    <w:rsid w:val="514D0C2B"/>
    <w:rsid w:val="51532A3C"/>
    <w:rsid w:val="51583D23"/>
    <w:rsid w:val="517D1ED4"/>
    <w:rsid w:val="51837EC7"/>
    <w:rsid w:val="5185002C"/>
    <w:rsid w:val="51894824"/>
    <w:rsid w:val="51BB51A1"/>
    <w:rsid w:val="523D45B7"/>
    <w:rsid w:val="52841617"/>
    <w:rsid w:val="52867BAB"/>
    <w:rsid w:val="52954080"/>
    <w:rsid w:val="52A927F6"/>
    <w:rsid w:val="52AD2A47"/>
    <w:rsid w:val="52CC6B65"/>
    <w:rsid w:val="52EB1306"/>
    <w:rsid w:val="52F02E14"/>
    <w:rsid w:val="52F41756"/>
    <w:rsid w:val="52F83F00"/>
    <w:rsid w:val="530E5A37"/>
    <w:rsid w:val="5314011E"/>
    <w:rsid w:val="533B35CB"/>
    <w:rsid w:val="5353635F"/>
    <w:rsid w:val="53547279"/>
    <w:rsid w:val="5357181E"/>
    <w:rsid w:val="53652D12"/>
    <w:rsid w:val="53781A4F"/>
    <w:rsid w:val="53931DB1"/>
    <w:rsid w:val="5408103C"/>
    <w:rsid w:val="5415732F"/>
    <w:rsid w:val="54422183"/>
    <w:rsid w:val="545C6BAD"/>
    <w:rsid w:val="54BB7C55"/>
    <w:rsid w:val="54C27F3E"/>
    <w:rsid w:val="54D42486"/>
    <w:rsid w:val="54E91B4E"/>
    <w:rsid w:val="54FB77E7"/>
    <w:rsid w:val="54FD6C6C"/>
    <w:rsid w:val="55064260"/>
    <w:rsid w:val="552C7DA5"/>
    <w:rsid w:val="5533062F"/>
    <w:rsid w:val="554F18E1"/>
    <w:rsid w:val="555D3FFE"/>
    <w:rsid w:val="555D5CBB"/>
    <w:rsid w:val="555F2020"/>
    <w:rsid w:val="555F3C3B"/>
    <w:rsid w:val="556E72A6"/>
    <w:rsid w:val="558477DD"/>
    <w:rsid w:val="55AE6607"/>
    <w:rsid w:val="55B029DF"/>
    <w:rsid w:val="55C63648"/>
    <w:rsid w:val="55EB27B8"/>
    <w:rsid w:val="55EE1809"/>
    <w:rsid w:val="55F2338B"/>
    <w:rsid w:val="5633546E"/>
    <w:rsid w:val="563805C7"/>
    <w:rsid w:val="56553606"/>
    <w:rsid w:val="56691E70"/>
    <w:rsid w:val="569E48CE"/>
    <w:rsid w:val="56C105BC"/>
    <w:rsid w:val="57001653"/>
    <w:rsid w:val="5716575C"/>
    <w:rsid w:val="572C012C"/>
    <w:rsid w:val="57402DDC"/>
    <w:rsid w:val="575933F7"/>
    <w:rsid w:val="57686659"/>
    <w:rsid w:val="578E7280"/>
    <w:rsid w:val="57AC35FC"/>
    <w:rsid w:val="57B109EE"/>
    <w:rsid w:val="57CA524F"/>
    <w:rsid w:val="58390987"/>
    <w:rsid w:val="584F7C0B"/>
    <w:rsid w:val="585711D8"/>
    <w:rsid w:val="585A1CCA"/>
    <w:rsid w:val="58691B3A"/>
    <w:rsid w:val="586D424A"/>
    <w:rsid w:val="58983878"/>
    <w:rsid w:val="589A61DC"/>
    <w:rsid w:val="58A555FA"/>
    <w:rsid w:val="58BB6822"/>
    <w:rsid w:val="58DC6528"/>
    <w:rsid w:val="58E249F3"/>
    <w:rsid w:val="58F55924"/>
    <w:rsid w:val="590A2744"/>
    <w:rsid w:val="590F4AB5"/>
    <w:rsid w:val="59155674"/>
    <w:rsid w:val="59442009"/>
    <w:rsid w:val="594635F3"/>
    <w:rsid w:val="598717BE"/>
    <w:rsid w:val="59A410B3"/>
    <w:rsid w:val="59AE16B5"/>
    <w:rsid w:val="59AF1288"/>
    <w:rsid w:val="59BB7545"/>
    <w:rsid w:val="59D46310"/>
    <w:rsid w:val="5A0507C0"/>
    <w:rsid w:val="5A0D2E6E"/>
    <w:rsid w:val="5A10328C"/>
    <w:rsid w:val="5A144C06"/>
    <w:rsid w:val="5A2541BF"/>
    <w:rsid w:val="5A4007D5"/>
    <w:rsid w:val="5A5131B6"/>
    <w:rsid w:val="5A6F545C"/>
    <w:rsid w:val="5A707AB2"/>
    <w:rsid w:val="5A737CC6"/>
    <w:rsid w:val="5A76346C"/>
    <w:rsid w:val="5A7871E4"/>
    <w:rsid w:val="5A9E7AA3"/>
    <w:rsid w:val="5AA36965"/>
    <w:rsid w:val="5AAB0730"/>
    <w:rsid w:val="5AFA0EE0"/>
    <w:rsid w:val="5B0A6FB9"/>
    <w:rsid w:val="5B1D332B"/>
    <w:rsid w:val="5B3853D1"/>
    <w:rsid w:val="5B454FDE"/>
    <w:rsid w:val="5B6C3F69"/>
    <w:rsid w:val="5B9B5880"/>
    <w:rsid w:val="5BE81379"/>
    <w:rsid w:val="5BEC7E8A"/>
    <w:rsid w:val="5BF86250"/>
    <w:rsid w:val="5C5D3550"/>
    <w:rsid w:val="5C5E46C6"/>
    <w:rsid w:val="5C6701AE"/>
    <w:rsid w:val="5C7526A3"/>
    <w:rsid w:val="5C7712DE"/>
    <w:rsid w:val="5CBF1327"/>
    <w:rsid w:val="5CCE7E9F"/>
    <w:rsid w:val="5CE15879"/>
    <w:rsid w:val="5CEB635F"/>
    <w:rsid w:val="5D07210E"/>
    <w:rsid w:val="5D290C69"/>
    <w:rsid w:val="5D584DCA"/>
    <w:rsid w:val="5D7B70EA"/>
    <w:rsid w:val="5DA122E2"/>
    <w:rsid w:val="5DA82D1C"/>
    <w:rsid w:val="5DAE1D87"/>
    <w:rsid w:val="5DD408AA"/>
    <w:rsid w:val="5DDF0493"/>
    <w:rsid w:val="5E437FD7"/>
    <w:rsid w:val="5E60690D"/>
    <w:rsid w:val="5E65576F"/>
    <w:rsid w:val="5E8E16BD"/>
    <w:rsid w:val="5E8E47AC"/>
    <w:rsid w:val="5EC228D7"/>
    <w:rsid w:val="5ED807BE"/>
    <w:rsid w:val="5EFE0CF5"/>
    <w:rsid w:val="5EFF99E4"/>
    <w:rsid w:val="5F0C439F"/>
    <w:rsid w:val="5F36775C"/>
    <w:rsid w:val="5F5971F7"/>
    <w:rsid w:val="5FA016B7"/>
    <w:rsid w:val="5FA80263"/>
    <w:rsid w:val="5FAC0DA3"/>
    <w:rsid w:val="5FBB3444"/>
    <w:rsid w:val="5FD03B77"/>
    <w:rsid w:val="5FF7CC1C"/>
    <w:rsid w:val="5FF84E2C"/>
    <w:rsid w:val="5FF947B7"/>
    <w:rsid w:val="6006482D"/>
    <w:rsid w:val="600719BE"/>
    <w:rsid w:val="600772B4"/>
    <w:rsid w:val="600F3D49"/>
    <w:rsid w:val="603D2BB7"/>
    <w:rsid w:val="607B2985"/>
    <w:rsid w:val="607C63CF"/>
    <w:rsid w:val="60F11893"/>
    <w:rsid w:val="60F91A18"/>
    <w:rsid w:val="61263537"/>
    <w:rsid w:val="612A5DE1"/>
    <w:rsid w:val="61373658"/>
    <w:rsid w:val="61433767"/>
    <w:rsid w:val="617961BF"/>
    <w:rsid w:val="61B0262B"/>
    <w:rsid w:val="61B96B9A"/>
    <w:rsid w:val="61BD2E8E"/>
    <w:rsid w:val="61CF3C7B"/>
    <w:rsid w:val="61E47638"/>
    <w:rsid w:val="61F372A9"/>
    <w:rsid w:val="61F41846"/>
    <w:rsid w:val="622A23E9"/>
    <w:rsid w:val="62332990"/>
    <w:rsid w:val="624A57FB"/>
    <w:rsid w:val="63414F5F"/>
    <w:rsid w:val="634E4F86"/>
    <w:rsid w:val="63714F2B"/>
    <w:rsid w:val="637204E5"/>
    <w:rsid w:val="63965585"/>
    <w:rsid w:val="63AF814B"/>
    <w:rsid w:val="63B70D7D"/>
    <w:rsid w:val="63C6299D"/>
    <w:rsid w:val="63D644BB"/>
    <w:rsid w:val="63E545B0"/>
    <w:rsid w:val="63F024E1"/>
    <w:rsid w:val="63F45CCF"/>
    <w:rsid w:val="6424693C"/>
    <w:rsid w:val="6428605E"/>
    <w:rsid w:val="642D54E3"/>
    <w:rsid w:val="643A1B71"/>
    <w:rsid w:val="644761FE"/>
    <w:rsid w:val="644840CB"/>
    <w:rsid w:val="646942C4"/>
    <w:rsid w:val="64970BAF"/>
    <w:rsid w:val="64B1428D"/>
    <w:rsid w:val="64B17EC2"/>
    <w:rsid w:val="64E536C8"/>
    <w:rsid w:val="64F97173"/>
    <w:rsid w:val="65035062"/>
    <w:rsid w:val="65193CBC"/>
    <w:rsid w:val="6559640D"/>
    <w:rsid w:val="65767F29"/>
    <w:rsid w:val="658E6A5E"/>
    <w:rsid w:val="65A34254"/>
    <w:rsid w:val="65A90B99"/>
    <w:rsid w:val="65B05875"/>
    <w:rsid w:val="65EC30B3"/>
    <w:rsid w:val="65FF1F7F"/>
    <w:rsid w:val="66077077"/>
    <w:rsid w:val="66135468"/>
    <w:rsid w:val="66252BC6"/>
    <w:rsid w:val="66470B3E"/>
    <w:rsid w:val="665D4880"/>
    <w:rsid w:val="66734B1E"/>
    <w:rsid w:val="668138C4"/>
    <w:rsid w:val="66DF7D3A"/>
    <w:rsid w:val="66E30C45"/>
    <w:rsid w:val="66EA15B1"/>
    <w:rsid w:val="6700679F"/>
    <w:rsid w:val="67022B97"/>
    <w:rsid w:val="6706337E"/>
    <w:rsid w:val="673E0EA0"/>
    <w:rsid w:val="675E48F7"/>
    <w:rsid w:val="676344BB"/>
    <w:rsid w:val="677D4A26"/>
    <w:rsid w:val="67B669F5"/>
    <w:rsid w:val="67E62186"/>
    <w:rsid w:val="67E976AE"/>
    <w:rsid w:val="67EC23EE"/>
    <w:rsid w:val="6817303B"/>
    <w:rsid w:val="681D2FD1"/>
    <w:rsid w:val="682A411B"/>
    <w:rsid w:val="6848412E"/>
    <w:rsid w:val="686231A1"/>
    <w:rsid w:val="68646FFA"/>
    <w:rsid w:val="686537EF"/>
    <w:rsid w:val="68727C97"/>
    <w:rsid w:val="6875754E"/>
    <w:rsid w:val="687D775B"/>
    <w:rsid w:val="687E630D"/>
    <w:rsid w:val="68883139"/>
    <w:rsid w:val="68884972"/>
    <w:rsid w:val="689E7012"/>
    <w:rsid w:val="68E629BE"/>
    <w:rsid w:val="697B284D"/>
    <w:rsid w:val="698D3C91"/>
    <w:rsid w:val="699317DE"/>
    <w:rsid w:val="69BA394D"/>
    <w:rsid w:val="69D33D27"/>
    <w:rsid w:val="69E001F6"/>
    <w:rsid w:val="69F8687A"/>
    <w:rsid w:val="6A1E4AB4"/>
    <w:rsid w:val="6A3045DE"/>
    <w:rsid w:val="6A4E644F"/>
    <w:rsid w:val="6A552C99"/>
    <w:rsid w:val="6A6652AB"/>
    <w:rsid w:val="6A6D3518"/>
    <w:rsid w:val="6A794FDE"/>
    <w:rsid w:val="6A8063A9"/>
    <w:rsid w:val="6AEA7C8A"/>
    <w:rsid w:val="6AF02DC7"/>
    <w:rsid w:val="6AF176E7"/>
    <w:rsid w:val="6AF3512F"/>
    <w:rsid w:val="6B1E3978"/>
    <w:rsid w:val="6B296741"/>
    <w:rsid w:val="6B493496"/>
    <w:rsid w:val="6B5C6413"/>
    <w:rsid w:val="6BAC3191"/>
    <w:rsid w:val="6BB12556"/>
    <w:rsid w:val="6BD37DB0"/>
    <w:rsid w:val="6BE27C5A"/>
    <w:rsid w:val="6BEA5986"/>
    <w:rsid w:val="6BF077B0"/>
    <w:rsid w:val="6C2B4A9E"/>
    <w:rsid w:val="6C532CBE"/>
    <w:rsid w:val="6C705E48"/>
    <w:rsid w:val="6C7376C7"/>
    <w:rsid w:val="6C9932E8"/>
    <w:rsid w:val="6C9B7BDA"/>
    <w:rsid w:val="6CA74DD8"/>
    <w:rsid w:val="6CCC5F89"/>
    <w:rsid w:val="6CE13663"/>
    <w:rsid w:val="6D1056EB"/>
    <w:rsid w:val="6D2E35BE"/>
    <w:rsid w:val="6D651BD3"/>
    <w:rsid w:val="6D7A1FBF"/>
    <w:rsid w:val="6D9BFF4E"/>
    <w:rsid w:val="6DAF51BB"/>
    <w:rsid w:val="6DB42D87"/>
    <w:rsid w:val="6DDF237B"/>
    <w:rsid w:val="6E091EF8"/>
    <w:rsid w:val="6E42274C"/>
    <w:rsid w:val="6E495C23"/>
    <w:rsid w:val="6E4C249A"/>
    <w:rsid w:val="6E5C33F3"/>
    <w:rsid w:val="6E6E472E"/>
    <w:rsid w:val="6E745B74"/>
    <w:rsid w:val="6E76333D"/>
    <w:rsid w:val="6E8D1A24"/>
    <w:rsid w:val="6E8E0116"/>
    <w:rsid w:val="6E9E70C4"/>
    <w:rsid w:val="6EA62362"/>
    <w:rsid w:val="6EA77DDD"/>
    <w:rsid w:val="6EB6414C"/>
    <w:rsid w:val="6EC32CCC"/>
    <w:rsid w:val="6EDA5FE8"/>
    <w:rsid w:val="6EF94940"/>
    <w:rsid w:val="6EFDE14C"/>
    <w:rsid w:val="6F070F85"/>
    <w:rsid w:val="6F2503A8"/>
    <w:rsid w:val="6F2A387D"/>
    <w:rsid w:val="6F2E3EBD"/>
    <w:rsid w:val="6F2F0F33"/>
    <w:rsid w:val="6F4A41E8"/>
    <w:rsid w:val="6F63317A"/>
    <w:rsid w:val="6F71365A"/>
    <w:rsid w:val="6F792DE5"/>
    <w:rsid w:val="6F8B1310"/>
    <w:rsid w:val="6F936635"/>
    <w:rsid w:val="6FC23C43"/>
    <w:rsid w:val="6FD34A02"/>
    <w:rsid w:val="6FDA5736"/>
    <w:rsid w:val="6FEB5C49"/>
    <w:rsid w:val="6FEF5CE3"/>
    <w:rsid w:val="6FF173C5"/>
    <w:rsid w:val="700A40C4"/>
    <w:rsid w:val="70110B8B"/>
    <w:rsid w:val="701E3F32"/>
    <w:rsid w:val="703D5BD5"/>
    <w:rsid w:val="70545BA6"/>
    <w:rsid w:val="70562664"/>
    <w:rsid w:val="705900A7"/>
    <w:rsid w:val="706A7307"/>
    <w:rsid w:val="708B6DC7"/>
    <w:rsid w:val="70C527E2"/>
    <w:rsid w:val="70DA60AB"/>
    <w:rsid w:val="70DF7B65"/>
    <w:rsid w:val="70E3734D"/>
    <w:rsid w:val="70E67ED5"/>
    <w:rsid w:val="70EA7E39"/>
    <w:rsid w:val="711F6FC8"/>
    <w:rsid w:val="714E0847"/>
    <w:rsid w:val="716B31A7"/>
    <w:rsid w:val="717C7162"/>
    <w:rsid w:val="719F5B9E"/>
    <w:rsid w:val="71A55152"/>
    <w:rsid w:val="71B72890"/>
    <w:rsid w:val="71E85286"/>
    <w:rsid w:val="71FD17B7"/>
    <w:rsid w:val="72181581"/>
    <w:rsid w:val="721F290F"/>
    <w:rsid w:val="723B1493"/>
    <w:rsid w:val="72546944"/>
    <w:rsid w:val="726A3FFD"/>
    <w:rsid w:val="72A17AE4"/>
    <w:rsid w:val="7374056D"/>
    <w:rsid w:val="73750244"/>
    <w:rsid w:val="738D7DDD"/>
    <w:rsid w:val="7398695F"/>
    <w:rsid w:val="73A33CF9"/>
    <w:rsid w:val="73B24097"/>
    <w:rsid w:val="73B4814A"/>
    <w:rsid w:val="742C457A"/>
    <w:rsid w:val="742E1E17"/>
    <w:rsid w:val="746F1759"/>
    <w:rsid w:val="74730CF0"/>
    <w:rsid w:val="74854CC0"/>
    <w:rsid w:val="749C01D6"/>
    <w:rsid w:val="749D1FAC"/>
    <w:rsid w:val="74A4511D"/>
    <w:rsid w:val="74C45573"/>
    <w:rsid w:val="74C460BA"/>
    <w:rsid w:val="74DA04F1"/>
    <w:rsid w:val="75012AA8"/>
    <w:rsid w:val="75063912"/>
    <w:rsid w:val="75520ECD"/>
    <w:rsid w:val="75544AAE"/>
    <w:rsid w:val="75575F1C"/>
    <w:rsid w:val="75634122"/>
    <w:rsid w:val="756D4B01"/>
    <w:rsid w:val="75784828"/>
    <w:rsid w:val="758F65B0"/>
    <w:rsid w:val="75952D23"/>
    <w:rsid w:val="75A01CBF"/>
    <w:rsid w:val="75D50637"/>
    <w:rsid w:val="75FE00A6"/>
    <w:rsid w:val="761402B1"/>
    <w:rsid w:val="762C69D1"/>
    <w:rsid w:val="76497846"/>
    <w:rsid w:val="76515061"/>
    <w:rsid w:val="765A141E"/>
    <w:rsid w:val="76692BE6"/>
    <w:rsid w:val="767E0527"/>
    <w:rsid w:val="76907181"/>
    <w:rsid w:val="769764F4"/>
    <w:rsid w:val="76A07D97"/>
    <w:rsid w:val="76B420BF"/>
    <w:rsid w:val="76B90343"/>
    <w:rsid w:val="76C87EF8"/>
    <w:rsid w:val="76E102E1"/>
    <w:rsid w:val="77090004"/>
    <w:rsid w:val="77112A42"/>
    <w:rsid w:val="772E0EFE"/>
    <w:rsid w:val="77387FCF"/>
    <w:rsid w:val="77467145"/>
    <w:rsid w:val="77756B2D"/>
    <w:rsid w:val="77A835E0"/>
    <w:rsid w:val="77B21CDD"/>
    <w:rsid w:val="77BA4E88"/>
    <w:rsid w:val="77BC5643"/>
    <w:rsid w:val="78067B96"/>
    <w:rsid w:val="782B2265"/>
    <w:rsid w:val="782F1766"/>
    <w:rsid w:val="78456A33"/>
    <w:rsid w:val="785D6523"/>
    <w:rsid w:val="7865656C"/>
    <w:rsid w:val="78986696"/>
    <w:rsid w:val="78AE1FE3"/>
    <w:rsid w:val="78B92662"/>
    <w:rsid w:val="78D2049C"/>
    <w:rsid w:val="78DA7590"/>
    <w:rsid w:val="78ED1419"/>
    <w:rsid w:val="78F33069"/>
    <w:rsid w:val="78FB01D9"/>
    <w:rsid w:val="793333D2"/>
    <w:rsid w:val="79334EF2"/>
    <w:rsid w:val="793A002E"/>
    <w:rsid w:val="793B2530"/>
    <w:rsid w:val="793D7432"/>
    <w:rsid w:val="793E4DD6"/>
    <w:rsid w:val="794D51C6"/>
    <w:rsid w:val="795C780D"/>
    <w:rsid w:val="79980BAE"/>
    <w:rsid w:val="799E2C15"/>
    <w:rsid w:val="79A90718"/>
    <w:rsid w:val="79DB0A4C"/>
    <w:rsid w:val="79E01886"/>
    <w:rsid w:val="79F03C79"/>
    <w:rsid w:val="79F521A7"/>
    <w:rsid w:val="79FC52E4"/>
    <w:rsid w:val="79FD0C94"/>
    <w:rsid w:val="7A055A2D"/>
    <w:rsid w:val="7A4A2E87"/>
    <w:rsid w:val="7A4E3666"/>
    <w:rsid w:val="7A54483F"/>
    <w:rsid w:val="7A54598A"/>
    <w:rsid w:val="7A68041A"/>
    <w:rsid w:val="7A6B4218"/>
    <w:rsid w:val="7A7C306E"/>
    <w:rsid w:val="7BD007D6"/>
    <w:rsid w:val="7BD664AB"/>
    <w:rsid w:val="7BDA78A7"/>
    <w:rsid w:val="7BE477A1"/>
    <w:rsid w:val="7BF02C26"/>
    <w:rsid w:val="7C422D11"/>
    <w:rsid w:val="7C483E93"/>
    <w:rsid w:val="7C490589"/>
    <w:rsid w:val="7C490611"/>
    <w:rsid w:val="7C742E90"/>
    <w:rsid w:val="7C7C43DF"/>
    <w:rsid w:val="7CB379E1"/>
    <w:rsid w:val="7CB77E6C"/>
    <w:rsid w:val="7D052831"/>
    <w:rsid w:val="7D1B6A69"/>
    <w:rsid w:val="7D20522C"/>
    <w:rsid w:val="7D22118B"/>
    <w:rsid w:val="7D4A55AC"/>
    <w:rsid w:val="7D9C2B51"/>
    <w:rsid w:val="7D9E2B5F"/>
    <w:rsid w:val="7DA05D3C"/>
    <w:rsid w:val="7DAB45AF"/>
    <w:rsid w:val="7DEA6834"/>
    <w:rsid w:val="7DEE7639"/>
    <w:rsid w:val="7DF7BE28"/>
    <w:rsid w:val="7DFB7ACD"/>
    <w:rsid w:val="7DFDF8D7"/>
    <w:rsid w:val="7E142CC9"/>
    <w:rsid w:val="7E171E94"/>
    <w:rsid w:val="7E2369FE"/>
    <w:rsid w:val="7E350B4F"/>
    <w:rsid w:val="7E483CE7"/>
    <w:rsid w:val="7E4B6D69"/>
    <w:rsid w:val="7E601D35"/>
    <w:rsid w:val="7E641A1E"/>
    <w:rsid w:val="7E8458A8"/>
    <w:rsid w:val="7E92710D"/>
    <w:rsid w:val="7ECF746B"/>
    <w:rsid w:val="7ED76320"/>
    <w:rsid w:val="7EE958EE"/>
    <w:rsid w:val="7EF235F4"/>
    <w:rsid w:val="7EF42A2E"/>
    <w:rsid w:val="7EF61764"/>
    <w:rsid w:val="7F0D4B2A"/>
    <w:rsid w:val="7F3B22C0"/>
    <w:rsid w:val="7F3B8211"/>
    <w:rsid w:val="7F40620A"/>
    <w:rsid w:val="7F48345D"/>
    <w:rsid w:val="7F4D7B77"/>
    <w:rsid w:val="7F51047A"/>
    <w:rsid w:val="7F6BF903"/>
    <w:rsid w:val="7F71407E"/>
    <w:rsid w:val="7F7D4830"/>
    <w:rsid w:val="7F80313B"/>
    <w:rsid w:val="7F975A70"/>
    <w:rsid w:val="7FA2093D"/>
    <w:rsid w:val="7FA41B35"/>
    <w:rsid w:val="7FBF0A92"/>
    <w:rsid w:val="7FCF6FF7"/>
    <w:rsid w:val="ACE534A2"/>
    <w:rsid w:val="B3DD7480"/>
    <w:rsid w:val="BDCF601B"/>
    <w:rsid w:val="CFFF66BC"/>
    <w:rsid w:val="D6FFE1E2"/>
    <w:rsid w:val="DB7B9D4F"/>
    <w:rsid w:val="DB7F4FEF"/>
    <w:rsid w:val="DD751FC0"/>
    <w:rsid w:val="DDD60D17"/>
    <w:rsid w:val="DF7F74E1"/>
    <w:rsid w:val="EEBD27A5"/>
    <w:rsid w:val="EED7149E"/>
    <w:rsid w:val="EF6F7BB2"/>
    <w:rsid w:val="F5FEC8DF"/>
    <w:rsid w:val="F70ED57B"/>
    <w:rsid w:val="F7BFED95"/>
    <w:rsid w:val="FA7E0622"/>
    <w:rsid w:val="FB7F2FD2"/>
    <w:rsid w:val="FBA51DE4"/>
    <w:rsid w:val="FCBF617E"/>
    <w:rsid w:val="FDDFED8D"/>
    <w:rsid w:val="FDFB4887"/>
    <w:rsid w:val="FDFF30A8"/>
    <w:rsid w:val="FEFC4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8"/>
    <w:autoRedefine/>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link w:val="49"/>
    <w:autoRedefine/>
    <w:qFormat/>
    <w:uiPriority w:val="0"/>
    <w:pPr>
      <w:keepNext/>
      <w:keepLines/>
      <w:spacing w:before="260" w:after="260" w:line="416" w:lineRule="auto"/>
      <w:outlineLvl w:val="1"/>
    </w:pPr>
    <w:rPr>
      <w:rFonts w:ascii="Cambria" w:hAnsi="Cambria"/>
      <w:bCs/>
      <w:kern w:val="2"/>
      <w:sz w:val="32"/>
      <w:szCs w:val="32"/>
    </w:rPr>
  </w:style>
  <w:style w:type="paragraph" w:styleId="4">
    <w:name w:val="heading 3"/>
    <w:basedOn w:val="1"/>
    <w:next w:val="1"/>
    <w:link w:val="50"/>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6"/>
    <w:link w:val="51"/>
    <w:autoRedefine/>
    <w:qFormat/>
    <w:uiPriority w:val="0"/>
    <w:pPr>
      <w:autoSpaceDE w:val="0"/>
      <w:autoSpaceDN w:val="0"/>
      <w:adjustRightInd w:val="0"/>
      <w:snapToGrid w:val="0"/>
      <w:spacing w:line="360" w:lineRule="auto"/>
      <w:outlineLvl w:val="3"/>
    </w:pPr>
    <w:rPr>
      <w:rFonts w:ascii="宋体" w:hAnsi="Arial"/>
      <w:color w:val="000000"/>
      <w:kern w:val="0"/>
      <w:szCs w:val="20"/>
    </w:rPr>
  </w:style>
  <w:style w:type="paragraph" w:styleId="7">
    <w:name w:val="heading 5"/>
    <w:basedOn w:val="1"/>
    <w:next w:val="1"/>
    <w:link w:val="53"/>
    <w:autoRedefine/>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paragraph" w:styleId="8">
    <w:name w:val="heading 6"/>
    <w:basedOn w:val="1"/>
    <w:next w:val="1"/>
    <w:link w:val="54"/>
    <w:autoRedefine/>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paragraph" w:styleId="9">
    <w:name w:val="heading 7"/>
    <w:basedOn w:val="1"/>
    <w:next w:val="6"/>
    <w:link w:val="55"/>
    <w:autoRedefine/>
    <w:qFormat/>
    <w:uiPriority w:val="0"/>
    <w:pPr>
      <w:keepNext/>
      <w:autoSpaceDE w:val="0"/>
      <w:autoSpaceDN w:val="0"/>
      <w:adjustRightInd w:val="0"/>
      <w:snapToGrid w:val="0"/>
      <w:spacing w:before="240" w:after="64" w:line="320" w:lineRule="auto"/>
      <w:outlineLvl w:val="6"/>
    </w:pPr>
    <w:rPr>
      <w:rFonts w:ascii="宋体"/>
      <w:b/>
      <w:color w:val="000000"/>
      <w:kern w:val="0"/>
      <w:sz w:val="24"/>
      <w:szCs w:val="20"/>
    </w:rPr>
  </w:style>
  <w:style w:type="paragraph" w:styleId="10">
    <w:name w:val="heading 8"/>
    <w:basedOn w:val="1"/>
    <w:next w:val="6"/>
    <w:link w:val="56"/>
    <w:autoRedefine/>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szCs w:val="20"/>
    </w:rPr>
  </w:style>
  <w:style w:type="paragraph" w:styleId="11">
    <w:name w:val="heading 9"/>
    <w:basedOn w:val="1"/>
    <w:next w:val="6"/>
    <w:link w:val="57"/>
    <w:autoRedefine/>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szCs w:val="20"/>
    </w:rPr>
  </w:style>
  <w:style w:type="character" w:default="1" w:styleId="39">
    <w:name w:val="Default Paragraph Font"/>
    <w:autoRedefine/>
    <w:qFormat/>
    <w:uiPriority w:val="0"/>
    <w:rPr>
      <w:rFonts w:ascii="Calibri" w:hAnsi="Calibri" w:eastAsia="宋体" w:cs="Times New Roman"/>
    </w:rPr>
  </w:style>
  <w:style w:type="table" w:default="1" w:styleId="37">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6">
    <w:name w:val="Normal Indent"/>
    <w:basedOn w:val="1"/>
    <w:next w:val="1"/>
    <w:link w:val="52"/>
    <w:autoRedefine/>
    <w:qFormat/>
    <w:uiPriority w:val="0"/>
    <w:pPr>
      <w:ind w:firstLine="420"/>
    </w:pPr>
    <w:rPr>
      <w:rFonts w:ascii="Calibri" w:hAnsi="Calibri"/>
    </w:rPr>
  </w:style>
  <w:style w:type="paragraph" w:styleId="12">
    <w:name w:val="table of authorities"/>
    <w:basedOn w:val="1"/>
    <w:next w:val="1"/>
    <w:autoRedefine/>
    <w:unhideWhenUsed/>
    <w:qFormat/>
    <w:uiPriority w:val="99"/>
    <w:pPr>
      <w:ind w:left="420" w:leftChars="200" w:firstLine="0"/>
    </w:pPr>
  </w:style>
  <w:style w:type="paragraph" w:styleId="13">
    <w:name w:val="Document Map"/>
    <w:basedOn w:val="1"/>
    <w:link w:val="58"/>
    <w:autoRedefine/>
    <w:qFormat/>
    <w:uiPriority w:val="0"/>
    <w:pPr>
      <w:widowControl/>
      <w:shd w:val="clear" w:color="auto" w:fill="000080"/>
      <w:jc w:val="left"/>
    </w:pPr>
    <w:rPr>
      <w:kern w:val="0"/>
      <w:szCs w:val="20"/>
    </w:rPr>
  </w:style>
  <w:style w:type="paragraph" w:styleId="14">
    <w:name w:val="annotation text"/>
    <w:basedOn w:val="1"/>
    <w:link w:val="59"/>
    <w:autoRedefine/>
    <w:qFormat/>
    <w:uiPriority w:val="0"/>
    <w:pPr>
      <w:widowControl/>
      <w:jc w:val="left"/>
    </w:pPr>
    <w:rPr>
      <w:kern w:val="0"/>
      <w:szCs w:val="20"/>
    </w:rPr>
  </w:style>
  <w:style w:type="paragraph" w:styleId="15">
    <w:name w:val="Body Text"/>
    <w:basedOn w:val="1"/>
    <w:link w:val="47"/>
    <w:autoRedefine/>
    <w:qFormat/>
    <w:uiPriority w:val="0"/>
    <w:pPr>
      <w:spacing w:line="360" w:lineRule="auto"/>
    </w:pPr>
    <w:rPr>
      <w:rFonts w:ascii="楷体_GB2312" w:hAnsi="Calibri" w:eastAsia="楷体_GB2312"/>
      <w:sz w:val="32"/>
    </w:rPr>
  </w:style>
  <w:style w:type="paragraph" w:styleId="16">
    <w:name w:val="Body Text Indent"/>
    <w:basedOn w:val="1"/>
    <w:link w:val="60"/>
    <w:autoRedefine/>
    <w:qFormat/>
    <w:uiPriority w:val="0"/>
    <w:pPr>
      <w:spacing w:after="120"/>
      <w:ind w:left="420" w:leftChars="200"/>
    </w:pPr>
    <w:rPr>
      <w:rFonts w:ascii="Calibri" w:hAnsi="Calibri"/>
    </w:rPr>
  </w:style>
  <w:style w:type="paragraph" w:styleId="17">
    <w:name w:val="Block Text"/>
    <w:basedOn w:val="1"/>
    <w:autoRedefine/>
    <w:qFormat/>
    <w:uiPriority w:val="99"/>
    <w:pPr>
      <w:spacing w:after="120"/>
      <w:ind w:left="1440" w:leftChars="700" w:right="1440" w:rightChars="700"/>
    </w:pPr>
    <w:rPr>
      <w:rFonts w:ascii="Calibri" w:hAnsi="Calibri"/>
    </w:rPr>
  </w:style>
  <w:style w:type="paragraph" w:styleId="18">
    <w:name w:val="Plain Text"/>
    <w:basedOn w:val="1"/>
    <w:next w:val="1"/>
    <w:link w:val="61"/>
    <w:autoRedefine/>
    <w:qFormat/>
    <w:uiPriority w:val="0"/>
    <w:rPr>
      <w:rFonts w:ascii="宋体" w:hAnsi="Courier New"/>
    </w:rPr>
  </w:style>
  <w:style w:type="paragraph" w:styleId="19">
    <w:name w:val="Date"/>
    <w:basedOn w:val="1"/>
    <w:next w:val="1"/>
    <w:link w:val="62"/>
    <w:autoRedefine/>
    <w:qFormat/>
    <w:uiPriority w:val="0"/>
    <w:rPr>
      <w:rFonts w:ascii="宋体" w:hAnsi="Calibri"/>
      <w:sz w:val="24"/>
    </w:rPr>
  </w:style>
  <w:style w:type="paragraph" w:styleId="20">
    <w:name w:val="Body Text Indent 2"/>
    <w:basedOn w:val="1"/>
    <w:link w:val="63"/>
    <w:autoRedefine/>
    <w:qFormat/>
    <w:uiPriority w:val="0"/>
    <w:pPr>
      <w:widowControl/>
      <w:spacing w:line="360" w:lineRule="auto"/>
      <w:ind w:left="784"/>
      <w:jc w:val="left"/>
    </w:pPr>
    <w:rPr>
      <w:kern w:val="0"/>
      <w:szCs w:val="20"/>
    </w:rPr>
  </w:style>
  <w:style w:type="paragraph" w:styleId="21">
    <w:name w:val="Balloon Text"/>
    <w:basedOn w:val="1"/>
    <w:link w:val="64"/>
    <w:autoRedefine/>
    <w:qFormat/>
    <w:uiPriority w:val="0"/>
    <w:pPr>
      <w:widowControl/>
      <w:jc w:val="left"/>
    </w:pPr>
    <w:rPr>
      <w:kern w:val="0"/>
      <w:sz w:val="18"/>
      <w:szCs w:val="18"/>
    </w:rPr>
  </w:style>
  <w:style w:type="paragraph" w:styleId="22">
    <w:name w:val="footer"/>
    <w:basedOn w:val="1"/>
    <w:link w:val="65"/>
    <w:autoRedefine/>
    <w:qFormat/>
    <w:uiPriority w:val="99"/>
    <w:pPr>
      <w:tabs>
        <w:tab w:val="center" w:pos="4153"/>
        <w:tab w:val="right" w:pos="8306"/>
      </w:tabs>
      <w:snapToGrid w:val="0"/>
      <w:jc w:val="left"/>
    </w:pPr>
    <w:rPr>
      <w:rFonts w:ascii="Calibri" w:hAnsi="Calibri"/>
      <w:sz w:val="18"/>
    </w:rPr>
  </w:style>
  <w:style w:type="paragraph" w:styleId="23">
    <w:name w:val="header"/>
    <w:basedOn w:val="1"/>
    <w:link w:val="6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39"/>
    <w:pPr>
      <w:tabs>
        <w:tab w:val="left" w:pos="945"/>
        <w:tab w:val="right" w:leader="middleDot" w:pos="8948"/>
      </w:tabs>
      <w:spacing w:before="120" w:after="120"/>
    </w:pPr>
    <w:rPr>
      <w:rFonts w:ascii="Calibri" w:hAnsi="Calibri" w:eastAsia="宋体" w:cs="Times New Roman"/>
      <w:b/>
      <w:bCs/>
      <w:caps/>
      <w:szCs w:val="21"/>
    </w:rPr>
  </w:style>
  <w:style w:type="paragraph" w:styleId="25">
    <w:name w:val="List"/>
    <w:basedOn w:val="1"/>
    <w:autoRedefine/>
    <w:qFormat/>
    <w:uiPriority w:val="0"/>
    <w:pPr>
      <w:ind w:left="200" w:hanging="200" w:hangingChars="200"/>
    </w:pPr>
    <w:rPr>
      <w:rFonts w:ascii="Calibri" w:hAnsi="Calibri"/>
      <w:sz w:val="28"/>
      <w:szCs w:val="24"/>
    </w:rPr>
  </w:style>
  <w:style w:type="paragraph" w:styleId="26">
    <w:name w:val="toc 6"/>
    <w:basedOn w:val="1"/>
    <w:next w:val="1"/>
    <w:autoRedefine/>
    <w:qFormat/>
    <w:uiPriority w:val="0"/>
    <w:pPr>
      <w:autoSpaceDE w:val="0"/>
      <w:autoSpaceDN w:val="0"/>
      <w:adjustRightInd w:val="0"/>
      <w:ind w:left="2100" w:leftChars="1000"/>
      <w:jc w:val="left"/>
    </w:pPr>
    <w:rPr>
      <w:sz w:val="20"/>
    </w:rPr>
  </w:style>
  <w:style w:type="paragraph" w:styleId="27">
    <w:name w:val="Body Text Indent 3"/>
    <w:basedOn w:val="1"/>
    <w:link w:val="67"/>
    <w:autoRedefine/>
    <w:qFormat/>
    <w:uiPriority w:val="0"/>
    <w:pPr>
      <w:widowControl/>
      <w:spacing w:after="120"/>
      <w:ind w:left="420" w:leftChars="200"/>
      <w:jc w:val="left"/>
    </w:pPr>
    <w:rPr>
      <w:kern w:val="0"/>
      <w:sz w:val="16"/>
      <w:szCs w:val="16"/>
    </w:rPr>
  </w:style>
  <w:style w:type="paragraph" w:styleId="28">
    <w:name w:val="table of figures"/>
    <w:basedOn w:val="1"/>
    <w:next w:val="1"/>
    <w:autoRedefine/>
    <w:qFormat/>
    <w:uiPriority w:val="0"/>
    <w:pPr>
      <w:ind w:left="840" w:leftChars="200" w:hanging="420" w:hangingChars="200"/>
    </w:pPr>
    <w:rPr>
      <w:rFonts w:ascii="Calibri" w:hAnsi="Calibri" w:eastAsia="宋体" w:cs="Times New Roman"/>
    </w:rPr>
  </w:style>
  <w:style w:type="paragraph" w:styleId="29">
    <w:name w:val="toc 2"/>
    <w:basedOn w:val="1"/>
    <w:next w:val="1"/>
    <w:autoRedefine/>
    <w:qFormat/>
    <w:uiPriority w:val="39"/>
    <w:pPr>
      <w:tabs>
        <w:tab w:val="right" w:leader="middleDot" w:pos="8948"/>
      </w:tabs>
      <w:spacing w:before="60" w:after="60"/>
      <w:ind w:left="210"/>
    </w:pPr>
    <w:rPr>
      <w:rFonts w:ascii="Calibri" w:hAnsi="Calibri" w:eastAsia="宋体" w:cs="Times New Roman"/>
      <w:smallCaps/>
    </w:rPr>
  </w:style>
  <w:style w:type="paragraph" w:styleId="30">
    <w:name w:val="Body Text 2"/>
    <w:basedOn w:val="1"/>
    <w:link w:val="68"/>
    <w:autoRedefine/>
    <w:qFormat/>
    <w:uiPriority w:val="0"/>
    <w:pPr>
      <w:jc w:val="center"/>
    </w:pPr>
    <w:rPr>
      <w:rFonts w:ascii="宋体" w:hAnsi="宋体"/>
      <w:sz w:val="44"/>
      <w:szCs w:val="24"/>
    </w:rPr>
  </w:style>
  <w:style w:type="paragraph" w:styleId="31">
    <w:name w:val="Normal (Web)"/>
    <w:basedOn w:val="1"/>
    <w:autoRedefine/>
    <w:qFormat/>
    <w:uiPriority w:val="99"/>
    <w:pPr>
      <w:widowControl/>
      <w:spacing w:before="100" w:beforeAutospacing="1" w:after="100" w:afterAutospacing="1"/>
      <w:jc w:val="left"/>
    </w:pPr>
    <w:rPr>
      <w:rFonts w:ascii="Arial Unicode MS" w:hAnsi="Arial Unicode MS" w:eastAsia="Times New Roman" w:cs="Times New Roman"/>
      <w:color w:val="000000"/>
      <w:kern w:val="0"/>
      <w:sz w:val="24"/>
      <w:szCs w:val="24"/>
    </w:rPr>
  </w:style>
  <w:style w:type="paragraph" w:styleId="32">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33">
    <w:name w:val="annotation subject"/>
    <w:basedOn w:val="14"/>
    <w:next w:val="14"/>
    <w:link w:val="69"/>
    <w:autoRedefine/>
    <w:qFormat/>
    <w:uiPriority w:val="0"/>
    <w:rPr>
      <w:b/>
      <w:bCs/>
    </w:rPr>
  </w:style>
  <w:style w:type="paragraph" w:styleId="34">
    <w:name w:val="Body Text First Indent"/>
    <w:basedOn w:val="15"/>
    <w:next w:val="26"/>
    <w:autoRedefine/>
    <w:unhideWhenUsed/>
    <w:qFormat/>
    <w:uiPriority w:val="99"/>
    <w:pPr>
      <w:adjustRightInd/>
      <w:spacing w:after="120" w:line="240" w:lineRule="auto"/>
      <w:ind w:firstLine="420" w:firstLineChars="100"/>
      <w:jc w:val="both"/>
    </w:pPr>
    <w:rPr>
      <w:rFonts w:ascii="Times New Roman"/>
      <w:kern w:val="2"/>
      <w:sz w:val="21"/>
      <w:szCs w:val="24"/>
    </w:rPr>
  </w:style>
  <w:style w:type="paragraph" w:styleId="35">
    <w:name w:val="Body Text First Indent 2"/>
    <w:basedOn w:val="16"/>
    <w:next w:val="36"/>
    <w:link w:val="70"/>
    <w:autoRedefine/>
    <w:unhideWhenUsed/>
    <w:qFormat/>
    <w:uiPriority w:val="99"/>
    <w:pPr>
      <w:ind w:firstLine="420" w:firstLineChars="200"/>
    </w:pPr>
    <w:rPr>
      <w:rFonts w:ascii="Times New Roman" w:hAnsi="Times New Roman"/>
    </w:rPr>
  </w:style>
  <w:style w:type="paragraph" w:customStyle="1" w:styleId="3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8">
    <w:name w:val="Table Grid"/>
    <w:basedOn w:val="37"/>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rFonts w:ascii="Calibri" w:hAnsi="Calibri" w:eastAsia="宋体" w:cs="Times New Roman"/>
      <w:b/>
      <w:bCs/>
    </w:rPr>
  </w:style>
  <w:style w:type="character" w:styleId="41">
    <w:name w:val="page number"/>
    <w:basedOn w:val="39"/>
    <w:autoRedefine/>
    <w:qFormat/>
    <w:uiPriority w:val="0"/>
    <w:rPr>
      <w:rFonts w:ascii="Calibri" w:hAnsi="Calibri" w:eastAsia="宋体" w:cs="Times New Roman"/>
    </w:rPr>
  </w:style>
  <w:style w:type="character" w:styleId="42">
    <w:name w:val="FollowedHyperlink"/>
    <w:autoRedefine/>
    <w:qFormat/>
    <w:uiPriority w:val="99"/>
    <w:rPr>
      <w:rFonts w:ascii="Calibri" w:hAnsi="Calibri" w:eastAsia="宋体" w:cs="Times New Roman"/>
      <w:color w:val="800080"/>
      <w:u w:val="single"/>
    </w:rPr>
  </w:style>
  <w:style w:type="character" w:styleId="43">
    <w:name w:val="Emphasis"/>
    <w:autoRedefine/>
    <w:qFormat/>
    <w:uiPriority w:val="20"/>
    <w:rPr>
      <w:rFonts w:ascii="Calibri" w:hAnsi="Calibri" w:eastAsia="宋体" w:cs="Times New Roman"/>
    </w:rPr>
  </w:style>
  <w:style w:type="character" w:styleId="44">
    <w:name w:val="line number"/>
    <w:autoRedefine/>
    <w:qFormat/>
    <w:uiPriority w:val="0"/>
    <w:rPr>
      <w:rFonts w:ascii="Calibri" w:hAnsi="Calibri" w:eastAsia="宋体" w:cs="Times New Roman"/>
    </w:rPr>
  </w:style>
  <w:style w:type="character" w:styleId="45">
    <w:name w:val="Hyperlink"/>
    <w:autoRedefine/>
    <w:qFormat/>
    <w:uiPriority w:val="99"/>
    <w:rPr>
      <w:rFonts w:ascii="Calibri" w:hAnsi="Calibri" w:eastAsia="宋体" w:cs="Times New Roman"/>
      <w:color w:val="0563C1"/>
      <w:u w:val="single"/>
    </w:rPr>
  </w:style>
  <w:style w:type="character" w:styleId="46">
    <w:name w:val="annotation reference"/>
    <w:autoRedefine/>
    <w:qFormat/>
    <w:uiPriority w:val="0"/>
    <w:rPr>
      <w:rFonts w:ascii="Calibri" w:hAnsi="Calibri" w:eastAsia="宋体" w:cs="Times New Roman"/>
      <w:sz w:val="21"/>
      <w:szCs w:val="21"/>
    </w:rPr>
  </w:style>
  <w:style w:type="character" w:customStyle="1" w:styleId="47">
    <w:name w:val="正文文本 字符"/>
    <w:link w:val="15"/>
    <w:autoRedefine/>
    <w:qFormat/>
    <w:uiPriority w:val="0"/>
    <w:rPr>
      <w:rFonts w:ascii="楷体_GB2312" w:hAnsi="Calibri" w:eastAsia="楷体_GB2312" w:cs="Times New Roman"/>
      <w:kern w:val="2"/>
      <w:sz w:val="32"/>
      <w:szCs w:val="22"/>
    </w:rPr>
  </w:style>
  <w:style w:type="character" w:customStyle="1" w:styleId="48">
    <w:name w:val="标题 1 字符"/>
    <w:link w:val="2"/>
    <w:autoRedefine/>
    <w:qFormat/>
    <w:uiPriority w:val="0"/>
    <w:rPr>
      <w:rFonts w:ascii="Calibri" w:hAnsi="Calibri" w:eastAsia="宋体" w:cs="Times New Roman"/>
      <w:b/>
      <w:kern w:val="44"/>
      <w:sz w:val="44"/>
      <w:szCs w:val="22"/>
    </w:rPr>
  </w:style>
  <w:style w:type="character" w:customStyle="1" w:styleId="49">
    <w:name w:val="标题 2 字符"/>
    <w:link w:val="3"/>
    <w:autoRedefine/>
    <w:qFormat/>
    <w:uiPriority w:val="0"/>
    <w:rPr>
      <w:rFonts w:ascii="Cambria" w:hAnsi="Cambria" w:eastAsia="宋体" w:cs="Times New Roman"/>
      <w:b/>
      <w:bCs/>
      <w:kern w:val="2"/>
      <w:sz w:val="32"/>
      <w:szCs w:val="32"/>
    </w:rPr>
  </w:style>
  <w:style w:type="character" w:customStyle="1" w:styleId="50">
    <w:name w:val="标题 3 字符"/>
    <w:link w:val="4"/>
    <w:autoRedefine/>
    <w:qFormat/>
    <w:uiPriority w:val="0"/>
    <w:rPr>
      <w:rFonts w:ascii="Calibri" w:hAnsi="Calibri" w:eastAsia="宋体" w:cs="Times New Roman"/>
      <w:b/>
      <w:bCs/>
      <w:kern w:val="2"/>
      <w:sz w:val="32"/>
      <w:szCs w:val="32"/>
    </w:rPr>
  </w:style>
  <w:style w:type="character" w:customStyle="1" w:styleId="51">
    <w:name w:val="标题 4 字符"/>
    <w:link w:val="5"/>
    <w:autoRedefine/>
    <w:qFormat/>
    <w:uiPriority w:val="0"/>
    <w:rPr>
      <w:rFonts w:ascii="宋体" w:hAnsi="Arial" w:eastAsia="宋体" w:cs="Times New Roman"/>
      <w:snapToGrid/>
      <w:color w:val="000000"/>
      <w:sz w:val="21"/>
    </w:rPr>
  </w:style>
  <w:style w:type="character" w:customStyle="1" w:styleId="52">
    <w:name w:val="正文缩进 字符"/>
    <w:link w:val="6"/>
    <w:autoRedefine/>
    <w:qFormat/>
    <w:uiPriority w:val="0"/>
    <w:rPr>
      <w:rFonts w:ascii="Calibri" w:hAnsi="Calibri" w:eastAsia="宋体" w:cs="Times New Roman"/>
      <w:kern w:val="2"/>
      <w:sz w:val="21"/>
      <w:szCs w:val="22"/>
    </w:rPr>
  </w:style>
  <w:style w:type="character" w:customStyle="1" w:styleId="53">
    <w:name w:val="标题 5 字符"/>
    <w:link w:val="7"/>
    <w:autoRedefine/>
    <w:qFormat/>
    <w:uiPriority w:val="0"/>
    <w:rPr>
      <w:rFonts w:ascii="宋体" w:hAnsi="Times New Roman" w:eastAsia="宋体" w:cs="Times New Roman"/>
      <w:b/>
      <w:snapToGrid/>
      <w:color w:val="000000"/>
      <w:sz w:val="28"/>
    </w:rPr>
  </w:style>
  <w:style w:type="character" w:customStyle="1" w:styleId="54">
    <w:name w:val="标题 6 字符"/>
    <w:link w:val="8"/>
    <w:autoRedefine/>
    <w:qFormat/>
    <w:uiPriority w:val="0"/>
    <w:rPr>
      <w:rFonts w:ascii="Arial" w:hAnsi="Arial" w:eastAsia="黑体" w:cs="Times New Roman"/>
      <w:b/>
      <w:snapToGrid/>
      <w:color w:val="000000"/>
      <w:sz w:val="24"/>
    </w:rPr>
  </w:style>
  <w:style w:type="character" w:customStyle="1" w:styleId="55">
    <w:name w:val="标题 7 字符"/>
    <w:link w:val="9"/>
    <w:autoRedefine/>
    <w:qFormat/>
    <w:uiPriority w:val="0"/>
    <w:rPr>
      <w:rFonts w:ascii="宋体" w:hAnsi="Times New Roman" w:eastAsia="宋体" w:cs="Times New Roman"/>
      <w:b/>
      <w:snapToGrid/>
      <w:color w:val="000000"/>
      <w:sz w:val="24"/>
    </w:rPr>
  </w:style>
  <w:style w:type="character" w:customStyle="1" w:styleId="56">
    <w:name w:val="标题 8 字符"/>
    <w:link w:val="10"/>
    <w:autoRedefine/>
    <w:qFormat/>
    <w:uiPriority w:val="0"/>
    <w:rPr>
      <w:rFonts w:ascii="Arial" w:hAnsi="Arial" w:eastAsia="黑体" w:cs="Times New Roman"/>
      <w:snapToGrid/>
      <w:color w:val="000000"/>
      <w:sz w:val="24"/>
    </w:rPr>
  </w:style>
  <w:style w:type="character" w:customStyle="1" w:styleId="57">
    <w:name w:val="标题 9 字符"/>
    <w:link w:val="11"/>
    <w:autoRedefine/>
    <w:qFormat/>
    <w:uiPriority w:val="0"/>
    <w:rPr>
      <w:rFonts w:ascii="Arial" w:hAnsi="Arial" w:eastAsia="黑体" w:cs="Times New Roman"/>
      <w:snapToGrid/>
      <w:color w:val="000000"/>
      <w:sz w:val="21"/>
    </w:rPr>
  </w:style>
  <w:style w:type="character" w:customStyle="1" w:styleId="58">
    <w:name w:val="文档结构图 字符"/>
    <w:link w:val="13"/>
    <w:autoRedefine/>
    <w:qFormat/>
    <w:uiPriority w:val="0"/>
    <w:rPr>
      <w:rFonts w:ascii="Times New Roman" w:hAnsi="Times New Roman" w:eastAsia="宋体" w:cs="Times New Roman"/>
      <w:sz w:val="21"/>
      <w:shd w:val="clear" w:color="auto" w:fill="000080"/>
    </w:rPr>
  </w:style>
  <w:style w:type="character" w:customStyle="1" w:styleId="59">
    <w:name w:val="批注文字 字符"/>
    <w:link w:val="14"/>
    <w:autoRedefine/>
    <w:qFormat/>
    <w:uiPriority w:val="0"/>
    <w:rPr>
      <w:rFonts w:ascii="Times New Roman" w:hAnsi="Times New Roman" w:eastAsia="宋体" w:cs="Times New Roman"/>
      <w:sz w:val="21"/>
    </w:rPr>
  </w:style>
  <w:style w:type="character" w:customStyle="1" w:styleId="60">
    <w:name w:val="正文文本缩进 字符"/>
    <w:link w:val="16"/>
    <w:autoRedefine/>
    <w:qFormat/>
    <w:uiPriority w:val="0"/>
    <w:rPr>
      <w:rFonts w:ascii="Calibri" w:hAnsi="Calibri" w:eastAsia="宋体" w:cs="Times New Roman"/>
      <w:kern w:val="2"/>
      <w:sz w:val="21"/>
      <w:szCs w:val="22"/>
    </w:rPr>
  </w:style>
  <w:style w:type="character" w:customStyle="1" w:styleId="61">
    <w:name w:val="纯文本 字符"/>
    <w:link w:val="18"/>
    <w:autoRedefine/>
    <w:qFormat/>
    <w:uiPriority w:val="0"/>
    <w:rPr>
      <w:rFonts w:ascii="宋体" w:hAnsi="Courier New" w:eastAsia="宋体" w:cs="Times New Roman"/>
      <w:kern w:val="2"/>
      <w:sz w:val="21"/>
      <w:szCs w:val="22"/>
    </w:rPr>
  </w:style>
  <w:style w:type="character" w:customStyle="1" w:styleId="62">
    <w:name w:val="日期 字符"/>
    <w:link w:val="19"/>
    <w:autoRedefine/>
    <w:qFormat/>
    <w:uiPriority w:val="0"/>
    <w:rPr>
      <w:rFonts w:ascii="宋体" w:hAnsi="Calibri" w:eastAsia="宋体" w:cs="Times New Roman"/>
      <w:kern w:val="2"/>
      <w:sz w:val="24"/>
      <w:szCs w:val="22"/>
    </w:rPr>
  </w:style>
  <w:style w:type="character" w:customStyle="1" w:styleId="63">
    <w:name w:val="正文文本缩进 2 字符"/>
    <w:link w:val="20"/>
    <w:autoRedefine/>
    <w:qFormat/>
    <w:uiPriority w:val="0"/>
    <w:rPr>
      <w:rFonts w:ascii="Times New Roman" w:hAnsi="Times New Roman" w:eastAsia="宋体" w:cs="Times New Roman"/>
      <w:sz w:val="21"/>
    </w:rPr>
  </w:style>
  <w:style w:type="character" w:customStyle="1" w:styleId="64">
    <w:name w:val="批注框文本 字符"/>
    <w:link w:val="21"/>
    <w:autoRedefine/>
    <w:qFormat/>
    <w:uiPriority w:val="0"/>
    <w:rPr>
      <w:rFonts w:ascii="Times New Roman" w:hAnsi="Times New Roman" w:eastAsia="宋体" w:cs="Times New Roman"/>
      <w:sz w:val="18"/>
      <w:szCs w:val="18"/>
    </w:rPr>
  </w:style>
  <w:style w:type="character" w:customStyle="1" w:styleId="65">
    <w:name w:val="页脚 字符"/>
    <w:link w:val="22"/>
    <w:autoRedefine/>
    <w:qFormat/>
    <w:uiPriority w:val="99"/>
    <w:rPr>
      <w:rFonts w:ascii="Calibri" w:hAnsi="Calibri" w:eastAsia="宋体" w:cs="Times New Roman"/>
      <w:kern w:val="2"/>
      <w:sz w:val="18"/>
      <w:szCs w:val="22"/>
    </w:rPr>
  </w:style>
  <w:style w:type="character" w:customStyle="1" w:styleId="66">
    <w:name w:val="页眉 字符"/>
    <w:link w:val="23"/>
    <w:autoRedefine/>
    <w:qFormat/>
    <w:uiPriority w:val="99"/>
    <w:rPr>
      <w:rFonts w:ascii="Times New Roman" w:hAnsi="Times New Roman" w:eastAsia="宋体" w:cs="Times New Roman"/>
      <w:kern w:val="2"/>
      <w:sz w:val="18"/>
      <w:szCs w:val="22"/>
    </w:rPr>
  </w:style>
  <w:style w:type="character" w:customStyle="1" w:styleId="67">
    <w:name w:val="正文文本缩进 3 字符"/>
    <w:link w:val="27"/>
    <w:autoRedefine/>
    <w:qFormat/>
    <w:uiPriority w:val="0"/>
    <w:rPr>
      <w:rFonts w:ascii="Times New Roman" w:hAnsi="Times New Roman" w:eastAsia="宋体" w:cs="Times New Roman"/>
      <w:sz w:val="16"/>
      <w:szCs w:val="16"/>
    </w:rPr>
  </w:style>
  <w:style w:type="character" w:customStyle="1" w:styleId="68">
    <w:name w:val="正文文本 2 字符"/>
    <w:link w:val="30"/>
    <w:autoRedefine/>
    <w:qFormat/>
    <w:uiPriority w:val="0"/>
    <w:rPr>
      <w:rFonts w:ascii="宋体" w:hAnsi="宋体" w:eastAsia="宋体" w:cs="Times New Roman"/>
      <w:kern w:val="2"/>
      <w:sz w:val="44"/>
      <w:szCs w:val="24"/>
    </w:rPr>
  </w:style>
  <w:style w:type="character" w:customStyle="1" w:styleId="69">
    <w:name w:val="批注主题 字符"/>
    <w:link w:val="33"/>
    <w:autoRedefine/>
    <w:qFormat/>
    <w:uiPriority w:val="0"/>
    <w:rPr>
      <w:rFonts w:ascii="Times New Roman" w:hAnsi="Times New Roman" w:eastAsia="宋体" w:cs="Times New Roman"/>
      <w:b/>
      <w:bCs/>
      <w:sz w:val="21"/>
    </w:rPr>
  </w:style>
  <w:style w:type="character" w:customStyle="1" w:styleId="70">
    <w:name w:val="正文文本首行缩进 2 字符"/>
    <w:basedOn w:val="60"/>
    <w:link w:val="35"/>
    <w:autoRedefine/>
    <w:semiHidden/>
    <w:qFormat/>
    <w:uiPriority w:val="99"/>
  </w:style>
  <w:style w:type="paragraph" w:customStyle="1" w:styleId="71">
    <w:name w:val="自定义标题2"/>
    <w:basedOn w:val="72"/>
    <w:next w:val="1"/>
    <w:autoRedefine/>
    <w:qFormat/>
    <w:uiPriority w:val="0"/>
    <w:pPr>
      <w:widowControl/>
      <w:spacing w:before="240" w:after="60" w:line="360" w:lineRule="auto"/>
      <w:ind w:left="420" w:hanging="420"/>
    </w:pPr>
    <w:rPr>
      <w:rFonts w:ascii="宋体" w:hAnsi="宋体" w:cs="Arial"/>
      <w:bCs/>
      <w:sz w:val="24"/>
    </w:rPr>
  </w:style>
  <w:style w:type="paragraph" w:customStyle="1" w:styleId="72">
    <w:name w:val="标题 21"/>
    <w:basedOn w:val="1"/>
    <w:next w:val="1"/>
    <w:autoRedefine/>
    <w:qFormat/>
    <w:uiPriority w:val="0"/>
    <w:pPr>
      <w:keepNext/>
      <w:keepLines/>
      <w:spacing w:before="100" w:after="100" w:line="415" w:lineRule="auto"/>
      <w:ind w:left="576" w:hanging="576"/>
      <w:outlineLvl w:val="1"/>
    </w:pPr>
    <w:rPr>
      <w:rFonts w:ascii="Times New Roman" w:hAnsi="Times New Roman" w:eastAsia="宋体" w:cs="Times New Roman"/>
      <w:b/>
      <w:iCs/>
      <w:kern w:val="0"/>
      <w:sz w:val="32"/>
      <w:szCs w:val="28"/>
    </w:rPr>
  </w:style>
  <w:style w:type="character" w:customStyle="1" w:styleId="73">
    <w:name w:val="_Style 72"/>
    <w:autoRedefine/>
    <w:unhideWhenUsed/>
    <w:qFormat/>
    <w:uiPriority w:val="99"/>
    <w:rPr>
      <w:rFonts w:ascii="Calibri" w:hAnsi="Calibri" w:eastAsia="宋体" w:cs="Times New Roman"/>
      <w:color w:val="605E5C"/>
      <w:shd w:val="clear" w:color="auto" w:fill="E1DFDD"/>
    </w:rPr>
  </w:style>
  <w:style w:type="character" w:customStyle="1" w:styleId="74">
    <w:name w:val="unnamed51"/>
    <w:autoRedefine/>
    <w:qFormat/>
    <w:uiPriority w:val="0"/>
    <w:rPr>
      <w:rFonts w:ascii="Calibri" w:hAnsi="Calibri" w:eastAsia="宋体" w:cs="Times New Roman"/>
      <w:sz w:val="22"/>
      <w:szCs w:val="22"/>
    </w:rPr>
  </w:style>
  <w:style w:type="character" w:customStyle="1" w:styleId="75">
    <w:name w:val="font11"/>
    <w:autoRedefine/>
    <w:qFormat/>
    <w:uiPriority w:val="0"/>
    <w:rPr>
      <w:rFonts w:hint="eastAsia" w:ascii="宋体" w:hAnsi="宋体" w:eastAsia="宋体" w:cs="宋体"/>
      <w:color w:val="000000"/>
      <w:sz w:val="21"/>
      <w:szCs w:val="21"/>
      <w:u w:val="none"/>
    </w:rPr>
  </w:style>
  <w:style w:type="character" w:customStyle="1" w:styleId="76">
    <w:name w:val="Normal Indent Char Char"/>
    <w:autoRedefine/>
    <w:qFormat/>
    <w:uiPriority w:val="0"/>
    <w:rPr>
      <w:rFonts w:ascii="Calibri" w:hAnsi="Calibri" w:eastAsia="宋体" w:cs="Times New Roman"/>
      <w:sz w:val="21"/>
      <w:lang w:val="en-US" w:eastAsia="zh-CN" w:bidi="ar-SA"/>
    </w:rPr>
  </w:style>
  <w:style w:type="character" w:customStyle="1" w:styleId="77">
    <w:name w:val="font21"/>
    <w:autoRedefine/>
    <w:qFormat/>
    <w:uiPriority w:val="0"/>
    <w:rPr>
      <w:rFonts w:hint="default" w:ascii="Arial" w:hAnsi="Arial" w:eastAsia="宋体" w:cs="Arial"/>
      <w:color w:val="000000"/>
      <w:sz w:val="21"/>
      <w:szCs w:val="21"/>
      <w:u w:val="none"/>
    </w:rPr>
  </w:style>
  <w:style w:type="character" w:customStyle="1" w:styleId="78">
    <w:name w:val="正文1 Char"/>
    <w:link w:val="79"/>
    <w:autoRedefine/>
    <w:qFormat/>
    <w:uiPriority w:val="0"/>
    <w:rPr>
      <w:rFonts w:ascii="宋体"/>
      <w:sz w:val="34"/>
      <w:lang w:val="en-US" w:eastAsia="zh-CN" w:bidi="ar-SA"/>
    </w:rPr>
  </w:style>
  <w:style w:type="paragraph" w:customStyle="1" w:styleId="79">
    <w:name w:val="正文1"/>
    <w:link w:val="7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0">
    <w:name w:val="Para head"/>
    <w:autoRedefine/>
    <w:qFormat/>
    <w:uiPriority w:val="0"/>
    <w:rPr>
      <w:rFonts w:ascii="Arial" w:hAnsi="Arial" w:eastAsia="Times New Roman" w:cs="Times New Roman"/>
      <w:sz w:val="20"/>
    </w:rPr>
  </w:style>
  <w:style w:type="character" w:customStyle="1" w:styleId="81">
    <w:name w:val="表正文 Char"/>
    <w:autoRedefine/>
    <w:qFormat/>
    <w:uiPriority w:val="0"/>
    <w:rPr>
      <w:rFonts w:ascii="Times New Roman" w:hAnsi="Times New Roman" w:eastAsia="宋体" w:cs="Times New Roman"/>
      <w:sz w:val="21"/>
    </w:rPr>
  </w:style>
  <w:style w:type="character" w:customStyle="1" w:styleId="82">
    <w:name w:val="h Char"/>
    <w:autoRedefine/>
    <w:qFormat/>
    <w:uiPriority w:val="0"/>
    <w:rPr>
      <w:sz w:val="18"/>
    </w:rPr>
  </w:style>
  <w:style w:type="character" w:customStyle="1" w:styleId="83">
    <w:name w:val="批注框文本 Char1"/>
    <w:autoRedefine/>
    <w:qFormat/>
    <w:uiPriority w:val="0"/>
    <w:rPr>
      <w:rFonts w:ascii="Calibri" w:hAnsi="Calibri" w:eastAsia="宋体" w:cs="Times New Roman"/>
      <w:kern w:val="2"/>
      <w:sz w:val="18"/>
      <w:szCs w:val="18"/>
    </w:rPr>
  </w:style>
  <w:style w:type="character" w:customStyle="1" w:styleId="84">
    <w:name w:val="正文缩进 Char"/>
    <w:autoRedefine/>
    <w:qFormat/>
    <w:uiPriority w:val="0"/>
    <w:rPr>
      <w:rFonts w:ascii="Times New Roman" w:hAnsi="Times New Roman"/>
      <w:sz w:val="21"/>
    </w:rPr>
  </w:style>
  <w:style w:type="character" w:customStyle="1" w:styleId="85">
    <w:name w:val="纯文本 Char1"/>
    <w:autoRedefine/>
    <w:qFormat/>
    <w:uiPriority w:val="0"/>
    <w:rPr>
      <w:rFonts w:ascii="宋体" w:hAnsi="Courier New" w:eastAsia="宋体"/>
      <w:kern w:val="2"/>
      <w:sz w:val="21"/>
      <w:lang w:val="en-US" w:eastAsia="zh-CN" w:bidi="ar-SA"/>
    </w:rPr>
  </w:style>
  <w:style w:type="paragraph" w:customStyle="1" w:styleId="86">
    <w:name w:val="Char Char Char Char Char Char Char Char Char Char Char Char Char Char Char Char Char Char Char"/>
    <w:basedOn w:val="1"/>
    <w:autoRedefine/>
    <w:qFormat/>
    <w:uiPriority w:val="0"/>
    <w:rPr>
      <w:rFonts w:ascii="Times New Roman" w:hAnsi="Times New Roman" w:eastAsia="宋体" w:cs="Times New Roman"/>
      <w:kern w:val="0"/>
      <w:szCs w:val="20"/>
    </w:rPr>
  </w:style>
  <w:style w:type="paragraph" w:customStyle="1" w:styleId="87">
    <w:name w:val="Char3"/>
    <w:basedOn w:val="1"/>
    <w:autoRedefine/>
    <w:qFormat/>
    <w:uiPriority w:val="0"/>
    <w:rPr>
      <w:rFonts w:ascii="Times New Roman" w:hAnsi="Times New Roman" w:eastAsia="宋体" w:cs="Times New Roman"/>
      <w:szCs w:val="24"/>
    </w:rPr>
  </w:style>
  <w:style w:type="paragraph" w:customStyle="1" w:styleId="88">
    <w:name w:val="Plain Text"/>
    <w:basedOn w:val="89"/>
    <w:autoRedefine/>
    <w:qFormat/>
    <w:uiPriority w:val="0"/>
    <w:pPr>
      <w:widowControl/>
      <w:jc w:val="left"/>
    </w:pPr>
    <w:rPr>
      <w:rFonts w:ascii="宋体" w:hAnsi="Courier New"/>
    </w:rPr>
  </w:style>
  <w:style w:type="paragraph" w:customStyle="1" w:styleId="89">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0">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1">
    <w:name w:val="列出段落1"/>
    <w:basedOn w:val="1"/>
    <w:autoRedefine/>
    <w:qFormat/>
    <w:uiPriority w:val="0"/>
    <w:pPr>
      <w:ind w:firstLine="420" w:firstLineChars="200"/>
    </w:pPr>
    <w:rPr>
      <w:rFonts w:ascii="Calibri" w:hAnsi="Calibri" w:eastAsia="宋体" w:cs="Times New Roman"/>
    </w:rPr>
  </w:style>
  <w:style w:type="paragraph" w:customStyle="1" w:styleId="92">
    <w:name w:val=" Char Char18"/>
    <w:basedOn w:val="1"/>
    <w:autoRedefine/>
    <w:qFormat/>
    <w:uiPriority w:val="0"/>
    <w:rPr>
      <w:szCs w:val="24"/>
    </w:rPr>
  </w:style>
  <w:style w:type="paragraph" w:customStyle="1" w:styleId="93">
    <w:name w:val="列出段落2"/>
    <w:basedOn w:val="1"/>
    <w:autoRedefine/>
    <w:qFormat/>
    <w:uiPriority w:val="0"/>
    <w:pPr>
      <w:ind w:firstLine="420" w:firstLineChars="200"/>
    </w:pPr>
    <w:rPr>
      <w:rFonts w:ascii="Calibri" w:hAnsi="Calibri" w:eastAsia="宋体" w:cs="Times New Roman"/>
    </w:rPr>
  </w:style>
  <w:style w:type="paragraph" w:customStyle="1" w:styleId="9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95">
    <w:name w:val="Char Char Char"/>
    <w:basedOn w:val="1"/>
    <w:autoRedefine/>
    <w:qFormat/>
    <w:uiPriority w:val="0"/>
    <w:rPr>
      <w:rFonts w:ascii="Times New Roman" w:hAnsi="Times New Roman" w:eastAsia="宋体" w:cs="Times New Roman"/>
      <w:szCs w:val="20"/>
    </w:rPr>
  </w:style>
  <w:style w:type="paragraph" w:customStyle="1" w:styleId="9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97">
    <w:name w:val="列出段落3"/>
    <w:basedOn w:val="1"/>
    <w:autoRedefine/>
    <w:qFormat/>
    <w:uiPriority w:val="99"/>
    <w:pPr>
      <w:ind w:firstLine="420" w:firstLineChars="200"/>
    </w:pPr>
    <w:rPr>
      <w:rFonts w:ascii="Calibri" w:hAnsi="Calibri" w:eastAsia="宋体" w:cs="Times New Roman"/>
    </w:rPr>
  </w:style>
  <w:style w:type="paragraph" w:customStyle="1" w:styleId="9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Cs w:val="21"/>
      <w:lang w:eastAsia="en-US"/>
    </w:rPr>
  </w:style>
  <w:style w:type="paragraph" w:customStyle="1" w:styleId="99">
    <w:name w:val="font8"/>
    <w:basedOn w:val="1"/>
    <w:autoRedefine/>
    <w:qFormat/>
    <w:uiPriority w:val="0"/>
    <w:pPr>
      <w:widowControl/>
      <w:spacing w:before="100" w:beforeAutospacing="1" w:after="100" w:afterAutospacing="1"/>
      <w:jc w:val="left"/>
    </w:pPr>
    <w:rPr>
      <w:rFonts w:ascii="Times New Roman" w:hAnsi="Times New Roman" w:eastAsia="Arial Unicode MS" w:cs="Times New Roman"/>
      <w:kern w:val="0"/>
      <w:sz w:val="24"/>
      <w:szCs w:val="24"/>
      <w:lang w:eastAsia="en-US"/>
    </w:rPr>
  </w:style>
  <w:style w:type="paragraph" w:customStyle="1" w:styleId="100">
    <w:name w:val="表格文字"/>
    <w:basedOn w:val="1"/>
    <w:next w:val="15"/>
    <w:autoRedefine/>
    <w:qFormat/>
    <w:uiPriority w:val="0"/>
    <w:pPr>
      <w:adjustRightInd w:val="0"/>
      <w:spacing w:line="420" w:lineRule="atLeast"/>
      <w:textAlignment w:val="baseline"/>
    </w:pPr>
    <w:rPr>
      <w:szCs w:val="24"/>
    </w:rPr>
  </w:style>
  <w:style w:type="paragraph" w:customStyle="1" w:styleId="10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16"/>
      <w:szCs w:val="16"/>
      <w:lang w:eastAsia="en-US"/>
    </w:rPr>
  </w:style>
  <w:style w:type="paragraph" w:customStyle="1" w:styleId="102">
    <w:name w:val="Char Char Char Char Char Char Char1"/>
    <w:basedOn w:val="1"/>
    <w:autoRedefine/>
    <w:qFormat/>
    <w:uiPriority w:val="0"/>
    <w:rPr>
      <w:rFonts w:ascii="宋体" w:hAnsi="宋体" w:eastAsia="宋体" w:cs="宋体"/>
      <w:color w:val="FF0000"/>
      <w:kern w:val="0"/>
      <w:szCs w:val="21"/>
    </w:rPr>
  </w:style>
  <w:style w:type="paragraph" w:customStyle="1" w:styleId="103">
    <w:name w:val="菲页2"/>
    <w:basedOn w:val="4"/>
    <w:autoRedefine/>
    <w:qFormat/>
    <w:uiPriority w:val="0"/>
    <w:pPr>
      <w:widowControl/>
      <w:numPr>
        <w:ilvl w:val="2"/>
        <w:numId w:val="1"/>
      </w:numPr>
      <w:tabs>
        <w:tab w:val="left" w:pos="2040"/>
      </w:tabs>
      <w:spacing w:before="120" w:after="120" w:line="360" w:lineRule="auto"/>
      <w:jc w:val="center"/>
    </w:pPr>
    <w:rPr>
      <w:rFonts w:ascii="黑体" w:hAnsi="宋体" w:eastAsia="黑体" w:cs="Times New Roman"/>
      <w:b w:val="0"/>
      <w:bCs w:val="0"/>
      <w:kern w:val="0"/>
      <w:sz w:val="44"/>
      <w:szCs w:val="20"/>
    </w:rPr>
  </w:style>
  <w:style w:type="paragraph" w:customStyle="1" w:styleId="10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szCs w:val="24"/>
      <w:lang w:eastAsia="en-US"/>
    </w:rPr>
  </w:style>
  <w:style w:type="paragraph" w:customStyle="1" w:styleId="105">
    <w:name w:val="font5"/>
    <w:basedOn w:val="1"/>
    <w:autoRedefine/>
    <w:qFormat/>
    <w:uiPriority w:val="0"/>
    <w:pPr>
      <w:widowControl/>
      <w:spacing w:before="100" w:beforeAutospacing="1" w:after="100" w:afterAutospacing="1"/>
      <w:jc w:val="left"/>
    </w:pPr>
    <w:rPr>
      <w:rFonts w:hint="eastAsia" w:ascii="宋体" w:hAnsi="宋体" w:eastAsia="宋体" w:cs="Courier New"/>
      <w:kern w:val="0"/>
      <w:sz w:val="18"/>
      <w:szCs w:val="18"/>
      <w:lang w:eastAsia="en-US"/>
    </w:rPr>
  </w:style>
  <w:style w:type="paragraph" w:customStyle="1" w:styleId="106">
    <w:name w:val="正文2"/>
    <w:basedOn w:val="1"/>
    <w:autoRedefine/>
    <w:qFormat/>
    <w:uiPriority w:val="0"/>
    <w:pPr>
      <w:spacing w:before="156" w:line="360" w:lineRule="auto"/>
      <w:ind w:firstLine="510" w:firstLineChars="200"/>
    </w:pPr>
    <w:rPr>
      <w:rFonts w:ascii="Calibri" w:hAnsi="Calibri" w:eastAsia="宋体" w:cs="Times New Roman"/>
      <w:sz w:val="24"/>
    </w:rPr>
  </w:style>
  <w:style w:type="paragraph" w:customStyle="1" w:styleId="10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2"/>
    </w:rPr>
  </w:style>
  <w:style w:type="paragraph" w:customStyle="1" w:styleId="108">
    <w:name w:val="正文－恩普"/>
    <w:basedOn w:val="6"/>
    <w:autoRedefine/>
    <w:qFormat/>
    <w:uiPriority w:val="0"/>
    <w:pPr>
      <w:spacing w:line="360" w:lineRule="auto"/>
      <w:ind w:firstLine="200" w:firstLineChars="200"/>
    </w:pPr>
    <w:rPr>
      <w:rFonts w:ascii="Times New Roman" w:hAnsi="Times New Roman" w:eastAsia="宋体" w:cs="Times New Roman"/>
      <w:sz w:val="24"/>
      <w:szCs w:val="24"/>
    </w:rPr>
  </w:style>
  <w:style w:type="paragraph" w:styleId="109">
    <w:name w:val="List Paragraph"/>
    <w:basedOn w:val="1"/>
    <w:autoRedefine/>
    <w:qFormat/>
    <w:uiPriority w:val="99"/>
    <w:pPr>
      <w:ind w:firstLine="420" w:firstLineChars="200"/>
    </w:p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szCs w:val="24"/>
      <w:lang w:eastAsia="en-US"/>
    </w:rPr>
  </w:style>
  <w:style w:type="paragraph" w:customStyle="1" w:styleId="111">
    <w:name w:val="Date"/>
    <w:basedOn w:val="1"/>
    <w:next w:val="1"/>
    <w:autoRedefine/>
    <w:qFormat/>
    <w:uiPriority w:val="0"/>
    <w:pPr>
      <w:ind w:leftChars="2500"/>
    </w:pPr>
    <w:rPr>
      <w:szCs w:val="20"/>
    </w:rPr>
  </w:style>
  <w:style w:type="paragraph" w:customStyle="1" w:styleId="112">
    <w:name w:val="菲页(卷)"/>
    <w:basedOn w:val="2"/>
    <w:next w:val="79"/>
    <w:autoRedefine/>
    <w:qFormat/>
    <w:uiPriority w:val="0"/>
    <w:pPr>
      <w:keepLines w:val="0"/>
      <w:widowControl/>
      <w:numPr>
        <w:ilvl w:val="0"/>
        <w:numId w:val="1"/>
      </w:numPr>
      <w:tabs>
        <w:tab w:val="left" w:pos="1200"/>
      </w:tabs>
      <w:spacing w:before="0" w:after="0" w:line="240" w:lineRule="auto"/>
      <w:jc w:val="center"/>
      <w:outlineLvl w:val="1"/>
    </w:pPr>
    <w:rPr>
      <w:rFonts w:ascii="黑体" w:hAnsi="Times New Roman" w:eastAsia="黑体" w:cs="Times New Roman"/>
      <w:b w:val="0"/>
      <w:kern w:val="0"/>
      <w:sz w:val="52"/>
      <w:szCs w:val="20"/>
    </w:rPr>
  </w:style>
  <w:style w:type="paragraph" w:customStyle="1" w:styleId="11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1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4"/>
      <w:szCs w:val="24"/>
      <w:lang w:eastAsia="en-US"/>
    </w:rPr>
  </w:style>
  <w:style w:type="paragraph" w:customStyle="1" w:styleId="11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14"/>
      <w:szCs w:val="14"/>
      <w:lang w:eastAsia="en-US"/>
    </w:rPr>
  </w:style>
  <w:style w:type="paragraph" w:customStyle="1" w:styleId="11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table_1stline"/>
    <w:basedOn w:val="1"/>
    <w:autoRedefine/>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118">
    <w:name w:val="表文字"/>
    <w:basedOn w:val="6"/>
    <w:autoRedefine/>
    <w:qFormat/>
    <w:uiPriority w:val="0"/>
    <w:pPr>
      <w:overflowPunct w:val="0"/>
      <w:autoSpaceDE w:val="0"/>
      <w:autoSpaceDN w:val="0"/>
      <w:adjustRightInd w:val="0"/>
      <w:snapToGrid w:val="0"/>
      <w:spacing w:line="360" w:lineRule="auto"/>
      <w:ind w:firstLine="0"/>
    </w:pPr>
    <w:rPr>
      <w:rFonts w:ascii="Calibri" w:hAnsi="Calibri" w:eastAsia="幼圆" w:cs="Times New Roman"/>
      <w:kern w:val="28"/>
    </w:rPr>
  </w:style>
  <w:style w:type="paragraph" w:customStyle="1" w:styleId="11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18"/>
      <w:szCs w:val="18"/>
    </w:rPr>
  </w:style>
  <w:style w:type="paragraph" w:customStyle="1" w:styleId="12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kern w:val="0"/>
      <w:sz w:val="24"/>
      <w:szCs w:val="24"/>
    </w:rPr>
  </w:style>
  <w:style w:type="paragraph" w:customStyle="1" w:styleId="121">
    <w:name w:val="Char1"/>
    <w:basedOn w:val="1"/>
    <w:autoRedefine/>
    <w:qFormat/>
    <w:uiPriority w:val="0"/>
    <w:pPr>
      <w:widowControl/>
      <w:jc w:val="left"/>
    </w:pPr>
    <w:rPr>
      <w:rFonts w:ascii="Times New Roman" w:hAnsi="Times New Roman" w:eastAsia="宋体" w:cs="Times New Roman"/>
      <w:kern w:val="0"/>
      <w:szCs w:val="20"/>
    </w:rPr>
  </w:style>
  <w:style w:type="paragraph" w:customStyle="1" w:styleId="122">
    <w:name w:val=" Char2"/>
    <w:basedOn w:val="1"/>
    <w:autoRedefine/>
    <w:qFormat/>
    <w:uiPriority w:val="0"/>
    <w:rPr>
      <w:rFonts w:ascii="仿宋_GB2312" w:hAnsi="Times New Roman" w:eastAsia="仿宋_GB2312"/>
      <w:b/>
      <w:sz w:val="32"/>
      <w:szCs w:val="32"/>
    </w:rPr>
  </w:style>
  <w:style w:type="paragraph" w:customStyle="1" w:styleId="123">
    <w:name w:val="Char2"/>
    <w:basedOn w:val="1"/>
    <w:autoRedefine/>
    <w:qFormat/>
    <w:uiPriority w:val="0"/>
    <w:rPr>
      <w:rFonts w:ascii="仿宋_GB2312" w:eastAsia="仿宋_GB2312"/>
      <w:b/>
      <w:sz w:val="32"/>
      <w:szCs w:val="32"/>
    </w:rPr>
  </w:style>
  <w:style w:type="paragraph" w:customStyle="1" w:styleId="124">
    <w:name w:val="菲页1"/>
    <w:basedOn w:val="3"/>
    <w:autoRedefine/>
    <w:qFormat/>
    <w:uiPriority w:val="0"/>
    <w:pPr>
      <w:widowControl/>
      <w:jc w:val="center"/>
    </w:pPr>
    <w:rPr>
      <w:rFonts w:ascii="黑体" w:hAnsi="宋体" w:eastAsia="黑体" w:cs="Times New Roman"/>
      <w:color w:val="000000"/>
      <w:kern w:val="0"/>
      <w:sz w:val="52"/>
    </w:rPr>
  </w:style>
  <w:style w:type="paragraph" w:customStyle="1" w:styleId="12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4"/>
      <w:szCs w:val="24"/>
      <w:lang w:eastAsia="en-US"/>
    </w:rPr>
  </w:style>
  <w:style w:type="paragraph" w:customStyle="1" w:styleId="126">
    <w:name w:val="表内文字"/>
    <w:basedOn w:val="1"/>
    <w:autoRedefine/>
    <w:qFormat/>
    <w:uiPriority w:val="0"/>
    <w:pPr>
      <w:spacing w:line="500" w:lineRule="atLeast"/>
      <w:jc w:val="center"/>
    </w:pPr>
    <w:rPr>
      <w:rFonts w:ascii="Arial" w:hAnsi="Arial" w:eastAsia="楷体_GB2312" w:cs="Times New Roman"/>
      <w:sz w:val="28"/>
    </w:rPr>
  </w:style>
  <w:style w:type="paragraph" w:customStyle="1" w:styleId="127">
    <w:name w:val="font6"/>
    <w:basedOn w:val="1"/>
    <w:autoRedefine/>
    <w:qFormat/>
    <w:uiPriority w:val="0"/>
    <w:pPr>
      <w:widowControl/>
      <w:spacing w:before="100" w:beforeAutospacing="1" w:after="100" w:afterAutospacing="1"/>
      <w:jc w:val="left"/>
    </w:pPr>
    <w:rPr>
      <w:rFonts w:ascii="Times New Roman" w:hAnsi="Times New Roman" w:eastAsia="Arial Unicode MS" w:cs="Times New Roman"/>
      <w:kern w:val="0"/>
      <w:szCs w:val="21"/>
      <w:lang w:eastAsia="en-US"/>
    </w:rPr>
  </w:style>
  <w:style w:type="paragraph" w:customStyle="1" w:styleId="128">
    <w:name w:val="附件"/>
    <w:basedOn w:val="2"/>
    <w:autoRedefine/>
    <w:qFormat/>
    <w:uiPriority w:val="0"/>
    <w:pPr>
      <w:keepNext w:val="0"/>
      <w:keepLines w:val="0"/>
      <w:pageBreakBefore/>
      <w:tabs>
        <w:tab w:val="left" w:pos="840"/>
      </w:tabs>
      <w:adjustRightInd w:val="0"/>
      <w:snapToGrid w:val="0"/>
      <w:spacing w:before="312" w:beforeLines="100" w:after="312" w:afterLines="100" w:line="240" w:lineRule="auto"/>
      <w:jc w:val="center"/>
    </w:pPr>
    <w:rPr>
      <w:rFonts w:ascii="宋体" w:hAnsi="宋体" w:eastAsia="宋体" w:cs="Times New Roman"/>
      <w:sz w:val="28"/>
      <w:szCs w:val="36"/>
    </w:rPr>
  </w:style>
  <w:style w:type="paragraph" w:customStyle="1" w:styleId="129">
    <w:name w:val="目录"/>
    <w:basedOn w:val="1"/>
    <w:autoRedefine/>
    <w:qFormat/>
    <w:uiPriority w:val="0"/>
    <w:pPr>
      <w:widowControl/>
      <w:jc w:val="center"/>
    </w:pPr>
    <w:rPr>
      <w:rFonts w:hint="eastAsia" w:ascii="宋体" w:hAnsi="Times New Roman" w:eastAsia="宋体" w:cs="Times New Roman"/>
      <w:b/>
      <w:kern w:val="0"/>
      <w:sz w:val="36"/>
      <w:szCs w:val="20"/>
    </w:rPr>
  </w:style>
  <w:style w:type="paragraph" w:customStyle="1" w:styleId="130">
    <w:name w:val="_Style 1"/>
    <w:basedOn w:val="1"/>
    <w:autoRedefine/>
    <w:qFormat/>
    <w:uiPriority w:val="34"/>
    <w:pPr>
      <w:widowControl/>
      <w:ind w:firstLine="420" w:firstLineChars="200"/>
      <w:jc w:val="left"/>
    </w:pPr>
    <w:rPr>
      <w:rFonts w:ascii="Calibri" w:hAnsi="Calibri"/>
      <w:kern w:val="0"/>
    </w:rPr>
  </w:style>
  <w:style w:type="paragraph" w:customStyle="1" w:styleId="131">
    <w:name w:val="样式1"/>
    <w:basedOn w:val="1"/>
    <w:autoRedefine/>
    <w:qFormat/>
    <w:uiPriority w:val="0"/>
    <w:pPr>
      <w:spacing w:before="120" w:after="120" w:line="300" w:lineRule="auto"/>
    </w:pPr>
    <w:rPr>
      <w:rFonts w:ascii="宋体" w:hAnsi="宋体" w:eastAsia="宋体" w:cs="Times New Roman"/>
      <w:b/>
      <w:sz w:val="24"/>
      <w:szCs w:val="20"/>
    </w:rPr>
  </w:style>
  <w:style w:type="paragraph" w:customStyle="1" w:styleId="13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133">
    <w:name w:val="保留正文"/>
    <w:basedOn w:val="15"/>
    <w:autoRedefine/>
    <w:qFormat/>
    <w:uiPriority w:val="0"/>
    <w:pPr>
      <w:keepNext/>
      <w:spacing w:after="160" w:line="240" w:lineRule="auto"/>
    </w:pPr>
    <w:rPr>
      <w:rFonts w:ascii="Times New Roman" w:hAnsi="Times New Roman" w:eastAsia="宋体" w:cs="Times New Roman"/>
      <w:sz w:val="21"/>
      <w:szCs w:val="24"/>
    </w:rPr>
  </w:style>
  <w:style w:type="paragraph" w:customStyle="1" w:styleId="134">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36">
    <w:name w:val="Indent a)"/>
    <w:basedOn w:val="1"/>
    <w:autoRedefine/>
    <w:qFormat/>
    <w:uiPriority w:val="0"/>
    <w:pPr>
      <w:widowControl/>
      <w:tabs>
        <w:tab w:val="left" w:pos="1843"/>
        <w:tab w:val="right" w:pos="9072"/>
      </w:tabs>
      <w:suppressAutoHyphens/>
      <w:spacing w:line="360" w:lineRule="auto"/>
      <w:ind w:right="-21" w:rightChars="-10" w:firstLine="420" w:firstLineChars="200"/>
    </w:pPr>
    <w:rPr>
      <w:rFonts w:ascii="宋体" w:hAnsi="宋体" w:eastAsia="宋体" w:cs="Times New Roman"/>
      <w:color w:val="000000"/>
      <w:szCs w:val="20"/>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38">
    <w:name w:val="_Style 3"/>
    <w:basedOn w:val="1"/>
    <w:autoRedefine/>
    <w:qFormat/>
    <w:uiPriority w:val="0"/>
    <w:pPr>
      <w:ind w:firstLine="420" w:firstLineChars="200"/>
    </w:pPr>
    <w:rPr>
      <w:rFonts w:ascii="Calibri" w:hAnsi="Calibri" w:eastAsia="宋体" w:cs="Times New Roman"/>
    </w:rPr>
  </w:style>
  <w:style w:type="paragraph" w:customStyle="1" w:styleId="139">
    <w:name w:val="font0"/>
    <w:basedOn w:val="1"/>
    <w:autoRedefine/>
    <w:qFormat/>
    <w:uiPriority w:val="0"/>
    <w:pPr>
      <w:widowControl/>
      <w:spacing w:before="100" w:beforeAutospacing="1" w:after="100" w:afterAutospacing="1"/>
      <w:jc w:val="left"/>
    </w:pPr>
    <w:rPr>
      <w:rFonts w:hint="eastAsia" w:ascii="宋体" w:hAnsi="宋体" w:eastAsia="宋体" w:cs="Courier New"/>
      <w:kern w:val="0"/>
      <w:sz w:val="24"/>
      <w:szCs w:val="24"/>
      <w:lang w:eastAsia="en-US"/>
    </w:rPr>
  </w:style>
  <w:style w:type="paragraph" w:customStyle="1" w:styleId="140">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paragraph" w:customStyle="1" w:styleId="141">
    <w:name w:val="font7"/>
    <w:basedOn w:val="1"/>
    <w:autoRedefine/>
    <w:qFormat/>
    <w:uiPriority w:val="0"/>
    <w:pPr>
      <w:widowControl/>
      <w:spacing w:before="100" w:beforeAutospacing="1" w:after="100" w:afterAutospacing="1"/>
      <w:jc w:val="left"/>
    </w:pPr>
    <w:rPr>
      <w:rFonts w:hint="eastAsia" w:ascii="宋体" w:hAnsi="宋体" w:eastAsia="宋体" w:cs="Courier New"/>
      <w:kern w:val="0"/>
      <w:szCs w:val="21"/>
      <w:lang w:eastAsia="en-US"/>
    </w:rPr>
  </w:style>
  <w:style w:type="character" w:customStyle="1" w:styleId="142">
    <w:name w:val="NormalCharacter"/>
    <w:autoRedefine/>
    <w:semiHidden/>
    <w:qFormat/>
    <w:uiPriority w:val="0"/>
    <w:rPr>
      <w:kern w:val="2"/>
      <w:sz w:val="21"/>
      <w:szCs w:val="24"/>
      <w:lang w:val="en-US" w:eastAsia="zh-CN" w:bidi="ar-SA"/>
    </w:rPr>
  </w:style>
  <w:style w:type="paragraph" w:customStyle="1" w:styleId="143">
    <w:name w:val="l正文"/>
    <w:autoRedefine/>
    <w:qFormat/>
    <w:uiPriority w:val="0"/>
    <w:pPr>
      <w:widowControl w:val="0"/>
      <w:spacing w:line="300" w:lineRule="auto"/>
      <w:ind w:firstLine="200" w:firstLineChars="200"/>
      <w:jc w:val="left"/>
    </w:pPr>
    <w:rPr>
      <w:rFonts w:ascii="楷体_GB2312" w:hAnsi="Times" w:eastAsia="楷体_GB2312" w:cs="等线"/>
      <w:kern w:val="2"/>
      <w:sz w:val="24"/>
      <w:szCs w:val="24"/>
      <w:lang w:val="en-US" w:eastAsia="zh-CN" w:bidi="ar-SA"/>
    </w:rPr>
  </w:style>
  <w:style w:type="paragraph" w:customStyle="1" w:styleId="144">
    <w:name w:val="列出段落11"/>
    <w:autoRedefine/>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4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9">
    <w:name w:val="Other|1"/>
    <w:basedOn w:val="1"/>
    <w:autoRedefine/>
    <w:qFormat/>
    <w:uiPriority w:val="0"/>
    <w:pPr>
      <w:widowControl w:val="0"/>
      <w:spacing w:line="281" w:lineRule="exact"/>
      <w:jc w:val="both"/>
    </w:pPr>
    <w:rPr>
      <w:rFonts w:ascii="宋体" w:hAnsi="宋体" w:cs="宋体"/>
      <w:kern w:val="2"/>
      <w:sz w:val="19"/>
      <w:szCs w:val="19"/>
      <w:lang w:val="zh-TW" w:eastAsia="zh-TW" w:bidi="zh-TW"/>
    </w:rPr>
  </w:style>
  <w:style w:type="paragraph" w:customStyle="1" w:styleId="150">
    <w:name w:val="Table Paragraph"/>
    <w:basedOn w:val="1"/>
    <w:autoRedefine/>
    <w:qFormat/>
    <w:uiPriority w:val="0"/>
    <w:pPr>
      <w:adjustRightInd/>
      <w:jc w:val="left"/>
    </w:pPr>
    <w:rPr>
      <w:rFonts w:ascii="Calibri" w:hAnsi="Calibri"/>
      <w:kern w:val="0"/>
      <w:sz w:val="22"/>
      <w:szCs w:val="22"/>
      <w:lang w:eastAsia="en-US"/>
    </w:rPr>
  </w:style>
  <w:style w:type="paragraph" w:customStyle="1" w:styleId="151">
    <w:name w:val="彩色列表 - 强调文字颜色 11"/>
    <w:basedOn w:val="1"/>
    <w:autoRedefine/>
    <w:qFormat/>
    <w:uiPriority w:val="99"/>
    <w:pPr>
      <w:ind w:firstLine="420" w:firstLineChars="200"/>
    </w:pPr>
  </w:style>
  <w:style w:type="paragraph" w:customStyle="1" w:styleId="15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5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154">
    <w:name w:val="纯文本1"/>
    <w:basedOn w:val="1"/>
    <w:autoRedefine/>
    <w:qFormat/>
    <w:uiPriority w:val="0"/>
    <w:pPr>
      <w:adjustRightInd/>
    </w:pPr>
    <w:rPr>
      <w:rFonts w:ascii="宋体" w:hAnsi="Courier New"/>
      <w:kern w:val="0"/>
      <w:sz w:val="20"/>
      <w:szCs w:val="20"/>
    </w:rPr>
  </w:style>
  <w:style w:type="paragraph" w:customStyle="1" w:styleId="155">
    <w:name w:val="AbsatzTableFormat"/>
    <w:basedOn w:val="1"/>
    <w:autoRedefine/>
    <w:qFormat/>
    <w:uiPriority w:val="0"/>
    <w:pPr>
      <w:widowControl/>
      <w:jc w:val="left"/>
    </w:pPr>
    <w:rPr>
      <w:rFonts w:ascii="Arial Narrow" w:hAnsi="Arial Narrow"/>
      <w:bCs/>
      <w:kern w:val="0"/>
      <w:sz w:val="22"/>
      <w:szCs w:val="21"/>
      <w:lang w:val="de-DE"/>
    </w:rPr>
  </w:style>
  <w:style w:type="character" w:customStyle="1" w:styleId="156">
    <w:name w:val="Anrede1IhrZeichen"/>
    <w:autoRedefine/>
    <w:qFormat/>
    <w:uiPriority w:val="0"/>
    <w:rPr>
      <w:rFonts w:hint="default" w:ascii="Arial" w:hAnsi="Arial"/>
      <w:sz w:val="20"/>
    </w:rPr>
  </w:style>
  <w:style w:type="character" w:customStyle="1" w:styleId="157">
    <w:name w:val="font31"/>
    <w:autoRedefine/>
    <w:qFormat/>
    <w:uiPriority w:val="0"/>
    <w:rPr>
      <w:rFonts w:ascii="宋体" w:hAnsi="宋体" w:eastAsia="宋体" w:cs="宋体"/>
      <w:color w:val="000000"/>
      <w:sz w:val="21"/>
      <w:szCs w:val="21"/>
      <w:u w:val="none"/>
    </w:rPr>
  </w:style>
  <w:style w:type="character" w:customStyle="1" w:styleId="158">
    <w:name w:val="font41"/>
    <w:basedOn w:val="39"/>
    <w:autoRedefine/>
    <w:qFormat/>
    <w:uiPriority w:val="0"/>
    <w:rPr>
      <w:rFonts w:hint="default" w:ascii="Kaiti SC" w:hAnsi="Kaiti SC" w:eastAsia="Kaiti SC" w:cs="Kaiti SC"/>
      <w:color w:val="000000"/>
      <w:sz w:val="24"/>
      <w:szCs w:val="24"/>
      <w:u w:val="none"/>
    </w:rPr>
  </w:style>
  <w:style w:type="character" w:customStyle="1" w:styleId="159">
    <w:name w:val="font71"/>
    <w:basedOn w:val="3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37913</Words>
  <Characters>39204</Characters>
  <Lines>260</Lines>
  <Paragraphs>73</Paragraphs>
  <TotalTime>1</TotalTime>
  <ScaleCrop>false</ScaleCrop>
  <LinksUpToDate>false</LinksUpToDate>
  <CharactersWithSpaces>44459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2020-03-19T05:44:00Z</dcterms:created>
  <dc:creator>ry12</dc:creator>
  <cp:lastModifiedBy>吉</cp:lastModifiedBy>
  <cp:lastPrinted>2024-03-13T06:38:00Z</cp:lastPrinted>
  <dcterms:modified xsi:type="dcterms:W3CDTF">2024-04-09T08:22:23Z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E1E151489CF14041A7FFAAF660D65970_13</vt:lpwstr>
  </property>
</Properties>
</file>