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spacing w:before="624" w:beforeLines="200"/>
        <w:ind w:left="2880" w:hanging="840" w:hangingChars="400"/>
        <w:jc w:val="center"/>
        <w:rPr>
          <w:sz w:val="22"/>
          <w:szCs w:val="22"/>
        </w:rPr>
      </w:pPr>
      <w:r>
        <w:rPr>
          <w:color w:val="0000FF"/>
        </w:rPr>
        <w:drawing>
          <wp:anchor distT="0" distB="0" distL="114300" distR="114300" simplePos="0" relativeHeight="251662336" behindDoc="1" locked="0" layoutInCell="1" allowOverlap="1">
            <wp:simplePos x="0" y="0"/>
            <wp:positionH relativeFrom="column">
              <wp:posOffset>-139065</wp:posOffset>
            </wp:positionH>
            <wp:positionV relativeFrom="paragraph">
              <wp:posOffset>401320</wp:posOffset>
            </wp:positionV>
            <wp:extent cx="932815" cy="867410"/>
            <wp:effectExtent l="0" t="0" r="635" b="8890"/>
            <wp:wrapTight wrapText="bothSides">
              <wp:wrapPolygon>
                <wp:start x="21592" y="-2"/>
                <wp:lineTo x="0" y="0"/>
                <wp:lineTo x="0" y="21600"/>
                <wp:lineTo x="21592" y="21602"/>
                <wp:lineTo x="8" y="21602"/>
                <wp:lineTo x="21600" y="21600"/>
                <wp:lineTo x="21600" y="0"/>
                <wp:lineTo x="8" y="-2"/>
                <wp:lineTo x="21592" y="-2"/>
              </wp:wrapPolygon>
            </wp:wrapTight>
            <wp:docPr id="2" name="图片 2" descr="b7b72726d0da41ab85fcece60352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7b72726d0da41ab85fcece60352fd0"/>
                    <pic:cNvPicPr>
                      <a:picLocks noChangeAspect="1"/>
                    </pic:cNvPicPr>
                  </pic:nvPicPr>
                  <pic:blipFill>
                    <a:blip r:embed="rId25"/>
                    <a:stretch>
                      <a:fillRect/>
                    </a:stretch>
                  </pic:blipFill>
                  <pic:spPr>
                    <a:xfrm>
                      <a:off x="0" y="0"/>
                      <a:ext cx="932815" cy="867410"/>
                    </a:xfrm>
                    <a:prstGeom prst="rect">
                      <a:avLst/>
                    </a:prstGeom>
                    <a:noFill/>
                    <a:ln>
                      <a:noFill/>
                    </a:ln>
                  </pic:spPr>
                </pic:pic>
              </a:graphicData>
            </a:graphic>
          </wp:anchor>
        </w:drawing>
      </w:r>
      <w:r>
        <w:rPr>
          <w:rFonts w:ascii="宋体" w:hAnsi="Times New Roman" w:eastAsia="宋体"/>
          <w:b/>
          <w:color w:val="000000"/>
          <w:kern w:val="24"/>
          <w:sz w:val="52"/>
          <w:szCs w:val="52"/>
        </w:rPr>
        <w:t>浙江凯宝工程项目管理有限公司</w:t>
      </w:r>
      <w:r>
        <w:rPr>
          <w:rFonts w:hint="eastAsia" w:ascii="宋体" w:hAnsi="Times New Roman" w:eastAsia="宋体"/>
          <w:b/>
          <w:color w:val="000000"/>
          <w:kern w:val="24"/>
          <w:sz w:val="52"/>
          <w:szCs w:val="52"/>
          <w:lang w:val="en-US" w:eastAsia="zh-CN"/>
        </w:rPr>
        <w:t xml:space="preserve"> </w:t>
      </w:r>
      <w:r>
        <w:rPr>
          <w:rFonts w:ascii="Calibri" w:hAnsi="Times New Roman" w:eastAsia="宋体"/>
          <w:color w:val="000000"/>
          <w:kern w:val="24"/>
        </w:rPr>
        <w:t>ZHE JIANG KAI BAO ENGINEERING PROJECT MANAGEMENT CO. , LTD</w:t>
      </w:r>
    </w:p>
    <w:p>
      <w:pPr>
        <w:keepNext w:val="0"/>
        <w:keepLines w:val="0"/>
        <w:pageBreakBefore w:val="0"/>
        <w:widowControl w:val="0"/>
        <w:kinsoku/>
        <w:wordWrap/>
        <w:overflowPunct/>
        <w:topLinePunct w:val="0"/>
        <w:autoSpaceDE/>
        <w:autoSpaceDN/>
        <w:bidi w:val="0"/>
        <w:adjustRightInd/>
        <w:snapToGrid/>
        <w:spacing w:before="313" w:beforeLines="100" w:line="1120" w:lineRule="exact"/>
        <w:jc w:val="center"/>
        <w:textAlignment w:val="auto"/>
        <w:rPr>
          <w:rFonts w:hint="eastAsia" w:ascii="宋体" w:hAnsi="宋体" w:cs="宋体"/>
          <w:b/>
          <w:bCs/>
          <w:color w:val="auto"/>
          <w:sz w:val="48"/>
          <w:szCs w:val="48"/>
          <w:highlight w:val="none"/>
          <w:lang w:eastAsia="zh-CN"/>
        </w:rPr>
      </w:pPr>
      <w:r>
        <w:rPr>
          <w:rFonts w:hint="eastAsia" w:ascii="宋体" w:hAnsi="宋体" w:cs="宋体"/>
          <w:b/>
          <w:bCs/>
          <w:color w:val="auto"/>
          <w:sz w:val="48"/>
          <w:szCs w:val="48"/>
          <w:highlight w:val="none"/>
          <w:lang w:eastAsia="zh-CN"/>
        </w:rPr>
        <w:t>瑞安市第五人民医院双拍成对经颅磁</w:t>
      </w:r>
    </w:p>
    <w:p>
      <w:pPr>
        <w:keepNext w:val="0"/>
        <w:keepLines w:val="0"/>
        <w:pageBreakBefore w:val="0"/>
        <w:widowControl w:val="0"/>
        <w:kinsoku/>
        <w:wordWrap/>
        <w:overflowPunct/>
        <w:topLinePunct w:val="0"/>
        <w:autoSpaceDE/>
        <w:autoSpaceDN/>
        <w:bidi w:val="0"/>
        <w:adjustRightInd/>
        <w:snapToGrid/>
        <w:spacing w:before="313" w:beforeLines="100" w:line="1120" w:lineRule="exact"/>
        <w:jc w:val="center"/>
        <w:textAlignment w:val="auto"/>
        <w:rPr>
          <w:rFonts w:hint="eastAsia" w:ascii="宋体" w:hAnsi="宋体" w:eastAsia="宋体" w:cs="宋体"/>
          <w:b/>
          <w:bCs/>
          <w:color w:val="auto"/>
          <w:sz w:val="84"/>
          <w:szCs w:val="84"/>
          <w:highlight w:val="none"/>
        </w:rPr>
      </w:pPr>
      <w:r>
        <w:rPr>
          <w:rFonts w:hint="eastAsia" w:ascii="宋体" w:hAnsi="宋体" w:cs="宋体"/>
          <w:b/>
          <w:bCs/>
          <w:color w:val="auto"/>
          <w:sz w:val="48"/>
          <w:szCs w:val="48"/>
          <w:highlight w:val="none"/>
          <w:lang w:eastAsia="zh-CN"/>
        </w:rPr>
        <w:t>项目采购</w:t>
      </w:r>
    </w:p>
    <w:p>
      <w:pPr>
        <w:spacing w:line="1120" w:lineRule="exact"/>
        <w:jc w:val="center"/>
        <w:rPr>
          <w:rFonts w:hint="eastAsia" w:ascii="宋体" w:hAnsi="宋体" w:eastAsia="宋体" w:cs="宋体"/>
          <w:b/>
          <w:bCs/>
          <w:color w:val="auto"/>
          <w:sz w:val="72"/>
          <w:szCs w:val="72"/>
          <w:highlight w:val="none"/>
        </w:rPr>
      </w:pPr>
    </w:p>
    <w:p>
      <w:pPr>
        <w:spacing w:line="1120" w:lineRule="exact"/>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jc w:val="center"/>
        <w:rPr>
          <w:rFonts w:hint="eastAsia" w:ascii="宋体" w:hAnsi="宋体" w:eastAsia="宋体" w:cs="宋体"/>
          <w:color w:val="auto"/>
          <w:sz w:val="72"/>
          <w:szCs w:val="72"/>
          <w:highlight w:val="none"/>
        </w:rPr>
      </w:pPr>
      <w:r>
        <w:rPr>
          <w:rFonts w:hint="eastAsia" w:ascii="宋体" w:hAnsi="宋体" w:eastAsia="宋体" w:cs="宋体"/>
          <w:b/>
          <w:bCs/>
          <w:color w:val="auto"/>
          <w:sz w:val="72"/>
          <w:szCs w:val="72"/>
          <w:highlight w:val="none"/>
        </w:rPr>
        <w:t>件</w:t>
      </w:r>
    </w:p>
    <w:p>
      <w:pPr>
        <w:spacing w:line="400" w:lineRule="exact"/>
        <w:rPr>
          <w:rFonts w:hint="eastAsia" w:ascii="宋体" w:hAnsi="宋体" w:eastAsia="宋体" w:cs="宋体"/>
          <w:color w:val="auto"/>
          <w:sz w:val="28"/>
          <w:highlight w:val="none"/>
        </w:rPr>
      </w:pPr>
    </w:p>
    <w:p>
      <w:pPr>
        <w:pStyle w:val="22"/>
        <w:keepNext w:val="0"/>
        <w:keepLines w:val="0"/>
        <w:pageBreakBefore w:val="0"/>
        <w:widowControl w:val="0"/>
        <w:tabs>
          <w:tab w:val="left" w:pos="1500"/>
          <w:tab w:val="clear" w:pos="4153"/>
          <w:tab w:val="clear" w:pos="8306"/>
        </w:tabs>
        <w:kinsoku/>
        <w:wordWrap/>
        <w:overflowPunct/>
        <w:topLinePunct w:val="0"/>
        <w:autoSpaceDE/>
        <w:autoSpaceDN/>
        <w:bidi w:val="0"/>
        <w:adjustRightInd/>
        <w:snapToGrid/>
        <w:spacing w:line="240" w:lineRule="auto"/>
        <w:textAlignment w:val="auto"/>
        <w:rPr>
          <w:rFonts w:hint="default" w:ascii="宋体" w:hAnsi="宋体" w:eastAsia="宋体" w:cs="宋体"/>
          <w:color w:val="auto"/>
          <w:kern w:val="2"/>
          <w:sz w:val="30"/>
          <w:szCs w:val="30"/>
          <w:highlight w:val="none"/>
          <w:lang w:val="en-US" w:eastAsia="zh-CN" w:bidi="ar-SA"/>
        </w:rPr>
      </w:pPr>
      <w:r>
        <w:rPr>
          <w:rFonts w:hint="eastAsia" w:ascii="宋体" w:hAnsi="宋体" w:eastAsia="宋体" w:cs="宋体"/>
          <w:color w:val="auto"/>
          <w:sz w:val="30"/>
          <w:szCs w:val="30"/>
          <w:highlight w:val="none"/>
        </w:rPr>
        <w:t xml:space="preserve">        项  目 编 号：</w:t>
      </w:r>
      <w:r>
        <w:rPr>
          <w:rFonts w:hint="eastAsia" w:ascii="宋体" w:hAnsi="宋体" w:cs="宋体"/>
          <w:color w:val="auto"/>
          <w:kern w:val="2"/>
          <w:sz w:val="30"/>
          <w:szCs w:val="30"/>
          <w:highlight w:val="none"/>
          <w:lang w:val="en-US" w:eastAsia="zh-CN" w:bidi="ar-SA"/>
        </w:rPr>
        <w:t>ZJKB2024020-01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highlight w:val="none"/>
        </w:rPr>
        <w:t xml:space="preserve">        </w:t>
      </w:r>
      <w:r>
        <w:rPr>
          <w:rFonts w:hint="eastAsia" w:ascii="宋体" w:hAnsi="宋体" w:eastAsia="宋体" w:cs="宋体"/>
          <w:color w:val="auto"/>
          <w:sz w:val="30"/>
          <w:szCs w:val="30"/>
          <w:highlight w:val="none"/>
        </w:rPr>
        <w:t>采  购 方 式：公开招标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30"/>
          <w:highlight w:val="none"/>
          <w:lang w:eastAsia="zh-CN"/>
        </w:rPr>
      </w:pPr>
      <w:r>
        <w:rPr>
          <w:rFonts w:hint="eastAsia" w:ascii="宋体" w:hAnsi="宋体" w:eastAsia="宋体" w:cs="宋体"/>
          <w:color w:val="auto"/>
          <w:sz w:val="30"/>
          <w:highlight w:val="non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lang w:val="en-US" w:eastAsia="zh-CN"/>
        </w:rPr>
        <w:t>采</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lang w:val="en-US" w:eastAsia="zh-CN"/>
        </w:rPr>
        <w:t>购</w:t>
      </w:r>
      <w:r>
        <w:rPr>
          <w:rFonts w:hint="eastAsia" w:ascii="宋体" w:hAnsi="宋体" w:eastAsia="宋体" w:cs="宋体"/>
          <w:color w:val="auto"/>
          <w:sz w:val="30"/>
          <w:szCs w:val="30"/>
          <w:highlight w:val="none"/>
        </w:rPr>
        <w:t xml:space="preserve">   人：</w:t>
      </w:r>
      <w:r>
        <w:rPr>
          <w:rFonts w:hint="eastAsia" w:ascii="宋体" w:hAnsi="宋体" w:cs="宋体"/>
          <w:color w:val="auto"/>
          <w:sz w:val="30"/>
          <w:szCs w:val="30"/>
          <w:highlight w:val="none"/>
          <w:lang w:eastAsia="zh-CN"/>
        </w:rPr>
        <w:t>瑞安市第五人民医院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30"/>
          <w:highlight w:val="none"/>
          <w:lang w:eastAsia="zh-CN"/>
        </w:rPr>
      </w:pPr>
      <w:r>
        <w:rPr>
          <w:rFonts w:hint="eastAsia" w:ascii="宋体" w:hAnsi="宋体" w:eastAsia="宋体" w:cs="宋体"/>
          <w:color w:val="auto"/>
          <w:sz w:val="30"/>
          <w:highlight w:val="none"/>
        </w:rPr>
        <w:t xml:space="preserve">        </w:t>
      </w:r>
      <w:r>
        <w:rPr>
          <w:rFonts w:hint="eastAsia" w:ascii="宋体" w:hAnsi="宋体" w:eastAsia="宋体" w:cs="宋体"/>
          <w:color w:val="auto"/>
          <w:sz w:val="30"/>
          <w:szCs w:val="30"/>
          <w:highlight w:val="none"/>
        </w:rPr>
        <w:t>采购代理机构：</w:t>
      </w:r>
      <w:r>
        <w:rPr>
          <w:rFonts w:hint="eastAsia" w:ascii="宋体" w:hAnsi="宋体" w:eastAsia="宋体" w:cs="宋体"/>
          <w:color w:val="auto"/>
          <w:sz w:val="30"/>
          <w:szCs w:val="30"/>
          <w:highlight w:val="none"/>
          <w:lang w:eastAsia="zh-CN"/>
        </w:rPr>
        <w:t>浙江凯宝工程项目管理有限公司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二〇二</w:t>
      </w:r>
      <w:r>
        <w:rPr>
          <w:rFonts w:hint="eastAsia" w:ascii="宋体" w:hAnsi="宋体" w:eastAsia="宋体" w:cs="宋体"/>
          <w:color w:val="auto"/>
          <w:sz w:val="30"/>
          <w:szCs w:val="30"/>
          <w:highlight w:val="none"/>
          <w:lang w:val="en-US" w:eastAsia="zh-CN"/>
        </w:rPr>
        <w:t>四</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lang w:val="en-US" w:eastAsia="zh-CN"/>
        </w:rPr>
        <w:t>四</w:t>
      </w:r>
      <w:r>
        <w:rPr>
          <w:rFonts w:hint="eastAsia" w:ascii="宋体" w:hAnsi="宋体" w:eastAsia="宋体" w:cs="宋体"/>
          <w:color w:val="auto"/>
          <w:sz w:val="30"/>
          <w:szCs w:val="30"/>
          <w:highlight w:val="none"/>
        </w:rPr>
        <w:t>月</w:t>
      </w:r>
    </w:p>
    <w:p>
      <w:pPr>
        <w:widowControl/>
        <w:jc w:val="left"/>
        <w:rPr>
          <w:rFonts w:hint="eastAsia" w:ascii="宋体" w:hAnsi="宋体" w:eastAsia="宋体" w:cs="宋体"/>
          <w:color w:val="auto"/>
          <w:highlight w:val="none"/>
        </w:rPr>
      </w:pPr>
    </w:p>
    <w:p>
      <w:pPr>
        <w:jc w:val="center"/>
        <w:rPr>
          <w:rFonts w:hint="eastAsia" w:ascii="宋体" w:hAnsi="宋体" w:eastAsia="宋体" w:cs="宋体"/>
          <w:b/>
          <w:color w:val="auto"/>
          <w:sz w:val="20"/>
          <w:szCs w:val="20"/>
          <w:highlight w:val="none"/>
        </w:rPr>
      </w:pPr>
      <w:bookmarkStart w:id="0" w:name="_Toc440617839"/>
      <w:bookmarkStart w:id="1" w:name="_Toc474156082"/>
      <w:r>
        <w:rPr>
          <w:rFonts w:hint="eastAsia" w:ascii="宋体" w:hAnsi="宋体" w:eastAsia="宋体" w:cs="宋体"/>
          <w:b/>
          <w:color w:val="auto"/>
          <w:sz w:val="40"/>
          <w:szCs w:val="40"/>
          <w:highlight w:val="none"/>
        </w:rPr>
        <w:t>目</w:t>
      </w:r>
      <w:r>
        <w:rPr>
          <w:rFonts w:hint="eastAsia" w:ascii="宋体" w:hAnsi="宋体" w:eastAsia="宋体" w:cs="宋体"/>
          <w:b/>
          <w:color w:val="auto"/>
          <w:sz w:val="40"/>
          <w:szCs w:val="40"/>
          <w:highlight w:val="none"/>
          <w:lang w:val="en-US" w:eastAsia="zh-CN"/>
        </w:rPr>
        <w:t xml:space="preserve">  </w:t>
      </w:r>
      <w:r>
        <w:rPr>
          <w:rFonts w:hint="eastAsia" w:ascii="宋体" w:hAnsi="宋体" w:eastAsia="宋体" w:cs="宋体"/>
          <w:b/>
          <w:color w:val="auto"/>
          <w:sz w:val="40"/>
          <w:szCs w:val="40"/>
          <w:highlight w:val="none"/>
        </w:rPr>
        <w:t>录</w:t>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TOC \o "1-1" \h \u </w:instrText>
      </w:r>
      <w:r>
        <w:rPr>
          <w:rFonts w:hint="eastAsia" w:ascii="宋体" w:hAnsi="宋体" w:eastAsia="宋体" w:cs="宋体"/>
          <w:smallCaps/>
          <w:color w:val="auto"/>
          <w:szCs w:val="24"/>
          <w:highlight w:val="none"/>
        </w:rPr>
        <w:fldChar w:fldCharType="separate"/>
      </w: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_Toc19358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40"/>
          <w:highlight w:val="none"/>
        </w:rPr>
        <w:t>第一部分 招标公告</w:t>
      </w:r>
      <w:r>
        <w:rPr>
          <w:color w:val="auto"/>
          <w:highlight w:val="none"/>
        </w:rPr>
        <w:tab/>
      </w:r>
      <w:r>
        <w:rPr>
          <w:color w:val="auto"/>
          <w:highlight w:val="none"/>
        </w:rPr>
        <w:fldChar w:fldCharType="begin"/>
      </w:r>
      <w:r>
        <w:rPr>
          <w:color w:val="auto"/>
          <w:highlight w:val="none"/>
        </w:rPr>
        <w:instrText xml:space="preserve"> PAGEREF _Toc19358 \h </w:instrText>
      </w:r>
      <w:r>
        <w:rPr>
          <w:color w:val="auto"/>
          <w:highlight w:val="none"/>
        </w:rPr>
        <w:fldChar w:fldCharType="separate"/>
      </w:r>
      <w:r>
        <w:rPr>
          <w:color w:val="auto"/>
          <w:highlight w:val="none"/>
        </w:rPr>
        <w:t>- 2 -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_Toc22691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36"/>
          <w:highlight w:val="none"/>
        </w:rPr>
        <w:t xml:space="preserve">第二部分  </w:t>
      </w:r>
      <w:r>
        <w:rPr>
          <w:rFonts w:hint="eastAsia" w:ascii="宋体" w:hAnsi="宋体" w:eastAsia="宋体" w:cs="宋体"/>
          <w:color w:val="auto"/>
          <w:szCs w:val="36"/>
          <w:highlight w:val="none"/>
          <w:lang w:eastAsia="zh-CN"/>
        </w:rPr>
        <w:t>投标人</w:t>
      </w:r>
      <w:r>
        <w:rPr>
          <w:rFonts w:hint="eastAsia" w:ascii="宋体" w:hAnsi="宋体" w:eastAsia="宋体" w:cs="宋体"/>
          <w:color w:val="auto"/>
          <w:szCs w:val="36"/>
          <w:highlight w:val="none"/>
        </w:rPr>
        <w:t>须知</w:t>
      </w:r>
      <w:r>
        <w:rPr>
          <w:rFonts w:hint="eastAsia" w:ascii="宋体" w:hAnsi="宋体" w:eastAsia="宋体" w:cs="宋体"/>
          <w:color w:val="auto"/>
          <w:szCs w:val="36"/>
          <w:highlight w:val="none"/>
          <w:lang w:val="en-US" w:eastAsia="zh-CN"/>
        </w:rPr>
        <w:t>前附表</w:t>
      </w:r>
      <w:r>
        <w:rPr>
          <w:color w:val="auto"/>
          <w:highlight w:val="none"/>
        </w:rPr>
        <w:tab/>
      </w:r>
      <w:r>
        <w:rPr>
          <w:color w:val="auto"/>
          <w:highlight w:val="none"/>
        </w:rPr>
        <w:fldChar w:fldCharType="begin"/>
      </w:r>
      <w:r>
        <w:rPr>
          <w:color w:val="auto"/>
          <w:highlight w:val="none"/>
        </w:rPr>
        <w:instrText xml:space="preserve"> PAGEREF _Toc22691 \h </w:instrText>
      </w:r>
      <w:r>
        <w:rPr>
          <w:color w:val="auto"/>
          <w:highlight w:val="none"/>
        </w:rPr>
        <w:fldChar w:fldCharType="separate"/>
      </w:r>
      <w:r>
        <w:rPr>
          <w:color w:val="auto"/>
          <w:highlight w:val="none"/>
        </w:rPr>
        <w:t>- 6 -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_Toc25096 </w:instrText>
      </w:r>
      <w:r>
        <w:rPr>
          <w:rFonts w:hint="eastAsia" w:ascii="宋体" w:hAnsi="宋体" w:eastAsia="宋体" w:cs="宋体"/>
          <w:smallCaps/>
          <w:color w:val="auto"/>
          <w:szCs w:val="24"/>
          <w:highlight w:val="none"/>
        </w:rPr>
        <w:fldChar w:fldCharType="separate"/>
      </w:r>
      <w:r>
        <w:rPr>
          <w:rFonts w:hint="eastAsia" w:ascii="宋体" w:hAnsi="宋体" w:eastAsia="宋体" w:cs="宋体"/>
          <w:bCs w:val="0"/>
          <w:color w:val="auto"/>
          <w:szCs w:val="28"/>
          <w:highlight w:val="none"/>
          <w:lang w:val="en-US" w:eastAsia="zh-CN"/>
        </w:rPr>
        <w:t>一、</w:t>
      </w:r>
      <w:r>
        <w:rPr>
          <w:rFonts w:hint="eastAsia" w:ascii="宋体" w:hAnsi="宋体" w:eastAsia="宋体" w:cs="宋体"/>
          <w:bCs w:val="0"/>
          <w:color w:val="auto"/>
          <w:szCs w:val="28"/>
          <w:highlight w:val="none"/>
        </w:rPr>
        <w:t>总则</w:t>
      </w:r>
      <w:r>
        <w:rPr>
          <w:color w:val="auto"/>
          <w:highlight w:val="none"/>
        </w:rPr>
        <w:tab/>
      </w:r>
      <w:r>
        <w:rPr>
          <w:color w:val="auto"/>
          <w:highlight w:val="none"/>
        </w:rPr>
        <w:fldChar w:fldCharType="begin"/>
      </w:r>
      <w:r>
        <w:rPr>
          <w:color w:val="auto"/>
          <w:highlight w:val="none"/>
        </w:rPr>
        <w:instrText xml:space="preserve"> PAGEREF _Toc25096 \h </w:instrText>
      </w:r>
      <w:r>
        <w:rPr>
          <w:color w:val="auto"/>
          <w:highlight w:val="none"/>
        </w:rPr>
        <w:fldChar w:fldCharType="separate"/>
      </w:r>
      <w:r>
        <w:rPr>
          <w:color w:val="auto"/>
          <w:highlight w:val="none"/>
        </w:rPr>
        <w:t>- 8 -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_Toc8495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二、招标文件的构成、澄清、修改</w:t>
      </w:r>
      <w:r>
        <w:rPr>
          <w:color w:val="auto"/>
          <w:highlight w:val="none"/>
        </w:rPr>
        <w:tab/>
      </w:r>
      <w:r>
        <w:rPr>
          <w:color w:val="auto"/>
          <w:highlight w:val="none"/>
        </w:rPr>
        <w:fldChar w:fldCharType="begin"/>
      </w:r>
      <w:r>
        <w:rPr>
          <w:color w:val="auto"/>
          <w:highlight w:val="none"/>
        </w:rPr>
        <w:instrText xml:space="preserve"> PAGEREF _Toc8495 \h </w:instrText>
      </w:r>
      <w:r>
        <w:rPr>
          <w:color w:val="auto"/>
          <w:highlight w:val="none"/>
        </w:rPr>
        <w:fldChar w:fldCharType="separate"/>
      </w:r>
      <w:r>
        <w:rPr>
          <w:color w:val="auto"/>
          <w:highlight w:val="none"/>
        </w:rPr>
        <w:t>- 11 -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_Toc19369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三、投标</w:t>
      </w:r>
      <w:r>
        <w:rPr>
          <w:color w:val="auto"/>
          <w:highlight w:val="none"/>
        </w:rPr>
        <w:tab/>
      </w:r>
      <w:r>
        <w:rPr>
          <w:color w:val="auto"/>
          <w:highlight w:val="none"/>
        </w:rPr>
        <w:fldChar w:fldCharType="begin"/>
      </w:r>
      <w:r>
        <w:rPr>
          <w:color w:val="auto"/>
          <w:highlight w:val="none"/>
        </w:rPr>
        <w:instrText xml:space="preserve"> PAGEREF _Toc19369 \h </w:instrText>
      </w:r>
      <w:r>
        <w:rPr>
          <w:color w:val="auto"/>
          <w:highlight w:val="none"/>
        </w:rPr>
        <w:fldChar w:fldCharType="separate"/>
      </w:r>
      <w:r>
        <w:rPr>
          <w:color w:val="auto"/>
          <w:highlight w:val="none"/>
        </w:rPr>
        <w:t>- 12 -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_Toc26269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四、开标、资格审查与信用信息查询</w:t>
      </w:r>
      <w:r>
        <w:rPr>
          <w:color w:val="auto"/>
          <w:highlight w:val="none"/>
        </w:rPr>
        <w:tab/>
      </w:r>
      <w:r>
        <w:rPr>
          <w:color w:val="auto"/>
          <w:highlight w:val="none"/>
        </w:rPr>
        <w:fldChar w:fldCharType="begin"/>
      </w:r>
      <w:r>
        <w:rPr>
          <w:color w:val="auto"/>
          <w:highlight w:val="none"/>
        </w:rPr>
        <w:instrText xml:space="preserve"> PAGEREF _Toc26269 \h </w:instrText>
      </w:r>
      <w:r>
        <w:rPr>
          <w:color w:val="auto"/>
          <w:highlight w:val="none"/>
        </w:rPr>
        <w:fldChar w:fldCharType="separate"/>
      </w:r>
      <w:r>
        <w:rPr>
          <w:color w:val="auto"/>
          <w:highlight w:val="none"/>
        </w:rPr>
        <w:t>- 14 -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_Toc4103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五、评标</w:t>
      </w:r>
      <w:r>
        <w:rPr>
          <w:color w:val="auto"/>
          <w:highlight w:val="none"/>
        </w:rPr>
        <w:tab/>
      </w:r>
      <w:r>
        <w:rPr>
          <w:color w:val="auto"/>
          <w:highlight w:val="none"/>
        </w:rPr>
        <w:fldChar w:fldCharType="begin"/>
      </w:r>
      <w:r>
        <w:rPr>
          <w:color w:val="auto"/>
          <w:highlight w:val="none"/>
        </w:rPr>
        <w:instrText xml:space="preserve"> PAGEREF _Toc4103 \h </w:instrText>
      </w:r>
      <w:r>
        <w:rPr>
          <w:color w:val="auto"/>
          <w:highlight w:val="none"/>
        </w:rPr>
        <w:fldChar w:fldCharType="separate"/>
      </w:r>
      <w:r>
        <w:rPr>
          <w:color w:val="auto"/>
          <w:highlight w:val="none"/>
        </w:rPr>
        <w:t>- 15 -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_Toc2217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六、定 标</w:t>
      </w:r>
      <w:r>
        <w:rPr>
          <w:color w:val="auto"/>
          <w:highlight w:val="none"/>
        </w:rPr>
        <w:tab/>
      </w:r>
      <w:r>
        <w:rPr>
          <w:color w:val="auto"/>
          <w:highlight w:val="none"/>
        </w:rPr>
        <w:fldChar w:fldCharType="begin"/>
      </w:r>
      <w:r>
        <w:rPr>
          <w:color w:val="auto"/>
          <w:highlight w:val="none"/>
        </w:rPr>
        <w:instrText xml:space="preserve"> PAGEREF _Toc2217 \h </w:instrText>
      </w:r>
      <w:r>
        <w:rPr>
          <w:color w:val="auto"/>
          <w:highlight w:val="none"/>
        </w:rPr>
        <w:fldChar w:fldCharType="separate"/>
      </w:r>
      <w:r>
        <w:rPr>
          <w:color w:val="auto"/>
          <w:highlight w:val="none"/>
        </w:rPr>
        <w:t>- 16 -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_Toc21779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七、合同授予</w:t>
      </w:r>
      <w:r>
        <w:rPr>
          <w:color w:val="auto"/>
          <w:highlight w:val="none"/>
        </w:rPr>
        <w:tab/>
      </w:r>
      <w:r>
        <w:rPr>
          <w:color w:val="auto"/>
          <w:highlight w:val="none"/>
        </w:rPr>
        <w:fldChar w:fldCharType="begin"/>
      </w:r>
      <w:r>
        <w:rPr>
          <w:color w:val="auto"/>
          <w:highlight w:val="none"/>
        </w:rPr>
        <w:instrText xml:space="preserve"> PAGEREF _Toc21779 \h </w:instrText>
      </w:r>
      <w:r>
        <w:rPr>
          <w:color w:val="auto"/>
          <w:highlight w:val="none"/>
        </w:rPr>
        <w:fldChar w:fldCharType="separate"/>
      </w:r>
      <w:r>
        <w:rPr>
          <w:color w:val="auto"/>
          <w:highlight w:val="none"/>
        </w:rPr>
        <w:t>- 16 -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_Toc19992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八、电子交易活动的中止</w:t>
      </w:r>
      <w:r>
        <w:rPr>
          <w:color w:val="auto"/>
          <w:highlight w:val="none"/>
        </w:rPr>
        <w:tab/>
      </w:r>
      <w:r>
        <w:rPr>
          <w:color w:val="auto"/>
          <w:highlight w:val="none"/>
        </w:rPr>
        <w:fldChar w:fldCharType="begin"/>
      </w:r>
      <w:r>
        <w:rPr>
          <w:color w:val="auto"/>
          <w:highlight w:val="none"/>
        </w:rPr>
        <w:instrText xml:space="preserve"> PAGEREF _Toc19992 \h </w:instrText>
      </w:r>
      <w:r>
        <w:rPr>
          <w:color w:val="auto"/>
          <w:highlight w:val="none"/>
        </w:rPr>
        <w:fldChar w:fldCharType="separate"/>
      </w:r>
      <w:r>
        <w:rPr>
          <w:color w:val="auto"/>
          <w:highlight w:val="none"/>
        </w:rPr>
        <w:t>- 17 -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_Toc1197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九、验收</w:t>
      </w:r>
      <w:r>
        <w:rPr>
          <w:color w:val="auto"/>
          <w:highlight w:val="none"/>
        </w:rPr>
        <w:tab/>
      </w:r>
      <w:r>
        <w:rPr>
          <w:color w:val="auto"/>
          <w:highlight w:val="none"/>
        </w:rPr>
        <w:fldChar w:fldCharType="begin"/>
      </w:r>
      <w:r>
        <w:rPr>
          <w:color w:val="auto"/>
          <w:highlight w:val="none"/>
        </w:rPr>
        <w:instrText xml:space="preserve"> PAGEREF _Toc1197 \h </w:instrText>
      </w:r>
      <w:r>
        <w:rPr>
          <w:color w:val="auto"/>
          <w:highlight w:val="none"/>
        </w:rPr>
        <w:fldChar w:fldCharType="separate"/>
      </w:r>
      <w:r>
        <w:rPr>
          <w:color w:val="auto"/>
          <w:highlight w:val="none"/>
        </w:rPr>
        <w:t>- 18 -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_Toc12093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32"/>
          <w:highlight w:val="none"/>
          <w:lang w:val="en-US" w:eastAsia="zh-CN"/>
        </w:rPr>
        <w:t>十</w:t>
      </w:r>
      <w:r>
        <w:rPr>
          <w:rFonts w:hint="eastAsia" w:ascii="宋体" w:hAnsi="宋体" w:eastAsia="宋体" w:cs="宋体"/>
          <w:color w:val="auto"/>
          <w:szCs w:val="32"/>
          <w:highlight w:val="none"/>
        </w:rPr>
        <w:t>、</w:t>
      </w:r>
      <w:r>
        <w:rPr>
          <w:rFonts w:hint="eastAsia" w:ascii="宋体" w:hAnsi="宋体" w:eastAsia="宋体" w:cs="宋体"/>
          <w:color w:val="auto"/>
          <w:szCs w:val="32"/>
          <w:highlight w:val="none"/>
          <w:lang w:val="en-US" w:eastAsia="zh-CN"/>
        </w:rPr>
        <w:t>代理服务费</w:t>
      </w:r>
      <w:r>
        <w:rPr>
          <w:color w:val="auto"/>
          <w:highlight w:val="none"/>
        </w:rPr>
        <w:tab/>
      </w:r>
      <w:r>
        <w:rPr>
          <w:color w:val="auto"/>
          <w:highlight w:val="none"/>
        </w:rPr>
        <w:fldChar w:fldCharType="begin"/>
      </w:r>
      <w:r>
        <w:rPr>
          <w:color w:val="auto"/>
          <w:highlight w:val="none"/>
        </w:rPr>
        <w:instrText xml:space="preserve"> PAGEREF _Toc12093 \h </w:instrText>
      </w:r>
      <w:r>
        <w:rPr>
          <w:color w:val="auto"/>
          <w:highlight w:val="none"/>
        </w:rPr>
        <w:fldChar w:fldCharType="separate"/>
      </w:r>
      <w:r>
        <w:rPr>
          <w:color w:val="auto"/>
          <w:highlight w:val="none"/>
        </w:rPr>
        <w:t>- 18 -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_Toc2560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40"/>
          <w:highlight w:val="none"/>
        </w:rPr>
        <w:t xml:space="preserve">第三部分  </w:t>
      </w:r>
      <w:r>
        <w:rPr>
          <w:rFonts w:hint="eastAsia" w:ascii="宋体" w:hAnsi="宋体" w:eastAsia="宋体" w:cs="宋体"/>
          <w:color w:val="auto"/>
          <w:szCs w:val="40"/>
          <w:highlight w:val="none"/>
          <w:lang w:val="en-US" w:eastAsia="zh-CN"/>
        </w:rPr>
        <w:t>采购需求</w:t>
      </w:r>
      <w:r>
        <w:rPr>
          <w:color w:val="auto"/>
          <w:highlight w:val="none"/>
        </w:rPr>
        <w:tab/>
      </w:r>
      <w:r>
        <w:rPr>
          <w:color w:val="auto"/>
          <w:highlight w:val="none"/>
        </w:rPr>
        <w:fldChar w:fldCharType="begin"/>
      </w:r>
      <w:r>
        <w:rPr>
          <w:color w:val="auto"/>
          <w:highlight w:val="none"/>
        </w:rPr>
        <w:instrText xml:space="preserve"> PAGEREF _Toc2560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_Toc7172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kern w:val="44"/>
          <w:szCs w:val="32"/>
          <w:highlight w:val="none"/>
          <w:lang w:val="en-US" w:eastAsia="zh-CN" w:bidi="ar-SA"/>
        </w:rPr>
        <w:t>第四部分   评标办法</w:t>
      </w:r>
      <w:r>
        <w:rPr>
          <w:color w:val="auto"/>
          <w:highlight w:val="none"/>
        </w:rPr>
        <w:tab/>
      </w:r>
      <w:r>
        <w:rPr>
          <w:color w:val="auto"/>
          <w:highlight w:val="none"/>
        </w:rPr>
        <w:fldChar w:fldCharType="begin"/>
      </w:r>
      <w:r>
        <w:rPr>
          <w:color w:val="auto"/>
          <w:highlight w:val="none"/>
        </w:rPr>
        <w:instrText xml:space="preserve"> PAGEREF _Toc7172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_Toc24770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1"/>
          <w:highlight w:val="none"/>
        </w:rPr>
        <w:t>一、评标方法</w:t>
      </w:r>
      <w:r>
        <w:rPr>
          <w:color w:val="auto"/>
          <w:highlight w:val="none"/>
        </w:rPr>
        <w:tab/>
      </w:r>
      <w:r>
        <w:rPr>
          <w:color w:val="auto"/>
          <w:highlight w:val="none"/>
        </w:rPr>
        <w:fldChar w:fldCharType="begin"/>
      </w:r>
      <w:r>
        <w:rPr>
          <w:color w:val="auto"/>
          <w:highlight w:val="none"/>
        </w:rPr>
        <w:instrText xml:space="preserve"> PAGEREF _Toc24770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_Toc15641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二、评标标准</w:t>
      </w:r>
      <w:r>
        <w:rPr>
          <w:color w:val="auto"/>
          <w:highlight w:val="none"/>
        </w:rPr>
        <w:tab/>
      </w:r>
      <w:r>
        <w:rPr>
          <w:color w:val="auto"/>
          <w:highlight w:val="none"/>
        </w:rPr>
        <w:fldChar w:fldCharType="begin"/>
      </w:r>
      <w:r>
        <w:rPr>
          <w:color w:val="auto"/>
          <w:highlight w:val="none"/>
        </w:rPr>
        <w:instrText xml:space="preserve"> PAGEREF _Toc15641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_Toc6031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三、评标程序</w:t>
      </w:r>
      <w:r>
        <w:rPr>
          <w:color w:val="auto"/>
          <w:highlight w:val="none"/>
        </w:rPr>
        <w:tab/>
      </w:r>
      <w:r>
        <w:rPr>
          <w:color w:val="auto"/>
          <w:highlight w:val="none"/>
        </w:rPr>
        <w:fldChar w:fldCharType="begin"/>
      </w:r>
      <w:r>
        <w:rPr>
          <w:color w:val="auto"/>
          <w:highlight w:val="none"/>
        </w:rPr>
        <w:instrText xml:space="preserve"> PAGEREF _Toc6031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_Toc11310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28"/>
          <w:highlight w:val="none"/>
        </w:rPr>
        <w:t>四、评标中的其他事项</w:t>
      </w:r>
      <w:r>
        <w:rPr>
          <w:color w:val="auto"/>
          <w:highlight w:val="none"/>
        </w:rPr>
        <w:tab/>
      </w:r>
      <w:r>
        <w:rPr>
          <w:color w:val="auto"/>
          <w:highlight w:val="none"/>
        </w:rPr>
        <w:fldChar w:fldCharType="begin"/>
      </w:r>
      <w:r>
        <w:rPr>
          <w:color w:val="auto"/>
          <w:highlight w:val="none"/>
        </w:rPr>
        <w:instrText xml:space="preserve"> PAGEREF _Toc11310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_Toc27385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kern w:val="44"/>
          <w:szCs w:val="32"/>
          <w:highlight w:val="none"/>
          <w:lang w:val="en-US" w:eastAsia="zh-CN" w:bidi="ar-SA"/>
        </w:rPr>
        <w:t>第五部分  拟签订的合同文本</w:t>
      </w:r>
      <w:r>
        <w:rPr>
          <w:color w:val="auto"/>
          <w:highlight w:val="none"/>
        </w:rPr>
        <w:tab/>
      </w:r>
      <w:r>
        <w:rPr>
          <w:color w:val="auto"/>
          <w:highlight w:val="none"/>
        </w:rPr>
        <w:fldChar w:fldCharType="begin"/>
      </w:r>
      <w:r>
        <w:rPr>
          <w:color w:val="auto"/>
          <w:highlight w:val="none"/>
        </w:rPr>
        <w:instrText xml:space="preserve"> PAGEREF _Toc27385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_Toc274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szCs w:val="36"/>
          <w:highlight w:val="none"/>
        </w:rPr>
        <w:t>第</w:t>
      </w:r>
      <w:r>
        <w:rPr>
          <w:rFonts w:hint="eastAsia" w:ascii="宋体" w:hAnsi="宋体" w:eastAsia="宋体" w:cs="宋体"/>
          <w:color w:val="auto"/>
          <w:szCs w:val="36"/>
          <w:highlight w:val="none"/>
          <w:lang w:val="en-US" w:eastAsia="zh-CN"/>
        </w:rPr>
        <w:t>六</w:t>
      </w:r>
      <w:r>
        <w:rPr>
          <w:rFonts w:hint="eastAsia" w:ascii="宋体" w:hAnsi="宋体" w:eastAsia="宋体" w:cs="宋体"/>
          <w:color w:val="auto"/>
          <w:szCs w:val="36"/>
          <w:highlight w:val="none"/>
        </w:rPr>
        <w:t>部分  应提交的有关格式范例</w:t>
      </w:r>
      <w:r>
        <w:rPr>
          <w:color w:val="auto"/>
          <w:highlight w:val="none"/>
        </w:rPr>
        <w:tab/>
      </w:r>
      <w:r>
        <w:rPr>
          <w:color w:val="auto"/>
          <w:highlight w:val="none"/>
        </w:rPr>
        <w:fldChar w:fldCharType="begin"/>
      </w:r>
      <w:r>
        <w:rPr>
          <w:color w:val="auto"/>
          <w:highlight w:val="none"/>
        </w:rPr>
        <w:instrText xml:space="preserve"> PAGEREF _Toc274 \h </w:instrText>
      </w:r>
      <w:r>
        <w:rPr>
          <w:color w:val="auto"/>
          <w:highlight w:val="none"/>
        </w:rPr>
        <w:fldChar w:fldCharType="separate"/>
      </w:r>
      <w:r>
        <w:rPr>
          <w:color w:val="auto"/>
          <w:highlight w:val="none"/>
        </w:rPr>
        <w:t>- 44 -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_Toc25231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kern w:val="0"/>
          <w:szCs w:val="32"/>
          <w:highlight w:val="none"/>
        </w:rPr>
        <w:t>资格文件部分</w:t>
      </w:r>
      <w:r>
        <w:rPr>
          <w:color w:val="auto"/>
          <w:highlight w:val="none"/>
        </w:rPr>
        <w:tab/>
      </w:r>
      <w:r>
        <w:rPr>
          <w:color w:val="auto"/>
          <w:highlight w:val="none"/>
        </w:rPr>
        <w:fldChar w:fldCharType="begin"/>
      </w:r>
      <w:r>
        <w:rPr>
          <w:color w:val="auto"/>
          <w:highlight w:val="none"/>
        </w:rPr>
        <w:instrText xml:space="preserve"> PAGEREF _Toc25231 \h </w:instrText>
      </w:r>
      <w:r>
        <w:rPr>
          <w:color w:val="auto"/>
          <w:highlight w:val="none"/>
        </w:rPr>
        <w:fldChar w:fldCharType="separate"/>
      </w:r>
      <w:r>
        <w:rPr>
          <w:color w:val="auto"/>
          <w:highlight w:val="none"/>
        </w:rPr>
        <w:t>- 45 -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_Toc25318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kern w:val="0"/>
          <w:szCs w:val="28"/>
          <w:highlight w:val="none"/>
        </w:rPr>
        <w:t>商务技术文件部分</w:t>
      </w:r>
      <w:r>
        <w:rPr>
          <w:color w:val="auto"/>
          <w:highlight w:val="none"/>
        </w:rPr>
        <w:tab/>
      </w:r>
      <w:r>
        <w:rPr>
          <w:color w:val="auto"/>
          <w:highlight w:val="none"/>
        </w:rPr>
        <w:fldChar w:fldCharType="begin"/>
      </w:r>
      <w:r>
        <w:rPr>
          <w:color w:val="auto"/>
          <w:highlight w:val="none"/>
        </w:rPr>
        <w:instrText xml:space="preserve"> PAGEREF _Toc25318 \h </w:instrText>
      </w:r>
      <w:r>
        <w:rPr>
          <w:color w:val="auto"/>
          <w:highlight w:val="none"/>
        </w:rPr>
        <w:fldChar w:fldCharType="separate"/>
      </w:r>
      <w:r>
        <w:rPr>
          <w:color w:val="auto"/>
          <w:highlight w:val="none"/>
        </w:rPr>
        <w:t>- 50 -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_Toc27177 </w:instrText>
      </w:r>
      <w:r>
        <w:rPr>
          <w:rFonts w:hint="eastAsia" w:ascii="宋体" w:hAnsi="宋体" w:eastAsia="宋体" w:cs="宋体"/>
          <w:smallCaps/>
          <w:color w:val="auto"/>
          <w:szCs w:val="24"/>
          <w:highlight w:val="none"/>
        </w:rPr>
        <w:fldChar w:fldCharType="separate"/>
      </w:r>
      <w:r>
        <w:rPr>
          <w:rFonts w:hint="eastAsia" w:ascii="宋体" w:hAnsi="宋体" w:eastAsia="宋体" w:cs="宋体"/>
          <w:bCs/>
          <w:color w:val="auto"/>
          <w:szCs w:val="36"/>
          <w:highlight w:val="none"/>
          <w:lang w:val="en-US" w:eastAsia="zh-CN"/>
        </w:rPr>
        <w:t>报价文件部分</w:t>
      </w:r>
      <w:r>
        <w:rPr>
          <w:color w:val="auto"/>
          <w:highlight w:val="none"/>
        </w:rPr>
        <w:tab/>
      </w:r>
      <w:r>
        <w:rPr>
          <w:color w:val="auto"/>
          <w:highlight w:val="none"/>
        </w:rPr>
        <w:fldChar w:fldCharType="begin"/>
      </w:r>
      <w:r>
        <w:rPr>
          <w:color w:val="auto"/>
          <w:highlight w:val="none"/>
        </w:rPr>
        <w:instrText xml:space="preserve"> PAGEREF _Toc27177 \h </w:instrText>
      </w:r>
      <w:r>
        <w:rPr>
          <w:color w:val="auto"/>
          <w:highlight w:val="none"/>
        </w:rPr>
        <w:fldChar w:fldCharType="separate"/>
      </w:r>
      <w:r>
        <w:rPr>
          <w:color w:val="auto"/>
          <w:highlight w:val="none"/>
        </w:rPr>
        <w:t>- 69 -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_Toc6014 </w:instrText>
      </w:r>
      <w:r>
        <w:rPr>
          <w:rFonts w:hint="eastAsia" w:ascii="宋体" w:hAnsi="宋体" w:eastAsia="宋体" w:cs="宋体"/>
          <w:smallCaps/>
          <w:color w:val="auto"/>
          <w:szCs w:val="24"/>
          <w:highlight w:val="none"/>
        </w:rPr>
        <w:fldChar w:fldCharType="separate"/>
      </w:r>
      <w:r>
        <w:rPr>
          <w:rFonts w:hint="eastAsia" w:ascii="宋体" w:hAnsi="宋体" w:eastAsia="宋体" w:cs="宋体"/>
          <w:color w:val="auto"/>
          <w:kern w:val="44"/>
          <w:szCs w:val="36"/>
          <w:highlight w:val="none"/>
          <w:lang w:val="en-US" w:eastAsia="zh-CN" w:bidi="ar-SA"/>
        </w:rPr>
        <w:t>第七部分 实质性响应条款及无效标条款</w:t>
      </w:r>
      <w:r>
        <w:rPr>
          <w:color w:val="auto"/>
          <w:highlight w:val="none"/>
        </w:rPr>
        <w:tab/>
      </w:r>
      <w:r>
        <w:rPr>
          <w:color w:val="auto"/>
          <w:highlight w:val="none"/>
        </w:rPr>
        <w:fldChar w:fldCharType="begin"/>
      </w:r>
      <w:r>
        <w:rPr>
          <w:color w:val="auto"/>
          <w:highlight w:val="none"/>
        </w:rPr>
        <w:instrText xml:space="preserve"> PAGEREF _Toc6014 \h </w:instrText>
      </w:r>
      <w:r>
        <w:rPr>
          <w:color w:val="auto"/>
          <w:highlight w:val="none"/>
        </w:rPr>
        <w:fldChar w:fldCharType="separate"/>
      </w:r>
      <w:r>
        <w:rPr>
          <w:color w:val="auto"/>
          <w:highlight w:val="none"/>
        </w:rPr>
        <w:t>- 74 -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4"/>
        <w:tabs>
          <w:tab w:val="right" w:leader="dot" w:pos="9070"/>
          <w:tab w:val="clear" w:pos="945"/>
          <w:tab w:val="clear" w:pos="8948"/>
        </w:tabs>
        <w:rPr>
          <w:color w:val="auto"/>
          <w:highlight w:val="none"/>
        </w:rPr>
      </w:pPr>
      <w:r>
        <w:rPr>
          <w:rFonts w:hint="eastAsia" w:ascii="宋体" w:hAnsi="宋体" w:eastAsia="宋体" w:cs="宋体"/>
          <w:smallCaps/>
          <w:color w:val="auto"/>
          <w:szCs w:val="24"/>
          <w:highlight w:val="none"/>
        </w:rPr>
        <w:fldChar w:fldCharType="begin"/>
      </w:r>
      <w:r>
        <w:rPr>
          <w:rFonts w:hint="eastAsia" w:ascii="宋体" w:hAnsi="宋体" w:eastAsia="宋体" w:cs="宋体"/>
          <w:smallCaps/>
          <w:color w:val="auto"/>
          <w:szCs w:val="24"/>
          <w:highlight w:val="none"/>
        </w:rPr>
        <w:instrText xml:space="preserve"> HYPERLINK \l _Toc29270 </w:instrText>
      </w:r>
      <w:r>
        <w:rPr>
          <w:rFonts w:hint="eastAsia" w:ascii="宋体" w:hAnsi="宋体" w:eastAsia="宋体" w:cs="宋体"/>
          <w:smallCaps/>
          <w:color w:val="auto"/>
          <w:szCs w:val="24"/>
          <w:highlight w:val="none"/>
        </w:rPr>
        <w:fldChar w:fldCharType="separate"/>
      </w:r>
      <w:r>
        <w:rPr>
          <w:rFonts w:hint="eastAsia" w:ascii="仿宋_GB2312" w:hAnsi="仿宋" w:eastAsia="仿宋_GB2312" w:cs="Times New Roman"/>
          <w:color w:val="auto"/>
          <w:spacing w:val="6"/>
          <w:kern w:val="2"/>
          <w:szCs w:val="32"/>
          <w:highlight w:val="none"/>
          <w:lang w:val="en-US" w:eastAsia="zh-CN" w:bidi="ar-SA"/>
        </w:rPr>
        <w:t xml:space="preserve">其他附件：                                          </w:t>
      </w:r>
      <w:r>
        <w:rPr>
          <w:rFonts w:hint="eastAsia" w:ascii="仿宋_GB2312" w:hAnsi="仿宋" w:eastAsia="仿宋_GB2312"/>
          <w:color w:val="auto"/>
          <w:spacing w:val="6"/>
          <w:szCs w:val="32"/>
          <w:highlight w:val="none"/>
        </w:rPr>
        <w:t>附</w:t>
      </w:r>
      <w:r>
        <w:rPr>
          <w:rFonts w:hint="eastAsia" w:ascii="仿宋_GB2312" w:hAnsi="仿宋" w:eastAsia="仿宋_GB2312"/>
          <w:color w:val="auto"/>
          <w:spacing w:val="6"/>
          <w:szCs w:val="32"/>
          <w:highlight w:val="none"/>
          <w:lang w:val="en-US" w:eastAsia="zh-CN"/>
        </w:rPr>
        <w:t>件1</w:t>
      </w:r>
      <w:r>
        <w:rPr>
          <w:rFonts w:ascii="仿宋_GB2312" w:hAnsi="仿宋" w:eastAsia="仿宋_GB2312"/>
          <w:color w:val="auto"/>
          <w:spacing w:val="6"/>
          <w:szCs w:val="32"/>
          <w:highlight w:val="none"/>
        </w:rPr>
        <w:t>：质疑函范本及制作说明</w:t>
      </w:r>
      <w:r>
        <w:rPr>
          <w:color w:val="auto"/>
          <w:highlight w:val="none"/>
        </w:rPr>
        <w:tab/>
      </w:r>
      <w:r>
        <w:rPr>
          <w:color w:val="auto"/>
          <w:highlight w:val="none"/>
        </w:rPr>
        <w:fldChar w:fldCharType="begin"/>
      </w:r>
      <w:r>
        <w:rPr>
          <w:color w:val="auto"/>
          <w:highlight w:val="none"/>
        </w:rPr>
        <w:instrText xml:space="preserve"> PAGEREF _Toc29270 \h </w:instrText>
      </w:r>
      <w:r>
        <w:rPr>
          <w:color w:val="auto"/>
          <w:highlight w:val="none"/>
        </w:rPr>
        <w:fldChar w:fldCharType="separate"/>
      </w:r>
      <w:r>
        <w:rPr>
          <w:color w:val="auto"/>
          <w:highlight w:val="none"/>
        </w:rPr>
        <w:t>- 76 -</w:t>
      </w:r>
      <w:r>
        <w:rPr>
          <w:color w:val="auto"/>
          <w:highlight w:val="none"/>
        </w:rPr>
        <w:fldChar w:fldCharType="end"/>
      </w:r>
      <w:r>
        <w:rPr>
          <w:rFonts w:hint="eastAsia" w:ascii="宋体" w:hAnsi="宋体" w:eastAsia="宋体" w:cs="宋体"/>
          <w:smallCaps/>
          <w:color w:val="auto"/>
          <w:szCs w:val="24"/>
          <w:highlight w:val="none"/>
        </w:rPr>
        <w:fldChar w:fldCharType="end"/>
      </w:r>
    </w:p>
    <w:p>
      <w:pPr>
        <w:pStyle w:val="29"/>
        <w:spacing w:before="0" w:after="0" w:line="360" w:lineRule="exact"/>
        <w:rPr>
          <w:rFonts w:hint="eastAsia" w:ascii="宋体" w:hAnsi="宋体" w:eastAsia="宋体" w:cs="宋体"/>
          <w:smallCaps w:val="0"/>
          <w:color w:val="auto"/>
          <w:szCs w:val="24"/>
          <w:highlight w:val="none"/>
        </w:rPr>
        <w:sectPr>
          <w:headerReference r:id="rId3" w:type="default"/>
          <w:footerReference r:id="rId4" w:type="default"/>
          <w:pgSz w:w="11906" w:h="16838"/>
          <w:pgMar w:top="1247" w:right="1418" w:bottom="1134" w:left="1418" w:header="680" w:footer="680" w:gutter="0"/>
          <w:pgNumType w:fmt="numberInDash" w:start="1"/>
          <w:cols w:space="720" w:num="1"/>
          <w:docGrid w:type="lines" w:linePitch="312" w:charSpace="0"/>
        </w:sectPr>
      </w:pPr>
      <w:r>
        <w:rPr>
          <w:rFonts w:hint="eastAsia" w:ascii="宋体" w:hAnsi="宋体" w:eastAsia="宋体" w:cs="宋体"/>
          <w:smallCaps w:val="0"/>
          <w:color w:val="auto"/>
          <w:szCs w:val="24"/>
          <w:highlight w:val="none"/>
        </w:rPr>
        <w:fldChar w:fldCharType="end"/>
      </w:r>
    </w:p>
    <w:p>
      <w:pPr>
        <w:pStyle w:val="2"/>
        <w:keepNext w:val="0"/>
        <w:keepLines w:val="0"/>
        <w:pageBreakBefore/>
        <w:widowControl w:val="0"/>
        <w:numPr>
          <w:ilvl w:val="0"/>
          <w:numId w:val="2"/>
        </w:numPr>
        <w:tabs>
          <w:tab w:val="left" w:pos="840"/>
        </w:tabs>
        <w:kinsoku/>
        <w:wordWrap/>
        <w:overflowPunct/>
        <w:topLinePunct w:val="0"/>
        <w:autoSpaceDE/>
        <w:autoSpaceDN/>
        <w:bidi w:val="0"/>
        <w:adjustRightInd/>
        <w:snapToGrid/>
        <w:spacing w:before="120" w:beforeLines="50" w:after="157" w:afterLines="50" w:line="240" w:lineRule="auto"/>
        <w:jc w:val="center"/>
        <w:textAlignment w:val="auto"/>
        <w:rPr>
          <w:rFonts w:hint="eastAsia" w:ascii="宋体" w:hAnsi="宋体" w:eastAsia="宋体" w:cs="宋体"/>
          <w:color w:val="auto"/>
          <w:sz w:val="32"/>
          <w:szCs w:val="40"/>
          <w:highlight w:val="none"/>
        </w:rPr>
      </w:pPr>
      <w:r>
        <w:rPr>
          <w:rFonts w:hint="eastAsia" w:ascii="宋体" w:hAnsi="宋体" w:eastAsia="宋体" w:cs="宋体"/>
          <w:color w:val="auto"/>
          <w:sz w:val="32"/>
          <w:szCs w:val="40"/>
          <w:highlight w:val="none"/>
        </w:rPr>
        <w:t xml:space="preserve"> </w:t>
      </w:r>
      <w:bookmarkStart w:id="2" w:name="_Toc19300"/>
      <w:bookmarkStart w:id="3" w:name="_Toc3026"/>
      <w:bookmarkStart w:id="4" w:name="_Toc19358"/>
      <w:r>
        <w:rPr>
          <w:rFonts w:hint="eastAsia" w:ascii="宋体" w:hAnsi="宋体" w:eastAsia="宋体" w:cs="宋体"/>
          <w:color w:val="auto"/>
          <w:sz w:val="32"/>
          <w:szCs w:val="40"/>
          <w:highlight w:val="none"/>
        </w:rPr>
        <w:t>招标公告</w:t>
      </w:r>
      <w:bookmarkEnd w:id="2"/>
      <w:bookmarkEnd w:id="3"/>
      <w:bookmarkEnd w:id="4"/>
    </w:p>
    <w:p>
      <w:pPr>
        <w:jc w:val="center"/>
        <w:rPr>
          <w:rFonts w:hint="default" w:eastAsia="宋体"/>
          <w:lang w:val="en-US" w:eastAsia="zh-CN"/>
        </w:rPr>
      </w:pPr>
      <w:r>
        <w:rPr>
          <w:rFonts w:hint="eastAsia"/>
          <w:lang w:val="en-US" w:eastAsia="zh-CN"/>
        </w:rPr>
        <w:t>发布日期：2024年4月18日</w:t>
      </w:r>
    </w:p>
    <w:tbl>
      <w:tblPr>
        <w:tblStyle w:val="37"/>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73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项目概况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瑞安市第五人民医院双拍成对经颅磁项目采购</w:t>
            </w:r>
            <w:r>
              <w:rPr>
                <w:rFonts w:hint="eastAsia" w:ascii="宋体" w:hAnsi="宋体" w:eastAsia="宋体" w:cs="宋体"/>
                <w:color w:val="auto"/>
                <w:szCs w:val="21"/>
                <w:highlight w:val="none"/>
                <w:lang w:eastAsia="zh-CN"/>
              </w:rPr>
              <w:t>招标项目的潜在投标人应在政府采购云平台（www.zcygov.cn）。获取（下载）招标文件，并于2024年</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eastAsia="zh-CN"/>
              </w:rPr>
              <w:t>月</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eastAsia="zh-CN"/>
              </w:rPr>
              <w:t>日</w:t>
            </w:r>
            <w:r>
              <w:rPr>
                <w:rFonts w:hint="eastAsia" w:ascii="宋体" w:hAnsi="宋体" w:eastAsia="宋体" w:cs="宋体"/>
                <w:color w:val="auto"/>
                <w:szCs w:val="21"/>
                <w:highlight w:val="none"/>
                <w:lang w:val="en-US" w:eastAsia="zh-CN"/>
              </w:rPr>
              <w:t>09</w:t>
            </w:r>
            <w:r>
              <w:rPr>
                <w:rFonts w:hint="eastAsia" w:ascii="宋体" w:hAnsi="宋体" w:eastAsia="宋体" w:cs="宋体"/>
                <w:color w:val="auto"/>
                <w:szCs w:val="21"/>
                <w:highlight w:val="none"/>
              </w:rPr>
              <w:t>点</w:t>
            </w:r>
            <w:r>
              <w:rPr>
                <w:rFonts w:hint="eastAsia" w:ascii="宋体" w:hAnsi="宋体" w:eastAsia="宋体" w:cs="宋体"/>
                <w:color w:val="auto"/>
                <w:szCs w:val="21"/>
                <w:highlight w:val="none"/>
                <w:lang w:val="en-US" w:eastAsia="zh-CN"/>
              </w:rPr>
              <w:t>00</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（北京时间）前递交（上传）投标文件。</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项目编号：</w:t>
      </w:r>
      <w:r>
        <w:rPr>
          <w:rFonts w:hint="eastAsia" w:ascii="宋体" w:hAnsi="宋体" w:cs="宋体"/>
          <w:color w:val="auto"/>
          <w:szCs w:val="21"/>
          <w:highlight w:val="none"/>
          <w:lang w:eastAsia="zh-CN"/>
        </w:rPr>
        <w:t>ZJKB2024020-01</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项目名称：</w:t>
      </w:r>
      <w:r>
        <w:rPr>
          <w:rFonts w:hint="eastAsia" w:ascii="宋体" w:hAnsi="宋体" w:cs="宋体"/>
          <w:color w:val="auto"/>
          <w:szCs w:val="21"/>
          <w:highlight w:val="none"/>
          <w:lang w:eastAsia="zh-CN"/>
        </w:rPr>
        <w:t>瑞安市第五人民医院双拍成对经颅磁项目采购</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预算金额：</w:t>
      </w:r>
      <w:r>
        <w:rPr>
          <w:rFonts w:hint="eastAsia" w:ascii="宋体" w:hAnsi="宋体" w:cs="宋体"/>
          <w:color w:val="auto"/>
          <w:szCs w:val="21"/>
          <w:highlight w:val="none"/>
          <w:lang w:val="en-US" w:eastAsia="zh-CN"/>
        </w:rPr>
        <w:t>450000</w:t>
      </w:r>
      <w:r>
        <w:rPr>
          <w:rFonts w:hint="eastAsia" w:ascii="宋体" w:hAnsi="宋体" w:eastAsia="宋体" w:cs="宋体"/>
          <w:color w:val="auto"/>
          <w:szCs w:val="21"/>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最高限价：</w:t>
      </w:r>
      <w:r>
        <w:rPr>
          <w:rFonts w:hint="eastAsia" w:ascii="宋体" w:hAnsi="宋体" w:cs="宋体"/>
          <w:color w:val="auto"/>
          <w:szCs w:val="21"/>
          <w:highlight w:val="none"/>
          <w:lang w:val="en-US" w:eastAsia="zh-CN"/>
        </w:rPr>
        <w:t>450000</w:t>
      </w:r>
      <w:r>
        <w:rPr>
          <w:rFonts w:hint="eastAsia" w:ascii="宋体" w:hAnsi="宋体" w:eastAsia="宋体" w:cs="宋体"/>
          <w:color w:val="auto"/>
          <w:szCs w:val="21"/>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采购需求：（包括但不限于标的的名称、数量、简要技术需求或服务要求等）</w:t>
      </w:r>
    </w:p>
    <w:p>
      <w:pPr>
        <w:keepNext w:val="0"/>
        <w:keepLines w:val="0"/>
        <w:pageBreakBefore w:val="0"/>
        <w:widowControl w:val="0"/>
        <w:kinsoku/>
        <w:wordWrap/>
        <w:overflowPunct/>
        <w:topLinePunct w:val="0"/>
        <w:autoSpaceDE/>
        <w:autoSpaceDN/>
        <w:bidi w:val="0"/>
        <w:adjustRightInd/>
        <w:snapToGrid/>
        <w:spacing w:line="440" w:lineRule="exact"/>
        <w:ind w:firstLine="840" w:firstLineChars="4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标项名称</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eastAsia="zh-CN"/>
        </w:rPr>
        <w:t>瑞安市第五人民医院双拍成对经颅磁项目采购</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840" w:leftChars="400" w:firstLine="0" w:firstLineChars="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数量：不限  </w:t>
      </w:r>
    </w:p>
    <w:p>
      <w:pPr>
        <w:keepNext w:val="0"/>
        <w:keepLines w:val="0"/>
        <w:pageBreakBefore w:val="0"/>
        <w:widowControl w:val="0"/>
        <w:kinsoku/>
        <w:wordWrap/>
        <w:overflowPunct/>
        <w:topLinePunct w:val="0"/>
        <w:autoSpaceDE/>
        <w:autoSpaceDN/>
        <w:bidi w:val="0"/>
        <w:adjustRightInd/>
        <w:snapToGrid/>
        <w:spacing w:line="440" w:lineRule="exact"/>
        <w:ind w:left="840" w:leftChars="40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预算金额（元）</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450000</w:t>
      </w:r>
      <w:r>
        <w:rPr>
          <w:rFonts w:hint="eastAsia" w:ascii="宋体" w:hAnsi="宋体" w:eastAsia="宋体" w:cs="宋体"/>
          <w:color w:val="auto"/>
          <w:szCs w:val="21"/>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left="840" w:leftChars="400" w:firstLine="0" w:firstLineChars="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简要规格描述或项目基本概况介绍、用途：（详见第三部分招标内容及要求）</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840" w:leftChars="400" w:firstLine="0" w:firstLineChars="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备注：</w:t>
      </w:r>
    </w:p>
    <w:p>
      <w:pPr>
        <w:keepNext w:val="0"/>
        <w:keepLines w:val="0"/>
        <w:pageBreakBefore w:val="0"/>
        <w:widowControl w:val="0"/>
        <w:kinsoku/>
        <w:wordWrap/>
        <w:overflowPunct/>
        <w:topLinePunct w:val="0"/>
        <w:autoSpaceDE/>
        <w:autoSpaceDN/>
        <w:bidi w:val="0"/>
        <w:adjustRightInd/>
        <w:snapToGrid/>
        <w:spacing w:line="440" w:lineRule="exact"/>
        <w:ind w:firstLine="840" w:firstLineChars="4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合同履行期限：详见招标文件第三部分内容</w:t>
      </w:r>
      <w:r>
        <w:rPr>
          <w:rFonts w:hint="eastAsia" w:ascii="宋体" w:hAnsi="宋体" w:eastAsia="宋体" w:cs="宋体"/>
          <w:i w:val="0"/>
          <w:iCs w:val="0"/>
          <w:caps w:val="0"/>
          <w:color w:val="auto"/>
          <w:spacing w:val="0"/>
          <w:sz w:val="21"/>
          <w:szCs w:val="21"/>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840" w:firstLineChars="4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本项目（否）接受联合体投标。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二、申请人的资格要求：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满足《中华人民共和国政府采购法》第二十二条规定；未被信用中国网站（www.creditchina.gov.cn）列入失信被执行人、重大税收违法案件当事人名单，未被中国政府采购网（www.ccgp.gov.cn）列入政府采购严重违法失信行为记录名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 xml:space="preserve">2.落实政府采购政策需满足的资格要求：本项目整体专门面向中小企业采购（残疾人福利性单位和监狱企业视同小微企业）；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3.本项目的特定资格要求：</w:t>
      </w:r>
      <w:r>
        <w:rPr>
          <w:rFonts w:hint="eastAsia" w:ascii="宋体" w:hAnsi="宋体" w:eastAsia="宋体" w:cs="宋体"/>
          <w:color w:val="auto"/>
          <w:szCs w:val="21"/>
          <w:highlight w:val="none"/>
          <w:lang w:val="en-US" w:eastAsia="zh-CN"/>
        </w:rPr>
        <w:t>无</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三、获取招标文件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至</w:t>
      </w:r>
      <w:r>
        <w:rPr>
          <w:rFonts w:hint="eastAsia" w:ascii="宋体" w:hAnsi="宋体" w:eastAsia="宋体" w:cs="宋体"/>
          <w:color w:val="auto"/>
          <w:szCs w:val="21"/>
          <w:highlight w:val="none"/>
          <w:lang w:eastAsia="zh-CN"/>
        </w:rPr>
        <w:t>2024年</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eastAsia="zh-CN"/>
        </w:rPr>
        <w:t>月</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eastAsia="zh-CN"/>
        </w:rPr>
        <w:t>日</w:t>
      </w:r>
      <w:r>
        <w:rPr>
          <w:rFonts w:hint="eastAsia" w:ascii="宋体" w:hAnsi="宋体" w:eastAsia="宋体" w:cs="宋体"/>
          <w:color w:val="auto"/>
          <w:szCs w:val="21"/>
          <w:highlight w:val="none"/>
        </w:rPr>
        <w:t>，每天上午00:00至12:00，下午12:00至23:59（北京时间，线上获取法定节假日均可，线下获取文件法定节假日除外）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地点（网址）：政府采购云平台（www.zcygov.cn）</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方式：供应商登录政采云平台https://www.zcygov.cn/在线申请获取招标文件（进入“项目采购”应用，在获取招标文件菜单中选择项目，申请获取招标文件）。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售价（元）：0。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提交投标文件截止时间：</w:t>
      </w:r>
      <w:r>
        <w:rPr>
          <w:rFonts w:hint="eastAsia" w:ascii="宋体" w:hAnsi="宋体" w:eastAsia="宋体" w:cs="宋体"/>
          <w:color w:val="auto"/>
          <w:szCs w:val="21"/>
          <w:highlight w:val="none"/>
          <w:lang w:eastAsia="zh-CN"/>
        </w:rPr>
        <w:t>2024年</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eastAsia="zh-CN"/>
        </w:rPr>
        <w:t>月</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eastAsia="zh-CN"/>
        </w:rPr>
        <w:t>日</w:t>
      </w:r>
      <w:r>
        <w:rPr>
          <w:rFonts w:hint="eastAsia" w:ascii="宋体" w:hAnsi="宋体" w:eastAsia="宋体" w:cs="宋体"/>
          <w:color w:val="auto"/>
          <w:szCs w:val="21"/>
          <w:highlight w:val="none"/>
          <w:lang w:val="en-US" w:eastAsia="zh-CN"/>
        </w:rPr>
        <w:t>09</w:t>
      </w:r>
      <w:r>
        <w:rPr>
          <w:rFonts w:hint="eastAsia" w:ascii="宋体" w:hAnsi="宋体" w:eastAsia="宋体" w:cs="宋体"/>
          <w:color w:val="auto"/>
          <w:szCs w:val="21"/>
          <w:highlight w:val="none"/>
          <w:lang w:eastAsia="zh-CN"/>
        </w:rPr>
        <w:t>点</w:t>
      </w:r>
      <w:r>
        <w:rPr>
          <w:rFonts w:hint="eastAsia" w:ascii="宋体" w:hAnsi="宋体" w:eastAsia="宋体" w:cs="宋体"/>
          <w:color w:val="auto"/>
          <w:szCs w:val="21"/>
          <w:highlight w:val="none"/>
          <w:lang w:val="en-US" w:eastAsia="zh-CN"/>
        </w:rPr>
        <w:t>00</w:t>
      </w:r>
      <w:r>
        <w:rPr>
          <w:rFonts w:hint="eastAsia" w:ascii="宋体" w:hAnsi="宋体" w:eastAsia="宋体" w:cs="宋体"/>
          <w:color w:val="auto"/>
          <w:szCs w:val="21"/>
          <w:highlight w:val="none"/>
          <w:lang w:eastAsia="zh-CN"/>
        </w:rPr>
        <w:t>分</w:t>
      </w:r>
      <w:r>
        <w:rPr>
          <w:rFonts w:hint="eastAsia" w:ascii="宋体" w:hAnsi="宋体" w:eastAsia="宋体" w:cs="宋体"/>
          <w:color w:val="auto"/>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投标地点（网址）：政府采购云平台（www.zcygov.cn）</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开标时间：</w:t>
      </w:r>
      <w:r>
        <w:rPr>
          <w:rFonts w:hint="eastAsia" w:ascii="宋体" w:hAnsi="宋体" w:eastAsia="宋体" w:cs="宋体"/>
          <w:color w:val="auto"/>
          <w:szCs w:val="21"/>
          <w:highlight w:val="none"/>
          <w:lang w:eastAsia="zh-CN"/>
        </w:rPr>
        <w:t>2024年</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eastAsia="zh-CN"/>
        </w:rPr>
        <w:t>月</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eastAsia="zh-CN"/>
        </w:rPr>
        <w:t>日</w:t>
      </w:r>
      <w:r>
        <w:rPr>
          <w:rFonts w:hint="eastAsia" w:ascii="宋体" w:hAnsi="宋体" w:eastAsia="宋体" w:cs="宋体"/>
          <w:color w:val="auto"/>
          <w:szCs w:val="21"/>
          <w:highlight w:val="none"/>
          <w:lang w:val="en-US" w:eastAsia="zh-CN"/>
        </w:rPr>
        <w:t>09</w:t>
      </w:r>
      <w:r>
        <w:rPr>
          <w:rFonts w:hint="eastAsia" w:ascii="宋体" w:hAnsi="宋体" w:eastAsia="宋体" w:cs="宋体"/>
          <w:color w:val="auto"/>
          <w:szCs w:val="21"/>
          <w:highlight w:val="none"/>
          <w:lang w:eastAsia="zh-CN"/>
        </w:rPr>
        <w:t>点</w:t>
      </w:r>
      <w:r>
        <w:rPr>
          <w:rFonts w:hint="eastAsia" w:ascii="宋体" w:hAnsi="宋体" w:eastAsia="宋体" w:cs="宋体"/>
          <w:color w:val="auto"/>
          <w:szCs w:val="21"/>
          <w:highlight w:val="none"/>
          <w:lang w:val="en-US" w:eastAsia="zh-CN"/>
        </w:rPr>
        <w:t>00</w:t>
      </w:r>
      <w:r>
        <w:rPr>
          <w:rFonts w:hint="eastAsia" w:ascii="宋体" w:hAnsi="宋体" w:eastAsia="宋体" w:cs="宋体"/>
          <w:color w:val="auto"/>
          <w:szCs w:val="21"/>
          <w:highlight w:val="none"/>
          <w:lang w:eastAsia="zh-CN"/>
        </w:rPr>
        <w:t>分</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开标地点（网址）：政府采购云平台（www.zcygov.cn）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五、公告期限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六、其他补充事宜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default" w:ascii="宋体" w:hAnsi="宋体" w:eastAsia="宋体" w:cs="宋体"/>
          <w:color w:val="auto"/>
          <w:szCs w:val="21"/>
          <w:highlight w:val="none"/>
        </w:rPr>
        <w:t>《浙江省财政厅关于进一步发挥政府采购政策功能全力推动经济稳进提质的通知》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浙江省财政厅关于进一步加大政府采购支持中小企业力度助力扎实稳住经济的通知》 （浙财采监（2022）8号</w:t>
      </w:r>
      <w:r>
        <w:rPr>
          <w:rFonts w:hint="default" w:ascii="宋体" w:hAnsi="宋体" w:eastAsia="宋体" w:cs="宋体"/>
          <w:color w:val="auto"/>
          <w:szCs w:val="21"/>
          <w:highlight w:val="none"/>
        </w:rPr>
        <w:t>已分别于2022年1月29日</w:t>
      </w:r>
      <w:r>
        <w:rPr>
          <w:rFonts w:hint="eastAsia" w:ascii="宋体" w:hAnsi="宋体" w:eastAsia="宋体" w:cs="宋体"/>
          <w:color w:val="auto"/>
          <w:szCs w:val="21"/>
          <w:highlight w:val="none"/>
          <w:lang w:eastAsia="zh-CN"/>
        </w:rPr>
        <w:t>、</w:t>
      </w:r>
      <w:r>
        <w:rPr>
          <w:rFonts w:hint="default" w:ascii="宋体" w:hAnsi="宋体" w:eastAsia="宋体" w:cs="宋体"/>
          <w:color w:val="auto"/>
          <w:szCs w:val="21"/>
          <w:highlight w:val="none"/>
        </w:rPr>
        <w:t>2022年2月1日</w:t>
      </w:r>
      <w:r>
        <w:rPr>
          <w:rFonts w:hint="eastAsia" w:ascii="宋体" w:hAnsi="宋体" w:eastAsia="宋体" w:cs="宋体"/>
          <w:color w:val="auto"/>
          <w:szCs w:val="21"/>
          <w:highlight w:val="none"/>
          <w:lang w:eastAsia="zh-CN"/>
        </w:rPr>
        <w:t>和</w:t>
      </w:r>
      <w:r>
        <w:rPr>
          <w:rFonts w:hint="eastAsia" w:ascii="宋体" w:hAnsi="宋体" w:eastAsia="宋体" w:cs="宋体"/>
          <w:color w:val="auto"/>
          <w:szCs w:val="21"/>
          <w:highlight w:val="none"/>
        </w:rPr>
        <w:t>2022年7月1日</w:t>
      </w:r>
      <w:r>
        <w:rPr>
          <w:rFonts w:hint="default" w:ascii="宋体" w:hAnsi="宋体" w:eastAsia="宋体" w:cs="宋体"/>
          <w:color w:val="auto"/>
          <w:szCs w:val="21"/>
          <w:highlight w:val="none"/>
        </w:rPr>
        <w:t>开始实施，此前有关规定与上述文件内容不一致的，按上述文件要求执行。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务服务网-政府采购投诉处理-在线办理。注意：需在线质疑后才可在线投诉，并电话告知相关采购人、代理机构、财政部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其他事项：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（1）需要落实的政府采购政策：包括节约资源、保护环境、支持创新、促进中小企业发展、扶持不发达地区和少数民族地区等。详见招标文件第二部分总则第三点。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2）电子招投标的说明：①本项目采用全流程电子化交易，依托“政府采购云平台（www.zcygov.cn）”进行招投标活动，不接受纸质投标文件；②投标人须在投标前申领CA数字证书、下载政采云电子交易客户端。申领CA数字证书:申领流程详见“浙江政府采购网-下载专区-电子交易客户端-CA驱动和申领流程”；安装“政采云电子交易客户端”：前往“浙江政府采购网-下载专区-电子交易客户端”进行下载并安装；③电子投标具体操作流程详见浙江省“项目采购电子交易系统/不见面开评标”学习专题（网址https://edu.zcygov.cn/luban/e-biding）；④招标文件的获取：使用账号登录或者使用CA登录政采云平台；进入“项目采购”应用，在获取采购文件菜单中选择项目，获取招标文件。⑤若对项目采购电子交易系统操作有疑问，可登录政采云，点击右侧咨询小采，获取采小蜜智能服务管家帮助，或拨打政采云服务热线95763获取热线服务帮助。CA问题联系电话（人工）：汇信CA 400-888-4636；天谷CA 400-087-8198。注：投标人在使用政采云投标客户端时，建议使用WIN7及以上操作系统。投标人需自行准备好摄像头和耳麦，保持网络稳定通畅，并在投标文件开启时间前自测硬件能否正常使用，如因自身硬件或网络原因导致询标讲解失败，相关后果自行负责。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（3）招标文件公告期限与招标公告公告期限一致。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color w:val="auto"/>
          <w:szCs w:val="21"/>
          <w:highlight w:val="none"/>
          <w:lang w:val="en-US" w:eastAsia="zh-CN"/>
        </w:rPr>
        <w:t>（4）潜在供应商已依法获取招标文件，认为招标文件使自己的权益受到损害的，可以自获取招标文件之日或者招标文件公告期限届满之日（公告期限届满后获取招标文件的，以公告期限届满之日为准）起7个工作日内，以书面形式向采购人、采购代理机构提出质疑。质疑供应商对采购人、采购代理机构的答复不满意，或者采购人、采购代理机构未在规定时间内作出答复的，可以在答复期满后15个工作日内向同级政府采购监督管理部门投诉。质疑函范本、投诉书范本请到浙江政府采购网（https://zfcg.czt.zj.gov.cn/）下载专区下载。</w:t>
      </w:r>
      <w:r>
        <w:rPr>
          <w:rFonts w:hint="eastAsia" w:ascii="宋体" w:hAnsi="宋体" w:eastAsia="宋体" w:cs="宋体"/>
          <w:b/>
          <w:bCs/>
          <w:color w:val="auto"/>
          <w:szCs w:val="21"/>
          <w:highlight w:val="none"/>
          <w:lang w:val="en-US" w:eastAsia="zh-CN"/>
        </w:rPr>
        <w:t>注意：游客通道获取的招标文件仅供浏览使用，潜在供应商请通过规定方式依法获取招标文件。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七、对本次采购提出询问、质疑、投诉，请按以下方式联系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名称：瑞安市第五人民医院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地址：瑞安市东山街道人民路264号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传真：/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项目联系人（询问）：王先生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项目联系方式（询问）：0577-66685089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质疑联系人：王先生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质疑联系方式：0577-66685089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名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称：</w:t>
      </w:r>
      <w:r>
        <w:rPr>
          <w:rFonts w:hint="eastAsia" w:ascii="宋体" w:hAnsi="宋体" w:eastAsia="宋体" w:cs="宋体"/>
          <w:color w:val="auto"/>
          <w:szCs w:val="21"/>
          <w:highlight w:val="none"/>
          <w:lang w:eastAsia="zh-CN"/>
        </w:rPr>
        <w:t>浙江凯宝工程项目管理有限公司</w:t>
      </w:r>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    址：</w:t>
      </w:r>
      <w:r>
        <w:rPr>
          <w:rFonts w:hint="eastAsia" w:ascii="宋体" w:hAnsi="宋体" w:cs="宋体"/>
          <w:color w:val="auto"/>
          <w:szCs w:val="21"/>
          <w:highlight w:val="none"/>
          <w:lang w:eastAsia="zh-CN"/>
        </w:rPr>
        <w:t>浙江省温州市瑞安市高尔大厦1幢902室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    真：</w:t>
      </w:r>
      <w:r>
        <w:rPr>
          <w:rFonts w:hint="eastAsia" w:ascii="宋体" w:hAnsi="宋体" w:eastAsia="宋体" w:cs="宋体"/>
          <w:color w:val="auto"/>
          <w:kern w:val="2"/>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项目联系人（询问）：</w:t>
      </w:r>
      <w:r>
        <w:rPr>
          <w:rFonts w:hint="eastAsia" w:ascii="宋体" w:hAnsi="宋体" w:eastAsia="宋体" w:cs="宋体"/>
          <w:b w:val="0"/>
          <w:bCs w:val="0"/>
          <w:color w:val="auto"/>
          <w:szCs w:val="21"/>
          <w:highlight w:val="none"/>
          <w:lang w:val="en-US" w:eastAsia="zh-CN"/>
        </w:rPr>
        <w:t>王建利</w:t>
      </w:r>
      <w:r>
        <w:rPr>
          <w:rFonts w:hint="eastAsia" w:ascii="宋体" w:hAnsi="宋体" w:eastAsia="宋体" w:cs="宋体"/>
          <w:color w:val="auto"/>
          <w:szCs w:val="21"/>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val="en-US" w:eastAsia="zh-CN"/>
        </w:rPr>
        <w:t>项目联系方式（询问）：</w:t>
      </w:r>
      <w:r>
        <w:rPr>
          <w:rFonts w:hint="eastAsia" w:ascii="宋体" w:hAnsi="宋体" w:eastAsia="宋体" w:cs="宋体"/>
          <w:b w:val="0"/>
          <w:bCs w:val="0"/>
          <w:color w:val="auto"/>
          <w:szCs w:val="21"/>
          <w:highlight w:val="none"/>
          <w:lang w:val="en-US" w:eastAsia="zh-CN"/>
        </w:rPr>
        <w:t>17757750625</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kern w:val="2"/>
          <w:szCs w:val="21"/>
          <w:highlight w:val="none"/>
          <w:lang w:val="en-US" w:eastAsia="zh-CN"/>
        </w:rPr>
      </w:pPr>
      <w:r>
        <w:rPr>
          <w:rFonts w:hint="eastAsia" w:ascii="宋体" w:hAnsi="宋体" w:eastAsia="宋体" w:cs="宋体"/>
          <w:color w:val="auto"/>
          <w:kern w:val="2"/>
          <w:szCs w:val="21"/>
          <w:highlight w:val="none"/>
          <w:lang w:eastAsia="zh-CN"/>
        </w:rPr>
        <w:t>质疑联系人：</w:t>
      </w:r>
      <w:r>
        <w:rPr>
          <w:rFonts w:hint="eastAsia" w:ascii="宋体" w:hAnsi="宋体" w:cs="宋体"/>
          <w:b w:val="0"/>
          <w:bCs w:val="0"/>
          <w:color w:val="auto"/>
          <w:szCs w:val="21"/>
          <w:highlight w:val="none"/>
          <w:lang w:val="en-US" w:eastAsia="zh-CN"/>
        </w:rPr>
        <w:t>吴成德</w:t>
      </w:r>
      <w:r>
        <w:rPr>
          <w:rFonts w:hint="eastAsia" w:ascii="宋体" w:hAnsi="宋体" w:eastAsia="宋体" w:cs="宋体"/>
          <w:color w:val="auto"/>
          <w:szCs w:val="21"/>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FF0000"/>
          <w:kern w:val="2"/>
          <w:szCs w:val="21"/>
          <w:highlight w:val="none"/>
          <w:lang w:val="en-US" w:eastAsia="zh-CN"/>
        </w:rPr>
      </w:pPr>
      <w:r>
        <w:rPr>
          <w:rFonts w:hint="eastAsia" w:ascii="宋体" w:hAnsi="宋体" w:eastAsia="宋体" w:cs="宋体"/>
          <w:color w:val="000000" w:themeColor="text1"/>
          <w:kern w:val="2"/>
          <w:szCs w:val="21"/>
          <w:highlight w:val="none"/>
          <w:lang w:val="en-US" w:eastAsia="zh-CN"/>
          <w14:textFill>
            <w14:solidFill>
              <w14:schemeClr w14:val="tx1"/>
            </w14:solidFill>
          </w14:textFill>
        </w:rPr>
        <w:t>质疑联系方式：</w:t>
      </w:r>
      <w:r>
        <w:rPr>
          <w:rFonts w:hint="eastAsia" w:ascii="宋体" w:hAnsi="宋体" w:cs="宋体"/>
          <w:b w:val="0"/>
          <w:bCs w:val="0"/>
          <w:color w:val="auto"/>
          <w:szCs w:val="21"/>
          <w:highlight w:val="none"/>
          <w:lang w:val="en-US" w:eastAsia="zh-CN"/>
        </w:rPr>
        <w:t>18312932529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3、同级政府采购监督管理部门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名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称：</w:t>
      </w:r>
      <w:r>
        <w:rPr>
          <w:rFonts w:hint="eastAsia" w:ascii="宋体" w:hAnsi="宋体"/>
          <w:color w:val="auto"/>
          <w:szCs w:val="21"/>
          <w:highlight w:val="none"/>
        </w:rPr>
        <w:t>瑞安市财政局政府采购监管科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16"/>
          <w:highlight w:val="none"/>
        </w:rPr>
      </w:pPr>
      <w:r>
        <w:rPr>
          <w:rFonts w:hint="eastAsia" w:ascii="宋体" w:hAnsi="宋体" w:eastAsia="宋体" w:cs="宋体"/>
          <w:color w:val="auto"/>
          <w:szCs w:val="21"/>
          <w:highlight w:val="none"/>
        </w:rPr>
        <w:t xml:space="preserve">地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址：瑞安市万松东路379号瑞安财税大楼1505室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    真：</w:t>
      </w:r>
      <w:r>
        <w:rPr>
          <w:rFonts w:hint="eastAsia" w:ascii="宋体" w:hAnsi="宋体" w:cs="宋体"/>
          <w:color w:val="auto"/>
          <w:szCs w:val="21"/>
          <w:highlight w:val="none"/>
        </w:rPr>
        <w:t>0577-65822153</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人：</w:t>
      </w:r>
      <w:r>
        <w:rPr>
          <w:rFonts w:hint="eastAsia" w:ascii="宋体" w:hAnsi="宋体" w:cs="宋体"/>
          <w:color w:val="auto"/>
          <w:szCs w:val="21"/>
          <w:highlight w:val="none"/>
        </w:rPr>
        <w:t>蔡先生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监督投诉电话：0577-65827567</w:t>
      </w:r>
    </w:p>
    <w:bookmarkEnd w:id="0"/>
    <w:bookmarkEnd w:id="1"/>
    <w:p>
      <w:pPr>
        <w:pStyle w:val="2"/>
        <w:keepNext w:val="0"/>
        <w:keepLines w:val="0"/>
        <w:pageBreakBefore/>
        <w:tabs>
          <w:tab w:val="left" w:pos="840"/>
        </w:tabs>
        <w:spacing w:before="120" w:beforeLines="50" w:after="0" w:line="400" w:lineRule="exact"/>
        <w:jc w:val="center"/>
        <w:rPr>
          <w:rFonts w:hint="eastAsia" w:ascii="宋体" w:hAnsi="宋体" w:eastAsia="宋体" w:cs="宋体"/>
          <w:color w:val="auto"/>
          <w:sz w:val="28"/>
          <w:szCs w:val="36"/>
          <w:highlight w:val="none"/>
          <w:lang w:val="en-US" w:eastAsia="zh-CN"/>
        </w:rPr>
      </w:pPr>
      <w:bookmarkStart w:id="5" w:name="_Toc474156083"/>
      <w:bookmarkStart w:id="6" w:name="_Toc22691"/>
      <w:bookmarkStart w:id="7" w:name="_Toc4991"/>
      <w:bookmarkStart w:id="8" w:name="_Toc3159"/>
      <w:r>
        <w:rPr>
          <w:rFonts w:hint="eastAsia" w:ascii="宋体" w:hAnsi="宋体" w:eastAsia="宋体" w:cs="宋体"/>
          <w:color w:val="auto"/>
          <w:sz w:val="28"/>
          <w:szCs w:val="36"/>
          <w:highlight w:val="none"/>
        </w:rPr>
        <w:t xml:space="preserve">第二部分  </w:t>
      </w:r>
      <w:r>
        <w:rPr>
          <w:rFonts w:hint="eastAsia" w:ascii="宋体" w:hAnsi="宋体" w:eastAsia="宋体" w:cs="宋体"/>
          <w:color w:val="auto"/>
          <w:sz w:val="28"/>
          <w:szCs w:val="36"/>
          <w:highlight w:val="none"/>
          <w:lang w:eastAsia="zh-CN"/>
        </w:rPr>
        <w:t>投标人</w:t>
      </w:r>
      <w:r>
        <w:rPr>
          <w:rFonts w:hint="eastAsia" w:ascii="宋体" w:hAnsi="宋体" w:eastAsia="宋体" w:cs="宋体"/>
          <w:color w:val="auto"/>
          <w:sz w:val="28"/>
          <w:szCs w:val="36"/>
          <w:highlight w:val="none"/>
        </w:rPr>
        <w:t>须知</w:t>
      </w:r>
      <w:bookmarkEnd w:id="5"/>
      <w:r>
        <w:rPr>
          <w:rFonts w:hint="eastAsia" w:ascii="宋体" w:hAnsi="宋体" w:eastAsia="宋体" w:cs="宋体"/>
          <w:color w:val="auto"/>
          <w:sz w:val="28"/>
          <w:szCs w:val="36"/>
          <w:highlight w:val="none"/>
          <w:lang w:val="en-US" w:eastAsia="zh-CN"/>
        </w:rPr>
        <w:t>前附表</w:t>
      </w:r>
      <w:bookmarkEnd w:id="6"/>
      <w:bookmarkEnd w:id="7"/>
      <w:bookmarkEnd w:id="8"/>
    </w:p>
    <w:tbl>
      <w:tblPr>
        <w:tblStyle w:val="37"/>
        <w:tblW w:w="95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637"/>
        <w:gridCol w:w="7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96" w:hRule="atLeast"/>
          <w:jc w:val="center"/>
        </w:trPr>
        <w:tc>
          <w:tcPr>
            <w:tcW w:w="645"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项号</w:t>
            </w:r>
          </w:p>
        </w:tc>
        <w:tc>
          <w:tcPr>
            <w:tcW w:w="163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262"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8"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ind w:left="271" w:hanging="271"/>
              <w:jc w:val="center"/>
              <w:textAlignment w:val="auto"/>
              <w:rPr>
                <w:rFonts w:hint="eastAsia" w:ascii="宋体" w:hAnsi="宋体" w:eastAsia="宋体" w:cs="宋体"/>
                <w:color w:val="auto"/>
                <w:szCs w:val="21"/>
                <w:highlight w:val="none"/>
              </w:rPr>
            </w:pPr>
          </w:p>
        </w:tc>
        <w:tc>
          <w:tcPr>
            <w:tcW w:w="163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262" w:type="dxa"/>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瑞安市第五人民医院双拍成对经颅磁项目采购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项目编号</w:t>
            </w:r>
          </w:p>
        </w:tc>
        <w:tc>
          <w:tcPr>
            <w:tcW w:w="7262" w:type="dxa"/>
            <w:noWrap w:val="0"/>
            <w:vAlign w:val="center"/>
          </w:tcPr>
          <w:p>
            <w:pPr>
              <w:keepNext w:val="0"/>
              <w:keepLines w:val="0"/>
              <w:pageBreakBefore w:val="0"/>
              <w:kinsoku/>
              <w:wordWrap/>
              <w:overflowPunct/>
              <w:topLinePunct w:val="0"/>
              <w:autoSpaceDE/>
              <w:autoSpaceDN/>
              <w:bidi w:val="0"/>
              <w:spacing w:line="360" w:lineRule="exact"/>
              <w:textAlignment w:val="auto"/>
              <w:rPr>
                <w:rFonts w:hint="default" w:ascii="宋体" w:hAnsi="宋体" w:eastAsia="宋体" w:cs="宋体"/>
                <w:color w:val="auto"/>
                <w:sz w:val="18"/>
                <w:szCs w:val="18"/>
                <w:highlight w:val="none"/>
                <w:lang w:val="en-US"/>
              </w:rPr>
            </w:pPr>
            <w:r>
              <w:rPr>
                <w:rFonts w:hint="eastAsia" w:ascii="宋体" w:hAnsi="宋体" w:cs="宋体"/>
                <w:color w:val="auto"/>
                <w:szCs w:val="21"/>
                <w:highlight w:val="none"/>
                <w:lang w:eastAsia="zh-CN"/>
              </w:rPr>
              <w:t>ZJKB2024020-01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8"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采购方式</w:t>
            </w:r>
            <w:r>
              <w:rPr>
                <w:rFonts w:hint="eastAsia" w:ascii="宋体" w:hAnsi="宋体" w:eastAsia="宋体" w:cs="宋体"/>
                <w:color w:val="auto"/>
                <w:szCs w:val="21"/>
                <w:highlight w:val="none"/>
                <w:lang w:eastAsia="zh-CN"/>
              </w:rPr>
              <w:t>及评标方法</w:t>
            </w:r>
          </w:p>
        </w:tc>
        <w:tc>
          <w:tcPr>
            <w:tcW w:w="7262" w:type="dxa"/>
            <w:noWrap w:val="0"/>
            <w:vAlign w:val="center"/>
          </w:tcPr>
          <w:p>
            <w:pPr>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eastAsia="zh-CN"/>
              </w:rPr>
              <w:t>公开招标；综合评分法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预算</w:t>
            </w:r>
            <w:r>
              <w:rPr>
                <w:rFonts w:hint="eastAsia" w:ascii="宋体" w:hAnsi="宋体" w:eastAsia="宋体" w:cs="宋体"/>
                <w:color w:val="auto"/>
                <w:szCs w:val="21"/>
                <w:highlight w:val="none"/>
                <w:lang w:eastAsia="zh-CN"/>
              </w:rPr>
              <w:t>金额</w:t>
            </w:r>
            <w:r>
              <w:rPr>
                <w:rFonts w:hint="eastAsia" w:ascii="宋体" w:hAnsi="宋体" w:eastAsia="宋体" w:cs="宋体"/>
                <w:color w:val="auto"/>
                <w:szCs w:val="21"/>
                <w:highlight w:val="none"/>
              </w:rPr>
              <w:t>及最高限价</w:t>
            </w:r>
          </w:p>
        </w:tc>
        <w:tc>
          <w:tcPr>
            <w:tcW w:w="7262" w:type="dxa"/>
            <w:noWrap w:val="0"/>
            <w:vAlign w:val="center"/>
          </w:tcPr>
          <w:p>
            <w:pPr>
              <w:spacing w:line="360" w:lineRule="auto"/>
              <w:jc w:val="left"/>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rPr>
              <w:t>预算金额</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450000</w:t>
            </w:r>
            <w:r>
              <w:rPr>
                <w:rFonts w:hint="eastAsia" w:ascii="宋体" w:hAnsi="宋体" w:eastAsia="宋体" w:cs="宋体"/>
                <w:i w:val="0"/>
                <w:iCs w:val="0"/>
                <w:color w:val="auto"/>
                <w:szCs w:val="21"/>
                <w:highlight w:val="none"/>
                <w:lang w:val="en-US" w:eastAsia="zh-CN"/>
              </w:rPr>
              <w:t>元</w:t>
            </w:r>
          </w:p>
          <w:p>
            <w:pPr>
              <w:pStyle w:val="16"/>
              <w:spacing w:line="360" w:lineRule="auto"/>
              <w:ind w:left="0" w:leftChars="0" w:firstLine="0" w:firstLineChars="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 w:val="21"/>
                <w:szCs w:val="21"/>
                <w:highlight w:val="none"/>
              </w:rPr>
              <w:t>最高限价：</w:t>
            </w:r>
            <w:r>
              <w:rPr>
                <w:rFonts w:hint="eastAsia" w:ascii="宋体" w:hAnsi="宋体" w:cs="宋体"/>
                <w:color w:val="auto"/>
                <w:szCs w:val="21"/>
                <w:highlight w:val="none"/>
                <w:lang w:val="en-US" w:eastAsia="zh-CN"/>
              </w:rPr>
              <w:t>450000</w:t>
            </w:r>
            <w:r>
              <w:rPr>
                <w:rFonts w:hint="eastAsia" w:ascii="宋体" w:hAnsi="宋体" w:eastAsia="宋体" w:cs="宋体"/>
                <w:i w:val="0"/>
                <w:iCs w:val="0"/>
                <w:color w:val="auto"/>
                <w:szCs w:val="21"/>
                <w:highlight w:val="none"/>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8"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是否专门面向</w:t>
            </w:r>
          </w:p>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中小企业采购</w:t>
            </w:r>
          </w:p>
        </w:tc>
        <w:tc>
          <w:tcPr>
            <w:tcW w:w="7262" w:type="dxa"/>
            <w:noWrap w:val="0"/>
            <w:vAlign w:val="top"/>
          </w:tcPr>
          <w:p>
            <w:pPr>
              <w:widowControl/>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highlight w:val="none"/>
              </w:rPr>
              <w:t>根据《政府采购促进中小企业发展管理办法》（财库</w:t>
            </w:r>
            <w:r>
              <w:rPr>
                <w:rFonts w:ascii="Arial" w:hAnsi="Arial" w:eastAsia="宋体" w:cs="Arial"/>
                <w:color w:val="auto"/>
                <w:highlight w:val="none"/>
              </w:rPr>
              <w:t>[2020]46</w:t>
            </w:r>
            <w:r>
              <w:rPr>
                <w:rFonts w:hint="eastAsia" w:ascii="宋体" w:hAnsi="宋体" w:eastAsia="宋体" w:cs="宋体"/>
                <w:color w:val="auto"/>
                <w:highlight w:val="none"/>
              </w:rPr>
              <w:t>号）规定，本项目属于</w:t>
            </w:r>
          </w:p>
          <w:p>
            <w:pPr>
              <w:widowControl/>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cs="宋体"/>
                <w:color w:val="auto"/>
                <w:position w:val="-4"/>
                <w:sz w:val="31"/>
                <w:szCs w:val="21"/>
                <w:highlight w:val="none"/>
                <w:lang w:eastAsia="zh-CN"/>
              </w:rPr>
              <w:instrText xml:space="preserve">,</w:instrText>
            </w:r>
            <w:r>
              <w:rPr>
                <w:rFonts w:hint="eastAsia" w:ascii="宋体" w:hAnsi="宋体" w:cs="宋体"/>
                <w:color w:val="auto"/>
                <w:position w:val="0"/>
                <w:sz w:val="21"/>
                <w:szCs w:val="21"/>
                <w:highlight w:val="none"/>
                <w:lang w:eastAsia="zh-CN"/>
              </w:rPr>
              <w:instrText xml:space="preserve">√</w:instrText>
            </w:r>
            <w:r>
              <w:rPr>
                <w:rFonts w:hint="eastAsia" w:ascii="宋体" w:hAnsi="宋体" w:eastAsia="宋体" w:cs="宋体"/>
                <w:color w:val="auto"/>
                <w:szCs w:val="21"/>
                <w:highlight w:val="none"/>
              </w:rPr>
              <w:instrText xml:space="preserve">)</w:instrText>
            </w:r>
            <w:r>
              <w:rPr>
                <w:rFonts w:hint="eastAsia" w:ascii="宋体" w:hAnsi="宋体" w:eastAsia="宋体" w:cs="宋体"/>
                <w:color w:val="auto"/>
                <w:szCs w:val="21"/>
                <w:highlight w:val="none"/>
              </w:rPr>
              <w:fldChar w:fldCharType="end"/>
            </w:r>
            <w:r>
              <w:rPr>
                <w:rFonts w:hint="eastAsia" w:ascii="宋体" w:hAnsi="宋体" w:eastAsia="宋体" w:cs="宋体"/>
                <w:color w:val="auto"/>
                <w:highlight w:val="none"/>
              </w:rPr>
              <w:t>预留份额专门面向中小企业采购</w:t>
            </w:r>
          </w:p>
          <w:p>
            <w:pPr>
              <w:widowControl/>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szCs w:val="21"/>
                <w:highlight w:val="none"/>
              </w:rPr>
              <w:instrText xml:space="preserve">)</w:instrText>
            </w:r>
            <w:r>
              <w:rPr>
                <w:rFonts w:hint="eastAsia" w:ascii="宋体" w:hAnsi="宋体" w:eastAsia="宋体" w:cs="宋体"/>
                <w:color w:val="auto"/>
                <w:szCs w:val="21"/>
                <w:highlight w:val="none"/>
              </w:rPr>
              <w:fldChar w:fldCharType="end"/>
            </w:r>
            <w:r>
              <w:rPr>
                <w:rFonts w:hint="eastAsia" w:ascii="宋体" w:hAnsi="宋体" w:eastAsia="宋体" w:cs="宋体"/>
                <w:color w:val="auto"/>
                <w:highlight w:val="none"/>
              </w:rPr>
              <w:t>部分预留份额项目面向中小企业采购</w:t>
            </w:r>
          </w:p>
          <w:p>
            <w:pPr>
              <w:widowControl/>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szCs w:val="21"/>
                <w:highlight w:val="none"/>
              </w:rPr>
              <w:instrText xml:space="preserve">)</w:instrText>
            </w:r>
            <w:r>
              <w:rPr>
                <w:rFonts w:hint="eastAsia" w:ascii="宋体" w:hAnsi="宋体" w:eastAsia="宋体" w:cs="宋体"/>
                <w:color w:val="auto"/>
                <w:szCs w:val="21"/>
                <w:highlight w:val="none"/>
              </w:rPr>
              <w:fldChar w:fldCharType="end"/>
            </w:r>
            <w:r>
              <w:rPr>
                <w:rFonts w:hint="eastAsia" w:ascii="宋体" w:hAnsi="宋体" w:eastAsia="宋体" w:cs="宋体"/>
                <w:color w:val="auto"/>
                <w:highlight w:val="none"/>
              </w:rPr>
              <w:t>未预留份额专门面向中小企业采购</w:t>
            </w:r>
          </w:p>
          <w:p>
            <w:pPr>
              <w:spacing w:line="360" w:lineRule="auto"/>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针对本项目的相关规定：</w:t>
            </w:r>
          </w:p>
          <w:p>
            <w:pPr>
              <w:spacing w:line="360" w:lineRule="auto"/>
              <w:rPr>
                <w:rFonts w:hint="eastAsia" w:ascii="Calibri" w:hAnsi="Calibri" w:eastAsia="宋体" w:cs="Times New Roman"/>
                <w:color w:val="auto"/>
                <w:highlight w:val="none"/>
              </w:rPr>
            </w:pPr>
            <w:r>
              <w:rPr>
                <w:rFonts w:hint="eastAsia" w:ascii="Calibri" w:hAnsi="Calibri" w:eastAsia="宋体" w:cs="Times New Roman"/>
                <w:color w:val="auto"/>
                <w:sz w:val="21"/>
                <w:szCs w:val="22"/>
                <w:highlight w:val="none"/>
                <w:lang w:val="en-US" w:eastAsia="zh-CN" w:bidi="ar-SA"/>
              </w:rPr>
              <w:t>本项目对符合《政府采购促进中小企业发展管理办法》（财库</w:t>
            </w:r>
            <w:r>
              <w:rPr>
                <w:rFonts w:hint="default" w:ascii="Arial" w:hAnsi="Arial" w:eastAsia="宋体" w:cs="Arial"/>
                <w:color w:val="auto"/>
                <w:sz w:val="21"/>
                <w:szCs w:val="22"/>
                <w:highlight w:val="none"/>
                <w:lang w:val="en-US" w:eastAsia="zh-CN" w:bidi="ar-SA"/>
              </w:rPr>
              <w:t>[2020]46</w:t>
            </w:r>
            <w:r>
              <w:rPr>
                <w:rFonts w:hint="eastAsia" w:ascii="Calibri" w:hAnsi="Calibri" w:eastAsia="宋体" w:cs="Times New Roman"/>
                <w:color w:val="auto"/>
                <w:sz w:val="21"/>
                <w:szCs w:val="22"/>
                <w:highlight w:val="none"/>
                <w:lang w:val="en-US" w:eastAsia="zh-CN" w:bidi="ar-SA"/>
              </w:rPr>
              <w:t>号）规定的小微企业报价给予</w:t>
            </w:r>
            <w:r>
              <w:rPr>
                <w:rFonts w:hint="eastAsia" w:ascii="Arial" w:hAnsi="Arial" w:cs="Arial"/>
                <w:color w:val="auto"/>
                <w:sz w:val="21"/>
                <w:szCs w:val="22"/>
                <w:highlight w:val="none"/>
                <w:u w:val="single"/>
                <w:lang w:val="en-US" w:eastAsia="zh-CN" w:bidi="ar-SA"/>
              </w:rPr>
              <w:t>/</w:t>
            </w:r>
            <w:r>
              <w:rPr>
                <w:rFonts w:hint="eastAsia" w:ascii="Calibri" w:hAnsi="Calibri" w:eastAsia="宋体" w:cs="Times New Roman"/>
                <w:color w:val="auto"/>
                <w:sz w:val="21"/>
                <w:szCs w:val="22"/>
                <w:highlight w:val="none"/>
                <w:lang w:val="en-US" w:eastAsia="zh-CN" w:bidi="ar-SA"/>
              </w:rPr>
              <w:t>的扣除，用扣除后的价格参加评审。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48"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项目属性</w:t>
            </w:r>
          </w:p>
        </w:tc>
        <w:tc>
          <w:tcPr>
            <w:tcW w:w="7262" w:type="dxa"/>
            <w:noWrap w:val="0"/>
            <w:vAlign w:val="center"/>
          </w:tcPr>
          <w:p>
            <w:pPr>
              <w:spacing w:line="360" w:lineRule="auto"/>
              <w:rPr>
                <w:rFonts w:hint="eastAsia" w:ascii="宋体" w:hAnsi="宋体" w:eastAsia="宋体" w:cs="宋体"/>
                <w:color w:val="auto"/>
                <w:kern w:val="0"/>
                <w:sz w:val="21"/>
                <w:szCs w:val="21"/>
                <w:highlight w:val="none"/>
              </w:rPr>
            </w:pPr>
            <w:r>
              <w:rPr>
                <w:rFonts w:hint="eastAsia" w:ascii="Wingdings" w:hAnsi="Wingdings" w:eastAsia="仿宋_GB2312" w:cs="Arial"/>
                <w:color w:val="auto"/>
                <w:kern w:val="0"/>
                <w:sz w:val="24"/>
                <w:szCs w:val="24"/>
                <w:highlight w:val="none"/>
                <w:lang w:val="en-US" w:eastAsia="zh-CN" w:bidi="ar-SA"/>
              </w:rPr>
              <w:sym w:font="Wingdings" w:char="00FE"/>
            </w:r>
            <w:r>
              <w:rPr>
                <w:rFonts w:hint="eastAsia" w:ascii="宋体" w:hAnsi="宋体" w:eastAsia="宋体" w:cs="宋体"/>
                <w:color w:val="auto"/>
                <w:kern w:val="0"/>
                <w:sz w:val="21"/>
                <w:szCs w:val="21"/>
                <w:highlight w:val="none"/>
              </w:rPr>
              <w:t>A货物类，单一产品或核心产品为：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经颅磁设备</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spacing w:line="360" w:lineRule="auto"/>
              <w:rPr>
                <w:rFonts w:hint="eastAsia" w:ascii="宋体" w:hAnsi="宋体" w:eastAsia="宋体" w:cs="宋体"/>
                <w:color w:val="auto"/>
                <w:szCs w:val="21"/>
                <w:highlight w:val="none"/>
              </w:rPr>
            </w:pPr>
            <w:r>
              <w:rPr>
                <w:rFonts w:hint="eastAsia" w:ascii="Wingdings" w:hAnsi="Wingdings" w:eastAsia="仿宋_GB2312" w:cs="Arial"/>
                <w:color w:val="auto"/>
                <w:kern w:val="0"/>
                <w:sz w:val="24"/>
                <w:szCs w:val="24"/>
                <w:highlight w:val="none"/>
                <w:lang w:val="en-US" w:eastAsia="zh-CN" w:bidi="ar-SA"/>
              </w:rPr>
              <w:sym w:font="Wingdings" w:char="00A8"/>
            </w:r>
            <w:r>
              <w:rPr>
                <w:rFonts w:hint="eastAsia" w:ascii="宋体" w:hAnsi="宋体" w:eastAsia="宋体" w:cs="宋体"/>
                <w:color w:val="auto"/>
                <w:kern w:val="0"/>
                <w:sz w:val="21"/>
                <w:szCs w:val="21"/>
                <w:highlight w:val="none"/>
              </w:rPr>
              <w:t>B服务类。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13"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采购标的及其对应的中小企业划分标准所属行业</w:t>
            </w:r>
          </w:p>
        </w:tc>
        <w:tc>
          <w:tcPr>
            <w:tcW w:w="7262" w:type="dxa"/>
            <w:noWrap w:val="0"/>
            <w:vAlign w:val="center"/>
          </w:tcPr>
          <w:p>
            <w:pPr>
              <w:spacing w:line="360" w:lineRule="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（1）标的：</w:t>
            </w:r>
            <w:r>
              <w:rPr>
                <w:rFonts w:hint="eastAsia" w:ascii="宋体" w:hAnsi="宋体" w:eastAsia="宋体" w:cs="宋体"/>
                <w:color w:val="auto"/>
                <w:kern w:val="0"/>
                <w:sz w:val="21"/>
                <w:szCs w:val="21"/>
                <w:highlight w:val="none"/>
                <w:u w:val="single"/>
                <w:lang w:val="en-US" w:eastAsia="zh-CN"/>
              </w:rPr>
              <w:t>经颅磁设备</w:t>
            </w:r>
            <w:r>
              <w:rPr>
                <w:rFonts w:hint="eastAsia" w:ascii="Calibri" w:hAnsi="Calibri" w:eastAsia="宋体" w:cs="Times New Roman"/>
                <w:color w:val="auto"/>
                <w:highlight w:val="none"/>
                <w:lang w:val="en-US" w:eastAsia="zh-CN"/>
              </w:rPr>
              <w:t>；</w:t>
            </w:r>
            <w:r>
              <w:rPr>
                <w:rFonts w:hint="eastAsia" w:ascii="Calibri" w:hAnsi="Calibri" w:eastAsia="宋体" w:cs="Times New Roman"/>
                <w:b/>
                <w:bCs/>
                <w:color w:val="auto"/>
                <w:highlight w:val="none"/>
                <w:lang w:val="en-US" w:eastAsia="zh-CN"/>
              </w:rPr>
              <w:t>属于</w:t>
            </w:r>
            <w:r>
              <w:rPr>
                <w:rFonts w:hint="eastAsia" w:ascii="Calibri" w:hAnsi="Calibri" w:eastAsia="宋体" w:cs="Times New Roman"/>
                <w:b/>
                <w:bCs/>
                <w:color w:val="auto"/>
                <w:highlight w:val="none"/>
                <w:u w:val="single"/>
                <w:lang w:val="en-US" w:eastAsia="zh-CN"/>
              </w:rPr>
              <w:t>工业</w:t>
            </w:r>
            <w:r>
              <w:rPr>
                <w:rFonts w:hint="eastAsia" w:ascii="Calibri" w:hAnsi="Calibri" w:eastAsia="宋体" w:cs="Times New Roman"/>
                <w:b/>
                <w:bCs/>
                <w:color w:val="auto"/>
                <w:highlight w:val="none"/>
                <w:lang w:val="en-US" w:eastAsia="zh-CN"/>
              </w:rPr>
              <w:t>行业</w:t>
            </w:r>
            <w:r>
              <w:rPr>
                <w:rFonts w:hint="eastAsia" w:ascii="Calibri" w:hAnsi="Calibri" w:eastAsia="宋体" w:cs="Times New Roman"/>
                <w:color w:val="auto"/>
                <w:highlight w:val="none"/>
                <w:lang w:val="en-US" w:eastAsia="zh-CN"/>
              </w:rPr>
              <w:t>。</w:t>
            </w:r>
          </w:p>
          <w:p>
            <w:pPr>
              <w:pStyle w:val="17"/>
              <w:spacing w:line="360" w:lineRule="auto"/>
              <w:ind w:left="0" w:leftChars="0" w:right="105" w:rightChars="50" w:firstLine="0" w:firstLineChars="0"/>
              <w:rPr>
                <w:rFonts w:hint="eastAsia" w:ascii="宋体" w:hAnsi="宋体" w:eastAsia="宋体" w:cs="宋体"/>
                <w:color w:val="auto"/>
                <w:szCs w:val="21"/>
                <w:highlight w:val="none"/>
                <w:lang w:eastAsia="zh-CN"/>
              </w:rPr>
            </w:pPr>
            <w:r>
              <w:rPr>
                <w:rFonts w:hint="eastAsia" w:eastAsia="宋体" w:cs="Times New Roman"/>
                <w:color w:val="auto"/>
                <w:sz w:val="21"/>
                <w:szCs w:val="21"/>
                <w:highlight w:val="none"/>
                <w:lang w:eastAsia="zh-CN"/>
              </w:rPr>
              <w:t>注：</w:t>
            </w:r>
            <w:r>
              <w:rPr>
                <w:rFonts w:hint="eastAsia" w:eastAsia="宋体" w:cs="Times New Roman"/>
                <w:color w:val="auto"/>
                <w:sz w:val="21"/>
                <w:szCs w:val="21"/>
                <w:highlight w:val="none"/>
              </w:rPr>
              <w:t>中小企业的划分标准依据《关于印发中小企业划型标准规定的通知》（工信部联企业〔2011〕300号）文件执行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是否允许</w:t>
            </w:r>
          </w:p>
          <w:p>
            <w:pPr>
              <w:adjustRightIn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采购进口产品</w:t>
            </w:r>
          </w:p>
        </w:tc>
        <w:tc>
          <w:tcPr>
            <w:tcW w:w="7262" w:type="dxa"/>
            <w:noWrap w:val="0"/>
            <w:vAlign w:val="center"/>
          </w:tcPr>
          <w:p>
            <w:pPr>
              <w:spacing w:line="360" w:lineRule="auto"/>
              <w:rPr>
                <w:rFonts w:hint="eastAsia" w:ascii="宋体" w:hAnsi="宋体" w:eastAsia="宋体" w:cs="宋体"/>
                <w:color w:val="auto"/>
                <w:kern w:val="0"/>
                <w:sz w:val="21"/>
                <w:szCs w:val="21"/>
                <w:highlight w:val="none"/>
              </w:rPr>
            </w:pPr>
            <w:r>
              <w:rPr>
                <w:rFonts w:ascii="仿宋_GB2312" w:hAnsi="仿宋" w:eastAsia="仿宋_GB2312" w:cs="Arial"/>
                <w:color w:val="auto"/>
                <w:kern w:val="0"/>
                <w:sz w:val="24"/>
                <w:highlight w:val="none"/>
              </w:rPr>
              <w:sym w:font="Wingdings" w:char="00FE"/>
            </w:r>
            <w:r>
              <w:rPr>
                <w:rFonts w:hint="eastAsia" w:ascii="宋体" w:hAnsi="宋体" w:eastAsia="宋体" w:cs="宋体"/>
                <w:color w:val="auto"/>
                <w:kern w:val="0"/>
                <w:sz w:val="21"/>
                <w:szCs w:val="21"/>
                <w:highlight w:val="none"/>
              </w:rPr>
              <w:t>本项目不允许采购进口产品。</w:t>
            </w:r>
          </w:p>
          <w:p>
            <w:pPr>
              <w:spacing w:line="360" w:lineRule="auto"/>
              <w:jc w:val="left"/>
              <w:rPr>
                <w:rFonts w:hint="eastAsia" w:ascii="宋体" w:hAnsi="宋体" w:eastAsia="宋体" w:cs="宋体"/>
                <w:color w:val="auto"/>
                <w:kern w:val="2"/>
                <w:sz w:val="21"/>
                <w:szCs w:val="21"/>
                <w:highlight w:val="none"/>
                <w:lang w:val="en-US" w:eastAsia="zh-CN" w:bidi="ar-SA"/>
              </w:rPr>
            </w:pPr>
            <w:r>
              <w:rPr>
                <w:rFonts w:ascii="仿宋_GB2312" w:hAnsi="仿宋" w:eastAsia="仿宋_GB2312" w:cs="Arial"/>
                <w:color w:val="auto"/>
                <w:kern w:val="0"/>
                <w:sz w:val="24"/>
                <w:highlight w:val="none"/>
              </w:rPr>
              <w:sym w:font="Wingdings" w:char="00A8"/>
            </w:r>
            <w:r>
              <w:rPr>
                <w:rFonts w:hint="eastAsia" w:ascii="宋体" w:hAnsi="宋体" w:eastAsia="宋体" w:cs="宋体"/>
                <w:color w:val="auto"/>
                <w:kern w:val="0"/>
                <w:sz w:val="21"/>
                <w:szCs w:val="21"/>
                <w:highlight w:val="none"/>
              </w:rPr>
              <w:t>可以采购进口产品，优先采购向我国企业转让技术、与我国企业签订消化吸收再创新方案的供应商的进口产品；如果因信息不对称等原因，仍有满足需求的国内产品要求参与采购竞争的，采购人及其委托的采购代理机构不</w:t>
            </w:r>
            <w:r>
              <w:rPr>
                <w:rFonts w:hint="eastAsia" w:ascii="宋体" w:hAnsi="宋体" w:eastAsia="宋体" w:cs="宋体"/>
                <w:color w:val="auto"/>
                <w:kern w:val="0"/>
                <w:sz w:val="21"/>
                <w:szCs w:val="21"/>
                <w:highlight w:val="none"/>
                <w:lang w:eastAsia="zh-CN"/>
              </w:rPr>
              <w:t>会</w:t>
            </w:r>
            <w:r>
              <w:rPr>
                <w:rFonts w:hint="eastAsia" w:ascii="宋体" w:hAnsi="宋体" w:eastAsia="宋体" w:cs="宋体"/>
                <w:color w:val="auto"/>
                <w:kern w:val="0"/>
                <w:sz w:val="21"/>
                <w:szCs w:val="21"/>
                <w:highlight w:val="none"/>
              </w:rPr>
              <w:t>对其加以限制，将按照公平竞争原则实施采购。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2"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ind w:right="105"/>
              <w:jc w:val="center"/>
              <w:textAlignment w:val="auto"/>
              <w:rPr>
                <w:rFonts w:hint="eastAsia" w:ascii="宋体" w:hAnsi="宋体" w:eastAsia="宋体" w:cs="宋体"/>
                <w:color w:val="auto"/>
                <w:szCs w:val="21"/>
                <w:highlight w:val="none"/>
              </w:rPr>
            </w:pPr>
          </w:p>
        </w:tc>
        <w:tc>
          <w:tcPr>
            <w:tcW w:w="1637" w:type="dxa"/>
            <w:noWrap w:val="0"/>
            <w:vAlign w:val="center"/>
          </w:tcPr>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是否允许分包</w:t>
            </w:r>
          </w:p>
        </w:tc>
        <w:tc>
          <w:tcPr>
            <w:tcW w:w="7262" w:type="dxa"/>
            <w:noWrap w:val="0"/>
            <w:vAlign w:val="center"/>
          </w:tcPr>
          <w:p>
            <w:pPr>
              <w:spacing w:line="360" w:lineRule="auto"/>
              <w:jc w:val="left"/>
              <w:rPr>
                <w:rFonts w:hint="eastAsia" w:ascii="宋体" w:hAnsi="宋体" w:eastAsia="宋体" w:cs="宋体"/>
                <w:color w:val="auto"/>
                <w:kern w:val="0"/>
                <w:sz w:val="21"/>
                <w:szCs w:val="21"/>
                <w:highlight w:val="none"/>
              </w:rPr>
            </w:pPr>
            <w:r>
              <w:rPr>
                <w:rFonts w:ascii="仿宋_GB2312" w:hAnsi="仿宋" w:eastAsia="仿宋_GB2312" w:cs="Arial"/>
                <w:color w:val="auto"/>
                <w:kern w:val="0"/>
                <w:sz w:val="24"/>
                <w:highlight w:val="none"/>
              </w:rPr>
              <w:sym w:font="Wingdings" w:char="00FE"/>
            </w:r>
            <w:r>
              <w:rPr>
                <w:rFonts w:hint="eastAsia" w:ascii="仿宋_GB2312" w:hAnsi="仿宋" w:eastAsia="仿宋_GB2312" w:cs="Arial"/>
                <w:color w:val="auto"/>
                <w:kern w:val="0"/>
                <w:sz w:val="24"/>
                <w:highlight w:val="none"/>
                <w:lang w:val="en-US" w:eastAsia="zh-CN"/>
              </w:rPr>
              <w:t xml:space="preserve"> </w:t>
            </w:r>
            <w:r>
              <w:rPr>
                <w:rFonts w:hint="eastAsia" w:ascii="宋体" w:hAnsi="宋体" w:eastAsia="宋体" w:cs="宋体"/>
                <w:color w:val="auto"/>
                <w:sz w:val="21"/>
                <w:szCs w:val="21"/>
                <w:highlight w:val="none"/>
              </w:rPr>
              <w:t>不</w:t>
            </w:r>
            <w:r>
              <w:rPr>
                <w:rFonts w:hint="eastAsia" w:ascii="宋体" w:hAnsi="宋体" w:eastAsia="宋体" w:cs="宋体"/>
                <w:color w:val="auto"/>
                <w:sz w:val="21"/>
                <w:szCs w:val="21"/>
                <w:highlight w:val="none"/>
                <w:lang w:eastAsia="zh-CN"/>
              </w:rPr>
              <w:t>允许</w:t>
            </w:r>
            <w:r>
              <w:rPr>
                <w:rFonts w:hint="eastAsia" w:ascii="宋体" w:hAnsi="宋体" w:eastAsia="宋体" w:cs="宋体"/>
                <w:color w:val="auto"/>
                <w:sz w:val="21"/>
                <w:szCs w:val="21"/>
                <w:highlight w:val="none"/>
              </w:rPr>
              <w:t>分包。</w:t>
            </w:r>
          </w:p>
          <w:p>
            <w:pPr>
              <w:spacing w:line="360" w:lineRule="auto"/>
              <w:jc w:val="left"/>
              <w:rPr>
                <w:rFonts w:hint="eastAsia" w:ascii="宋体" w:hAnsi="宋体" w:eastAsia="宋体" w:cs="宋体"/>
                <w:color w:val="auto"/>
                <w:szCs w:val="21"/>
                <w:highlight w:val="none"/>
                <w:lang w:val="en-US" w:eastAsia="zh-CN"/>
              </w:rPr>
            </w:pPr>
            <w:r>
              <w:rPr>
                <w:rFonts w:ascii="仿宋_GB2312" w:hAnsi="仿宋" w:eastAsia="仿宋_GB2312" w:cs="Arial"/>
                <w:color w:val="auto"/>
                <w:kern w:val="0"/>
                <w:sz w:val="24"/>
                <w:highlight w:val="none"/>
              </w:rPr>
              <w:sym w:font="Wingdings" w:char="00A8"/>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eastAsia="zh-CN"/>
              </w:rPr>
              <w:t>允许</w:t>
            </w:r>
            <w:r>
              <w:rPr>
                <w:rFonts w:hint="eastAsia" w:ascii="宋体" w:hAnsi="宋体" w:eastAsia="宋体" w:cs="宋体"/>
                <w:color w:val="auto"/>
                <w:kern w:val="0"/>
                <w:sz w:val="21"/>
                <w:szCs w:val="21"/>
                <w:highlight w:val="none"/>
              </w:rPr>
              <w:t>将非主体、非关键性的工作分包。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是否接受</w:t>
            </w:r>
          </w:p>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联合体投标</w:t>
            </w:r>
          </w:p>
        </w:tc>
        <w:tc>
          <w:tcPr>
            <w:tcW w:w="7262" w:type="dxa"/>
            <w:noWrap w:val="0"/>
            <w:vAlign w:val="center"/>
          </w:tcPr>
          <w:p>
            <w:pPr>
              <w:spacing w:line="360" w:lineRule="auto"/>
              <w:jc w:val="left"/>
              <w:rPr>
                <w:rFonts w:hint="eastAsia" w:ascii="宋体" w:hAnsi="宋体" w:eastAsia="宋体" w:cs="宋体"/>
                <w:color w:val="auto"/>
                <w:sz w:val="21"/>
                <w:szCs w:val="21"/>
                <w:highlight w:val="none"/>
              </w:rPr>
            </w:pPr>
            <w:r>
              <w:rPr>
                <w:rFonts w:ascii="仿宋_GB2312" w:hAnsi="仿宋" w:eastAsia="仿宋_GB2312" w:cs="Arial"/>
                <w:color w:val="auto"/>
                <w:kern w:val="0"/>
                <w:sz w:val="24"/>
                <w:highlight w:val="none"/>
              </w:rPr>
              <w:sym w:font="Wingdings" w:char="00FE"/>
            </w:r>
            <w:r>
              <w:rPr>
                <w:rFonts w:hint="eastAsia" w:ascii="仿宋_GB2312" w:hAnsi="仿宋" w:eastAsia="仿宋_GB2312" w:cs="Arial"/>
                <w:color w:val="auto"/>
                <w:kern w:val="0"/>
                <w:sz w:val="24"/>
                <w:highlight w:val="none"/>
                <w:lang w:val="en-US" w:eastAsia="zh-CN"/>
              </w:rPr>
              <w:t xml:space="preserve"> </w:t>
            </w:r>
            <w:r>
              <w:rPr>
                <w:rFonts w:hint="eastAsia" w:ascii="宋体" w:hAnsi="宋体" w:eastAsia="宋体" w:cs="宋体"/>
                <w:color w:val="auto"/>
                <w:sz w:val="21"/>
                <w:szCs w:val="21"/>
                <w:highlight w:val="none"/>
              </w:rPr>
              <w:t>不接受</w:t>
            </w:r>
          </w:p>
          <w:p>
            <w:pPr>
              <w:spacing w:line="360" w:lineRule="auto"/>
              <w:jc w:val="left"/>
              <w:rPr>
                <w:rFonts w:hint="eastAsia" w:ascii="宋体" w:hAnsi="宋体" w:eastAsia="宋体" w:cs="宋体"/>
                <w:color w:val="auto"/>
                <w:szCs w:val="21"/>
                <w:highlight w:val="none"/>
              </w:rPr>
            </w:pPr>
            <w:r>
              <w:rPr>
                <w:rFonts w:ascii="仿宋_GB2312" w:hAnsi="仿宋" w:eastAsia="仿宋_GB2312" w:cs="Arial"/>
                <w:color w:val="auto"/>
                <w:kern w:val="0"/>
                <w:sz w:val="24"/>
                <w:highlight w:val="none"/>
              </w:rPr>
              <w:sym w:font="Wingdings" w:char="00A8"/>
            </w:r>
            <w:r>
              <w:rPr>
                <w:rFonts w:hint="eastAsia" w:ascii="宋体" w:hAnsi="宋体" w:eastAsia="宋体" w:cs="宋体"/>
                <w:color w:val="auto"/>
                <w:sz w:val="21"/>
                <w:szCs w:val="21"/>
                <w:highlight w:val="none"/>
              </w:rPr>
              <w:t xml:space="preserve">接受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keepNext w:val="0"/>
              <w:keepLines w:val="0"/>
              <w:pageBreakBefore w:val="0"/>
              <w:numPr>
                <w:ilvl w:val="0"/>
                <w:numId w:val="3"/>
              </w:numPr>
              <w:kinsoku/>
              <w:wordWrap/>
              <w:overflowPunct/>
              <w:topLinePunct w:val="0"/>
              <w:autoSpaceDE/>
              <w:autoSpaceDN/>
              <w:bidi w:val="0"/>
              <w:spacing w:line="360" w:lineRule="exact"/>
              <w:ind w:left="420" w:leftChars="0" w:hanging="420" w:firstLineChars="0"/>
              <w:jc w:val="center"/>
              <w:textAlignment w:val="auto"/>
              <w:rPr>
                <w:rFonts w:hint="eastAsia" w:ascii="宋体" w:hAnsi="宋体" w:eastAsia="宋体" w:cs="宋体"/>
                <w:color w:val="auto"/>
                <w:szCs w:val="21"/>
                <w:highlight w:val="none"/>
              </w:rPr>
            </w:pPr>
          </w:p>
        </w:tc>
        <w:tc>
          <w:tcPr>
            <w:tcW w:w="163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投标样品</w:t>
            </w:r>
          </w:p>
        </w:tc>
        <w:tc>
          <w:tcPr>
            <w:tcW w:w="7262" w:type="dxa"/>
            <w:noWrap w:val="0"/>
            <w:vAlign w:val="center"/>
          </w:tcPr>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bCs/>
                <w:color w:val="auto"/>
                <w:szCs w:val="21"/>
                <w:highlight w:val="none"/>
              </w:rPr>
            </w:pPr>
            <w:r>
              <w:rPr>
                <w:rFonts w:hint="eastAsia" w:ascii="宋体" w:hAnsi="宋体" w:eastAsia="宋体" w:cs="宋体"/>
                <w:color w:val="auto"/>
                <w:sz w:val="18"/>
                <w:szCs w:val="21"/>
                <w:highlight w:val="none"/>
              </w:rPr>
              <w:fldChar w:fldCharType="begin"/>
            </w:r>
            <w:r>
              <w:rPr>
                <w:rFonts w:hint="eastAsia" w:ascii="宋体" w:hAnsi="宋体" w:eastAsia="宋体" w:cs="宋体"/>
                <w:color w:val="auto"/>
                <w:sz w:val="18"/>
                <w:szCs w:val="21"/>
                <w:highlight w:val="none"/>
              </w:rPr>
              <w:instrText xml:space="preserve"> eq \o\ac(</w:instrText>
            </w:r>
            <w:r>
              <w:rPr>
                <w:rFonts w:hint="eastAsia" w:ascii="宋体" w:hAnsi="宋体" w:eastAsia="宋体" w:cs="宋体"/>
                <w:color w:val="auto"/>
                <w:position w:val="-2"/>
                <w:sz w:val="24"/>
                <w:szCs w:val="21"/>
                <w:highlight w:val="none"/>
              </w:rPr>
              <w:instrText xml:space="preserve">□</w:instrText>
            </w:r>
            <w:r>
              <w:rPr>
                <w:rFonts w:hint="eastAsia" w:ascii="宋体" w:hAnsi="宋体" w:eastAsia="宋体" w:cs="宋体"/>
                <w:color w:val="auto"/>
                <w:sz w:val="18"/>
                <w:szCs w:val="21"/>
                <w:highlight w:val="none"/>
              </w:rPr>
              <w:instrText xml:space="preserve">,√)</w:instrText>
            </w:r>
            <w:r>
              <w:rPr>
                <w:rFonts w:hint="eastAsia" w:ascii="宋体" w:hAnsi="宋体" w:eastAsia="宋体" w:cs="宋体"/>
                <w:color w:val="auto"/>
                <w:sz w:val="18"/>
                <w:szCs w:val="21"/>
                <w:highlight w:val="none"/>
              </w:rPr>
              <w:fldChar w:fldCharType="end"/>
            </w:r>
            <w:r>
              <w:rPr>
                <w:rFonts w:hint="eastAsia" w:ascii="宋体" w:hAnsi="宋体" w:eastAsia="宋体" w:cs="宋体"/>
                <w:color w:val="auto"/>
                <w:sz w:val="18"/>
                <w:szCs w:val="21"/>
                <w:highlight w:val="none"/>
              </w:rPr>
              <w:t xml:space="preserve"> </w:t>
            </w:r>
            <w:r>
              <w:rPr>
                <w:rFonts w:hint="eastAsia" w:ascii="宋体" w:hAnsi="宋体" w:eastAsia="宋体" w:cs="宋体"/>
                <w:bCs/>
                <w:color w:val="auto"/>
                <w:szCs w:val="21"/>
                <w:highlight w:val="none"/>
              </w:rPr>
              <w:t>不需要</w:t>
            </w:r>
          </w:p>
          <w:p>
            <w:pPr>
              <w:keepNext w:val="0"/>
              <w:keepLines w:val="0"/>
              <w:pageBreakBefore w:val="0"/>
              <w:kinsoku/>
              <w:wordWrap/>
              <w:overflowPunct/>
              <w:topLinePunct w:val="0"/>
              <w:autoSpaceDE/>
              <w:autoSpaceDN/>
              <w:bidi w:val="0"/>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Cs w:val="21"/>
                <w:highlight w:val="none"/>
              </w:rPr>
              <w:fldChar w:fldCharType="begin"/>
            </w:r>
            <w:r>
              <w:rPr>
                <w:rFonts w:hint="eastAsia" w:ascii="宋体" w:hAnsi="宋体" w:eastAsia="宋体" w:cs="宋体"/>
                <w:bCs/>
                <w:color w:val="auto"/>
                <w:szCs w:val="21"/>
                <w:highlight w:val="none"/>
              </w:rPr>
              <w:instrText xml:space="preserve"> eq \o\ac(□)</w:instrText>
            </w:r>
            <w:r>
              <w:rPr>
                <w:rFonts w:hint="eastAsia" w:ascii="宋体" w:hAnsi="宋体" w:eastAsia="宋体" w:cs="宋体"/>
                <w:bCs/>
                <w:color w:val="auto"/>
                <w:szCs w:val="21"/>
                <w:highlight w:val="none"/>
              </w:rPr>
              <w:fldChar w:fldCharType="end"/>
            </w:r>
            <w:r>
              <w:rPr>
                <w:rFonts w:hint="eastAsia" w:ascii="宋体" w:hAnsi="宋体" w:eastAsia="宋体" w:cs="宋体"/>
                <w:bCs/>
                <w:color w:val="auto"/>
                <w:szCs w:val="21"/>
                <w:highlight w:val="none"/>
              </w:rPr>
              <w:t xml:space="preserve"> 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投标保证金</w:t>
            </w:r>
          </w:p>
        </w:tc>
        <w:tc>
          <w:tcPr>
            <w:tcW w:w="7262" w:type="dxa"/>
            <w:noWrap w:val="0"/>
            <w:vAlign w:val="center"/>
          </w:tcPr>
          <w:p>
            <w:pPr>
              <w:spacing w:line="360" w:lineRule="auto"/>
              <w:jc w:val="left"/>
              <w:rPr>
                <w:rFonts w:hint="eastAsia" w:ascii="宋体" w:hAnsi="宋体" w:eastAsia="宋体" w:cs="宋体"/>
                <w:color w:val="auto"/>
                <w:highlight w:val="none"/>
              </w:rPr>
            </w:pPr>
            <w:r>
              <w:rPr>
                <w:rFonts w:hint="eastAsia" w:ascii="宋体" w:hAnsi="宋体" w:eastAsia="宋体" w:cs="宋体"/>
                <w:color w:val="auto"/>
                <w:szCs w:val="21"/>
                <w:highlight w:val="none"/>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80"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ind w:left="271" w:hanging="271"/>
              <w:jc w:val="center"/>
              <w:textAlignment w:val="auto"/>
              <w:rPr>
                <w:rFonts w:hint="eastAsia" w:ascii="宋体" w:hAnsi="宋体" w:eastAsia="宋体" w:cs="宋体"/>
                <w:color w:val="auto"/>
                <w:szCs w:val="21"/>
                <w:highlight w:val="none"/>
              </w:rPr>
            </w:pPr>
          </w:p>
        </w:tc>
        <w:tc>
          <w:tcPr>
            <w:tcW w:w="1637" w:type="dxa"/>
            <w:noWrap w:val="0"/>
            <w:vAlign w:val="center"/>
          </w:tcPr>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是否需要缴纳</w:t>
            </w:r>
          </w:p>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262" w:type="dxa"/>
            <w:noWrap w:val="0"/>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4"/>
                <w:sz w:val="31"/>
                <w:szCs w:val="21"/>
                <w:highlight w:val="none"/>
                <w:lang w:eastAsia="zh-CN"/>
              </w:rPr>
              <w:instrText xml:space="preserve">,</w:instrText>
            </w:r>
            <w:r>
              <w:rPr>
                <w:rFonts w:hint="eastAsia" w:ascii="宋体" w:hAnsi="宋体" w:eastAsia="宋体" w:cs="宋体"/>
                <w:color w:val="auto"/>
                <w:position w:val="0"/>
                <w:sz w:val="21"/>
                <w:szCs w:val="21"/>
                <w:highlight w:val="none"/>
                <w:lang w:eastAsia="zh-CN"/>
              </w:rPr>
              <w:instrText xml:space="preserve">√</w:instrText>
            </w:r>
            <w:r>
              <w:rPr>
                <w:rFonts w:hint="eastAsia" w:ascii="宋体" w:hAnsi="宋体" w:eastAsia="宋体" w:cs="宋体"/>
                <w:color w:val="auto"/>
                <w:szCs w:val="21"/>
                <w:highlight w:val="none"/>
              </w:rPr>
              <w:instrText xml:space="preserve">)</w:instrTex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不需要</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szCs w:val="21"/>
                <w:highlight w:val="none"/>
              </w:rPr>
              <w:instrText xml:space="preserve">)</w:instrTex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80" w:hRule="atLeast"/>
          <w:jc w:val="center"/>
        </w:trPr>
        <w:tc>
          <w:tcPr>
            <w:tcW w:w="645" w:type="dxa"/>
            <w:noWrap w:val="0"/>
            <w:vAlign w:val="center"/>
          </w:tcPr>
          <w:p>
            <w:pPr>
              <w:keepNext w:val="0"/>
              <w:keepLines w:val="0"/>
              <w:pageBreakBefore w:val="0"/>
              <w:numPr>
                <w:ilvl w:val="0"/>
                <w:numId w:val="3"/>
              </w:numPr>
              <w:tabs>
                <w:tab w:val="left" w:pos="271"/>
                <w:tab w:val="clear" w:pos="420"/>
              </w:tabs>
              <w:kinsoku/>
              <w:wordWrap/>
              <w:overflowPunct/>
              <w:topLinePunct w:val="0"/>
              <w:autoSpaceDE/>
              <w:autoSpaceDN/>
              <w:bidi w:val="0"/>
              <w:spacing w:line="360" w:lineRule="exact"/>
              <w:ind w:left="271" w:hanging="271"/>
              <w:jc w:val="center"/>
              <w:textAlignment w:val="auto"/>
              <w:rPr>
                <w:rFonts w:hint="eastAsia" w:ascii="宋体" w:hAnsi="宋体" w:eastAsia="宋体" w:cs="宋体"/>
                <w:color w:val="auto"/>
                <w:szCs w:val="21"/>
                <w:highlight w:val="none"/>
              </w:rPr>
            </w:pPr>
          </w:p>
        </w:tc>
        <w:tc>
          <w:tcPr>
            <w:tcW w:w="1637" w:type="dxa"/>
            <w:noWrap w:val="0"/>
            <w:vAlign w:val="center"/>
          </w:tcPr>
          <w:p>
            <w:pPr>
              <w:adjustRightIn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预付款</w:t>
            </w:r>
          </w:p>
        </w:tc>
        <w:tc>
          <w:tcPr>
            <w:tcW w:w="7262" w:type="dxa"/>
            <w:noWrap w:val="0"/>
            <w:vAlign w:val="center"/>
          </w:tcPr>
          <w:p>
            <w:pPr>
              <w:spacing w:line="360" w:lineRule="auto"/>
              <w:jc w:val="left"/>
              <w:rPr>
                <w:rFonts w:hint="eastAsia" w:ascii="Calibri" w:hAnsi="Calibri" w:eastAsia="宋体" w:cs="Times New Roman"/>
                <w:color w:val="auto"/>
                <w:highlight w:val="none"/>
              </w:rPr>
            </w:pPr>
            <w:r>
              <w:rPr>
                <w:rFonts w:ascii="Calibri" w:hAnsi="Calibri" w:eastAsia="宋体" w:cs="Times New Roman"/>
                <w:color w:val="auto"/>
                <w:highlight w:val="none"/>
              </w:rPr>
              <w:sym w:font="Wingdings" w:char="00FE"/>
            </w:r>
            <w:r>
              <w:rPr>
                <w:rFonts w:ascii="Calibri" w:hAnsi="Calibri" w:eastAsia="宋体" w:cs="Times New Roman"/>
                <w:color w:val="auto"/>
                <w:highlight w:val="none"/>
              </w:rPr>
              <w:t xml:space="preserve"> </w:t>
            </w:r>
            <w:r>
              <w:rPr>
                <w:rFonts w:hint="eastAsia" w:ascii="Calibri" w:hAnsi="Calibri" w:eastAsia="宋体" w:cs="Times New Roman"/>
                <w:color w:val="auto"/>
                <w:highlight w:val="none"/>
                <w:lang w:val="en-US" w:eastAsia="zh-CN"/>
              </w:rPr>
              <w:t>预付款为本项目采购</w:t>
            </w:r>
            <w:r>
              <w:rPr>
                <w:rFonts w:hint="eastAsia" w:ascii="Calibri" w:hAnsi="Calibri" w:eastAsia="宋体" w:cs="Times New Roman"/>
                <w:color w:val="auto"/>
                <w:highlight w:val="none"/>
              </w:rPr>
              <w:t>合同金额的</w:t>
            </w:r>
            <w:r>
              <w:rPr>
                <w:rFonts w:hint="eastAsia" w:ascii="Calibri" w:hAnsi="Calibri" w:eastAsia="宋体" w:cs="Times New Roman"/>
                <w:color w:val="auto"/>
                <w:highlight w:val="none"/>
                <w:u w:val="single"/>
                <w:lang w:val="en-US" w:eastAsia="zh-CN"/>
              </w:rPr>
              <w:t xml:space="preserve"> 40  </w:t>
            </w:r>
            <w:r>
              <w:rPr>
                <w:rFonts w:hint="eastAsia" w:ascii="Calibri" w:hAnsi="Calibri" w:eastAsia="宋体" w:cs="Times New Roman"/>
                <w:color w:val="auto"/>
                <w:highlight w:val="none"/>
              </w:rPr>
              <w:t>％；</w:t>
            </w:r>
          </w:p>
          <w:p>
            <w:pPr>
              <w:spacing w:line="360" w:lineRule="auto"/>
              <w:jc w:val="left"/>
              <w:rPr>
                <w:rFonts w:hint="eastAsia" w:ascii="Calibri" w:hAnsi="Calibri" w:eastAsia="宋体" w:cs="Times New Roman"/>
                <w:color w:val="auto"/>
                <w:highlight w:val="none"/>
              </w:rPr>
            </w:pPr>
            <w:r>
              <w:rPr>
                <w:rFonts w:ascii="Calibri" w:hAnsi="Calibri" w:eastAsia="宋体" w:cs="Times New Roman"/>
                <w:color w:val="auto"/>
                <w:highlight w:val="none"/>
              </w:rPr>
              <w:sym w:font="Wingdings" w:char="00A8"/>
            </w:r>
            <w:r>
              <w:rPr>
                <w:rFonts w:ascii="Calibri" w:hAnsi="Calibri" w:eastAsia="宋体" w:cs="Times New Roman"/>
                <w:color w:val="auto"/>
                <w:highlight w:val="none"/>
              </w:rPr>
              <w:t xml:space="preserve"> </w:t>
            </w:r>
            <w:r>
              <w:rPr>
                <w:rFonts w:hint="eastAsia" w:ascii="Calibri" w:hAnsi="Calibri" w:eastAsia="宋体" w:cs="Times New Roman"/>
                <w:color w:val="auto"/>
                <w:highlight w:val="none"/>
                <w:lang w:val="en-US" w:eastAsia="zh-CN"/>
              </w:rPr>
              <w:t>本</w:t>
            </w:r>
            <w:r>
              <w:rPr>
                <w:rFonts w:hint="eastAsia" w:ascii="Calibri" w:hAnsi="Calibri" w:eastAsia="宋体" w:cs="Times New Roman"/>
                <w:color w:val="auto"/>
                <w:highlight w:val="none"/>
              </w:rPr>
              <w:t>项目</w:t>
            </w:r>
            <w:r>
              <w:rPr>
                <w:rFonts w:hint="eastAsia" w:ascii="Calibri" w:hAnsi="Calibri" w:eastAsia="宋体" w:cs="Times New Roman"/>
                <w:color w:val="auto"/>
                <w:highlight w:val="none"/>
                <w:lang w:val="en-US" w:eastAsia="zh-CN"/>
              </w:rPr>
              <w:t>为</w:t>
            </w:r>
            <w:r>
              <w:rPr>
                <w:rFonts w:hint="eastAsia" w:ascii="Calibri" w:hAnsi="Calibri" w:eastAsia="宋体" w:cs="Times New Roman"/>
                <w:color w:val="auto"/>
                <w:highlight w:val="none"/>
              </w:rPr>
              <w:t>分年</w:t>
            </w:r>
            <w:r>
              <w:rPr>
                <w:rFonts w:hint="eastAsia" w:ascii="Calibri" w:hAnsi="Calibri" w:eastAsia="宋体" w:cs="Times New Roman"/>
                <w:color w:val="auto"/>
                <w:highlight w:val="none"/>
                <w:lang w:val="en-US" w:eastAsia="zh-CN"/>
              </w:rPr>
              <w:t>度</w:t>
            </w:r>
            <w:r>
              <w:rPr>
                <w:rFonts w:hint="eastAsia" w:ascii="Calibri" w:hAnsi="Calibri" w:eastAsia="宋体" w:cs="Times New Roman"/>
                <w:color w:val="auto"/>
                <w:highlight w:val="none"/>
              </w:rPr>
              <w:t>安排预算，每年预付款为项目年度计划支付资金额的</w:t>
            </w:r>
            <w:r>
              <w:rPr>
                <w:rFonts w:hint="eastAsia" w:ascii="Calibri" w:hAnsi="Calibri" w:eastAsia="宋体" w:cs="Times New Roman"/>
                <w:color w:val="auto"/>
                <w:highlight w:val="none"/>
                <w:u w:val="single"/>
                <w:lang w:val="en-US" w:eastAsia="zh-CN"/>
              </w:rPr>
              <w:t xml:space="preserve">   </w:t>
            </w:r>
            <w:r>
              <w:rPr>
                <w:rFonts w:hint="eastAsia" w:ascii="Calibri" w:hAnsi="Calibri" w:eastAsia="宋体" w:cs="Times New Roman"/>
                <w:color w:val="auto"/>
                <w:highlight w:val="none"/>
              </w:rPr>
              <w:t>％。</w:t>
            </w:r>
          </w:p>
          <w:p>
            <w:pPr>
              <w:spacing w:line="360" w:lineRule="auto"/>
              <w:jc w:val="left"/>
              <w:rPr>
                <w:rFonts w:hint="eastAsia" w:ascii="Calibri" w:hAnsi="Calibri" w:eastAsia="宋体" w:cs="Times New Roman"/>
                <w:color w:val="auto"/>
                <w:highlight w:val="none"/>
                <w:lang w:val="en-US" w:eastAsia="zh-CN"/>
              </w:rPr>
            </w:pPr>
            <w:r>
              <w:rPr>
                <w:rFonts w:ascii="Calibri" w:hAnsi="Calibri" w:eastAsia="宋体" w:cs="Times New Roman"/>
                <w:color w:val="auto"/>
                <w:highlight w:val="none"/>
              </w:rPr>
              <w:sym w:font="Wingdings" w:char="00A8"/>
            </w:r>
            <w:r>
              <w:rPr>
                <w:rFonts w:ascii="Calibri" w:hAnsi="Calibri" w:eastAsia="宋体" w:cs="Times New Roman"/>
                <w:color w:val="auto"/>
                <w:highlight w:val="none"/>
              </w:rPr>
              <w:t xml:space="preserve"> </w:t>
            </w:r>
            <w:r>
              <w:rPr>
                <w:rFonts w:hint="eastAsia" w:ascii="Calibri" w:hAnsi="Calibri" w:eastAsia="宋体" w:cs="Times New Roman"/>
                <w:color w:val="auto"/>
                <w:highlight w:val="none"/>
                <w:lang w:val="en-US" w:eastAsia="zh-CN"/>
              </w:rPr>
              <w:t>本</w:t>
            </w:r>
            <w:r>
              <w:rPr>
                <w:rFonts w:hint="eastAsia" w:ascii="Calibri" w:hAnsi="Calibri" w:eastAsia="宋体" w:cs="Times New Roman"/>
                <w:color w:val="auto"/>
                <w:highlight w:val="none"/>
              </w:rPr>
              <w:t>项目</w:t>
            </w:r>
            <w:r>
              <w:rPr>
                <w:rFonts w:hint="eastAsia" w:ascii="Calibri" w:hAnsi="Calibri" w:eastAsia="宋体" w:cs="Times New Roman"/>
                <w:color w:val="auto"/>
                <w:highlight w:val="none"/>
                <w:lang w:val="en-US" w:eastAsia="zh-CN"/>
              </w:rPr>
              <w:t>为</w:t>
            </w:r>
            <w:r>
              <w:rPr>
                <w:rFonts w:hint="eastAsia" w:ascii="Calibri" w:hAnsi="Calibri" w:eastAsia="宋体" w:cs="Times New Roman"/>
                <w:color w:val="auto"/>
                <w:highlight w:val="none"/>
              </w:rPr>
              <w:t>实施以人工投入为主</w:t>
            </w:r>
            <w:r>
              <w:rPr>
                <w:rFonts w:hint="eastAsia" w:ascii="Calibri" w:hAnsi="Calibri" w:eastAsia="宋体" w:cs="Times New Roman"/>
                <w:color w:val="auto"/>
                <w:highlight w:val="none"/>
                <w:lang w:val="en-US" w:eastAsia="zh-CN"/>
              </w:rPr>
              <w:t>且按月支付，不约定预付款。</w:t>
            </w:r>
          </w:p>
          <w:p>
            <w:pPr>
              <w:pStyle w:val="12"/>
              <w:ind w:left="0" w:leftChars="0"/>
              <w:rPr>
                <w:rFonts w:hint="eastAsia" w:ascii="Calibri" w:hAnsi="Calibri" w:eastAsia="宋体" w:cs="Times New Roman"/>
                <w:color w:val="auto"/>
                <w:highlight w:val="none"/>
                <w:lang w:val="en-US" w:eastAsia="zh-CN"/>
              </w:rPr>
            </w:pPr>
            <w:r>
              <w:rPr>
                <w:rFonts w:ascii="仿宋_GB2312" w:hAnsi="仿宋" w:eastAsia="仿宋_GB2312" w:cs="Arial"/>
                <w:color w:val="auto"/>
                <w:kern w:val="0"/>
                <w:sz w:val="24"/>
                <w:highlight w:val="none"/>
              </w:rPr>
              <w:sym w:font="Wingdings" w:char="00A8"/>
            </w:r>
            <w:r>
              <w:rPr>
                <w:rFonts w:ascii="仿宋_GB2312" w:hAnsi="仿宋" w:eastAsia="仿宋_GB2312" w:cs="Arial"/>
                <w:color w:val="auto"/>
                <w:kern w:val="0"/>
                <w:sz w:val="24"/>
                <w:highlight w:val="none"/>
              </w:rPr>
              <w:t xml:space="preserve"> </w:t>
            </w:r>
            <w:r>
              <w:rPr>
                <w:rFonts w:hint="eastAsia" w:ascii="Calibri" w:hAnsi="Calibri" w:eastAsia="宋体" w:cs="Times New Roman"/>
                <w:color w:val="auto"/>
                <w:highlight w:val="none"/>
                <w:lang w:val="en-US" w:eastAsia="zh-CN"/>
              </w:rPr>
              <w:t>中标供应商如为大型企业，采购人可不约定预付款。</w:t>
            </w:r>
          </w:p>
          <w:p>
            <w:pPr>
              <w:pStyle w:val="12"/>
              <w:ind w:left="0" w:leftChars="0"/>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6" w:hRule="atLeast"/>
          <w:jc w:val="center"/>
        </w:trPr>
        <w:tc>
          <w:tcPr>
            <w:tcW w:w="645" w:type="dxa"/>
            <w:noWrap w:val="0"/>
            <w:vAlign w:val="center"/>
          </w:tcPr>
          <w:p>
            <w:pPr>
              <w:keepNext w:val="0"/>
              <w:keepLines w:val="0"/>
              <w:pageBreakBefore w:val="0"/>
              <w:numPr>
                <w:ilvl w:val="0"/>
                <w:numId w:val="3"/>
              </w:numPr>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7262" w:type="dxa"/>
            <w:noWrap w:val="0"/>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提交投标文件截止之日起</w:t>
            </w:r>
            <w:r>
              <w:rPr>
                <w:rFonts w:hint="eastAsia" w:ascii="宋体" w:hAnsi="宋体" w:eastAsia="宋体" w:cs="宋体"/>
                <w:color w:val="auto"/>
                <w:szCs w:val="21"/>
                <w:highlight w:val="none"/>
                <w:u w:val="single"/>
                <w:lang w:val="en-US" w:eastAsia="zh-CN"/>
              </w:rPr>
              <w:t>90</w:t>
            </w:r>
            <w:r>
              <w:rPr>
                <w:rFonts w:hint="eastAsia" w:ascii="Arial" w:hAnsi="Arial" w:eastAsia="宋体" w:cs="Arial"/>
                <w:color w:val="auto"/>
                <w:szCs w:val="21"/>
                <w:highlight w:val="none"/>
                <w:u w:val="none"/>
                <w:lang w:eastAsia="zh-CN"/>
              </w:rPr>
              <w:t>日</w:t>
            </w:r>
            <w:r>
              <w:rPr>
                <w:rFonts w:hint="eastAsia" w:ascii="宋体" w:hAnsi="宋体" w:eastAsia="宋体" w:cs="宋体"/>
                <w:color w:val="auto"/>
                <w:szCs w:val="21"/>
                <w:highlight w:val="none"/>
              </w:rPr>
              <w:t>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6" w:hRule="atLeast"/>
          <w:jc w:val="center"/>
        </w:trPr>
        <w:tc>
          <w:tcPr>
            <w:tcW w:w="645" w:type="dxa"/>
            <w:noWrap w:val="0"/>
            <w:vAlign w:val="center"/>
          </w:tcPr>
          <w:p>
            <w:pPr>
              <w:keepNext w:val="0"/>
              <w:keepLines w:val="0"/>
              <w:pageBreakBefore w:val="0"/>
              <w:numPr>
                <w:ilvl w:val="0"/>
                <w:numId w:val="3"/>
              </w:numPr>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b w:val="0"/>
                <w:bCs/>
                <w:color w:val="auto"/>
                <w:sz w:val="21"/>
                <w:szCs w:val="21"/>
                <w:highlight w:val="none"/>
              </w:rPr>
              <w:t>开标前答疑会或现场考察</w:t>
            </w:r>
          </w:p>
        </w:tc>
        <w:tc>
          <w:tcPr>
            <w:tcW w:w="7262" w:type="dxa"/>
            <w:noWrap w:val="0"/>
            <w:vAlign w:val="center"/>
          </w:tcPr>
          <w:p>
            <w:pPr>
              <w:spacing w:line="360" w:lineRule="auto"/>
              <w:rPr>
                <w:rFonts w:hint="eastAsia" w:ascii="宋体" w:hAnsi="宋体" w:eastAsia="宋体" w:cs="宋体"/>
                <w:color w:val="auto"/>
                <w:sz w:val="21"/>
                <w:szCs w:val="21"/>
                <w:highlight w:val="none"/>
              </w:rPr>
            </w:pPr>
            <w:r>
              <w:rPr>
                <w:rFonts w:ascii="仿宋_GB2312" w:hAnsi="仿宋" w:eastAsia="仿宋_GB2312" w:cs="Arial"/>
                <w:color w:val="auto"/>
                <w:kern w:val="0"/>
                <w:sz w:val="24"/>
                <w:highlight w:val="none"/>
              </w:rPr>
              <w:sym w:font="Wingdings" w:char="F0FE"/>
            </w:r>
            <w:r>
              <w:rPr>
                <w:rFonts w:ascii="仿宋_GB2312" w:hAnsi="仿宋" w:eastAsia="仿宋_GB2312" w:cs="Arial"/>
                <w:color w:val="auto"/>
                <w:kern w:val="0"/>
                <w:sz w:val="24"/>
                <w:highlight w:val="none"/>
              </w:rPr>
              <w:t>A</w:t>
            </w:r>
            <w:r>
              <w:rPr>
                <w:rFonts w:hint="eastAsia" w:ascii="宋体" w:hAnsi="宋体" w:eastAsia="宋体" w:cs="宋体"/>
                <w:color w:val="auto"/>
                <w:sz w:val="21"/>
                <w:szCs w:val="21"/>
                <w:highlight w:val="none"/>
              </w:rPr>
              <w:t>不组织。</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kern w:val="0"/>
                <w:sz w:val="21"/>
                <w:szCs w:val="21"/>
                <w:highlight w:val="none"/>
              </w:rPr>
              <w:t>☐B组织，</w:t>
            </w: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6" w:hRule="atLeast"/>
          <w:jc w:val="center"/>
        </w:trPr>
        <w:tc>
          <w:tcPr>
            <w:tcW w:w="645" w:type="dxa"/>
            <w:noWrap w:val="0"/>
            <w:vAlign w:val="center"/>
          </w:tcPr>
          <w:p>
            <w:pPr>
              <w:keepNext w:val="0"/>
              <w:keepLines w:val="0"/>
              <w:pageBreakBefore w:val="0"/>
              <w:numPr>
                <w:ilvl w:val="0"/>
                <w:numId w:val="3"/>
              </w:numPr>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b w:val="0"/>
                <w:bCs/>
                <w:color w:val="auto"/>
                <w:sz w:val="21"/>
                <w:szCs w:val="21"/>
                <w:highlight w:val="none"/>
              </w:rPr>
              <w:t>节能产品、环境标志产品</w:t>
            </w:r>
          </w:p>
        </w:tc>
        <w:tc>
          <w:tcPr>
            <w:tcW w:w="7262" w:type="dxa"/>
            <w:noWrap w:val="0"/>
            <w:vAlign w:val="center"/>
          </w:tcPr>
          <w:p>
            <w:pPr>
              <w:snapToGrid w:val="0"/>
              <w:spacing w:line="360" w:lineRule="auto"/>
              <w:ind w:firstLine="420" w:firstLineChars="200"/>
              <w:rPr>
                <w:rFonts w:hint="eastAsia" w:ascii="Calibri" w:hAnsi="Calibri" w:eastAsia="宋体" w:cs="Times New Roman"/>
                <w:color w:val="auto"/>
                <w:highlight w:val="none"/>
              </w:rPr>
            </w:pPr>
            <w:r>
              <w:rPr>
                <w:rFonts w:hint="eastAsia" w:ascii="Calibri" w:hAnsi="Calibri" w:eastAsia="宋体" w:cs="Times New Roman"/>
                <w:color w:val="auto"/>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p>
            <w:pPr>
              <w:snapToGrid w:val="0"/>
              <w:spacing w:line="360" w:lineRule="auto"/>
              <w:ind w:firstLine="420" w:firstLineChars="200"/>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属于强制采购节能产品的，必须提供节能产品认证证书。</w:t>
            </w:r>
          </w:p>
          <w:p>
            <w:pPr>
              <w:pStyle w:val="12"/>
              <w:ind w:left="0" w:leftChars="0" w:firstLine="420" w:firstLineChars="200"/>
              <w:rPr>
                <w:rFonts w:hint="eastAsia" w:ascii="宋体" w:hAnsi="宋体" w:eastAsia="宋体" w:cs="宋体"/>
                <w:color w:val="auto"/>
                <w:szCs w:val="21"/>
                <w:highlight w:val="none"/>
              </w:rPr>
            </w:pPr>
            <w:r>
              <w:rPr>
                <w:rFonts w:hint="eastAsia" w:ascii="Calibri" w:hAnsi="Calibri" w:eastAsia="宋体" w:cs="Times New Roman"/>
                <w:color w:val="auto"/>
                <w:highlight w:val="none"/>
                <w:lang w:val="en-US" w:eastAsia="zh-CN"/>
              </w:rPr>
              <w:t>产品清单：</w:t>
            </w:r>
            <w:r>
              <w:rPr>
                <w:rFonts w:hint="eastAsia" w:ascii="Calibri" w:hAnsi="Calibri" w:eastAsia="宋体" w:cs="Times New Roman"/>
                <w:color w:val="auto"/>
                <w:highlight w:val="none"/>
                <w:u w:val="single"/>
                <w:lang w:val="en-US" w:eastAsia="zh-CN"/>
              </w:rPr>
              <w:t>/</w:t>
            </w:r>
            <w:r>
              <w:rPr>
                <w:rFonts w:hint="eastAsia" w:ascii="Calibri" w:hAnsi="Calibri" w:eastAsia="宋体" w:cs="Times New Roman"/>
                <w:color w:val="auto"/>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83" w:hRule="atLeast"/>
          <w:jc w:val="center"/>
        </w:trPr>
        <w:tc>
          <w:tcPr>
            <w:tcW w:w="645" w:type="dxa"/>
            <w:noWrap w:val="0"/>
            <w:vAlign w:val="center"/>
          </w:tcPr>
          <w:p>
            <w:pPr>
              <w:keepNext w:val="0"/>
              <w:keepLines w:val="0"/>
              <w:pageBreakBefore w:val="0"/>
              <w:numPr>
                <w:ilvl w:val="0"/>
                <w:numId w:val="3"/>
              </w:numPr>
              <w:kinsoku/>
              <w:wordWrap/>
              <w:overflowPunct/>
              <w:topLinePunct w:val="0"/>
              <w:autoSpaceDE/>
              <w:autoSpaceDN/>
              <w:bidi w:val="0"/>
              <w:spacing w:line="240" w:lineRule="auto"/>
              <w:jc w:val="center"/>
              <w:textAlignment w:val="auto"/>
              <w:rPr>
                <w:rFonts w:hint="eastAsia" w:ascii="宋体" w:hAnsi="宋体" w:eastAsia="宋体" w:cs="宋体"/>
                <w:color w:val="auto"/>
                <w:szCs w:val="21"/>
                <w:highlight w:val="none"/>
              </w:rPr>
            </w:pPr>
          </w:p>
        </w:tc>
        <w:tc>
          <w:tcPr>
            <w:tcW w:w="1637" w:type="dxa"/>
            <w:noWrap w:val="0"/>
            <w:vAlign w:val="center"/>
          </w:tcPr>
          <w:p>
            <w:pPr>
              <w:snapToGrid w:val="0"/>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提交投标文件</w:t>
            </w:r>
          </w:p>
          <w:p>
            <w:pPr>
              <w:snapToGrid w:val="0"/>
              <w:spacing w:line="24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截止时间及</w:t>
            </w:r>
          </w:p>
          <w:p>
            <w:pPr>
              <w:snapToGrid w:val="0"/>
              <w:spacing w:line="240" w:lineRule="auto"/>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开标时间</w:t>
            </w:r>
          </w:p>
        </w:tc>
        <w:tc>
          <w:tcPr>
            <w:tcW w:w="7262"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2024年</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eastAsia="zh-CN"/>
              </w:rPr>
              <w:t>月</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eastAsia="zh-CN"/>
              </w:rPr>
              <w:t>日</w:t>
            </w:r>
            <w:r>
              <w:rPr>
                <w:rFonts w:hint="eastAsia" w:ascii="宋体" w:hAnsi="宋体" w:eastAsia="宋体" w:cs="宋体"/>
                <w:bCs/>
                <w:color w:val="auto"/>
                <w:szCs w:val="21"/>
                <w:highlight w:val="none"/>
                <w:lang w:val="en-US" w:eastAsia="zh-CN"/>
              </w:rPr>
              <w:t>09</w:t>
            </w:r>
            <w:r>
              <w:rPr>
                <w:rFonts w:hint="eastAsia" w:ascii="宋体" w:hAnsi="宋体" w:eastAsia="宋体" w:cs="宋体"/>
                <w:bCs/>
                <w:color w:val="auto"/>
                <w:szCs w:val="21"/>
                <w:highlight w:val="none"/>
              </w:rPr>
              <w:t>时</w:t>
            </w:r>
            <w:r>
              <w:rPr>
                <w:rFonts w:hint="eastAsia" w:ascii="宋体" w:hAnsi="宋体" w:eastAsia="宋体" w:cs="宋体"/>
                <w:bCs/>
                <w:color w:val="auto"/>
                <w:szCs w:val="21"/>
                <w:highlight w:val="none"/>
                <w:lang w:val="en-US" w:eastAsia="zh-CN"/>
              </w:rPr>
              <w:t>00</w:t>
            </w:r>
            <w:r>
              <w:rPr>
                <w:rFonts w:hint="eastAsia" w:ascii="宋体" w:hAnsi="宋体" w:eastAsia="宋体" w:cs="宋体"/>
                <w:bCs/>
                <w:color w:val="auto"/>
                <w:szCs w:val="21"/>
                <w:highlight w:val="none"/>
              </w:rPr>
              <w:t>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1" w:hRule="atLeast"/>
          <w:jc w:val="center"/>
        </w:trPr>
        <w:tc>
          <w:tcPr>
            <w:tcW w:w="645" w:type="dxa"/>
            <w:noWrap w:val="0"/>
            <w:vAlign w:val="center"/>
          </w:tcPr>
          <w:p>
            <w:pPr>
              <w:keepNext w:val="0"/>
              <w:keepLines w:val="0"/>
              <w:pageBreakBefore w:val="0"/>
              <w:numPr>
                <w:ilvl w:val="0"/>
                <w:numId w:val="3"/>
              </w:numPr>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keepNext w:val="0"/>
              <w:keepLines w:val="0"/>
              <w:pageBreakBefore w:val="0"/>
              <w:numPr>
                <w:ilvl w:val="0"/>
                <w:numId w:val="0"/>
              </w:numPr>
              <w:kinsoku/>
              <w:wordWrap/>
              <w:overflowPunct/>
              <w:topLinePunct w:val="0"/>
              <w:autoSpaceDE/>
              <w:autoSpaceDN/>
              <w:bidi w:val="0"/>
              <w:spacing w:line="360" w:lineRule="exact"/>
              <w:ind w:left="0" w:leftChars="0" w:firstLine="0" w:firstLineChars="0"/>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解释权</w:t>
            </w:r>
          </w:p>
        </w:tc>
        <w:tc>
          <w:tcPr>
            <w:tcW w:w="7262" w:type="dxa"/>
            <w:noWrap w:val="0"/>
            <w:vAlign w:val="center"/>
          </w:tcPr>
          <w:p>
            <w:pPr>
              <w:keepNext w:val="0"/>
              <w:keepLines w:val="0"/>
              <w:pageBreakBefore w:val="0"/>
              <w:numPr>
                <w:ilvl w:val="0"/>
                <w:numId w:val="0"/>
              </w:numPr>
              <w:kinsoku/>
              <w:wordWrap/>
              <w:overflowPunct/>
              <w:topLinePunct w:val="0"/>
              <w:autoSpaceDE/>
              <w:autoSpaceDN/>
              <w:bidi w:val="0"/>
              <w:spacing w:line="360" w:lineRule="exact"/>
              <w:ind w:left="0" w:leftChars="0" w:firstLine="0" w:firstLineChars="0"/>
              <w:jc w:val="both"/>
              <w:textAlignment w:val="auto"/>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本招标文件的解释权属于招标采购单位。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59" w:hRule="atLeast"/>
          <w:jc w:val="center"/>
        </w:trPr>
        <w:tc>
          <w:tcPr>
            <w:tcW w:w="645" w:type="dxa"/>
            <w:noWrap w:val="0"/>
            <w:vAlign w:val="center"/>
          </w:tcPr>
          <w:p>
            <w:pPr>
              <w:keepNext w:val="0"/>
              <w:keepLines w:val="0"/>
              <w:pageBreakBefore w:val="0"/>
              <w:numPr>
                <w:ilvl w:val="0"/>
                <w:numId w:val="3"/>
              </w:numPr>
              <w:kinsoku/>
              <w:wordWrap/>
              <w:overflowPunct/>
              <w:topLinePunct w:val="0"/>
              <w:autoSpaceDE/>
              <w:autoSpaceDN/>
              <w:bidi w:val="0"/>
              <w:spacing w:line="360" w:lineRule="exact"/>
              <w:jc w:val="center"/>
              <w:textAlignment w:val="auto"/>
              <w:rPr>
                <w:rFonts w:hint="eastAsia" w:ascii="宋体" w:hAnsi="宋体" w:eastAsia="宋体" w:cs="宋体"/>
                <w:color w:val="auto"/>
                <w:szCs w:val="21"/>
                <w:highlight w:val="none"/>
              </w:rPr>
            </w:pPr>
          </w:p>
        </w:tc>
        <w:tc>
          <w:tcPr>
            <w:tcW w:w="1637"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特别说明</w:t>
            </w:r>
          </w:p>
        </w:tc>
        <w:tc>
          <w:tcPr>
            <w:tcW w:w="7262" w:type="dxa"/>
            <w:noWrap w:val="0"/>
            <w:vAlign w:val="center"/>
          </w:tcPr>
          <w:p>
            <w:pPr>
              <w:keepNext w:val="0"/>
              <w:keepLines w:val="0"/>
              <w:pageBreakBefore w:val="0"/>
              <w:widowControl/>
              <w:numPr>
                <w:ilvl w:val="0"/>
                <w:numId w:val="0"/>
              </w:numPr>
              <w:kinsoku/>
              <w:wordWrap/>
              <w:overflowPunct/>
              <w:topLinePunct w:val="0"/>
              <w:autoSpaceDE/>
              <w:autoSpaceDN/>
              <w:bidi w:val="0"/>
              <w:spacing w:line="360" w:lineRule="exact"/>
              <w:ind w:left="0" w:leftChars="0" w:firstLine="0" w:firstLineChars="0"/>
              <w:jc w:val="left"/>
              <w:textAlignment w:val="auto"/>
              <w:rPr>
                <w:rFonts w:hint="eastAsia" w:ascii="宋体" w:hAnsi="宋体" w:eastAsia="宋体" w:cs="宋体"/>
                <w:color w:val="auto"/>
                <w:highlight w:val="none"/>
              </w:rPr>
            </w:pPr>
            <w:r>
              <w:rPr>
                <w:rFonts w:hint="eastAsia" w:ascii="宋体" w:hAnsi="宋体" w:eastAsia="宋体" w:cs="宋体"/>
                <w:b/>
                <w:bCs/>
                <w:strike w:val="0"/>
                <w:dstrike w:val="0"/>
                <w:color w:val="auto"/>
                <w:szCs w:val="21"/>
                <w:highlight w:val="none"/>
                <w:lang w:eastAsia="zh-CN"/>
              </w:rPr>
              <w:t>中标人</w:t>
            </w:r>
            <w:r>
              <w:rPr>
                <w:rFonts w:hint="eastAsia" w:ascii="宋体" w:hAnsi="宋体" w:eastAsia="宋体" w:cs="宋体"/>
                <w:b/>
                <w:bCs/>
                <w:strike w:val="0"/>
                <w:dstrike w:val="0"/>
                <w:color w:val="auto"/>
                <w:szCs w:val="21"/>
                <w:highlight w:val="none"/>
              </w:rPr>
              <w:t>在领取中标通知书时提供全套纸质投标文件</w:t>
            </w:r>
            <w:r>
              <w:rPr>
                <w:rFonts w:hint="eastAsia" w:ascii="宋体" w:hAnsi="宋体" w:eastAsia="宋体" w:cs="宋体"/>
                <w:b/>
                <w:bCs/>
                <w:strike w:val="0"/>
                <w:dstrike w:val="0"/>
                <w:color w:val="auto"/>
                <w:szCs w:val="21"/>
                <w:highlight w:val="none"/>
                <w:lang w:eastAsia="zh-CN"/>
              </w:rPr>
              <w:t>一正三</w:t>
            </w:r>
            <w:r>
              <w:rPr>
                <w:rFonts w:hint="eastAsia" w:ascii="宋体" w:hAnsi="宋体" w:eastAsia="宋体" w:cs="宋体"/>
                <w:b/>
                <w:bCs/>
                <w:strike w:val="0"/>
                <w:dstrike w:val="0"/>
                <w:color w:val="auto"/>
                <w:szCs w:val="21"/>
                <w:highlight w:val="none"/>
              </w:rPr>
              <w:t>副。</w:t>
            </w:r>
          </w:p>
        </w:tc>
      </w:tr>
    </w:tbl>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ascii="宋体" w:hAnsi="宋体" w:eastAsia="宋体" w:cs="宋体"/>
          <w:color w:val="auto"/>
          <w:sz w:val="24"/>
          <w:szCs w:val="24"/>
          <w:highlight w:val="none"/>
        </w:rPr>
      </w:pPr>
      <w:bookmarkStart w:id="9" w:name="_Toc474156085"/>
      <w:r>
        <w:rPr>
          <w:rFonts w:hint="eastAsia" w:ascii="宋体" w:hAnsi="宋体" w:eastAsia="宋体" w:cs="宋体"/>
          <w:b/>
          <w:bCs w:val="0"/>
          <w:color w:val="auto"/>
          <w:sz w:val="32"/>
          <w:szCs w:val="32"/>
          <w:highlight w:val="none"/>
          <w:lang w:val="en-US" w:eastAsia="zh-CN"/>
        </w:rPr>
        <w:br w:type="page"/>
      </w:r>
      <w:bookmarkStart w:id="10" w:name="_Toc2365"/>
      <w:bookmarkStart w:id="11" w:name="_Toc25096"/>
      <w:bookmarkStart w:id="12" w:name="_Toc22795"/>
      <w:r>
        <w:rPr>
          <w:rFonts w:hint="eastAsia" w:ascii="宋体" w:hAnsi="宋体" w:eastAsia="宋体" w:cs="宋体"/>
          <w:b/>
          <w:bCs w:val="0"/>
          <w:color w:val="auto"/>
          <w:sz w:val="28"/>
          <w:szCs w:val="28"/>
          <w:highlight w:val="none"/>
          <w:lang w:val="en-US" w:eastAsia="zh-CN"/>
        </w:rPr>
        <w:t>一、</w:t>
      </w:r>
      <w:r>
        <w:rPr>
          <w:rFonts w:hint="eastAsia" w:ascii="宋体" w:hAnsi="宋体" w:eastAsia="宋体" w:cs="宋体"/>
          <w:b/>
          <w:bCs w:val="0"/>
          <w:color w:val="auto"/>
          <w:sz w:val="28"/>
          <w:szCs w:val="28"/>
          <w:highlight w:val="none"/>
        </w:rPr>
        <w:t>总则</w:t>
      </w:r>
      <w:bookmarkEnd w:id="9"/>
      <w:bookmarkEnd w:id="10"/>
      <w:bookmarkEnd w:id="11"/>
      <w:bookmarkEnd w:id="12"/>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line="360" w:lineRule="auto"/>
        <w:ind w:left="958" w:hanging="850"/>
        <w:textAlignment w:val="auto"/>
        <w:outlineLvl w:val="1"/>
        <w:rPr>
          <w:rFonts w:hint="eastAsia" w:ascii="宋体" w:hAnsi="宋体" w:eastAsia="宋体" w:cs="宋体"/>
          <w:b/>
          <w:color w:val="auto"/>
          <w:sz w:val="24"/>
          <w:szCs w:val="24"/>
          <w:highlight w:val="none"/>
        </w:rPr>
      </w:pPr>
      <w:bookmarkStart w:id="13" w:name="_Toc30875"/>
      <w:bookmarkStart w:id="14" w:name="_Toc20807"/>
      <w:bookmarkStart w:id="15" w:name="_Toc5418"/>
      <w:bookmarkStart w:id="16" w:name="_Toc9681"/>
      <w:bookmarkStart w:id="17" w:name="_Toc20528"/>
      <w:bookmarkStart w:id="18" w:name="_Toc29976"/>
      <w:bookmarkStart w:id="19" w:name="_Toc459125026"/>
      <w:bookmarkStart w:id="20" w:name="_Toc23804"/>
      <w:bookmarkStart w:id="21" w:name="_Toc14011"/>
      <w:bookmarkStart w:id="22" w:name="_Toc454832216"/>
      <w:bookmarkStart w:id="23" w:name="_Toc474156093"/>
      <w:bookmarkStart w:id="24" w:name="_Toc442273881"/>
      <w:bookmarkStart w:id="25" w:name="_Toc416183460"/>
      <w:bookmarkStart w:id="26" w:name="_Toc416183606"/>
      <w:bookmarkStart w:id="27" w:name="_Toc353443071"/>
      <w:bookmarkStart w:id="28" w:name="_Toc397591320"/>
      <w:r>
        <w:rPr>
          <w:rFonts w:hint="eastAsia" w:ascii="宋体" w:hAnsi="宋体" w:eastAsia="宋体" w:cs="宋体"/>
          <w:b/>
          <w:color w:val="auto"/>
          <w:sz w:val="24"/>
          <w:szCs w:val="24"/>
          <w:highlight w:val="none"/>
        </w:rPr>
        <w:t>适用范围</w:t>
      </w:r>
      <w:bookmarkEnd w:id="13"/>
      <w:bookmarkEnd w:id="14"/>
    </w:p>
    <w:p>
      <w:pPr>
        <w:keepNext w:val="0"/>
        <w:keepLines w:val="0"/>
        <w:pageBreakBefore w:val="0"/>
        <w:kinsoku/>
        <w:wordWrap/>
        <w:overflowPunct/>
        <w:topLinePunct w:val="0"/>
        <w:bidi w:val="0"/>
        <w:adjustRightInd/>
        <w:snapToGrid w:val="0"/>
        <w:spacing w:beforeAutospacing="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本招标文件适用于该项目的招标、投标、开标、资格审查及信用信息查询、评标、定标、合同、验收等行为（法律、法规另有规定的，从其规定）。</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line="360" w:lineRule="auto"/>
        <w:ind w:left="958" w:hanging="850"/>
        <w:textAlignment w:val="auto"/>
        <w:outlineLvl w:val="1"/>
        <w:rPr>
          <w:rFonts w:hint="eastAsia" w:ascii="宋体" w:hAnsi="宋体" w:eastAsia="宋体" w:cs="宋体"/>
          <w:b/>
          <w:color w:val="auto"/>
          <w:sz w:val="24"/>
          <w:szCs w:val="24"/>
          <w:highlight w:val="none"/>
        </w:rPr>
      </w:pPr>
      <w:bookmarkStart w:id="29" w:name="_Toc30613"/>
      <w:bookmarkStart w:id="30" w:name="_Toc775"/>
      <w:r>
        <w:rPr>
          <w:rFonts w:hint="eastAsia" w:ascii="宋体" w:hAnsi="宋体" w:eastAsia="宋体" w:cs="宋体"/>
          <w:b/>
          <w:color w:val="auto"/>
          <w:sz w:val="24"/>
          <w:szCs w:val="24"/>
          <w:highlight w:val="none"/>
        </w:rPr>
        <w:t>定义</w:t>
      </w:r>
      <w:bookmarkEnd w:id="29"/>
      <w:bookmarkEnd w:id="30"/>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“采购人”系指招标公告中载明的本项目的采购人。</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”系指招标公告中载明的本项目的采购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color w:val="auto"/>
          <w:kern w:val="0"/>
          <w:sz w:val="21"/>
          <w:szCs w:val="22"/>
          <w:highlight w:val="none"/>
          <w:lang w:val="en-US" w:eastAsia="zh-CN" w:bidi="ar-SA"/>
        </w:rPr>
        <w:t>“招标采购单位”系指</w:t>
      </w:r>
      <w:r>
        <w:rPr>
          <w:rFonts w:hint="eastAsia" w:ascii="宋体" w:hAnsi="宋体" w:eastAsia="宋体" w:cs="宋体"/>
          <w:color w:val="auto"/>
          <w:sz w:val="21"/>
          <w:szCs w:val="21"/>
          <w:highlight w:val="none"/>
        </w:rPr>
        <w:t>组织本次招标的采购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机构和</w:t>
      </w:r>
      <w:r>
        <w:rPr>
          <w:rFonts w:hint="eastAsia" w:ascii="宋体" w:hAnsi="宋体" w:eastAsia="宋体" w:cs="宋体"/>
          <w:color w:val="auto"/>
          <w:sz w:val="21"/>
          <w:szCs w:val="21"/>
          <w:highlight w:val="none"/>
          <w:lang w:val="en-US" w:eastAsia="zh-CN"/>
        </w:rPr>
        <w:t>采购人</w:t>
      </w:r>
      <w:r>
        <w:rPr>
          <w:rFonts w:hint="eastAsia" w:ascii="宋体" w:hAnsi="宋体"/>
          <w:color w:val="auto"/>
          <w:kern w:val="0"/>
          <w:sz w:val="21"/>
          <w:szCs w:val="22"/>
          <w:highlight w:val="none"/>
          <w:lang w:val="en-US" w:eastAsia="zh-CN" w:bidi="ar-SA"/>
        </w:rPr>
        <w:t>。</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“投标人”系指是指响应招标、参加投标竞争的法人、其他组织或者自然人。</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中标人</w:t>
      </w:r>
      <w:r>
        <w:rPr>
          <w:rFonts w:hint="eastAsia" w:ascii="宋体" w:hAnsi="宋体" w:eastAsia="宋体" w:cs="宋体"/>
          <w:color w:val="auto"/>
          <w:highlight w:val="none"/>
          <w:lang w:eastAsia="zh-CN"/>
        </w:rPr>
        <w:t>”</w:t>
      </w:r>
      <w:r>
        <w:rPr>
          <w:rFonts w:hint="eastAsia" w:ascii="宋体" w:hAnsi="宋体" w:eastAsia="宋体" w:cs="宋体"/>
          <w:color w:val="auto"/>
          <w:sz w:val="21"/>
          <w:szCs w:val="21"/>
          <w:highlight w:val="none"/>
        </w:rPr>
        <w:t>系</w:t>
      </w:r>
      <w:r>
        <w:rPr>
          <w:rFonts w:hint="eastAsia" w:ascii="宋体" w:hAnsi="宋体" w:eastAsia="宋体" w:cs="宋体"/>
          <w:color w:val="auto"/>
          <w:highlight w:val="none"/>
        </w:rPr>
        <w:t>指在本次招标中中标的投标人。</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rPr>
        <w:t>评标委员会</w:t>
      </w:r>
      <w:r>
        <w:rPr>
          <w:rFonts w:hint="eastAsia" w:ascii="宋体" w:hAnsi="宋体" w:eastAsia="宋体" w:cs="宋体"/>
          <w:color w:val="auto"/>
          <w:highlight w:val="none"/>
          <w:lang w:eastAsia="zh-CN"/>
        </w:rPr>
        <w:t>”</w:t>
      </w:r>
      <w:r>
        <w:rPr>
          <w:rFonts w:hint="eastAsia" w:ascii="宋体" w:hAnsi="宋体" w:eastAsia="宋体" w:cs="宋体"/>
          <w:color w:val="auto"/>
          <w:sz w:val="21"/>
          <w:szCs w:val="21"/>
          <w:highlight w:val="none"/>
        </w:rPr>
        <w:t>系</w:t>
      </w:r>
      <w:r>
        <w:rPr>
          <w:rFonts w:hint="eastAsia" w:ascii="宋体" w:hAnsi="宋体" w:eastAsia="宋体" w:cs="宋体"/>
          <w:color w:val="auto"/>
          <w:highlight w:val="none"/>
        </w:rPr>
        <w:t>指《中华人民共和国政府采购法》组建的专门负责采购评审工作的临时性机构。</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“负责人”系指法人企业的法定负责人，或其他组织为法律、行政法规规定代表单位行使职权的主要负责人，或自然人本人。</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“电子签名”系指数据电文中以电子形式所含、所附用于识别签名人身份并表明签名人认可其中内容的数据；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公章”系指单位法定名称章。</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“电子交易平台”是指本项目政府采购活动所依托的政府采购云平台（https://www.zcygov.cn/）。</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 系指实质性要求条款，“★”系指重要技术要求条款（如有），“</w:t>
      </w:r>
      <w:r>
        <w:rPr>
          <w:rFonts w:ascii="Wingdings" w:hAnsi="Wingdings" w:eastAsia="仿宋_GB2312" w:cs="Arial"/>
          <w:color w:val="auto"/>
          <w:kern w:val="0"/>
          <w:sz w:val="24"/>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系指适用本项目的要求，“</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 系指不适用本项目的要求。</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sz w:val="21"/>
          <w:szCs w:val="21"/>
          <w:highlight w:val="none"/>
        </w:rPr>
        <w:t>投标人必须对招标文件中以“▲”标识的有关技术和商务条款做出实质性响应，否则其投标无效。</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line="360" w:lineRule="auto"/>
        <w:ind w:left="958" w:hanging="850"/>
        <w:textAlignment w:val="auto"/>
        <w:outlineLvl w:val="1"/>
        <w:rPr>
          <w:rFonts w:hint="eastAsia" w:ascii="宋体" w:hAnsi="宋体" w:eastAsia="宋体" w:cs="宋体"/>
          <w:b/>
          <w:color w:val="auto"/>
          <w:sz w:val="24"/>
          <w:szCs w:val="24"/>
          <w:highlight w:val="none"/>
        </w:rPr>
      </w:pPr>
      <w:bookmarkStart w:id="31" w:name="_Toc21906"/>
      <w:bookmarkStart w:id="32" w:name="_Toc32540"/>
      <w:r>
        <w:rPr>
          <w:rFonts w:hint="eastAsia" w:ascii="宋体" w:hAnsi="宋体" w:eastAsia="宋体" w:cs="宋体"/>
          <w:b/>
          <w:color w:val="auto"/>
          <w:sz w:val="24"/>
          <w:szCs w:val="24"/>
          <w:highlight w:val="none"/>
        </w:rPr>
        <w:t>采购项目需要落实的政府采购政策</w:t>
      </w:r>
      <w:bookmarkEnd w:id="31"/>
      <w:bookmarkEnd w:id="32"/>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本项目原则上采购本国生产的货物、工程和服务，不允许采购进口产品。除非采购人采购进口产品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已经在采购活动开始前向财政部门提出申请并获得财政部门审核同意，且在</w:t>
      </w:r>
      <w:r>
        <w:rPr>
          <w:rFonts w:hint="eastAsia" w:ascii="宋体" w:hAnsi="宋体" w:eastAsia="宋体" w:cs="宋体"/>
          <w:color w:val="auto"/>
          <w:sz w:val="21"/>
          <w:szCs w:val="21"/>
          <w:highlight w:val="none"/>
          <w:lang w:eastAsia="zh-CN"/>
        </w:rPr>
        <w:t>“投标人须知”</w:t>
      </w:r>
      <w:r>
        <w:rPr>
          <w:rFonts w:hint="eastAsia" w:ascii="宋体" w:hAnsi="宋体" w:eastAsia="宋体" w:cs="宋体"/>
          <w:color w:val="auto"/>
          <w:sz w:val="21"/>
          <w:szCs w:val="21"/>
          <w:highlight w:val="none"/>
        </w:rPr>
        <w:t>中明确规定可以采购进口产品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如果因信息不对称等原因，仍有满足需求的国内产品要求参与采购竞争的，采购人、</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不会对其加以限制，仍将按照公平竞争原则实施采购。</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支持绿色发展</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采购人拟采购的产品属于品目清单范围的，采购人及其委托的采购代理机构将依据国家确</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val="0"/>
          <w:bCs w:val="0"/>
          <w:color w:val="auto"/>
          <w:sz w:val="21"/>
          <w:szCs w:val="21"/>
          <w:highlight w:val="none"/>
        </w:rPr>
        <w:t>采购人拟采购的产品属于政府强制采购的节能产品品目清单范围的，投标人未按招标文件要求提供国家确定的认证机构出具的、处于有效期之内的节能产品认证证书的，</w:t>
      </w:r>
      <w:r>
        <w:rPr>
          <w:rFonts w:hint="eastAsia" w:ascii="宋体" w:hAnsi="宋体" w:eastAsia="宋体" w:cs="宋体"/>
          <w:b w:val="0"/>
          <w:bCs w:val="0"/>
          <w:color w:val="auto"/>
          <w:sz w:val="21"/>
          <w:szCs w:val="21"/>
          <w:highlight w:val="none"/>
          <w:lang w:val="en-US" w:eastAsia="zh-CN"/>
        </w:rPr>
        <w:t>其</w:t>
      </w:r>
      <w:r>
        <w:rPr>
          <w:rFonts w:hint="eastAsia" w:ascii="宋体" w:hAnsi="宋体" w:eastAsia="宋体" w:cs="宋体"/>
          <w:b w:val="0"/>
          <w:bCs w:val="0"/>
          <w:color w:val="auto"/>
          <w:sz w:val="21"/>
          <w:szCs w:val="21"/>
          <w:highlight w:val="none"/>
        </w:rPr>
        <w:t>投标无效。</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纳入政府采购管理的修缮、装修类项目采购建材的，鼓励采购单位将绿色建材性能、指标</w:t>
      </w:r>
      <w:r>
        <w:rPr>
          <w:rFonts w:hint="eastAsia" w:ascii="宋体" w:hAnsi="宋体" w:eastAsia="宋体" w:cs="宋体"/>
          <w:color w:val="auto"/>
          <w:sz w:val="21"/>
          <w:szCs w:val="21"/>
          <w:highlight w:val="none"/>
          <w:lang w:val="en-US" w:eastAsia="zh-CN"/>
        </w:rPr>
        <w:t xml:space="preserve">       </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等作为实质性条件纳入采购文件和合同，具体性能指标要求参考相关绿色建材政府采购需求标准。</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为助力打好污染防治攻坚战，推广使用绿色包装，政府采购货物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服务项目中涉及商品包</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支持中小企业发展</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中小企业，是指在中华人民共和国境内依法设立，依据国务院批准的中小企业划分标准确</w:t>
      </w:r>
      <w:r>
        <w:rPr>
          <w:rFonts w:hint="eastAsia" w:ascii="宋体" w:hAnsi="宋体" w:eastAsia="宋体" w:cs="宋体"/>
          <w:color w:val="auto"/>
          <w:sz w:val="21"/>
          <w:szCs w:val="21"/>
          <w:highlight w:val="none"/>
          <w:lang w:val="en-US" w:eastAsia="zh-CN"/>
        </w:rPr>
        <w:t xml:space="preserve"> </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adjustRightInd/>
        <w:spacing w:beforeAutospacing="0" w:line="360" w:lineRule="auto"/>
        <w:ind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符合中小企业划分标准的个体工商户，在政府采购活动中视同中小企业。</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在政府采购活动中，投标人提供的货物、工程或者服务符合下列情形的，享受中小企业扶</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持政策</w:t>
      </w:r>
      <w:r>
        <w:rPr>
          <w:rFonts w:hint="eastAsia" w:ascii="宋体" w:hAnsi="宋体" w:eastAsia="宋体" w:cs="宋体"/>
          <w:color w:val="auto"/>
          <w:kern w:val="0"/>
          <w:sz w:val="21"/>
          <w:szCs w:val="21"/>
          <w:highlight w:val="none"/>
          <w:lang w:eastAsia="zh-CN"/>
        </w:rPr>
        <w:t>。</w:t>
      </w:r>
    </w:p>
    <w:p>
      <w:pPr>
        <w:keepNext w:val="0"/>
        <w:keepLines w:val="0"/>
        <w:pageBreakBefore w:val="0"/>
        <w:numPr>
          <w:ilvl w:val="3"/>
          <w:numId w:val="4"/>
        </w:numPr>
        <w:tabs>
          <w:tab w:val="left" w:pos="840"/>
          <w:tab w:val="clear" w:pos="108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在货物采购项目中，货物由中小企业制造，即货物由中小企业生产且使用该中小企业商号</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或者注册商标；</w:t>
      </w:r>
    </w:p>
    <w:p>
      <w:pPr>
        <w:keepNext w:val="0"/>
        <w:keepLines w:val="0"/>
        <w:pageBreakBefore w:val="0"/>
        <w:numPr>
          <w:ilvl w:val="3"/>
          <w:numId w:val="4"/>
        </w:numPr>
        <w:tabs>
          <w:tab w:val="left" w:pos="840"/>
          <w:tab w:val="clear" w:pos="108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在服务采购项目中，服务由中小企业承接，即提供服务的人员为中小企业依照《中华人民</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firstLine="840" w:firstLineChars="4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共和国劳动合同法》订立劳动合同的从业人员。</w:t>
      </w:r>
    </w:p>
    <w:p>
      <w:pPr>
        <w:keepNext w:val="0"/>
        <w:keepLines w:val="0"/>
        <w:pageBreakBefore w:val="0"/>
        <w:widowControl/>
        <w:kinsoku/>
        <w:wordWrap/>
        <w:overflowPunct/>
        <w:topLinePunct w:val="0"/>
        <w:bidi w:val="0"/>
        <w:adjustRightInd/>
        <w:spacing w:beforeAutospacing="0" w:line="360" w:lineRule="auto"/>
        <w:ind w:firstLine="840" w:firstLineChars="4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在货物采购项目中，投标人提供的货物既有中小企业制造货物，也有大型企业制造货物的，</w:t>
      </w:r>
    </w:p>
    <w:p>
      <w:pPr>
        <w:keepNext w:val="0"/>
        <w:keepLines w:val="0"/>
        <w:pageBreakBefore w:val="0"/>
        <w:widowControl/>
        <w:kinsoku/>
        <w:wordWrap/>
        <w:overflowPunct/>
        <w:topLinePunct w:val="0"/>
        <w:bidi w:val="0"/>
        <w:adjustRightInd/>
        <w:spacing w:beforeAutospacing="0" w:line="360" w:lineRule="auto"/>
        <w:ind w:firstLine="840" w:firstLineChars="4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不享受中小企业扶持政策。</w:t>
      </w:r>
    </w:p>
    <w:p>
      <w:pPr>
        <w:keepNext w:val="0"/>
        <w:keepLines w:val="0"/>
        <w:pageBreakBefore w:val="0"/>
        <w:widowControl/>
        <w:kinsoku/>
        <w:wordWrap/>
        <w:overflowPunct/>
        <w:topLinePunct w:val="0"/>
        <w:bidi w:val="0"/>
        <w:adjustRightInd/>
        <w:spacing w:beforeAutospacing="0" w:line="360" w:lineRule="auto"/>
        <w:ind w:firstLine="840" w:firstLineChars="4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以联合体形式参加政府采购活动，联合体各方均为中小企业的，联合体视同中小企业。其</w:t>
      </w:r>
    </w:p>
    <w:p>
      <w:pPr>
        <w:keepNext w:val="0"/>
        <w:keepLines w:val="0"/>
        <w:pageBreakBefore w:val="0"/>
        <w:widowControl/>
        <w:kinsoku/>
        <w:wordWrap/>
        <w:overflowPunct/>
        <w:topLinePunct w:val="0"/>
        <w:bidi w:val="0"/>
        <w:adjustRightInd/>
        <w:spacing w:beforeAutospacing="0" w:line="360" w:lineRule="auto"/>
        <w:ind w:firstLine="840" w:firstLineChars="4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中，联合体各方均为小微企业的，联合体视同小微企业。</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对于未预留份额专门面向中小企业的政府采购货物或服务项目，以及预留份额政府采购货</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物或服务项目中的非预留部分标项，对小型和微型企业的投标报价给予</w:t>
      </w:r>
      <w:r>
        <w:rPr>
          <w:rFonts w:hint="eastAsia" w:ascii="宋体" w:hAnsi="宋体"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符合《关于促进残疾人就业政府采购政策的通知》（财库〔2017〕141号）规定的条件并</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提供《残疾人福利性单位声明函》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格式见第六部分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的残疾人福利性单位视同小型、微</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型企业；</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符合《关于政府采购支持监狱企业发展有关问题的通知》（财库[2014]68号）规定的监狱</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企业并提供由省级以上监狱管理局、戒毒管理局（含新疆生产建设兵团）出具的属于监狱企业证明文件的，视同为小型、微型企业。</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监狱企业、残疾人福利性单位视同小型、微型企业的，享受价格扣除。监狱企业、残疾人</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福利性单位属于小型、微型企业的，不重复享受政策。</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可享受中小企业扶持政策的投标人应按照招标文件格式要求提供《中小企业声明函》</w:t>
      </w:r>
      <w:r>
        <w:rPr>
          <w:rFonts w:hint="eastAsia" w:ascii="宋体" w:hAnsi="宋体" w:eastAsia="宋体" w:cs="宋体"/>
          <w:color w:val="auto"/>
          <w:sz w:val="21"/>
          <w:szCs w:val="21"/>
          <w:highlight w:val="none"/>
          <w:lang w:eastAsia="zh-CN"/>
        </w:rPr>
        <w:t>。</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中小企业享受扶持政策获得政府采购合同的，小微企业不得将合同分包给大中型企业，中</w:t>
      </w:r>
      <w:r>
        <w:rPr>
          <w:rFonts w:hint="eastAsia" w:ascii="宋体" w:hAnsi="宋体" w:eastAsia="宋体" w:cs="宋体"/>
          <w:color w:val="auto"/>
          <w:sz w:val="21"/>
          <w:szCs w:val="21"/>
          <w:highlight w:val="none"/>
          <w:lang w:val="en-US" w:eastAsia="zh-CN"/>
        </w:rPr>
        <w:t xml:space="preserve">  </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型企业不得将合同分包给大型企业。</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支持创新发展</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采购人优先采购被认定为首台套产品和“制造精品”的自主创新产品。</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对省级以上主管部门认定的首台套产品，自纳入《省推广应用指导目录》起</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年内，以及</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产品核心技术高于国内领先水平，并具有明晰自主知识产权的“制造精品”产品，自认定之日起2年内</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视同已具备相应销售业绩，参加政府采购活动时业绩分值为满分。</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平等对待内外资企业和符合条件的破产重整企业</w:t>
      </w:r>
    </w:p>
    <w:p>
      <w:pPr>
        <w:keepNext w:val="0"/>
        <w:keepLines w:val="0"/>
        <w:pageBreakBefore w:val="0"/>
        <w:kinsoku/>
        <w:wordWrap/>
        <w:overflowPunct/>
        <w:topLinePunct w:val="0"/>
        <w:bidi w:val="0"/>
        <w:adjustRightInd/>
        <w:spacing w:beforeAutospacing="0" w:line="360" w:lineRule="auto"/>
        <w:ind w:left="840" w:leftChars="4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平等对待内外资企业和符合条件的破产重整企业，切实保障企业公平竞争，平等维护企业的合法利益。</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支持中小企业信用融资</w:t>
      </w:r>
    </w:p>
    <w:p>
      <w:pPr>
        <w:keepNext w:val="0"/>
        <w:keepLines w:val="0"/>
        <w:pageBreakBefore w:val="0"/>
        <w:kinsoku/>
        <w:wordWrap/>
        <w:overflowPunct/>
        <w:topLinePunct w:val="0"/>
        <w:autoSpaceDE w:val="0"/>
        <w:autoSpaceDN w:val="0"/>
        <w:bidi w:val="0"/>
        <w:adjustRightInd/>
        <w:spacing w:beforeAutospacing="0" w:line="360" w:lineRule="auto"/>
        <w:ind w:left="840" w:leftChars="400"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为支持和促进中小企业发展，进一步发挥政府采购政策功能，温州市财政局出台了《温州</w:t>
      </w:r>
    </w:p>
    <w:p>
      <w:pPr>
        <w:keepNext w:val="0"/>
        <w:keepLines w:val="0"/>
        <w:pageBreakBefore w:val="0"/>
        <w:kinsoku/>
        <w:wordWrap/>
        <w:overflowPunct/>
        <w:topLinePunct w:val="0"/>
        <w:autoSpaceDE w:val="0"/>
        <w:autoSpaceDN w:val="0"/>
        <w:bidi w:val="0"/>
        <w:adjustRightInd/>
        <w:spacing w:beforeAutospacing="0" w:line="360" w:lineRule="auto"/>
        <w:ind w:left="840" w:leftChars="400"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市财政局关于温州市政府采购支持中小企业信用融资的通知》（温财采〔2020〕3号），</w:t>
      </w:r>
    </w:p>
    <w:p>
      <w:pPr>
        <w:keepNext w:val="0"/>
        <w:keepLines w:val="0"/>
        <w:pageBreakBefore w:val="0"/>
        <w:kinsoku/>
        <w:wordWrap/>
        <w:overflowPunct/>
        <w:topLinePunct w:val="0"/>
        <w:autoSpaceDE w:val="0"/>
        <w:autoSpaceDN w:val="0"/>
        <w:bidi w:val="0"/>
        <w:adjustRightInd/>
        <w:spacing w:beforeAutospacing="0" w:line="360" w:lineRule="auto"/>
        <w:ind w:left="840" w:leftChars="400"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供应商若有融资意向，可直接登录http://jinrong.zcygov.cn，查看信用融资政策文件</w:t>
      </w:r>
    </w:p>
    <w:p>
      <w:pPr>
        <w:keepNext w:val="0"/>
        <w:keepLines w:val="0"/>
        <w:pageBreakBefore w:val="0"/>
        <w:kinsoku/>
        <w:wordWrap/>
        <w:overflowPunct/>
        <w:topLinePunct w:val="0"/>
        <w:autoSpaceDE w:val="0"/>
        <w:autoSpaceDN w:val="0"/>
        <w:bidi w:val="0"/>
        <w:adjustRightInd/>
        <w:spacing w:beforeAutospacing="0" w:line="360" w:lineRule="auto"/>
        <w:ind w:left="840" w:leftChars="400" w:firstLine="0" w:firstLineChars="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及各相关银行服务方案，也可直接向各银行咨询相关业务。</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line="360" w:lineRule="auto"/>
        <w:ind w:left="958" w:hanging="850"/>
        <w:textAlignment w:val="auto"/>
        <w:outlineLvl w:val="1"/>
        <w:rPr>
          <w:rFonts w:hint="eastAsia" w:ascii="宋体" w:hAnsi="宋体" w:eastAsia="宋体" w:cs="宋体"/>
          <w:b/>
          <w:color w:val="auto"/>
          <w:sz w:val="24"/>
          <w:szCs w:val="24"/>
          <w:highlight w:val="none"/>
        </w:rPr>
      </w:pPr>
      <w:bookmarkStart w:id="33" w:name="_Toc3851"/>
      <w:bookmarkStart w:id="34" w:name="_Toc2579"/>
      <w:r>
        <w:rPr>
          <w:rFonts w:hint="eastAsia" w:ascii="宋体" w:hAnsi="宋体" w:eastAsia="宋体" w:cs="宋体"/>
          <w:b/>
          <w:color w:val="auto"/>
          <w:sz w:val="24"/>
          <w:szCs w:val="24"/>
          <w:highlight w:val="none"/>
        </w:rPr>
        <w:t>询问、质疑、投诉</w:t>
      </w:r>
      <w:bookmarkEnd w:id="33"/>
      <w:bookmarkEnd w:id="34"/>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供应商询问</w:t>
      </w:r>
    </w:p>
    <w:p>
      <w:pPr>
        <w:keepNext w:val="0"/>
        <w:keepLines w:val="0"/>
        <w:pageBreakBefore w:val="0"/>
        <w:kinsoku/>
        <w:wordWrap/>
        <w:overflowPunct/>
        <w:topLinePunct w:val="0"/>
        <w:autoSpaceDE w:val="0"/>
        <w:autoSpaceDN w:val="0"/>
        <w:bidi w:val="0"/>
        <w:adjustRightInd/>
        <w:spacing w:beforeAutospacing="0" w:line="360" w:lineRule="auto"/>
        <w:ind w:left="840" w:leftChars="400" w:firstLine="0" w:firstLineChars="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供应商质疑</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提出质疑的供应商应当是参与所质疑项目采购活动的供应商。潜在供应商已依法获取其可</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质疑的招标文件的，可以对该文件提出质疑。</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供应商认为招标文件、采购过程和中标结果使自己的权益受到损害的，可以在知道或者应</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知其权益受到损害之日起七个工作日内，以书面形式向采购人或者</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提出质疑，否则，采购人或者</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不予受理</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lang w:eastAsia="zh-CN"/>
        </w:rPr>
        <w:t>供应商在法定质疑期内必须一次性提出针对</w:t>
      </w:r>
      <w:r>
        <w:rPr>
          <w:rFonts w:hint="eastAsia" w:ascii="宋体" w:hAnsi="宋体" w:eastAsia="宋体" w:cs="宋体"/>
          <w:b/>
          <w:bCs/>
          <w:color w:val="auto"/>
          <w:sz w:val="21"/>
          <w:szCs w:val="21"/>
          <w:highlight w:val="none"/>
        </w:rPr>
        <w:t>同一采购程序环节的质疑。</w:t>
      </w:r>
    </w:p>
    <w:p>
      <w:pPr>
        <w:keepNext w:val="0"/>
        <w:keepLines w:val="0"/>
        <w:pageBreakBefore w:val="0"/>
        <w:numPr>
          <w:ilvl w:val="3"/>
          <w:numId w:val="4"/>
        </w:numPr>
        <w:tabs>
          <w:tab w:val="left" w:pos="840"/>
          <w:tab w:val="clear" w:pos="108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对招标文件提出质疑的，质疑期限为供应商获得招标文件之日或者招标文件公告期限届满</w:t>
      </w:r>
      <w:r>
        <w:rPr>
          <w:rFonts w:hint="eastAsia" w:ascii="宋体" w:hAnsi="宋体" w:eastAsia="宋体" w:cs="宋体"/>
          <w:snapToGrid/>
          <w:color w:val="auto"/>
          <w:kern w:val="2"/>
          <w:sz w:val="21"/>
          <w:szCs w:val="21"/>
          <w:highlight w:val="none"/>
          <w:lang w:val="en-US" w:eastAsia="zh-CN"/>
        </w:rPr>
        <w:t xml:space="preserve"> </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之日起计算</w:t>
      </w:r>
      <w:r>
        <w:rPr>
          <w:rFonts w:hint="eastAsia" w:ascii="宋体" w:hAnsi="宋体" w:eastAsia="宋体" w:cs="宋体"/>
          <w:snapToGrid/>
          <w:color w:val="auto"/>
          <w:kern w:val="2"/>
          <w:sz w:val="21"/>
          <w:szCs w:val="21"/>
          <w:highlight w:val="none"/>
          <w:lang w:eastAsia="zh-CN"/>
        </w:rPr>
        <w:t>（</w:t>
      </w:r>
      <w:r>
        <w:rPr>
          <w:rFonts w:hint="eastAsia" w:ascii="宋体" w:hAnsi="宋体" w:eastAsia="宋体" w:cs="宋体"/>
          <w:color w:val="auto"/>
          <w:sz w:val="21"/>
          <w:szCs w:val="21"/>
          <w:highlight w:val="none"/>
        </w:rPr>
        <w:t>公告期限届满后获取招标文件的，以公告期限届满之日为准</w:t>
      </w:r>
      <w:r>
        <w:rPr>
          <w:rFonts w:hint="eastAsia" w:ascii="宋体" w:hAnsi="宋体" w:eastAsia="宋体" w:cs="宋体"/>
          <w:snapToGrid/>
          <w:color w:val="auto"/>
          <w:kern w:val="2"/>
          <w:sz w:val="21"/>
          <w:szCs w:val="21"/>
          <w:highlight w:val="none"/>
          <w:lang w:eastAsia="zh-CN"/>
        </w:rPr>
        <w:t>）</w:t>
      </w:r>
      <w:r>
        <w:rPr>
          <w:rFonts w:hint="eastAsia" w:ascii="宋体" w:hAnsi="宋体" w:eastAsia="宋体" w:cs="宋体"/>
          <w:snapToGrid/>
          <w:color w:val="auto"/>
          <w:kern w:val="2"/>
          <w:sz w:val="21"/>
          <w:szCs w:val="21"/>
          <w:highlight w:val="none"/>
        </w:rPr>
        <w:t>。</w:t>
      </w:r>
    </w:p>
    <w:p>
      <w:pPr>
        <w:keepNext w:val="0"/>
        <w:keepLines w:val="0"/>
        <w:pageBreakBefore w:val="0"/>
        <w:numPr>
          <w:ilvl w:val="3"/>
          <w:numId w:val="4"/>
        </w:numPr>
        <w:tabs>
          <w:tab w:val="left" w:pos="840"/>
          <w:tab w:val="clear" w:pos="108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对采购过程提出质疑的，质疑期限为各采购程序环节结束之日起计算。</w:t>
      </w:r>
    </w:p>
    <w:p>
      <w:pPr>
        <w:keepNext w:val="0"/>
        <w:keepLines w:val="0"/>
        <w:pageBreakBefore w:val="0"/>
        <w:numPr>
          <w:ilvl w:val="3"/>
          <w:numId w:val="4"/>
        </w:numPr>
        <w:tabs>
          <w:tab w:val="left" w:pos="840"/>
          <w:tab w:val="clear" w:pos="108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对采购结果提出质疑的，质疑期限自采购结果公告期限届满之日起计算。</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rPr>
        <w:t>供应商提出质疑应当提交质疑函和必要的证明材料。</w:t>
      </w:r>
    </w:p>
    <w:p>
      <w:pPr>
        <w:pStyle w:val="146"/>
        <w:keepNext w:val="0"/>
        <w:keepLines w:val="0"/>
        <w:pageBreakBefore w:val="0"/>
        <w:shd w:val="clear" w:color="auto" w:fill="FFFFFF"/>
        <w:kinsoku/>
        <w:wordWrap/>
        <w:overflowPunct/>
        <w:topLinePunct w:val="0"/>
        <w:bidi w:val="0"/>
        <w:adjustRightInd/>
        <w:snapToGrid w:val="0"/>
        <w:spacing w:before="0" w:beforeAutospacing="0" w:after="0" w:afterAutospacing="0" w:line="360" w:lineRule="auto"/>
        <w:ind w:left="840" w:leftChars="400" w:firstLine="0" w:firstLineChars="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供应商提交的质疑函需一式三份。供应商为自然人的，应当由本人签字；供应商为法人或者其他组织的，应当由法定代表人、主要负责人，或者其授权代表签字或者盖章，并加盖公章。</w:t>
      </w:r>
    </w:p>
    <w:p>
      <w:pPr>
        <w:pStyle w:val="146"/>
        <w:keepNext w:val="0"/>
        <w:keepLines w:val="0"/>
        <w:pageBreakBefore w:val="0"/>
        <w:shd w:val="clear" w:color="auto" w:fill="FFFFFF"/>
        <w:kinsoku/>
        <w:wordWrap/>
        <w:overflowPunct/>
        <w:topLinePunct w:val="0"/>
        <w:bidi w:val="0"/>
        <w:adjustRightInd/>
        <w:snapToGrid w:val="0"/>
        <w:spacing w:before="0" w:beforeAutospacing="0" w:after="0" w:afterAutospacing="0" w:line="360" w:lineRule="auto"/>
        <w:ind w:firstLine="819" w:firstLineChars="39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质疑函范本及制作说明详见附件</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采购人或者</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应当在收到供应商的书面质疑后</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个工作日内作出答复，并以书</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面形式通知质疑供应商和其他有关供应商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但答复的内容不得涉及商业秘密。</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质疑事项可能影响采购结果的，采购人应当暂停签订合同，已经签订合同的，应当中止履</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Chars="0" w:firstLine="840" w:firstLineChars="4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行合同。</w:t>
      </w:r>
    </w:p>
    <w:p>
      <w:pPr>
        <w:keepNext w:val="0"/>
        <w:keepLines w:val="0"/>
        <w:pageBreakBefore w:val="0"/>
        <w:numPr>
          <w:ilvl w:val="1"/>
          <w:numId w:val="4"/>
        </w:numPr>
        <w:kinsoku/>
        <w:wordWrap/>
        <w:overflowPunct/>
        <w:topLinePunct w:val="0"/>
        <w:autoSpaceDE/>
        <w:autoSpaceDN/>
        <w:bidi w:val="0"/>
        <w:adjustRightInd/>
        <w:snapToGrid w:val="0"/>
        <w:spacing w:beforeAutospacing="0" w:line="360"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供应商投诉</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质疑供应商对采购人、</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的答复不满意或者采购人、</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未在规定的</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时间内作出答复的，可以在答复期满后</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个工作日内向同级政府采购监督管理部门提出投诉。</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供应商投诉的事项不得超出已质疑事项的范围，基于质疑答复内容提出的投诉事项除外。</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供应商投诉应当有明确的请求和必要的证明材料。</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以联合体形式参加政府采购活动的，其投诉应当由组成联合体的所有供应商共同提出。</w:t>
      </w:r>
    </w:p>
    <w:p>
      <w:pPr>
        <w:keepNext w:val="0"/>
        <w:keepLines w:val="0"/>
        <w:pageBreakBefore w:val="0"/>
        <w:numPr>
          <w:ilvl w:val="2"/>
          <w:numId w:val="4"/>
        </w:numPr>
        <w:tabs>
          <w:tab w:val="left" w:pos="840"/>
          <w:tab w:val="clear" w:pos="720"/>
        </w:tabs>
        <w:kinsoku/>
        <w:wordWrap/>
        <w:overflowPunct/>
        <w:topLinePunct w:val="0"/>
        <w:autoSpaceDE/>
        <w:autoSpaceDN/>
        <w:bidi w:val="0"/>
        <w:adjustRightInd/>
        <w:snapToGrid w:val="0"/>
        <w:spacing w:beforeAutospacing="0" w:line="360" w:lineRule="auto"/>
        <w:ind w:left="420" w:leftChars="0" w:hanging="42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投诉人</w:t>
      </w:r>
      <w:r>
        <w:rPr>
          <w:rFonts w:hint="eastAsia" w:ascii="宋体" w:hAnsi="宋体" w:eastAsia="宋体" w:cs="宋体"/>
          <w:color w:val="auto"/>
          <w:sz w:val="21"/>
          <w:szCs w:val="21"/>
          <w:highlight w:val="none"/>
        </w:rPr>
        <w:t>投诉时，应当提交投诉书和必要的证明材料，并按照被投诉采购人、采购代理机构</w:t>
      </w:r>
    </w:p>
    <w:p>
      <w:pPr>
        <w:keepNext w:val="0"/>
        <w:keepLines w:val="0"/>
        <w:pageBreakBefore w:val="0"/>
        <w:numPr>
          <w:ilvl w:val="0"/>
          <w:numId w:val="0"/>
        </w:numPr>
        <w:tabs>
          <w:tab w:val="left" w:pos="840"/>
        </w:tabs>
        <w:kinsoku/>
        <w:wordWrap/>
        <w:overflowPunct/>
        <w:topLinePunct w:val="0"/>
        <w:autoSpaceDE/>
        <w:autoSpaceDN/>
        <w:bidi w:val="0"/>
        <w:adjustRightInd/>
        <w:snapToGrid w:val="0"/>
        <w:spacing w:beforeAutospacing="0" w:line="360" w:lineRule="auto"/>
        <w:ind w:left="840" w:leftChars="40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和与投诉事项有关的供应商数量提供投诉书的副本。投诉人为自然人的，应当由本人签字；投诉人为法人或者其他组织的，应当由法定代表人、主要负责人，或者其授权代表签字或者盖章，并加盖公章。</w:t>
      </w:r>
    </w:p>
    <w:p>
      <w:pPr>
        <w:pStyle w:val="146"/>
        <w:keepNext w:val="0"/>
        <w:keepLines w:val="0"/>
        <w:pageBreakBefore w:val="0"/>
        <w:shd w:val="clear" w:color="auto" w:fill="FFFFFF"/>
        <w:kinsoku/>
        <w:wordWrap/>
        <w:overflowPunct/>
        <w:topLinePunct w:val="0"/>
        <w:bidi w:val="0"/>
        <w:adjustRightInd/>
        <w:snapToGrid w:val="0"/>
        <w:spacing w:before="0" w:beforeAutospacing="0" w:after="0" w:afterAutospacing="0" w:line="360" w:lineRule="auto"/>
        <w:ind w:firstLine="819" w:firstLineChars="390"/>
        <w:contextualSpacing/>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1"/>
          <w:szCs w:val="21"/>
          <w:highlight w:val="none"/>
        </w:rPr>
        <w:t>投诉书范本及制作说明详见附件</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ascii="宋体" w:hAnsi="宋体" w:eastAsia="宋体" w:cs="宋体"/>
          <w:b/>
          <w:color w:val="auto"/>
          <w:sz w:val="28"/>
          <w:szCs w:val="28"/>
          <w:highlight w:val="none"/>
        </w:rPr>
      </w:pPr>
      <w:bookmarkStart w:id="35" w:name="_Toc8495"/>
      <w:bookmarkStart w:id="36" w:name="_Toc31686"/>
      <w:bookmarkStart w:id="37" w:name="_Toc4601"/>
      <w:r>
        <w:rPr>
          <w:rFonts w:hint="eastAsia" w:ascii="宋体" w:hAnsi="宋体" w:eastAsia="宋体" w:cs="宋体"/>
          <w:b/>
          <w:color w:val="auto"/>
          <w:sz w:val="28"/>
          <w:szCs w:val="28"/>
          <w:highlight w:val="none"/>
        </w:rPr>
        <w:t>二、招标文件的构成、澄清、修改</w:t>
      </w:r>
      <w:bookmarkEnd w:id="35"/>
      <w:bookmarkEnd w:id="36"/>
      <w:bookmarkEnd w:id="37"/>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38" w:name="_Toc28627"/>
      <w:bookmarkStart w:id="39" w:name="_Toc19604"/>
      <w:r>
        <w:rPr>
          <w:rFonts w:hint="eastAsia" w:ascii="宋体" w:hAnsi="宋体" w:eastAsia="宋体" w:cs="宋体"/>
          <w:b/>
          <w:color w:val="auto"/>
          <w:sz w:val="24"/>
          <w:szCs w:val="24"/>
          <w:highlight w:val="none"/>
        </w:rPr>
        <w:t>招标文件的构成</w:t>
      </w:r>
      <w:bookmarkEnd w:id="38"/>
      <w:bookmarkEnd w:id="39"/>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招标文件包括下列文件及附件：</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招标公告；</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投标人须知；</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拟签订的合同文本；</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应提交的有关格式范例。</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与本项目有关的</w:t>
      </w:r>
      <w:r>
        <w:rPr>
          <w:rFonts w:hint="eastAsia" w:ascii="宋体" w:hAnsi="宋体" w:eastAsia="宋体" w:cs="宋体"/>
          <w:bCs/>
          <w:color w:val="auto"/>
          <w:sz w:val="21"/>
          <w:szCs w:val="21"/>
          <w:highlight w:val="none"/>
        </w:rPr>
        <w:t>澄清或者修改的内容为招标文件的组成部分</w:t>
      </w:r>
      <w:r>
        <w:rPr>
          <w:rFonts w:hint="eastAsia" w:ascii="宋体" w:hAnsi="宋体" w:eastAsia="宋体" w:cs="宋体"/>
          <w:color w:val="auto"/>
          <w:sz w:val="21"/>
          <w:szCs w:val="21"/>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40" w:name="_Toc32715"/>
      <w:bookmarkStart w:id="41" w:name="_Toc5086"/>
      <w:r>
        <w:rPr>
          <w:rFonts w:hint="eastAsia" w:ascii="宋体" w:hAnsi="宋体" w:eastAsia="宋体" w:cs="宋体"/>
          <w:b/>
          <w:color w:val="auto"/>
          <w:sz w:val="24"/>
          <w:szCs w:val="24"/>
          <w:highlight w:val="none"/>
        </w:rPr>
        <w:t>招标文件的澄清、修改</w:t>
      </w:r>
      <w:bookmarkEnd w:id="40"/>
      <w:bookmarkEnd w:id="41"/>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已获取招标文件的潜在投标人，若有问题需要</w:t>
      </w:r>
      <w:r>
        <w:rPr>
          <w:rFonts w:hint="eastAsia" w:ascii="宋体" w:hAnsi="宋体" w:eastAsia="宋体" w:cs="宋体"/>
          <w:color w:val="auto"/>
          <w:sz w:val="21"/>
          <w:szCs w:val="21"/>
          <w:highlight w:val="none"/>
          <w:lang w:val="en-US" w:eastAsia="zh-CN"/>
        </w:rPr>
        <w:t>采购人或采购代理机构</w:t>
      </w:r>
      <w:r>
        <w:rPr>
          <w:rFonts w:hint="eastAsia" w:ascii="宋体" w:hAnsi="宋体" w:eastAsia="宋体" w:cs="宋体"/>
          <w:color w:val="auto"/>
          <w:sz w:val="21"/>
          <w:szCs w:val="21"/>
          <w:highlight w:val="none"/>
        </w:rPr>
        <w:t>澄清，应于投标截止时间前，以书面形式向</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提出。</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采购人或者采购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机构可以对已发出的招标文件进行必要的澄清或者修改，但不得改变采购标的和资格条件。</w:t>
      </w:r>
      <w:r>
        <w:rPr>
          <w:rFonts w:hint="eastAsia" w:ascii="宋体" w:hAnsi="宋体" w:eastAsia="宋体" w:cs="宋体"/>
          <w:color w:val="auto"/>
          <w:sz w:val="21"/>
          <w:szCs w:val="21"/>
          <w:highlight w:val="none"/>
          <w:lang w:val="en-US" w:eastAsia="zh-CN"/>
        </w:rPr>
        <w:t>采购人或</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对招标文件进行澄清或修改的，将同时通过电子交易平台通知已获取招标文件的潜在投标人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澄清或者修改的内容为招标文件的组成部分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当招标文件与招标文件的答复、澄清、修改、补充通知就同一内容的表述不一致时，以最后发出的更正（澄清）公告为准。</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澄清或者修改的内容可能影响投标文件编制的，采购人或者采购代理机构构应当在投标截止时间至少15日前，以更正（澄清）公告形式通知所有获取招标文件的潜在投标人，并对其具有约束力；不足15日的，采购人或者采购</w:t>
      </w:r>
      <w:r>
        <w:rPr>
          <w:rFonts w:hint="eastAsia" w:ascii="宋体" w:hAnsi="宋体" w:eastAsia="宋体" w:cs="宋体"/>
          <w:color w:val="auto"/>
          <w:sz w:val="21"/>
          <w:szCs w:val="21"/>
          <w:highlight w:val="none"/>
          <w:lang w:val="en-US" w:eastAsia="zh-CN"/>
        </w:rPr>
        <w:t>代理</w:t>
      </w:r>
      <w:r>
        <w:rPr>
          <w:rFonts w:hint="eastAsia" w:ascii="宋体" w:hAnsi="宋体" w:eastAsia="宋体" w:cs="宋体"/>
          <w:color w:val="auto"/>
          <w:sz w:val="21"/>
          <w:szCs w:val="21"/>
          <w:highlight w:val="none"/>
        </w:rPr>
        <w:t>机构应当顺延提交投标文件的截止时间。投标人应及时关注浙江政府采购网上该项目的公告信息</w:t>
      </w:r>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ascii="宋体" w:hAnsi="宋体" w:eastAsia="宋体" w:cs="宋体"/>
          <w:b/>
          <w:color w:val="auto"/>
          <w:sz w:val="28"/>
          <w:szCs w:val="28"/>
          <w:highlight w:val="none"/>
        </w:rPr>
      </w:pPr>
      <w:bookmarkStart w:id="42" w:name="_Toc19369"/>
      <w:bookmarkStart w:id="43" w:name="_Toc28482"/>
      <w:bookmarkStart w:id="44" w:name="_Toc23125"/>
      <w:r>
        <w:rPr>
          <w:rFonts w:hint="eastAsia" w:ascii="宋体" w:hAnsi="宋体" w:eastAsia="宋体" w:cs="宋体"/>
          <w:b/>
          <w:color w:val="auto"/>
          <w:sz w:val="28"/>
          <w:szCs w:val="28"/>
          <w:highlight w:val="none"/>
        </w:rPr>
        <w:t>三、投标</w:t>
      </w:r>
      <w:bookmarkEnd w:id="42"/>
      <w:bookmarkEnd w:id="43"/>
      <w:bookmarkEnd w:id="44"/>
    </w:p>
    <w:p>
      <w:pPr>
        <w:keepNext w:val="0"/>
        <w:keepLines w:val="0"/>
        <w:pageBreakBefore w:val="0"/>
        <w:widowControl w:val="0"/>
        <w:numPr>
          <w:ilvl w:val="0"/>
          <w:numId w:val="4"/>
        </w:numPr>
        <w:tabs>
          <w:tab w:val="left" w:pos="840"/>
          <w:tab w:val="clear" w:pos="956"/>
        </w:tabs>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45" w:name="_Toc12027"/>
      <w:bookmarkStart w:id="46" w:name="_Toc5531"/>
      <w:r>
        <w:rPr>
          <w:rFonts w:hint="eastAsia" w:ascii="宋体" w:hAnsi="宋体" w:eastAsia="宋体" w:cs="宋体"/>
          <w:b/>
          <w:color w:val="auto"/>
          <w:sz w:val="24"/>
          <w:szCs w:val="24"/>
          <w:highlight w:val="none"/>
        </w:rPr>
        <w:t>招标文件的获取</w:t>
      </w:r>
      <w:bookmarkEnd w:id="45"/>
      <w:bookmarkEnd w:id="46"/>
    </w:p>
    <w:p>
      <w:pPr>
        <w:spacing w:line="360" w:lineRule="auto"/>
        <w:ind w:firstLine="840" w:firstLineChars="400"/>
        <w:rPr>
          <w:rFonts w:hint="eastAsia" w:ascii="宋体" w:hAnsi="宋体" w:eastAsia="宋体" w:cs="宋体"/>
          <w:snapToGrid w:val="0"/>
          <w:color w:val="auto"/>
          <w:kern w:val="28"/>
          <w:sz w:val="21"/>
          <w:szCs w:val="21"/>
          <w:highlight w:val="none"/>
        </w:rPr>
      </w:pPr>
      <w:r>
        <w:rPr>
          <w:rFonts w:hint="eastAsia" w:ascii="宋体" w:hAnsi="宋体" w:eastAsia="宋体" w:cs="宋体"/>
          <w:snapToGrid w:val="0"/>
          <w:color w:val="auto"/>
          <w:kern w:val="28"/>
          <w:sz w:val="21"/>
          <w:szCs w:val="21"/>
          <w:highlight w:val="none"/>
        </w:rPr>
        <w:t>详见招标公告中获取招标文件的时间期限、地点、方式及招标文件售价。</w:t>
      </w:r>
    </w:p>
    <w:p>
      <w:pPr>
        <w:keepNext w:val="0"/>
        <w:keepLines w:val="0"/>
        <w:pageBreakBefore w:val="0"/>
        <w:widowControl w:val="0"/>
        <w:numPr>
          <w:ilvl w:val="0"/>
          <w:numId w:val="4"/>
        </w:numPr>
        <w:tabs>
          <w:tab w:val="left" w:pos="840"/>
          <w:tab w:val="clear" w:pos="956"/>
        </w:tabs>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47" w:name="_Toc2344"/>
      <w:bookmarkStart w:id="48" w:name="_Toc1142"/>
      <w:r>
        <w:rPr>
          <w:rFonts w:hint="eastAsia" w:ascii="宋体" w:hAnsi="宋体" w:eastAsia="宋体" w:cs="宋体"/>
          <w:b/>
          <w:color w:val="auto"/>
          <w:sz w:val="24"/>
          <w:szCs w:val="24"/>
          <w:highlight w:val="none"/>
        </w:rPr>
        <w:t>开标前答疑会或现场考察</w:t>
      </w:r>
      <w:bookmarkEnd w:id="47"/>
      <w:bookmarkEnd w:id="48"/>
    </w:p>
    <w:p>
      <w:pPr>
        <w:pStyle w:val="18"/>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采购人组织潜在投标人现场考察或者召开开标前答疑会的，潜在投标人按第</w:t>
      </w:r>
      <w:r>
        <w:rPr>
          <w:rFonts w:hint="eastAsia"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部分投标人</w:t>
      </w:r>
    </w:p>
    <w:p>
      <w:pPr>
        <w:pStyle w:val="18"/>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须知前附表的规定参加现场考察或者开标前答疑会。</w:t>
      </w:r>
    </w:p>
    <w:p>
      <w:pPr>
        <w:keepNext w:val="0"/>
        <w:keepLines w:val="0"/>
        <w:pageBreakBefore w:val="0"/>
        <w:widowControl w:val="0"/>
        <w:numPr>
          <w:ilvl w:val="0"/>
          <w:numId w:val="4"/>
        </w:numPr>
        <w:tabs>
          <w:tab w:val="left" w:pos="840"/>
          <w:tab w:val="clear" w:pos="956"/>
        </w:tabs>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49" w:name="_Toc9095"/>
      <w:bookmarkStart w:id="50" w:name="_Toc12238"/>
      <w:r>
        <w:rPr>
          <w:rFonts w:hint="eastAsia" w:ascii="宋体" w:hAnsi="宋体" w:eastAsia="宋体" w:cs="宋体"/>
          <w:b/>
          <w:color w:val="auto"/>
          <w:sz w:val="24"/>
          <w:szCs w:val="24"/>
          <w:highlight w:val="none"/>
        </w:rPr>
        <w:t>投标保证金</w:t>
      </w:r>
      <w:bookmarkEnd w:id="49"/>
      <w:bookmarkEnd w:id="50"/>
    </w:p>
    <w:p>
      <w:pPr>
        <w:pStyle w:val="6"/>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本项目不需缴纳投标保证金。</w:t>
      </w:r>
    </w:p>
    <w:p>
      <w:pPr>
        <w:keepNext w:val="0"/>
        <w:keepLines w:val="0"/>
        <w:pageBreakBefore w:val="0"/>
        <w:widowControl w:val="0"/>
        <w:numPr>
          <w:ilvl w:val="0"/>
          <w:numId w:val="4"/>
        </w:numPr>
        <w:tabs>
          <w:tab w:val="left" w:pos="840"/>
          <w:tab w:val="clear" w:pos="956"/>
        </w:tabs>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51" w:name="_Toc15077"/>
      <w:bookmarkStart w:id="52" w:name="_Toc30786"/>
      <w:r>
        <w:rPr>
          <w:rFonts w:hint="eastAsia" w:ascii="宋体" w:hAnsi="宋体" w:eastAsia="宋体" w:cs="宋体"/>
          <w:b/>
          <w:color w:val="auto"/>
          <w:sz w:val="24"/>
          <w:szCs w:val="24"/>
          <w:highlight w:val="none"/>
        </w:rPr>
        <w:t>投标文件的语言</w:t>
      </w:r>
      <w:bookmarkEnd w:id="51"/>
      <w:bookmarkEnd w:id="52"/>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cs="宋体"/>
          <w:color w:val="auto"/>
          <w:szCs w:val="21"/>
          <w:highlight w:val="none"/>
          <w:lang w:val="en-US" w:eastAsia="zh-CN"/>
        </w:rPr>
      </w:pPr>
      <w:r>
        <w:rPr>
          <w:rFonts w:hint="eastAsia" w:ascii="宋体" w:hAnsi="宋体" w:eastAsia="宋体" w:cs="宋体"/>
          <w:color w:val="auto"/>
          <w:sz w:val="21"/>
          <w:szCs w:val="21"/>
          <w:highlight w:val="none"/>
        </w:rPr>
        <w:t>投标文件及投标人与采购有关的来往通知、函件和文件均应使用中文。</w:t>
      </w:r>
      <w:r>
        <w:rPr>
          <w:rFonts w:hint="eastAsia" w:ascii="宋体" w:hAnsi="宋体" w:cs="宋体"/>
          <w:color w:val="auto"/>
          <w:szCs w:val="21"/>
          <w:highlight w:val="none"/>
          <w:lang w:val="en-US" w:eastAsia="zh-CN"/>
        </w:rPr>
        <w:t>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zh-CN"/>
        </w:rPr>
      </w:pPr>
      <w:r>
        <w:rPr>
          <w:rFonts w:hint="eastAsia" w:ascii="宋体" w:hAnsi="宋体" w:cs="宋体"/>
          <w:color w:val="auto"/>
          <w:szCs w:val="21"/>
          <w:highlight w:val="none"/>
          <w:lang w:val="en-US" w:eastAsia="zh-CN"/>
        </w:rPr>
        <w:t>除招标文件另有规定外，投标文件所使用的计量单位，均应使用中华人民共和国法定计量单位。</w:t>
      </w:r>
    </w:p>
    <w:p>
      <w:pPr>
        <w:keepNext w:val="0"/>
        <w:keepLines w:val="0"/>
        <w:pageBreakBefore w:val="0"/>
        <w:widowControl w:val="0"/>
        <w:numPr>
          <w:ilvl w:val="0"/>
          <w:numId w:val="4"/>
        </w:numPr>
        <w:tabs>
          <w:tab w:val="left" w:pos="840"/>
          <w:tab w:val="clear" w:pos="956"/>
        </w:tabs>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53" w:name="_Toc24006"/>
      <w:bookmarkStart w:id="54" w:name="_Toc26850"/>
      <w:r>
        <w:rPr>
          <w:rFonts w:hint="eastAsia" w:ascii="宋体" w:hAnsi="宋体" w:eastAsia="宋体" w:cs="宋体"/>
          <w:b/>
          <w:color w:val="auto"/>
          <w:sz w:val="24"/>
          <w:szCs w:val="24"/>
          <w:highlight w:val="none"/>
        </w:rPr>
        <w:t>投标文件的组成</w:t>
      </w:r>
      <w:bookmarkEnd w:id="53"/>
      <w:bookmarkEnd w:id="54"/>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资格文件</w:t>
      </w:r>
      <w:r>
        <w:rPr>
          <w:rFonts w:hint="eastAsia" w:ascii="宋体" w:hAnsi="宋体" w:eastAsia="宋体" w:cs="宋体"/>
          <w:color w:val="auto"/>
          <w:sz w:val="21"/>
          <w:szCs w:val="21"/>
          <w:highlight w:val="none"/>
        </w:rPr>
        <w:t>：</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具有独立承担民事责任能力的证明材料；</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符合参加政府采购活动应当具备的一般条件的承诺函</w:t>
      </w:r>
      <w:r>
        <w:rPr>
          <w:rFonts w:hint="eastAsia" w:ascii="宋体" w:hAnsi="宋体" w:eastAsia="宋体" w:cs="宋体"/>
          <w:color w:val="auto"/>
          <w:sz w:val="21"/>
          <w:szCs w:val="21"/>
          <w:highlight w:val="none"/>
          <w:lang w:eastAsia="zh-CN"/>
        </w:rPr>
        <w:t>；</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落实政府采购政策需满足的资格要求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本项目的特定资格要求</w:t>
      </w:r>
      <w:r>
        <w:rPr>
          <w:rFonts w:hint="eastAsia" w:ascii="宋体" w:hAnsi="宋体" w:eastAsia="宋体" w:cs="宋体"/>
          <w:color w:val="auto"/>
          <w:sz w:val="21"/>
          <w:szCs w:val="21"/>
          <w:highlight w:val="none"/>
          <w:lang w:val="en-US" w:eastAsia="zh-CN"/>
        </w:rPr>
        <w:t>（如有）。</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rPr>
        <w:t>商务技术</w:t>
      </w:r>
      <w:r>
        <w:rPr>
          <w:rFonts w:hint="eastAsia" w:ascii="宋体" w:hAnsi="宋体" w:eastAsia="宋体" w:cs="宋体"/>
          <w:b/>
          <w:bCs/>
          <w:color w:val="auto"/>
          <w:sz w:val="21"/>
          <w:szCs w:val="21"/>
          <w:highlight w:val="none"/>
          <w:lang w:val="zh-CN"/>
        </w:rPr>
        <w:t>文件：</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w:t>
      </w:r>
      <w:r>
        <w:rPr>
          <w:rFonts w:hint="eastAsia" w:ascii="宋体" w:hAnsi="宋体" w:eastAsia="宋体" w:cs="宋体"/>
          <w:color w:val="auto"/>
          <w:sz w:val="21"/>
          <w:szCs w:val="21"/>
          <w:highlight w:val="none"/>
          <w:lang w:val="zh-CN"/>
        </w:rPr>
        <w:t xml:space="preserve"> </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授权委托书或法定代表人（单位负责人、自然人本人）身份证明；</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符合性审查资料；</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评标标准相应的商务技术资料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详细内容详见第六部分</w:t>
      </w:r>
      <w:r>
        <w:rPr>
          <w:rFonts w:hint="eastAsia" w:ascii="宋体" w:hAnsi="宋体" w:eastAsia="宋体" w:cs="宋体"/>
          <w:color w:val="auto"/>
          <w:sz w:val="21"/>
          <w:szCs w:val="21"/>
          <w:highlight w:val="none"/>
          <w:lang w:eastAsia="zh-CN"/>
        </w:rPr>
        <w:t>）；</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政府采购供应商廉洁自律承诺书。</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▲投标人为医疗器械生产企业的：第二类、第三类医疗器械生产企业提供《医疗器械生产许可证》、第一类医疗器械生产企业提供第一类医疗器械生产备案凭证；</w:t>
      </w:r>
    </w:p>
    <w:p>
      <w:pPr>
        <w:pageBreakBefore w:val="0"/>
        <w:numPr>
          <w:ilvl w:val="0"/>
          <w:numId w:val="0"/>
        </w:numPr>
        <w:tabs>
          <w:tab w:val="left" w:pos="840"/>
        </w:tabs>
        <w:kinsoku/>
        <w:wordWrap/>
        <w:overflowPunct/>
        <w:topLinePunct w:val="0"/>
        <w:autoSpaceDE/>
        <w:autoSpaceDN/>
        <w:bidi w:val="0"/>
        <w:adjustRightInd/>
        <w:snapToGrid w:val="0"/>
        <w:spacing w:line="360" w:lineRule="auto"/>
        <w:ind w:left="1050" w:leftChars="500" w:firstLine="0" w:firstLineChars="0"/>
        <w:jc w:val="left"/>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投标人为医疗器械经营企业的：第三类医疗器械经营企业提供《医疗器械经营许可证》、第二类医疗器械经营企业提供第二类医疗器械经营备案凭证；</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▲提供食品药品监督管理部门核发的完整有效的医疗器械注册或备案证明； </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货物制造商或其它有销售资格（提供证明材料）的供应商出具的授权书及售后服务许可证明材料（适用于投标人是进口货物代理商的情形）；</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u w:val="single"/>
          <w:lang w:val="zh-CN"/>
        </w:rPr>
      </w:pPr>
      <w:r>
        <w:rPr>
          <w:rFonts w:hint="eastAsia" w:ascii="宋体" w:hAnsi="宋体" w:eastAsia="宋体" w:cs="宋体"/>
          <w:b/>
          <w:color w:val="auto"/>
          <w:sz w:val="21"/>
          <w:szCs w:val="21"/>
          <w:highlight w:val="none"/>
        </w:rPr>
        <w:t>报价文件：</w:t>
      </w:r>
      <w:r>
        <w:rPr>
          <w:rFonts w:hint="eastAsia" w:ascii="宋体" w:hAnsi="宋体" w:eastAsia="宋体" w:cs="宋体"/>
          <w:color w:val="auto"/>
          <w:sz w:val="21"/>
          <w:szCs w:val="21"/>
          <w:highlight w:val="none"/>
        </w:rPr>
        <w:t xml:space="preserve"> </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开标一览表（报价表）</w:t>
      </w:r>
      <w:r>
        <w:rPr>
          <w:rFonts w:hint="eastAsia" w:ascii="宋体" w:hAnsi="宋体" w:eastAsia="宋体" w:cs="宋体"/>
          <w:color w:val="auto"/>
          <w:sz w:val="21"/>
          <w:szCs w:val="21"/>
          <w:highlight w:val="none"/>
          <w:lang w:eastAsia="zh-CN"/>
        </w:rPr>
        <w:t>；</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color w:val="auto"/>
          <w:highlight w:val="none"/>
        </w:rPr>
      </w:pPr>
      <w:r>
        <w:rPr>
          <w:rFonts w:hint="eastAsia"/>
          <w:color w:val="auto"/>
          <w:highlight w:val="none"/>
          <w:lang w:val="en-US" w:eastAsia="zh-CN"/>
        </w:rPr>
        <w:t>报价明细表；</w:t>
      </w:r>
    </w:p>
    <w:p>
      <w:pPr>
        <w:pageBreakBefore w:val="0"/>
        <w:numPr>
          <w:ilvl w:val="2"/>
          <w:numId w:val="4"/>
        </w:numPr>
        <w:tabs>
          <w:tab w:val="left" w:pos="840"/>
          <w:tab w:val="clear" w:pos="720"/>
        </w:tabs>
        <w:kinsoku/>
        <w:wordWrap/>
        <w:overflowPunct/>
        <w:topLinePunct w:val="0"/>
        <w:autoSpaceDE/>
        <w:autoSpaceDN/>
        <w:bidi w:val="0"/>
        <w:adjustRightInd/>
        <w:snapToGrid w:val="0"/>
        <w:spacing w:line="360" w:lineRule="auto"/>
        <w:ind w:left="420" w:leftChars="0" w:hanging="420" w:firstLineChars="0"/>
        <w:textAlignment w:val="auto"/>
        <w:rPr>
          <w:rFonts w:hint="eastAsia"/>
          <w:color w:val="auto"/>
          <w:highlight w:val="none"/>
        </w:rPr>
      </w:pPr>
      <w:r>
        <w:rPr>
          <w:rFonts w:hint="eastAsia" w:ascii="宋体" w:hAnsi="宋体" w:eastAsia="宋体" w:cs="宋体"/>
          <w:color w:val="auto"/>
          <w:sz w:val="21"/>
          <w:szCs w:val="21"/>
          <w:highlight w:val="none"/>
          <w:lang w:val="en-US" w:eastAsia="zh-CN"/>
        </w:rPr>
        <w:t>中小企业声明函（如有）</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55" w:name="_Toc31929"/>
      <w:bookmarkStart w:id="56" w:name="_Toc9445"/>
      <w:r>
        <w:rPr>
          <w:rFonts w:hint="eastAsia" w:ascii="宋体" w:hAnsi="宋体" w:eastAsia="宋体" w:cs="宋体"/>
          <w:b/>
          <w:color w:val="auto"/>
          <w:sz w:val="24"/>
          <w:szCs w:val="24"/>
          <w:highlight w:val="none"/>
        </w:rPr>
        <w:t>投标文件的编制</w:t>
      </w:r>
      <w:bookmarkEnd w:id="55"/>
      <w:bookmarkEnd w:id="56"/>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val="zh-CN"/>
        </w:rPr>
        <w:t>投标文件分为资格文件、商务技术文件、报价文件三部分。各投标人在编制投标文件时请按照招标文件第</w:t>
      </w:r>
      <w:r>
        <w:rPr>
          <w:rFonts w:hint="eastAsia" w:ascii="宋体" w:hAnsi="宋体" w:eastAsia="宋体" w:cs="宋体"/>
          <w:color w:val="auto"/>
          <w:kern w:val="0"/>
          <w:sz w:val="21"/>
          <w:szCs w:val="21"/>
          <w:highlight w:val="none"/>
          <w:lang w:val="en-US" w:eastAsia="zh-CN"/>
        </w:rPr>
        <w:t>六</w:t>
      </w:r>
      <w:r>
        <w:rPr>
          <w:rFonts w:hint="eastAsia" w:ascii="宋体" w:hAnsi="宋体" w:eastAsia="宋体" w:cs="宋体"/>
          <w:color w:val="auto"/>
          <w:kern w:val="0"/>
          <w:sz w:val="21"/>
          <w:szCs w:val="21"/>
          <w:highlight w:val="none"/>
          <w:lang w:val="zh-CN"/>
        </w:rPr>
        <w:t>部分规定的格式进行，</w:t>
      </w:r>
      <w:r>
        <w:rPr>
          <w:rFonts w:hint="eastAsia" w:ascii="宋体" w:hAnsi="宋体" w:eastAsia="宋体" w:cs="宋体"/>
          <w:b/>
          <w:bCs/>
          <w:color w:val="auto"/>
          <w:kern w:val="0"/>
          <w:sz w:val="21"/>
          <w:szCs w:val="21"/>
          <w:highlight w:val="none"/>
          <w:lang w:val="zh-CN"/>
        </w:rPr>
        <w:t>混乱的编排导致投标文件被误读或评标委员会查找不到有效文件是投标人的风险。</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投标人进行电子投标应安装客户端软件—“政采云电子交易客户端”，并按照招标文件和电子交易平台的要求编制并加密投标文件。投标人未按规定加密的投标文件，电子交易平台将拒收并提示。</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使用“政采云电子交易客户端”需要提前申领CA数字证书，申领流程请自行前往“浙江政府采购网-下载专区-电子交易客户端-CA驱动和申领流程”进行查阅。</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57" w:name="_Toc16442"/>
      <w:bookmarkStart w:id="58" w:name="_Toc1276"/>
      <w:r>
        <w:rPr>
          <w:rFonts w:hint="eastAsia" w:ascii="宋体" w:hAnsi="宋体" w:eastAsia="宋体" w:cs="宋体"/>
          <w:b/>
          <w:color w:val="auto"/>
          <w:sz w:val="24"/>
          <w:szCs w:val="24"/>
          <w:highlight w:val="none"/>
        </w:rPr>
        <w:t>投标文件的签署、盖章</w:t>
      </w:r>
      <w:bookmarkEnd w:id="57"/>
      <w:bookmarkEnd w:id="58"/>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b w:val="0"/>
          <w:bCs/>
          <w:color w:val="auto"/>
          <w:sz w:val="21"/>
          <w:szCs w:val="21"/>
          <w:highlight w:val="none"/>
        </w:rPr>
      </w:pPr>
      <w:r>
        <w:rPr>
          <w:rFonts w:hint="eastAsia" w:ascii="宋体" w:hAnsi="宋体" w:eastAsia="宋体" w:cs="宋体"/>
          <w:color w:val="auto"/>
          <w:sz w:val="21"/>
          <w:szCs w:val="21"/>
          <w:highlight w:val="none"/>
        </w:rPr>
        <w:t>投标文件按照招标文件格式要求进行签署、盖章。</w:t>
      </w:r>
      <w:r>
        <w:rPr>
          <w:rFonts w:hint="eastAsia" w:ascii="宋体" w:hAnsi="宋体" w:eastAsia="宋体" w:cs="宋体"/>
          <w:b w:val="0"/>
          <w:bCs/>
          <w:color w:val="auto"/>
          <w:sz w:val="21"/>
          <w:szCs w:val="21"/>
          <w:highlight w:val="none"/>
        </w:rPr>
        <w:t>投标人的投标文件未按照招标文件要求签署、盖章的，其投标无效</w:t>
      </w:r>
      <w:r>
        <w:rPr>
          <w:rFonts w:hint="eastAsia" w:ascii="宋体" w:hAnsi="宋体" w:eastAsia="宋体" w:cs="宋体"/>
          <w:bCs/>
          <w:color w:val="auto"/>
          <w:sz w:val="21"/>
          <w:szCs w:val="21"/>
          <w:highlight w:val="none"/>
        </w:rPr>
        <w:t>。</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为确保网上操作合法、有效和安全，投标人应当在投标截止时间前完成在“政府采购云平台”的身份认证，确保在电子投标过程中能够对相关数据电文进行加密和使用电子签名。</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招标文件对投标文件签署、盖章的要求适用于电子签名。</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59" w:name="_Toc23636"/>
      <w:bookmarkStart w:id="60" w:name="_Toc526"/>
      <w:r>
        <w:rPr>
          <w:rFonts w:hint="eastAsia" w:ascii="宋体" w:hAnsi="宋体" w:eastAsia="宋体" w:cs="宋体"/>
          <w:b/>
          <w:color w:val="auto"/>
          <w:sz w:val="24"/>
          <w:szCs w:val="24"/>
          <w:highlight w:val="none"/>
        </w:rPr>
        <w:t>投标文件的提交、补充、修改、撤回</w:t>
      </w:r>
      <w:bookmarkEnd w:id="59"/>
      <w:bookmarkEnd w:id="60"/>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lang w:val="en-US" w:eastAsia="zh-CN"/>
        </w:rPr>
        <w:t>投标人</w:t>
      </w:r>
      <w:r>
        <w:rPr>
          <w:rFonts w:hint="eastAsia" w:ascii="宋体" w:hAnsi="宋体" w:eastAsia="宋体" w:cs="宋体"/>
          <w:b w:val="0"/>
          <w:bCs/>
          <w:color w:val="auto"/>
          <w:sz w:val="21"/>
          <w:szCs w:val="21"/>
          <w:highlight w:val="none"/>
        </w:rPr>
        <w:t>应</w:t>
      </w:r>
      <w:r>
        <w:rPr>
          <w:rFonts w:hint="eastAsia" w:ascii="宋体" w:hAnsi="宋体" w:eastAsia="宋体" w:cs="宋体"/>
          <w:color w:val="auto"/>
          <w:sz w:val="21"/>
          <w:szCs w:val="21"/>
          <w:highlight w:val="none"/>
        </w:rPr>
        <w:t>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电子交易平台收到投标文件，将妥善保存并即时向供应商发出确认回执通知。在投标截止时间前，除供应商补充、修改或者撤回投标文件外，任何单位和个人不得解密或提取投标文件。</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可以视情况延长投标文件提交的截止时间。在上述情况下，</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与投标人以前在投标截止期方面的全部权利、责任和义务，将适用于延长至新的投标截止期。</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投标人应承担其参加投标所涉及的一切费用，不管投标结果如何，采购人对这些费用不负任何责任。</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61" w:name="_Toc26037"/>
      <w:bookmarkStart w:id="62" w:name="_Toc15659"/>
      <w:r>
        <w:rPr>
          <w:rFonts w:hint="eastAsia" w:ascii="宋体" w:hAnsi="宋体" w:eastAsia="宋体" w:cs="宋体"/>
          <w:b/>
          <w:color w:val="auto"/>
          <w:sz w:val="24"/>
          <w:szCs w:val="24"/>
          <w:highlight w:val="none"/>
        </w:rPr>
        <w:t>投标文件的无效处理</w:t>
      </w:r>
      <w:bookmarkEnd w:id="61"/>
      <w:bookmarkEnd w:id="62"/>
    </w:p>
    <w:p>
      <w:pPr>
        <w:spacing w:line="360" w:lineRule="auto"/>
        <w:ind w:firstLine="1050" w:firstLineChars="5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属于</w:t>
      </w:r>
      <w:r>
        <w:rPr>
          <w:rFonts w:hint="eastAsia" w:ascii="宋体" w:hAnsi="宋体" w:eastAsia="宋体" w:cs="宋体"/>
          <w:color w:val="auto"/>
          <w:sz w:val="21"/>
          <w:szCs w:val="21"/>
          <w:highlight w:val="none"/>
        </w:rPr>
        <w:t>招标文件</w:t>
      </w:r>
      <w:r>
        <w:rPr>
          <w:rFonts w:hint="eastAsia" w:ascii="宋体" w:hAnsi="宋体" w:eastAsia="宋体" w:cs="宋体"/>
          <w:color w:val="auto"/>
          <w:sz w:val="21"/>
          <w:szCs w:val="21"/>
          <w:highlight w:val="none"/>
          <w:lang w:eastAsia="zh-CN"/>
        </w:rPr>
        <w:t>无效标</w:t>
      </w:r>
      <w:r>
        <w:rPr>
          <w:rFonts w:hint="eastAsia" w:ascii="宋体" w:hAnsi="宋体" w:eastAsia="宋体" w:cs="宋体"/>
          <w:color w:val="auto"/>
          <w:sz w:val="21"/>
          <w:szCs w:val="21"/>
          <w:highlight w:val="none"/>
        </w:rPr>
        <w:t>规定的情形的，投标无效</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63" w:name="_Toc15591"/>
      <w:bookmarkStart w:id="64" w:name="_Toc5343"/>
      <w:r>
        <w:rPr>
          <w:rFonts w:hint="eastAsia" w:ascii="宋体" w:hAnsi="宋体" w:eastAsia="宋体" w:cs="宋体"/>
          <w:b/>
          <w:color w:val="auto"/>
          <w:sz w:val="24"/>
          <w:szCs w:val="24"/>
          <w:highlight w:val="none"/>
        </w:rPr>
        <w:t>投标有效期</w:t>
      </w:r>
      <w:bookmarkEnd w:id="63"/>
      <w:bookmarkEnd w:id="64"/>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投标有效期为从提交投标文件的截止之日起90天。</w:t>
      </w:r>
      <w:r>
        <w:rPr>
          <w:rFonts w:hint="eastAsia" w:ascii="宋体" w:hAnsi="宋体" w:eastAsia="宋体" w:cs="宋体"/>
          <w:b w:val="0"/>
          <w:bCs w:val="0"/>
          <w:color w:val="auto"/>
          <w:sz w:val="21"/>
          <w:szCs w:val="21"/>
          <w:highlight w:val="none"/>
        </w:rPr>
        <w:t>投标人的投标文件中承诺的投标有效期少于招标文件中载明的投标有效期的，投标无效。</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投标文件合格投递后，自投标截止日期起，在投标有效期内有效。</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在原定投标有效期满之前，如果出现特殊情况，</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可以以书面形式通知投标人延长投标有效期。</w:t>
      </w:r>
      <w:r>
        <w:rPr>
          <w:rFonts w:hint="eastAsia" w:ascii="宋体" w:hAnsi="宋体" w:eastAsia="宋体" w:cs="宋体"/>
          <w:b/>
          <w:bCs/>
          <w:color w:val="auto"/>
          <w:sz w:val="21"/>
          <w:szCs w:val="21"/>
          <w:highlight w:val="none"/>
        </w:rPr>
        <w:t>▲投标人同意延长的，不得要求或被允许修改其投标文件，投标人拒绝延长的，其投标无效。</w:t>
      </w:r>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本政府采购项目不允许转包。</w:t>
      </w:r>
    </w:p>
    <w:p>
      <w:pPr>
        <w:pStyle w:val="106"/>
        <w:numPr>
          <w:ilvl w:val="0"/>
          <w:numId w:val="0"/>
        </w:numPr>
        <w:spacing w:before="0"/>
        <w:rPr>
          <w:rFonts w:hint="eastAsia" w:ascii="宋体" w:hAnsi="宋体" w:cs="宋体"/>
          <w:i w:val="0"/>
          <w:iCs w:val="0"/>
          <w:color w:val="auto"/>
          <w:sz w:val="20"/>
          <w:szCs w:val="20"/>
          <w:highlight w:val="none"/>
          <w:lang w:val="en-US" w:eastAsia="zh-CN"/>
        </w:rPr>
      </w:pPr>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ascii="宋体" w:hAnsi="宋体" w:eastAsia="宋体" w:cs="宋体"/>
          <w:b/>
          <w:color w:val="auto"/>
          <w:sz w:val="28"/>
          <w:szCs w:val="28"/>
          <w:highlight w:val="none"/>
        </w:rPr>
      </w:pPr>
      <w:bookmarkStart w:id="65" w:name="_Toc26269"/>
      <w:bookmarkStart w:id="66" w:name="_Toc30964"/>
      <w:bookmarkStart w:id="67" w:name="_Toc20957"/>
      <w:r>
        <w:rPr>
          <w:rFonts w:hint="eastAsia" w:ascii="宋体" w:hAnsi="宋体" w:eastAsia="宋体" w:cs="宋体"/>
          <w:b/>
          <w:color w:val="auto"/>
          <w:sz w:val="28"/>
          <w:szCs w:val="28"/>
          <w:highlight w:val="none"/>
        </w:rPr>
        <w:t>四、开标、资格审查与信用信息查询</w:t>
      </w:r>
      <w:bookmarkEnd w:id="65"/>
      <w:bookmarkEnd w:id="66"/>
      <w:bookmarkEnd w:id="67"/>
    </w:p>
    <w:p>
      <w:pPr>
        <w:keepNext w:val="0"/>
        <w:keepLines w:val="0"/>
        <w:pageBreakBefore w:val="0"/>
        <w:widowControl w:val="0"/>
        <w:numPr>
          <w:ilvl w:val="0"/>
          <w:numId w:val="4"/>
        </w:numPr>
        <w:kinsoku/>
        <w:wordWrap/>
        <w:overflowPunct/>
        <w:topLinePunct w:val="0"/>
        <w:autoSpaceDE/>
        <w:autoSpaceDN/>
        <w:bidi w:val="0"/>
        <w:adjustRightInd/>
        <w:snapToGrid w:val="0"/>
        <w:spacing w:line="400" w:lineRule="exact"/>
        <w:ind w:left="958" w:hanging="850"/>
        <w:textAlignment w:val="auto"/>
        <w:outlineLvl w:val="1"/>
        <w:rPr>
          <w:rFonts w:hint="eastAsia" w:ascii="宋体" w:hAnsi="宋体" w:eastAsia="宋体" w:cs="宋体"/>
          <w:b/>
          <w:color w:val="auto"/>
          <w:sz w:val="24"/>
          <w:szCs w:val="24"/>
          <w:highlight w:val="none"/>
        </w:rPr>
      </w:pPr>
      <w:bookmarkStart w:id="68" w:name="_Toc14382"/>
      <w:bookmarkStart w:id="69" w:name="_Toc9645"/>
      <w:r>
        <w:rPr>
          <w:rFonts w:hint="eastAsia" w:ascii="宋体" w:hAnsi="宋体" w:eastAsia="宋体" w:cs="宋体"/>
          <w:b/>
          <w:color w:val="auto"/>
          <w:sz w:val="24"/>
          <w:szCs w:val="24"/>
          <w:highlight w:val="none"/>
        </w:rPr>
        <w:t>开标</w:t>
      </w:r>
      <w:bookmarkEnd w:id="68"/>
      <w:bookmarkEnd w:id="69"/>
      <w:r>
        <w:rPr>
          <w:rFonts w:hint="eastAsia" w:ascii="宋体" w:hAnsi="宋体" w:eastAsia="宋体" w:cs="宋体"/>
          <w:b/>
          <w:color w:val="auto"/>
          <w:sz w:val="24"/>
          <w:szCs w:val="24"/>
          <w:highlight w:val="none"/>
        </w:rPr>
        <w:t xml:space="preserve"> </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按照招标文件规定的时间通过电子交易平台组织开标，所有投标人均应当准时在线参加。投标人不足3家的，不得开标。</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开标时，电子交易平台按开标时间自动提取所有投标文件。</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依托电子交易平台发起开始解密指令，投标人按照平台提示和招标文件的规定</w:t>
      </w:r>
      <w:r>
        <w:rPr>
          <w:rFonts w:hint="eastAsia" w:ascii="宋体" w:hAnsi="宋体" w:eastAsia="宋体" w:cs="宋体"/>
          <w:color w:val="auto"/>
          <w:sz w:val="21"/>
          <w:szCs w:val="21"/>
          <w:highlight w:val="none"/>
          <w:lang w:eastAsia="zh-CN"/>
        </w:rPr>
        <w:t>时间内</w:t>
      </w:r>
      <w:r>
        <w:rPr>
          <w:rFonts w:hint="eastAsia" w:ascii="宋体" w:hAnsi="宋体" w:eastAsia="宋体" w:cs="宋体"/>
          <w:color w:val="auto"/>
          <w:sz w:val="21"/>
          <w:szCs w:val="21"/>
          <w:highlight w:val="none"/>
        </w:rPr>
        <w:t>完成在线解密。</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color w:val="auto"/>
          <w:sz w:val="21"/>
          <w:szCs w:val="21"/>
          <w:highlight w:val="none"/>
        </w:rPr>
        <w:t>投标文件未按时解密，视为投标文件撤回。</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b/>
          <w:bCs/>
          <w:i w:val="0"/>
          <w:iCs w:val="0"/>
          <w:color w:val="auto"/>
          <w:sz w:val="21"/>
          <w:szCs w:val="21"/>
          <w:highlight w:val="none"/>
          <w:lang w:eastAsia="zh-CN"/>
        </w:rPr>
      </w:pPr>
      <w:r>
        <w:rPr>
          <w:rFonts w:hint="eastAsia"/>
          <w:b/>
          <w:bCs/>
          <w:color w:val="auto"/>
          <w:sz w:val="21"/>
          <w:szCs w:val="21"/>
          <w:highlight w:val="none"/>
        </w:rPr>
        <w:t>开启投标文件后，采购</w:t>
      </w:r>
      <w:r>
        <w:rPr>
          <w:rFonts w:hint="eastAsia"/>
          <w:b/>
          <w:bCs/>
          <w:color w:val="auto"/>
          <w:sz w:val="21"/>
          <w:szCs w:val="21"/>
          <w:highlight w:val="none"/>
          <w:lang w:val="en-US" w:eastAsia="zh-CN"/>
        </w:rPr>
        <w:t>代理</w:t>
      </w:r>
      <w:r>
        <w:rPr>
          <w:rFonts w:hint="eastAsia"/>
          <w:b/>
          <w:bCs/>
          <w:color w:val="auto"/>
          <w:sz w:val="21"/>
          <w:szCs w:val="21"/>
          <w:highlight w:val="none"/>
        </w:rPr>
        <w:t>机构通过电子交易平台发出询标函，投标人在规定的时间内真实完整填写《政府采购活动现场确认声明书》（按附件格式），通过电子交易平台提交《政府采购活动现场确认声明书》并电子签章。</w:t>
      </w:r>
    </w:p>
    <w:p>
      <w:pPr>
        <w:keepNext w:val="0"/>
        <w:keepLines w:val="0"/>
        <w:pageBreakBefore w:val="0"/>
        <w:widowControl w:val="0"/>
        <w:numPr>
          <w:ilvl w:val="0"/>
          <w:numId w:val="4"/>
        </w:numPr>
        <w:kinsoku/>
        <w:wordWrap/>
        <w:overflowPunct/>
        <w:topLinePunct w:val="0"/>
        <w:autoSpaceDE/>
        <w:autoSpaceDN/>
        <w:bidi w:val="0"/>
        <w:adjustRightInd/>
        <w:snapToGrid w:val="0"/>
        <w:spacing w:line="400" w:lineRule="exact"/>
        <w:ind w:left="958" w:hanging="850"/>
        <w:textAlignment w:val="auto"/>
        <w:outlineLvl w:val="1"/>
        <w:rPr>
          <w:rFonts w:hint="eastAsia" w:ascii="宋体" w:hAnsi="宋体" w:eastAsia="宋体" w:cs="宋体"/>
          <w:b/>
          <w:color w:val="auto"/>
          <w:sz w:val="24"/>
          <w:szCs w:val="24"/>
          <w:highlight w:val="none"/>
        </w:rPr>
      </w:pPr>
      <w:bookmarkStart w:id="70" w:name="_Toc17559"/>
      <w:bookmarkStart w:id="71" w:name="_Toc14212"/>
      <w:r>
        <w:rPr>
          <w:rFonts w:hint="eastAsia" w:ascii="宋体" w:hAnsi="宋体" w:eastAsia="宋体" w:cs="宋体"/>
          <w:b/>
          <w:color w:val="auto"/>
          <w:sz w:val="24"/>
          <w:szCs w:val="24"/>
          <w:highlight w:val="none"/>
        </w:rPr>
        <w:t>资格审查</w:t>
      </w:r>
      <w:bookmarkEnd w:id="70"/>
      <w:bookmarkEnd w:id="71"/>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采购人或</w:t>
      </w:r>
      <w:r>
        <w:rPr>
          <w:rFonts w:hint="eastAsia" w:ascii="宋体" w:hAnsi="宋体" w:eastAsia="宋体" w:cs="宋体"/>
          <w:color w:val="auto"/>
          <w:kern w:val="0"/>
          <w:sz w:val="21"/>
          <w:szCs w:val="21"/>
          <w:highlight w:val="none"/>
          <w:lang w:eastAsia="zh-CN"/>
        </w:rPr>
        <w:t>采购代理机构</w:t>
      </w:r>
      <w:r>
        <w:rPr>
          <w:rFonts w:hint="eastAsia" w:ascii="宋体" w:hAnsi="宋体" w:eastAsia="宋体" w:cs="宋体"/>
          <w:color w:val="auto"/>
          <w:kern w:val="0"/>
          <w:sz w:val="21"/>
          <w:szCs w:val="21"/>
          <w:highlight w:val="none"/>
        </w:rPr>
        <w:t>将依据法律法规和招标文件的规定</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对投标人的资格进行审查。</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bCs/>
          <w:color w:val="auto"/>
          <w:kern w:val="0"/>
          <w:sz w:val="21"/>
          <w:szCs w:val="21"/>
          <w:highlight w:val="none"/>
        </w:rPr>
        <w:t>投标人未按照招标文件要求提供与</w:t>
      </w:r>
      <w:r>
        <w:rPr>
          <w:rFonts w:hint="eastAsia" w:ascii="宋体" w:hAnsi="宋体" w:eastAsia="宋体" w:cs="宋体"/>
          <w:b/>
          <w:bCs/>
          <w:color w:val="auto"/>
          <w:sz w:val="21"/>
          <w:szCs w:val="21"/>
          <w:highlight w:val="none"/>
        </w:rPr>
        <w:t>资格条件相应的</w:t>
      </w:r>
      <w:r>
        <w:rPr>
          <w:rFonts w:hint="eastAsia" w:ascii="宋体" w:hAnsi="宋体" w:eastAsia="宋体" w:cs="宋体"/>
          <w:b/>
          <w:bCs/>
          <w:color w:val="auto"/>
          <w:kern w:val="0"/>
          <w:sz w:val="21"/>
          <w:szCs w:val="21"/>
          <w:highlight w:val="none"/>
        </w:rPr>
        <w:t>有效资格证明材料的，视为</w:t>
      </w:r>
      <w:r>
        <w:rPr>
          <w:rFonts w:hint="eastAsia" w:ascii="宋体" w:hAnsi="宋体" w:eastAsia="宋体" w:cs="宋体"/>
          <w:b/>
          <w:bCs/>
          <w:color w:val="auto"/>
          <w:sz w:val="21"/>
          <w:szCs w:val="21"/>
          <w:highlight w:val="none"/>
        </w:rPr>
        <w:t>投标人不具备招标文件中规定的资格要求，其投标无效。</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对未通过资格审查的投标人，采购人或</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告知其未通过的原因。</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合格投标人不足3家的，不</w:t>
      </w:r>
      <w:r>
        <w:rPr>
          <w:rFonts w:hint="eastAsia" w:ascii="宋体" w:hAnsi="宋体" w:eastAsia="宋体" w:cs="宋体"/>
          <w:color w:val="auto"/>
          <w:sz w:val="21"/>
          <w:szCs w:val="21"/>
          <w:highlight w:val="none"/>
          <w:lang w:val="en-US" w:eastAsia="zh-CN"/>
        </w:rPr>
        <w:t>得</w:t>
      </w:r>
      <w:r>
        <w:rPr>
          <w:rFonts w:hint="eastAsia" w:ascii="宋体" w:hAnsi="宋体" w:eastAsia="宋体" w:cs="宋体"/>
          <w:color w:val="auto"/>
          <w:sz w:val="21"/>
          <w:szCs w:val="21"/>
          <w:highlight w:val="none"/>
        </w:rPr>
        <w:t>评标。</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单位负责人（指法定代表人或者法律、行政法规规定代表单位行使职权的主要负责人）为同一人或者存在直接控股、管理关系的不同投标人不得分别参加同一合同项下的采购活动。</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为本项目提供过整体设计、规范编制或者项目管理、监理、检测等服务的投标人，不得再参加该采购项目的其他采购活动。</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以联合体形式参加政府采购活动的，联合体各方不得再单独参加或者与其他投标人另外组成联合体参加同一合同项下的政府采购活动。</w:t>
      </w:r>
    </w:p>
    <w:p>
      <w:pPr>
        <w:keepNext w:val="0"/>
        <w:keepLines w:val="0"/>
        <w:pageBreakBefore w:val="0"/>
        <w:widowControl w:val="0"/>
        <w:numPr>
          <w:ilvl w:val="0"/>
          <w:numId w:val="4"/>
        </w:numPr>
        <w:kinsoku/>
        <w:wordWrap/>
        <w:overflowPunct/>
        <w:topLinePunct w:val="0"/>
        <w:autoSpaceDE/>
        <w:autoSpaceDN/>
        <w:bidi w:val="0"/>
        <w:adjustRightInd/>
        <w:snapToGrid w:val="0"/>
        <w:spacing w:line="400" w:lineRule="exact"/>
        <w:ind w:left="958" w:hanging="850"/>
        <w:textAlignment w:val="auto"/>
        <w:outlineLvl w:val="1"/>
        <w:rPr>
          <w:rFonts w:hint="eastAsia" w:ascii="宋体" w:hAnsi="宋体" w:eastAsia="宋体" w:cs="宋体"/>
          <w:b/>
          <w:color w:val="auto"/>
          <w:sz w:val="24"/>
          <w:szCs w:val="24"/>
          <w:highlight w:val="none"/>
        </w:rPr>
      </w:pPr>
      <w:bookmarkStart w:id="72" w:name="_Toc24953"/>
      <w:bookmarkStart w:id="73" w:name="_Toc17444"/>
      <w:r>
        <w:rPr>
          <w:rFonts w:hint="eastAsia" w:ascii="宋体" w:hAnsi="宋体" w:eastAsia="宋体" w:cs="宋体"/>
          <w:b/>
          <w:color w:val="auto"/>
          <w:sz w:val="24"/>
          <w:szCs w:val="24"/>
          <w:highlight w:val="none"/>
        </w:rPr>
        <w:t>信用信息查询</w:t>
      </w:r>
      <w:bookmarkEnd w:id="72"/>
      <w:bookmarkEnd w:id="73"/>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信用信息查询渠道及截止时间：</w:t>
      </w:r>
      <w:r>
        <w:rPr>
          <w:rFonts w:hint="eastAsia" w:ascii="宋体" w:hAnsi="宋体" w:eastAsia="宋体" w:cs="宋体"/>
          <w:color w:val="auto"/>
          <w:kern w:val="0"/>
          <w:sz w:val="21"/>
          <w:szCs w:val="21"/>
          <w:highlight w:val="none"/>
          <w:lang w:val="en-US" w:eastAsia="zh-CN"/>
        </w:rPr>
        <w:t>采购人或</w:t>
      </w:r>
      <w:r>
        <w:rPr>
          <w:rFonts w:hint="eastAsia" w:ascii="宋体" w:hAnsi="宋体" w:eastAsia="宋体" w:cs="宋体"/>
          <w:color w:val="auto"/>
          <w:kern w:val="0"/>
          <w:sz w:val="21"/>
          <w:szCs w:val="21"/>
          <w:highlight w:val="none"/>
          <w:lang w:eastAsia="zh-CN"/>
        </w:rPr>
        <w:t>采购代理机构</w:t>
      </w:r>
      <w:r>
        <w:rPr>
          <w:rFonts w:hint="eastAsia" w:ascii="宋体" w:hAnsi="宋体" w:eastAsia="宋体" w:cs="宋体"/>
          <w:color w:val="auto"/>
          <w:kern w:val="0"/>
          <w:sz w:val="21"/>
          <w:szCs w:val="21"/>
          <w:highlight w:val="none"/>
        </w:rPr>
        <w:t>将</w:t>
      </w:r>
      <w:r>
        <w:rPr>
          <w:rFonts w:hint="eastAsia" w:ascii="宋体" w:hAnsi="宋体" w:eastAsia="宋体" w:cs="宋体"/>
          <w:color w:val="auto"/>
          <w:kern w:val="0"/>
          <w:sz w:val="21"/>
          <w:szCs w:val="21"/>
          <w:highlight w:val="none"/>
          <w:lang w:eastAsia="zh-CN"/>
        </w:rPr>
        <w:t>在资格审查时</w:t>
      </w:r>
      <w:r>
        <w:rPr>
          <w:rFonts w:hint="eastAsia" w:ascii="宋体" w:hAnsi="宋体" w:eastAsia="宋体" w:cs="宋体"/>
          <w:color w:val="auto"/>
          <w:kern w:val="0"/>
          <w:sz w:val="21"/>
          <w:szCs w:val="21"/>
          <w:highlight w:val="none"/>
        </w:rPr>
        <w:t>通过“信用中国”网站(www.creditchina.gov.cn)、中国政府采购网(www.ccgp.gov.cn)渠道查询投标人</w:t>
      </w:r>
      <w:r>
        <w:rPr>
          <w:rFonts w:hint="eastAsia" w:ascii="宋体" w:hAnsi="宋体" w:eastAsia="宋体" w:cs="宋体"/>
          <w:color w:val="auto"/>
          <w:kern w:val="0"/>
          <w:sz w:val="21"/>
          <w:szCs w:val="21"/>
          <w:highlight w:val="none"/>
          <w:lang w:eastAsia="zh-CN"/>
        </w:rPr>
        <w:t>接收资格审查时</w:t>
      </w:r>
      <w:r>
        <w:rPr>
          <w:rFonts w:hint="eastAsia" w:ascii="宋体" w:hAnsi="宋体" w:eastAsia="宋体" w:cs="宋体"/>
          <w:color w:val="auto"/>
          <w:kern w:val="0"/>
          <w:sz w:val="21"/>
          <w:szCs w:val="21"/>
          <w:highlight w:val="none"/>
        </w:rPr>
        <w:t>的信用记录。</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信用信息查询记录和证据留存的具体方式：现场查询的投标人的信用记录、查询结果经确认后将与采购文件一起存档。</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信用信息的使用规则：经查询列入失信被执行人名单、重大税收违法案件当事人名单、政府采购严重违法失信行为记录名单的投标人将被拒绝参与政府采购活动。</w:t>
      </w:r>
    </w:p>
    <w:p>
      <w:pPr>
        <w:pageBreakBefore w:val="0"/>
        <w:numPr>
          <w:ilvl w:val="1"/>
          <w:numId w:val="4"/>
        </w:numPr>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联合体信用信息查询：两个以上的自然人、法人或者其他组织组成一个联合体，以一个供应商的身份共同参加政府采购活动的，对所有联合体成员进行信用记录查询，联合体成员存在不良信用记录的，视同联合体存在不良信用记录</w:t>
      </w:r>
      <w:r>
        <w:rPr>
          <w:rFonts w:hint="eastAsia" w:ascii="宋体" w:hAnsi="宋体" w:eastAsia="宋体" w:cs="宋体"/>
          <w:color w:val="auto"/>
          <w:sz w:val="21"/>
          <w:szCs w:val="21"/>
          <w:highlight w:val="none"/>
        </w:rPr>
        <w:t>。</w:t>
      </w:r>
    </w:p>
    <w:p>
      <w:pPr>
        <w:pStyle w:val="106"/>
        <w:spacing w:before="0"/>
        <w:ind w:firstLine="0" w:firstLineChars="0"/>
        <w:rPr>
          <w:rFonts w:hint="eastAsia" w:ascii="宋体" w:hAnsi="宋体" w:eastAsia="宋体" w:cs="宋体"/>
          <w:color w:val="auto"/>
          <w:kern w:val="0"/>
          <w:sz w:val="21"/>
          <w:szCs w:val="21"/>
          <w:highlight w:val="none"/>
        </w:rPr>
      </w:pPr>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ascii="宋体" w:hAnsi="宋体" w:eastAsia="宋体" w:cs="宋体"/>
          <w:b/>
          <w:color w:val="auto"/>
          <w:sz w:val="28"/>
          <w:szCs w:val="28"/>
          <w:highlight w:val="none"/>
        </w:rPr>
      </w:pPr>
      <w:bookmarkStart w:id="74" w:name="_Toc4103"/>
      <w:bookmarkStart w:id="75" w:name="_Toc31053"/>
      <w:bookmarkStart w:id="76" w:name="_Toc992"/>
      <w:r>
        <w:rPr>
          <w:rFonts w:hint="eastAsia" w:ascii="宋体" w:hAnsi="宋体" w:eastAsia="宋体" w:cs="宋体"/>
          <w:b/>
          <w:color w:val="auto"/>
          <w:sz w:val="28"/>
          <w:szCs w:val="28"/>
          <w:highlight w:val="none"/>
        </w:rPr>
        <w:t>五、评标</w:t>
      </w:r>
      <w:bookmarkEnd w:id="74"/>
      <w:bookmarkEnd w:id="75"/>
      <w:bookmarkEnd w:id="76"/>
    </w:p>
    <w:p>
      <w:pPr>
        <w:keepNext w:val="0"/>
        <w:keepLines w:val="0"/>
        <w:pageBreakBefore w:val="0"/>
        <w:widowControl w:val="0"/>
        <w:numPr>
          <w:ilvl w:val="0"/>
          <w:numId w:val="4"/>
        </w:numPr>
        <w:tabs>
          <w:tab w:val="left" w:pos="840"/>
          <w:tab w:val="clear" w:pos="956"/>
        </w:tabs>
        <w:kinsoku/>
        <w:wordWrap/>
        <w:overflowPunct/>
        <w:topLinePunct w:val="0"/>
        <w:autoSpaceDE/>
        <w:autoSpaceDN/>
        <w:bidi w:val="0"/>
        <w:adjustRightInd/>
        <w:snapToGrid w:val="0"/>
        <w:spacing w:line="360" w:lineRule="auto"/>
        <w:ind w:left="859" w:leftChars="51" w:hanging="752" w:hangingChars="312"/>
        <w:textAlignment w:val="auto"/>
        <w:outlineLvl w:val="1"/>
        <w:rPr>
          <w:rFonts w:hint="eastAsia" w:ascii="宋体" w:hAnsi="宋体" w:eastAsia="宋体" w:cs="宋体"/>
          <w:b/>
          <w:color w:val="auto"/>
          <w:sz w:val="24"/>
          <w:szCs w:val="24"/>
          <w:highlight w:val="none"/>
          <w:lang w:val="en-US" w:eastAsia="zh-CN"/>
        </w:rPr>
      </w:pPr>
      <w:bookmarkStart w:id="77" w:name="_Toc6115"/>
      <w:bookmarkStart w:id="78" w:name="_Toc16307"/>
      <w:bookmarkStart w:id="79" w:name="_Toc91899903"/>
      <w:r>
        <w:rPr>
          <w:rFonts w:hint="eastAsia" w:ascii="宋体" w:hAnsi="宋体" w:eastAsia="宋体" w:cs="宋体"/>
          <w:b/>
          <w:color w:val="auto"/>
          <w:sz w:val="24"/>
          <w:szCs w:val="24"/>
          <w:highlight w:val="none"/>
          <w:lang w:val="en-US" w:eastAsia="zh-CN"/>
        </w:rPr>
        <w:t>评标委员会</w:t>
      </w:r>
      <w:bookmarkEnd w:id="77"/>
      <w:bookmarkEnd w:id="78"/>
    </w:p>
    <w:p>
      <w:pPr>
        <w:pageBreakBefore w:val="0"/>
        <w:numPr>
          <w:ilvl w:val="1"/>
          <w:numId w:val="4"/>
        </w:numPr>
        <w:kinsoku/>
        <w:wordWrap/>
        <w:overflowPunct/>
        <w:topLinePunct w:val="0"/>
        <w:autoSpaceDE/>
        <w:autoSpaceDN/>
        <w:bidi w:val="0"/>
        <w:adjustRightInd/>
        <w:snapToGrid w:val="0"/>
        <w:spacing w:line="360" w:lineRule="auto"/>
        <w:ind w:left="762" w:leftChars="51" w:hanging="655" w:hangingChars="312"/>
        <w:textAlignment w:val="auto"/>
        <w:rPr>
          <w:rFonts w:hint="eastAsia" w:ascii="宋体" w:hAnsi="宋体" w:eastAsia="宋体" w:cs="宋体"/>
          <w:bCs/>
          <w:color w:val="auto"/>
          <w:sz w:val="21"/>
          <w:szCs w:val="21"/>
          <w:highlight w:val="none"/>
        </w:rPr>
      </w:pPr>
      <w:r>
        <w:rPr>
          <w:rFonts w:hint="eastAsia" w:ascii="宋体" w:hAnsi="宋体" w:eastAsia="宋体" w:cs="宋体"/>
          <w:b w:val="0"/>
          <w:bCs/>
          <w:color w:val="auto"/>
          <w:sz w:val="21"/>
          <w:szCs w:val="21"/>
          <w:highlight w:val="none"/>
          <w:lang w:val="en-US" w:eastAsia="zh-CN"/>
        </w:rPr>
        <w:t>评标委员会组成：</w:t>
      </w:r>
      <w:r>
        <w:rPr>
          <w:rFonts w:hint="eastAsia" w:ascii="宋体" w:hAnsi="宋体" w:eastAsia="宋体" w:cs="宋体"/>
          <w:bCs/>
          <w:color w:val="auto"/>
          <w:sz w:val="21"/>
          <w:szCs w:val="21"/>
          <w:highlight w:val="none"/>
        </w:rPr>
        <w:t>评标委员会由采购人代表和评审专家组成，成员人数</w:t>
      </w:r>
      <w:r>
        <w:rPr>
          <w:rFonts w:hint="eastAsia" w:ascii="宋体" w:hAnsi="宋体" w:eastAsia="宋体" w:cs="宋体"/>
          <w:bCs/>
          <w:color w:val="auto"/>
          <w:sz w:val="21"/>
          <w:szCs w:val="21"/>
          <w:highlight w:val="none"/>
          <w:lang w:val="en-US" w:eastAsia="zh-CN"/>
        </w:rPr>
        <w:t>为5</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含</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人以上单数，其中评审专家不得少于成员总数的三分之二。</w:t>
      </w:r>
    </w:p>
    <w:p>
      <w:pPr>
        <w:pageBreakBefore w:val="0"/>
        <w:numPr>
          <w:ilvl w:val="1"/>
          <w:numId w:val="4"/>
        </w:numPr>
        <w:kinsoku/>
        <w:wordWrap/>
        <w:overflowPunct/>
        <w:topLinePunct w:val="0"/>
        <w:autoSpaceDE/>
        <w:autoSpaceDN/>
        <w:bidi w:val="0"/>
        <w:adjustRightInd/>
        <w:snapToGrid w:val="0"/>
        <w:spacing w:line="360" w:lineRule="auto"/>
        <w:ind w:left="762" w:leftChars="51" w:hanging="655" w:hangingChars="312"/>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评标委员会负责具体评标事务，并独立履行下列职责：</w:t>
      </w:r>
    </w:p>
    <w:p>
      <w:pPr>
        <w:spacing w:line="360" w:lineRule="auto"/>
        <w:ind w:left="760" w:leftChars="362" w:firstLine="77" w:firstLineChars="3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1</w:t>
      </w:r>
      <w:r>
        <w:rPr>
          <w:rFonts w:hint="eastAsia" w:ascii="宋体" w:hAnsi="宋体" w:eastAsia="宋体" w:cs="宋体"/>
          <w:bCs/>
          <w:color w:val="auto"/>
          <w:sz w:val="21"/>
          <w:szCs w:val="21"/>
          <w:highlight w:val="none"/>
        </w:rPr>
        <w:t>）审查、评价投标文件是否符合招标文件的商务、技术等实质性要求；</w:t>
      </w:r>
    </w:p>
    <w:p>
      <w:pPr>
        <w:spacing w:line="360" w:lineRule="auto"/>
        <w:ind w:left="760" w:leftChars="362" w:firstLine="77" w:firstLineChars="3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2</w:t>
      </w:r>
      <w:r>
        <w:rPr>
          <w:rFonts w:hint="eastAsia" w:ascii="宋体" w:hAnsi="宋体" w:eastAsia="宋体" w:cs="宋体"/>
          <w:bCs/>
          <w:color w:val="auto"/>
          <w:sz w:val="21"/>
          <w:szCs w:val="21"/>
          <w:highlight w:val="none"/>
        </w:rPr>
        <w:t>）要求投标人对投标文件有关事项作出澄清或者说明；</w:t>
      </w:r>
    </w:p>
    <w:p>
      <w:pPr>
        <w:spacing w:line="360" w:lineRule="auto"/>
        <w:ind w:left="760" w:leftChars="362" w:firstLine="77" w:firstLineChars="3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3</w:t>
      </w:r>
      <w:r>
        <w:rPr>
          <w:rFonts w:hint="eastAsia" w:ascii="宋体" w:hAnsi="宋体" w:eastAsia="宋体" w:cs="宋体"/>
          <w:bCs/>
          <w:color w:val="auto"/>
          <w:sz w:val="21"/>
          <w:szCs w:val="21"/>
          <w:highlight w:val="none"/>
        </w:rPr>
        <w:t>）对投标文件进行比较和评价；</w:t>
      </w:r>
    </w:p>
    <w:p>
      <w:pPr>
        <w:spacing w:line="360" w:lineRule="auto"/>
        <w:ind w:left="760" w:leftChars="362" w:firstLine="77" w:firstLineChars="3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4</w:t>
      </w:r>
      <w:r>
        <w:rPr>
          <w:rFonts w:hint="eastAsia" w:ascii="宋体" w:hAnsi="宋体" w:eastAsia="宋体" w:cs="宋体"/>
          <w:bCs/>
          <w:color w:val="auto"/>
          <w:sz w:val="21"/>
          <w:szCs w:val="21"/>
          <w:highlight w:val="none"/>
        </w:rPr>
        <w:t>）确定中标候选人名单，以及根据采购人委托直接确定中标人；</w:t>
      </w:r>
    </w:p>
    <w:p>
      <w:pPr>
        <w:spacing w:line="360" w:lineRule="auto"/>
        <w:ind w:left="760" w:leftChars="362" w:firstLine="77" w:firstLineChars="37"/>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eastAsia="zh-CN"/>
        </w:rPr>
        <w:t>5</w:t>
      </w:r>
      <w:r>
        <w:rPr>
          <w:rFonts w:hint="eastAsia" w:ascii="宋体" w:hAnsi="宋体" w:eastAsia="宋体" w:cs="宋体"/>
          <w:bCs/>
          <w:color w:val="auto"/>
          <w:sz w:val="21"/>
          <w:szCs w:val="21"/>
          <w:highlight w:val="none"/>
        </w:rPr>
        <w:t>）向采购人、采购代理机构或者有关部门报告评标中发现的违法行为。</w:t>
      </w:r>
    </w:p>
    <w:p>
      <w:pPr>
        <w:pageBreakBefore w:val="0"/>
        <w:numPr>
          <w:ilvl w:val="1"/>
          <w:numId w:val="4"/>
        </w:numPr>
        <w:kinsoku/>
        <w:wordWrap/>
        <w:overflowPunct/>
        <w:topLinePunct w:val="0"/>
        <w:autoSpaceDE/>
        <w:autoSpaceDN/>
        <w:bidi w:val="0"/>
        <w:adjustRightInd/>
        <w:snapToGrid w:val="0"/>
        <w:spacing w:line="360" w:lineRule="auto"/>
        <w:ind w:left="762" w:leftChars="51" w:hanging="655" w:hangingChars="312"/>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评标纪律：</w:t>
      </w:r>
    </w:p>
    <w:p>
      <w:pPr>
        <w:numPr>
          <w:ilvl w:val="0"/>
          <w:numId w:val="5"/>
        </w:numPr>
        <w:spacing w:line="360" w:lineRule="auto"/>
        <w:ind w:left="839" w:leftChars="398" w:hanging="3"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评标委员会成员要严格遵守评审工作纪律、保密、回避等相关规定，依法独立履行评审职责，客观、公正、审慎参与评审工作。</w:t>
      </w:r>
    </w:p>
    <w:p>
      <w:pPr>
        <w:spacing w:line="360" w:lineRule="auto"/>
        <w:ind w:left="839" w:leftChars="398" w:hanging="3"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（2）与投标人或评标委员会其他成员存在利害关系的，要主动回避，自觉签订《政府采购评审人员廉洁自律承诺书》。</w:t>
      </w:r>
    </w:p>
    <w:p>
      <w:pPr>
        <w:spacing w:line="360" w:lineRule="auto"/>
        <w:ind w:left="839" w:leftChars="398" w:hanging="3"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（3）评标委员会成员不得私下接触联系投标人，不得接受或参加投标人或与投标有关的单位、组织或个人的有碍公务的宴请、娱乐活动等，不得以任何形式弄虚作假。</w:t>
      </w:r>
    </w:p>
    <w:p>
      <w:pPr>
        <w:spacing w:line="360" w:lineRule="auto"/>
        <w:ind w:left="839" w:leftChars="398" w:hanging="3"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保持评审现场安静，不在评审现场随意走动，因发生不可预见情况确需与外界联系或暂时离开评审现场的，应向现场监督员说明情况，征得同意后在监控区域内进行相关活动，并应接受相关工作人员的监督。</w:t>
      </w:r>
    </w:p>
    <w:p>
      <w:pPr>
        <w:spacing w:line="360" w:lineRule="auto"/>
        <w:ind w:left="839" w:leftChars="398" w:hanging="3"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（5）评标委员会成员不得将自身意见强加给其他评标委员会成员，或私下相互串通压制其他评标委员会成员的意见。</w:t>
      </w:r>
    </w:p>
    <w:p>
      <w:pPr>
        <w:spacing w:line="360" w:lineRule="auto"/>
        <w:ind w:left="839" w:leftChars="398" w:hanging="3"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（6）评标委员会成员不得征询采购人对投标人的倾向性意向，不得接受任何单位、个人明示或暗示提出的倾向或排斥特定投标人的要求。</w:t>
      </w:r>
    </w:p>
    <w:p>
      <w:pPr>
        <w:spacing w:line="360" w:lineRule="auto"/>
        <w:ind w:left="839" w:leftChars="398" w:hanging="3"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（7）严格遵守政府采购评审工作纪律，不得向外泄露评审情况及涉及投标人商业秘密的信息。</w:t>
      </w:r>
    </w:p>
    <w:p>
      <w:pPr>
        <w:spacing w:line="360" w:lineRule="auto"/>
        <w:ind w:left="839" w:leftChars="398" w:hanging="3" w:firstLineChars="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（8）评标结束后，各评标人员应将全部资料整理上交招标采购单位，严禁将评标过程中的任何资料带出评标现场向投标人或其他单位提供。</w:t>
      </w:r>
    </w:p>
    <w:p>
      <w:pPr>
        <w:pageBreakBefore w:val="0"/>
        <w:numPr>
          <w:ilvl w:val="1"/>
          <w:numId w:val="4"/>
        </w:numPr>
        <w:kinsoku/>
        <w:wordWrap/>
        <w:overflowPunct/>
        <w:topLinePunct w:val="0"/>
        <w:autoSpaceDE/>
        <w:autoSpaceDN/>
        <w:bidi w:val="0"/>
        <w:adjustRightInd/>
        <w:snapToGrid w:val="0"/>
        <w:spacing w:line="360" w:lineRule="auto"/>
        <w:ind w:left="819" w:leftChars="50" w:hanging="714" w:hangingChars="340"/>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color w:val="auto"/>
          <w:sz w:val="21"/>
          <w:szCs w:val="21"/>
          <w:highlight w:val="none"/>
          <w:lang w:val="en-US" w:eastAsia="zh-CN"/>
        </w:rPr>
        <w:t>。</w:t>
      </w:r>
      <w:r>
        <w:rPr>
          <w:rFonts w:hint="eastAsia" w:ascii="宋体" w:hAnsi="宋体" w:eastAsia="宋体" w:cs="宋体"/>
          <w:b w:val="0"/>
          <w:bCs/>
          <w:color w:val="auto"/>
          <w:sz w:val="21"/>
          <w:szCs w:val="21"/>
          <w:highlight w:val="none"/>
        </w:rPr>
        <w:t>详见招标文件第</w:t>
      </w:r>
      <w:r>
        <w:rPr>
          <w:rFonts w:hint="eastAsia" w:ascii="宋体" w:hAnsi="宋体" w:eastAsia="宋体" w:cs="宋体"/>
          <w:b w:val="0"/>
          <w:bCs/>
          <w:color w:val="auto"/>
          <w:sz w:val="21"/>
          <w:szCs w:val="21"/>
          <w:highlight w:val="none"/>
          <w:lang w:val="en-US" w:eastAsia="zh-CN"/>
        </w:rPr>
        <w:t>四</w:t>
      </w:r>
      <w:r>
        <w:rPr>
          <w:rFonts w:hint="eastAsia" w:ascii="宋体" w:hAnsi="宋体" w:eastAsia="宋体" w:cs="宋体"/>
          <w:b w:val="0"/>
          <w:bCs/>
          <w:color w:val="auto"/>
          <w:sz w:val="21"/>
          <w:szCs w:val="21"/>
          <w:highlight w:val="none"/>
        </w:rPr>
        <w:t>部分评标办法。</w:t>
      </w:r>
    </w:p>
    <w:p>
      <w:pPr>
        <w:pageBreakBefore w:val="0"/>
        <w:numPr>
          <w:ilvl w:val="1"/>
          <w:numId w:val="4"/>
        </w:numPr>
        <w:kinsoku/>
        <w:wordWrap/>
        <w:overflowPunct/>
        <w:topLinePunct w:val="0"/>
        <w:autoSpaceDE/>
        <w:autoSpaceDN/>
        <w:bidi w:val="0"/>
        <w:adjustRightInd/>
        <w:snapToGrid w:val="0"/>
        <w:spacing w:line="360" w:lineRule="auto"/>
        <w:ind w:left="819" w:leftChars="50" w:hanging="714" w:hangingChars="340"/>
        <w:textAlignment w:val="auto"/>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保密义务：</w:t>
      </w:r>
      <w:r>
        <w:rPr>
          <w:rFonts w:hint="eastAsia" w:ascii="宋体" w:hAnsi="宋体" w:eastAsia="宋体" w:cs="宋体"/>
          <w:color w:val="auto"/>
          <w:sz w:val="21"/>
          <w:szCs w:val="21"/>
          <w:highlight w:val="none"/>
        </w:rPr>
        <w:t>参与采购活动的所有各方，对在参与投标过程中获悉的国家、商业和技术秘密以及其它依法应当保密的内容，均负有保密义务，违者应对由此造成的后果承担全部法律责任。</w:t>
      </w:r>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ind w:left="838" w:leftChars="104" w:hanging="620" w:firstLineChars="0"/>
        <w:jc w:val="center"/>
        <w:textAlignment w:val="auto"/>
        <w:outlineLvl w:val="0"/>
        <w:rPr>
          <w:rFonts w:hint="eastAsia" w:ascii="宋体" w:hAnsi="宋体" w:eastAsia="宋体" w:cs="宋体"/>
          <w:b/>
          <w:color w:val="auto"/>
          <w:sz w:val="28"/>
          <w:szCs w:val="28"/>
          <w:highlight w:val="none"/>
        </w:rPr>
      </w:pPr>
      <w:bookmarkStart w:id="80" w:name="_Toc2217"/>
      <w:bookmarkStart w:id="81" w:name="_Toc14486"/>
      <w:bookmarkStart w:id="82" w:name="_Toc21596"/>
      <w:r>
        <w:rPr>
          <w:rFonts w:hint="eastAsia" w:ascii="宋体" w:hAnsi="宋体" w:eastAsia="宋体" w:cs="宋体"/>
          <w:b/>
          <w:color w:val="auto"/>
          <w:sz w:val="28"/>
          <w:szCs w:val="28"/>
          <w:highlight w:val="none"/>
        </w:rPr>
        <w:t>六、定 标</w:t>
      </w:r>
      <w:bookmarkEnd w:id="80"/>
      <w:bookmarkEnd w:id="81"/>
      <w:bookmarkEnd w:id="82"/>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838" w:leftChars="104" w:hanging="620" w:firstLineChars="0"/>
        <w:textAlignment w:val="auto"/>
        <w:outlineLvl w:val="1"/>
        <w:rPr>
          <w:rFonts w:hint="eastAsia" w:ascii="宋体" w:hAnsi="宋体" w:eastAsia="宋体" w:cs="宋体"/>
          <w:b/>
          <w:color w:val="auto"/>
          <w:sz w:val="24"/>
          <w:szCs w:val="24"/>
          <w:highlight w:val="none"/>
        </w:rPr>
      </w:pPr>
      <w:bookmarkStart w:id="83" w:name="_Toc18569"/>
      <w:bookmarkStart w:id="84" w:name="_Toc7924"/>
      <w:r>
        <w:rPr>
          <w:rFonts w:hint="eastAsia" w:ascii="宋体" w:hAnsi="宋体" w:eastAsia="宋体" w:cs="宋体"/>
          <w:b/>
          <w:color w:val="auto"/>
          <w:sz w:val="24"/>
          <w:szCs w:val="24"/>
          <w:highlight w:val="none"/>
        </w:rPr>
        <w:t>确定</w:t>
      </w:r>
      <w:r>
        <w:rPr>
          <w:rFonts w:hint="eastAsia" w:ascii="宋体" w:hAnsi="宋体" w:eastAsia="宋体" w:cs="宋体"/>
          <w:b/>
          <w:color w:val="auto"/>
          <w:sz w:val="24"/>
          <w:szCs w:val="24"/>
          <w:highlight w:val="none"/>
          <w:lang w:eastAsia="zh-CN"/>
        </w:rPr>
        <w:t>中标人</w:t>
      </w:r>
      <w:bookmarkEnd w:id="83"/>
      <w:bookmarkEnd w:id="84"/>
    </w:p>
    <w:p>
      <w:pPr>
        <w:pStyle w:val="106"/>
        <w:snapToGrid w:val="0"/>
        <w:spacing w:before="0" w:line="360" w:lineRule="auto"/>
        <w:ind w:left="842" w:leftChars="401" w:firstLine="10" w:firstLineChars="5"/>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采购人将自收到评审报告之日起5个工作日内通过电子交易平台在评审报告推荐的中标候选人中按顺序确定</w:t>
      </w:r>
      <w:r>
        <w:rPr>
          <w:rFonts w:hint="eastAsia" w:ascii="宋体" w:hAnsi="宋体" w:cs="宋体"/>
          <w:color w:val="auto"/>
          <w:sz w:val="21"/>
          <w:szCs w:val="21"/>
          <w:highlight w:val="none"/>
          <w:lang w:eastAsia="zh-CN"/>
        </w:rPr>
        <w:t>中标人</w:t>
      </w:r>
      <w:r>
        <w:rPr>
          <w:rFonts w:hint="eastAsia" w:ascii="宋体" w:hAnsi="宋体" w:eastAsia="宋体" w:cs="宋体"/>
          <w:color w:val="auto"/>
          <w:sz w:val="21"/>
          <w:szCs w:val="21"/>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838" w:leftChars="104" w:hanging="620" w:firstLineChars="0"/>
        <w:textAlignment w:val="auto"/>
        <w:outlineLvl w:val="1"/>
        <w:rPr>
          <w:rFonts w:hint="eastAsia" w:ascii="宋体" w:hAnsi="宋体" w:eastAsia="宋体" w:cs="宋体"/>
          <w:b/>
          <w:color w:val="auto"/>
          <w:sz w:val="24"/>
          <w:szCs w:val="24"/>
          <w:highlight w:val="none"/>
        </w:rPr>
      </w:pPr>
      <w:bookmarkStart w:id="85" w:name="_Toc9497"/>
      <w:bookmarkStart w:id="86" w:name="_Toc27084"/>
      <w:r>
        <w:rPr>
          <w:rFonts w:hint="eastAsia" w:ascii="宋体" w:hAnsi="宋体" w:eastAsia="宋体" w:cs="宋体"/>
          <w:b/>
          <w:color w:val="auto"/>
          <w:sz w:val="24"/>
          <w:szCs w:val="24"/>
          <w:highlight w:val="none"/>
        </w:rPr>
        <w:t>中标通知</w:t>
      </w:r>
      <w:r>
        <w:rPr>
          <w:rFonts w:hint="eastAsia" w:ascii="宋体" w:hAnsi="宋体" w:eastAsia="宋体" w:cs="宋体"/>
          <w:b/>
          <w:color w:val="auto"/>
          <w:sz w:val="24"/>
          <w:szCs w:val="24"/>
          <w:highlight w:val="none"/>
          <w:lang w:eastAsia="zh-CN"/>
        </w:rPr>
        <w:t>书</w:t>
      </w:r>
      <w:r>
        <w:rPr>
          <w:rFonts w:hint="eastAsia" w:ascii="宋体" w:hAnsi="宋体" w:eastAsia="宋体" w:cs="宋体"/>
          <w:b/>
          <w:color w:val="auto"/>
          <w:sz w:val="24"/>
          <w:szCs w:val="24"/>
          <w:highlight w:val="none"/>
        </w:rPr>
        <w:t>与中标结果公告</w:t>
      </w:r>
      <w:bookmarkEnd w:id="85"/>
      <w:bookmarkEnd w:id="86"/>
    </w:p>
    <w:p>
      <w:pPr>
        <w:pageBreakBefore w:val="0"/>
        <w:numPr>
          <w:ilvl w:val="1"/>
          <w:numId w:val="4"/>
        </w:numPr>
        <w:kinsoku/>
        <w:wordWrap/>
        <w:overflowPunct/>
        <w:topLinePunct w:val="0"/>
        <w:autoSpaceDE/>
        <w:autoSpaceDN/>
        <w:bidi w:val="0"/>
        <w:adjustRightInd/>
        <w:snapToGrid w:val="0"/>
        <w:spacing w:line="360" w:lineRule="auto"/>
        <w:ind w:left="838" w:leftChars="104" w:hanging="62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自中标人确定之日起2个工作日内，</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通过电子交易平台向中标人发出中标通知书，同时编制发布采购结果公告。</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lang w:val="en-US" w:eastAsia="zh-CN"/>
        </w:rPr>
        <w:t>也</w:t>
      </w:r>
      <w:r>
        <w:rPr>
          <w:rFonts w:hint="eastAsia" w:ascii="宋体" w:hAnsi="宋体" w:eastAsia="宋体" w:cs="宋体"/>
          <w:color w:val="auto"/>
          <w:sz w:val="21"/>
          <w:szCs w:val="21"/>
          <w:highlight w:val="none"/>
        </w:rPr>
        <w:t>可以以纸质形式</w:t>
      </w:r>
      <w:r>
        <w:rPr>
          <w:rFonts w:hint="eastAsia" w:ascii="宋体" w:hAnsi="宋体" w:eastAsia="宋体" w:cs="宋体"/>
          <w:color w:val="auto"/>
          <w:sz w:val="21"/>
          <w:szCs w:val="21"/>
          <w:highlight w:val="none"/>
          <w:lang w:val="en-US" w:eastAsia="zh-CN"/>
        </w:rPr>
        <w:t>发出</w:t>
      </w:r>
      <w:r>
        <w:rPr>
          <w:rFonts w:hint="eastAsia" w:ascii="宋体" w:hAnsi="宋体" w:eastAsia="宋体" w:cs="宋体"/>
          <w:color w:val="auto"/>
          <w:sz w:val="21"/>
          <w:szCs w:val="21"/>
          <w:highlight w:val="none"/>
        </w:rPr>
        <w:t>中标通知</w:t>
      </w:r>
      <w:r>
        <w:rPr>
          <w:rFonts w:hint="eastAsia" w:ascii="宋体" w:hAnsi="宋体" w:eastAsia="宋体" w:cs="宋体"/>
          <w:color w:val="auto"/>
          <w:sz w:val="21"/>
          <w:szCs w:val="21"/>
          <w:highlight w:val="none"/>
          <w:lang w:val="en-US" w:eastAsia="zh-CN"/>
        </w:rPr>
        <w:t>书</w:t>
      </w:r>
      <w:r>
        <w:rPr>
          <w:rFonts w:hint="eastAsia" w:ascii="宋体" w:hAnsi="宋体" w:eastAsia="宋体" w:cs="宋体"/>
          <w:color w:val="auto"/>
          <w:sz w:val="21"/>
          <w:szCs w:val="21"/>
          <w:highlight w:val="none"/>
        </w:rPr>
        <w:t>。</w:t>
      </w:r>
    </w:p>
    <w:p>
      <w:pPr>
        <w:pageBreakBefore w:val="0"/>
        <w:numPr>
          <w:ilvl w:val="1"/>
          <w:numId w:val="4"/>
        </w:numPr>
        <w:kinsoku/>
        <w:wordWrap/>
        <w:overflowPunct/>
        <w:topLinePunct w:val="0"/>
        <w:autoSpaceDE/>
        <w:autoSpaceDN/>
        <w:bidi w:val="0"/>
        <w:adjustRightInd/>
        <w:snapToGrid w:val="0"/>
        <w:spacing w:line="360" w:lineRule="auto"/>
        <w:ind w:left="838" w:leftChars="104" w:hanging="6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中标结果公告内容包括采购人及其委托的</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的名称、地址、联系方式，项目名称和项目编号，中标人名称、地址和中标金额，主要中标标的的名称、规格型号、数量、单价、服务要求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中标公告期限</w:t>
      </w:r>
      <w:r>
        <w:rPr>
          <w:rFonts w:hint="eastAsia" w:ascii="宋体" w:hAnsi="宋体" w:eastAsia="宋体" w:cs="宋体"/>
          <w:color w:val="auto"/>
          <w:sz w:val="21"/>
          <w:szCs w:val="21"/>
          <w:highlight w:val="none"/>
          <w:lang w:val="en-US" w:eastAsia="zh-CN"/>
        </w:rPr>
        <w:t>以及</w:t>
      </w:r>
      <w:r>
        <w:rPr>
          <w:rFonts w:hint="eastAsia" w:ascii="宋体" w:hAnsi="宋体" w:eastAsia="宋体" w:cs="宋体"/>
          <w:color w:val="auto"/>
          <w:sz w:val="21"/>
          <w:szCs w:val="21"/>
          <w:highlight w:val="none"/>
        </w:rPr>
        <w:t>评审专家名单</w:t>
      </w:r>
      <w:r>
        <w:rPr>
          <w:rFonts w:hint="eastAsia" w:ascii="宋体" w:hAnsi="宋体" w:eastAsia="宋体" w:cs="宋体"/>
          <w:color w:val="auto"/>
          <w:sz w:val="21"/>
          <w:szCs w:val="21"/>
          <w:highlight w:val="none"/>
          <w:lang w:val="en-US" w:eastAsia="zh-CN"/>
        </w:rPr>
        <w:t>等。</w:t>
      </w:r>
    </w:p>
    <w:p>
      <w:pPr>
        <w:pageBreakBefore w:val="0"/>
        <w:numPr>
          <w:ilvl w:val="1"/>
          <w:numId w:val="4"/>
        </w:numPr>
        <w:kinsoku/>
        <w:wordWrap/>
        <w:overflowPunct/>
        <w:topLinePunct w:val="0"/>
        <w:autoSpaceDE/>
        <w:autoSpaceDN/>
        <w:bidi w:val="0"/>
        <w:adjustRightInd/>
        <w:snapToGrid w:val="0"/>
        <w:spacing w:line="360" w:lineRule="auto"/>
        <w:ind w:left="838" w:leftChars="104" w:hanging="6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采购结果</w:t>
      </w:r>
      <w:r>
        <w:rPr>
          <w:rFonts w:hint="eastAsia" w:ascii="宋体" w:hAnsi="宋体" w:eastAsia="宋体" w:cs="宋体"/>
          <w:color w:val="auto"/>
          <w:sz w:val="21"/>
          <w:szCs w:val="21"/>
          <w:highlight w:val="none"/>
        </w:rPr>
        <w:t>公告期限为1个工作日。</w:t>
      </w:r>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ascii="宋体" w:hAnsi="宋体" w:eastAsia="宋体" w:cs="宋体"/>
          <w:b/>
          <w:color w:val="auto"/>
          <w:sz w:val="28"/>
          <w:szCs w:val="28"/>
          <w:highlight w:val="none"/>
        </w:rPr>
      </w:pPr>
      <w:bookmarkStart w:id="87" w:name="_Toc21779"/>
      <w:bookmarkStart w:id="88" w:name="_Toc4060"/>
      <w:bookmarkStart w:id="89" w:name="_Toc28432"/>
      <w:r>
        <w:rPr>
          <w:rFonts w:hint="eastAsia" w:ascii="宋体" w:hAnsi="宋体" w:eastAsia="宋体" w:cs="宋体"/>
          <w:b/>
          <w:color w:val="auto"/>
          <w:sz w:val="28"/>
          <w:szCs w:val="28"/>
          <w:highlight w:val="none"/>
        </w:rPr>
        <w:t>七、合同授予</w:t>
      </w:r>
      <w:bookmarkEnd w:id="87"/>
      <w:bookmarkEnd w:id="88"/>
      <w:bookmarkEnd w:id="89"/>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90" w:name="_Toc4456"/>
      <w:bookmarkStart w:id="91" w:name="_Toc18582"/>
      <w:r>
        <w:rPr>
          <w:rFonts w:hint="eastAsia" w:ascii="宋体" w:hAnsi="宋体" w:eastAsia="宋体" w:cs="宋体"/>
          <w:b/>
          <w:color w:val="auto"/>
          <w:sz w:val="24"/>
          <w:szCs w:val="24"/>
          <w:highlight w:val="none"/>
        </w:rPr>
        <w:t>合同主要条款详见第</w:t>
      </w: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部分拟签订的合同文本。</w:t>
      </w:r>
      <w:bookmarkEnd w:id="90"/>
      <w:bookmarkEnd w:id="91"/>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rPr>
      </w:pPr>
      <w:bookmarkStart w:id="92" w:name="_Toc10587"/>
      <w:bookmarkStart w:id="93" w:name="_Toc1114"/>
      <w:r>
        <w:rPr>
          <w:rFonts w:hint="eastAsia" w:ascii="宋体" w:hAnsi="宋体" w:eastAsia="宋体" w:cs="宋体"/>
          <w:b/>
          <w:color w:val="auto"/>
          <w:sz w:val="24"/>
          <w:szCs w:val="24"/>
          <w:highlight w:val="none"/>
        </w:rPr>
        <w:t>合同的签订</w:t>
      </w:r>
      <w:bookmarkEnd w:id="92"/>
      <w:bookmarkEnd w:id="93"/>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采购人与中标人应当通过电子交易平台在中标通知书发出之日起三十日内，按照招标文件</w:t>
      </w:r>
      <w:r>
        <w:rPr>
          <w:rFonts w:hint="eastAsia" w:ascii="宋体" w:hAnsi="宋体" w:eastAsia="宋体" w:cs="宋体"/>
          <w:color w:val="auto"/>
          <w:kern w:val="0"/>
          <w:sz w:val="21"/>
          <w:szCs w:val="21"/>
          <w:highlight w:val="none"/>
          <w:lang w:eastAsia="zh-CN"/>
        </w:rPr>
        <w:t>和中标人投标文件等</w:t>
      </w:r>
      <w:r>
        <w:rPr>
          <w:rFonts w:hint="eastAsia" w:ascii="宋体" w:hAnsi="宋体" w:eastAsia="宋体" w:cs="宋体"/>
          <w:color w:val="auto"/>
          <w:kern w:val="0"/>
          <w:sz w:val="21"/>
          <w:szCs w:val="21"/>
          <w:highlight w:val="none"/>
        </w:rPr>
        <w:t>确定的事项签订政府采购合同，并在合同签订之日起2个工作日内依法发布合同公告。</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拒绝与采购人签订合同的，采购人可以按照评审报告推荐的中标或者成交候选人名单排序，确定下一候选人为</w:t>
      </w:r>
      <w:r>
        <w:rPr>
          <w:rFonts w:hint="eastAsia" w:ascii="宋体"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，也可以重新开展政府采购活动。</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鼓励有条件的</w:t>
      </w:r>
      <w:r>
        <w:rPr>
          <w:rFonts w:hint="eastAsia" w:ascii="宋体" w:hAnsi="宋体" w:eastAsia="宋体" w:cs="宋体"/>
          <w:color w:val="auto"/>
          <w:sz w:val="21"/>
          <w:szCs w:val="21"/>
          <w:highlight w:val="none"/>
        </w:rPr>
        <w:t>采购人与</w:t>
      </w:r>
      <w:r>
        <w:rPr>
          <w:rFonts w:hint="eastAsia" w:ascii="宋体" w:hAnsi="宋体" w:eastAsia="宋体" w:cs="宋体"/>
          <w:color w:val="auto"/>
          <w:sz w:val="21"/>
          <w:szCs w:val="21"/>
          <w:highlight w:val="none"/>
          <w:lang w:eastAsia="zh-CN"/>
        </w:rPr>
        <w:t>中标人</w:t>
      </w:r>
      <w:r>
        <w:rPr>
          <w:rFonts w:hint="eastAsia" w:ascii="宋体" w:hAnsi="宋体" w:eastAsia="宋体" w:cs="宋体"/>
          <w:color w:val="auto"/>
          <w:sz w:val="21"/>
          <w:szCs w:val="21"/>
          <w:highlight w:val="none"/>
        </w:rPr>
        <w:t>通过政府采购电子交易平台在线签订</w:t>
      </w:r>
      <w:r>
        <w:rPr>
          <w:rFonts w:hint="eastAsia" w:ascii="宋体" w:hAnsi="宋体" w:eastAsia="宋体" w:cs="宋体"/>
          <w:color w:val="auto"/>
          <w:sz w:val="21"/>
          <w:szCs w:val="21"/>
          <w:highlight w:val="none"/>
          <w:lang w:val="en-US" w:eastAsia="zh-CN"/>
        </w:rPr>
        <w:t>政府采购合同</w:t>
      </w:r>
      <w:r>
        <w:rPr>
          <w:rFonts w:hint="eastAsia" w:ascii="宋体" w:hAnsi="宋体" w:eastAsia="宋体" w:cs="宋体"/>
          <w:color w:val="auto"/>
          <w:sz w:val="21"/>
          <w:szCs w:val="21"/>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sz w:val="24"/>
          <w:szCs w:val="24"/>
          <w:highlight w:val="none"/>
          <w:lang w:eastAsia="zh-CN"/>
        </w:rPr>
      </w:pPr>
      <w:bookmarkStart w:id="94" w:name="_Toc11047"/>
      <w:bookmarkStart w:id="95" w:name="_Toc9600"/>
      <w:r>
        <w:rPr>
          <w:rFonts w:hint="eastAsia" w:ascii="宋体" w:hAnsi="宋体" w:eastAsia="宋体" w:cs="宋体"/>
          <w:b/>
          <w:color w:val="auto"/>
          <w:sz w:val="24"/>
          <w:szCs w:val="24"/>
          <w:highlight w:val="none"/>
        </w:rPr>
        <w:t>履约保证金</w:t>
      </w:r>
      <w:r>
        <w:rPr>
          <w:rFonts w:hint="eastAsia" w:ascii="宋体" w:hAnsi="宋体" w:eastAsia="宋体" w:cs="宋体"/>
          <w:b/>
          <w:color w:val="auto"/>
          <w:sz w:val="24"/>
          <w:szCs w:val="24"/>
          <w:highlight w:val="none"/>
          <w:lang w:eastAsia="zh-CN"/>
        </w:rPr>
        <w:t>和预付款</w:t>
      </w:r>
      <w:bookmarkEnd w:id="94"/>
      <w:bookmarkEnd w:id="95"/>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履约保证金</w:t>
      </w:r>
      <w:r>
        <w:rPr>
          <w:rFonts w:hint="eastAsia" w:ascii="宋体" w:hAnsi="宋体" w:eastAsia="宋体" w:cs="宋体"/>
          <w:color w:val="auto"/>
          <w:kern w:val="2"/>
          <w:sz w:val="21"/>
          <w:szCs w:val="21"/>
          <w:highlight w:val="none"/>
        </w:rPr>
        <w:t>拟签订的合同文本要求</w:t>
      </w:r>
      <w:r>
        <w:rPr>
          <w:rFonts w:hint="eastAsia" w:ascii="宋体" w:hAnsi="宋体" w:eastAsia="宋体" w:cs="宋体"/>
          <w:color w:val="auto"/>
          <w:kern w:val="2"/>
          <w:sz w:val="21"/>
          <w:szCs w:val="21"/>
          <w:highlight w:val="none"/>
          <w:lang w:eastAsia="zh-CN"/>
        </w:rPr>
        <w:t>中标人</w:t>
      </w:r>
      <w:r>
        <w:rPr>
          <w:rFonts w:hint="eastAsia" w:ascii="宋体" w:hAnsi="宋体" w:eastAsia="宋体" w:cs="宋体"/>
          <w:color w:val="auto"/>
          <w:kern w:val="2"/>
          <w:sz w:val="21"/>
          <w:szCs w:val="21"/>
          <w:highlight w:val="none"/>
        </w:rPr>
        <w:t>提交履约保证金的，</w:t>
      </w:r>
      <w:r>
        <w:rPr>
          <w:rFonts w:hint="eastAsia" w:ascii="宋体" w:hAnsi="宋体" w:eastAsia="宋体" w:cs="宋体"/>
          <w:color w:val="auto"/>
          <w:sz w:val="21"/>
          <w:szCs w:val="21"/>
          <w:highlight w:val="none"/>
        </w:rPr>
        <w:t>履约保证金的数额不得超过政府采购合同金额的</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2"/>
          <w:sz w:val="21"/>
          <w:szCs w:val="21"/>
          <w:highlight w:val="none"/>
        </w:rPr>
        <w:t>供应商应当以支票、汇票、本票或者金融机构</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保险机构</w:t>
      </w:r>
      <w:r>
        <w:rPr>
          <w:rFonts w:hint="eastAsia" w:ascii="宋体" w:hAnsi="宋体" w:eastAsia="宋体" w:cs="宋体"/>
          <w:color w:val="auto"/>
          <w:kern w:val="2"/>
          <w:sz w:val="21"/>
          <w:szCs w:val="21"/>
          <w:highlight w:val="none"/>
        </w:rPr>
        <w:t>出具的保函等非现金形式提交</w:t>
      </w:r>
      <w:r>
        <w:rPr>
          <w:rFonts w:hint="eastAsia" w:ascii="宋体" w:hAnsi="宋体" w:eastAsia="宋体" w:cs="宋体"/>
          <w:color w:val="auto"/>
          <w:sz w:val="21"/>
          <w:szCs w:val="21"/>
          <w:highlight w:val="none"/>
        </w:rPr>
        <w:t>。鼓励和支持供应商以银行、保险公司出具的保函形式提供履约保证金。</w:t>
      </w:r>
      <w:r>
        <w:rPr>
          <w:rFonts w:hint="eastAsia" w:ascii="宋体" w:hAnsi="宋体" w:eastAsia="宋体" w:cs="宋体"/>
          <w:b w:val="0"/>
          <w:color w:val="auto"/>
          <w:sz w:val="21"/>
          <w:szCs w:val="21"/>
          <w:highlight w:val="none"/>
        </w:rPr>
        <w:t>采购人不得拒收履约保</w:t>
      </w:r>
      <w:r>
        <w:rPr>
          <w:rFonts w:hint="eastAsia" w:ascii="宋体" w:hAnsi="宋体" w:eastAsia="宋体" w:cs="宋体"/>
          <w:b w:val="0"/>
          <w:color w:val="auto"/>
          <w:sz w:val="21"/>
          <w:szCs w:val="21"/>
          <w:highlight w:val="none"/>
          <w:lang w:val="en-US" w:eastAsia="zh-CN"/>
        </w:rPr>
        <w:t>函。</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供应商</w:t>
      </w:r>
      <w:r>
        <w:rPr>
          <w:rFonts w:hint="eastAsia" w:ascii="宋体" w:hAnsi="宋体" w:eastAsia="宋体" w:cs="宋体"/>
          <w:b w:val="0"/>
          <w:bCs w:val="0"/>
          <w:snapToGrid/>
          <w:color w:val="auto"/>
          <w:kern w:val="2"/>
          <w:sz w:val="21"/>
          <w:szCs w:val="21"/>
          <w:highlight w:val="none"/>
          <w:lang w:val="en-US" w:eastAsia="zh-CN"/>
        </w:rPr>
        <w:t>也</w:t>
      </w:r>
      <w:r>
        <w:rPr>
          <w:rFonts w:hint="eastAsia" w:ascii="宋体" w:hAnsi="宋体" w:eastAsia="宋体" w:cs="宋体"/>
          <w:b w:val="0"/>
          <w:bCs w:val="0"/>
          <w:snapToGrid/>
          <w:color w:val="auto"/>
          <w:kern w:val="2"/>
          <w:sz w:val="21"/>
          <w:szCs w:val="21"/>
          <w:highlight w:val="none"/>
          <w:lang w:val="en-US"/>
        </w:rPr>
        <w:t>可</w:t>
      </w:r>
      <w:r>
        <w:rPr>
          <w:rFonts w:hint="eastAsia" w:ascii="宋体" w:hAnsi="宋体" w:eastAsia="宋体" w:cs="宋体"/>
          <w:b w:val="0"/>
          <w:bCs w:val="0"/>
          <w:snapToGrid/>
          <w:color w:val="auto"/>
          <w:kern w:val="2"/>
          <w:sz w:val="21"/>
          <w:szCs w:val="21"/>
          <w:highlight w:val="none"/>
          <w:lang w:val="en-US" w:eastAsia="zh-CN"/>
        </w:rPr>
        <w:t>以</w:t>
      </w:r>
      <w:r>
        <w:rPr>
          <w:rFonts w:hint="eastAsia" w:ascii="宋体" w:hAnsi="宋体" w:eastAsia="宋体" w:cs="宋体"/>
          <w:b w:val="0"/>
          <w:bCs w:val="0"/>
          <w:snapToGrid/>
          <w:color w:val="auto"/>
          <w:kern w:val="2"/>
          <w:sz w:val="21"/>
          <w:szCs w:val="21"/>
          <w:highlight w:val="none"/>
        </w:rPr>
        <w:t>登录政采云平台-</w:t>
      </w:r>
      <w:r>
        <w:rPr>
          <w:rFonts w:hint="eastAsia" w:ascii="宋体" w:hAnsi="宋体" w:eastAsia="宋体" w:cs="宋体"/>
          <w:b w:val="0"/>
          <w:bCs w:val="0"/>
          <w:snapToGrid/>
          <w:color w:val="auto"/>
          <w:kern w:val="2"/>
          <w:sz w:val="21"/>
          <w:szCs w:val="21"/>
          <w:highlight w:val="none"/>
          <w:lang w:val="en-US" w:eastAsia="zh-CN"/>
        </w:rPr>
        <w:t>[</w:t>
      </w:r>
      <w:r>
        <w:rPr>
          <w:rFonts w:hint="eastAsia" w:ascii="宋体" w:hAnsi="宋体" w:eastAsia="宋体" w:cs="宋体"/>
          <w:b w:val="0"/>
          <w:bCs w:val="0"/>
          <w:snapToGrid/>
          <w:color w:val="auto"/>
          <w:kern w:val="2"/>
          <w:sz w:val="21"/>
          <w:szCs w:val="21"/>
          <w:highlight w:val="none"/>
        </w:rPr>
        <w:t>金融服务</w:t>
      </w:r>
      <w:r>
        <w:rPr>
          <w:rFonts w:hint="eastAsia" w:ascii="宋体" w:hAnsi="宋体" w:eastAsia="宋体" w:cs="宋体"/>
          <w:b w:val="0"/>
          <w:bCs w:val="0"/>
          <w:snapToGrid/>
          <w:color w:val="auto"/>
          <w:kern w:val="2"/>
          <w:sz w:val="21"/>
          <w:szCs w:val="21"/>
          <w:highlight w:val="none"/>
          <w:lang w:eastAsia="zh-CN"/>
        </w:rPr>
        <w:t>]</w:t>
      </w:r>
      <w:r>
        <w:rPr>
          <w:rFonts w:hint="eastAsia" w:ascii="宋体" w:hAnsi="宋体" w:eastAsia="宋体" w:cs="宋体"/>
          <w:b w:val="0"/>
          <w:bCs w:val="0"/>
          <w:snapToGrid/>
          <w:color w:val="auto"/>
          <w:kern w:val="2"/>
          <w:sz w:val="21"/>
          <w:szCs w:val="21"/>
          <w:highlight w:val="none"/>
        </w:rPr>
        <w:t>—</w:t>
      </w:r>
      <w:r>
        <w:rPr>
          <w:rFonts w:hint="eastAsia" w:ascii="宋体" w:hAnsi="宋体" w:eastAsia="宋体" w:cs="宋体"/>
          <w:b w:val="0"/>
          <w:bCs w:val="0"/>
          <w:snapToGrid/>
          <w:color w:val="auto"/>
          <w:kern w:val="2"/>
          <w:sz w:val="21"/>
          <w:szCs w:val="21"/>
          <w:highlight w:val="none"/>
          <w:lang w:eastAsia="zh-CN"/>
        </w:rPr>
        <w:t>[</w:t>
      </w:r>
      <w:r>
        <w:rPr>
          <w:rFonts w:hint="eastAsia" w:ascii="宋体" w:hAnsi="宋体" w:eastAsia="宋体" w:cs="宋体"/>
          <w:b w:val="0"/>
          <w:bCs w:val="0"/>
          <w:snapToGrid/>
          <w:color w:val="auto"/>
          <w:kern w:val="2"/>
          <w:sz w:val="21"/>
          <w:szCs w:val="21"/>
          <w:highlight w:val="none"/>
        </w:rPr>
        <w:t>我的项目</w:t>
      </w:r>
      <w:r>
        <w:rPr>
          <w:rFonts w:hint="eastAsia" w:ascii="宋体" w:hAnsi="宋体" w:eastAsia="宋体" w:cs="宋体"/>
          <w:b w:val="0"/>
          <w:bCs w:val="0"/>
          <w:snapToGrid/>
          <w:color w:val="auto"/>
          <w:kern w:val="2"/>
          <w:sz w:val="21"/>
          <w:szCs w:val="21"/>
          <w:highlight w:val="none"/>
          <w:lang w:eastAsia="zh-CN"/>
        </w:rPr>
        <w:t>]</w:t>
      </w:r>
      <w:r>
        <w:rPr>
          <w:rFonts w:hint="eastAsia" w:ascii="宋体" w:hAnsi="宋体" w:eastAsia="宋体" w:cs="宋体"/>
          <w:b w:val="0"/>
          <w:bCs w:val="0"/>
          <w:snapToGrid/>
          <w:color w:val="auto"/>
          <w:kern w:val="2"/>
          <w:sz w:val="21"/>
          <w:szCs w:val="21"/>
          <w:highlight w:val="none"/>
        </w:rPr>
        <w:t>—</w:t>
      </w:r>
      <w:r>
        <w:rPr>
          <w:rFonts w:hint="eastAsia" w:ascii="宋体" w:hAnsi="宋体" w:eastAsia="宋体" w:cs="宋体"/>
          <w:b w:val="0"/>
          <w:bCs w:val="0"/>
          <w:snapToGrid/>
          <w:color w:val="auto"/>
          <w:kern w:val="2"/>
          <w:sz w:val="21"/>
          <w:szCs w:val="21"/>
          <w:highlight w:val="none"/>
          <w:lang w:eastAsia="zh-CN"/>
        </w:rPr>
        <w:t>[</w:t>
      </w:r>
      <w:r>
        <w:rPr>
          <w:rFonts w:hint="eastAsia" w:ascii="宋体" w:hAnsi="宋体" w:eastAsia="宋体" w:cs="宋体"/>
          <w:b w:val="0"/>
          <w:bCs w:val="0"/>
          <w:snapToGrid/>
          <w:color w:val="auto"/>
          <w:kern w:val="2"/>
          <w:sz w:val="21"/>
          <w:szCs w:val="21"/>
          <w:highlight w:val="none"/>
        </w:rPr>
        <w:t>已备案合同</w:t>
      </w:r>
      <w:r>
        <w:rPr>
          <w:rFonts w:hint="eastAsia" w:ascii="宋体" w:hAnsi="宋体" w:eastAsia="宋体" w:cs="宋体"/>
          <w:b w:val="0"/>
          <w:bCs w:val="0"/>
          <w:snapToGrid/>
          <w:color w:val="auto"/>
          <w:kern w:val="2"/>
          <w:sz w:val="21"/>
          <w:szCs w:val="21"/>
          <w:highlight w:val="none"/>
          <w:lang w:eastAsia="zh-CN"/>
        </w:rPr>
        <w:t>]</w:t>
      </w:r>
      <w:r>
        <w:rPr>
          <w:rFonts w:hint="eastAsia" w:ascii="宋体" w:hAnsi="宋体" w:eastAsia="宋体" w:cs="宋体"/>
          <w:b w:val="0"/>
          <w:bCs w:val="0"/>
          <w:snapToGrid/>
          <w:color w:val="auto"/>
          <w:kern w:val="2"/>
          <w:sz w:val="21"/>
          <w:szCs w:val="21"/>
          <w:highlight w:val="none"/>
        </w:rPr>
        <w:t>以保函形式提供：</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①供应商在合同列表选择需要投保的合同，点击[保函推荐]。②在弹框里查看推荐的保函</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产品，供应商自行选择保函产品，点击[立即申请]。③在弹框里填写保函申请信息。具体</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步骤：选择产品—填写供应商信息—选择中标项目—确认信息—等待保险/保函受理—确认</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bCs/>
          <w:snapToGrid w:val="0"/>
          <w:color w:val="auto"/>
          <w:kern w:val="28"/>
          <w:sz w:val="21"/>
          <w:szCs w:val="21"/>
          <w:highlight w:val="none"/>
          <w:lang w:val="en-US" w:eastAsia="zh-CN"/>
        </w:rPr>
      </w:pPr>
      <w:r>
        <w:rPr>
          <w:rFonts w:hint="eastAsia" w:ascii="宋体" w:hAnsi="宋体" w:eastAsia="宋体" w:cs="宋体"/>
          <w:b w:val="0"/>
          <w:bCs w:val="0"/>
          <w:snapToGrid/>
          <w:color w:val="auto"/>
          <w:kern w:val="2"/>
          <w:sz w:val="21"/>
          <w:szCs w:val="21"/>
          <w:highlight w:val="none"/>
        </w:rPr>
        <w:t>保单—支付保费—成功出单。政采云金融专线400-903-9583。</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lang w:val="en-US" w:eastAsia="zh-CN"/>
        </w:rPr>
        <w:t>预付款</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采购单位应当在政府采购合同中约定预付款，对中小企业合同预付款比例原则上不低于合</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同金额的40％，不高于合同金额的70%；项目分年安排预算的，每年预付款比例不低于项</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目年度计划支付资金额的40％，不高于合同金额的70%；采购项目实施以人工投入为主的，</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可适当降低预付款比例，但不得低于20%。对供应商为大型企业的项目或者以人工投入为</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主且实行按月定期结算支付款项的项目，预付款可低于上述比例或者不约定预付款。在签</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订合同时，供应商明确表示无需预付款或者主动要求降低预付款比例的，采购单位可不适</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用前述规定。采购单位根据项目特点、供应商诚信等因素，可以要求供应商提交银行、保</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险公司等金融机构出具的预付款保函或其他担保措施。政府采购预付款应在合同生效以及</w:t>
      </w:r>
    </w:p>
    <w:p>
      <w:pPr>
        <w:pStyle w:val="16"/>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具备实施条件后</w:t>
      </w:r>
      <w:r>
        <w:rPr>
          <w:rFonts w:hint="eastAsia" w:ascii="宋体" w:hAnsi="宋体" w:eastAsia="宋体" w:cs="宋体"/>
          <w:b w:val="0"/>
          <w:bCs w:val="0"/>
          <w:snapToGrid/>
          <w:color w:val="auto"/>
          <w:kern w:val="2"/>
          <w:sz w:val="21"/>
          <w:szCs w:val="21"/>
          <w:highlight w:val="none"/>
          <w:lang w:val="en-US" w:eastAsia="zh-CN"/>
        </w:rPr>
        <w:t>7</w:t>
      </w:r>
      <w:r>
        <w:rPr>
          <w:rFonts w:hint="eastAsia" w:ascii="宋体" w:hAnsi="宋体" w:eastAsia="宋体" w:cs="宋体"/>
          <w:b w:val="0"/>
          <w:bCs w:val="0"/>
          <w:snapToGrid/>
          <w:color w:val="auto"/>
          <w:kern w:val="2"/>
          <w:sz w:val="21"/>
          <w:szCs w:val="21"/>
          <w:highlight w:val="none"/>
        </w:rPr>
        <w:t>个工作日内支付。政府采购工程以及与工程建设有关的货物、服务，采</w:t>
      </w:r>
    </w:p>
    <w:p>
      <w:pPr>
        <w:pStyle w:val="16"/>
        <w:keepNext w:val="0"/>
        <w:keepLines w:val="0"/>
        <w:pageBreakBefore w:val="0"/>
        <w:widowControl w:val="0"/>
        <w:kinsoku/>
        <w:wordWrap/>
        <w:overflowPunct/>
        <w:topLinePunct w:val="0"/>
        <w:autoSpaceDE/>
        <w:autoSpaceDN/>
        <w:bidi w:val="0"/>
        <w:adjustRightInd/>
        <w:spacing w:after="0" w:line="360" w:lineRule="auto"/>
        <w:ind w:left="840" w:leftChars="400" w:firstLine="0" w:firstLineChars="0"/>
        <w:jc w:val="left"/>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用招标方式采购的，预付款从其相关规定。</w:t>
      </w:r>
    </w:p>
    <w:p>
      <w:pPr>
        <w:pStyle w:val="16"/>
        <w:keepNext w:val="0"/>
        <w:keepLines w:val="0"/>
        <w:pageBreakBefore w:val="0"/>
        <w:widowControl w:val="0"/>
        <w:kinsoku/>
        <w:wordWrap/>
        <w:overflowPunct/>
        <w:topLinePunct w:val="0"/>
        <w:autoSpaceDE/>
        <w:autoSpaceDN/>
        <w:bidi w:val="0"/>
        <w:adjustRightInd/>
        <w:spacing w:after="0" w:line="360" w:lineRule="auto"/>
        <w:ind w:left="840" w:leftChars="40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val="0"/>
          <w:bCs w:val="0"/>
          <w:snapToGrid/>
          <w:color w:val="auto"/>
          <w:kern w:val="2"/>
          <w:sz w:val="21"/>
          <w:szCs w:val="21"/>
          <w:highlight w:val="none"/>
        </w:rPr>
        <w:t>供应商</w:t>
      </w:r>
      <w:r>
        <w:rPr>
          <w:rFonts w:hint="eastAsia" w:ascii="宋体" w:hAnsi="宋体" w:eastAsia="宋体" w:cs="宋体"/>
          <w:b w:val="0"/>
          <w:bCs w:val="0"/>
          <w:snapToGrid/>
          <w:color w:val="auto"/>
          <w:kern w:val="2"/>
          <w:sz w:val="21"/>
          <w:szCs w:val="21"/>
          <w:highlight w:val="none"/>
          <w:lang w:val="en-US" w:eastAsia="zh-CN"/>
        </w:rPr>
        <w:t>也可以</w:t>
      </w:r>
      <w:r>
        <w:rPr>
          <w:rFonts w:hint="eastAsia" w:ascii="宋体" w:hAnsi="宋体" w:eastAsia="宋体" w:cs="宋体"/>
          <w:b w:val="0"/>
          <w:bCs w:val="0"/>
          <w:snapToGrid/>
          <w:color w:val="auto"/>
          <w:kern w:val="2"/>
          <w:sz w:val="21"/>
          <w:szCs w:val="21"/>
          <w:highlight w:val="none"/>
        </w:rPr>
        <w:t>登录政采云前台大厅选择金融服务-</w:t>
      </w:r>
      <w:r>
        <w:rPr>
          <w:rFonts w:hint="eastAsia" w:ascii="宋体" w:hAnsi="宋体" w:eastAsia="宋体" w:cs="宋体"/>
          <w:b w:val="0"/>
          <w:bCs w:val="0"/>
          <w:snapToGrid/>
          <w:color w:val="auto"/>
          <w:kern w:val="2"/>
          <w:sz w:val="21"/>
          <w:szCs w:val="21"/>
          <w:highlight w:val="none"/>
          <w:lang w:val="en-US" w:eastAsia="zh-CN"/>
        </w:rPr>
        <w:t>[</w:t>
      </w:r>
      <w:r>
        <w:rPr>
          <w:rFonts w:hint="eastAsia" w:ascii="宋体" w:hAnsi="宋体" w:eastAsia="宋体" w:cs="宋体"/>
          <w:b w:val="0"/>
          <w:bCs w:val="0"/>
          <w:snapToGrid/>
          <w:color w:val="auto"/>
          <w:kern w:val="2"/>
          <w:sz w:val="21"/>
          <w:szCs w:val="21"/>
          <w:highlight w:val="none"/>
        </w:rPr>
        <w:t>保函保险服务</w:t>
      </w:r>
      <w:r>
        <w:rPr>
          <w:rFonts w:hint="eastAsia" w:ascii="宋体" w:hAnsi="宋体" w:eastAsia="宋体" w:cs="宋体"/>
          <w:b w:val="0"/>
          <w:bCs w:val="0"/>
          <w:snapToGrid/>
          <w:color w:val="auto"/>
          <w:kern w:val="2"/>
          <w:sz w:val="21"/>
          <w:szCs w:val="21"/>
          <w:highlight w:val="none"/>
          <w:lang w:val="en-US" w:eastAsia="zh-CN"/>
        </w:rPr>
        <w:t>]</w:t>
      </w:r>
      <w:r>
        <w:rPr>
          <w:rFonts w:hint="eastAsia" w:ascii="宋体" w:hAnsi="宋体" w:eastAsia="宋体" w:cs="宋体"/>
          <w:b w:val="0"/>
          <w:bCs w:val="0"/>
          <w:snapToGrid/>
          <w:color w:val="auto"/>
          <w:kern w:val="2"/>
          <w:sz w:val="21"/>
          <w:szCs w:val="21"/>
          <w:highlight w:val="none"/>
        </w:rPr>
        <w:t>出具预付款保函，具体步骤：选择产品—填写供应商信息—选择中标项目—确认信息—等待保险/保函受理—确认保单—支付保费—成功出单。政采云金融专线400-903-9583。</w:t>
      </w:r>
      <w:r>
        <w:rPr>
          <w:rFonts w:hint="eastAsia" w:ascii="宋体" w:hAnsi="宋体" w:eastAsia="宋体" w:cs="宋体"/>
          <w:b w:val="0"/>
          <w:bCs w:val="0"/>
          <w:snapToGrid w:val="0"/>
          <w:color w:val="auto"/>
          <w:kern w:val="28"/>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ascii="宋体" w:hAnsi="宋体" w:eastAsia="宋体" w:cs="宋体"/>
          <w:b/>
          <w:color w:val="auto"/>
          <w:sz w:val="28"/>
          <w:szCs w:val="28"/>
          <w:highlight w:val="none"/>
        </w:rPr>
      </w:pPr>
      <w:bookmarkStart w:id="96" w:name="_Toc25161"/>
      <w:bookmarkStart w:id="97" w:name="_Toc19992"/>
      <w:bookmarkStart w:id="98" w:name="_Toc17573"/>
      <w:r>
        <w:rPr>
          <w:rFonts w:hint="eastAsia" w:ascii="宋体" w:hAnsi="宋体" w:eastAsia="宋体" w:cs="宋体"/>
          <w:b/>
          <w:color w:val="auto"/>
          <w:sz w:val="28"/>
          <w:szCs w:val="28"/>
          <w:highlight w:val="none"/>
        </w:rPr>
        <w:t>八、电子交易活动的中止</w:t>
      </w:r>
      <w:bookmarkEnd w:id="96"/>
      <w:bookmarkEnd w:id="97"/>
      <w:bookmarkEnd w:id="98"/>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4"/>
          <w:szCs w:val="24"/>
          <w:highlight w:val="none"/>
        </w:rPr>
        <w:t>电子交易活动的中止。</w:t>
      </w:r>
      <w:r>
        <w:rPr>
          <w:rFonts w:hint="eastAsia" w:ascii="宋体" w:hAnsi="宋体" w:eastAsia="宋体" w:cs="宋体"/>
          <w:color w:val="auto"/>
          <w:sz w:val="21"/>
          <w:szCs w:val="21"/>
          <w:highlight w:val="none"/>
        </w:rPr>
        <w:t>采购过程中出现以下情形，导致电子交易平台无法正常运行，或者无法保证电子交易的公平、公正和安全时，</w:t>
      </w:r>
      <w:r>
        <w:rPr>
          <w:rFonts w:hint="eastAsia" w:ascii="宋体" w:hAnsi="宋体" w:eastAsia="宋体" w:cs="宋体"/>
          <w:color w:val="auto"/>
          <w:sz w:val="21"/>
          <w:szCs w:val="21"/>
          <w:highlight w:val="none"/>
          <w:lang w:eastAsia="zh-CN"/>
        </w:rPr>
        <w:t>采购代理机构</w:t>
      </w:r>
      <w:r>
        <w:rPr>
          <w:rFonts w:hint="eastAsia" w:ascii="宋体" w:hAnsi="宋体" w:eastAsia="宋体" w:cs="宋体"/>
          <w:color w:val="auto"/>
          <w:sz w:val="21"/>
          <w:szCs w:val="21"/>
          <w:highlight w:val="none"/>
        </w:rPr>
        <w:t>可中止电子交易活动：</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电子交易平台发生故障而无法登录访问的； </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电子交易平台应用或数据库出现错误，不能进行正常操作的；</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电子交易平台发现严重安全漏洞，有潜在泄密危险的；</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病毒发作导致不能进行正常操作的； </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其他无法保证电子交易的公平、公正和安全的情况。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828" w:leftChars="0" w:firstLine="13" w:firstLineChars="6"/>
        <w:textAlignment w:val="auto"/>
        <w:outlineLvl w:val="1"/>
        <w:rPr>
          <w:rFonts w:hint="eastAsia" w:ascii="宋体" w:hAnsi="宋体" w:eastAsia="宋体" w:cs="宋体"/>
          <w:b/>
          <w:color w:val="auto"/>
          <w:sz w:val="21"/>
          <w:szCs w:val="21"/>
          <w:highlight w:val="none"/>
        </w:rPr>
      </w:pPr>
      <w:bookmarkStart w:id="99" w:name="_Toc24760"/>
      <w:bookmarkStart w:id="100" w:name="_Toc14830"/>
      <w:r>
        <w:rPr>
          <w:rFonts w:hint="eastAsia" w:ascii="宋体" w:hAnsi="宋体" w:eastAsia="宋体" w:cs="宋体"/>
          <w:b/>
          <w:color w:val="auto"/>
          <w:sz w:val="21"/>
          <w:szCs w:val="21"/>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99"/>
      <w:bookmarkEnd w:id="100"/>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ascii="宋体" w:hAnsi="宋体" w:eastAsia="宋体" w:cs="宋体"/>
          <w:b/>
          <w:color w:val="auto"/>
          <w:sz w:val="28"/>
          <w:szCs w:val="28"/>
          <w:highlight w:val="none"/>
        </w:rPr>
      </w:pPr>
      <w:bookmarkStart w:id="101" w:name="_Toc1197"/>
      <w:bookmarkStart w:id="102" w:name="_Toc4729"/>
      <w:bookmarkStart w:id="103" w:name="_Toc11709"/>
      <w:r>
        <w:rPr>
          <w:rFonts w:hint="eastAsia" w:ascii="宋体" w:hAnsi="宋体" w:eastAsia="宋体" w:cs="宋体"/>
          <w:b/>
          <w:color w:val="auto"/>
          <w:sz w:val="28"/>
          <w:szCs w:val="28"/>
          <w:highlight w:val="none"/>
        </w:rPr>
        <w:t>九、验收</w:t>
      </w:r>
      <w:bookmarkEnd w:id="101"/>
      <w:bookmarkEnd w:id="102"/>
      <w:bookmarkEnd w:id="103"/>
    </w:p>
    <w:bookmarkEnd w:id="79"/>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eastAsia" w:ascii="宋体" w:hAnsi="宋体" w:eastAsia="宋体" w:cs="宋体"/>
          <w:b/>
          <w:color w:val="auto"/>
          <w:highlight w:val="none"/>
        </w:rPr>
      </w:pPr>
      <w:bookmarkStart w:id="104" w:name="_Toc31143"/>
      <w:bookmarkStart w:id="105" w:name="_Toc9880"/>
      <w:r>
        <w:rPr>
          <w:rFonts w:hint="eastAsia" w:ascii="宋体" w:hAnsi="宋体" w:eastAsia="宋体" w:cs="宋体"/>
          <w:b/>
          <w:color w:val="auto"/>
          <w:highlight w:val="none"/>
        </w:rPr>
        <w:t>验收</w:t>
      </w:r>
      <w:bookmarkEnd w:id="104"/>
      <w:bookmarkEnd w:id="105"/>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采购人可以邀请参加本项目的其他</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或者第三方机构参与验收。参与验收的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或者第三方机构的意见作为验收书的参考资料一并存档。</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w:t>
      </w:r>
      <w:r>
        <w:rPr>
          <w:rFonts w:hint="eastAsia" w:ascii="宋体" w:hAnsi="宋体" w:eastAsia="宋体" w:cs="宋体"/>
          <w:color w:val="auto"/>
          <w:sz w:val="21"/>
          <w:szCs w:val="21"/>
          <w:highlight w:val="none"/>
          <w:lang w:val="en-US" w:eastAsia="zh-CN"/>
        </w:rPr>
        <w:t>门。</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958" w:hanging="850"/>
        <w:textAlignment w:val="auto"/>
        <w:outlineLvl w:val="1"/>
        <w:rPr>
          <w:rFonts w:hint="default"/>
          <w:color w:val="auto"/>
          <w:highlight w:val="none"/>
          <w:lang w:val="en-US"/>
        </w:rPr>
      </w:pPr>
      <w:bookmarkStart w:id="106" w:name="_Toc6444"/>
      <w:bookmarkStart w:id="107" w:name="_Toc31785"/>
      <w:r>
        <w:rPr>
          <w:rFonts w:hint="eastAsia" w:cs="宋体"/>
          <w:b/>
          <w:bCs/>
          <w:color w:val="auto"/>
          <w:highlight w:val="none"/>
          <w:lang w:val="en-US" w:eastAsia="zh-CN"/>
        </w:rPr>
        <w:t>政府采购履约验收书（参考模板）详见附件4</w:t>
      </w:r>
      <w:bookmarkEnd w:id="106"/>
      <w:bookmarkEnd w:id="107"/>
    </w:p>
    <w:p>
      <w:pPr>
        <w:pStyle w:val="2"/>
        <w:keepNext/>
        <w:keepLines/>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outlineLvl w:val="0"/>
        <w:rPr>
          <w:rFonts w:hint="eastAsia" w:eastAsia="仿宋_GB2312"/>
          <w:color w:val="auto"/>
          <w:highlight w:val="none"/>
          <w:lang w:eastAsia="zh-CN"/>
        </w:rPr>
      </w:pPr>
      <w:bookmarkStart w:id="108" w:name="_Toc17438"/>
      <w:bookmarkStart w:id="109" w:name="_Toc7233"/>
      <w:bookmarkStart w:id="110" w:name="_Toc12093"/>
      <w:r>
        <w:rPr>
          <w:rFonts w:hint="eastAsia" w:ascii="宋体" w:hAnsi="宋体" w:eastAsia="宋体" w:cs="宋体"/>
          <w:b/>
          <w:color w:val="auto"/>
          <w:sz w:val="32"/>
          <w:szCs w:val="32"/>
          <w:highlight w:val="none"/>
          <w:lang w:val="en-US" w:eastAsia="zh-CN"/>
        </w:rPr>
        <w:t>十</w:t>
      </w:r>
      <w:r>
        <w:rPr>
          <w:rFonts w:hint="eastAsia" w:ascii="宋体" w:hAnsi="宋体" w:eastAsia="宋体" w:cs="宋体"/>
          <w:b/>
          <w:color w:val="auto"/>
          <w:sz w:val="32"/>
          <w:szCs w:val="32"/>
          <w:highlight w:val="none"/>
        </w:rPr>
        <w:t>、</w:t>
      </w:r>
      <w:r>
        <w:rPr>
          <w:rFonts w:hint="eastAsia" w:ascii="宋体" w:hAnsi="宋体" w:eastAsia="宋体" w:cs="宋体"/>
          <w:b/>
          <w:color w:val="auto"/>
          <w:sz w:val="32"/>
          <w:szCs w:val="32"/>
          <w:highlight w:val="none"/>
          <w:lang w:val="en-US" w:eastAsia="zh-CN"/>
        </w:rPr>
        <w:t>代理服务费</w:t>
      </w:r>
      <w:bookmarkEnd w:id="108"/>
      <w:bookmarkEnd w:id="109"/>
      <w:bookmarkEnd w:id="110"/>
    </w:p>
    <w:p>
      <w:pPr>
        <w:keepNext w:val="0"/>
        <w:keepLines w:val="0"/>
        <w:pageBreakBefore w:val="0"/>
        <w:widowControl w:val="0"/>
        <w:numPr>
          <w:ilvl w:val="0"/>
          <w:numId w:val="4"/>
        </w:numPr>
        <w:kinsoku/>
        <w:wordWrap/>
        <w:overflowPunct/>
        <w:topLinePunct w:val="0"/>
        <w:autoSpaceDE/>
        <w:autoSpaceDN/>
        <w:bidi w:val="0"/>
        <w:adjustRightInd/>
        <w:snapToGrid w:val="0"/>
        <w:spacing w:line="400" w:lineRule="exact"/>
        <w:ind w:left="958" w:hanging="850"/>
        <w:textAlignment w:val="auto"/>
        <w:outlineLvl w:val="1"/>
        <w:rPr>
          <w:rFonts w:hint="eastAsia" w:ascii="宋体" w:hAnsi="宋体" w:eastAsia="宋体" w:cs="宋体"/>
          <w:b/>
          <w:color w:val="auto"/>
          <w:sz w:val="24"/>
          <w:szCs w:val="24"/>
          <w:highlight w:val="none"/>
        </w:rPr>
      </w:pPr>
      <w:bookmarkStart w:id="111" w:name="_Toc22258"/>
      <w:bookmarkStart w:id="112" w:name="_Toc27591"/>
      <w:r>
        <w:rPr>
          <w:rFonts w:hint="eastAsia" w:ascii="宋体" w:hAnsi="宋体" w:eastAsia="宋体" w:cs="宋体"/>
          <w:b/>
          <w:color w:val="auto"/>
          <w:sz w:val="24"/>
          <w:szCs w:val="24"/>
          <w:highlight w:val="none"/>
        </w:rPr>
        <w:t>代理服务费</w:t>
      </w:r>
      <w:bookmarkEnd w:id="111"/>
      <w:bookmarkEnd w:id="112"/>
    </w:p>
    <w:p>
      <w:pPr>
        <w:pageBreakBefore w:val="0"/>
        <w:numPr>
          <w:ilvl w:val="1"/>
          <w:numId w:val="4"/>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经</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和</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代理机构</w:t>
      </w:r>
      <w:r>
        <w:rPr>
          <w:rFonts w:hint="eastAsia" w:ascii="宋体" w:hAnsi="宋体" w:eastAsia="宋体" w:cs="宋体"/>
          <w:color w:val="auto"/>
          <w:highlight w:val="none"/>
        </w:rPr>
        <w:t>双方协商，</w:t>
      </w:r>
      <w:r>
        <w:rPr>
          <w:rFonts w:hint="eastAsia" w:ascii="宋体" w:hAnsi="宋体" w:eastAsia="宋体" w:cs="宋体"/>
          <w:b/>
          <w:bCs/>
          <w:color w:val="auto"/>
          <w:highlight w:val="none"/>
        </w:rPr>
        <w:t>本次采购代理服务费由</w:t>
      </w:r>
      <w:r>
        <w:rPr>
          <w:rFonts w:hint="eastAsia" w:ascii="宋体" w:hAnsi="宋体" w:eastAsia="宋体" w:cs="宋体"/>
          <w:b/>
          <w:bCs/>
          <w:color w:val="auto"/>
          <w:highlight w:val="none"/>
          <w:lang w:eastAsia="zh-CN"/>
        </w:rPr>
        <w:t>中标人</w:t>
      </w:r>
      <w:r>
        <w:rPr>
          <w:rFonts w:hint="eastAsia" w:ascii="宋体" w:hAnsi="宋体" w:eastAsia="宋体" w:cs="宋体"/>
          <w:b/>
          <w:bCs/>
          <w:color w:val="auto"/>
          <w:highlight w:val="none"/>
        </w:rPr>
        <w:t>支付，</w:t>
      </w:r>
      <w:r>
        <w:rPr>
          <w:rFonts w:hint="eastAsia" w:ascii="宋体" w:hAnsi="宋体"/>
          <w:b/>
          <w:color w:val="auto"/>
          <w:sz w:val="22"/>
          <w:szCs w:val="22"/>
          <w:highlight w:val="none"/>
        </w:rPr>
        <w:t>采购代理服务费</w:t>
      </w:r>
      <w:r>
        <w:rPr>
          <w:rFonts w:hint="eastAsia" w:ascii="宋体" w:hAnsi="宋体"/>
          <w:b/>
          <w:color w:val="auto"/>
          <w:sz w:val="22"/>
          <w:szCs w:val="22"/>
          <w:highlight w:val="none"/>
          <w:lang w:val="en-US" w:eastAsia="zh-CN"/>
        </w:rPr>
        <w:t>按中标价</w:t>
      </w:r>
      <w:r>
        <w:rPr>
          <w:rFonts w:hint="eastAsia" w:ascii="宋体" w:hAnsi="宋体"/>
          <w:b/>
          <w:color w:val="auto"/>
          <w:sz w:val="22"/>
          <w:szCs w:val="22"/>
          <w:highlight w:val="none"/>
        </w:rPr>
        <w:t>根据发改办价格（2003）857号文件及国家计委印发的《招标代理服务收费管理暂行办法》计价格【2002】1980号文件的收费标准</w:t>
      </w:r>
      <w:r>
        <w:rPr>
          <w:rFonts w:hint="eastAsia" w:ascii="宋体" w:hAnsi="宋体"/>
          <w:b/>
          <w:color w:val="auto"/>
          <w:sz w:val="22"/>
          <w:szCs w:val="22"/>
          <w:highlight w:val="none"/>
          <w:lang w:eastAsia="zh-CN"/>
        </w:rPr>
        <w:t>，</w:t>
      </w:r>
      <w:r>
        <w:rPr>
          <w:rFonts w:hint="eastAsia" w:ascii="宋体" w:hAnsi="宋体" w:eastAsia="宋体" w:cs="宋体"/>
          <w:b/>
          <w:bCs/>
          <w:color w:val="auto"/>
          <w:highlight w:val="none"/>
          <w:lang w:val="en-US" w:eastAsia="zh-CN"/>
        </w:rPr>
        <w:t>不足捌仟元按捌仟元收取</w:t>
      </w:r>
      <w:r>
        <w:rPr>
          <w:rFonts w:hint="eastAsia" w:ascii="宋体" w:hAnsi="宋体" w:eastAsia="宋体" w:cs="宋体"/>
          <w:b/>
          <w:bCs/>
          <w:color w:val="auto"/>
          <w:highlight w:val="none"/>
        </w:rPr>
        <w:t>。</w:t>
      </w:r>
      <w:r>
        <w:rPr>
          <w:rFonts w:hint="eastAsia" w:ascii="宋体" w:hAnsi="宋体" w:eastAsia="宋体" w:cs="宋体"/>
          <w:color w:val="auto"/>
          <w:highlight w:val="none"/>
        </w:rPr>
        <w:t>采购代理服务费不在报价中单列，请</w:t>
      </w:r>
      <w:r>
        <w:rPr>
          <w:rFonts w:hint="eastAsia" w:ascii="宋体" w:hAnsi="宋体" w:eastAsia="宋体" w:cs="宋体"/>
          <w:color w:val="auto"/>
          <w:highlight w:val="none"/>
          <w:lang w:eastAsia="zh-CN"/>
        </w:rPr>
        <w:t>投标人</w:t>
      </w:r>
      <w:r>
        <w:rPr>
          <w:rFonts w:hint="eastAsia" w:ascii="宋体" w:hAnsi="宋体" w:eastAsia="宋体" w:cs="宋体"/>
          <w:color w:val="auto"/>
          <w:highlight w:val="none"/>
        </w:rPr>
        <w:t xml:space="preserve">在报价时予以考虑。 </w:t>
      </w:r>
    </w:p>
    <w:p>
      <w:pPr>
        <w:rPr>
          <w:rFonts w:hint="eastAsia"/>
          <w:color w:val="auto"/>
          <w:highlight w:val="none"/>
          <w:lang w:eastAsia="zh-CN"/>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pgNumType w:fmt="numberInDash"/>
          <w:cols w:space="720" w:num="1"/>
          <w:titlePg/>
          <w:docGrid w:linePitch="312" w:charSpace="0"/>
        </w:sectPr>
      </w:pPr>
    </w:p>
    <w:p>
      <w:pPr>
        <w:pStyle w:val="2"/>
        <w:keepNext w:val="0"/>
        <w:keepLines w:val="0"/>
        <w:pageBreakBefore/>
        <w:tabs>
          <w:tab w:val="left" w:pos="840"/>
        </w:tabs>
        <w:spacing w:before="120" w:beforeLines="50" w:after="0" w:line="400" w:lineRule="exact"/>
        <w:jc w:val="center"/>
        <w:rPr>
          <w:rFonts w:hint="default" w:ascii="宋体" w:hAnsi="宋体" w:eastAsia="宋体" w:cs="宋体"/>
          <w:color w:val="auto"/>
          <w:sz w:val="32"/>
          <w:szCs w:val="40"/>
          <w:highlight w:val="none"/>
          <w:lang w:val="en-US" w:eastAsia="zh-CN"/>
        </w:rPr>
      </w:pPr>
      <w:bookmarkStart w:id="113" w:name="_Toc2560"/>
      <w:bookmarkStart w:id="114" w:name="_Toc20555"/>
      <w:bookmarkStart w:id="115" w:name="_Toc14807"/>
      <w:r>
        <w:rPr>
          <w:rFonts w:hint="eastAsia" w:ascii="宋体" w:hAnsi="宋体" w:eastAsia="宋体" w:cs="宋体"/>
          <w:color w:val="auto"/>
          <w:sz w:val="32"/>
          <w:szCs w:val="40"/>
          <w:highlight w:val="none"/>
        </w:rPr>
        <w:t xml:space="preserve">第三部分  </w:t>
      </w:r>
      <w:bookmarkEnd w:id="15"/>
      <w:bookmarkEnd w:id="16"/>
      <w:bookmarkEnd w:id="17"/>
      <w:bookmarkEnd w:id="18"/>
      <w:r>
        <w:rPr>
          <w:rFonts w:hint="eastAsia" w:ascii="宋体" w:hAnsi="宋体" w:eastAsia="宋体" w:cs="宋体"/>
          <w:color w:val="auto"/>
          <w:sz w:val="32"/>
          <w:szCs w:val="40"/>
          <w:highlight w:val="none"/>
          <w:lang w:val="en-US" w:eastAsia="zh-CN"/>
        </w:rPr>
        <w:t>采购需求</w:t>
      </w:r>
      <w:bookmarkEnd w:id="113"/>
      <w:bookmarkEnd w:id="114"/>
      <w:bookmarkEnd w:id="115"/>
    </w:p>
    <w:p>
      <w:pPr>
        <w:pStyle w:val="91"/>
        <w:keepNext w:val="0"/>
        <w:keepLines w:val="0"/>
        <w:pageBreakBefore w:val="0"/>
        <w:widowControl w:val="0"/>
        <w:numPr>
          <w:ilvl w:val="0"/>
          <w:numId w:val="6"/>
        </w:numPr>
        <w:tabs>
          <w:tab w:val="left" w:pos="927"/>
          <w:tab w:val="left" w:pos="993"/>
        </w:tabs>
        <w:kinsoku/>
        <w:wordWrap/>
        <w:overflowPunct/>
        <w:topLinePunct w:val="0"/>
        <w:autoSpaceDE/>
        <w:autoSpaceDN/>
        <w:bidi w:val="0"/>
        <w:adjustRightInd/>
        <w:snapToGrid w:val="0"/>
        <w:spacing w:before="157" w:beforeLines="50" w:after="157" w:afterLines="50" w:line="240" w:lineRule="auto"/>
        <w:ind w:left="0" w:leftChars="0" w:firstLine="420" w:firstLineChars="0"/>
        <w:jc w:val="center"/>
        <w:textAlignment w:val="auto"/>
        <w:outlineLvl w:val="1"/>
        <w:rPr>
          <w:rFonts w:hint="eastAsia" w:ascii="宋体" w:hAnsi="宋体" w:eastAsia="宋体" w:cs="宋体"/>
          <w:b/>
          <w:color w:val="auto"/>
          <w:sz w:val="24"/>
          <w:szCs w:val="24"/>
          <w:highlight w:val="none"/>
        </w:rPr>
      </w:pPr>
      <w:bookmarkStart w:id="116" w:name="_Toc3427"/>
      <w:bookmarkStart w:id="117" w:name="_Toc14578"/>
      <w:bookmarkStart w:id="118" w:name="_Toc9149"/>
      <w:bookmarkStart w:id="119" w:name="_Toc16183"/>
      <w:bookmarkStart w:id="120" w:name="_Toc482111283"/>
      <w:bookmarkStart w:id="121" w:name="_Toc22194"/>
      <w:bookmarkStart w:id="122" w:name="_Toc1268"/>
      <w:bookmarkStart w:id="123" w:name="_Toc9501"/>
      <w:bookmarkStart w:id="124" w:name="_Toc928"/>
      <w:r>
        <w:rPr>
          <w:rFonts w:hint="eastAsia" w:ascii="宋体" w:hAnsi="宋体" w:eastAsia="宋体" w:cs="宋体"/>
          <w:b/>
          <w:color w:val="auto"/>
          <w:sz w:val="24"/>
          <w:szCs w:val="24"/>
          <w:highlight w:val="none"/>
        </w:rPr>
        <w:t>概述</w:t>
      </w:r>
      <w:bookmarkEnd w:id="116"/>
      <w:bookmarkEnd w:id="117"/>
      <w:bookmarkEnd w:id="118"/>
      <w:bookmarkEnd w:id="119"/>
      <w:bookmarkEnd w:id="120"/>
      <w:bookmarkEnd w:id="121"/>
      <w:bookmarkEnd w:id="122"/>
      <w:bookmarkEnd w:id="123"/>
      <w:bookmarkEnd w:id="124"/>
    </w:p>
    <w:p>
      <w:pPr>
        <w:keepNext w:val="0"/>
        <w:keepLines w:val="0"/>
        <w:pageBreakBefore w:val="0"/>
        <w:widowControl w:val="0"/>
        <w:numPr>
          <w:ilvl w:val="1"/>
          <w:numId w:val="7"/>
        </w:numPr>
        <w:tabs>
          <w:tab w:val="left" w:pos="0"/>
          <w:tab w:val="left" w:pos="567"/>
          <w:tab w:val="clear" w:pos="950"/>
        </w:tabs>
        <w:kinsoku/>
        <w:wordWrap/>
        <w:overflowPunct/>
        <w:topLinePunct w:val="0"/>
        <w:autoSpaceDE/>
        <w:autoSpaceDN/>
        <w:bidi w:val="0"/>
        <w:adjustRightInd/>
        <w:snapToGrid w:val="0"/>
        <w:spacing w:line="400" w:lineRule="exact"/>
        <w:ind w:left="567" w:hanging="567"/>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必须完成招标内容和合同规定义务，不允许只对部分内容进行报价。</w:t>
      </w:r>
    </w:p>
    <w:p>
      <w:pPr>
        <w:keepNext w:val="0"/>
        <w:keepLines w:val="0"/>
        <w:pageBreakBefore w:val="0"/>
        <w:numPr>
          <w:ilvl w:val="1"/>
          <w:numId w:val="7"/>
        </w:numPr>
        <w:tabs>
          <w:tab w:val="left" w:pos="567"/>
          <w:tab w:val="clear" w:pos="950"/>
        </w:tabs>
        <w:kinsoku/>
        <w:wordWrap/>
        <w:overflowPunct/>
        <w:topLinePunct w:val="0"/>
        <w:autoSpaceDE/>
        <w:autoSpaceDN/>
        <w:bidi w:val="0"/>
        <w:adjustRightInd/>
        <w:snapToGrid w:val="0"/>
        <w:spacing w:line="400" w:lineRule="exact"/>
        <w:ind w:left="567" w:hanging="567"/>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本次采购设一个标项，</w:t>
      </w:r>
      <w:r>
        <w:rPr>
          <w:rFonts w:hint="eastAsia" w:ascii="宋体" w:hAnsi="宋体" w:eastAsia="宋体" w:cs="宋体"/>
          <w:bCs/>
          <w:color w:val="auto"/>
          <w:highlight w:val="none"/>
          <w:lang w:eastAsia="zh-CN"/>
        </w:rPr>
        <w:t>投标人</w:t>
      </w:r>
      <w:r>
        <w:rPr>
          <w:rFonts w:hint="eastAsia" w:ascii="宋体" w:hAnsi="宋体" w:eastAsia="宋体" w:cs="宋体"/>
          <w:bCs/>
          <w:color w:val="auto"/>
          <w:highlight w:val="none"/>
        </w:rPr>
        <w:t>必须对全部采购内容进行投标，不允许只对其中部分内容进行投标，谢绝联合投标。</w:t>
      </w:r>
    </w:p>
    <w:p>
      <w:pPr>
        <w:keepNext w:val="0"/>
        <w:keepLines w:val="0"/>
        <w:pageBreakBefore w:val="0"/>
        <w:numPr>
          <w:ilvl w:val="1"/>
          <w:numId w:val="7"/>
        </w:numPr>
        <w:tabs>
          <w:tab w:val="left" w:pos="567"/>
          <w:tab w:val="clear" w:pos="950"/>
        </w:tabs>
        <w:kinsoku/>
        <w:wordWrap/>
        <w:overflowPunct/>
        <w:topLinePunct w:val="0"/>
        <w:autoSpaceDE/>
        <w:autoSpaceDN/>
        <w:bidi w:val="0"/>
        <w:adjustRightInd/>
        <w:snapToGrid w:val="0"/>
        <w:spacing w:line="400" w:lineRule="exact"/>
        <w:ind w:left="567" w:hanging="567"/>
        <w:textAlignment w:val="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现场踏勘：各</w:t>
      </w:r>
      <w:r>
        <w:rPr>
          <w:rFonts w:hint="eastAsia" w:ascii="宋体" w:hAnsi="宋体" w:eastAsia="宋体" w:cs="宋体"/>
          <w:b/>
          <w:color w:val="auto"/>
          <w:szCs w:val="21"/>
          <w:highlight w:val="none"/>
          <w:lang w:eastAsia="zh-CN"/>
        </w:rPr>
        <w:t>投标人</w:t>
      </w:r>
      <w:r>
        <w:rPr>
          <w:rFonts w:hint="eastAsia" w:ascii="宋体" w:hAnsi="宋体" w:eastAsia="宋体" w:cs="宋体"/>
          <w:b/>
          <w:color w:val="auto"/>
          <w:szCs w:val="21"/>
          <w:highlight w:val="none"/>
        </w:rPr>
        <w:t>于投标截止时间前自行到现场进行踏勘 ，以获取本次投标所需的现场资料及数据，</w:t>
      </w:r>
      <w:r>
        <w:rPr>
          <w:rFonts w:hint="eastAsia" w:ascii="宋体" w:hAnsi="宋体" w:eastAsia="宋体" w:cs="宋体"/>
          <w:b/>
          <w:color w:val="auto"/>
          <w:szCs w:val="21"/>
          <w:highlight w:val="none"/>
          <w:lang w:eastAsia="zh-CN"/>
        </w:rPr>
        <w:t>投标人</w:t>
      </w:r>
      <w:r>
        <w:rPr>
          <w:rFonts w:hint="eastAsia" w:ascii="宋体" w:hAnsi="宋体" w:eastAsia="宋体" w:cs="宋体"/>
          <w:b/>
          <w:color w:val="auto"/>
          <w:szCs w:val="21"/>
          <w:highlight w:val="none"/>
        </w:rPr>
        <w:t>若未到现场踏勘，引起的一切后果均由其自行负责，由此造成投标价的偏差均不予调整。现场踏勘费用自理。</w:t>
      </w:r>
    </w:p>
    <w:p>
      <w:pPr>
        <w:keepNext w:val="0"/>
        <w:keepLines w:val="0"/>
        <w:pageBreakBefore w:val="0"/>
        <w:numPr>
          <w:ilvl w:val="1"/>
          <w:numId w:val="7"/>
        </w:numPr>
        <w:tabs>
          <w:tab w:val="left" w:pos="567"/>
          <w:tab w:val="clear" w:pos="950"/>
        </w:tabs>
        <w:kinsoku/>
        <w:wordWrap/>
        <w:overflowPunct/>
        <w:topLinePunct w:val="0"/>
        <w:autoSpaceDE/>
        <w:autoSpaceDN/>
        <w:bidi w:val="0"/>
        <w:adjustRightInd/>
        <w:snapToGrid w:val="0"/>
        <w:spacing w:line="400" w:lineRule="exact"/>
        <w:ind w:left="567" w:hanging="567"/>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必须完成采购内容和合同规定义务，不允许只对部分内容进行报价。</w:t>
      </w:r>
    </w:p>
    <w:p>
      <w:pPr>
        <w:keepNext w:val="0"/>
        <w:keepLines w:val="0"/>
        <w:pageBreakBefore w:val="0"/>
        <w:numPr>
          <w:ilvl w:val="1"/>
          <w:numId w:val="7"/>
        </w:numPr>
        <w:tabs>
          <w:tab w:val="left" w:pos="567"/>
          <w:tab w:val="clear" w:pos="950"/>
        </w:tabs>
        <w:kinsoku/>
        <w:wordWrap/>
        <w:overflowPunct/>
        <w:topLinePunct w:val="0"/>
        <w:autoSpaceDE/>
        <w:autoSpaceDN/>
        <w:bidi w:val="0"/>
        <w:adjustRightInd/>
        <w:snapToGrid w:val="0"/>
        <w:spacing w:line="400" w:lineRule="exact"/>
        <w:ind w:left="567" w:hanging="567"/>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本次采购的服务所涉及的产品标准、规范、验收标准、应符合国家有关条例及规范。如有新的标准应采纳新标准。</w:t>
      </w:r>
    </w:p>
    <w:bookmarkEnd w:id="19"/>
    <w:bookmarkEnd w:id="20"/>
    <w:bookmarkEnd w:id="21"/>
    <w:p>
      <w:pPr>
        <w:rPr>
          <w:rFonts w:ascii="宋体" w:hAnsi="宋体"/>
          <w:color w:val="000000"/>
        </w:rPr>
      </w:pPr>
      <w:bookmarkStart w:id="125" w:name="_Toc422946256"/>
      <w:bookmarkStart w:id="126" w:name="_Toc39740383"/>
      <w:bookmarkStart w:id="127" w:name="_Toc25914"/>
      <w:bookmarkStart w:id="128" w:name="_Toc474156092"/>
      <w:bookmarkStart w:id="129" w:name="_Toc454832207"/>
    </w:p>
    <w:bookmarkEnd w:id="125"/>
    <w:bookmarkEnd w:id="126"/>
    <w:bookmarkEnd w:id="127"/>
    <w:p>
      <w:pPr>
        <w:keepNext w:val="0"/>
        <w:keepLines w:val="0"/>
        <w:pageBreakBefore w:val="0"/>
        <w:widowControl w:val="0"/>
        <w:numPr>
          <w:ilvl w:val="0"/>
          <w:numId w:val="8"/>
        </w:numPr>
        <w:kinsoku/>
        <w:wordWrap/>
        <w:overflowPunct/>
        <w:topLinePunct w:val="0"/>
        <w:autoSpaceDE/>
        <w:autoSpaceDN/>
        <w:bidi w:val="0"/>
        <w:adjustRightInd w:val="0"/>
        <w:snapToGrid w:val="0"/>
        <w:spacing w:line="400" w:lineRule="exact"/>
        <w:ind w:left="420" w:leftChars="0" w:hanging="420" w:firstLineChars="0"/>
        <w:textAlignment w:val="auto"/>
        <w:rPr>
          <w:rFonts w:hint="default"/>
          <w:lang w:val="en-US" w:eastAsia="zh-CN"/>
        </w:rPr>
      </w:pPr>
      <w:r>
        <w:rPr>
          <w:rFonts w:hint="eastAsia" w:ascii="宋体" w:hAnsi="宋体" w:eastAsia="宋体" w:cs="Times New Roman"/>
          <w:b/>
          <w:color w:val="auto"/>
          <w:kern w:val="2"/>
          <w:sz w:val="24"/>
          <w:szCs w:val="24"/>
          <w:highlight w:val="none"/>
          <w:lang w:val="en-US" w:eastAsia="zh-CN"/>
        </w:rPr>
        <w:t>采购内容及要求</w:t>
      </w:r>
    </w:p>
    <w:tbl>
      <w:tblPr>
        <w:tblStyle w:val="37"/>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0" w:type="dxa"/>
            <w:noWrap w:val="0"/>
            <w:vAlign w:val="center"/>
          </w:tcPr>
          <w:p>
            <w:pPr>
              <w:keepNext w:val="0"/>
              <w:keepLines w:val="0"/>
              <w:pageBreakBefore w:val="0"/>
              <w:tabs>
                <w:tab w:val="left" w:pos="3444"/>
              </w:tabs>
              <w:kinsoku/>
              <w:wordWrap/>
              <w:overflowPunct/>
              <w:topLinePunct w:val="0"/>
              <w:bidi w:val="0"/>
              <w:spacing w:beforeAutospacing="0" w:afterAutospacing="0" w:line="360" w:lineRule="exact"/>
              <w:ind w:left="0"/>
              <w:jc w:val="center"/>
              <w:textAlignment w:val="auto"/>
              <w:rPr>
                <w:rFonts w:hint="eastAsia" w:ascii="宋体" w:hAnsi="宋体" w:eastAsia="宋体" w:cs="宋体"/>
                <w:b/>
                <w:bCs/>
                <w:color w:val="000000"/>
                <w:spacing w:val="20"/>
                <w:sz w:val="21"/>
                <w:szCs w:val="21"/>
                <w:highlight w:val="none"/>
              </w:rPr>
            </w:pPr>
            <w:r>
              <w:rPr>
                <w:rFonts w:hint="eastAsia" w:ascii="宋体" w:hAnsi="宋体" w:eastAsia="宋体" w:cs="宋体"/>
                <w:b/>
                <w:bCs/>
                <w:color w:val="000000"/>
                <w:spacing w:val="20"/>
                <w:sz w:val="21"/>
                <w:szCs w:val="21"/>
                <w:highlight w:val="none"/>
              </w:rPr>
              <w:t>序号</w:t>
            </w:r>
          </w:p>
        </w:tc>
        <w:tc>
          <w:tcPr>
            <w:tcW w:w="7448" w:type="dxa"/>
            <w:noWrap w:val="0"/>
            <w:vAlign w:val="center"/>
          </w:tcPr>
          <w:p>
            <w:pPr>
              <w:keepNext w:val="0"/>
              <w:keepLines w:val="0"/>
              <w:pageBreakBefore w:val="0"/>
              <w:tabs>
                <w:tab w:val="left" w:pos="3444"/>
              </w:tabs>
              <w:kinsoku/>
              <w:wordWrap/>
              <w:overflowPunct/>
              <w:topLinePunct w:val="0"/>
              <w:bidi w:val="0"/>
              <w:spacing w:beforeAutospacing="0" w:afterAutospacing="0" w:line="360" w:lineRule="exact"/>
              <w:ind w:left="0"/>
              <w:jc w:val="center"/>
              <w:textAlignment w:val="auto"/>
              <w:rPr>
                <w:rFonts w:hint="eastAsia" w:ascii="宋体" w:hAnsi="宋体" w:eastAsia="宋体" w:cs="宋体"/>
                <w:b/>
                <w:bCs/>
                <w:color w:val="000000"/>
                <w:spacing w:val="20"/>
                <w:sz w:val="21"/>
                <w:szCs w:val="21"/>
                <w:highlight w:val="none"/>
              </w:rPr>
            </w:pPr>
            <w:r>
              <w:rPr>
                <w:rFonts w:hint="eastAsia" w:ascii="宋体" w:hAnsi="宋体" w:eastAsia="宋体" w:cs="宋体"/>
                <w:b/>
                <w:bCs/>
                <w:color w:val="000000"/>
                <w:spacing w:val="20"/>
                <w:sz w:val="21"/>
                <w:szCs w:val="21"/>
                <w:highlight w:val="none"/>
              </w:rPr>
              <w:t>招标技术、规格要求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590" w:type="dxa"/>
            <w:noWrap w:val="0"/>
            <w:vAlign w:val="center"/>
          </w:tcPr>
          <w:p>
            <w:pPr>
              <w:keepNext w:val="0"/>
              <w:keepLines w:val="0"/>
              <w:pageBreakBefore w:val="0"/>
              <w:tabs>
                <w:tab w:val="left" w:pos="3444"/>
              </w:tabs>
              <w:kinsoku/>
              <w:wordWrap/>
              <w:overflowPunct/>
              <w:topLinePunct w:val="0"/>
              <w:bidi w:val="0"/>
              <w:spacing w:beforeAutospacing="0" w:afterAutospacing="0" w:line="360" w:lineRule="exact"/>
              <w:ind w:left="0"/>
              <w:jc w:val="center"/>
              <w:textAlignment w:val="auto"/>
              <w:rPr>
                <w:rFonts w:hint="default" w:ascii="宋体" w:hAnsi="宋体" w:eastAsia="宋体" w:cs="宋体"/>
                <w:b/>
                <w:bCs/>
                <w:color w:val="000000"/>
                <w:spacing w:val="20"/>
                <w:sz w:val="21"/>
                <w:szCs w:val="21"/>
                <w:highlight w:val="none"/>
                <w:lang w:val="en-US" w:eastAsia="zh-CN"/>
              </w:rPr>
            </w:pPr>
            <w:r>
              <w:rPr>
                <w:rFonts w:hint="eastAsia" w:ascii="宋体" w:hAnsi="宋体" w:cs="宋体"/>
                <w:b/>
                <w:bCs/>
                <w:color w:val="000000"/>
                <w:spacing w:val="20"/>
                <w:sz w:val="21"/>
                <w:szCs w:val="21"/>
                <w:highlight w:val="none"/>
                <w:lang w:val="en-US" w:eastAsia="zh-CN"/>
              </w:rPr>
              <w:t>一</w:t>
            </w:r>
          </w:p>
        </w:tc>
        <w:tc>
          <w:tcPr>
            <w:tcW w:w="7448" w:type="dxa"/>
            <w:noWrap w:val="0"/>
            <w:vAlign w:val="center"/>
          </w:tcPr>
          <w:p>
            <w:pPr>
              <w:keepNext w:val="0"/>
              <w:keepLines w:val="0"/>
              <w:pageBreakBefore w:val="0"/>
              <w:tabs>
                <w:tab w:val="left" w:pos="3444"/>
              </w:tabs>
              <w:kinsoku/>
              <w:wordWrap/>
              <w:overflowPunct/>
              <w:topLinePunct w:val="0"/>
              <w:bidi w:val="0"/>
              <w:spacing w:beforeAutospacing="0" w:afterAutospacing="0" w:line="360" w:lineRule="exact"/>
              <w:ind w:left="0"/>
              <w:jc w:val="both"/>
              <w:textAlignment w:val="auto"/>
              <w:rPr>
                <w:rFonts w:hint="default" w:ascii="宋体" w:hAnsi="宋体" w:eastAsia="宋体" w:cs="宋体"/>
                <w:b/>
                <w:bCs/>
                <w:color w:val="000000"/>
                <w:spacing w:val="20"/>
                <w:sz w:val="21"/>
                <w:szCs w:val="21"/>
                <w:highlight w:val="none"/>
                <w:lang w:val="en-US" w:eastAsia="zh-CN"/>
              </w:rPr>
            </w:pPr>
            <w:r>
              <w:rPr>
                <w:rFonts w:hint="eastAsia" w:ascii="宋体" w:hAnsi="宋体" w:cs="宋体"/>
                <w:b/>
                <w:bCs/>
                <w:color w:val="000000"/>
                <w:spacing w:val="20"/>
                <w:sz w:val="21"/>
                <w:szCs w:val="21"/>
                <w:highlight w:val="none"/>
                <w:lang w:val="en-US" w:eastAsia="zh-CN"/>
              </w:rPr>
              <w:t>产品用途和资质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590" w:type="dxa"/>
            <w:noWrap w:val="0"/>
            <w:vAlign w:val="center"/>
          </w:tcPr>
          <w:p>
            <w:pPr>
              <w:keepNext w:val="0"/>
              <w:keepLines w:val="0"/>
              <w:pageBreakBefore w:val="0"/>
              <w:tabs>
                <w:tab w:val="left" w:pos="3444"/>
              </w:tabs>
              <w:kinsoku/>
              <w:wordWrap/>
              <w:overflowPunct/>
              <w:topLinePunct w:val="0"/>
              <w:bidi w:val="0"/>
              <w:spacing w:beforeAutospacing="0" w:afterAutospacing="0" w:line="360" w:lineRule="exact"/>
              <w:ind w:left="0"/>
              <w:jc w:val="center"/>
              <w:textAlignment w:val="auto"/>
              <w:rPr>
                <w:rFonts w:hint="default" w:ascii="宋体" w:hAnsi="宋体" w:cs="宋体"/>
                <w:b/>
                <w:bCs/>
                <w:color w:val="000000"/>
                <w:spacing w:val="20"/>
                <w:sz w:val="21"/>
                <w:szCs w:val="21"/>
                <w:highlight w:val="none"/>
                <w:lang w:val="en-US" w:eastAsia="zh-CN"/>
              </w:rPr>
            </w:pPr>
            <w:r>
              <w:rPr>
                <w:rFonts w:hint="eastAsia" w:ascii="宋体" w:hAnsi="宋体" w:cs="宋体"/>
                <w:b/>
                <w:bCs/>
                <w:color w:val="000000"/>
                <w:spacing w:val="20"/>
                <w:sz w:val="21"/>
                <w:szCs w:val="21"/>
                <w:highlight w:val="none"/>
                <w:lang w:val="en-US" w:eastAsia="zh-CN"/>
              </w:rPr>
              <w:t>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用于人体中枢神经和外周神经功能的检测、评定及治疗。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tabs>
                <w:tab w:val="left" w:pos="3444"/>
              </w:tabs>
              <w:kinsoku/>
              <w:wordWrap/>
              <w:overflowPunct/>
              <w:topLinePunct w:val="0"/>
              <w:bidi w:val="0"/>
              <w:spacing w:beforeAutospacing="0" w:afterAutospacing="0" w:line="360" w:lineRule="exact"/>
              <w:ind w:left="0"/>
              <w:jc w:val="center"/>
              <w:textAlignment w:val="auto"/>
              <w:rPr>
                <w:rFonts w:hint="default" w:ascii="宋体" w:hAnsi="宋体" w:cs="宋体"/>
                <w:b/>
                <w:bCs/>
                <w:color w:val="000000"/>
                <w:spacing w:val="20"/>
                <w:sz w:val="21"/>
                <w:szCs w:val="21"/>
                <w:highlight w:val="none"/>
                <w:lang w:val="en-US" w:eastAsia="zh-CN"/>
              </w:rPr>
            </w:pPr>
            <w:r>
              <w:rPr>
                <w:rFonts w:hint="eastAsia" w:ascii="宋体" w:hAnsi="宋体" w:cs="宋体"/>
                <w:b/>
                <w:bCs/>
                <w:color w:val="000000"/>
                <w:spacing w:val="20"/>
                <w:sz w:val="21"/>
                <w:szCs w:val="21"/>
                <w:highlight w:val="none"/>
                <w:lang w:val="en-US" w:eastAsia="zh-CN"/>
              </w:rPr>
              <w:t>2</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sz w:val="21"/>
                <w:szCs w:val="21"/>
                <w:highlight w:val="none"/>
              </w:rPr>
            </w:pPr>
            <w:r>
              <w:rPr>
                <w:rFonts w:hint="eastAsia" w:ascii="Times New Roman" w:hAnsi="Times New Roman" w:eastAsia="宋体" w:cs="宋体"/>
                <w:color w:val="000000"/>
                <w:sz w:val="21"/>
                <w:lang w:val="en-US" w:eastAsia="zh-CN"/>
              </w:rPr>
              <w:t>通过EMC电磁兼容性测试，符合YY 0505-2012《 医用电气设备第1-2 部分:安全通用要求并列标准：电磁兼容要求和试验》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90" w:type="dxa"/>
            <w:noWrap w:val="0"/>
            <w:vAlign w:val="center"/>
          </w:tcPr>
          <w:p>
            <w:pPr>
              <w:keepNext w:val="0"/>
              <w:keepLines w:val="0"/>
              <w:pageBreakBefore w:val="0"/>
              <w:tabs>
                <w:tab w:val="left" w:pos="3444"/>
              </w:tabs>
              <w:kinsoku/>
              <w:wordWrap/>
              <w:overflowPunct/>
              <w:topLinePunct w:val="0"/>
              <w:bidi w:val="0"/>
              <w:spacing w:beforeAutospacing="0" w:afterAutospacing="0" w:line="360" w:lineRule="exact"/>
              <w:ind w:left="0"/>
              <w:jc w:val="center"/>
              <w:textAlignment w:val="auto"/>
              <w:rPr>
                <w:rFonts w:hint="eastAsia" w:ascii="宋体" w:hAnsi="宋体" w:eastAsia="宋体" w:cs="宋体"/>
                <w:b/>
                <w:color w:val="000000"/>
                <w:spacing w:val="20"/>
                <w:sz w:val="21"/>
                <w:szCs w:val="21"/>
                <w:highlight w:val="none"/>
              </w:rPr>
            </w:pPr>
            <w:r>
              <w:rPr>
                <w:rFonts w:hint="eastAsia" w:ascii="宋体" w:hAnsi="宋体" w:cs="宋体"/>
                <w:b/>
                <w:bCs/>
                <w:color w:val="000000"/>
                <w:spacing w:val="20"/>
                <w:sz w:val="21"/>
                <w:szCs w:val="21"/>
                <w:highlight w:val="none"/>
                <w:lang w:val="en-US" w:eastAsia="zh-CN"/>
              </w:rPr>
              <w:t>二</w:t>
            </w:r>
          </w:p>
        </w:tc>
        <w:tc>
          <w:tcPr>
            <w:tcW w:w="7448" w:type="dxa"/>
            <w:noWrap w:val="0"/>
            <w:vAlign w:val="center"/>
          </w:tcPr>
          <w:p>
            <w:pPr>
              <w:keepNext w:val="0"/>
              <w:keepLines w:val="0"/>
              <w:pageBreakBefore w:val="0"/>
              <w:tabs>
                <w:tab w:val="left" w:pos="3444"/>
              </w:tabs>
              <w:kinsoku/>
              <w:wordWrap/>
              <w:overflowPunct/>
              <w:topLinePunct w:val="0"/>
              <w:bidi w:val="0"/>
              <w:spacing w:beforeAutospacing="0" w:afterAutospacing="0" w:line="360" w:lineRule="exact"/>
              <w:ind w:left="0"/>
              <w:jc w:val="both"/>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color w:val="000000"/>
                <w:spacing w:val="20"/>
                <w:sz w:val="21"/>
                <w:szCs w:val="21"/>
                <w:highlight w:val="none"/>
                <w:lang w:val="en-US" w:eastAsia="zh-CN"/>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pacing w:val="20"/>
                <w:sz w:val="21"/>
                <w:szCs w:val="21"/>
                <w:highlight w:val="none"/>
              </w:rPr>
              <w:t>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rPr>
              <w:t>刺激发生器（主机）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cs="宋体"/>
                <w:szCs w:val="21"/>
              </w:rPr>
              <w:t>★</w:t>
            </w:r>
            <w:r>
              <w:rPr>
                <w:rFonts w:hint="eastAsia" w:ascii="宋体" w:hAnsi="宋体" w:eastAsia="宋体" w:cs="宋体"/>
                <w:color w:val="000000"/>
                <w:spacing w:val="20"/>
                <w:sz w:val="21"/>
                <w:szCs w:val="21"/>
                <w:highlight w:val="none"/>
              </w:rPr>
              <w:t>1.1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设备能同时连接两个线圈，两个线圈可以</w:t>
            </w:r>
            <w:r>
              <w:rPr>
                <w:rFonts w:hint="eastAsia" w:ascii="宋体" w:hAnsi="宋体" w:cs="宋体"/>
                <w:color w:val="000000"/>
                <w:sz w:val="21"/>
                <w:szCs w:val="21"/>
                <w:highlight w:val="none"/>
                <w:lang w:val="en-US" w:eastAsia="zh-CN"/>
              </w:rPr>
              <w:t>任意时间独立设置不同的刺激方案</w:t>
            </w:r>
            <w:r>
              <w:rPr>
                <w:rFonts w:hint="eastAsia" w:ascii="宋体" w:hAnsi="宋体" w:eastAsia="宋体" w:cs="宋体"/>
                <w:color w:val="000000"/>
                <w:sz w:val="21"/>
                <w:szCs w:val="21"/>
                <w:highlight w:val="none"/>
              </w:rPr>
              <w:t>独立工作，也可以进行双拍联动成对刺激，双拍联动成对刺激时间间隔可以做到1毫秒</w:t>
            </w:r>
            <w:r>
              <w:rPr>
                <w:rFonts w:hint="eastAsia" w:ascii="宋体" w:hAnsi="宋体" w:cs="宋体"/>
                <w:color w:val="000000"/>
                <w:sz w:val="21"/>
                <w:szCs w:val="21"/>
                <w:highlight w:val="none"/>
                <w:lang w:val="en-US" w:eastAsia="zh-CN"/>
              </w:rPr>
              <w:t>以内</w:t>
            </w:r>
            <w:r>
              <w:rPr>
                <w:rFonts w:hint="eastAsia" w:ascii="宋体" w:hAnsi="宋体" w:eastAsia="宋体" w:cs="宋体"/>
                <w:color w:val="000000"/>
                <w:sz w:val="21"/>
                <w:szCs w:val="21"/>
                <w:highlight w:val="none"/>
              </w:rPr>
              <w:t>，也可以当作两套独立的设备使用，整套设备是由一个电脑软件控制端控制两个主机及刺激线圈（提供清晰的彩页或官网资料、软件截图证明）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1.2</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刺激发生器</w:t>
            </w:r>
            <w:r>
              <w:rPr>
                <w:rFonts w:hint="eastAsia" w:ascii="Times New Roman" w:hAnsi="Times New Roman" w:eastAsia="宋体" w:cs="宋体"/>
                <w:color w:val="000000"/>
                <w:sz w:val="21"/>
                <w:lang w:val="en-US" w:eastAsia="zh-CN"/>
              </w:rPr>
              <w:t>配置摸液晶屏，可实时显示刺激方案参数和主机状态信息，</w:t>
            </w:r>
            <w:r>
              <w:rPr>
                <w:rFonts w:hint="eastAsia" w:ascii="宋体" w:hAnsi="宋体" w:eastAsia="宋体" w:cs="宋体"/>
                <w:color w:val="000000"/>
                <w:sz w:val="21"/>
                <w:szCs w:val="21"/>
                <w:highlight w:val="none"/>
              </w:rPr>
              <w:t>支持脱离电脑端独立操作（投标文件中提供清晰的彩页或官网资料证明）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pacing w:val="20"/>
                <w:sz w:val="21"/>
                <w:szCs w:val="21"/>
                <w:highlight w:val="none"/>
              </w:rPr>
              <w:t>1.3</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color w:val="auto"/>
                <w:sz w:val="21"/>
                <w:szCs w:val="21"/>
                <w:highlight w:val="none"/>
              </w:rPr>
              <w:t>刺激频率：0Hz～100Hz 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1.4</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刺激频率调节：脉冲频率在1Hz 以下时调节步长为 0.1Hz，超过 1Hz 时步长为1Hz。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1.5</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内置 USB 接口，可连接 U盘、移动硬盘等存储设备备份数据，支持热插拔。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cs="宋体"/>
                <w:szCs w:val="21"/>
              </w:rPr>
              <w:t>★</w:t>
            </w:r>
            <w:r>
              <w:rPr>
                <w:rFonts w:hint="eastAsia" w:ascii="宋体" w:hAnsi="宋体" w:eastAsia="宋体" w:cs="宋体"/>
                <w:color w:val="000000"/>
                <w:spacing w:val="20"/>
                <w:sz w:val="21"/>
                <w:szCs w:val="21"/>
                <w:highlight w:val="none"/>
              </w:rPr>
              <w:t>1.6</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可直接通过刺激发生器面板按键快速选择预置治疗处方，并能直接用面板按键调节刺激强度、刺激频率、刺激时间、间歇时间、治疗时间等参数，以防止电脑故障导致无法正常工作（投标文件中提供清晰的彩页或官网资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1.7</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支持个性化数据加密功能，保护病人隐私、处方信息、治疗记录等。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1.8</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具备TTL 触发接口：可兼容国内外主流的肌电诱发电位仪、脑电图、事件相关电位等设备。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
                <w:bCs/>
                <w:color w:val="000000"/>
                <w:spacing w:val="20"/>
                <w:sz w:val="21"/>
                <w:szCs w:val="21"/>
                <w:highlight w:val="none"/>
              </w:rPr>
              <w:t>2</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b/>
                <w:bCs/>
                <w:color w:val="000000"/>
                <w:sz w:val="21"/>
                <w:szCs w:val="21"/>
                <w:highlight w:val="none"/>
              </w:rPr>
              <w:t>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2.1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eastAsia="宋体" w:cs="宋体"/>
                <w:b/>
                <w:color w:val="000000"/>
                <w:kern w:val="2"/>
                <w:sz w:val="21"/>
                <w:szCs w:val="21"/>
                <w:highlight w:val="none"/>
                <w:lang w:val="en-US" w:eastAsia="zh-Hans" w:bidi="ar-SA"/>
              </w:rPr>
            </w:pPr>
            <w:r>
              <w:rPr>
                <w:rFonts w:hint="eastAsia" w:ascii="宋体" w:hAnsi="宋体" w:eastAsia="宋体" w:cs="宋体"/>
                <w:color w:val="000000"/>
                <w:sz w:val="21"/>
                <w:szCs w:val="21"/>
                <w:highlight w:val="none"/>
              </w:rPr>
              <w:t>液态循环冷却系统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cs="宋体"/>
                <w:szCs w:val="21"/>
              </w:rPr>
              <w:t>★</w:t>
            </w:r>
            <w:r>
              <w:rPr>
                <w:rFonts w:hint="eastAsia" w:ascii="宋体" w:hAnsi="宋体" w:eastAsia="宋体" w:cs="宋体"/>
                <w:color w:val="000000"/>
                <w:spacing w:val="20"/>
                <w:sz w:val="21"/>
                <w:szCs w:val="21"/>
                <w:highlight w:val="none"/>
              </w:rPr>
              <w:t>2.2</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cs="宋体"/>
                <w:color w:val="000000"/>
                <w:sz w:val="21"/>
                <w:szCs w:val="21"/>
                <w:highlight w:val="none"/>
                <w:lang w:val="en-US" w:eastAsia="zh-Hans"/>
              </w:rPr>
              <w:t>冷却</w:t>
            </w:r>
            <w:r>
              <w:rPr>
                <w:rFonts w:hint="eastAsia" w:ascii="宋体" w:hAnsi="宋体" w:eastAsia="宋体" w:cs="宋体"/>
                <w:color w:val="000000"/>
                <w:sz w:val="21"/>
                <w:szCs w:val="21"/>
                <w:highlight w:val="none"/>
              </w:rPr>
              <w:t>系统配备液晶屏显示温度、循环量和循环状态，保证设备正常运行（投标文件中提供实物照片证明）。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spacing w:val="20"/>
                <w:kern w:val="2"/>
                <w:sz w:val="21"/>
                <w:szCs w:val="21"/>
                <w:highlight w:val="none"/>
                <w:lang w:val="en-US" w:eastAsia="zh-CN" w:bidi="ar-SA"/>
              </w:rPr>
            </w:pPr>
            <w:r>
              <w:rPr>
                <w:rFonts w:hint="eastAsia" w:ascii="宋体" w:hAnsi="宋体" w:eastAsia="宋体" w:cs="宋体"/>
                <w:color w:val="000000"/>
                <w:spacing w:val="20"/>
                <w:sz w:val="21"/>
                <w:szCs w:val="21"/>
                <w:highlight w:val="none"/>
              </w:rPr>
              <w:t>2.3</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刺激发生器、刺激线圈、电脑为分体式设计，均外置于推车上，便于单独更换和升级，更加安全。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eastAsia="宋体" w:cs="宋体"/>
                <w:color w:val="000000"/>
                <w:spacing w:val="20"/>
                <w:sz w:val="21"/>
                <w:szCs w:val="21"/>
                <w:highlight w:val="none"/>
                <w:lang w:val="en-US" w:eastAsia="zh-CN"/>
              </w:rPr>
            </w:pPr>
            <w:r>
              <w:rPr>
                <w:rFonts w:hint="eastAsia" w:ascii="宋体" w:hAnsi="宋体" w:cs="宋体"/>
                <w:color w:val="000000"/>
                <w:spacing w:val="20"/>
                <w:sz w:val="21"/>
                <w:szCs w:val="21"/>
                <w:highlight w:val="none"/>
                <w:lang w:val="en-US" w:eastAsia="zh-CN"/>
              </w:rPr>
              <w:t>2.4</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冷却系统与刺激发生器各为独立机箱</w:t>
            </w:r>
            <w:r>
              <w:rPr>
                <w:rFonts w:hint="eastAsia" w:ascii="宋体" w:hAnsi="宋体" w:eastAsia="宋体" w:cs="宋体"/>
                <w:color w:val="000000"/>
                <w:sz w:val="21"/>
                <w:szCs w:val="21"/>
                <w:highlight w:val="none"/>
              </w:rPr>
              <w:t>（投标文件中提供实物照片证明）</w:t>
            </w:r>
            <w:r>
              <w:rPr>
                <w:rFonts w:hint="eastAsia" w:ascii="宋体" w:hAnsi="宋体" w:cs="宋体"/>
                <w:color w:val="00000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
                <w:bCs/>
                <w:color w:val="000000"/>
                <w:spacing w:val="20"/>
                <w:sz w:val="21"/>
                <w:szCs w:val="21"/>
                <w:highlight w:val="none"/>
              </w:rPr>
              <w:t>3</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b/>
                <w:bCs/>
                <w:color w:val="000000"/>
                <w:sz w:val="21"/>
                <w:szCs w:val="21"/>
                <w:highlight w:val="none"/>
              </w:rPr>
              <w:t>刺激线圈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3.1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eastAsia="宋体" w:cs="宋体"/>
                <w:b/>
                <w:color w:val="000000"/>
                <w:kern w:val="2"/>
                <w:sz w:val="21"/>
                <w:szCs w:val="21"/>
                <w:highlight w:val="none"/>
                <w:lang w:val="en-US" w:eastAsia="zh-Hans" w:bidi="ar-SA"/>
              </w:rPr>
            </w:pPr>
            <w:r>
              <w:rPr>
                <w:rFonts w:hint="eastAsia" w:ascii="宋体" w:hAnsi="宋体" w:eastAsia="宋体" w:cs="宋体"/>
                <w:color w:val="000000"/>
                <w:sz w:val="21"/>
                <w:szCs w:val="21"/>
                <w:highlight w:val="none"/>
              </w:rPr>
              <w:t>最大磁感应强度：≥1T；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3.2</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磁感应强度最大变化率：10～50KT/s；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3.3</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脉冲上升时间：40～120μs；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spacing w:val="20"/>
                <w:kern w:val="2"/>
                <w:sz w:val="21"/>
                <w:szCs w:val="21"/>
                <w:highlight w:val="none"/>
                <w:lang w:val="en-US" w:eastAsia="zh-CN" w:bidi="ar-SA"/>
              </w:rPr>
            </w:pPr>
            <w:r>
              <w:rPr>
                <w:rFonts w:hint="eastAsia" w:ascii="宋体" w:hAnsi="宋体" w:eastAsia="宋体" w:cs="宋体"/>
                <w:color w:val="000000"/>
                <w:spacing w:val="20"/>
                <w:sz w:val="21"/>
                <w:szCs w:val="21"/>
                <w:highlight w:val="none"/>
              </w:rPr>
              <w:t>3.4</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双向波单边脉冲宽度：100～200μs；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spacing w:val="20"/>
                <w:kern w:val="2"/>
                <w:sz w:val="21"/>
                <w:szCs w:val="21"/>
                <w:highlight w:val="none"/>
                <w:lang w:val="en-US" w:eastAsia="zh-CN" w:bidi="ar-SA"/>
              </w:rPr>
            </w:pPr>
            <w:r>
              <w:rPr>
                <w:rFonts w:hint="eastAsia" w:ascii="宋体" w:hAnsi="宋体" w:eastAsia="宋体" w:cs="宋体"/>
                <w:color w:val="000000"/>
                <w:spacing w:val="20"/>
                <w:sz w:val="21"/>
                <w:szCs w:val="21"/>
                <w:highlight w:val="none"/>
              </w:rPr>
              <w:t>3.5</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线圈表面温度报警值≥41°；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spacing w:val="20"/>
                <w:kern w:val="2"/>
                <w:sz w:val="21"/>
                <w:szCs w:val="21"/>
                <w:highlight w:val="none"/>
                <w:lang w:val="en-US" w:eastAsia="zh-CN" w:bidi="ar-SA"/>
              </w:rPr>
            </w:pPr>
            <w:r>
              <w:rPr>
                <w:rFonts w:hint="eastAsia" w:ascii="宋体" w:hAnsi="宋体" w:eastAsia="宋体" w:cs="宋体"/>
                <w:color w:val="000000"/>
                <w:spacing w:val="20"/>
                <w:sz w:val="21"/>
                <w:szCs w:val="21"/>
                <w:highlight w:val="none"/>
              </w:rPr>
              <w:t>3.6</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刺激线圈手柄处自带显示屏，可显示实时温度与阈值强度（提供实物照片证明）。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spacing w:val="20"/>
                <w:kern w:val="2"/>
                <w:sz w:val="21"/>
                <w:szCs w:val="21"/>
                <w:highlight w:val="none"/>
                <w:lang w:val="en-US" w:eastAsia="zh-CN" w:bidi="ar-SA"/>
              </w:rPr>
            </w:pPr>
            <w:r>
              <w:rPr>
                <w:rFonts w:hint="eastAsia" w:ascii="宋体" w:hAnsi="宋体" w:cs="宋体"/>
                <w:szCs w:val="21"/>
              </w:rPr>
              <w:t>★</w:t>
            </w:r>
            <w:r>
              <w:rPr>
                <w:rFonts w:hint="eastAsia" w:ascii="宋体" w:hAnsi="宋体" w:eastAsia="宋体" w:cs="宋体"/>
                <w:color w:val="000000"/>
                <w:spacing w:val="20"/>
                <w:sz w:val="21"/>
                <w:szCs w:val="21"/>
                <w:highlight w:val="none"/>
              </w:rPr>
              <w:t>3.7</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线圈</w:t>
            </w:r>
            <w:r>
              <w:rPr>
                <w:rFonts w:hint="eastAsia" w:ascii="宋体" w:hAnsi="宋体" w:eastAsia="宋体" w:cs="宋体"/>
                <w:color w:val="000000"/>
                <w:sz w:val="21"/>
                <w:szCs w:val="21"/>
                <w:highlight w:val="none"/>
                <w:lang w:val="en-US" w:eastAsia="zh-Hans"/>
              </w:rPr>
              <w:t>手柄处</w:t>
            </w:r>
            <w:r>
              <w:rPr>
                <w:rFonts w:hint="eastAsia" w:ascii="宋体" w:hAnsi="宋体" w:eastAsia="宋体" w:cs="宋体"/>
                <w:color w:val="000000"/>
                <w:sz w:val="21"/>
                <w:szCs w:val="21"/>
                <w:highlight w:val="none"/>
                <w:lang w:val="en-US" w:eastAsia="zh-CN"/>
              </w:rPr>
              <w:t>具有强度调节按钮</w:t>
            </w:r>
            <w:r>
              <w:rPr>
                <w:rFonts w:hint="eastAsia" w:ascii="宋体" w:hAnsi="宋体" w:eastAsia="宋体" w:cs="宋体"/>
                <w:color w:val="000000"/>
                <w:sz w:val="21"/>
                <w:szCs w:val="21"/>
                <w:highlight w:val="none"/>
                <w:lang w:val="en-US" w:eastAsia="zh-Hans"/>
              </w:rPr>
              <w:t>和显示屏</w:t>
            </w:r>
            <w:r>
              <w:rPr>
                <w:rFonts w:hint="eastAsia" w:ascii="宋体" w:hAnsi="宋体" w:eastAsia="宋体" w:cs="宋体"/>
                <w:color w:val="000000"/>
                <w:sz w:val="21"/>
                <w:szCs w:val="21"/>
                <w:highlight w:val="none"/>
              </w:rPr>
              <w:t>，可单手调节强度大小，快速检测运动阈值</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Hans"/>
              </w:rPr>
              <w:t>可</w:t>
            </w:r>
            <w:r>
              <w:rPr>
                <w:rFonts w:hint="eastAsia" w:ascii="宋体" w:hAnsi="宋体" w:eastAsia="宋体" w:cs="宋体"/>
                <w:color w:val="000000"/>
                <w:sz w:val="21"/>
                <w:szCs w:val="21"/>
                <w:highlight w:val="none"/>
              </w:rPr>
              <w:t>实时</w:t>
            </w:r>
            <w:r>
              <w:rPr>
                <w:rFonts w:hint="eastAsia" w:ascii="宋体" w:hAnsi="宋体" w:eastAsia="宋体" w:cs="宋体"/>
                <w:color w:val="000000"/>
                <w:sz w:val="21"/>
                <w:szCs w:val="21"/>
                <w:highlight w:val="none"/>
                <w:lang w:val="en-US" w:eastAsia="zh-CN"/>
              </w:rPr>
              <w:t>显示</w:t>
            </w:r>
            <w:r>
              <w:rPr>
                <w:rFonts w:hint="eastAsia" w:ascii="宋体" w:hAnsi="宋体" w:eastAsia="宋体" w:cs="宋体"/>
                <w:color w:val="000000"/>
                <w:sz w:val="21"/>
                <w:szCs w:val="21"/>
                <w:highlight w:val="none"/>
              </w:rPr>
              <w:t>强度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且线圈</w:t>
            </w:r>
            <w:r>
              <w:rPr>
                <w:rFonts w:hint="eastAsia" w:ascii="宋体" w:hAnsi="宋体" w:eastAsia="宋体" w:cs="宋体"/>
                <w:color w:val="000000"/>
                <w:sz w:val="21"/>
                <w:szCs w:val="21"/>
                <w:highlight w:val="none"/>
                <w:lang w:val="en-US" w:eastAsia="zh-Hans"/>
              </w:rPr>
              <w:t>具有脉冲剩余次数的</w:t>
            </w:r>
            <w:r>
              <w:rPr>
                <w:rFonts w:hint="eastAsia" w:ascii="宋体" w:hAnsi="宋体" w:eastAsia="宋体" w:cs="宋体"/>
                <w:color w:val="000000"/>
                <w:sz w:val="21"/>
                <w:szCs w:val="21"/>
                <w:highlight w:val="none"/>
                <w:lang w:val="en-US" w:eastAsia="zh-CN"/>
              </w:rPr>
              <w:t>屏幕</w:t>
            </w:r>
            <w:r>
              <w:rPr>
                <w:rFonts w:hint="eastAsia" w:ascii="宋体" w:hAnsi="宋体" w:eastAsia="宋体" w:cs="宋体"/>
                <w:color w:val="000000"/>
                <w:sz w:val="21"/>
                <w:szCs w:val="21"/>
                <w:highlight w:val="none"/>
                <w:lang w:val="en-US" w:eastAsia="zh-Hans"/>
              </w:rPr>
              <w:t>实时显示</w:t>
            </w:r>
            <w:r>
              <w:rPr>
                <w:rFonts w:hint="eastAsia" w:ascii="宋体" w:hAnsi="宋体" w:eastAsia="宋体" w:cs="宋体"/>
                <w:color w:val="000000"/>
                <w:sz w:val="21"/>
                <w:szCs w:val="21"/>
                <w:highlight w:val="none"/>
              </w:rPr>
              <w:t>（提供彩页</w:t>
            </w:r>
            <w:r>
              <w:rPr>
                <w:rFonts w:hint="eastAsia" w:ascii="宋体" w:hAnsi="宋体" w:eastAsia="宋体" w:cs="宋体"/>
                <w:color w:val="000000"/>
                <w:sz w:val="21"/>
                <w:szCs w:val="21"/>
                <w:highlight w:val="none"/>
                <w:lang w:val="en-US" w:eastAsia="zh-CN"/>
              </w:rPr>
              <w:t>或</w:t>
            </w:r>
            <w:r>
              <w:rPr>
                <w:rFonts w:hint="eastAsia" w:ascii="宋体" w:hAnsi="宋体" w:eastAsia="宋体" w:cs="宋体"/>
                <w:color w:val="000000"/>
                <w:sz w:val="21"/>
                <w:szCs w:val="21"/>
                <w:highlight w:val="none"/>
              </w:rPr>
              <w:t>官网资料证明）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spacing w:val="20"/>
                <w:kern w:val="2"/>
                <w:sz w:val="21"/>
                <w:szCs w:val="21"/>
                <w:highlight w:val="none"/>
                <w:lang w:val="en-US" w:eastAsia="zh-CN" w:bidi="ar-SA"/>
              </w:rPr>
            </w:pPr>
            <w:r>
              <w:rPr>
                <w:rFonts w:hint="eastAsia" w:ascii="宋体" w:hAnsi="宋体" w:eastAsia="宋体" w:cs="宋体"/>
                <w:color w:val="000000"/>
                <w:spacing w:val="20"/>
                <w:sz w:val="21"/>
                <w:szCs w:val="21"/>
                <w:highlight w:val="none"/>
              </w:rPr>
              <w:t>3.8</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医护人员可在不需要任何工具情况下自行快速更换线圈；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kern w:val="2"/>
                <w:sz w:val="21"/>
                <w:szCs w:val="21"/>
                <w:highlight w:val="none"/>
                <w:lang w:val="en-US" w:eastAsia="zh-CN" w:bidi="ar-SA"/>
              </w:rPr>
            </w:pPr>
            <w:r>
              <w:rPr>
                <w:rFonts w:hint="eastAsia" w:ascii="宋体" w:hAnsi="宋体" w:eastAsia="宋体" w:cs="宋体"/>
                <w:b/>
                <w:bCs/>
                <w:color w:val="000000"/>
                <w:spacing w:val="20"/>
                <w:sz w:val="21"/>
                <w:szCs w:val="21"/>
                <w:highlight w:val="none"/>
              </w:rPr>
              <w:t>4</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rPr>
              <w:t>MEP检测模块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4.1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具备检测功能：支持运动阈值（MT）、运动诱发电位（MEP）、中枢神经传导时间（CMCT）的检查功能。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
                <w:bCs/>
                <w:color w:val="000000"/>
                <w:spacing w:val="20"/>
                <w:sz w:val="21"/>
                <w:szCs w:val="21"/>
                <w:highlight w:val="none"/>
              </w:rPr>
              <w:t>5</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b/>
                <w:bCs/>
                <w:color w:val="000000"/>
                <w:sz w:val="21"/>
                <w:szCs w:val="21"/>
                <w:highlight w:val="none"/>
              </w:rPr>
              <w:t>TMS 刺激工作站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cs="宋体"/>
                <w:szCs w:val="21"/>
              </w:rPr>
              <w:t>★</w:t>
            </w:r>
            <w:r>
              <w:rPr>
                <w:rFonts w:hint="eastAsia" w:ascii="宋体" w:hAnsi="宋体" w:eastAsia="宋体" w:cs="宋体"/>
                <w:color w:val="000000"/>
                <w:spacing w:val="20"/>
                <w:sz w:val="21"/>
                <w:szCs w:val="21"/>
                <w:highlight w:val="none"/>
              </w:rPr>
              <w:t>5.1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双交互系统：</w:t>
            </w:r>
            <w:r>
              <w:rPr>
                <w:rFonts w:hint="eastAsia" w:ascii="宋体" w:hAnsi="宋体" w:eastAsia="宋体" w:cs="宋体"/>
                <w:color w:val="000000"/>
                <w:sz w:val="21"/>
                <w:szCs w:val="21"/>
                <w:highlight w:val="none"/>
                <w:lang w:val="en-US" w:eastAsia="zh-CN"/>
              </w:rPr>
              <w:t>一体式触摸</w:t>
            </w:r>
            <w:r>
              <w:rPr>
                <w:rFonts w:hint="eastAsia" w:ascii="宋体" w:hAnsi="宋体" w:eastAsia="宋体" w:cs="宋体"/>
                <w:color w:val="000000"/>
                <w:sz w:val="21"/>
                <w:szCs w:val="21"/>
                <w:highlight w:val="none"/>
              </w:rPr>
              <w:t>PC端中央控制系统及</w:t>
            </w:r>
            <w:r>
              <w:rPr>
                <w:rFonts w:hint="eastAsia" w:ascii="宋体" w:hAnsi="宋体" w:eastAsia="宋体" w:cs="宋体"/>
                <w:color w:val="000000"/>
                <w:sz w:val="21"/>
                <w:szCs w:val="21"/>
                <w:highlight w:val="none"/>
                <w:lang w:val="en-US" w:eastAsia="zh-CN"/>
              </w:rPr>
              <w:t>刺激主机</w:t>
            </w:r>
            <w:r>
              <w:rPr>
                <w:rFonts w:hint="eastAsia" w:ascii="宋体" w:hAnsi="宋体" w:eastAsia="宋体" w:cs="宋体"/>
                <w:color w:val="000000"/>
                <w:sz w:val="21"/>
                <w:szCs w:val="21"/>
                <w:highlight w:val="none"/>
              </w:rPr>
              <w:t>嵌入式交互系统，各系统皆可单独控制整机运行；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5.2</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全中文刺激工作站，系统集成方案自带人体大脑3D解剖定位图及详细文字描述，辅助操作人员快速准确定位（提供软件截图证明）。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5.3</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支持多种刺激模式包括：单脉冲刺激模式，重复脉冲刺激模式，爆发刺激模式，成对脉冲刺激模式，各模式可自由调整。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5.4</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设备出厂内置≥70个刺激治疗方案，并支持用户根据患者差异调整刺激治疗方案。包括刺激模式、刺激频率、刺激强度、刺激时间、串间歇时间等。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5.5</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数据库管理功能，包含治疗处方管理，治疗记录管理，并可快速调取历史刺激记录，直接启动刺激。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5.6</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为缓解患者情绪和便于医生记录，可设置刺激倒计时提示；并支持长间隔时间多次提示（</w:t>
            </w:r>
            <w:r>
              <w:rPr>
                <w:rFonts w:hint="eastAsia" w:ascii="宋体" w:hAnsi="宋体" w:eastAsia="宋体" w:cs="宋体"/>
                <w:color w:val="000000"/>
                <w:sz w:val="21"/>
                <w:szCs w:val="21"/>
                <w:highlight w:val="none"/>
                <w:lang w:val="en-US" w:eastAsia="zh-CN"/>
              </w:rPr>
              <w:t>投标文件中</w:t>
            </w:r>
            <w:r>
              <w:rPr>
                <w:rFonts w:hint="eastAsia" w:ascii="宋体" w:hAnsi="宋体" w:eastAsia="宋体" w:cs="宋体"/>
                <w:color w:val="000000"/>
                <w:sz w:val="21"/>
                <w:szCs w:val="21"/>
                <w:highlight w:val="none"/>
              </w:rPr>
              <w:t>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5.7</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脉冲可设置强度递增式释放，强度从运动阈值(MT)的 0-200%可调，使病人能更快的适应治疗（</w:t>
            </w:r>
            <w:r>
              <w:rPr>
                <w:rFonts w:hint="eastAsia" w:ascii="宋体" w:hAnsi="宋体" w:eastAsia="宋体" w:cs="宋体"/>
                <w:color w:val="000000"/>
                <w:sz w:val="21"/>
                <w:szCs w:val="21"/>
                <w:highlight w:val="none"/>
                <w:lang w:val="en-US" w:eastAsia="zh-CN"/>
              </w:rPr>
              <w:t>投标文件中</w:t>
            </w:r>
            <w:r>
              <w:rPr>
                <w:rFonts w:hint="eastAsia" w:ascii="宋体" w:hAnsi="宋体" w:eastAsia="宋体" w:cs="宋体"/>
                <w:color w:val="000000"/>
                <w:sz w:val="21"/>
                <w:szCs w:val="21"/>
                <w:highlight w:val="none"/>
              </w:rPr>
              <w:t>提供软件截图证明）。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pacing w:val="20"/>
                <w:sz w:val="21"/>
                <w:szCs w:val="21"/>
                <w:highlight w:val="none"/>
              </w:rPr>
              <w:t>5.8</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报告输出方式：自动化输出报告，也可根据需求自定义编辑报告模板。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eastAsia="宋体" w:cs="宋体"/>
                <w:b/>
                <w:bCs/>
                <w:color w:val="000000"/>
                <w:spacing w:val="20"/>
                <w:sz w:val="21"/>
                <w:szCs w:val="21"/>
                <w:highlight w:val="none"/>
              </w:rPr>
            </w:pPr>
            <w:r>
              <w:rPr>
                <w:rFonts w:hint="default" w:ascii="宋体" w:hAnsi="宋体" w:cs="宋体"/>
                <w:b/>
                <w:bCs/>
                <w:color w:val="000000"/>
                <w:spacing w:val="20"/>
                <w:sz w:val="21"/>
                <w:szCs w:val="21"/>
                <w:highlight w:val="none"/>
              </w:rPr>
              <w:t>6</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eastAsia="宋体" w:cs="宋体"/>
                <w:b/>
                <w:bCs/>
                <w:color w:val="000000"/>
                <w:sz w:val="21"/>
                <w:szCs w:val="21"/>
                <w:highlight w:val="none"/>
                <w:lang w:val="en-US" w:eastAsia="zh-Hans"/>
              </w:rPr>
            </w:pPr>
            <w:r>
              <w:rPr>
                <w:rFonts w:hint="eastAsia" w:ascii="宋体" w:hAnsi="宋体" w:cs="宋体"/>
                <w:b/>
                <w:bCs/>
                <w:color w:val="000000"/>
                <w:sz w:val="21"/>
                <w:szCs w:val="21"/>
                <w:highlight w:val="none"/>
                <w:lang w:val="en-US" w:eastAsia="zh-Hans"/>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cs="宋体"/>
                <w:b/>
                <w:bCs/>
                <w:color w:val="000000"/>
                <w:spacing w:val="20"/>
                <w:sz w:val="21"/>
                <w:szCs w:val="21"/>
                <w:highlight w:val="none"/>
              </w:rPr>
            </w:pPr>
            <w:r>
              <w:rPr>
                <w:rFonts w:hint="default" w:ascii="宋体" w:hAnsi="宋体" w:cs="宋体"/>
                <w:b/>
                <w:bCs/>
                <w:color w:val="000000"/>
                <w:spacing w:val="20"/>
                <w:sz w:val="21"/>
                <w:szCs w:val="21"/>
                <w:highlight w:val="none"/>
              </w:rPr>
              <w:t>6.1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eastAsia="宋体" w:cs="宋体"/>
                <w:b/>
                <w:bCs/>
                <w:color w:val="000000"/>
                <w:sz w:val="21"/>
                <w:szCs w:val="21"/>
                <w:highlight w:val="none"/>
                <w:lang w:val="en-US" w:eastAsia="zh-CN"/>
              </w:rPr>
            </w:pPr>
            <w:r>
              <w:rPr>
                <w:rFonts w:hint="eastAsia" w:ascii="宋体" w:hAnsi="宋体" w:eastAsia="宋体"/>
                <w:color w:val="000000"/>
              </w:rPr>
              <w:t>刺激发生器</w:t>
            </w:r>
            <w:r>
              <w:rPr>
                <w:rFonts w:hint="default" w:ascii="宋体" w:hAnsi="宋体"/>
                <w:color w:val="000000"/>
                <w:lang w:eastAsia="zh-Hans"/>
              </w:rPr>
              <w:t>：</w:t>
            </w:r>
            <w:r>
              <w:rPr>
                <w:rFonts w:hint="eastAsia" w:ascii="宋体" w:hAnsi="宋体"/>
                <w:color w:val="000000"/>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cs="宋体"/>
                <w:b/>
                <w:bCs/>
                <w:color w:val="000000"/>
                <w:spacing w:val="20"/>
                <w:sz w:val="21"/>
                <w:szCs w:val="21"/>
                <w:highlight w:val="none"/>
              </w:rPr>
            </w:pPr>
            <w:r>
              <w:rPr>
                <w:rFonts w:hint="default" w:ascii="宋体" w:hAnsi="宋体" w:cs="宋体"/>
                <w:b/>
                <w:bCs/>
                <w:color w:val="000000"/>
                <w:spacing w:val="20"/>
                <w:sz w:val="21"/>
                <w:szCs w:val="21"/>
                <w:highlight w:val="none"/>
              </w:rPr>
              <w:t>6.2</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eastAsia="宋体" w:cs="宋体"/>
                <w:b/>
                <w:bCs/>
                <w:color w:val="000000"/>
                <w:sz w:val="21"/>
                <w:szCs w:val="21"/>
                <w:highlight w:val="none"/>
                <w:lang w:val="en-US" w:eastAsia="zh-CN"/>
              </w:rPr>
            </w:pPr>
            <w:r>
              <w:rPr>
                <w:rFonts w:hint="eastAsia" w:ascii="宋体" w:hAnsi="宋体" w:eastAsia="宋体"/>
                <w:color w:val="000000"/>
              </w:rPr>
              <w:t>刺激线圈</w:t>
            </w:r>
            <w:r>
              <w:rPr>
                <w:rFonts w:hint="default" w:ascii="宋体" w:hAnsi="宋体" w:eastAsia="宋体"/>
                <w:color w:val="000000"/>
              </w:rPr>
              <w:t>：</w:t>
            </w:r>
            <w:r>
              <w:rPr>
                <w:rFonts w:hint="eastAsia" w:ascii="宋体" w:hAnsi="宋体" w:eastAsia="宋体"/>
                <w:color w:val="000000"/>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cs="宋体"/>
                <w:b/>
                <w:bCs/>
                <w:color w:val="000000"/>
                <w:spacing w:val="20"/>
                <w:sz w:val="21"/>
                <w:szCs w:val="21"/>
                <w:highlight w:val="none"/>
              </w:rPr>
            </w:pPr>
            <w:r>
              <w:rPr>
                <w:rFonts w:hint="default" w:ascii="宋体" w:hAnsi="宋体" w:cs="宋体"/>
                <w:b/>
                <w:bCs/>
                <w:color w:val="000000"/>
                <w:spacing w:val="20"/>
                <w:sz w:val="21"/>
                <w:szCs w:val="21"/>
                <w:highlight w:val="none"/>
              </w:rPr>
              <w:t>6.3</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bCs/>
                <w:color w:val="000000"/>
                <w:sz w:val="21"/>
                <w:szCs w:val="21"/>
                <w:highlight w:val="none"/>
                <w:lang w:val="en-US" w:eastAsia="zh-Hans"/>
              </w:rPr>
            </w:pPr>
            <w:r>
              <w:rPr>
                <w:rFonts w:hint="eastAsia" w:ascii="宋体" w:hAnsi="宋体" w:eastAsia="宋体"/>
                <w:color w:val="000000"/>
              </w:rPr>
              <w:t>MEP模块</w:t>
            </w:r>
            <w:r>
              <w:rPr>
                <w:rFonts w:hint="default" w:ascii="宋体" w:hAnsi="宋体" w:eastAsia="宋体"/>
                <w:color w:val="000000"/>
              </w:rPr>
              <w:t>：1</w:t>
            </w:r>
            <w:r>
              <w:rPr>
                <w:rFonts w:hint="eastAsia" w:ascii="宋体" w:hAnsi="宋体" w:eastAsia="宋体"/>
                <w:color w:val="000000"/>
                <w:lang w:val="en-US" w:eastAsia="zh-Hans"/>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cs="宋体"/>
                <w:b/>
                <w:bCs/>
                <w:color w:val="000000"/>
                <w:spacing w:val="20"/>
                <w:sz w:val="21"/>
                <w:szCs w:val="21"/>
                <w:highlight w:val="none"/>
              </w:rPr>
            </w:pPr>
            <w:r>
              <w:rPr>
                <w:rFonts w:hint="default" w:ascii="宋体" w:hAnsi="宋体" w:cs="宋体"/>
                <w:b/>
                <w:bCs/>
                <w:color w:val="000000"/>
                <w:spacing w:val="20"/>
                <w:sz w:val="21"/>
                <w:szCs w:val="21"/>
                <w:highlight w:val="none"/>
              </w:rPr>
              <w:t>6.4</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bCs/>
                <w:color w:val="000000"/>
                <w:sz w:val="21"/>
                <w:szCs w:val="21"/>
                <w:highlight w:val="none"/>
                <w:lang w:val="en-US" w:eastAsia="zh-Hans"/>
              </w:rPr>
            </w:pPr>
            <w:r>
              <w:rPr>
                <w:rFonts w:hint="eastAsia" w:ascii="宋体" w:hAnsi="宋体" w:eastAsia="宋体"/>
                <w:color w:val="000000"/>
              </w:rPr>
              <w:t>电脑</w:t>
            </w:r>
            <w:r>
              <w:rPr>
                <w:rFonts w:hint="default" w:ascii="宋体" w:hAnsi="宋体" w:eastAsia="宋体"/>
                <w:color w:val="000000"/>
              </w:rPr>
              <w:t>：1</w:t>
            </w:r>
            <w:r>
              <w:rPr>
                <w:rFonts w:hint="eastAsia" w:ascii="宋体" w:hAnsi="宋体" w:eastAsia="宋体"/>
                <w:color w:val="000000"/>
                <w:lang w:val="en-US" w:eastAsia="zh-Han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cs="宋体"/>
                <w:b/>
                <w:bCs/>
                <w:color w:val="000000"/>
                <w:spacing w:val="20"/>
                <w:sz w:val="21"/>
                <w:szCs w:val="21"/>
                <w:highlight w:val="none"/>
              </w:rPr>
            </w:pPr>
            <w:r>
              <w:rPr>
                <w:rFonts w:hint="default" w:ascii="宋体" w:hAnsi="宋体" w:cs="宋体"/>
                <w:b/>
                <w:bCs/>
                <w:color w:val="000000"/>
                <w:spacing w:val="20"/>
                <w:sz w:val="21"/>
                <w:szCs w:val="21"/>
                <w:highlight w:val="none"/>
              </w:rPr>
              <w:t>6.5</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bCs/>
                <w:color w:val="000000"/>
                <w:sz w:val="21"/>
                <w:szCs w:val="21"/>
                <w:highlight w:val="none"/>
                <w:lang w:val="en-US" w:eastAsia="zh-CN"/>
              </w:rPr>
            </w:pPr>
            <w:r>
              <w:rPr>
                <w:rFonts w:hint="eastAsia" w:ascii="宋体" w:hAnsi="宋体" w:eastAsia="宋体"/>
                <w:color w:val="000000"/>
              </w:rPr>
              <w:t>成对专用台车</w:t>
            </w:r>
            <w:r>
              <w:rPr>
                <w:rFonts w:hint="default" w:ascii="宋体" w:hAnsi="宋体" w:eastAsia="宋体"/>
                <w:color w:val="000000"/>
              </w:rPr>
              <w:t>：1</w:t>
            </w:r>
            <w:r>
              <w:rPr>
                <w:rFonts w:hint="eastAsia" w:ascii="宋体" w:hAnsi="宋体" w:eastAsia="宋体"/>
                <w:color w:val="00000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cs="宋体"/>
                <w:b/>
                <w:bCs/>
                <w:color w:val="000000"/>
                <w:spacing w:val="20"/>
                <w:sz w:val="21"/>
                <w:szCs w:val="21"/>
                <w:highlight w:val="none"/>
              </w:rPr>
            </w:pPr>
            <w:r>
              <w:rPr>
                <w:rFonts w:hint="default" w:ascii="宋体" w:hAnsi="宋体" w:cs="宋体"/>
                <w:b/>
                <w:bCs/>
                <w:color w:val="000000"/>
                <w:spacing w:val="20"/>
                <w:sz w:val="21"/>
                <w:szCs w:val="21"/>
                <w:highlight w:val="none"/>
              </w:rPr>
              <w:t>6.6</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eastAsia="宋体" w:cs="宋体"/>
                <w:b/>
                <w:bCs/>
                <w:color w:val="000000"/>
                <w:sz w:val="21"/>
                <w:szCs w:val="21"/>
                <w:highlight w:val="none"/>
                <w:lang w:val="en-US" w:eastAsia="zh-CN"/>
              </w:rPr>
            </w:pPr>
            <w:r>
              <w:rPr>
                <w:rFonts w:hint="eastAsia" w:ascii="宋体" w:hAnsi="宋体" w:eastAsia="宋体"/>
                <w:color w:val="000000"/>
              </w:rPr>
              <w:t>刺激线圈支架</w:t>
            </w:r>
            <w:r>
              <w:rPr>
                <w:rFonts w:hint="default" w:ascii="宋体" w:hAnsi="宋体" w:eastAsia="宋体"/>
                <w:color w:val="000000"/>
              </w:rPr>
              <w:t>：</w:t>
            </w:r>
            <w:r>
              <w:rPr>
                <w:rFonts w:hint="eastAsia" w:ascii="宋体" w:hAnsi="宋体" w:eastAsia="宋体"/>
                <w:color w:val="000000"/>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cs="宋体"/>
                <w:b/>
                <w:bCs/>
                <w:color w:val="000000"/>
                <w:spacing w:val="20"/>
                <w:sz w:val="21"/>
                <w:szCs w:val="21"/>
                <w:highlight w:val="none"/>
              </w:rPr>
            </w:pPr>
            <w:r>
              <w:rPr>
                <w:rFonts w:hint="default" w:ascii="宋体" w:hAnsi="宋体" w:cs="宋体"/>
                <w:b/>
                <w:bCs/>
                <w:color w:val="000000"/>
                <w:spacing w:val="20"/>
                <w:sz w:val="21"/>
                <w:szCs w:val="21"/>
                <w:highlight w:val="none"/>
              </w:rPr>
              <w:t>6.7</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b/>
                <w:bCs/>
                <w:color w:val="000000"/>
                <w:sz w:val="21"/>
                <w:szCs w:val="21"/>
                <w:highlight w:val="none"/>
                <w:lang w:val="en-US" w:eastAsia="zh-Hans"/>
              </w:rPr>
            </w:pPr>
            <w:r>
              <w:rPr>
                <w:rFonts w:hint="eastAsia" w:ascii="宋体" w:hAnsi="宋体" w:eastAsia="宋体"/>
                <w:color w:val="000000"/>
              </w:rPr>
              <w:t>信息管理系统软件</w:t>
            </w:r>
            <w:r>
              <w:rPr>
                <w:rFonts w:hint="default" w:ascii="宋体" w:hAnsi="宋体" w:eastAsia="宋体"/>
                <w:color w:val="000000"/>
              </w:rPr>
              <w:t>：1</w:t>
            </w:r>
            <w:r>
              <w:rPr>
                <w:rFonts w:hint="eastAsia" w:ascii="宋体" w:hAnsi="宋体" w:eastAsia="宋体"/>
                <w:color w:val="000000"/>
                <w:lang w:val="en-US" w:eastAsia="zh-Hans"/>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宋体" w:hAnsi="宋体" w:cs="宋体"/>
                <w:b w:val="0"/>
                <w:bCs w:val="0"/>
                <w:color w:val="000000"/>
                <w:spacing w:val="20"/>
                <w:sz w:val="21"/>
                <w:szCs w:val="21"/>
                <w:highlight w:val="none"/>
                <w:lang w:val="en-US" w:eastAsia="zh-CN"/>
              </w:rPr>
            </w:pPr>
            <w:r>
              <w:rPr>
                <w:rFonts w:hint="eastAsia" w:ascii="宋体" w:hAnsi="宋体" w:cs="宋体"/>
                <w:b/>
                <w:bCs/>
                <w:color w:val="000000"/>
                <w:spacing w:val="20"/>
                <w:sz w:val="21"/>
                <w:szCs w:val="21"/>
                <w:highlight w:val="none"/>
                <w:lang w:val="en-US" w:eastAsia="zh-CN"/>
              </w:rPr>
              <w:t>三</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default" w:ascii="宋体" w:hAnsi="宋体"/>
                <w:b w:val="0"/>
                <w:bCs w:val="0"/>
                <w:color w:val="000000"/>
                <w:lang w:val="en-US" w:eastAsia="zh-CN"/>
              </w:rPr>
            </w:pPr>
            <w:r>
              <w:rPr>
                <w:rFonts w:hint="eastAsia" w:ascii="宋体" w:hAnsi="宋体"/>
                <w:b/>
                <w:bCs/>
                <w:color w:val="000000"/>
                <w:lang w:val="en-US" w:eastAsia="zh-CN"/>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bCs/>
                <w:color w:val="000000"/>
                <w:spacing w:val="20"/>
                <w:sz w:val="21"/>
                <w:szCs w:val="21"/>
                <w:highlight w:val="none"/>
                <w:lang w:val="en-US" w:eastAsia="zh-CN"/>
              </w:rPr>
              <w:t>1</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保修期：原厂整机保修≥</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年，维修响应时间7*24小时内</w:t>
            </w:r>
            <w:r>
              <w:rPr>
                <w:rFonts w:hint="eastAsia" w:ascii="宋体" w:hAnsi="宋体" w:eastAsia="宋体" w:cs="宋体"/>
                <w:color w:val="auto"/>
                <w:sz w:val="21"/>
                <w:szCs w:val="21"/>
                <w:lang w:val="en-US" w:eastAsia="zh-CN"/>
              </w:rPr>
              <w:t>并提供备机服务</w:t>
            </w:r>
            <w:r>
              <w:rPr>
                <w:rFonts w:hint="eastAsia" w:ascii="宋体" w:hAnsi="宋体" w:eastAsia="宋体" w:cs="宋体"/>
                <w:color w:val="auto"/>
                <w:sz w:val="21"/>
                <w:szCs w:val="21"/>
              </w:rPr>
              <w:t>。保修期后只收取配件费，免人工费、差旅费、技术服务费等。设备停产后，零配件保持供应8年以上。中标后签订合同时需提供售后维修服务承诺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bCs/>
                <w:color w:val="000000"/>
                <w:spacing w:val="20"/>
                <w:sz w:val="21"/>
                <w:szCs w:val="21"/>
                <w:highlight w:val="none"/>
                <w:lang w:val="en-US" w:eastAsia="zh-CN"/>
              </w:rPr>
              <w:t>2</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验收时货物包装完整，原厂包装未开封及二次包装。安装设备时必须提供操作使用培训与维修技术培训，及相关的说明书、技术手册等。安装设备时必须提供设备的跟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bCs/>
                <w:color w:val="000000"/>
                <w:spacing w:val="20"/>
                <w:sz w:val="21"/>
                <w:szCs w:val="21"/>
                <w:highlight w:val="none"/>
                <w:lang w:val="en-US" w:eastAsia="zh-CN"/>
              </w:rPr>
              <w:t>3</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务必填报完整的配套消耗品、耗材的优惠投标价格（不高于浙江省内其他三甲医院同型号耗材价格，并承诺若后续使用中省内其他三甲医院价格下降，必须同步下调），并提供相关注册证及注册表等证明材料（证件必须在有效期内或附系列可证明有效的文件）；如不随附消耗品、耗材报价，视为承诺免费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bCs/>
                <w:color w:val="000000"/>
                <w:spacing w:val="20"/>
                <w:sz w:val="21"/>
                <w:szCs w:val="21"/>
                <w:highlight w:val="none"/>
                <w:lang w:val="en-US" w:eastAsia="zh-CN"/>
              </w:rPr>
              <w:t>4</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提供投标产品的彩页资料、详细技术指标及生产厂家的售后服务承诺证明，列出详细售后服务计划。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bCs/>
                <w:color w:val="000000"/>
                <w:spacing w:val="20"/>
                <w:sz w:val="21"/>
                <w:szCs w:val="21"/>
                <w:highlight w:val="none"/>
                <w:lang w:val="en-US" w:eastAsia="zh-CN"/>
              </w:rPr>
              <w:t>5</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投标即响应（如中标后）设备安装时提供维修资料及培训资料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提供完整的使用手册和维护手册各一套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bCs/>
                <w:color w:val="000000"/>
                <w:spacing w:val="20"/>
                <w:sz w:val="21"/>
                <w:szCs w:val="21"/>
                <w:highlight w:val="none"/>
                <w:lang w:val="en-US" w:eastAsia="zh-CN"/>
              </w:rPr>
              <w:t>6</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保修期满后，需承诺保修期满后三年内，设备维修常用零配件价格，保修方案及保修费用，请提供保修期满后三年的详细的保修报价方案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bCs/>
                <w:color w:val="000000"/>
                <w:spacing w:val="20"/>
                <w:sz w:val="21"/>
                <w:szCs w:val="21"/>
                <w:highlight w:val="none"/>
                <w:lang w:val="en-US" w:eastAsia="zh-CN"/>
              </w:rPr>
              <w:t>7</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培训：投标方应提供相应的培训方案计划，包括设备操作、应用培训及维修维护培训，培训人数，培训天数等。提供操作和维修培训，培训期间符合相关规定要求。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9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
                <w:bCs/>
                <w:color w:val="000000"/>
                <w:spacing w:val="20"/>
                <w:sz w:val="21"/>
                <w:szCs w:val="21"/>
                <w:highlight w:val="none"/>
                <w:lang w:val="en-US" w:eastAsia="zh-CN"/>
              </w:rPr>
            </w:pPr>
            <w:r>
              <w:rPr>
                <w:rFonts w:hint="eastAsia" w:ascii="宋体" w:hAnsi="宋体" w:eastAsia="宋体" w:cs="宋体"/>
                <w:b/>
                <w:bCs/>
                <w:color w:val="000000"/>
                <w:spacing w:val="20"/>
                <w:sz w:val="21"/>
                <w:szCs w:val="21"/>
                <w:highlight w:val="none"/>
                <w:lang w:val="en-US" w:eastAsia="zh-CN"/>
              </w:rPr>
              <w:t>8</w:t>
            </w:r>
          </w:p>
        </w:tc>
        <w:tc>
          <w:tcPr>
            <w:tcW w:w="7448"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交货期：合同签订后≤</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个工作日</w:t>
            </w:r>
          </w:p>
        </w:tc>
      </w:tr>
    </w:tbl>
    <w:p>
      <w:pPr>
        <w:pStyle w:val="91"/>
        <w:keepNext w:val="0"/>
        <w:keepLines w:val="0"/>
        <w:pageBreakBefore w:val="0"/>
        <w:widowControl w:val="0"/>
        <w:numPr>
          <w:ilvl w:val="0"/>
          <w:numId w:val="8"/>
        </w:numPr>
        <w:tabs>
          <w:tab w:val="left" w:pos="927"/>
          <w:tab w:val="left" w:pos="993"/>
        </w:tabs>
        <w:kinsoku/>
        <w:wordWrap/>
        <w:overflowPunct/>
        <w:topLinePunct w:val="0"/>
        <w:autoSpaceDE/>
        <w:autoSpaceDN/>
        <w:bidi w:val="0"/>
        <w:adjustRightInd/>
        <w:snapToGrid w:val="0"/>
        <w:spacing w:before="157" w:beforeLines="50" w:after="157" w:afterLines="50" w:line="240" w:lineRule="auto"/>
        <w:ind w:left="0" w:leftChars="0" w:firstLine="420" w:firstLineChars="0"/>
        <w:jc w:val="center"/>
        <w:textAlignment w:val="auto"/>
        <w:outlineLvl w:val="1"/>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br w:type="page"/>
      </w:r>
      <w:r>
        <w:rPr>
          <w:rFonts w:hint="eastAsia" w:ascii="宋体" w:hAnsi="宋体" w:eastAsia="宋体" w:cs="宋体"/>
          <w:b/>
          <w:color w:val="auto"/>
          <w:sz w:val="24"/>
          <w:szCs w:val="24"/>
          <w:highlight w:val="none"/>
          <w:lang w:val="en-US" w:eastAsia="zh-CN"/>
        </w:rPr>
        <w:t>商务要求</w:t>
      </w:r>
    </w:p>
    <w:p>
      <w:pPr>
        <w:widowControl w:val="0"/>
        <w:numPr>
          <w:ilvl w:val="0"/>
          <w:numId w:val="9"/>
        </w:numPr>
        <w:tabs>
          <w:tab w:val="left" w:pos="142"/>
          <w:tab w:val="clear" w:pos="680"/>
        </w:tabs>
        <w:snapToGrid w:val="0"/>
        <w:spacing w:line="360" w:lineRule="auto"/>
        <w:ind w:left="0" w:leftChars="0" w:firstLine="422" w:firstLineChars="200"/>
        <w:jc w:val="both"/>
        <w:rPr>
          <w:rFonts w:hint="eastAsia" w:ascii="宋体" w:hAnsi="宋体" w:eastAsia="宋体" w:cs="宋体"/>
          <w:b/>
          <w:color w:val="auto"/>
          <w:sz w:val="21"/>
          <w:szCs w:val="21"/>
          <w:highlight w:val="none"/>
        </w:rPr>
      </w:pPr>
      <w:r>
        <w:rPr>
          <w:rFonts w:hint="eastAsia" w:ascii="Arial" w:hAnsi="宋体" w:cs="Arial"/>
          <w:b/>
          <w:bCs/>
          <w:color w:val="auto"/>
          <w:szCs w:val="21"/>
          <w:highlight w:val="none"/>
          <w:lang w:val="en-US" w:eastAsia="zh-CN"/>
        </w:rPr>
        <w:t>本项目采用固定总价报价，</w:t>
      </w:r>
      <w:r>
        <w:rPr>
          <w:rFonts w:hint="eastAsia" w:ascii="Arial" w:hAnsi="宋体" w:cs="Arial"/>
          <w:b/>
          <w:bCs/>
          <w:color w:val="auto"/>
          <w:szCs w:val="21"/>
          <w:highlight w:val="none"/>
        </w:rPr>
        <w:t>投标报价包含</w:t>
      </w:r>
      <w:r>
        <w:rPr>
          <w:rFonts w:hint="eastAsia" w:ascii="Arial" w:hAnsi="宋体" w:cs="Arial"/>
          <w:b/>
          <w:bCs/>
          <w:color w:val="auto"/>
          <w:szCs w:val="21"/>
          <w:highlight w:val="none"/>
          <w:lang w:val="en-US" w:eastAsia="zh-CN"/>
        </w:rPr>
        <w:t>货物的</w:t>
      </w:r>
      <w:r>
        <w:rPr>
          <w:rFonts w:hint="eastAsia" w:ascii="Arial" w:hAnsi="宋体" w:cs="Arial"/>
          <w:b/>
          <w:bCs/>
          <w:color w:val="auto"/>
          <w:szCs w:val="21"/>
          <w:highlight w:val="none"/>
        </w:rPr>
        <w:t>包装、运输、保险、装卸费、配合验收、安装</w:t>
      </w:r>
      <w:r>
        <w:rPr>
          <w:rFonts w:hint="eastAsia" w:ascii="Times New Roman" w:hAnsi="Times New Roman" w:eastAsia="宋体" w:cs="Times New Roman"/>
          <w:b/>
          <w:bCs/>
          <w:color w:val="auto"/>
          <w:sz w:val="21"/>
          <w:szCs w:val="21"/>
          <w:highlight w:val="none"/>
          <w:lang w:val="en-US" w:eastAsia="zh-CN"/>
        </w:rPr>
        <w:t>调试</w:t>
      </w:r>
      <w:r>
        <w:rPr>
          <w:rFonts w:hint="eastAsia" w:ascii="Arial" w:hAnsi="宋体" w:cs="Arial"/>
          <w:b/>
          <w:bCs/>
          <w:color w:val="auto"/>
          <w:szCs w:val="21"/>
          <w:highlight w:val="none"/>
        </w:rPr>
        <w:t>、培训、技术服务、售后服务、所有需缴纳的税费</w:t>
      </w:r>
      <w:r>
        <w:rPr>
          <w:rFonts w:hint="eastAsia" w:ascii="宋体" w:hAnsi="宋体" w:eastAsia="宋体" w:cs="宋体"/>
          <w:b/>
          <w:color w:val="auto"/>
          <w:sz w:val="21"/>
          <w:szCs w:val="21"/>
          <w:highlight w:val="none"/>
        </w:rPr>
        <w:t>等完成该项目所需的一切本身和不可或缺的所有工作开支、政策性文件规定及合同包含的所有风险、责任等各项全部费用并承担一切风险责任。</w:t>
      </w:r>
    </w:p>
    <w:p>
      <w:pPr>
        <w:widowControl w:val="0"/>
        <w:numPr>
          <w:ilvl w:val="0"/>
          <w:numId w:val="9"/>
        </w:numPr>
        <w:tabs>
          <w:tab w:val="left" w:pos="142"/>
          <w:tab w:val="clear" w:pos="680"/>
        </w:tabs>
        <w:snapToGrid w:val="0"/>
        <w:spacing w:line="360" w:lineRule="auto"/>
        <w:ind w:left="0" w:leftChars="0" w:firstLine="422" w:firstLineChars="200"/>
        <w:jc w:val="both"/>
        <w:rPr>
          <w:rFonts w:hint="eastAsia" w:ascii="宋体" w:hAnsi="宋体" w:cs="Arial"/>
          <w:b/>
          <w:color w:val="auto"/>
          <w:szCs w:val="21"/>
          <w:highlight w:val="none"/>
        </w:rPr>
      </w:pPr>
      <w:r>
        <w:rPr>
          <w:rFonts w:hint="eastAsia" w:ascii="宋体" w:hAnsi="宋体" w:cs="Arial"/>
          <w:b/>
          <w:color w:val="auto"/>
          <w:szCs w:val="21"/>
          <w:highlight w:val="none"/>
        </w:rPr>
        <w:t>付款方式</w:t>
      </w:r>
    </w:p>
    <w:p>
      <w:pPr>
        <w:widowControl w:val="0"/>
        <w:numPr>
          <w:ilvl w:val="0"/>
          <w:numId w:val="10"/>
        </w:numPr>
        <w:tabs>
          <w:tab w:val="left" w:pos="0"/>
        </w:tabs>
        <w:snapToGrid w:val="0"/>
        <w:spacing w:line="360" w:lineRule="auto"/>
        <w:ind w:left="0" w:leftChars="0" w:firstLine="403" w:firstLineChars="0"/>
        <w:jc w:val="both"/>
        <w:rPr>
          <w:rFonts w:hint="eastAsia" w:ascii="Times New Roman" w:hAnsi="宋体" w:eastAsia="宋体" w:cs="Times New Roman"/>
          <w:bCs/>
          <w:color w:val="auto"/>
          <w:szCs w:val="21"/>
          <w:highlight w:val="none"/>
          <w:lang w:val="en-US" w:eastAsia="zh-CN"/>
        </w:rPr>
      </w:pPr>
      <w:r>
        <w:rPr>
          <w:rFonts w:hint="eastAsia" w:ascii="Times New Roman" w:hAnsi="宋体" w:eastAsia="宋体" w:cs="Times New Roman"/>
          <w:bCs/>
          <w:color w:val="auto"/>
          <w:szCs w:val="21"/>
          <w:highlight w:val="none"/>
          <w:lang w:val="en-US" w:eastAsia="zh-CN"/>
        </w:rPr>
        <w:t>合同签订生效且具备实施条件之日起，收到中标人提供的有效发票后7个工作日内，采购人须支付合同价款的40%作为预付款，预付款在后续货款中作相应抵扣。（根据浙财采监〔2022〕3号文件要求，在签订合同时，如投标人为大型企业或投标人明确表示无需预付款或者主动要求降低预付款比例的，采购人可不适用前述规定。）</w:t>
      </w:r>
    </w:p>
    <w:p>
      <w:pPr>
        <w:widowControl w:val="0"/>
        <w:numPr>
          <w:ilvl w:val="0"/>
          <w:numId w:val="10"/>
        </w:numPr>
        <w:tabs>
          <w:tab w:val="left" w:pos="0"/>
        </w:tabs>
        <w:snapToGrid w:val="0"/>
        <w:spacing w:line="360" w:lineRule="auto"/>
        <w:ind w:left="0" w:leftChars="0" w:firstLine="403" w:firstLineChars="0"/>
        <w:jc w:val="both"/>
        <w:rPr>
          <w:rFonts w:hint="eastAsia" w:ascii="Times New Roman" w:hAnsi="宋体" w:eastAsia="宋体" w:cs="Times New Roman"/>
          <w:bCs/>
          <w:color w:val="auto"/>
          <w:szCs w:val="21"/>
          <w:highlight w:val="none"/>
          <w:lang w:val="en-US" w:eastAsia="zh-CN"/>
        </w:rPr>
      </w:pPr>
      <w:r>
        <w:rPr>
          <w:rFonts w:hint="eastAsia" w:ascii="宋体" w:hAnsi="宋体" w:eastAsia="宋体" w:cs="宋体"/>
          <w:b/>
          <w:bCs/>
          <w:color w:val="auto"/>
          <w:sz w:val="21"/>
          <w:szCs w:val="21"/>
          <w:lang w:val="en-US" w:eastAsia="zh-CN"/>
        </w:rPr>
        <w:t>设备到货通过初验后，</w:t>
      </w:r>
      <w:r>
        <w:rPr>
          <w:rFonts w:hint="eastAsia" w:ascii="宋体" w:hAnsi="宋体" w:eastAsia="宋体" w:cs="宋体"/>
          <w:b/>
          <w:bCs/>
          <w:color w:val="auto"/>
          <w:sz w:val="21"/>
          <w:szCs w:val="21"/>
          <w:lang w:eastAsia="zh-CN"/>
        </w:rPr>
        <w:t>甲方收到发票后7个工作日内支付合同货款</w:t>
      </w:r>
      <w:r>
        <w:rPr>
          <w:rFonts w:hint="eastAsia" w:ascii="宋体" w:hAnsi="宋体" w:eastAsia="宋体" w:cs="宋体"/>
          <w:b/>
          <w:bCs/>
          <w:color w:val="auto"/>
          <w:sz w:val="21"/>
          <w:szCs w:val="21"/>
          <w:lang w:val="en-US" w:eastAsia="zh-CN"/>
        </w:rPr>
        <w:t>90%</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注：预付款在此扣回</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，设备投入使用满6个月后，并通过验收合格后</w:t>
      </w:r>
      <w:r>
        <w:rPr>
          <w:rFonts w:hint="eastAsia" w:ascii="宋体" w:hAnsi="宋体" w:eastAsia="宋体" w:cs="宋体"/>
          <w:b/>
          <w:bCs/>
          <w:color w:val="auto"/>
          <w:sz w:val="21"/>
          <w:szCs w:val="21"/>
          <w:lang w:eastAsia="zh-CN"/>
        </w:rPr>
        <w:t>7个工作日</w:t>
      </w:r>
      <w:r>
        <w:rPr>
          <w:rFonts w:hint="eastAsia" w:ascii="宋体" w:hAnsi="宋体" w:eastAsia="宋体" w:cs="宋体"/>
          <w:b/>
          <w:bCs/>
          <w:color w:val="auto"/>
          <w:sz w:val="21"/>
          <w:szCs w:val="21"/>
          <w:lang w:val="en-US" w:eastAsia="zh-CN"/>
        </w:rPr>
        <w:t>支付剩余货款</w:t>
      </w:r>
      <w:r>
        <w:rPr>
          <w:rFonts w:hint="eastAsia" w:ascii="宋体" w:hAnsi="宋体" w:eastAsia="宋体" w:cs="宋体"/>
          <w:b/>
          <w:bCs/>
          <w:color w:val="auto"/>
          <w:sz w:val="21"/>
          <w:szCs w:val="21"/>
          <w:lang w:eastAsia="zh-CN"/>
        </w:rPr>
        <w:t>。</w:t>
      </w:r>
    </w:p>
    <w:p>
      <w:pPr>
        <w:widowControl w:val="0"/>
        <w:numPr>
          <w:ilvl w:val="0"/>
          <w:numId w:val="10"/>
        </w:numPr>
        <w:tabs>
          <w:tab w:val="left" w:pos="0"/>
        </w:tabs>
        <w:snapToGrid w:val="0"/>
        <w:spacing w:line="360" w:lineRule="auto"/>
        <w:ind w:left="0" w:leftChars="0" w:firstLine="403" w:firstLineChars="0"/>
        <w:jc w:val="both"/>
        <w:rPr>
          <w:rFonts w:hint="eastAsia" w:ascii="Times New Roman" w:hAnsi="宋体" w:eastAsia="宋体" w:cs="Times New Roman"/>
          <w:bCs/>
          <w:color w:val="auto"/>
          <w:szCs w:val="21"/>
          <w:highlight w:val="none"/>
          <w:lang w:val="en-US" w:eastAsia="zh-CN"/>
        </w:rPr>
      </w:pPr>
      <w:r>
        <w:rPr>
          <w:rFonts w:hint="eastAsia" w:ascii="宋体" w:hAnsi="宋体" w:eastAsia="宋体" w:cs="宋体"/>
          <w:b/>
          <w:bCs/>
          <w:color w:val="000000"/>
          <w:sz w:val="21"/>
          <w:szCs w:val="21"/>
        </w:rPr>
        <w:t>延期交货罚款：延期交货每7天，按合同总价的0.5%支付迟交违约金，不足7天按7天计，依次累计，最高罚款为合同总价的5%。</w:t>
      </w:r>
    </w:p>
    <w:p>
      <w:pPr>
        <w:numPr>
          <w:ilvl w:val="0"/>
          <w:numId w:val="0"/>
        </w:numPr>
        <w:tabs>
          <w:tab w:val="left" w:pos="0"/>
        </w:tabs>
        <w:spacing w:line="360" w:lineRule="auto"/>
        <w:ind w:firstLine="420" w:firstLineChars="200"/>
        <w:rPr>
          <w:rFonts w:hint="eastAsia" w:ascii="宋体" w:hAnsi="宋体"/>
          <w:b w:val="0"/>
          <w:bCs/>
          <w:color w:val="auto"/>
          <w:szCs w:val="21"/>
          <w:highlight w:val="none"/>
          <w:lang w:val="en-US" w:eastAsia="zh-CN"/>
        </w:rPr>
      </w:pPr>
      <w:r>
        <w:rPr>
          <w:rFonts w:ascii="宋体" w:hAnsi="宋体"/>
          <w:b w:val="0"/>
          <w:bCs/>
          <w:color w:val="auto"/>
          <w:highlight w:val="none"/>
        </w:rPr>
        <w:t>注：</w:t>
      </w:r>
      <w:r>
        <w:rPr>
          <w:rFonts w:hint="eastAsia" w:ascii="宋体" w:hAnsi="宋体"/>
          <w:b w:val="0"/>
          <w:bCs/>
          <w:color w:val="auto"/>
          <w:szCs w:val="21"/>
          <w:highlight w:val="none"/>
          <w:lang w:eastAsia="zh-CN"/>
        </w:rPr>
        <w:t>采购人</w:t>
      </w:r>
      <w:r>
        <w:rPr>
          <w:rFonts w:hint="eastAsia" w:ascii="宋体" w:hAnsi="宋体"/>
          <w:b w:val="0"/>
          <w:bCs/>
          <w:color w:val="auto"/>
          <w:szCs w:val="21"/>
          <w:highlight w:val="none"/>
          <w:lang w:val="en-US" w:eastAsia="zh-CN"/>
        </w:rPr>
        <w:t>未及时支付合同价款或未及时退还履约担保的，应当支付逾期利息。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0"/>
        <w:rPr>
          <w:rFonts w:ascii="仿宋" w:hAnsi="仿宋" w:eastAsia="仿宋" w:cs="仿宋_GB2312"/>
          <w:b/>
          <w:color w:val="auto"/>
          <w:sz w:val="32"/>
          <w:szCs w:val="32"/>
          <w:highlight w:val="none"/>
        </w:rPr>
      </w:pPr>
      <w:r>
        <w:rPr>
          <w:rFonts w:hint="eastAsia"/>
          <w:b/>
          <w:bCs/>
          <w:color w:val="auto"/>
          <w:highlight w:val="none"/>
          <w:lang w:eastAsia="zh-CN"/>
        </w:rPr>
        <w:br w:type="page"/>
      </w:r>
      <w:bookmarkStart w:id="130" w:name="_Toc13221"/>
      <w:bookmarkStart w:id="131" w:name="_Toc22467"/>
      <w:bookmarkStart w:id="132" w:name="_Toc7172"/>
      <w:r>
        <w:rPr>
          <w:rFonts w:hint="eastAsia" w:ascii="宋体" w:hAnsi="宋体" w:eastAsia="宋体" w:cs="宋体"/>
          <w:b/>
          <w:color w:val="auto"/>
          <w:kern w:val="44"/>
          <w:sz w:val="32"/>
          <w:szCs w:val="32"/>
          <w:highlight w:val="none"/>
          <w:lang w:val="en-US" w:eastAsia="zh-CN" w:bidi="ar-SA"/>
        </w:rPr>
        <w:t xml:space="preserve">第四部分   </w:t>
      </w:r>
      <w:bookmarkStart w:id="133" w:name="_Toc184308051"/>
      <w:bookmarkEnd w:id="133"/>
      <w:bookmarkStart w:id="134" w:name="_Toc184308062"/>
      <w:bookmarkEnd w:id="134"/>
      <w:bookmarkStart w:id="135" w:name="_Toc184312094"/>
      <w:bookmarkEnd w:id="135"/>
      <w:bookmarkStart w:id="136" w:name="_Toc184310289"/>
      <w:bookmarkEnd w:id="136"/>
      <w:bookmarkStart w:id="137" w:name="_Toc184313306"/>
      <w:bookmarkEnd w:id="137"/>
      <w:bookmarkStart w:id="138" w:name="_Toc184308073"/>
      <w:bookmarkEnd w:id="138"/>
      <w:bookmarkStart w:id="139" w:name="_Toc184312105"/>
      <w:bookmarkEnd w:id="139"/>
      <w:bookmarkStart w:id="140" w:name="_Toc184312095"/>
      <w:bookmarkEnd w:id="140"/>
      <w:bookmarkStart w:id="141" w:name="_Toc184314425"/>
      <w:bookmarkEnd w:id="141"/>
      <w:bookmarkStart w:id="142" w:name="_Toc184314480"/>
      <w:bookmarkEnd w:id="142"/>
      <w:bookmarkStart w:id="143" w:name="_Toc184314421"/>
      <w:bookmarkEnd w:id="143"/>
      <w:bookmarkStart w:id="144" w:name="_Toc184308038"/>
      <w:bookmarkEnd w:id="144"/>
      <w:bookmarkStart w:id="145" w:name="_Toc184314439"/>
      <w:bookmarkEnd w:id="145"/>
      <w:bookmarkStart w:id="146" w:name="_Toc184312134"/>
      <w:bookmarkEnd w:id="146"/>
      <w:bookmarkStart w:id="147" w:name="_Toc184312133"/>
      <w:bookmarkEnd w:id="147"/>
      <w:bookmarkStart w:id="148" w:name="_Toc184308086"/>
      <w:bookmarkEnd w:id="148"/>
      <w:bookmarkStart w:id="149" w:name="_Toc184312083"/>
      <w:bookmarkEnd w:id="149"/>
      <w:bookmarkStart w:id="150" w:name="_Toc184310288"/>
      <w:bookmarkEnd w:id="150"/>
      <w:bookmarkStart w:id="151" w:name="_Toc184314459"/>
      <w:bookmarkEnd w:id="151"/>
      <w:bookmarkStart w:id="152" w:name="_Toc184310337"/>
      <w:bookmarkEnd w:id="152"/>
      <w:bookmarkStart w:id="153" w:name="_Toc184312087"/>
      <w:bookmarkEnd w:id="153"/>
      <w:bookmarkStart w:id="154" w:name="_Toc184313303"/>
      <w:bookmarkEnd w:id="154"/>
      <w:bookmarkStart w:id="155" w:name="_Toc184312112"/>
      <w:bookmarkEnd w:id="155"/>
      <w:bookmarkStart w:id="156" w:name="_Toc184313300"/>
      <w:bookmarkEnd w:id="156"/>
      <w:bookmarkStart w:id="157" w:name="_Toc184313286"/>
      <w:bookmarkEnd w:id="157"/>
      <w:bookmarkStart w:id="158" w:name="_Toc184312075"/>
      <w:bookmarkEnd w:id="158"/>
      <w:bookmarkStart w:id="159" w:name="_Toc184312085"/>
      <w:bookmarkEnd w:id="159"/>
      <w:bookmarkStart w:id="160" w:name="_Toc184313244"/>
      <w:bookmarkEnd w:id="160"/>
      <w:bookmarkStart w:id="161" w:name="_Toc184310297"/>
      <w:bookmarkEnd w:id="161"/>
      <w:bookmarkStart w:id="162" w:name="_Toc184312121"/>
      <w:bookmarkEnd w:id="162"/>
      <w:bookmarkStart w:id="163" w:name="_Toc184308107"/>
      <w:bookmarkEnd w:id="163"/>
      <w:bookmarkStart w:id="164" w:name="_Toc184314429"/>
      <w:bookmarkEnd w:id="164"/>
      <w:bookmarkStart w:id="165" w:name="_Toc184313254"/>
      <w:bookmarkEnd w:id="165"/>
      <w:bookmarkStart w:id="166" w:name="_Toc184312130"/>
      <w:bookmarkEnd w:id="166"/>
      <w:bookmarkStart w:id="167" w:name="_Toc184312120"/>
      <w:bookmarkEnd w:id="167"/>
      <w:bookmarkStart w:id="168" w:name="_Toc184314468"/>
      <w:bookmarkEnd w:id="168"/>
      <w:bookmarkStart w:id="169" w:name="_Toc184314434"/>
      <w:bookmarkEnd w:id="169"/>
      <w:bookmarkStart w:id="170" w:name="_Toc184314463"/>
      <w:bookmarkEnd w:id="170"/>
      <w:bookmarkStart w:id="171" w:name="_Toc184312074"/>
      <w:bookmarkEnd w:id="171"/>
      <w:bookmarkStart w:id="172" w:name="_Toc184312082"/>
      <w:bookmarkEnd w:id="172"/>
      <w:bookmarkStart w:id="173" w:name="_Toc184308050"/>
      <w:bookmarkEnd w:id="173"/>
      <w:bookmarkStart w:id="174" w:name="_Toc184310302"/>
      <w:bookmarkEnd w:id="174"/>
      <w:bookmarkStart w:id="175" w:name="_Toc184314435"/>
      <w:bookmarkEnd w:id="175"/>
      <w:bookmarkStart w:id="176" w:name="_Toc184314455"/>
      <w:bookmarkEnd w:id="176"/>
      <w:bookmarkStart w:id="177" w:name="_Toc184312128"/>
      <w:bookmarkEnd w:id="177"/>
      <w:bookmarkStart w:id="178" w:name="_Toc184310283"/>
      <w:bookmarkEnd w:id="178"/>
      <w:bookmarkStart w:id="179" w:name="_Toc184310323"/>
      <w:bookmarkEnd w:id="179"/>
      <w:bookmarkStart w:id="180" w:name="_Toc184310329"/>
      <w:bookmarkEnd w:id="180"/>
      <w:bookmarkStart w:id="181" w:name="_Toc184312092"/>
      <w:bookmarkEnd w:id="181"/>
      <w:bookmarkStart w:id="182" w:name="_Toc184313302"/>
      <w:bookmarkEnd w:id="182"/>
      <w:bookmarkStart w:id="183" w:name="_Toc184308037"/>
      <w:bookmarkEnd w:id="183"/>
      <w:bookmarkStart w:id="184" w:name="_Toc184312111"/>
      <w:bookmarkEnd w:id="184"/>
      <w:bookmarkStart w:id="185" w:name="_Toc184310344"/>
      <w:bookmarkEnd w:id="185"/>
      <w:bookmarkStart w:id="186" w:name="_Toc184312138"/>
      <w:bookmarkEnd w:id="186"/>
      <w:bookmarkStart w:id="187" w:name="_Toc184310333"/>
      <w:bookmarkEnd w:id="187"/>
      <w:bookmarkStart w:id="188" w:name="_Toc184314448"/>
      <w:bookmarkEnd w:id="188"/>
      <w:bookmarkStart w:id="189" w:name="_Toc184312086"/>
      <w:bookmarkEnd w:id="189"/>
      <w:bookmarkStart w:id="190" w:name="_Toc184313283"/>
      <w:bookmarkEnd w:id="190"/>
      <w:bookmarkStart w:id="191" w:name="_Toc184313298"/>
      <w:bookmarkEnd w:id="191"/>
      <w:bookmarkStart w:id="192" w:name="_Toc184313260"/>
      <w:bookmarkEnd w:id="192"/>
      <w:bookmarkStart w:id="193" w:name="_Toc184310318"/>
      <w:bookmarkEnd w:id="193"/>
      <w:bookmarkStart w:id="194" w:name="_Toc184310308"/>
      <w:bookmarkEnd w:id="194"/>
      <w:bookmarkStart w:id="195" w:name="_Toc184313267"/>
      <w:bookmarkEnd w:id="195"/>
      <w:bookmarkStart w:id="196" w:name="_Toc184310296"/>
      <w:bookmarkEnd w:id="196"/>
      <w:bookmarkStart w:id="197" w:name="_Toc184313304"/>
      <w:bookmarkEnd w:id="197"/>
      <w:bookmarkStart w:id="198" w:name="_Toc184308044"/>
      <w:bookmarkEnd w:id="198"/>
      <w:bookmarkStart w:id="199" w:name="_Toc184312098"/>
      <w:bookmarkEnd w:id="199"/>
      <w:bookmarkStart w:id="200" w:name="_Toc184314422"/>
      <w:bookmarkEnd w:id="200"/>
      <w:bookmarkStart w:id="201" w:name="_Toc184308084"/>
      <w:bookmarkEnd w:id="201"/>
      <w:bookmarkStart w:id="202" w:name="_Toc184312131"/>
      <w:bookmarkEnd w:id="202"/>
      <w:bookmarkStart w:id="203" w:name="_Toc184310287"/>
      <w:bookmarkEnd w:id="203"/>
      <w:bookmarkStart w:id="204" w:name="_Toc184312097"/>
      <w:bookmarkEnd w:id="204"/>
      <w:bookmarkStart w:id="205" w:name="_Toc184313305"/>
      <w:bookmarkEnd w:id="205"/>
      <w:bookmarkStart w:id="206" w:name="_Toc184312110"/>
      <w:bookmarkEnd w:id="206"/>
      <w:bookmarkStart w:id="207" w:name="_Toc184310306"/>
      <w:bookmarkEnd w:id="207"/>
      <w:bookmarkStart w:id="208" w:name="_Toc184313252"/>
      <w:bookmarkEnd w:id="208"/>
      <w:bookmarkStart w:id="209" w:name="_Toc184312103"/>
      <w:bookmarkEnd w:id="209"/>
      <w:bookmarkStart w:id="210" w:name="_Toc184314474"/>
      <w:bookmarkEnd w:id="210"/>
      <w:bookmarkStart w:id="211" w:name="_Toc184308042"/>
      <w:bookmarkEnd w:id="211"/>
      <w:bookmarkStart w:id="212" w:name="_Toc184308097"/>
      <w:bookmarkEnd w:id="212"/>
      <w:bookmarkStart w:id="213" w:name="_Toc184308101"/>
      <w:bookmarkEnd w:id="213"/>
      <w:bookmarkStart w:id="214" w:name="_Toc184313259"/>
      <w:bookmarkEnd w:id="214"/>
      <w:bookmarkStart w:id="215" w:name="_Toc184314443"/>
      <w:bookmarkEnd w:id="215"/>
      <w:bookmarkStart w:id="216" w:name="_Toc184308057"/>
      <w:bookmarkEnd w:id="216"/>
      <w:bookmarkStart w:id="217" w:name="_Toc184313271"/>
      <w:bookmarkEnd w:id="217"/>
      <w:bookmarkStart w:id="218" w:name="_Toc184310320"/>
      <w:bookmarkEnd w:id="218"/>
      <w:bookmarkStart w:id="219" w:name="_Toc184310299"/>
      <w:bookmarkEnd w:id="219"/>
      <w:bookmarkStart w:id="220" w:name="_Toc184313246"/>
      <w:bookmarkEnd w:id="220"/>
      <w:bookmarkStart w:id="221" w:name="_Toc184308082"/>
      <w:bookmarkEnd w:id="221"/>
      <w:bookmarkStart w:id="222" w:name="_Toc184310325"/>
      <w:bookmarkEnd w:id="222"/>
      <w:bookmarkStart w:id="223" w:name="_Toc184308104"/>
      <w:bookmarkEnd w:id="223"/>
      <w:bookmarkStart w:id="224" w:name="_Toc184308059"/>
      <w:bookmarkEnd w:id="224"/>
      <w:bookmarkStart w:id="225" w:name="_Toc184310336"/>
      <w:bookmarkEnd w:id="225"/>
      <w:bookmarkStart w:id="226" w:name="_Toc184314476"/>
      <w:bookmarkEnd w:id="226"/>
      <w:bookmarkStart w:id="227" w:name="_Toc184314416"/>
      <w:bookmarkEnd w:id="227"/>
      <w:bookmarkStart w:id="228" w:name="_Toc184312089"/>
      <w:bookmarkEnd w:id="228"/>
      <w:bookmarkStart w:id="229" w:name="_Toc184310274"/>
      <w:bookmarkEnd w:id="229"/>
      <w:bookmarkStart w:id="230" w:name="_Toc184310322"/>
      <w:bookmarkEnd w:id="230"/>
      <w:bookmarkStart w:id="231" w:name="_Toc184308041"/>
      <w:bookmarkEnd w:id="231"/>
      <w:bookmarkStart w:id="232" w:name="_Toc184308098"/>
      <w:bookmarkEnd w:id="232"/>
      <w:bookmarkStart w:id="233" w:name="_Toc184310278"/>
      <w:bookmarkEnd w:id="233"/>
      <w:bookmarkStart w:id="234" w:name="_Toc184310326"/>
      <w:bookmarkEnd w:id="234"/>
      <w:bookmarkStart w:id="235" w:name="_Toc184308056"/>
      <w:bookmarkEnd w:id="235"/>
      <w:bookmarkStart w:id="236" w:name="_Toc184313296"/>
      <w:bookmarkEnd w:id="236"/>
      <w:bookmarkStart w:id="237" w:name="_Toc184314440"/>
      <w:bookmarkEnd w:id="237"/>
      <w:bookmarkStart w:id="238" w:name="_Toc184308069"/>
      <w:bookmarkEnd w:id="238"/>
      <w:bookmarkStart w:id="239" w:name="_Toc184310272"/>
      <w:bookmarkEnd w:id="239"/>
      <w:bookmarkStart w:id="240" w:name="_Toc184313242"/>
      <w:bookmarkEnd w:id="240"/>
      <w:bookmarkStart w:id="241" w:name="_Toc184314466"/>
      <w:bookmarkEnd w:id="241"/>
      <w:bookmarkStart w:id="242" w:name="_Toc184312132"/>
      <w:bookmarkEnd w:id="242"/>
      <w:bookmarkStart w:id="243" w:name="_Toc184313253"/>
      <w:bookmarkEnd w:id="243"/>
      <w:bookmarkStart w:id="244" w:name="_Toc184312129"/>
      <w:bookmarkEnd w:id="244"/>
      <w:bookmarkStart w:id="245" w:name="_Toc184308102"/>
      <w:bookmarkEnd w:id="245"/>
      <w:bookmarkStart w:id="246" w:name="_Toc184308095"/>
      <w:bookmarkEnd w:id="246"/>
      <w:bookmarkStart w:id="247" w:name="_Toc184308076"/>
      <w:bookmarkEnd w:id="247"/>
      <w:bookmarkStart w:id="248" w:name="_Toc184314454"/>
      <w:bookmarkEnd w:id="248"/>
      <w:bookmarkStart w:id="249" w:name="_Toc184308047"/>
      <w:bookmarkEnd w:id="249"/>
      <w:bookmarkStart w:id="250" w:name="_Toc184314446"/>
      <w:bookmarkEnd w:id="250"/>
      <w:bookmarkStart w:id="251" w:name="_Toc184310328"/>
      <w:bookmarkEnd w:id="251"/>
      <w:bookmarkStart w:id="252" w:name="_Toc184313245"/>
      <w:bookmarkEnd w:id="252"/>
      <w:bookmarkStart w:id="253" w:name="_Toc184313282"/>
      <w:bookmarkEnd w:id="253"/>
      <w:bookmarkStart w:id="254" w:name="_Toc184308087"/>
      <w:bookmarkEnd w:id="254"/>
      <w:bookmarkStart w:id="255" w:name="_Toc184313292"/>
      <w:bookmarkEnd w:id="255"/>
      <w:bookmarkStart w:id="256" w:name="_Toc184313277"/>
      <w:bookmarkEnd w:id="256"/>
      <w:bookmarkStart w:id="257" w:name="_Toc184312137"/>
      <w:bookmarkEnd w:id="257"/>
      <w:bookmarkStart w:id="258" w:name="_Toc184313243"/>
      <w:bookmarkEnd w:id="258"/>
      <w:bookmarkStart w:id="259" w:name="_Toc184308053"/>
      <w:bookmarkEnd w:id="259"/>
      <w:bookmarkStart w:id="260" w:name="_Toc184312125"/>
      <w:bookmarkEnd w:id="260"/>
      <w:bookmarkStart w:id="261" w:name="_Toc184308078"/>
      <w:bookmarkEnd w:id="261"/>
      <w:bookmarkStart w:id="262" w:name="_Toc184312077"/>
      <w:bookmarkEnd w:id="262"/>
      <w:bookmarkStart w:id="263" w:name="_Toc184314411"/>
      <w:bookmarkEnd w:id="263"/>
      <w:bookmarkStart w:id="264" w:name="_Toc184310305"/>
      <w:bookmarkEnd w:id="264"/>
      <w:bookmarkStart w:id="265" w:name="_Toc184313247"/>
      <w:bookmarkEnd w:id="265"/>
      <w:bookmarkStart w:id="266" w:name="_Toc184312076"/>
      <w:bookmarkEnd w:id="266"/>
      <w:bookmarkStart w:id="267" w:name="_Toc184314445"/>
      <w:bookmarkEnd w:id="267"/>
      <w:bookmarkStart w:id="268" w:name="_Toc184314442"/>
      <w:bookmarkEnd w:id="268"/>
      <w:bookmarkStart w:id="269" w:name="_Toc184313289"/>
      <w:bookmarkEnd w:id="269"/>
      <w:bookmarkStart w:id="270" w:name="_Toc184310291"/>
      <w:bookmarkEnd w:id="270"/>
      <w:bookmarkStart w:id="271" w:name="_Toc184313257"/>
      <w:bookmarkEnd w:id="271"/>
      <w:bookmarkStart w:id="272" w:name="_Toc184314472"/>
      <w:bookmarkEnd w:id="272"/>
      <w:bookmarkStart w:id="273" w:name="_Toc184308040"/>
      <w:bookmarkEnd w:id="273"/>
      <w:bookmarkStart w:id="274" w:name="_Toc184314423"/>
      <w:bookmarkEnd w:id="274"/>
      <w:bookmarkStart w:id="275" w:name="_Toc184314458"/>
      <w:bookmarkEnd w:id="275"/>
      <w:bookmarkStart w:id="276" w:name="_Toc184313294"/>
      <w:bookmarkEnd w:id="276"/>
      <w:bookmarkStart w:id="277" w:name="_Toc184310276"/>
      <w:bookmarkEnd w:id="277"/>
      <w:bookmarkStart w:id="278" w:name="_Toc184314437"/>
      <w:bookmarkEnd w:id="278"/>
      <w:bookmarkStart w:id="279" w:name="_Toc184314457"/>
      <w:bookmarkEnd w:id="279"/>
      <w:bookmarkStart w:id="280" w:name="_Toc184312119"/>
      <w:bookmarkEnd w:id="280"/>
      <w:bookmarkStart w:id="281" w:name="_Toc184314478"/>
      <w:bookmarkEnd w:id="281"/>
      <w:bookmarkStart w:id="282" w:name="_Toc184308064"/>
      <w:bookmarkEnd w:id="282"/>
      <w:bookmarkStart w:id="283" w:name="_Toc184312080"/>
      <w:bookmarkEnd w:id="283"/>
      <w:bookmarkStart w:id="284" w:name="_Toc184308048"/>
      <w:bookmarkEnd w:id="284"/>
      <w:bookmarkStart w:id="285" w:name="_Toc184314475"/>
      <w:bookmarkEnd w:id="285"/>
      <w:bookmarkStart w:id="286" w:name="_Toc184312104"/>
      <w:bookmarkEnd w:id="286"/>
      <w:bookmarkStart w:id="287" w:name="_Toc184313308"/>
      <w:bookmarkEnd w:id="287"/>
      <w:bookmarkStart w:id="288" w:name="_Toc184310311"/>
      <w:bookmarkEnd w:id="288"/>
      <w:bookmarkStart w:id="289" w:name="_Toc184310342"/>
      <w:bookmarkEnd w:id="289"/>
      <w:bookmarkStart w:id="290" w:name="_Toc184310324"/>
      <w:bookmarkEnd w:id="290"/>
      <w:bookmarkStart w:id="291" w:name="_Toc184308105"/>
      <w:bookmarkEnd w:id="291"/>
      <w:bookmarkStart w:id="292" w:name="_Toc184313268"/>
      <w:bookmarkEnd w:id="292"/>
      <w:bookmarkStart w:id="293" w:name="_Toc184313238"/>
      <w:bookmarkEnd w:id="293"/>
      <w:bookmarkStart w:id="294" w:name="_Toc184314467"/>
      <w:bookmarkEnd w:id="294"/>
      <w:bookmarkStart w:id="295" w:name="_Toc184313274"/>
      <w:bookmarkEnd w:id="295"/>
      <w:bookmarkStart w:id="296" w:name="_Toc184313256"/>
      <w:bookmarkEnd w:id="296"/>
      <w:bookmarkStart w:id="297" w:name="_Toc184310298"/>
      <w:bookmarkEnd w:id="297"/>
      <w:bookmarkStart w:id="298" w:name="_Toc184314449"/>
      <w:bookmarkEnd w:id="298"/>
      <w:bookmarkStart w:id="299" w:name="_Toc184312069"/>
      <w:bookmarkEnd w:id="299"/>
      <w:bookmarkStart w:id="300" w:name="_Toc184308054"/>
      <w:bookmarkEnd w:id="300"/>
      <w:bookmarkStart w:id="301" w:name="_Toc184308108"/>
      <w:bookmarkEnd w:id="301"/>
      <w:bookmarkStart w:id="302" w:name="_Toc184312115"/>
      <w:bookmarkEnd w:id="302"/>
      <w:bookmarkStart w:id="303" w:name="_Toc184313266"/>
      <w:bookmarkEnd w:id="303"/>
      <w:bookmarkStart w:id="304" w:name="_Toc184313299"/>
      <w:bookmarkEnd w:id="304"/>
      <w:bookmarkStart w:id="305" w:name="_Toc184308060"/>
      <w:bookmarkEnd w:id="305"/>
      <w:bookmarkStart w:id="306" w:name="_Toc184308046"/>
      <w:bookmarkEnd w:id="306"/>
      <w:bookmarkStart w:id="307" w:name="_Toc184314426"/>
      <w:bookmarkEnd w:id="307"/>
      <w:bookmarkStart w:id="308" w:name="_Toc184313291"/>
      <w:bookmarkEnd w:id="308"/>
      <w:bookmarkStart w:id="309" w:name="_Toc184308077"/>
      <w:bookmarkEnd w:id="309"/>
      <w:bookmarkStart w:id="310" w:name="_Toc184313287"/>
      <w:bookmarkEnd w:id="310"/>
      <w:bookmarkStart w:id="311" w:name="_Toc184308068"/>
      <w:bookmarkEnd w:id="311"/>
      <w:bookmarkStart w:id="312" w:name="_Toc184310339"/>
      <w:bookmarkEnd w:id="312"/>
      <w:bookmarkStart w:id="313" w:name="_Toc184312139"/>
      <w:bookmarkEnd w:id="313"/>
      <w:bookmarkStart w:id="314" w:name="_Toc184310334"/>
      <w:bookmarkEnd w:id="314"/>
      <w:bookmarkStart w:id="315" w:name="_Toc184310321"/>
      <w:bookmarkEnd w:id="315"/>
      <w:bookmarkStart w:id="316" w:name="_Toc184308061"/>
      <w:bookmarkEnd w:id="316"/>
      <w:bookmarkStart w:id="317" w:name="_Toc184313258"/>
      <w:bookmarkEnd w:id="317"/>
      <w:bookmarkStart w:id="318" w:name="_Toc184314430"/>
      <w:bookmarkEnd w:id="318"/>
      <w:bookmarkStart w:id="319" w:name="_Toc184313280"/>
      <w:bookmarkEnd w:id="319"/>
      <w:bookmarkStart w:id="320" w:name="_Toc184308052"/>
      <w:bookmarkEnd w:id="320"/>
      <w:bookmarkStart w:id="321" w:name="_Toc184314436"/>
      <w:bookmarkEnd w:id="321"/>
      <w:bookmarkStart w:id="322" w:name="_Toc184312116"/>
      <w:bookmarkEnd w:id="322"/>
      <w:bookmarkStart w:id="323" w:name="_Toc184314417"/>
      <w:bookmarkEnd w:id="323"/>
      <w:bookmarkStart w:id="324" w:name="_Toc184313276"/>
      <w:bookmarkEnd w:id="324"/>
      <w:bookmarkStart w:id="325" w:name="_Toc184308080"/>
      <w:bookmarkEnd w:id="325"/>
      <w:bookmarkStart w:id="326" w:name="_Toc184312088"/>
      <w:bookmarkEnd w:id="326"/>
      <w:bookmarkStart w:id="327" w:name="_Toc184308093"/>
      <w:bookmarkEnd w:id="327"/>
      <w:bookmarkStart w:id="328" w:name="_Toc184312068"/>
      <w:bookmarkEnd w:id="328"/>
      <w:bookmarkStart w:id="329" w:name="_Toc184310314"/>
      <w:bookmarkEnd w:id="329"/>
      <w:bookmarkStart w:id="330" w:name="_Toc184310335"/>
      <w:bookmarkEnd w:id="330"/>
      <w:bookmarkStart w:id="331" w:name="_Toc184314451"/>
      <w:bookmarkEnd w:id="331"/>
      <w:bookmarkStart w:id="332" w:name="_Toc184313269"/>
      <w:bookmarkEnd w:id="332"/>
      <w:bookmarkStart w:id="333" w:name="_Toc184310300"/>
      <w:bookmarkEnd w:id="333"/>
      <w:bookmarkStart w:id="334" w:name="_Toc184313297"/>
      <w:bookmarkEnd w:id="334"/>
      <w:bookmarkStart w:id="335" w:name="_Toc184313310"/>
      <w:bookmarkEnd w:id="335"/>
      <w:bookmarkStart w:id="336" w:name="_Toc184313240"/>
      <w:bookmarkEnd w:id="336"/>
      <w:bookmarkStart w:id="337" w:name="_Toc184314441"/>
      <w:bookmarkEnd w:id="337"/>
      <w:bookmarkStart w:id="338" w:name="_Toc184310304"/>
      <w:bookmarkEnd w:id="338"/>
      <w:bookmarkStart w:id="339" w:name="_Toc184310273"/>
      <w:bookmarkEnd w:id="339"/>
      <w:bookmarkStart w:id="340" w:name="_Toc184313239"/>
      <w:bookmarkEnd w:id="340"/>
      <w:bookmarkStart w:id="341" w:name="_Toc184312090"/>
      <w:bookmarkEnd w:id="341"/>
      <w:bookmarkStart w:id="342" w:name="_Toc184310290"/>
      <w:bookmarkEnd w:id="342"/>
      <w:bookmarkStart w:id="343" w:name="_Toc184314420"/>
      <w:bookmarkEnd w:id="343"/>
      <w:bookmarkStart w:id="344" w:name="_Toc184314450"/>
      <w:bookmarkEnd w:id="344"/>
      <w:bookmarkStart w:id="345" w:name="_Toc184314471"/>
      <w:bookmarkEnd w:id="345"/>
      <w:bookmarkStart w:id="346" w:name="_Toc184308092"/>
      <w:bookmarkEnd w:id="346"/>
      <w:bookmarkStart w:id="347" w:name="_Toc184308074"/>
      <w:bookmarkEnd w:id="347"/>
      <w:bookmarkStart w:id="348" w:name="_Toc184308055"/>
      <w:bookmarkEnd w:id="348"/>
      <w:bookmarkStart w:id="349" w:name="_Toc184308079"/>
      <w:bookmarkEnd w:id="349"/>
      <w:bookmarkStart w:id="350" w:name="_Toc184308089"/>
      <w:bookmarkEnd w:id="350"/>
      <w:bookmarkStart w:id="351" w:name="_Toc184308081"/>
      <w:bookmarkEnd w:id="351"/>
      <w:bookmarkStart w:id="352" w:name="_Toc184314415"/>
      <w:bookmarkEnd w:id="352"/>
      <w:bookmarkStart w:id="353" w:name="_Toc184313290"/>
      <w:bookmarkEnd w:id="353"/>
      <w:bookmarkStart w:id="354" w:name="_Toc184310340"/>
      <w:bookmarkEnd w:id="354"/>
      <w:bookmarkStart w:id="355" w:name="_Toc184308096"/>
      <w:bookmarkEnd w:id="355"/>
      <w:bookmarkStart w:id="356" w:name="_Toc184314452"/>
      <w:bookmarkEnd w:id="356"/>
      <w:bookmarkStart w:id="357" w:name="_Toc184312136"/>
      <w:bookmarkEnd w:id="357"/>
      <w:bookmarkStart w:id="358" w:name="_Toc184308091"/>
      <w:bookmarkEnd w:id="358"/>
      <w:bookmarkStart w:id="359" w:name="_Toc184310330"/>
      <w:bookmarkEnd w:id="359"/>
      <w:bookmarkStart w:id="360" w:name="_Toc184313263"/>
      <w:bookmarkEnd w:id="360"/>
      <w:bookmarkStart w:id="361" w:name="_Toc184313249"/>
      <w:bookmarkEnd w:id="361"/>
      <w:bookmarkStart w:id="362" w:name="_Toc184312135"/>
      <w:bookmarkEnd w:id="362"/>
      <w:bookmarkStart w:id="363" w:name="_Toc184310277"/>
      <w:bookmarkEnd w:id="363"/>
      <w:bookmarkStart w:id="364" w:name="_Toc184308072"/>
      <w:bookmarkEnd w:id="364"/>
      <w:bookmarkStart w:id="365" w:name="_Toc184310307"/>
      <w:bookmarkEnd w:id="365"/>
      <w:bookmarkStart w:id="366" w:name="_Toc184312070"/>
      <w:bookmarkEnd w:id="366"/>
      <w:bookmarkStart w:id="367" w:name="_Toc184310341"/>
      <w:bookmarkEnd w:id="367"/>
      <w:bookmarkStart w:id="368" w:name="_Toc184314464"/>
      <w:bookmarkEnd w:id="368"/>
      <w:bookmarkStart w:id="369" w:name="_Toc184308088"/>
      <w:bookmarkEnd w:id="369"/>
      <w:bookmarkStart w:id="370" w:name="_Toc184308058"/>
      <w:bookmarkEnd w:id="370"/>
      <w:bookmarkStart w:id="371" w:name="_Toc184312093"/>
      <w:bookmarkEnd w:id="371"/>
      <w:bookmarkStart w:id="372" w:name="_Toc184310312"/>
      <w:bookmarkEnd w:id="372"/>
      <w:bookmarkStart w:id="373" w:name="_Toc184308106"/>
      <w:bookmarkEnd w:id="373"/>
      <w:bookmarkStart w:id="374" w:name="_Toc184314477"/>
      <w:bookmarkEnd w:id="374"/>
      <w:bookmarkStart w:id="375" w:name="_Toc184312079"/>
      <w:bookmarkEnd w:id="375"/>
      <w:bookmarkStart w:id="376" w:name="_Toc184313251"/>
      <w:bookmarkEnd w:id="376"/>
      <w:bookmarkStart w:id="377" w:name="_Toc184312072"/>
      <w:bookmarkEnd w:id="377"/>
      <w:bookmarkStart w:id="378" w:name="_Toc184312118"/>
      <w:bookmarkEnd w:id="378"/>
      <w:bookmarkStart w:id="379" w:name="_Toc184313272"/>
      <w:bookmarkEnd w:id="379"/>
      <w:bookmarkStart w:id="380" w:name="_Toc184314433"/>
      <w:bookmarkEnd w:id="380"/>
      <w:bookmarkStart w:id="381" w:name="_Toc184314414"/>
      <w:bookmarkEnd w:id="381"/>
      <w:bookmarkStart w:id="382" w:name="_Toc184314469"/>
      <w:bookmarkEnd w:id="382"/>
      <w:bookmarkStart w:id="383" w:name="_Toc184310301"/>
      <w:bookmarkEnd w:id="383"/>
      <w:bookmarkStart w:id="384" w:name="_Toc184310281"/>
      <w:bookmarkEnd w:id="384"/>
      <w:bookmarkStart w:id="385" w:name="_Toc184312102"/>
      <w:bookmarkEnd w:id="385"/>
      <w:bookmarkStart w:id="386" w:name="_Toc184313248"/>
      <w:bookmarkEnd w:id="386"/>
      <w:bookmarkStart w:id="387" w:name="_Toc184308043"/>
      <w:bookmarkEnd w:id="387"/>
      <w:bookmarkStart w:id="388" w:name="_Toc184314428"/>
      <w:bookmarkEnd w:id="388"/>
      <w:bookmarkStart w:id="389" w:name="_Toc184314479"/>
      <w:bookmarkEnd w:id="389"/>
      <w:bookmarkStart w:id="390" w:name="_Toc184312101"/>
      <w:bookmarkEnd w:id="390"/>
      <w:bookmarkStart w:id="391" w:name="_Toc184313261"/>
      <w:bookmarkEnd w:id="391"/>
      <w:bookmarkStart w:id="392" w:name="_Toc184310310"/>
      <w:bookmarkEnd w:id="392"/>
      <w:bookmarkStart w:id="393" w:name="_Toc184313241"/>
      <w:bookmarkEnd w:id="393"/>
      <w:bookmarkStart w:id="394" w:name="_Toc184312099"/>
      <w:bookmarkEnd w:id="394"/>
      <w:bookmarkStart w:id="395" w:name="_Toc184310327"/>
      <w:bookmarkEnd w:id="395"/>
      <w:bookmarkStart w:id="396" w:name="_Toc184308094"/>
      <w:bookmarkEnd w:id="396"/>
      <w:bookmarkStart w:id="397" w:name="_Toc184308071"/>
      <w:bookmarkEnd w:id="397"/>
      <w:bookmarkStart w:id="398" w:name="_Toc184312109"/>
      <w:bookmarkEnd w:id="398"/>
      <w:bookmarkStart w:id="399" w:name="_Toc184310316"/>
      <w:bookmarkEnd w:id="399"/>
      <w:bookmarkStart w:id="400" w:name="_Toc184310331"/>
      <w:bookmarkEnd w:id="400"/>
      <w:bookmarkStart w:id="401" w:name="_Toc184314413"/>
      <w:bookmarkEnd w:id="401"/>
      <w:bookmarkStart w:id="402" w:name="_Toc184308063"/>
      <w:bookmarkEnd w:id="402"/>
      <w:bookmarkStart w:id="403" w:name="_Toc184313301"/>
      <w:bookmarkEnd w:id="403"/>
      <w:bookmarkStart w:id="404" w:name="_Toc184310309"/>
      <w:bookmarkEnd w:id="404"/>
      <w:bookmarkStart w:id="405" w:name="_Toc184312071"/>
      <w:bookmarkEnd w:id="405"/>
      <w:bookmarkStart w:id="406" w:name="_Toc184313279"/>
      <w:bookmarkEnd w:id="406"/>
      <w:bookmarkStart w:id="407" w:name="_Toc184314438"/>
      <w:bookmarkEnd w:id="407"/>
      <w:bookmarkStart w:id="408" w:name="_Toc184312100"/>
      <w:bookmarkEnd w:id="408"/>
      <w:bookmarkStart w:id="409" w:name="_Toc184314412"/>
      <w:bookmarkEnd w:id="409"/>
      <w:bookmarkStart w:id="410" w:name="_Toc184313307"/>
      <w:bookmarkEnd w:id="410"/>
      <w:bookmarkStart w:id="411" w:name="_Toc184312091"/>
      <w:bookmarkEnd w:id="411"/>
      <w:bookmarkStart w:id="412" w:name="_Toc184310315"/>
      <w:bookmarkEnd w:id="412"/>
      <w:bookmarkStart w:id="413" w:name="_Toc184310303"/>
      <w:bookmarkEnd w:id="413"/>
      <w:bookmarkStart w:id="414" w:name="_Toc184312084"/>
      <w:bookmarkEnd w:id="414"/>
      <w:bookmarkStart w:id="415" w:name="_Toc184313275"/>
      <w:bookmarkEnd w:id="415"/>
      <w:bookmarkStart w:id="416" w:name="_Toc184313278"/>
      <w:bookmarkEnd w:id="416"/>
      <w:bookmarkStart w:id="417" w:name="_Toc184312123"/>
      <w:bookmarkEnd w:id="417"/>
      <w:bookmarkStart w:id="418" w:name="_Toc184310293"/>
      <w:bookmarkEnd w:id="418"/>
      <w:bookmarkStart w:id="419" w:name="_Toc184308075"/>
      <w:bookmarkEnd w:id="419"/>
      <w:bookmarkStart w:id="420" w:name="_Toc184310332"/>
      <w:bookmarkEnd w:id="420"/>
      <w:bookmarkStart w:id="421" w:name="_Toc184312096"/>
      <w:bookmarkEnd w:id="421"/>
      <w:bookmarkStart w:id="422" w:name="_Toc184314447"/>
      <w:bookmarkEnd w:id="422"/>
      <w:bookmarkStart w:id="423" w:name="_Toc184312126"/>
      <w:bookmarkEnd w:id="423"/>
      <w:bookmarkStart w:id="424" w:name="_Toc184314460"/>
      <w:bookmarkEnd w:id="424"/>
      <w:bookmarkStart w:id="425" w:name="_Toc184313293"/>
      <w:bookmarkEnd w:id="425"/>
      <w:bookmarkStart w:id="426" w:name="_Toc184310286"/>
      <w:bookmarkEnd w:id="426"/>
      <w:bookmarkStart w:id="427" w:name="_Toc184310292"/>
      <w:bookmarkEnd w:id="427"/>
      <w:bookmarkStart w:id="428" w:name="_Toc184308065"/>
      <w:bookmarkEnd w:id="428"/>
      <w:bookmarkStart w:id="429" w:name="_Toc184310338"/>
      <w:bookmarkEnd w:id="429"/>
      <w:bookmarkStart w:id="430" w:name="_Toc184312106"/>
      <w:bookmarkEnd w:id="430"/>
      <w:bookmarkStart w:id="431" w:name="_Toc184313270"/>
      <w:bookmarkEnd w:id="431"/>
      <w:bookmarkStart w:id="432" w:name="_Toc184310282"/>
      <w:bookmarkEnd w:id="432"/>
      <w:bookmarkStart w:id="433" w:name="_Toc184310284"/>
      <w:bookmarkEnd w:id="433"/>
      <w:bookmarkStart w:id="434" w:name="_Toc184314470"/>
      <w:bookmarkEnd w:id="434"/>
      <w:bookmarkStart w:id="435" w:name="_Toc184308099"/>
      <w:bookmarkEnd w:id="435"/>
      <w:bookmarkStart w:id="436" w:name="_Toc184313262"/>
      <w:bookmarkEnd w:id="436"/>
      <w:bookmarkStart w:id="437" w:name="_Toc184310279"/>
      <w:bookmarkEnd w:id="437"/>
      <w:bookmarkStart w:id="438" w:name="_Toc184308049"/>
      <w:bookmarkEnd w:id="438"/>
      <w:bookmarkStart w:id="439" w:name="_Toc184314462"/>
      <w:bookmarkEnd w:id="439"/>
      <w:bookmarkStart w:id="440" w:name="_Toc184313295"/>
      <w:bookmarkEnd w:id="440"/>
      <w:bookmarkStart w:id="441" w:name="_Toc184308100"/>
      <w:bookmarkEnd w:id="441"/>
      <w:bookmarkStart w:id="442" w:name="_Toc184312073"/>
      <w:bookmarkEnd w:id="442"/>
      <w:bookmarkStart w:id="443" w:name="_Toc184314473"/>
      <w:bookmarkEnd w:id="443"/>
      <w:bookmarkStart w:id="444" w:name="_Toc184314418"/>
      <w:bookmarkEnd w:id="444"/>
      <w:bookmarkStart w:id="445" w:name="_Toc184308085"/>
      <w:bookmarkEnd w:id="445"/>
      <w:bookmarkStart w:id="446" w:name="_Toc184308090"/>
      <w:bookmarkEnd w:id="446"/>
      <w:bookmarkStart w:id="447" w:name="_Toc184310343"/>
      <w:bookmarkEnd w:id="447"/>
      <w:bookmarkStart w:id="448" w:name="_Toc184312067"/>
      <w:bookmarkEnd w:id="448"/>
      <w:bookmarkStart w:id="449" w:name="_Toc184312122"/>
      <w:bookmarkEnd w:id="449"/>
      <w:bookmarkStart w:id="450" w:name="_Toc184313309"/>
      <w:bookmarkEnd w:id="450"/>
      <w:bookmarkStart w:id="451" w:name="_Toc184314427"/>
      <w:bookmarkEnd w:id="451"/>
      <w:bookmarkStart w:id="452" w:name="_Toc184314461"/>
      <w:bookmarkEnd w:id="452"/>
      <w:bookmarkStart w:id="453" w:name="_Toc184312113"/>
      <w:bookmarkEnd w:id="453"/>
      <w:bookmarkStart w:id="454" w:name="_Toc184314456"/>
      <w:bookmarkEnd w:id="454"/>
      <w:bookmarkStart w:id="455" w:name="_Toc184308067"/>
      <w:bookmarkEnd w:id="455"/>
      <w:bookmarkStart w:id="456" w:name="_Toc184313264"/>
      <w:bookmarkEnd w:id="456"/>
      <w:bookmarkStart w:id="457" w:name="_Toc184314465"/>
      <w:bookmarkEnd w:id="457"/>
      <w:bookmarkStart w:id="458" w:name="_Toc184310285"/>
      <w:bookmarkEnd w:id="458"/>
      <w:bookmarkStart w:id="459" w:name="_Toc184314424"/>
      <w:bookmarkEnd w:id="459"/>
      <w:bookmarkStart w:id="460" w:name="_Toc184312117"/>
      <w:bookmarkEnd w:id="460"/>
      <w:bookmarkStart w:id="461" w:name="_Toc184310294"/>
      <w:bookmarkEnd w:id="461"/>
      <w:bookmarkStart w:id="462" w:name="_Toc184313288"/>
      <w:bookmarkEnd w:id="462"/>
      <w:bookmarkStart w:id="463" w:name="_Toc184313285"/>
      <w:bookmarkEnd w:id="463"/>
      <w:bookmarkStart w:id="464" w:name="_Toc184314481"/>
      <w:bookmarkEnd w:id="464"/>
      <w:bookmarkStart w:id="465" w:name="_Toc184312107"/>
      <w:bookmarkEnd w:id="465"/>
      <w:bookmarkStart w:id="466" w:name="_Toc184313255"/>
      <w:bookmarkEnd w:id="466"/>
      <w:bookmarkStart w:id="467" w:name="_Toc184314453"/>
      <w:bookmarkEnd w:id="467"/>
      <w:bookmarkStart w:id="468" w:name="_Toc184314431"/>
      <w:bookmarkEnd w:id="468"/>
      <w:bookmarkStart w:id="469" w:name="_Toc184308070"/>
      <w:bookmarkEnd w:id="469"/>
      <w:bookmarkStart w:id="470" w:name="_Toc184308036"/>
      <w:bookmarkEnd w:id="470"/>
      <w:bookmarkStart w:id="471" w:name="_Toc184314444"/>
      <w:bookmarkEnd w:id="471"/>
      <w:bookmarkStart w:id="472" w:name="_Toc184310275"/>
      <w:bookmarkEnd w:id="472"/>
      <w:bookmarkStart w:id="473" w:name="_Toc184312078"/>
      <w:bookmarkEnd w:id="473"/>
      <w:bookmarkStart w:id="474" w:name="_Toc184308039"/>
      <w:bookmarkEnd w:id="474"/>
      <w:bookmarkStart w:id="475" w:name="_Toc184312124"/>
      <w:bookmarkEnd w:id="475"/>
      <w:bookmarkStart w:id="476" w:name="_Toc184312127"/>
      <w:bookmarkEnd w:id="476"/>
      <w:bookmarkStart w:id="477" w:name="_Toc184308103"/>
      <w:bookmarkEnd w:id="477"/>
      <w:bookmarkStart w:id="478" w:name="_Toc184310317"/>
      <w:bookmarkEnd w:id="478"/>
      <w:bookmarkStart w:id="479" w:name="_Toc184308045"/>
      <w:bookmarkEnd w:id="479"/>
      <w:bookmarkStart w:id="480" w:name="_Toc184313281"/>
      <w:bookmarkEnd w:id="480"/>
      <w:bookmarkStart w:id="481" w:name="_Toc184310280"/>
      <w:bookmarkEnd w:id="481"/>
      <w:bookmarkStart w:id="482" w:name="_Toc184312081"/>
      <w:bookmarkEnd w:id="482"/>
      <w:bookmarkStart w:id="483" w:name="_Toc184314482"/>
      <w:bookmarkEnd w:id="483"/>
      <w:bookmarkStart w:id="484" w:name="_Toc184313250"/>
      <w:bookmarkEnd w:id="484"/>
      <w:bookmarkStart w:id="485" w:name="_Toc184308083"/>
      <w:bookmarkEnd w:id="485"/>
      <w:bookmarkStart w:id="486" w:name="_Toc184314410"/>
      <w:bookmarkEnd w:id="486"/>
      <w:bookmarkStart w:id="487" w:name="_Toc184313284"/>
      <w:bookmarkEnd w:id="487"/>
      <w:bookmarkStart w:id="488" w:name="_Toc184314432"/>
      <w:bookmarkEnd w:id="488"/>
      <w:bookmarkStart w:id="489" w:name="_Toc184310319"/>
      <w:bookmarkEnd w:id="489"/>
      <w:bookmarkStart w:id="490" w:name="_Toc184313273"/>
      <w:bookmarkEnd w:id="490"/>
      <w:bookmarkStart w:id="491" w:name="_Toc184312108"/>
      <w:bookmarkEnd w:id="491"/>
      <w:bookmarkStart w:id="492" w:name="_Toc184312114"/>
      <w:bookmarkEnd w:id="492"/>
      <w:bookmarkStart w:id="493" w:name="_Toc184308066"/>
      <w:bookmarkEnd w:id="493"/>
      <w:bookmarkStart w:id="494" w:name="_Toc184313265"/>
      <w:bookmarkEnd w:id="494"/>
      <w:bookmarkStart w:id="495" w:name="_Toc184310295"/>
      <w:bookmarkEnd w:id="495"/>
      <w:bookmarkStart w:id="496" w:name="_Toc184314419"/>
      <w:bookmarkEnd w:id="496"/>
      <w:bookmarkStart w:id="497" w:name="_Toc184310313"/>
      <w:bookmarkEnd w:id="497"/>
      <w:r>
        <w:rPr>
          <w:rFonts w:hint="eastAsia" w:ascii="宋体" w:hAnsi="宋体" w:eastAsia="宋体" w:cs="宋体"/>
          <w:b/>
          <w:color w:val="auto"/>
          <w:kern w:val="44"/>
          <w:sz w:val="32"/>
          <w:szCs w:val="32"/>
          <w:highlight w:val="none"/>
          <w:lang w:val="en-US" w:eastAsia="zh-CN" w:bidi="ar-SA"/>
        </w:rPr>
        <w:t>评标办法</w:t>
      </w:r>
      <w:bookmarkEnd w:id="130"/>
      <w:bookmarkEnd w:id="131"/>
      <w:bookmarkEnd w:id="132"/>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37"/>
        <w:tblpPr w:leftFromText="180" w:rightFromText="180" w:vertAnchor="text" w:horzAnchor="page" w:tblpXSpec="center" w:tblpY="82"/>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314"/>
        <w:gridCol w:w="4459"/>
        <w:gridCol w:w="772"/>
        <w:gridCol w:w="72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32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val="0"/>
                <w:color w:val="auto"/>
                <w:sz w:val="21"/>
                <w:szCs w:val="21"/>
                <w:highlight w:val="none"/>
              </w:rPr>
            </w:pPr>
            <w:bookmarkStart w:id="498" w:name="_Toc20375"/>
            <w:bookmarkStart w:id="499" w:name="_Toc5595"/>
            <w:r>
              <w:rPr>
                <w:rFonts w:hint="eastAsia" w:ascii="宋体" w:hAnsi="宋体" w:eastAsia="宋体" w:cs="宋体"/>
                <w:b/>
                <w:bCs w:val="0"/>
                <w:color w:val="auto"/>
                <w:sz w:val="21"/>
                <w:szCs w:val="21"/>
                <w:highlight w:val="none"/>
              </w:rPr>
              <w:t>序号</w:t>
            </w:r>
            <w:bookmarkEnd w:id="498"/>
            <w:bookmarkEnd w:id="499"/>
          </w:p>
        </w:tc>
        <w:tc>
          <w:tcPr>
            <w:tcW w:w="74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val="0"/>
                <w:color w:val="auto"/>
                <w:sz w:val="21"/>
                <w:szCs w:val="21"/>
                <w:highlight w:val="none"/>
                <w:lang w:val="en-US" w:eastAsia="zh-CN"/>
              </w:rPr>
            </w:pPr>
            <w:bookmarkStart w:id="500" w:name="_Toc30027"/>
            <w:bookmarkStart w:id="501" w:name="_Toc6415"/>
            <w:r>
              <w:rPr>
                <w:rFonts w:hint="eastAsia" w:ascii="宋体" w:hAnsi="宋体" w:eastAsia="宋体" w:cs="宋体"/>
                <w:b/>
                <w:bCs w:val="0"/>
                <w:color w:val="auto"/>
                <w:sz w:val="21"/>
                <w:szCs w:val="21"/>
                <w:highlight w:val="none"/>
                <w:lang w:val="en-US" w:eastAsia="zh-CN"/>
              </w:rPr>
              <w:t>评审内容</w:t>
            </w:r>
            <w:bookmarkEnd w:id="500"/>
            <w:bookmarkEnd w:id="501"/>
          </w:p>
        </w:tc>
        <w:tc>
          <w:tcPr>
            <w:tcW w:w="253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b/>
                <w:bCs w:val="0"/>
                <w:color w:val="auto"/>
                <w:sz w:val="21"/>
                <w:szCs w:val="21"/>
                <w:highlight w:val="none"/>
              </w:rPr>
            </w:pPr>
            <w:bookmarkStart w:id="502" w:name="_Toc7744"/>
            <w:bookmarkStart w:id="503" w:name="_Toc17973"/>
            <w:r>
              <w:rPr>
                <w:rFonts w:hint="eastAsia" w:ascii="宋体" w:hAnsi="宋体" w:eastAsia="宋体" w:cs="宋体"/>
                <w:b/>
                <w:bCs w:val="0"/>
                <w:color w:val="auto"/>
                <w:sz w:val="21"/>
                <w:szCs w:val="21"/>
                <w:highlight w:val="none"/>
              </w:rPr>
              <w:t>评标标准</w:t>
            </w:r>
            <w:bookmarkEnd w:id="502"/>
            <w:bookmarkEnd w:id="503"/>
          </w:p>
        </w:tc>
        <w:tc>
          <w:tcPr>
            <w:tcW w:w="43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outlineLvl w:val="9"/>
              <w:rPr>
                <w:rFonts w:hint="eastAsia" w:ascii="宋体" w:hAnsi="宋体" w:eastAsia="宋体" w:cs="宋体"/>
                <w:b/>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jc w:val="left"/>
              <w:textAlignment w:val="auto"/>
              <w:outlineLvl w:val="9"/>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分值</w:t>
            </w:r>
          </w:p>
        </w:tc>
        <w:tc>
          <w:tcPr>
            <w:tcW w:w="4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val="0"/>
                <w:color w:val="auto"/>
                <w:sz w:val="21"/>
                <w:szCs w:val="21"/>
                <w:highlight w:val="none"/>
                <w:lang w:eastAsia="zh-CN"/>
              </w:rPr>
            </w:pPr>
            <w:bookmarkStart w:id="504" w:name="_Toc19601"/>
            <w:bookmarkStart w:id="505" w:name="_Toc16757"/>
            <w:r>
              <w:rPr>
                <w:rFonts w:hint="eastAsia" w:ascii="宋体" w:hAnsi="宋体" w:eastAsia="宋体" w:cs="宋体"/>
                <w:b/>
                <w:bCs w:val="0"/>
                <w:color w:val="auto"/>
                <w:sz w:val="21"/>
                <w:szCs w:val="21"/>
                <w:highlight w:val="none"/>
                <w:lang w:val="en-US" w:eastAsia="zh-CN"/>
              </w:rPr>
              <w:t>分值类型</w:t>
            </w:r>
            <w:bookmarkEnd w:id="504"/>
            <w:bookmarkEnd w:id="505"/>
          </w:p>
        </w:tc>
        <w:tc>
          <w:tcPr>
            <w:tcW w:w="54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val="0"/>
                <w:color w:val="auto"/>
                <w:sz w:val="21"/>
                <w:szCs w:val="21"/>
                <w:highlight w:val="none"/>
              </w:rPr>
            </w:pPr>
            <w:bookmarkStart w:id="506" w:name="_Toc8158"/>
            <w:bookmarkStart w:id="507" w:name="_Toc4777"/>
            <w:r>
              <w:rPr>
                <w:rFonts w:hint="eastAsia" w:ascii="宋体" w:hAnsi="宋体" w:eastAsia="宋体" w:cs="宋体"/>
                <w:b/>
                <w:bCs w:val="0"/>
                <w:color w:val="auto"/>
                <w:sz w:val="21"/>
                <w:szCs w:val="21"/>
                <w:highlight w:val="none"/>
              </w:rPr>
              <w:t>投标文件中评标标准相应的商务技术资料目录</w:t>
            </w:r>
            <w:bookmarkEnd w:id="506"/>
            <w:bookmarkEnd w:id="5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6"/>
            <w:noWrap w:val="0"/>
            <w:vAlign w:val="center"/>
          </w:tcPr>
          <w:p>
            <w:pPr>
              <w:keepNext w:val="0"/>
              <w:keepLines w:val="0"/>
              <w:pageBreakBefore w:val="0"/>
              <w:kinsoku/>
              <w:wordWrap/>
              <w:overflowPunct/>
              <w:topLinePunct w:val="0"/>
              <w:autoSpaceDE/>
              <w:autoSpaceDN/>
              <w:bidi w:val="0"/>
              <w:adjustRightInd/>
              <w:spacing w:line="360" w:lineRule="auto"/>
              <w:jc w:val="both"/>
              <w:textAlignment w:val="auto"/>
              <w:outlineLvl w:val="9"/>
              <w:rPr>
                <w:rFonts w:hint="eastAsia" w:ascii="宋体" w:hAnsi="宋体" w:eastAsia="宋体" w:cs="宋体"/>
                <w:b/>
                <w:bCs w:val="0"/>
                <w:color w:val="auto"/>
                <w:sz w:val="21"/>
                <w:szCs w:val="21"/>
                <w:highlight w:val="none"/>
              </w:rPr>
            </w:pPr>
            <w:bookmarkStart w:id="508" w:name="_Toc870"/>
            <w:bookmarkStart w:id="509" w:name="_Toc28512"/>
            <w:r>
              <w:rPr>
                <w:rFonts w:hint="eastAsia" w:ascii="宋体" w:hAnsi="宋体" w:eastAsia="宋体" w:cs="宋体"/>
                <w:b/>
                <w:bCs/>
                <w:color w:val="auto"/>
                <w:kern w:val="28"/>
                <w:sz w:val="21"/>
                <w:szCs w:val="21"/>
                <w:highlight w:val="none"/>
                <w:lang w:val="en-US" w:eastAsia="zh-CN"/>
              </w:rPr>
              <w:t>商务技术（70分）</w:t>
            </w:r>
            <w:bookmarkEnd w:id="508"/>
            <w:bookmarkEnd w:id="5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bookmarkStart w:id="510" w:name="_Toc6129"/>
            <w:bookmarkEnd w:id="510"/>
            <w:bookmarkStart w:id="511" w:name="_Toc23732"/>
            <w:bookmarkEnd w:id="511"/>
          </w:p>
        </w:tc>
        <w:tc>
          <w:tcPr>
            <w:tcW w:w="746" w:type="pct"/>
            <w:noWrap w:val="0"/>
            <w:vAlign w:val="center"/>
          </w:tcPr>
          <w:p>
            <w:pPr>
              <w:keepNext w:val="0"/>
              <w:keepLines w:val="0"/>
              <w:pageBreakBefore w:val="0"/>
              <w:kinsoku/>
              <w:wordWrap/>
              <w:overflowPunct/>
              <w:topLinePunct w:val="0"/>
              <w:autoSpaceDE/>
              <w:autoSpaceDN/>
              <w:bidi w:val="0"/>
              <w:adjustRightInd/>
              <w:spacing w:line="360" w:lineRule="auto"/>
              <w:ind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对应于招标文件设备技术规格及配置的偏离度</w:t>
            </w:r>
          </w:p>
        </w:tc>
        <w:tc>
          <w:tcPr>
            <w:tcW w:w="2531" w:type="pc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bCs/>
                <w:color w:val="auto"/>
                <w:sz w:val="21"/>
                <w:szCs w:val="21"/>
                <w:highlight w:val="none"/>
              </w:rPr>
              <w:t>主要性能参数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各项技术</w:t>
            </w:r>
            <w:r>
              <w:rPr>
                <w:rFonts w:hint="eastAsia" w:ascii="宋体" w:hAnsi="宋体" w:eastAsia="宋体" w:cs="宋体"/>
                <w:color w:val="auto"/>
                <w:sz w:val="21"/>
                <w:szCs w:val="21"/>
                <w:highlight w:val="none"/>
                <w:lang w:val="en-US" w:eastAsia="zh-CN"/>
              </w:rPr>
              <w:t>参数</w:t>
            </w:r>
            <w:r>
              <w:rPr>
                <w:rFonts w:hint="eastAsia" w:ascii="宋体" w:hAnsi="宋体" w:eastAsia="宋体" w:cs="宋体"/>
                <w:color w:val="auto"/>
                <w:sz w:val="21"/>
                <w:szCs w:val="21"/>
                <w:highlight w:val="none"/>
              </w:rPr>
              <w:t>要求进行响应，实质性技术参数条款以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号标注，不满足者将被视为无效标。标注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为重要技术参数，不满足招标文件要求的，每一项扣减</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分；其它的为一般技术参数，不满足招标文件要求的，每一项扣减</w:t>
            </w:r>
            <w:r>
              <w:rPr>
                <w:rFonts w:hint="eastAsia" w:ascii="宋体" w:hAnsi="宋体" w:cs="宋体"/>
                <w:color w:val="auto"/>
                <w:sz w:val="21"/>
                <w:szCs w:val="21"/>
                <w:highlight w:val="none"/>
                <w:lang w:val="en-US" w:eastAsia="zh-CN"/>
              </w:rPr>
              <w:t>1.25</w:t>
            </w:r>
            <w:r>
              <w:rPr>
                <w:rFonts w:hint="eastAsia" w:ascii="宋体" w:hAnsi="宋体" w:eastAsia="宋体" w:cs="宋体"/>
                <w:color w:val="auto"/>
                <w:sz w:val="21"/>
                <w:szCs w:val="21"/>
                <w:highlight w:val="none"/>
              </w:rPr>
              <w:t>分。本项最高得</w:t>
            </w:r>
            <w:r>
              <w:rPr>
                <w:rFonts w:hint="eastAsia" w:ascii="宋体" w:hAnsi="宋体" w:cs="宋体"/>
                <w:color w:val="auto"/>
                <w:sz w:val="21"/>
                <w:szCs w:val="21"/>
                <w:highlight w:val="none"/>
                <w:lang w:val="en-US" w:eastAsia="zh-CN"/>
              </w:rPr>
              <w:t>45</w:t>
            </w:r>
            <w:r>
              <w:rPr>
                <w:rFonts w:hint="eastAsia" w:ascii="宋体" w:hAnsi="宋体" w:eastAsia="宋体" w:cs="宋体"/>
                <w:color w:val="auto"/>
                <w:sz w:val="21"/>
                <w:szCs w:val="21"/>
                <w:highlight w:val="none"/>
              </w:rPr>
              <w:t>分；最低得0分。</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b w:val="0"/>
                <w:bCs w:val="0"/>
                <w:color w:val="auto"/>
                <w:sz w:val="21"/>
                <w:szCs w:val="21"/>
                <w:highlight w:val="none"/>
                <w:lang w:val="en-US" w:eastAsia="zh-CN"/>
              </w:rPr>
            </w:pPr>
            <w:bookmarkStart w:id="512" w:name="_Toc19269"/>
            <w:bookmarkStart w:id="513" w:name="_Toc14517"/>
            <w:r>
              <w:rPr>
                <w:rFonts w:hint="eastAsia" w:ascii="宋体" w:hAnsi="宋体" w:eastAsia="宋体" w:cs="宋体"/>
                <w:b w:val="0"/>
                <w:bCs w:val="0"/>
                <w:color w:val="auto"/>
                <w:sz w:val="21"/>
                <w:szCs w:val="21"/>
                <w:highlight w:val="none"/>
                <w:lang w:val="en-US" w:eastAsia="zh-CN"/>
              </w:rPr>
              <w:t>4</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val="en-US" w:eastAsia="zh-CN"/>
              </w:rPr>
              <w:t>分</w:t>
            </w:r>
            <w:bookmarkEnd w:id="512"/>
            <w:bookmarkEnd w:id="513"/>
          </w:p>
        </w:tc>
        <w:tc>
          <w:tcPr>
            <w:tcW w:w="412" w:type="pct"/>
            <w:noWrap w:val="0"/>
            <w:vAlign w:val="center"/>
          </w:tcPr>
          <w:p>
            <w:pPr>
              <w:keepNext w:val="0"/>
              <w:keepLines w:val="0"/>
              <w:pageBreakBefore w:val="0"/>
              <w:kinsoku/>
              <w:wordWrap/>
              <w:overflowPunct/>
              <w:topLinePunct w:val="0"/>
              <w:autoSpaceDE/>
              <w:autoSpaceDN/>
              <w:bidi w:val="0"/>
              <w:adjustRightInd/>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客观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bookmarkStart w:id="514" w:name="_Toc17833"/>
            <w:bookmarkEnd w:id="514"/>
            <w:bookmarkStart w:id="515" w:name="_Toc12868"/>
            <w:bookmarkEnd w:id="515"/>
          </w:p>
        </w:tc>
        <w:tc>
          <w:tcPr>
            <w:tcW w:w="746" w:type="pct"/>
            <w:noWrap w:val="0"/>
            <w:vAlign w:val="center"/>
          </w:tcPr>
          <w:p>
            <w:pPr>
              <w:keepNext w:val="0"/>
              <w:keepLines w:val="0"/>
              <w:pageBreakBefore w:val="0"/>
              <w:kinsoku/>
              <w:wordWrap/>
              <w:overflowPunct/>
              <w:topLinePunct w:val="0"/>
              <w:autoSpaceDE/>
              <w:autoSpaceDN/>
              <w:bidi w:val="0"/>
              <w:adjustRightInd/>
              <w:spacing w:line="360" w:lineRule="auto"/>
              <w:ind w:firstLine="0" w:firstLineChars="0"/>
              <w:jc w:val="center"/>
              <w:textAlignment w:val="auto"/>
              <w:outlineLvl w:val="9"/>
              <w:rPr>
                <w:rFonts w:hint="eastAsia" w:ascii="宋体" w:hAnsi="宋体" w:eastAsia="宋体" w:cs="宋体"/>
                <w:color w:val="auto"/>
                <w:sz w:val="21"/>
                <w:szCs w:val="21"/>
                <w:highlight w:val="none"/>
              </w:rPr>
            </w:pPr>
            <w:r>
              <w:rPr>
                <w:rFonts w:ascii="宋体" w:hAnsi="宋体"/>
              </w:rPr>
              <w:t>投标</w:t>
            </w:r>
            <w:r>
              <w:rPr>
                <w:rFonts w:hint="eastAsia" w:ascii="宋体" w:hAnsi="宋体"/>
              </w:rPr>
              <w:t>货物的技术</w:t>
            </w:r>
            <w:r>
              <w:rPr>
                <w:rFonts w:ascii="宋体" w:hAnsi="宋体"/>
              </w:rPr>
              <w:t>性能</w:t>
            </w:r>
          </w:p>
        </w:tc>
        <w:tc>
          <w:tcPr>
            <w:tcW w:w="2531" w:type="pct"/>
            <w:noWrap w:val="0"/>
            <w:vAlign w:val="center"/>
          </w:tcPr>
          <w:p>
            <w:pPr>
              <w:keepNext w:val="0"/>
              <w:keepLines w:val="0"/>
              <w:pageBreakBefore w:val="0"/>
              <w:numPr>
                <w:ilvl w:val="0"/>
                <w:numId w:val="0"/>
              </w:numPr>
              <w:tabs>
                <w:tab w:val="left" w:pos="0"/>
              </w:tabs>
              <w:kinsoku/>
              <w:wordWrap/>
              <w:overflowPunct/>
              <w:topLinePunct w:val="0"/>
              <w:autoSpaceDE/>
              <w:autoSpaceDN/>
              <w:bidi w:val="0"/>
              <w:adjustRightInd/>
              <w:spacing w:line="360" w:lineRule="auto"/>
              <w:ind w:leftChars="0" w:right="6" w:rightChars="0"/>
              <w:jc w:val="left"/>
              <w:textAlignment w:val="auto"/>
              <w:outlineLvl w:val="9"/>
              <w:rPr>
                <w:rFonts w:hint="default" w:ascii="宋体" w:hAnsi="宋体" w:eastAsia="宋体" w:cs="宋体"/>
                <w:color w:val="auto"/>
                <w:sz w:val="21"/>
                <w:szCs w:val="21"/>
                <w:highlight w:val="none"/>
                <w:u w:val="none"/>
                <w:lang w:val="en-US" w:eastAsia="zh-CN"/>
              </w:rPr>
            </w:pPr>
            <w:r>
              <w:rPr>
                <w:rFonts w:ascii="宋体" w:hAnsi="宋体"/>
              </w:rPr>
              <w:t>根据所投</w:t>
            </w:r>
            <w:r>
              <w:rPr>
                <w:rFonts w:hint="eastAsia" w:ascii="宋体" w:hAnsi="宋体"/>
              </w:rPr>
              <w:t>货物</w:t>
            </w:r>
            <w:r>
              <w:rPr>
                <w:rFonts w:ascii="宋体" w:hAnsi="宋体"/>
              </w:rPr>
              <w:t>技术性能先进程度、在临床使用效果</w:t>
            </w:r>
            <w:r>
              <w:rPr>
                <w:rFonts w:hint="eastAsia" w:ascii="宋体" w:hAnsi="宋体"/>
              </w:rPr>
              <w:t>评分。技术性能先进充分满足临床要求且优化的得</w:t>
            </w:r>
            <w:r>
              <w:rPr>
                <w:rFonts w:hint="eastAsia"/>
              </w:rPr>
              <w:t>3</w:t>
            </w:r>
            <w:r>
              <w:rPr>
                <w:rFonts w:hint="eastAsia" w:ascii="宋体" w:hAnsi="宋体"/>
              </w:rPr>
              <w:t>分，技术性能较先进</w:t>
            </w:r>
            <w:r>
              <w:rPr>
                <w:rFonts w:ascii="宋体" w:hAnsi="宋体"/>
              </w:rPr>
              <w:t>满足</w:t>
            </w:r>
            <w:r>
              <w:rPr>
                <w:rFonts w:hint="eastAsia" w:ascii="宋体" w:hAnsi="宋体"/>
              </w:rPr>
              <w:t>临床</w:t>
            </w:r>
            <w:r>
              <w:rPr>
                <w:rFonts w:ascii="宋体" w:hAnsi="宋体"/>
              </w:rPr>
              <w:t>要求得</w:t>
            </w:r>
            <w:r>
              <w:rPr>
                <w:rFonts w:hint="eastAsia"/>
              </w:rPr>
              <w:t>2</w:t>
            </w:r>
            <w:r>
              <w:rPr>
                <w:rFonts w:hint="eastAsia" w:ascii="宋体" w:hAnsi="宋体"/>
              </w:rPr>
              <w:t>分；技术性能基本满足临床要求的得</w:t>
            </w:r>
            <w:r>
              <w:rPr>
                <w:rFonts w:hint="eastAsia"/>
              </w:rPr>
              <w:t>1</w:t>
            </w:r>
            <w:r>
              <w:rPr>
                <w:rFonts w:hint="eastAsia" w:ascii="宋体" w:hAnsi="宋体"/>
              </w:rPr>
              <w:t>分；技术性能不能完全满足临床要求的得</w:t>
            </w:r>
            <w:r>
              <w:rPr>
                <w:rFonts w:hint="eastAsia"/>
              </w:rPr>
              <w:t>0.5</w:t>
            </w:r>
            <w:r>
              <w:rPr>
                <w:rFonts w:hint="eastAsia" w:ascii="宋体" w:hAnsi="宋体"/>
              </w:rPr>
              <w:t>分；存在较大的缺陷、技术性能与临床要求差距较大的得</w:t>
            </w:r>
            <w:r>
              <w:rPr>
                <w:rFonts w:hint="eastAsia"/>
              </w:rPr>
              <w:t>0</w:t>
            </w:r>
            <w:r>
              <w:rPr>
                <w:rFonts w:hint="eastAsia" w:ascii="宋体" w:hAnsi="宋体"/>
              </w:rPr>
              <w:t>分。</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3分</w:t>
            </w:r>
          </w:p>
        </w:tc>
        <w:tc>
          <w:tcPr>
            <w:tcW w:w="412"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w:t>
            </w:r>
          </w:p>
        </w:tc>
        <w:tc>
          <w:tcPr>
            <w:tcW w:w="548" w:type="pct"/>
            <w:noWrap w:val="0"/>
            <w:vAlign w:val="top"/>
          </w:tcPr>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bookmarkStart w:id="516" w:name="_Toc3898"/>
            <w:bookmarkEnd w:id="516"/>
            <w:bookmarkStart w:id="517" w:name="_Toc23353"/>
            <w:bookmarkEnd w:id="517"/>
            <w:bookmarkStart w:id="518" w:name="_Toc3295"/>
            <w:bookmarkEnd w:id="518"/>
            <w:bookmarkStart w:id="519" w:name="_Toc14285"/>
            <w:bookmarkEnd w:id="519"/>
          </w:p>
        </w:tc>
        <w:tc>
          <w:tcPr>
            <w:tcW w:w="746" w:type="pct"/>
            <w:noWrap w:val="0"/>
            <w:vAlign w:val="center"/>
          </w:tcPr>
          <w:p>
            <w:pPr>
              <w:keepNext w:val="0"/>
              <w:keepLines w:val="0"/>
              <w:pageBreakBefore w:val="0"/>
              <w:kinsoku/>
              <w:wordWrap/>
              <w:overflowPunct/>
              <w:topLinePunct w:val="0"/>
              <w:autoSpaceDE/>
              <w:autoSpaceDN/>
              <w:bidi w:val="0"/>
              <w:adjustRightInd/>
              <w:spacing w:line="360" w:lineRule="auto"/>
              <w:ind w:firstLine="0" w:firstLineChars="0"/>
              <w:jc w:val="center"/>
              <w:textAlignment w:val="auto"/>
              <w:outlineLvl w:val="9"/>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运行成本</w:t>
            </w:r>
          </w:p>
        </w:tc>
        <w:tc>
          <w:tcPr>
            <w:tcW w:w="2531" w:type="pct"/>
            <w:noWrap w:val="0"/>
            <w:vAlign w:val="center"/>
          </w:tcPr>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消耗品或易耗品价格：根据消耗品或易耗品价格给分：报价合理运行成本低得3分；报价和成本较合理得2分，报价不合理运行成本高1分，无报价得0分。</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1"/>
                <w:szCs w:val="21"/>
                <w:highlight w:val="none"/>
                <w:lang w:val="en-US" w:eastAsia="zh-CN"/>
              </w:rPr>
            </w:pPr>
            <w:bookmarkStart w:id="520" w:name="_Toc18833"/>
            <w:bookmarkStart w:id="521" w:name="_Toc8987"/>
            <w:r>
              <w:rPr>
                <w:rFonts w:hint="eastAsia" w:ascii="宋体" w:hAnsi="宋体" w:eastAsia="宋体" w:cs="宋体"/>
                <w:color w:val="auto"/>
                <w:sz w:val="21"/>
                <w:szCs w:val="21"/>
                <w:highlight w:val="none"/>
                <w:lang w:val="en-US" w:eastAsia="zh-CN"/>
              </w:rPr>
              <w:t>3分</w:t>
            </w:r>
            <w:bookmarkEnd w:id="520"/>
            <w:bookmarkEnd w:id="521"/>
          </w:p>
        </w:tc>
        <w:tc>
          <w:tcPr>
            <w:tcW w:w="412"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bookmarkStart w:id="522" w:name="_Toc30959"/>
            <w:bookmarkStart w:id="523" w:name="_Toc24648"/>
            <w:r>
              <w:rPr>
                <w:rFonts w:hint="eastAsia" w:ascii="宋体" w:hAnsi="宋体" w:eastAsia="宋体" w:cs="宋体"/>
                <w:color w:val="auto"/>
                <w:sz w:val="21"/>
                <w:szCs w:val="21"/>
                <w:highlight w:val="none"/>
                <w:lang w:val="en-US" w:eastAsia="zh-CN"/>
              </w:rPr>
              <w:t>主观</w:t>
            </w:r>
            <w:bookmarkEnd w:id="522"/>
            <w:bookmarkEnd w:id="523"/>
          </w:p>
        </w:tc>
        <w:tc>
          <w:tcPr>
            <w:tcW w:w="548" w:type="pct"/>
            <w:noWrap w:val="0"/>
            <w:vAlign w:val="top"/>
          </w:tcPr>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p>
        </w:tc>
        <w:tc>
          <w:tcPr>
            <w:tcW w:w="746" w:type="pct"/>
            <w:noWrap w:val="0"/>
            <w:vAlign w:val="center"/>
          </w:tcPr>
          <w:p>
            <w:pPr>
              <w:keepNext w:val="0"/>
              <w:keepLines w:val="0"/>
              <w:pageBreakBefore w:val="0"/>
              <w:kinsoku/>
              <w:wordWrap/>
              <w:overflowPunct/>
              <w:topLinePunct w:val="0"/>
              <w:autoSpaceDE/>
              <w:autoSpaceDN/>
              <w:bidi w:val="0"/>
              <w:adjustRightInd/>
              <w:spacing w:line="360" w:lineRule="auto"/>
              <w:ind w:firstLine="0" w:firstLineChars="0"/>
              <w:jc w:val="center"/>
              <w:textAlignment w:val="auto"/>
              <w:outlineLvl w:val="9"/>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eastAsia="zh-CN"/>
              </w:rPr>
              <w:t>维修成本</w:t>
            </w:r>
          </w:p>
        </w:tc>
        <w:tc>
          <w:tcPr>
            <w:tcW w:w="2531" w:type="pct"/>
            <w:noWrap w:val="0"/>
            <w:vAlign w:val="center"/>
          </w:tcPr>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包括保修价格、设备配件价格，维修服务费等维修价格。报价合理维修成本低得3分；报价和维修成本较合理得2分，报价和维修成本一般得1分，维修成本报价不合理得0.5分，无维修报价得0分</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412"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w:t>
            </w:r>
          </w:p>
        </w:tc>
        <w:tc>
          <w:tcPr>
            <w:tcW w:w="548" w:type="pct"/>
            <w:noWrap w:val="0"/>
            <w:vAlign w:val="top"/>
          </w:tcPr>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bookmarkStart w:id="524" w:name="_Toc4223"/>
            <w:bookmarkEnd w:id="524"/>
            <w:bookmarkStart w:id="525" w:name="_Toc26975"/>
            <w:bookmarkEnd w:id="525"/>
            <w:bookmarkStart w:id="526" w:name="_Toc2983"/>
            <w:bookmarkEnd w:id="526"/>
            <w:bookmarkStart w:id="527" w:name="_Toc22492"/>
            <w:bookmarkEnd w:id="527"/>
          </w:p>
        </w:tc>
        <w:tc>
          <w:tcPr>
            <w:tcW w:w="746" w:type="pc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val="0"/>
                <w:color w:val="auto"/>
                <w:sz w:val="21"/>
                <w:szCs w:val="21"/>
                <w:highlight w:val="none"/>
                <w:u w:val="none"/>
                <w:lang w:val="en-US" w:eastAsia="zh-CN"/>
              </w:rPr>
            </w:pPr>
            <w:r>
              <w:rPr>
                <w:rFonts w:hint="eastAsia" w:ascii="宋体" w:hAnsi="宋体" w:eastAsia="宋体" w:cs="宋体"/>
                <w:b/>
                <w:bCs w:val="0"/>
                <w:color w:val="auto"/>
                <w:sz w:val="21"/>
                <w:szCs w:val="21"/>
                <w:highlight w:val="none"/>
                <w:u w:val="none"/>
                <w:lang w:val="en-US" w:eastAsia="zh-CN"/>
              </w:rPr>
              <w:t>保修服务</w:t>
            </w:r>
          </w:p>
        </w:tc>
        <w:tc>
          <w:tcPr>
            <w:tcW w:w="2531" w:type="pct"/>
            <w:noWrap w:val="0"/>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outlineLvl w:val="9"/>
              <w:rPr>
                <w:rFonts w:hint="default" w:ascii="宋体" w:hAnsi="宋体" w:eastAsia="宋体" w:cs="宋体"/>
                <w:color w:val="auto"/>
                <w:kern w:val="0"/>
                <w:sz w:val="21"/>
                <w:szCs w:val="21"/>
                <w:highlight w:val="none"/>
                <w:u w:val="none"/>
                <w:lang w:val="en-US" w:eastAsia="zh-CN"/>
              </w:rPr>
            </w:pPr>
            <w:r>
              <w:rPr>
                <w:rFonts w:hint="eastAsia" w:ascii="宋体" w:hAnsi="宋体" w:eastAsia="宋体" w:cs="宋体"/>
                <w:color w:val="auto"/>
                <w:kern w:val="0"/>
                <w:sz w:val="21"/>
                <w:szCs w:val="21"/>
                <w:highlight w:val="none"/>
                <w:u w:val="none"/>
                <w:lang w:val="en-US" w:eastAsia="zh-CN"/>
              </w:rPr>
              <w:t>设备保修期超过招标文件要求的，每增加1年加0.5分，增加部分不足1年的不计分，最高得</w:t>
            </w:r>
            <w:r>
              <w:rPr>
                <w:rFonts w:hint="eastAsia" w:ascii="宋体" w:hAnsi="宋体" w:cs="宋体"/>
                <w:color w:val="auto"/>
                <w:kern w:val="0"/>
                <w:sz w:val="21"/>
                <w:szCs w:val="21"/>
                <w:highlight w:val="none"/>
                <w:u w:val="none"/>
                <w:lang w:val="en-US" w:eastAsia="zh-CN"/>
              </w:rPr>
              <w:t>1</w:t>
            </w:r>
            <w:r>
              <w:rPr>
                <w:rFonts w:hint="eastAsia" w:ascii="宋体" w:hAnsi="宋体" w:eastAsia="宋体" w:cs="宋体"/>
                <w:color w:val="auto"/>
                <w:kern w:val="0"/>
                <w:sz w:val="21"/>
                <w:szCs w:val="21"/>
                <w:highlight w:val="none"/>
                <w:u w:val="none"/>
                <w:lang w:val="en-US" w:eastAsia="zh-CN"/>
              </w:rPr>
              <w:t>分。</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1"/>
                <w:szCs w:val="21"/>
                <w:highlight w:val="none"/>
                <w:lang w:val="en-US" w:eastAsia="zh-CN"/>
              </w:rPr>
            </w:pPr>
            <w:bookmarkStart w:id="528" w:name="_Toc7750"/>
            <w:bookmarkStart w:id="529" w:name="_Toc16022"/>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bookmarkEnd w:id="528"/>
            <w:bookmarkEnd w:id="529"/>
          </w:p>
        </w:tc>
        <w:tc>
          <w:tcPr>
            <w:tcW w:w="412"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客观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bookmarkStart w:id="530" w:name="_Toc9756"/>
            <w:bookmarkEnd w:id="530"/>
            <w:bookmarkStart w:id="531" w:name="_Toc7665"/>
            <w:bookmarkEnd w:id="531"/>
          </w:p>
        </w:tc>
        <w:tc>
          <w:tcPr>
            <w:tcW w:w="746" w:type="pc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1"/>
                <w:szCs w:val="21"/>
                <w:highlight w:val="none"/>
              </w:rPr>
            </w:pPr>
            <w:r>
              <w:rPr>
                <w:rFonts w:ascii="宋体" w:hAnsi="宋体"/>
                <w:color w:val="auto"/>
              </w:rPr>
              <w:t>售后服务方案</w:t>
            </w:r>
          </w:p>
        </w:tc>
        <w:tc>
          <w:tcPr>
            <w:tcW w:w="2531" w:type="pc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1"/>
                <w:szCs w:val="21"/>
                <w:highlight w:val="none"/>
              </w:rPr>
            </w:pPr>
            <w:r>
              <w:rPr>
                <w:rFonts w:ascii="宋体" w:hAnsi="宋体"/>
                <w:color w:val="auto"/>
              </w:rPr>
              <w:t>包括但不限于服务响应时间、故障解决方案</w:t>
            </w:r>
            <w:r>
              <w:rPr>
                <w:rFonts w:hint="eastAsia" w:ascii="宋体" w:hAnsi="宋体"/>
                <w:color w:val="auto"/>
              </w:rPr>
              <w:t>，响应时间短，解决</w:t>
            </w:r>
            <w:r>
              <w:rPr>
                <w:rFonts w:ascii="宋体" w:hAnsi="宋体"/>
                <w:color w:val="auto"/>
              </w:rPr>
              <w:t>方案</w:t>
            </w:r>
            <w:r>
              <w:rPr>
                <w:rFonts w:hint="eastAsia" w:ascii="宋体" w:hAnsi="宋体"/>
                <w:color w:val="auto"/>
              </w:rPr>
              <w:t>充分</w:t>
            </w:r>
            <w:r>
              <w:rPr>
                <w:rFonts w:ascii="宋体" w:hAnsi="宋体"/>
                <w:color w:val="auto"/>
              </w:rPr>
              <w:t>得</w:t>
            </w:r>
            <w:r>
              <w:rPr>
                <w:rFonts w:hint="eastAsia"/>
                <w:color w:val="auto"/>
                <w:lang w:val="en-US" w:eastAsia="zh-CN"/>
              </w:rPr>
              <w:t>3</w:t>
            </w:r>
            <w:r>
              <w:rPr>
                <w:rFonts w:ascii="宋体" w:hAnsi="宋体"/>
                <w:color w:val="auto"/>
              </w:rPr>
              <w:t>分，</w:t>
            </w:r>
            <w:r>
              <w:rPr>
                <w:rFonts w:hint="eastAsia" w:ascii="宋体" w:hAnsi="宋体"/>
                <w:color w:val="auto"/>
              </w:rPr>
              <w:t>响应时间一般，解决</w:t>
            </w:r>
            <w:r>
              <w:rPr>
                <w:rFonts w:ascii="宋体" w:hAnsi="宋体"/>
                <w:color w:val="auto"/>
              </w:rPr>
              <w:t>方案</w:t>
            </w:r>
            <w:r>
              <w:rPr>
                <w:rFonts w:hint="eastAsia" w:ascii="宋体" w:hAnsi="宋体"/>
                <w:color w:val="auto"/>
              </w:rPr>
              <w:t>较合理</w:t>
            </w:r>
            <w:r>
              <w:rPr>
                <w:rFonts w:ascii="宋体" w:hAnsi="宋体"/>
                <w:color w:val="auto"/>
              </w:rPr>
              <w:t>得</w:t>
            </w:r>
            <w:r>
              <w:rPr>
                <w:rFonts w:hint="eastAsia"/>
                <w:color w:val="auto"/>
                <w:lang w:val="en-US" w:eastAsia="zh-CN"/>
              </w:rPr>
              <w:t>2</w:t>
            </w:r>
            <w:r>
              <w:rPr>
                <w:rFonts w:ascii="宋体" w:hAnsi="宋体"/>
                <w:color w:val="auto"/>
              </w:rPr>
              <w:t>分</w:t>
            </w:r>
            <w:r>
              <w:rPr>
                <w:rFonts w:hint="eastAsia" w:ascii="宋体" w:hAnsi="宋体"/>
                <w:color w:val="auto"/>
              </w:rPr>
              <w:t>，响应时间长，解决方案一般</w:t>
            </w:r>
            <w:r>
              <w:rPr>
                <w:rFonts w:hint="eastAsia"/>
                <w:color w:val="auto"/>
              </w:rPr>
              <w:t>1</w:t>
            </w:r>
            <w:r>
              <w:rPr>
                <w:rFonts w:hint="eastAsia" w:ascii="宋体" w:hAnsi="宋体"/>
                <w:color w:val="auto"/>
              </w:rPr>
              <w:t>分，响应时间长，解决方案差</w:t>
            </w:r>
            <w:r>
              <w:rPr>
                <w:rFonts w:hint="eastAsia"/>
                <w:color w:val="auto"/>
              </w:rPr>
              <w:t>0.5</w:t>
            </w:r>
            <w:r>
              <w:rPr>
                <w:rFonts w:hint="eastAsia" w:ascii="宋体" w:hAnsi="宋体"/>
                <w:color w:val="auto"/>
              </w:rPr>
              <w:t>分，无解决方案得</w:t>
            </w:r>
            <w:r>
              <w:rPr>
                <w:rFonts w:hint="eastAsia"/>
                <w:color w:val="auto"/>
              </w:rPr>
              <w:t>0</w:t>
            </w:r>
            <w:r>
              <w:rPr>
                <w:rFonts w:hint="eastAsia" w:ascii="宋体" w:hAnsi="宋体"/>
                <w:color w:val="auto"/>
              </w:rPr>
              <w:t>分</w:t>
            </w:r>
            <w:r>
              <w:rPr>
                <w:rFonts w:ascii="宋体" w:hAnsi="宋体"/>
                <w:color w:val="auto"/>
              </w:rPr>
              <w:t>；</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tc>
        <w:tc>
          <w:tcPr>
            <w:tcW w:w="412"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p>
        </w:tc>
        <w:tc>
          <w:tcPr>
            <w:tcW w:w="746" w:type="pc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ascii="宋体" w:hAnsi="宋体"/>
              </w:rPr>
            </w:pPr>
            <w:r>
              <w:rPr>
                <w:rFonts w:ascii="宋体" w:hAnsi="宋体"/>
              </w:rPr>
              <w:t>售后服务机构备品备件储备情况</w:t>
            </w:r>
          </w:p>
        </w:tc>
        <w:tc>
          <w:tcPr>
            <w:tcW w:w="2531" w:type="pc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textAlignment w:val="auto"/>
              <w:outlineLvl w:val="9"/>
              <w:rPr>
                <w:rFonts w:ascii="宋体" w:hAnsi="宋体"/>
              </w:rPr>
            </w:pPr>
            <w:r>
              <w:rPr>
                <w:rFonts w:ascii="宋体" w:hAnsi="宋体"/>
              </w:rPr>
              <w:t>储备充足</w:t>
            </w:r>
            <w:r>
              <w:rPr>
                <w:rFonts w:hint="eastAsia" w:ascii="宋体" w:hAnsi="宋体"/>
              </w:rPr>
              <w:t>能充分满足售后服务要求得</w:t>
            </w:r>
            <w:r>
              <w:rPr>
                <w:rFonts w:hint="eastAsia"/>
              </w:rPr>
              <w:t>2</w:t>
            </w:r>
            <w:r>
              <w:rPr>
                <w:rFonts w:ascii="宋体" w:hAnsi="宋体"/>
              </w:rPr>
              <w:t>分，储备</w:t>
            </w:r>
            <w:r>
              <w:rPr>
                <w:rFonts w:hint="eastAsia" w:ascii="宋体" w:hAnsi="宋体"/>
              </w:rPr>
              <w:t>一般基本能满足售后服务要求得</w:t>
            </w:r>
            <w:r>
              <w:rPr>
                <w:rFonts w:hint="eastAsia"/>
              </w:rPr>
              <w:t>1</w:t>
            </w:r>
            <w:r>
              <w:rPr>
                <w:rFonts w:ascii="宋体" w:hAnsi="宋体"/>
              </w:rPr>
              <w:t>分</w:t>
            </w:r>
            <w:r>
              <w:rPr>
                <w:rFonts w:hint="eastAsia" w:ascii="宋体" w:hAnsi="宋体"/>
              </w:rPr>
              <w:t>，</w:t>
            </w:r>
            <w:r>
              <w:rPr>
                <w:rFonts w:ascii="宋体" w:hAnsi="宋体"/>
              </w:rPr>
              <w:t>储备</w:t>
            </w:r>
            <w:r>
              <w:rPr>
                <w:rFonts w:hint="eastAsia" w:ascii="宋体" w:hAnsi="宋体"/>
              </w:rPr>
              <w:t>情况差不能满足售后服务要求</w:t>
            </w:r>
            <w:r>
              <w:rPr>
                <w:rFonts w:hint="eastAsia"/>
              </w:rPr>
              <w:t>0.5</w:t>
            </w:r>
            <w:r>
              <w:rPr>
                <w:rFonts w:ascii="宋体" w:hAnsi="宋体"/>
              </w:rPr>
              <w:t>分</w:t>
            </w:r>
            <w:r>
              <w:rPr>
                <w:rFonts w:hint="eastAsia" w:ascii="宋体" w:hAnsi="宋体"/>
              </w:rPr>
              <w:t>，无备品备件储备得</w:t>
            </w:r>
            <w:r>
              <w:rPr>
                <w:rFonts w:hint="eastAsia"/>
              </w:rPr>
              <w:t>0</w:t>
            </w:r>
            <w:r>
              <w:rPr>
                <w:rFonts w:hint="eastAsia" w:ascii="宋体" w:hAnsi="宋体"/>
              </w:rPr>
              <w:t>分。</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2分</w:t>
            </w:r>
          </w:p>
        </w:tc>
        <w:tc>
          <w:tcPr>
            <w:tcW w:w="412"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p>
        </w:tc>
        <w:tc>
          <w:tcPr>
            <w:tcW w:w="746" w:type="pc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ascii="宋体" w:hAnsi="宋体"/>
              </w:rPr>
            </w:pPr>
            <w:r>
              <w:rPr>
                <w:rFonts w:hint="eastAsia" w:ascii="宋体" w:hAnsi="宋体"/>
              </w:rPr>
              <w:t>售后服务机构技术服务人员情况</w:t>
            </w:r>
          </w:p>
        </w:tc>
        <w:tc>
          <w:tcPr>
            <w:tcW w:w="2531" w:type="pc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textAlignment w:val="auto"/>
              <w:outlineLvl w:val="9"/>
              <w:rPr>
                <w:rFonts w:ascii="宋体" w:hAnsi="宋体"/>
              </w:rPr>
            </w:pPr>
            <w:r>
              <w:rPr>
                <w:rFonts w:hint="eastAsia" w:ascii="宋体" w:hAnsi="宋体"/>
              </w:rPr>
              <w:t>提供姓名、工作经验、资质证书情况，人员配备充足售后服务经验丰富得2分，人员配备和售后服务一般得1分，人员配备不足售后服务经验差0.5分，无人员配备得0分。</w:t>
            </w:r>
          </w:p>
        </w:tc>
        <w:tc>
          <w:tcPr>
            <w:tcW w:w="844"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2分</w:t>
            </w:r>
          </w:p>
        </w:tc>
        <w:tc>
          <w:tcPr>
            <w:tcW w:w="794"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p>
        </w:tc>
        <w:tc>
          <w:tcPr>
            <w:tcW w:w="746" w:type="pc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rPr>
            </w:pPr>
            <w:r>
              <w:rPr>
                <w:rFonts w:hint="eastAsia" w:ascii="宋体" w:hAnsi="宋体"/>
              </w:rPr>
              <w:t>安装调试方案</w:t>
            </w:r>
          </w:p>
        </w:tc>
        <w:tc>
          <w:tcPr>
            <w:tcW w:w="4875" w:type="dxa"/>
            <w:noWrap w:val="0"/>
            <w:vAlign w:val="center"/>
          </w:tcPr>
          <w:p>
            <w:pPr>
              <w:spacing w:line="360" w:lineRule="auto"/>
              <w:rPr>
                <w:rFonts w:hint="eastAsia" w:ascii="宋体" w:hAnsi="宋体"/>
              </w:rPr>
            </w:pPr>
            <w:r>
              <w:rPr>
                <w:rFonts w:hint="eastAsia" w:ascii="宋体" w:hAnsi="宋体"/>
              </w:rPr>
              <w:t>包括对场地环境的了解、人员的安排、时间进度的规划，对设备的调试进度安排，调试的步骤、措施，问题的解决方案等，</w:t>
            </w:r>
            <w:r>
              <w:rPr>
                <w:rFonts w:ascii="宋体" w:hAnsi="宋体"/>
              </w:rPr>
              <w:t>方案</w:t>
            </w:r>
            <w:r>
              <w:rPr>
                <w:rFonts w:hint="eastAsia" w:ascii="宋体" w:hAnsi="宋体"/>
              </w:rPr>
              <w:t>考虑充分措施有效得</w:t>
            </w:r>
            <w:r>
              <w:rPr>
                <w:rFonts w:hint="eastAsia"/>
              </w:rPr>
              <w:t>2</w:t>
            </w:r>
            <w:r>
              <w:rPr>
                <w:rFonts w:hint="eastAsia" w:ascii="宋体" w:hAnsi="宋体"/>
              </w:rPr>
              <w:t>分，方案</w:t>
            </w:r>
            <w:r>
              <w:rPr>
                <w:rFonts w:ascii="宋体" w:hAnsi="宋体"/>
              </w:rPr>
              <w:t>合理</w:t>
            </w:r>
            <w:r>
              <w:rPr>
                <w:rFonts w:hint="eastAsia" w:ascii="宋体" w:hAnsi="宋体"/>
              </w:rPr>
              <w:t>措施一般</w:t>
            </w:r>
            <w:r>
              <w:rPr>
                <w:rFonts w:ascii="宋体" w:hAnsi="宋体"/>
              </w:rPr>
              <w:t>得</w:t>
            </w:r>
            <w:r>
              <w:rPr>
                <w:rFonts w:hint="eastAsia"/>
              </w:rPr>
              <w:t>1</w:t>
            </w:r>
            <w:r>
              <w:rPr>
                <w:rFonts w:ascii="宋体" w:hAnsi="宋体"/>
              </w:rPr>
              <w:t>分，</w:t>
            </w:r>
            <w:r>
              <w:rPr>
                <w:rFonts w:hint="eastAsia" w:ascii="宋体" w:hAnsi="宋体"/>
              </w:rPr>
              <w:t>无</w:t>
            </w:r>
            <w:r>
              <w:rPr>
                <w:rFonts w:ascii="宋体" w:hAnsi="宋体"/>
              </w:rPr>
              <w:t>方案得</w:t>
            </w:r>
            <w:r>
              <w:t>0</w:t>
            </w:r>
            <w:r>
              <w:rPr>
                <w:rFonts w:ascii="宋体" w:hAnsi="宋体"/>
              </w:rPr>
              <w:t>分</w:t>
            </w:r>
          </w:p>
        </w:tc>
        <w:tc>
          <w:tcPr>
            <w:tcW w:w="844"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2分</w:t>
            </w:r>
          </w:p>
        </w:tc>
        <w:tc>
          <w:tcPr>
            <w:tcW w:w="794"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p>
        </w:tc>
        <w:tc>
          <w:tcPr>
            <w:tcW w:w="746" w:type="pc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宋体" w:hAnsi="宋体"/>
              </w:rPr>
            </w:pPr>
            <w:r>
              <w:rPr>
                <w:rFonts w:hint="eastAsia" w:ascii="宋体" w:hAnsi="宋体"/>
              </w:rPr>
              <w:t>培训方案</w:t>
            </w:r>
          </w:p>
        </w:tc>
        <w:tc>
          <w:tcPr>
            <w:tcW w:w="4875" w:type="dxa"/>
            <w:noWrap w:val="0"/>
            <w:vAlign w:val="center"/>
          </w:tcPr>
          <w:p>
            <w:pPr>
              <w:spacing w:line="360" w:lineRule="auto"/>
              <w:rPr>
                <w:rFonts w:hint="eastAsia" w:ascii="宋体" w:hAnsi="宋体"/>
              </w:rPr>
            </w:pPr>
            <w:r>
              <w:rPr>
                <w:rFonts w:hint="eastAsia" w:ascii="宋体" w:hAnsi="宋体"/>
              </w:rPr>
              <w:t>包括但不限于培训对象、课时安排、师资力量安排等，</w:t>
            </w:r>
            <w:r>
              <w:rPr>
                <w:rFonts w:ascii="宋体" w:hAnsi="宋体"/>
              </w:rPr>
              <w:t>方案</w:t>
            </w:r>
            <w:r>
              <w:rPr>
                <w:rFonts w:hint="eastAsia" w:ascii="宋体" w:hAnsi="宋体"/>
              </w:rPr>
              <w:t>考虑充分安排有效得</w:t>
            </w:r>
            <w:r>
              <w:rPr>
                <w:rFonts w:hint="eastAsia"/>
              </w:rPr>
              <w:t>2</w:t>
            </w:r>
            <w:r>
              <w:rPr>
                <w:rFonts w:hint="eastAsia" w:ascii="宋体" w:hAnsi="宋体"/>
              </w:rPr>
              <w:t>分，方案</w:t>
            </w:r>
            <w:r>
              <w:rPr>
                <w:rFonts w:ascii="宋体" w:hAnsi="宋体"/>
              </w:rPr>
              <w:t>合理</w:t>
            </w:r>
            <w:r>
              <w:rPr>
                <w:rFonts w:hint="eastAsia" w:ascii="宋体" w:hAnsi="宋体"/>
              </w:rPr>
              <w:t>安排一般</w:t>
            </w:r>
            <w:r>
              <w:rPr>
                <w:rFonts w:ascii="宋体" w:hAnsi="宋体"/>
              </w:rPr>
              <w:t>得</w:t>
            </w:r>
            <w:r>
              <w:rPr>
                <w:rFonts w:hint="eastAsia"/>
              </w:rPr>
              <w:t>1</w:t>
            </w:r>
            <w:r>
              <w:rPr>
                <w:rFonts w:ascii="宋体" w:hAnsi="宋体"/>
              </w:rPr>
              <w:t>分，</w:t>
            </w:r>
            <w:r>
              <w:rPr>
                <w:rFonts w:hint="eastAsia" w:ascii="宋体" w:hAnsi="宋体"/>
              </w:rPr>
              <w:t>无</w:t>
            </w:r>
            <w:r>
              <w:rPr>
                <w:rFonts w:ascii="宋体" w:hAnsi="宋体"/>
              </w:rPr>
              <w:t>方案得</w:t>
            </w:r>
            <w:r>
              <w:t>0</w:t>
            </w:r>
            <w:r>
              <w:rPr>
                <w:rFonts w:ascii="宋体" w:hAnsi="宋体"/>
              </w:rPr>
              <w:t>分</w:t>
            </w:r>
          </w:p>
        </w:tc>
        <w:tc>
          <w:tcPr>
            <w:tcW w:w="844" w:type="dxa"/>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2分</w:t>
            </w:r>
          </w:p>
        </w:tc>
        <w:tc>
          <w:tcPr>
            <w:tcW w:w="794"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p>
        </w:tc>
        <w:tc>
          <w:tcPr>
            <w:tcW w:w="746" w:type="pct"/>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投标人业绩</w:t>
            </w:r>
          </w:p>
        </w:tc>
        <w:tc>
          <w:tcPr>
            <w:tcW w:w="2531" w:type="pc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对本次相同型号投标产品自</w:t>
            </w:r>
            <w:r>
              <w:rPr>
                <w:rFonts w:hint="eastAsia" w:ascii="宋体" w:hAnsi="宋体" w:cs="宋体"/>
                <w:color w:val="auto"/>
                <w:sz w:val="21"/>
                <w:szCs w:val="21"/>
                <w:highlight w:val="none"/>
                <w:lang w:val="en-US" w:eastAsia="zh-CN"/>
              </w:rPr>
              <w:t>2020</w:t>
            </w:r>
            <w:r>
              <w:rPr>
                <w:rFonts w:hint="eastAsia" w:ascii="宋体" w:hAnsi="宋体" w:eastAsia="宋体" w:cs="宋体"/>
                <w:color w:val="auto"/>
                <w:sz w:val="21"/>
                <w:szCs w:val="21"/>
                <w:highlight w:val="none"/>
                <w:lang w:val="en-US" w:eastAsia="zh-CN"/>
              </w:rPr>
              <w:t>年1月1日起（以合同签订时间为准）与不同的最终用户签订的销售合同评分，每提供一个合同复印件得1分，最高3分。投标产品为对省级以上主管部门认定的首台套产品，自纳入《省推广应用指导目录》起三年内参加政府采购活动，视同已具备相应销售业绩，本项得满分。</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3分</w:t>
            </w:r>
          </w:p>
        </w:tc>
        <w:tc>
          <w:tcPr>
            <w:tcW w:w="412"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客观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jc w:val="center"/>
        </w:trPr>
        <w:tc>
          <w:tcPr>
            <w:tcW w:w="323" w:type="pct"/>
            <w:noWrap w:val="0"/>
            <w:vAlign w:val="center"/>
          </w:tcPr>
          <w:p>
            <w:pPr>
              <w:keepNext w:val="0"/>
              <w:keepLines w:val="0"/>
              <w:pageBreakBefore w:val="0"/>
              <w:numPr>
                <w:ilvl w:val="0"/>
                <w:numId w:val="11"/>
              </w:numPr>
              <w:kinsoku/>
              <w:wordWrap/>
              <w:overflowPunct/>
              <w:topLinePunct w:val="0"/>
              <w:autoSpaceDE/>
              <w:autoSpaceDN/>
              <w:bidi w:val="0"/>
              <w:adjustRightInd/>
              <w:spacing w:line="360" w:lineRule="auto"/>
              <w:ind w:left="425" w:leftChars="0" w:hanging="425" w:firstLineChars="0"/>
              <w:jc w:val="center"/>
              <w:textAlignment w:val="auto"/>
              <w:outlineLvl w:val="9"/>
              <w:rPr>
                <w:rFonts w:hint="eastAsia" w:ascii="宋体" w:hAnsi="宋体" w:eastAsia="宋体" w:cs="宋体"/>
                <w:color w:val="auto"/>
                <w:sz w:val="21"/>
                <w:szCs w:val="21"/>
                <w:highlight w:val="none"/>
                <w:lang w:val="en-US" w:eastAsia="zh-CN"/>
              </w:rPr>
            </w:pPr>
          </w:p>
        </w:tc>
        <w:tc>
          <w:tcPr>
            <w:tcW w:w="746" w:type="pct"/>
            <w:noWrap w:val="0"/>
            <w:vAlign w:val="center"/>
          </w:tcPr>
          <w:p>
            <w:pPr>
              <w:rPr>
                <w:rFonts w:hint="eastAsia" w:ascii="宋体" w:hAnsi="宋体" w:eastAsia="宋体" w:cs="Times New Roman"/>
                <w:color w:val="000000"/>
                <w:kern w:val="2"/>
                <w:sz w:val="24"/>
                <w:szCs w:val="22"/>
                <w:lang w:val="en-US" w:eastAsia="zh-CN" w:bidi="ar-SA"/>
              </w:rPr>
            </w:pPr>
            <w:r>
              <w:rPr>
                <w:rFonts w:hint="eastAsia" w:ascii="宋体" w:hAnsi="宋体" w:eastAsia="宋体" w:cs="宋体"/>
                <w:color w:val="auto"/>
                <w:sz w:val="21"/>
                <w:szCs w:val="21"/>
                <w:highlight w:val="none"/>
                <w:lang w:val="en-US" w:eastAsia="zh-CN"/>
              </w:rPr>
              <w:t>环境标志产品、节能产品评审</w:t>
            </w:r>
          </w:p>
        </w:tc>
        <w:tc>
          <w:tcPr>
            <w:tcW w:w="2531" w:type="pct"/>
            <w:noWrap w:val="0"/>
            <w:vAlign w:val="center"/>
          </w:tcPr>
          <w:p>
            <w:pPr>
              <w:ind w:left="105" w:leftChars="50" w:right="10" w:rightChars="5"/>
              <w:rPr>
                <w:rFonts w:ascii="宋体" w:hAnsi="宋体" w:eastAsia="宋体" w:cs="Times New Roman"/>
                <w:color w:val="000000"/>
                <w:szCs w:val="21"/>
              </w:rPr>
            </w:pPr>
            <w:r>
              <w:rPr>
                <w:rFonts w:ascii="宋体" w:hAnsi="宋体" w:eastAsia="宋体" w:cs="Times New Roman"/>
                <w:color w:val="000000"/>
                <w:szCs w:val="21"/>
              </w:rPr>
              <w:t>1）投标产品列入财政部、发展改革委发布的节能产品品目清单的，提供国家市场监督管理总局公布的《参与实施政府采购节能产品认证机构名录》内的认证机构出具的、处于有效期之内的节能标志产品认证证书的，得</w:t>
            </w:r>
            <w:r>
              <w:rPr>
                <w:rFonts w:hint="eastAsia" w:ascii="宋体" w:hAnsi="宋体" w:eastAsia="宋体" w:cs="Times New Roman"/>
                <w:color w:val="000000"/>
                <w:szCs w:val="21"/>
                <w:lang w:val="en-US" w:eastAsia="zh-CN"/>
              </w:rPr>
              <w:t>0.5</w:t>
            </w:r>
            <w:r>
              <w:rPr>
                <w:rFonts w:ascii="宋体" w:hAnsi="宋体" w:eastAsia="宋体" w:cs="Times New Roman"/>
                <w:color w:val="000000"/>
                <w:szCs w:val="21"/>
              </w:rPr>
              <w:t>分。</w:t>
            </w:r>
          </w:p>
          <w:p>
            <w:pPr>
              <w:numPr>
                <w:ilvl w:val="0"/>
                <w:numId w:val="0"/>
              </w:numPr>
              <w:ind w:right="10" w:rightChars="5"/>
              <w:rPr>
                <w:rFonts w:hint="eastAsia" w:ascii="宋体" w:hAnsi="宋体" w:eastAsia="宋体" w:cs="Times New Roman"/>
                <w:color w:val="000000"/>
                <w:szCs w:val="21"/>
                <w:lang w:val="en-US" w:eastAsia="zh-CN"/>
              </w:rPr>
            </w:pPr>
            <w:r>
              <w:rPr>
                <w:rFonts w:ascii="宋体" w:hAnsi="宋体" w:eastAsia="宋体" w:cs="Times New Roman"/>
                <w:color w:val="000000"/>
                <w:szCs w:val="21"/>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w:t>
            </w:r>
            <w:r>
              <w:rPr>
                <w:rFonts w:hint="eastAsia" w:ascii="宋体" w:hAnsi="宋体" w:eastAsia="宋体" w:cs="Times New Roman"/>
                <w:color w:val="000000"/>
                <w:szCs w:val="21"/>
                <w:lang w:val="en-US" w:eastAsia="zh-CN"/>
              </w:rPr>
              <w:t>0.5</w:t>
            </w:r>
            <w:r>
              <w:rPr>
                <w:rFonts w:ascii="宋体" w:hAnsi="宋体" w:eastAsia="宋体" w:cs="Times New Roman"/>
                <w:color w:val="000000"/>
                <w:szCs w:val="21"/>
              </w:rPr>
              <w:t>分。</w:t>
            </w:r>
          </w:p>
        </w:tc>
        <w:tc>
          <w:tcPr>
            <w:tcW w:w="438"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1分</w:t>
            </w:r>
          </w:p>
        </w:tc>
        <w:tc>
          <w:tcPr>
            <w:tcW w:w="412" w:type="pct"/>
            <w:noWrap w:val="0"/>
            <w:vAlign w:val="center"/>
          </w:tcPr>
          <w:p>
            <w:pPr>
              <w:keepNext w:val="0"/>
              <w:keepLines w:val="0"/>
              <w:pageBreakBefore w:val="0"/>
              <w:kinsoku/>
              <w:wordWrap/>
              <w:overflowPunct/>
              <w:topLinePunct w:val="0"/>
              <w:autoSpaceDE/>
              <w:autoSpaceDN/>
              <w:bidi w:val="0"/>
              <w:adjustRightInd/>
              <w:spacing w:line="240" w:lineRule="auto"/>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客观</w:t>
            </w:r>
          </w:p>
        </w:tc>
        <w:tc>
          <w:tcPr>
            <w:tcW w:w="54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000" w:type="pct"/>
            <w:gridSpan w:val="6"/>
            <w:noWrap w:val="0"/>
            <w:vAlign w:val="center"/>
          </w:tcPr>
          <w:p>
            <w:pPr>
              <w:keepNext w:val="0"/>
              <w:keepLines w:val="0"/>
              <w:pageBreakBefore w:val="0"/>
              <w:kinsoku/>
              <w:wordWrap/>
              <w:overflowPunct/>
              <w:topLinePunct w:val="0"/>
              <w:autoSpaceDE/>
              <w:autoSpaceDN/>
              <w:bidi w:val="0"/>
              <w:adjustRightInd/>
              <w:spacing w:line="360" w:lineRule="auto"/>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kern w:val="28"/>
                <w:sz w:val="21"/>
                <w:szCs w:val="21"/>
                <w:highlight w:val="none"/>
                <w:lang w:val="en-US" w:eastAsia="zh-CN"/>
              </w:rPr>
              <w:t>价格（30分）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323" w:type="pct"/>
            <w:noWrap w:val="0"/>
            <w:vAlign w:val="center"/>
          </w:tcPr>
          <w:p>
            <w:pPr>
              <w:keepNext w:val="0"/>
              <w:keepLines w:val="0"/>
              <w:pageBreakBefore w:val="0"/>
              <w:kinsoku/>
              <w:wordWrap/>
              <w:overflowPunct/>
              <w:topLinePunct w:val="0"/>
              <w:autoSpaceDE/>
              <w:autoSpaceDN/>
              <w:bidi w:val="0"/>
              <w:adjustRightInd/>
              <w:spacing w:line="360" w:lineRule="auto"/>
              <w:ind w:right="3" w:rightChars="0"/>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746"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kern w:val="28"/>
                <w:sz w:val="21"/>
                <w:szCs w:val="21"/>
                <w:highlight w:val="none"/>
              </w:rPr>
              <w:t>报价评标</w:t>
            </w:r>
          </w:p>
        </w:tc>
        <w:tc>
          <w:tcPr>
            <w:tcW w:w="2531" w:type="pct"/>
            <w:noWrap w:val="0"/>
            <w:vAlign w:val="center"/>
          </w:tcPr>
          <w:p>
            <w:pPr>
              <w:keepNext w:val="0"/>
              <w:keepLines w:val="0"/>
              <w:pageBreakBefore w:val="0"/>
              <w:kinsoku/>
              <w:wordWrap/>
              <w:overflowPunct/>
              <w:topLinePunct w:val="0"/>
              <w:autoSpaceDE/>
              <w:autoSpaceDN/>
              <w:bidi w:val="0"/>
              <w:adjustRightInd/>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28"/>
                <w:sz w:val="21"/>
                <w:szCs w:val="21"/>
                <w:highlight w:val="none"/>
              </w:rPr>
              <w:t>价格分统一采用低价优先法计算，即满足采购文件要求且投标价格最低的投标报价为评标基准价，其价格分为满分。其他</w:t>
            </w:r>
            <w:r>
              <w:rPr>
                <w:rFonts w:hint="eastAsia" w:ascii="宋体" w:hAnsi="宋体" w:eastAsia="宋体" w:cs="宋体"/>
                <w:color w:val="auto"/>
                <w:kern w:val="28"/>
                <w:sz w:val="21"/>
                <w:szCs w:val="21"/>
                <w:highlight w:val="none"/>
                <w:lang w:val="en-US" w:eastAsia="zh-CN"/>
              </w:rPr>
              <w:t>投标人</w:t>
            </w:r>
            <w:r>
              <w:rPr>
                <w:rFonts w:hint="eastAsia" w:ascii="宋体" w:hAnsi="宋体" w:eastAsia="宋体" w:cs="宋体"/>
                <w:color w:val="auto"/>
                <w:kern w:val="28"/>
                <w:sz w:val="21"/>
                <w:szCs w:val="21"/>
                <w:highlight w:val="none"/>
              </w:rPr>
              <w:t>的价格分统一按照下列公式计算：投标报价得分：（评标基准价/投标报价）*</w:t>
            </w:r>
            <w:r>
              <w:rPr>
                <w:rFonts w:hint="eastAsia" w:ascii="宋体" w:hAnsi="宋体" w:eastAsia="宋体" w:cs="宋体"/>
                <w:color w:val="auto"/>
                <w:kern w:val="28"/>
                <w:sz w:val="21"/>
                <w:szCs w:val="21"/>
                <w:highlight w:val="none"/>
                <w:lang w:val="en-US" w:eastAsia="zh-CN"/>
              </w:rPr>
              <w:t>3</w:t>
            </w:r>
            <w:r>
              <w:rPr>
                <w:rFonts w:hint="eastAsia" w:ascii="宋体" w:hAnsi="宋体" w:eastAsia="宋体" w:cs="宋体"/>
                <w:color w:val="auto"/>
                <w:kern w:val="28"/>
                <w:sz w:val="21"/>
                <w:szCs w:val="21"/>
                <w:highlight w:val="none"/>
              </w:rPr>
              <w:t>0.00。计算分数时四舍五入取小数点后两位。</w:t>
            </w:r>
          </w:p>
        </w:tc>
        <w:tc>
          <w:tcPr>
            <w:tcW w:w="43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kern w:val="28"/>
                <w:sz w:val="21"/>
                <w:szCs w:val="21"/>
                <w:highlight w:val="none"/>
                <w:lang w:val="en-US" w:eastAsia="zh-CN"/>
              </w:rPr>
              <w:t>3</w:t>
            </w:r>
            <w:r>
              <w:rPr>
                <w:rFonts w:hint="eastAsia" w:ascii="宋体" w:hAnsi="宋体" w:eastAsia="宋体" w:cs="宋体"/>
                <w:b/>
                <w:bCs/>
                <w:color w:val="auto"/>
                <w:kern w:val="28"/>
                <w:sz w:val="21"/>
                <w:szCs w:val="21"/>
                <w:highlight w:val="none"/>
              </w:rPr>
              <w:t>0分</w:t>
            </w:r>
          </w:p>
        </w:tc>
        <w:tc>
          <w:tcPr>
            <w:tcW w:w="961" w:type="pct"/>
            <w:gridSpan w:val="2"/>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28"/>
                <w:sz w:val="21"/>
                <w:szCs w:val="21"/>
                <w:highlight w:val="none"/>
                <w:lang w:val="en-US" w:eastAsia="zh-CN"/>
              </w:rPr>
              <w:t>自动计算</w:t>
            </w:r>
          </w:p>
        </w:tc>
      </w:tr>
    </w:tbl>
    <w:p>
      <w:pPr>
        <w:snapToGrid w:val="0"/>
        <w:spacing w:line="360" w:lineRule="auto"/>
        <w:rPr>
          <w:rFonts w:ascii="Arial" w:hAnsi="Arial" w:cs="Arial"/>
          <w:color w:val="auto"/>
          <w:sz w:val="20"/>
          <w:szCs w:val="20"/>
          <w:highlight w:val="none"/>
          <w:shd w:val="clear" w:color="auto" w:fill="FFFFFF"/>
        </w:rPr>
      </w:pPr>
    </w:p>
    <w:p>
      <w:pPr>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shd w:val="clear" w:color="auto" w:fill="FFFFFF"/>
        </w:rPr>
        <w:t> *</w:t>
      </w:r>
      <w:r>
        <w:rPr>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rPr>
        <w:t>投标人编制投标文件（商务技术文件部分）时，建议按此目录（序号和内容）提供评标标准相应的商务技术资料。 </w:t>
      </w:r>
    </w:p>
    <w:p>
      <w:pPr>
        <w:spacing w:line="360" w:lineRule="auto"/>
        <w:outlineLvl w:val="0"/>
        <w:rPr>
          <w:rFonts w:hint="eastAsia" w:ascii="宋体" w:hAnsi="宋体" w:eastAsia="宋体" w:cs="宋体"/>
          <w:b/>
          <w:color w:val="auto"/>
          <w:sz w:val="28"/>
          <w:szCs w:val="21"/>
          <w:highlight w:val="none"/>
        </w:rPr>
      </w:pPr>
      <w:bookmarkStart w:id="532" w:name="_Toc13699"/>
      <w:bookmarkStart w:id="533" w:name="_Toc24770"/>
      <w:bookmarkStart w:id="534" w:name="_Toc1554"/>
      <w:r>
        <w:rPr>
          <w:rFonts w:hint="eastAsia" w:ascii="宋体" w:hAnsi="宋体" w:eastAsia="宋体" w:cs="宋体"/>
          <w:b/>
          <w:color w:val="auto"/>
          <w:sz w:val="28"/>
          <w:szCs w:val="21"/>
          <w:highlight w:val="none"/>
        </w:rPr>
        <w:t>一、评标方法</w:t>
      </w:r>
      <w:bookmarkEnd w:id="532"/>
      <w:bookmarkEnd w:id="533"/>
      <w:bookmarkEnd w:id="534"/>
    </w:p>
    <w:p>
      <w:pPr>
        <w:adjustRightInd/>
        <w:spacing w:line="360" w:lineRule="auto"/>
        <w:ind w:firstLine="413" w:firstLineChars="196"/>
        <w:rPr>
          <w:rFonts w:hint="eastAsia" w:ascii="宋体" w:hAnsi="宋体" w:eastAsia="宋体" w:cs="宋体"/>
          <w:color w:val="auto"/>
          <w:kern w:val="0"/>
          <w:sz w:val="21"/>
          <w:szCs w:val="20"/>
          <w:highlight w:val="none"/>
        </w:rPr>
      </w:pPr>
      <w:r>
        <w:rPr>
          <w:rFonts w:hint="eastAsia" w:ascii="宋体" w:hAnsi="宋体" w:eastAsia="宋体" w:cs="宋体"/>
          <w:b/>
          <w:color w:val="auto"/>
          <w:kern w:val="0"/>
          <w:sz w:val="21"/>
          <w:szCs w:val="20"/>
          <w:highlight w:val="none"/>
        </w:rPr>
        <w:t>本项目采用综合评分法。</w:t>
      </w:r>
      <w:r>
        <w:rPr>
          <w:rFonts w:hint="eastAsia" w:ascii="宋体" w:hAnsi="宋体" w:eastAsia="宋体" w:cs="宋体"/>
          <w:color w:val="auto"/>
          <w:kern w:val="0"/>
          <w:sz w:val="21"/>
          <w:szCs w:val="20"/>
          <w:highlight w:val="none"/>
        </w:rPr>
        <w:t>综合评分法，是指投标文件满足招标文件全部实质性要求，且按照评审因素的量化指标评审得分最高的投标人为中标候选人的评标方法。</w:t>
      </w:r>
    </w:p>
    <w:p>
      <w:pPr>
        <w:spacing w:line="360" w:lineRule="auto"/>
        <w:outlineLvl w:val="0"/>
        <w:rPr>
          <w:rFonts w:hint="eastAsia" w:ascii="宋体" w:hAnsi="宋体" w:eastAsia="宋体" w:cs="宋体"/>
          <w:color w:val="auto"/>
          <w:kern w:val="0"/>
          <w:sz w:val="28"/>
          <w:szCs w:val="28"/>
          <w:highlight w:val="none"/>
        </w:rPr>
      </w:pPr>
      <w:bookmarkStart w:id="535" w:name="_Toc22154"/>
      <w:bookmarkStart w:id="536" w:name="_Toc15641"/>
      <w:bookmarkStart w:id="537" w:name="_Toc10735"/>
      <w:r>
        <w:rPr>
          <w:rFonts w:hint="eastAsia" w:ascii="宋体" w:hAnsi="宋体" w:eastAsia="宋体" w:cs="宋体"/>
          <w:b/>
          <w:color w:val="auto"/>
          <w:sz w:val="28"/>
          <w:szCs w:val="28"/>
          <w:highlight w:val="none"/>
        </w:rPr>
        <w:t>二、评标标准</w:t>
      </w:r>
      <w:bookmarkEnd w:id="535"/>
      <w:bookmarkEnd w:id="536"/>
      <w:bookmarkEnd w:id="537"/>
    </w:p>
    <w:p>
      <w:pPr>
        <w:spacing w:line="360" w:lineRule="auto"/>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评标标准：</w:t>
      </w:r>
      <w:r>
        <w:rPr>
          <w:rFonts w:hint="eastAsia" w:ascii="宋体" w:hAnsi="宋体" w:eastAsia="宋体" w:cs="宋体"/>
          <w:color w:val="auto"/>
          <w:kern w:val="0"/>
          <w:sz w:val="21"/>
          <w:szCs w:val="21"/>
          <w:highlight w:val="none"/>
        </w:rPr>
        <w:t>见评标办法前附表。</w:t>
      </w:r>
    </w:p>
    <w:p>
      <w:pPr>
        <w:spacing w:line="360" w:lineRule="auto"/>
        <w:outlineLvl w:val="0"/>
        <w:rPr>
          <w:rFonts w:hint="eastAsia" w:ascii="宋体" w:hAnsi="宋体" w:eastAsia="宋体" w:cs="宋体"/>
          <w:b/>
          <w:color w:val="auto"/>
          <w:sz w:val="28"/>
          <w:szCs w:val="28"/>
          <w:highlight w:val="none"/>
        </w:rPr>
      </w:pPr>
      <w:bookmarkStart w:id="538" w:name="_Toc6031"/>
      <w:bookmarkStart w:id="539" w:name="_Toc14835"/>
      <w:bookmarkStart w:id="540" w:name="_Toc3802"/>
      <w:r>
        <w:rPr>
          <w:rFonts w:hint="eastAsia" w:ascii="宋体" w:hAnsi="宋体" w:eastAsia="宋体" w:cs="宋体"/>
          <w:b/>
          <w:color w:val="auto"/>
          <w:sz w:val="28"/>
          <w:szCs w:val="28"/>
          <w:highlight w:val="none"/>
        </w:rPr>
        <w:t>三、评标程序</w:t>
      </w:r>
      <w:bookmarkEnd w:id="538"/>
      <w:bookmarkEnd w:id="539"/>
      <w:bookmarkEnd w:id="540"/>
    </w:p>
    <w:p>
      <w:pPr>
        <w:spacing w:line="360" w:lineRule="auto"/>
        <w:ind w:firstLine="413" w:firstLineChars="196"/>
        <w:rPr>
          <w:rFonts w:hint="eastAsia" w:ascii="宋体" w:hAnsi="宋体" w:eastAsia="宋体" w:cs="宋体"/>
          <w:color w:val="auto"/>
          <w:kern w:val="0"/>
          <w:sz w:val="21"/>
          <w:szCs w:val="20"/>
          <w:highlight w:val="none"/>
        </w:rPr>
      </w:pPr>
      <w:r>
        <w:rPr>
          <w:rFonts w:hint="eastAsia" w:ascii="宋体" w:hAnsi="宋体" w:eastAsia="宋体" w:cs="宋体"/>
          <w:b/>
          <w:color w:val="auto"/>
          <w:kern w:val="0"/>
          <w:sz w:val="21"/>
          <w:szCs w:val="20"/>
          <w:highlight w:val="none"/>
          <w:lang w:val="en-US" w:eastAsia="zh-CN"/>
        </w:rPr>
        <w:t>1.</w:t>
      </w:r>
      <w:r>
        <w:rPr>
          <w:rFonts w:hint="eastAsia" w:ascii="宋体" w:hAnsi="宋体" w:eastAsia="宋体" w:cs="宋体"/>
          <w:b/>
          <w:color w:val="auto"/>
          <w:kern w:val="0"/>
          <w:sz w:val="21"/>
          <w:szCs w:val="20"/>
          <w:highlight w:val="none"/>
        </w:rPr>
        <w:t>符合性审查。</w:t>
      </w:r>
      <w:r>
        <w:rPr>
          <w:rFonts w:hint="eastAsia" w:ascii="宋体" w:hAnsi="宋体" w:eastAsia="宋体" w:cs="宋体"/>
          <w:color w:val="auto"/>
          <w:kern w:val="0"/>
          <w:sz w:val="21"/>
          <w:szCs w:val="20"/>
          <w:highlight w:val="none"/>
        </w:rPr>
        <w:t>评标委员会应当对符合资格的投标人的投标文件进行符合性审查，以确定其是否满足招标文件的实质性要求。</w:t>
      </w:r>
      <w:r>
        <w:rPr>
          <w:rFonts w:hint="eastAsia" w:ascii="宋体" w:hAnsi="宋体" w:eastAsia="宋体" w:cs="宋体"/>
          <w:b/>
          <w:bCs/>
          <w:color w:val="auto"/>
          <w:kern w:val="0"/>
          <w:sz w:val="21"/>
          <w:szCs w:val="20"/>
          <w:highlight w:val="none"/>
        </w:rPr>
        <w:t>不满足招标文件的实质性要求的，投标无效。</w:t>
      </w:r>
    </w:p>
    <w:p>
      <w:pPr>
        <w:spacing w:line="360" w:lineRule="auto"/>
        <w:ind w:firstLine="413" w:firstLineChars="196"/>
        <w:rPr>
          <w:rFonts w:hint="eastAsia" w:ascii="宋体" w:hAnsi="宋体" w:eastAsia="宋体" w:cs="宋体"/>
          <w:color w:val="auto"/>
          <w:kern w:val="0"/>
          <w:sz w:val="21"/>
          <w:szCs w:val="20"/>
          <w:highlight w:val="none"/>
        </w:rPr>
      </w:pPr>
      <w:r>
        <w:rPr>
          <w:rFonts w:hint="eastAsia" w:ascii="宋体" w:hAnsi="宋体" w:eastAsia="宋体" w:cs="宋体"/>
          <w:b/>
          <w:color w:val="auto"/>
          <w:kern w:val="0"/>
          <w:sz w:val="21"/>
          <w:szCs w:val="20"/>
          <w:highlight w:val="none"/>
        </w:rPr>
        <w:t xml:space="preserve">2 </w:t>
      </w:r>
      <w:r>
        <w:rPr>
          <w:rFonts w:hint="eastAsia" w:ascii="宋体" w:hAnsi="宋体" w:eastAsia="宋体" w:cs="宋体"/>
          <w:b/>
          <w:color w:val="auto"/>
          <w:kern w:val="0"/>
          <w:sz w:val="21"/>
          <w:szCs w:val="20"/>
          <w:highlight w:val="none"/>
          <w:lang w:val="en-US" w:eastAsia="zh-CN"/>
        </w:rPr>
        <w:t>.</w:t>
      </w:r>
      <w:r>
        <w:rPr>
          <w:rFonts w:hint="eastAsia" w:ascii="宋体" w:hAnsi="宋体" w:eastAsia="宋体" w:cs="宋体"/>
          <w:b/>
          <w:color w:val="auto"/>
          <w:kern w:val="0"/>
          <w:sz w:val="21"/>
          <w:szCs w:val="20"/>
          <w:highlight w:val="none"/>
        </w:rPr>
        <w:t>比较与评价。</w:t>
      </w:r>
      <w:r>
        <w:rPr>
          <w:rFonts w:hint="eastAsia" w:ascii="宋体" w:hAnsi="宋体" w:eastAsia="宋体" w:cs="宋体"/>
          <w:color w:val="auto"/>
          <w:kern w:val="0"/>
          <w:sz w:val="21"/>
          <w:szCs w:val="20"/>
          <w:highlight w:val="none"/>
        </w:rPr>
        <w:t>评标委员会应当按照招标文件中规定的评标方法和标准，对符合性审查合格的投标文件进行商务和技术评估，综合比较与评价。</w:t>
      </w:r>
    </w:p>
    <w:p>
      <w:pPr>
        <w:spacing w:line="360" w:lineRule="auto"/>
        <w:ind w:firstLine="413" w:firstLineChars="196"/>
        <w:rPr>
          <w:rFonts w:hint="eastAsia" w:ascii="宋体" w:hAnsi="宋体" w:eastAsia="宋体" w:cs="宋体"/>
          <w:color w:val="auto"/>
          <w:kern w:val="0"/>
          <w:sz w:val="21"/>
          <w:szCs w:val="20"/>
          <w:highlight w:val="none"/>
        </w:rPr>
      </w:pPr>
      <w:r>
        <w:rPr>
          <w:rFonts w:hint="eastAsia" w:ascii="宋体" w:hAnsi="宋体" w:eastAsia="宋体" w:cs="宋体"/>
          <w:b/>
          <w:color w:val="auto"/>
          <w:kern w:val="0"/>
          <w:sz w:val="21"/>
          <w:szCs w:val="20"/>
          <w:highlight w:val="none"/>
          <w:lang w:val="en-US" w:eastAsia="zh-CN"/>
        </w:rPr>
        <w:t>3.</w:t>
      </w:r>
      <w:r>
        <w:rPr>
          <w:rFonts w:hint="eastAsia" w:ascii="宋体" w:hAnsi="宋体" w:eastAsia="宋体" w:cs="宋体"/>
          <w:b/>
          <w:color w:val="auto"/>
          <w:kern w:val="0"/>
          <w:sz w:val="21"/>
          <w:szCs w:val="20"/>
          <w:highlight w:val="none"/>
        </w:rPr>
        <w:t>汇总商务技术得分。</w:t>
      </w:r>
      <w:r>
        <w:rPr>
          <w:rFonts w:hint="eastAsia" w:ascii="宋体" w:hAnsi="宋体" w:eastAsia="宋体" w:cs="宋体"/>
          <w:color w:val="auto"/>
          <w:kern w:val="0"/>
          <w:sz w:val="21"/>
          <w:szCs w:val="20"/>
          <w:highlight w:val="none"/>
        </w:rPr>
        <w:t>评标委员会各成员应当独立对每个投标人的商务和技术文件进行评价，并汇总商务技术得分情况。</w:t>
      </w:r>
    </w:p>
    <w:p>
      <w:pPr>
        <w:spacing w:line="360" w:lineRule="auto"/>
        <w:ind w:firstLine="413" w:firstLineChars="196"/>
        <w:rPr>
          <w:rFonts w:hint="eastAsia" w:ascii="宋体" w:hAnsi="宋体" w:eastAsia="宋体" w:cs="宋体"/>
          <w:b/>
          <w:color w:val="auto"/>
          <w:kern w:val="0"/>
          <w:sz w:val="21"/>
          <w:szCs w:val="20"/>
          <w:highlight w:val="none"/>
        </w:rPr>
      </w:pPr>
      <w:r>
        <w:rPr>
          <w:rFonts w:hint="eastAsia" w:ascii="宋体" w:hAnsi="宋体" w:eastAsia="宋体" w:cs="宋体"/>
          <w:b/>
          <w:color w:val="auto"/>
          <w:kern w:val="0"/>
          <w:sz w:val="21"/>
          <w:szCs w:val="20"/>
          <w:highlight w:val="none"/>
        </w:rPr>
        <w:t>4</w:t>
      </w:r>
      <w:r>
        <w:rPr>
          <w:rFonts w:hint="eastAsia" w:ascii="宋体" w:hAnsi="宋体" w:eastAsia="宋体" w:cs="宋体"/>
          <w:b/>
          <w:color w:val="auto"/>
          <w:kern w:val="0"/>
          <w:sz w:val="21"/>
          <w:szCs w:val="20"/>
          <w:highlight w:val="none"/>
          <w:lang w:val="en-US" w:eastAsia="zh-CN"/>
        </w:rPr>
        <w:t>.</w:t>
      </w:r>
      <w:r>
        <w:rPr>
          <w:rFonts w:hint="eastAsia" w:ascii="宋体" w:hAnsi="宋体" w:eastAsia="宋体" w:cs="宋体"/>
          <w:b/>
          <w:color w:val="auto"/>
          <w:kern w:val="0"/>
          <w:sz w:val="21"/>
          <w:szCs w:val="20"/>
          <w:highlight w:val="none"/>
        </w:rPr>
        <w:t>报价评审。</w:t>
      </w:r>
    </w:p>
    <w:p>
      <w:pPr>
        <w:pStyle w:val="106"/>
        <w:spacing w:before="0"/>
        <w:ind w:firstLine="445" w:firstLineChars="212"/>
        <w:rPr>
          <w:rFonts w:hint="eastAsia" w:ascii="宋体" w:hAnsi="宋体" w:eastAsia="宋体" w:cs="宋体"/>
          <w:color w:val="auto"/>
          <w:kern w:val="0"/>
          <w:sz w:val="21"/>
          <w:szCs w:val="20"/>
          <w:highlight w:val="none"/>
        </w:rPr>
      </w:pPr>
      <w:r>
        <w:rPr>
          <w:rFonts w:hint="eastAsia" w:ascii="宋体" w:hAnsi="宋体" w:cs="宋体"/>
          <w:color w:val="auto"/>
          <w:kern w:val="0"/>
          <w:sz w:val="21"/>
          <w:szCs w:val="20"/>
          <w:highlight w:val="none"/>
          <w:lang w:val="en-US" w:eastAsia="zh-CN"/>
        </w:rPr>
        <w:t>4.1</w:t>
      </w:r>
      <w:r>
        <w:rPr>
          <w:rFonts w:hint="eastAsia" w:ascii="宋体" w:hAnsi="宋体" w:eastAsia="宋体" w:cs="宋体"/>
          <w:color w:val="auto"/>
          <w:kern w:val="0"/>
          <w:sz w:val="21"/>
          <w:szCs w:val="20"/>
          <w:highlight w:val="none"/>
        </w:rPr>
        <w:t>投标文件报价出现前后不一致的，按照下列规定修正：</w:t>
      </w:r>
    </w:p>
    <w:p>
      <w:pPr>
        <w:pStyle w:val="106"/>
        <w:spacing w:before="0"/>
        <w:ind w:firstLine="445" w:firstLineChars="212"/>
        <w:rPr>
          <w:rFonts w:hint="eastAsia" w:ascii="宋体" w:hAnsi="宋体" w:eastAsia="宋体" w:cs="宋体"/>
          <w:color w:val="auto"/>
          <w:kern w:val="0"/>
          <w:sz w:val="21"/>
          <w:szCs w:val="16"/>
          <w:highlight w:val="none"/>
        </w:rPr>
      </w:pPr>
      <w:r>
        <w:rPr>
          <w:rFonts w:hint="eastAsia" w:ascii="宋体" w:hAnsi="宋体" w:cs="宋体"/>
          <w:color w:val="auto"/>
          <w:kern w:val="0"/>
          <w:sz w:val="21"/>
          <w:szCs w:val="16"/>
          <w:highlight w:val="none"/>
          <w:lang w:eastAsia="zh-CN"/>
        </w:rPr>
        <w:t>（</w:t>
      </w:r>
      <w:r>
        <w:rPr>
          <w:rFonts w:hint="eastAsia" w:ascii="宋体" w:hAnsi="宋体" w:cs="宋体"/>
          <w:color w:val="auto"/>
          <w:kern w:val="0"/>
          <w:sz w:val="21"/>
          <w:szCs w:val="16"/>
          <w:highlight w:val="none"/>
          <w:lang w:val="en-US" w:eastAsia="zh-CN"/>
        </w:rPr>
        <w:t>1</w:t>
      </w:r>
      <w:r>
        <w:rPr>
          <w:rFonts w:hint="eastAsia" w:ascii="宋体" w:hAnsi="宋体" w:cs="宋体"/>
          <w:color w:val="auto"/>
          <w:kern w:val="0"/>
          <w:sz w:val="21"/>
          <w:szCs w:val="16"/>
          <w:highlight w:val="none"/>
          <w:lang w:eastAsia="zh-CN"/>
        </w:rPr>
        <w:t>）</w:t>
      </w:r>
      <w:r>
        <w:rPr>
          <w:rFonts w:hint="eastAsia" w:ascii="宋体" w:hAnsi="宋体" w:eastAsia="宋体" w:cs="宋体"/>
          <w:color w:val="auto"/>
          <w:kern w:val="0"/>
          <w:sz w:val="21"/>
          <w:szCs w:val="16"/>
          <w:highlight w:val="none"/>
        </w:rPr>
        <w:t>投标文件中开标一览表(报价表)内容与投标文件中相应内容不一致的，以开标一览表(报价表)为准;</w:t>
      </w:r>
    </w:p>
    <w:p>
      <w:pPr>
        <w:pStyle w:val="106"/>
        <w:spacing w:before="0"/>
        <w:ind w:firstLine="445" w:firstLineChars="212"/>
        <w:rPr>
          <w:rFonts w:hint="eastAsia" w:ascii="宋体" w:hAnsi="宋体" w:eastAsia="宋体" w:cs="宋体"/>
          <w:color w:val="auto"/>
          <w:kern w:val="0"/>
          <w:sz w:val="21"/>
          <w:szCs w:val="16"/>
          <w:highlight w:val="none"/>
        </w:rPr>
      </w:pPr>
      <w:r>
        <w:rPr>
          <w:rFonts w:hint="eastAsia" w:ascii="宋体" w:hAnsi="宋体" w:cs="宋体"/>
          <w:color w:val="auto"/>
          <w:kern w:val="0"/>
          <w:sz w:val="21"/>
          <w:szCs w:val="16"/>
          <w:highlight w:val="none"/>
          <w:lang w:eastAsia="zh-CN"/>
        </w:rPr>
        <w:t>（</w:t>
      </w:r>
      <w:r>
        <w:rPr>
          <w:rFonts w:hint="eastAsia" w:ascii="宋体" w:hAnsi="宋体" w:cs="宋体"/>
          <w:color w:val="auto"/>
          <w:kern w:val="0"/>
          <w:sz w:val="21"/>
          <w:szCs w:val="16"/>
          <w:highlight w:val="none"/>
          <w:lang w:val="en-US" w:eastAsia="zh-CN"/>
        </w:rPr>
        <w:t>2</w:t>
      </w:r>
      <w:r>
        <w:rPr>
          <w:rFonts w:hint="eastAsia" w:ascii="宋体" w:hAnsi="宋体" w:cs="宋体"/>
          <w:color w:val="auto"/>
          <w:kern w:val="0"/>
          <w:sz w:val="21"/>
          <w:szCs w:val="16"/>
          <w:highlight w:val="none"/>
          <w:lang w:eastAsia="zh-CN"/>
        </w:rPr>
        <w:t>）</w:t>
      </w:r>
      <w:r>
        <w:rPr>
          <w:rFonts w:hint="eastAsia" w:ascii="宋体" w:hAnsi="宋体" w:eastAsia="宋体" w:cs="宋体"/>
          <w:color w:val="auto"/>
          <w:kern w:val="0"/>
          <w:sz w:val="21"/>
          <w:szCs w:val="16"/>
          <w:highlight w:val="none"/>
        </w:rPr>
        <w:t>大写金额和小写金额不一致的，以大写金额为准;</w:t>
      </w:r>
    </w:p>
    <w:p>
      <w:pPr>
        <w:pStyle w:val="106"/>
        <w:spacing w:before="0"/>
        <w:ind w:firstLine="445" w:firstLineChars="212"/>
        <w:rPr>
          <w:rFonts w:hint="eastAsia" w:ascii="宋体" w:hAnsi="宋体" w:eastAsia="宋体" w:cs="宋体"/>
          <w:color w:val="auto"/>
          <w:kern w:val="0"/>
          <w:sz w:val="21"/>
          <w:szCs w:val="16"/>
          <w:highlight w:val="none"/>
        </w:rPr>
      </w:pPr>
      <w:r>
        <w:rPr>
          <w:rFonts w:hint="eastAsia" w:ascii="宋体" w:hAnsi="宋体" w:cs="宋体"/>
          <w:color w:val="auto"/>
          <w:kern w:val="0"/>
          <w:sz w:val="21"/>
          <w:szCs w:val="16"/>
          <w:highlight w:val="none"/>
          <w:lang w:eastAsia="zh-CN"/>
        </w:rPr>
        <w:t>（</w:t>
      </w:r>
      <w:r>
        <w:rPr>
          <w:rFonts w:hint="eastAsia" w:ascii="宋体" w:hAnsi="宋体" w:cs="宋体"/>
          <w:color w:val="auto"/>
          <w:kern w:val="0"/>
          <w:sz w:val="21"/>
          <w:szCs w:val="16"/>
          <w:highlight w:val="none"/>
          <w:lang w:val="en-US" w:eastAsia="zh-CN"/>
        </w:rPr>
        <w:t>3</w:t>
      </w:r>
      <w:r>
        <w:rPr>
          <w:rFonts w:hint="eastAsia" w:ascii="宋体" w:hAnsi="宋体" w:cs="宋体"/>
          <w:color w:val="auto"/>
          <w:kern w:val="0"/>
          <w:sz w:val="21"/>
          <w:szCs w:val="16"/>
          <w:highlight w:val="none"/>
          <w:lang w:eastAsia="zh-CN"/>
        </w:rPr>
        <w:t>）</w:t>
      </w:r>
      <w:r>
        <w:rPr>
          <w:rFonts w:hint="eastAsia" w:ascii="宋体" w:hAnsi="宋体" w:eastAsia="宋体" w:cs="宋体"/>
          <w:color w:val="auto"/>
          <w:kern w:val="0"/>
          <w:sz w:val="21"/>
          <w:szCs w:val="16"/>
          <w:highlight w:val="none"/>
        </w:rPr>
        <w:t>单价金额小数点或者百分比有明显错位的，以开标一览表的总价为准，并修改单价;</w:t>
      </w:r>
    </w:p>
    <w:p>
      <w:pPr>
        <w:pStyle w:val="106"/>
        <w:spacing w:before="0"/>
        <w:ind w:firstLine="445" w:firstLineChars="212"/>
        <w:rPr>
          <w:rFonts w:hint="eastAsia" w:ascii="宋体" w:hAnsi="宋体" w:eastAsia="宋体" w:cs="宋体"/>
          <w:color w:val="auto"/>
          <w:kern w:val="0"/>
          <w:sz w:val="21"/>
          <w:szCs w:val="16"/>
          <w:highlight w:val="none"/>
        </w:rPr>
      </w:pPr>
      <w:r>
        <w:rPr>
          <w:rFonts w:hint="eastAsia" w:ascii="宋体" w:hAnsi="宋体" w:cs="宋体"/>
          <w:color w:val="auto"/>
          <w:kern w:val="0"/>
          <w:sz w:val="21"/>
          <w:szCs w:val="16"/>
          <w:highlight w:val="none"/>
          <w:lang w:eastAsia="zh-CN"/>
        </w:rPr>
        <w:t>（</w:t>
      </w:r>
      <w:r>
        <w:rPr>
          <w:rFonts w:hint="eastAsia" w:ascii="宋体" w:hAnsi="宋体" w:cs="宋体"/>
          <w:color w:val="auto"/>
          <w:kern w:val="0"/>
          <w:sz w:val="21"/>
          <w:szCs w:val="16"/>
          <w:highlight w:val="none"/>
          <w:lang w:val="en-US" w:eastAsia="zh-CN"/>
        </w:rPr>
        <w:t>4</w:t>
      </w:r>
      <w:r>
        <w:rPr>
          <w:rFonts w:hint="eastAsia" w:ascii="宋体" w:hAnsi="宋体" w:cs="宋体"/>
          <w:color w:val="auto"/>
          <w:kern w:val="0"/>
          <w:sz w:val="21"/>
          <w:szCs w:val="16"/>
          <w:highlight w:val="none"/>
          <w:lang w:eastAsia="zh-CN"/>
        </w:rPr>
        <w:t>）</w:t>
      </w:r>
      <w:r>
        <w:rPr>
          <w:rFonts w:hint="eastAsia" w:ascii="宋体" w:hAnsi="宋体" w:eastAsia="宋体" w:cs="宋体"/>
          <w:color w:val="auto"/>
          <w:kern w:val="0"/>
          <w:sz w:val="21"/>
          <w:szCs w:val="16"/>
          <w:highlight w:val="none"/>
        </w:rPr>
        <w:t>总价金额与按单价汇总金额不一致的，以单价金额计算结果为准。</w:t>
      </w:r>
    </w:p>
    <w:p>
      <w:pPr>
        <w:pStyle w:val="106"/>
        <w:spacing w:before="0"/>
        <w:ind w:firstLine="445" w:firstLineChars="212"/>
        <w:rPr>
          <w:rFonts w:hint="eastAsia" w:ascii="宋体" w:hAnsi="宋体" w:eastAsia="宋体" w:cs="宋体"/>
          <w:color w:val="auto"/>
          <w:kern w:val="0"/>
          <w:sz w:val="21"/>
          <w:szCs w:val="16"/>
          <w:highlight w:val="none"/>
          <w:lang w:eastAsia="zh-CN"/>
        </w:rPr>
      </w:pPr>
      <w:r>
        <w:rPr>
          <w:rFonts w:hint="eastAsia" w:ascii="宋体" w:hAnsi="宋体" w:cs="宋体"/>
          <w:color w:val="auto"/>
          <w:kern w:val="0"/>
          <w:sz w:val="21"/>
          <w:szCs w:val="16"/>
          <w:highlight w:val="none"/>
          <w:lang w:eastAsia="zh-CN"/>
        </w:rPr>
        <w:t>（</w:t>
      </w:r>
      <w:r>
        <w:rPr>
          <w:rFonts w:hint="eastAsia" w:ascii="宋体" w:hAnsi="宋体" w:cs="宋体"/>
          <w:color w:val="auto"/>
          <w:kern w:val="0"/>
          <w:sz w:val="21"/>
          <w:szCs w:val="16"/>
          <w:highlight w:val="none"/>
          <w:lang w:val="en-US" w:eastAsia="zh-CN"/>
        </w:rPr>
        <w:t>5</w:t>
      </w:r>
      <w:r>
        <w:rPr>
          <w:rFonts w:hint="eastAsia" w:ascii="宋体" w:hAnsi="宋体" w:cs="宋体"/>
          <w:color w:val="auto"/>
          <w:kern w:val="0"/>
          <w:sz w:val="21"/>
          <w:szCs w:val="16"/>
          <w:highlight w:val="none"/>
          <w:lang w:eastAsia="zh-CN"/>
        </w:rPr>
        <w:t>）</w:t>
      </w:r>
      <w:r>
        <w:rPr>
          <w:rFonts w:hint="eastAsia" w:ascii="宋体" w:hAnsi="宋体" w:eastAsia="宋体" w:cs="宋体"/>
          <w:color w:val="auto"/>
          <w:kern w:val="0"/>
          <w:sz w:val="21"/>
          <w:szCs w:val="16"/>
          <w:highlight w:val="none"/>
        </w:rPr>
        <w:t>同时出现两种以上不一致的，按照3.4.1规定的顺序修正。修正后的报价按照财政部第87号令《政府采购货物和服务招标投标管理办法》第五十一条第二款的规定经投标人确认后产生约束力。</w:t>
      </w:r>
    </w:p>
    <w:p>
      <w:pPr>
        <w:pStyle w:val="106"/>
        <w:spacing w:before="0"/>
        <w:ind w:firstLine="445" w:firstLineChars="212"/>
        <w:rPr>
          <w:rFonts w:hint="eastAsia" w:ascii="宋体" w:hAnsi="宋体" w:eastAsia="宋体" w:cs="宋体"/>
          <w:color w:val="auto"/>
          <w:kern w:val="0"/>
          <w:sz w:val="21"/>
          <w:szCs w:val="20"/>
          <w:highlight w:val="none"/>
        </w:rPr>
      </w:pPr>
      <w:r>
        <w:rPr>
          <w:rFonts w:hint="eastAsia" w:ascii="宋体" w:hAnsi="宋体" w:cs="宋体"/>
          <w:color w:val="auto"/>
          <w:kern w:val="0"/>
          <w:sz w:val="21"/>
          <w:szCs w:val="20"/>
          <w:highlight w:val="none"/>
          <w:lang w:val="en-US" w:eastAsia="zh-CN"/>
        </w:rPr>
        <w:t>4.2</w:t>
      </w:r>
      <w:r>
        <w:rPr>
          <w:rFonts w:hint="eastAsia" w:ascii="宋体" w:hAnsi="宋体" w:eastAsia="宋体" w:cs="宋体"/>
          <w:b w:val="0"/>
          <w:bCs w:val="0"/>
          <w:color w:val="auto"/>
          <w:kern w:val="0"/>
          <w:sz w:val="21"/>
          <w:szCs w:val="20"/>
          <w:highlight w:val="none"/>
        </w:rPr>
        <w:t>投标文件出现不是唯一的、有选择性投标报价的，投标无效。</w:t>
      </w:r>
    </w:p>
    <w:p>
      <w:pPr>
        <w:pStyle w:val="106"/>
        <w:spacing w:before="0"/>
        <w:ind w:firstLine="445" w:firstLineChars="212"/>
        <w:rPr>
          <w:rFonts w:hint="eastAsia" w:ascii="宋体" w:hAnsi="宋体" w:eastAsia="宋体" w:cs="宋体"/>
          <w:b w:val="0"/>
          <w:bCs w:val="0"/>
          <w:color w:val="auto"/>
          <w:kern w:val="0"/>
          <w:sz w:val="21"/>
          <w:szCs w:val="20"/>
          <w:highlight w:val="none"/>
        </w:rPr>
      </w:pPr>
      <w:r>
        <w:rPr>
          <w:rFonts w:hint="eastAsia" w:ascii="宋体" w:hAnsi="宋体" w:eastAsia="宋体" w:cs="宋体"/>
          <w:color w:val="auto"/>
          <w:kern w:val="0"/>
          <w:sz w:val="21"/>
          <w:szCs w:val="20"/>
          <w:highlight w:val="none"/>
        </w:rPr>
        <w:t>4.3</w:t>
      </w:r>
      <w:r>
        <w:rPr>
          <w:rFonts w:hint="eastAsia" w:ascii="宋体" w:hAnsi="宋体" w:eastAsia="宋体" w:cs="宋体"/>
          <w:b w:val="0"/>
          <w:bCs w:val="0"/>
          <w:color w:val="auto"/>
          <w:kern w:val="0"/>
          <w:sz w:val="21"/>
          <w:szCs w:val="20"/>
          <w:highlight w:val="none"/>
        </w:rPr>
        <w:t>投标报价超过招标文件中规定的预算金额或者最高限价的，投标无效。</w:t>
      </w:r>
    </w:p>
    <w:p>
      <w:pPr>
        <w:pStyle w:val="106"/>
        <w:spacing w:before="0"/>
        <w:ind w:firstLine="445" w:firstLineChars="212"/>
        <w:rPr>
          <w:rFonts w:hint="eastAsia" w:ascii="宋体" w:hAnsi="宋体" w:eastAsia="宋体" w:cs="宋体"/>
          <w:b/>
          <w:bCs/>
          <w:color w:val="auto"/>
          <w:kern w:val="0"/>
          <w:sz w:val="21"/>
          <w:szCs w:val="16"/>
          <w:highlight w:val="none"/>
        </w:rPr>
      </w:pPr>
      <w:r>
        <w:rPr>
          <w:rFonts w:hint="eastAsia" w:ascii="宋体" w:hAnsi="宋体" w:eastAsia="宋体" w:cs="宋体"/>
          <w:color w:val="auto"/>
          <w:kern w:val="0"/>
          <w:sz w:val="21"/>
          <w:szCs w:val="16"/>
          <w:highlight w:val="none"/>
        </w:rPr>
        <w:t>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eastAsia="宋体" w:cs="宋体"/>
          <w:b w:val="0"/>
          <w:bCs w:val="0"/>
          <w:color w:val="auto"/>
          <w:kern w:val="0"/>
          <w:sz w:val="21"/>
          <w:szCs w:val="16"/>
          <w:highlight w:val="none"/>
        </w:rPr>
        <w:t>投标人不能证明其报价合理性的，评标委员会应当将其作为无效投标处理。</w:t>
      </w:r>
    </w:p>
    <w:p>
      <w:pPr>
        <w:pStyle w:val="106"/>
        <w:spacing w:before="0"/>
        <w:ind w:firstLine="445" w:firstLineChars="212"/>
        <w:rPr>
          <w:rFonts w:hint="eastAsia" w:ascii="宋体" w:hAnsi="宋体" w:eastAsia="宋体" w:cs="宋体"/>
          <w:color w:val="auto"/>
          <w:kern w:val="0"/>
          <w:sz w:val="21"/>
          <w:szCs w:val="16"/>
          <w:highlight w:val="none"/>
        </w:rPr>
      </w:pPr>
      <w:r>
        <w:rPr>
          <w:rFonts w:hint="eastAsia" w:ascii="宋体" w:hAnsi="宋体" w:eastAsia="宋体" w:cs="宋体"/>
          <w:color w:val="auto"/>
          <w:kern w:val="0"/>
          <w:sz w:val="21"/>
          <w:szCs w:val="16"/>
          <w:highlight w:val="none"/>
        </w:rPr>
        <w:t>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kern w:val="0"/>
          <w:sz w:val="21"/>
          <w:szCs w:val="16"/>
          <w:highlight w:val="none"/>
          <w:lang w:val="en-US" w:eastAsia="zh-CN"/>
        </w:rPr>
        <w:t>4%</w:t>
      </w:r>
      <w:r>
        <w:rPr>
          <w:rFonts w:hint="eastAsia" w:ascii="宋体" w:hAnsi="宋体" w:eastAsia="宋体" w:cs="宋体"/>
          <w:color w:val="auto"/>
          <w:kern w:val="0"/>
          <w:sz w:val="21"/>
          <w:szCs w:val="16"/>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22" w:firstLineChars="200"/>
        <w:rPr>
          <w:rFonts w:hint="eastAsia" w:ascii="宋体" w:hAnsi="宋体" w:eastAsia="宋体" w:cs="宋体"/>
          <w:color w:val="auto"/>
          <w:kern w:val="0"/>
          <w:sz w:val="21"/>
          <w:szCs w:val="20"/>
          <w:highlight w:val="none"/>
        </w:rPr>
      </w:pPr>
      <w:r>
        <w:rPr>
          <w:rFonts w:hint="eastAsia" w:ascii="宋体" w:hAnsi="宋体" w:eastAsia="宋体" w:cs="宋体"/>
          <w:b/>
          <w:color w:val="auto"/>
          <w:kern w:val="0"/>
          <w:sz w:val="21"/>
          <w:szCs w:val="20"/>
          <w:highlight w:val="none"/>
        </w:rPr>
        <w:t>5</w:t>
      </w:r>
      <w:r>
        <w:rPr>
          <w:rFonts w:hint="eastAsia" w:ascii="宋体" w:hAnsi="宋体" w:eastAsia="宋体" w:cs="宋体"/>
          <w:b/>
          <w:color w:val="auto"/>
          <w:kern w:val="0"/>
          <w:sz w:val="21"/>
          <w:szCs w:val="20"/>
          <w:highlight w:val="none"/>
          <w:lang w:val="en-US" w:eastAsia="zh-CN"/>
        </w:rPr>
        <w:t>.</w:t>
      </w:r>
      <w:r>
        <w:rPr>
          <w:rFonts w:hint="eastAsia" w:ascii="宋体" w:hAnsi="宋体" w:eastAsia="宋体" w:cs="宋体"/>
          <w:b/>
          <w:color w:val="auto"/>
          <w:kern w:val="0"/>
          <w:sz w:val="21"/>
          <w:szCs w:val="20"/>
          <w:highlight w:val="none"/>
        </w:rPr>
        <w:t>排序与推荐。</w:t>
      </w:r>
      <w:r>
        <w:rPr>
          <w:rFonts w:hint="eastAsia" w:ascii="宋体" w:hAnsi="宋体" w:eastAsia="宋体" w:cs="宋体"/>
          <w:color w:val="auto"/>
          <w:kern w:val="0"/>
          <w:sz w:val="21"/>
          <w:szCs w:val="20"/>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22" w:firstLineChars="200"/>
        <w:rPr>
          <w:rFonts w:hint="eastAsia" w:ascii="宋体" w:hAnsi="宋体" w:eastAsia="宋体" w:cs="宋体"/>
          <w:b/>
          <w:bCs/>
          <w:color w:val="auto"/>
          <w:kern w:val="0"/>
          <w:sz w:val="21"/>
          <w:szCs w:val="20"/>
          <w:highlight w:val="none"/>
        </w:rPr>
      </w:pPr>
      <w:r>
        <w:rPr>
          <w:rFonts w:hint="eastAsia" w:ascii="宋体" w:hAnsi="宋体" w:eastAsia="宋体" w:cs="宋体"/>
          <w:b/>
          <w:bCs/>
          <w:color w:val="auto"/>
          <w:kern w:val="0"/>
          <w:sz w:val="21"/>
          <w:szCs w:val="20"/>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13" w:firstLineChars="196"/>
        <w:rPr>
          <w:rFonts w:hint="eastAsia" w:ascii="宋体" w:hAnsi="宋体" w:eastAsia="宋体" w:cs="宋体"/>
          <w:color w:val="auto"/>
          <w:kern w:val="0"/>
          <w:sz w:val="28"/>
          <w:szCs w:val="28"/>
          <w:highlight w:val="none"/>
        </w:rPr>
      </w:pPr>
      <w:r>
        <w:rPr>
          <w:rFonts w:hint="eastAsia" w:ascii="宋体" w:hAnsi="宋体" w:eastAsia="宋体" w:cs="宋体"/>
          <w:b/>
          <w:color w:val="auto"/>
          <w:kern w:val="0"/>
          <w:sz w:val="21"/>
          <w:szCs w:val="20"/>
          <w:highlight w:val="none"/>
        </w:rPr>
        <w:t>6</w:t>
      </w:r>
      <w:r>
        <w:rPr>
          <w:rFonts w:hint="eastAsia" w:ascii="宋体" w:hAnsi="宋体" w:eastAsia="宋体" w:cs="宋体"/>
          <w:b/>
          <w:color w:val="auto"/>
          <w:kern w:val="0"/>
          <w:sz w:val="21"/>
          <w:szCs w:val="20"/>
          <w:highlight w:val="none"/>
          <w:lang w:val="en-US" w:eastAsia="zh-CN"/>
        </w:rPr>
        <w:t>.</w:t>
      </w:r>
      <w:r>
        <w:rPr>
          <w:rFonts w:hint="eastAsia" w:ascii="宋体" w:hAnsi="宋体" w:eastAsia="宋体" w:cs="宋体"/>
          <w:b/>
          <w:color w:val="auto"/>
          <w:kern w:val="0"/>
          <w:sz w:val="21"/>
          <w:szCs w:val="20"/>
          <w:highlight w:val="none"/>
        </w:rPr>
        <w:t>编写评标报告。</w:t>
      </w:r>
      <w:r>
        <w:rPr>
          <w:rFonts w:hint="eastAsia" w:ascii="宋体" w:hAnsi="宋体" w:eastAsia="宋体" w:cs="宋体"/>
          <w:color w:val="auto"/>
          <w:kern w:val="0"/>
          <w:sz w:val="21"/>
          <w:szCs w:val="20"/>
          <w:highlight w:val="none"/>
        </w:rPr>
        <w:t>评标委员会根据全体评标成员签字的原始评标记录和评标结果</w:t>
      </w:r>
      <w:r>
        <w:rPr>
          <w:rFonts w:hint="eastAsia" w:ascii="宋体" w:hAnsi="宋体" w:eastAsia="宋体" w:cs="宋体"/>
          <w:color w:val="auto"/>
          <w:kern w:val="0"/>
          <w:sz w:val="21"/>
          <w:szCs w:val="20"/>
          <w:highlight w:val="none"/>
          <w:lang w:eastAsia="zh-CN"/>
        </w:rPr>
        <w:t>，</w:t>
      </w:r>
      <w:r>
        <w:rPr>
          <w:rFonts w:hint="eastAsia" w:ascii="宋体" w:hAnsi="宋体" w:eastAsia="宋体" w:cs="宋体"/>
          <w:b/>
          <w:bCs/>
          <w:color w:val="auto"/>
          <w:kern w:val="0"/>
          <w:sz w:val="21"/>
          <w:szCs w:val="20"/>
          <w:highlight w:val="none"/>
          <w:lang w:val="en-US" w:eastAsia="zh-CN"/>
        </w:rPr>
        <w:t>按照评审得分由高到低推荐中标候选供应商（中标候选供应商应包括所有合格供应商），</w:t>
      </w:r>
      <w:r>
        <w:rPr>
          <w:rFonts w:hint="eastAsia" w:ascii="宋体" w:hAnsi="宋体" w:eastAsia="宋体" w:cs="宋体"/>
          <w:color w:val="auto"/>
          <w:kern w:val="0"/>
          <w:sz w:val="21"/>
          <w:szCs w:val="20"/>
          <w:highlight w:val="none"/>
          <w:lang w:val="en-US" w:eastAsia="zh-CN"/>
        </w:rPr>
        <w:t>并</w:t>
      </w:r>
      <w:r>
        <w:rPr>
          <w:rFonts w:hint="eastAsia" w:ascii="宋体" w:hAnsi="宋体" w:eastAsia="宋体" w:cs="宋体"/>
          <w:color w:val="auto"/>
          <w:kern w:val="0"/>
          <w:sz w:val="21"/>
          <w:szCs w:val="20"/>
          <w:highlight w:val="none"/>
        </w:rPr>
        <w:t>编写评标报告。</w:t>
      </w:r>
      <w:r>
        <w:rPr>
          <w:rFonts w:hint="eastAsia" w:ascii="宋体" w:hAnsi="宋体" w:eastAsia="宋体" w:cs="宋体"/>
          <w:color w:val="auto"/>
          <w:kern w:val="0"/>
          <w:sz w:val="21"/>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0"/>
        <w:rPr>
          <w:rFonts w:hint="eastAsia" w:ascii="宋体" w:hAnsi="宋体" w:eastAsia="宋体" w:cs="宋体"/>
          <w:b/>
          <w:color w:val="auto"/>
          <w:sz w:val="28"/>
          <w:szCs w:val="28"/>
          <w:highlight w:val="none"/>
        </w:rPr>
      </w:pPr>
      <w:bookmarkStart w:id="541" w:name="_Toc4234"/>
      <w:bookmarkStart w:id="542" w:name="_Toc5999"/>
      <w:bookmarkStart w:id="543" w:name="_Toc11310"/>
      <w:r>
        <w:rPr>
          <w:rFonts w:hint="eastAsia" w:ascii="宋体" w:hAnsi="宋体" w:eastAsia="宋体" w:cs="宋体"/>
          <w:b/>
          <w:color w:val="auto"/>
          <w:sz w:val="28"/>
          <w:szCs w:val="28"/>
          <w:highlight w:val="none"/>
        </w:rPr>
        <w:t>四、评标中的其他事项</w:t>
      </w:r>
      <w:bookmarkEnd w:id="541"/>
      <w:bookmarkEnd w:id="542"/>
      <w:bookmarkEnd w:id="543"/>
    </w:p>
    <w:p>
      <w:pPr>
        <w:pStyle w:val="106"/>
        <w:spacing w:before="0"/>
        <w:ind w:firstLine="413" w:firstLineChars="196"/>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1</w:t>
      </w:r>
      <w:r>
        <w:rPr>
          <w:rFonts w:hint="eastAsia" w:ascii="宋体" w:hAnsi="宋体" w:cs="宋体"/>
          <w:b/>
          <w:color w:val="auto"/>
          <w:kern w:val="0"/>
          <w:sz w:val="21"/>
          <w:szCs w:val="21"/>
          <w:highlight w:val="none"/>
          <w:lang w:val="en-US" w:eastAsia="zh-CN"/>
        </w:rPr>
        <w:t>.</w:t>
      </w:r>
      <w:r>
        <w:rPr>
          <w:rFonts w:hint="eastAsia" w:ascii="宋体" w:hAnsi="宋体" w:eastAsia="宋体" w:cs="宋体"/>
          <w:b/>
          <w:color w:val="auto"/>
          <w:kern w:val="0"/>
          <w:sz w:val="21"/>
          <w:szCs w:val="21"/>
          <w:highlight w:val="none"/>
        </w:rPr>
        <w:t>投标人澄清、说明或者补正。</w:t>
      </w:r>
      <w:r>
        <w:rPr>
          <w:rFonts w:hint="eastAsia" w:ascii="宋体" w:hAnsi="宋体" w:eastAsia="宋体" w:cs="宋体"/>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2</w:t>
      </w:r>
      <w:r>
        <w:rPr>
          <w:rFonts w:hint="eastAsia" w:ascii="宋体" w:hAnsi="宋体" w:eastAsia="宋体" w:cs="宋体"/>
          <w:b/>
          <w:color w:val="auto"/>
          <w:kern w:val="0"/>
          <w:highlight w:val="none"/>
          <w:lang w:val="en-US" w:eastAsia="zh-CN"/>
        </w:rPr>
        <w:t>.</w:t>
      </w:r>
      <w:r>
        <w:rPr>
          <w:rFonts w:hint="eastAsia" w:ascii="宋体" w:hAnsi="宋体" w:eastAsia="宋体" w:cs="宋体"/>
          <w:b/>
          <w:color w:val="auto"/>
          <w:kern w:val="0"/>
          <w:highlight w:val="none"/>
        </w:rPr>
        <w:t>投标无效。</w:t>
      </w:r>
      <w:r>
        <w:rPr>
          <w:rFonts w:hint="eastAsia" w:ascii="宋体" w:hAnsi="宋体" w:eastAsia="宋体" w:cs="宋体"/>
          <w:b/>
          <w:bCs/>
          <w:color w:val="auto"/>
          <w:kern w:val="0"/>
          <w:sz w:val="24"/>
          <w:highlight w:val="none"/>
        </w:rPr>
        <w:t>▲</w:t>
      </w:r>
      <w:r>
        <w:rPr>
          <w:rFonts w:hint="eastAsia" w:ascii="宋体" w:hAnsi="宋体" w:eastAsia="宋体" w:cs="宋体"/>
          <w:b/>
          <w:bCs/>
          <w:color w:val="auto"/>
          <w:szCs w:val="21"/>
          <w:highlight w:val="none"/>
        </w:rPr>
        <w:t>有下列情况之一的，投标无效：</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投标人不具备招标文件中规定的资格要求的（投标人未提供有效的资格文件的，视为投标人不具备招标文件中规定的资格要求）；</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投标文件未按照招标文件要求签署、盖章的；</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招标</w:t>
      </w:r>
      <w:r>
        <w:rPr>
          <w:rFonts w:hint="eastAsia" w:ascii="宋体" w:hAnsi="宋体" w:eastAsia="宋体" w:cs="宋体"/>
          <w:color w:val="auto"/>
          <w:kern w:val="0"/>
          <w:sz w:val="21"/>
          <w:szCs w:val="21"/>
          <w:highlight w:val="none"/>
          <w:lang w:eastAsia="zh-CN"/>
        </w:rPr>
        <w:t>人拟采购的产品属于政府强制采购的节能产品品目清单范围的，投标人未按招标文件要求提供国家确定的认证机构出具的、处于有效期之内的节能产品认证证书的；</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lang w:eastAsia="zh-CN"/>
        </w:rPr>
      </w:pPr>
      <w:r>
        <w:rPr>
          <w:rFonts w:hint="eastAsia" w:ascii="宋体" w:hAnsi="宋体" w:cs="宋体"/>
          <w:color w:val="auto"/>
          <w:szCs w:val="22"/>
          <w:highlight w:val="none"/>
        </w:rPr>
        <w:t>若</w:t>
      </w:r>
      <w:r>
        <w:rPr>
          <w:rFonts w:hint="eastAsia" w:ascii="宋体" w:hAnsi="宋体" w:cs="宋体"/>
          <w:color w:val="auto"/>
          <w:szCs w:val="22"/>
          <w:highlight w:val="none"/>
          <w:lang w:val="en-US" w:eastAsia="zh-CN"/>
        </w:rPr>
        <w:t>投标</w:t>
      </w:r>
      <w:r>
        <w:rPr>
          <w:rFonts w:hint="eastAsia" w:ascii="宋体" w:hAnsi="宋体" w:cs="宋体"/>
          <w:color w:val="auto"/>
          <w:szCs w:val="21"/>
          <w:highlight w:val="none"/>
        </w:rPr>
        <w:t>文件为授权代表签署的而未提供有效的法定代表人授权书的；</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投标文件含有采购人不能接受的附加条件的；</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投标文件中承诺的投标有效期少于招标文件中载明的投标有效期的；</w:t>
      </w:r>
    </w:p>
    <w:p>
      <w:pPr>
        <w:numPr>
          <w:ilvl w:val="0"/>
          <w:numId w:val="12"/>
        </w:numPr>
        <w:snapToGrid w:val="0"/>
        <w:spacing w:line="360" w:lineRule="auto"/>
        <w:ind w:left="5" w:leftChars="0" w:firstLine="41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投标文件出现不是唯一的、有选择性投标报价的</w:t>
      </w:r>
      <w:r>
        <w:rPr>
          <w:rFonts w:hint="eastAsia" w:ascii="宋体" w:hAnsi="宋体" w:eastAsia="宋体" w:cs="宋体"/>
          <w:color w:val="auto"/>
          <w:kern w:val="0"/>
          <w:sz w:val="21"/>
          <w:szCs w:val="21"/>
          <w:highlight w:val="none"/>
          <w:lang w:eastAsia="zh-CN"/>
        </w:rPr>
        <w:t>；</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投标报价超过招标文件中规定的预算金额或者最高限价的</w:t>
      </w:r>
      <w:r>
        <w:rPr>
          <w:rFonts w:hint="eastAsia" w:ascii="宋体" w:hAnsi="宋体" w:eastAsia="宋体" w:cs="宋体"/>
          <w:color w:val="auto"/>
          <w:kern w:val="0"/>
          <w:sz w:val="21"/>
          <w:szCs w:val="21"/>
          <w:highlight w:val="none"/>
          <w:lang w:eastAsia="zh-CN"/>
        </w:rPr>
        <w:t>；</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eastAsia="宋体" w:cs="宋体"/>
          <w:color w:val="auto"/>
          <w:kern w:val="0"/>
          <w:sz w:val="21"/>
          <w:szCs w:val="21"/>
          <w:highlight w:val="none"/>
          <w:lang w:eastAsia="zh-CN"/>
        </w:rPr>
        <w:t>；</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投标人对根据修正原则修正后的报价不确认的；</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投标人提供虚假材料投标的；</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投标人有恶意串通、妨碍其他投标人的竞争行为、损害采购人或者其他投标人的合法权益情形的；</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投标人仅提交备份投标文件，没有在电子交易平台传输递交投标文件的，投标无效；</w:t>
      </w:r>
    </w:p>
    <w:p>
      <w:pPr>
        <w:numPr>
          <w:ilvl w:val="0"/>
          <w:numId w:val="12"/>
        </w:numPr>
        <w:spacing w:line="360" w:lineRule="auto"/>
        <w:ind w:left="5" w:leftChars="0" w:firstLine="415" w:firstLineChars="0"/>
        <w:rPr>
          <w:rFonts w:hint="eastAsia" w:ascii="宋体" w:hAnsi="宋体" w:eastAsia="宋体" w:cs="宋体"/>
          <w:b w:val="0"/>
          <w:bCs w:val="0"/>
          <w:color w:val="auto"/>
          <w:kern w:val="0"/>
          <w:sz w:val="21"/>
          <w:szCs w:val="21"/>
          <w:highlight w:val="none"/>
          <w:lang w:val="en-US"/>
        </w:rPr>
      </w:pPr>
      <w:r>
        <w:rPr>
          <w:rFonts w:hint="eastAsia" w:ascii="宋体" w:hAnsi="宋体" w:eastAsia="宋体" w:cs="宋体"/>
          <w:b w:val="0"/>
          <w:bCs w:val="0"/>
          <w:color w:val="auto"/>
          <w:kern w:val="0"/>
          <w:sz w:val="21"/>
          <w:szCs w:val="21"/>
          <w:highlight w:val="none"/>
          <w:lang w:val="en-US"/>
        </w:rPr>
        <w:t>投标文件不满足招标文件的其它实质性要求的；</w:t>
      </w:r>
    </w:p>
    <w:p>
      <w:pPr>
        <w:numPr>
          <w:ilvl w:val="0"/>
          <w:numId w:val="12"/>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法律、法规、规章（适用本市的）及省级以上规范性文件（适用本市的）规定的其他无效情形。</w:t>
      </w:r>
    </w:p>
    <w:p>
      <w:pPr>
        <w:spacing w:line="360" w:lineRule="auto"/>
        <w:ind w:firstLine="482" w:firstLineChars="200"/>
        <w:rPr>
          <w:rFonts w:hint="eastAsia" w:ascii="宋体" w:hAnsi="宋体" w:eastAsia="宋体" w:cs="宋体"/>
          <w:b/>
          <w:bCs/>
          <w:color w:val="auto"/>
          <w:kern w:val="0"/>
          <w:sz w:val="24"/>
          <w:highlight w:val="none"/>
          <w:lang w:val="en-US"/>
        </w:rPr>
      </w:pPr>
      <w:r>
        <w:rPr>
          <w:rFonts w:hint="eastAsia" w:ascii="宋体" w:hAnsi="宋体" w:eastAsia="宋体" w:cs="宋体"/>
          <w:b/>
          <w:bCs/>
          <w:color w:val="auto"/>
          <w:kern w:val="0"/>
          <w:sz w:val="24"/>
          <w:highlight w:val="none"/>
          <w:lang w:val="en-US" w:eastAsia="zh-CN"/>
        </w:rPr>
        <w:t>3.</w:t>
      </w:r>
      <w:r>
        <w:rPr>
          <w:rFonts w:hint="eastAsia" w:ascii="宋体" w:hAnsi="宋体" w:eastAsia="宋体" w:cs="宋体"/>
          <w:b/>
          <w:color w:val="auto"/>
          <w:kern w:val="0"/>
          <w:sz w:val="21"/>
          <w:szCs w:val="22"/>
          <w:highlight w:val="none"/>
          <w:lang w:val="en-US" w:eastAsia="zh-CN" w:bidi="ar-SA"/>
        </w:rPr>
        <w:t>▲有下列情形之一的，视为投标人串通投标，其投标无效：</w:t>
      </w:r>
    </w:p>
    <w:p>
      <w:pPr>
        <w:spacing w:line="360" w:lineRule="auto"/>
        <w:ind w:firstLine="420" w:firstLineChars="20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en-US"/>
        </w:rPr>
        <w:t>不同投标人的投标文件由同一单位或者个人编制；</w:t>
      </w:r>
    </w:p>
    <w:p>
      <w:pPr>
        <w:spacing w:line="360" w:lineRule="auto"/>
        <w:ind w:firstLine="420" w:firstLineChars="20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rPr>
        <w:t>不同投标人委托同一单位或者个人办理投标事宜；</w:t>
      </w:r>
    </w:p>
    <w:p>
      <w:pPr>
        <w:spacing w:line="360" w:lineRule="auto"/>
        <w:ind w:firstLine="420" w:firstLineChars="20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rPr>
        <w:t>不同投标人的投标文件载明的项目管理成员或者联系人员为同一人；</w:t>
      </w:r>
    </w:p>
    <w:p>
      <w:pPr>
        <w:spacing w:line="360" w:lineRule="auto"/>
        <w:ind w:firstLine="420" w:firstLineChars="20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rPr>
        <w:t>不同投标人的投标文件异常一致或者投标报价呈规律性差异；</w:t>
      </w:r>
    </w:p>
    <w:p>
      <w:pPr>
        <w:spacing w:line="360" w:lineRule="auto"/>
        <w:ind w:firstLine="420" w:firstLineChars="20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en-US"/>
        </w:rPr>
        <w:t>不同投标人的投标文件相互混装；</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（6）法律、法规或规章规定的其他串通行为</w:t>
      </w:r>
      <w:r>
        <w:rPr>
          <w:rFonts w:hint="eastAsia" w:ascii="宋体" w:hAnsi="宋体" w:eastAsia="宋体" w:cs="宋体"/>
          <w:color w:val="auto"/>
          <w:kern w:val="0"/>
          <w:sz w:val="21"/>
          <w:szCs w:val="21"/>
          <w:highlight w:val="none"/>
          <w:lang w:val="en-US"/>
        </w:rPr>
        <w:t>。</w:t>
      </w:r>
    </w:p>
    <w:p>
      <w:pPr>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lang w:val="en-US" w:eastAsia="zh-CN"/>
        </w:rPr>
        <w:t>4</w:t>
      </w:r>
      <w:r>
        <w:rPr>
          <w:rFonts w:hint="eastAsia" w:ascii="宋体" w:hAnsi="宋体" w:eastAsia="宋体" w:cs="宋体"/>
          <w:b/>
          <w:color w:val="auto"/>
          <w:highlight w:val="none"/>
        </w:rPr>
        <w:t>.废标。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1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符合专业条件的供应商或者对招标文件作实质响应的供应商不足3家的；</w:t>
      </w:r>
    </w:p>
    <w:p>
      <w:pPr>
        <w:pStyle w:val="1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出现影响采购公正的违法、违规行为的；</w:t>
      </w:r>
    </w:p>
    <w:p>
      <w:pPr>
        <w:pStyle w:val="1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投标人的报价均超过了采购预算，采购人不能支付的；</w:t>
      </w:r>
    </w:p>
    <w:p>
      <w:pPr>
        <w:pStyle w:val="1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因重大变故，采购任务取消的。</w:t>
      </w:r>
    </w:p>
    <w:p>
      <w:pPr>
        <w:pStyle w:val="16"/>
        <w:snapToGrid w:val="0"/>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color w:val="auto"/>
          <w:highlight w:val="none"/>
          <w:lang w:val="en-US" w:eastAsia="zh-CN"/>
        </w:rPr>
        <w:t>5</w:t>
      </w:r>
      <w:r>
        <w:rPr>
          <w:rFonts w:hint="eastAsia" w:ascii="宋体" w:hAnsi="宋体" w:eastAsia="宋体" w:cs="宋体"/>
          <w:b/>
          <w:color w:val="auto"/>
          <w:highlight w:val="none"/>
        </w:rPr>
        <w:t>.修改招标文件，重新组织采购活动。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spacing w:line="360" w:lineRule="auto"/>
        <w:ind w:firstLine="422" w:firstLineChars="200"/>
        <w:rPr>
          <w:rFonts w:hint="eastAsia" w:ascii="宋体" w:hAnsi="宋体" w:eastAsia="宋体" w:cs="宋体"/>
          <w:color w:val="auto"/>
          <w:highlight w:val="none"/>
        </w:rPr>
      </w:pPr>
      <w:r>
        <w:rPr>
          <w:rFonts w:hint="eastAsia" w:ascii="宋体" w:hAnsi="宋体" w:eastAsia="宋体" w:cs="宋体"/>
          <w:b/>
          <w:color w:val="auto"/>
          <w:kern w:val="0"/>
          <w:highlight w:val="none"/>
          <w:lang w:val="en-US" w:eastAsia="zh-CN"/>
        </w:rPr>
        <w:t>6</w:t>
      </w:r>
      <w:r>
        <w:rPr>
          <w:rFonts w:hint="eastAsia" w:ascii="宋体" w:hAnsi="宋体" w:eastAsia="宋体" w:cs="宋体"/>
          <w:b/>
          <w:color w:val="auto"/>
          <w:kern w:val="0"/>
          <w:highlight w:val="none"/>
        </w:rPr>
        <w:t>.重新开展采购。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未确定中标或者中标人的，终止本次政府采购活动，重新开展政府采购活动。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已确定中标或者中标人但尚未签订政府采购合同的，中标或者成交结果无效，从合格的中标或者成交候选人中另行确定中标或者中标人；没有合格的中标或者成交候选人的，重新开展政府采购活动。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政府采购合同已签订但尚未履行的，撤销合同，从合格的中标或者成交候选人中另行确定中标或者中标人；没有合格的中标或者成交候选人的，重新开展政府采购活动。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政府采购合同已经履行，给采购人、供应商造成损失的，由责任人承担赔偿责任。</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规定处理。</w:t>
      </w:r>
    </w:p>
    <w:p>
      <w:pPr>
        <w:pStyle w:val="2"/>
        <w:keepNext w:val="0"/>
        <w:keepLines w:val="0"/>
        <w:pageBreakBefore/>
        <w:tabs>
          <w:tab w:val="left" w:pos="840"/>
        </w:tabs>
        <w:spacing w:before="156" w:beforeLines="50" w:after="156" w:afterLines="50" w:line="400" w:lineRule="exact"/>
        <w:jc w:val="center"/>
        <w:rPr>
          <w:rFonts w:hint="eastAsia" w:ascii="宋体" w:hAnsi="宋体" w:eastAsia="宋体" w:cs="宋体"/>
          <w:b/>
          <w:color w:val="auto"/>
          <w:kern w:val="44"/>
          <w:sz w:val="32"/>
          <w:szCs w:val="32"/>
          <w:highlight w:val="none"/>
          <w:lang w:val="en-US" w:eastAsia="zh-CN" w:bidi="ar-SA"/>
        </w:rPr>
      </w:pPr>
      <w:bookmarkStart w:id="544" w:name="_Toc21591"/>
      <w:bookmarkStart w:id="545" w:name="_Toc27385"/>
      <w:bookmarkStart w:id="546" w:name="_Toc5696"/>
      <w:r>
        <w:rPr>
          <w:rFonts w:hint="eastAsia" w:ascii="宋体" w:hAnsi="宋体" w:eastAsia="宋体" w:cs="宋体"/>
          <w:b/>
          <w:color w:val="auto"/>
          <w:kern w:val="44"/>
          <w:sz w:val="32"/>
          <w:szCs w:val="32"/>
          <w:highlight w:val="none"/>
          <w:lang w:val="en-US" w:eastAsia="zh-CN" w:bidi="ar-SA"/>
        </w:rPr>
        <w:t xml:space="preserve">第五部分  </w:t>
      </w:r>
      <w:bookmarkEnd w:id="128"/>
      <w:bookmarkEnd w:id="129"/>
      <w:r>
        <w:rPr>
          <w:rFonts w:hint="eastAsia" w:ascii="宋体" w:hAnsi="宋体" w:eastAsia="宋体" w:cs="宋体"/>
          <w:b/>
          <w:color w:val="auto"/>
          <w:kern w:val="44"/>
          <w:sz w:val="32"/>
          <w:szCs w:val="32"/>
          <w:highlight w:val="none"/>
          <w:lang w:val="en-US" w:eastAsia="zh-CN" w:bidi="ar-SA"/>
        </w:rPr>
        <w:t>拟签订的合同文本</w:t>
      </w:r>
      <w:bookmarkEnd w:id="544"/>
      <w:bookmarkEnd w:id="545"/>
      <w:bookmarkEnd w:id="546"/>
    </w:p>
    <w:p>
      <w:pPr>
        <w:rPr>
          <w:rFonts w:hint="eastAsia"/>
          <w:color w:val="auto"/>
          <w:highlight w:val="none"/>
          <w:lang w:val="en-US" w:eastAsia="zh-CN"/>
        </w:rPr>
      </w:pPr>
    </w:p>
    <w:p>
      <w:pPr>
        <w:pStyle w:val="152"/>
        <w:spacing w:line="560" w:lineRule="exact"/>
        <w:ind w:left="0" w:leftChars="0" w:firstLine="0" w:firstLineChars="0"/>
        <w:jc w:val="center"/>
        <w:rPr>
          <w:rFonts w:hint="eastAsia" w:ascii="仿宋" w:hAnsi="仿宋" w:eastAsia="仿宋" w:cs="Times New Roman"/>
          <w:b/>
          <w:color w:val="auto"/>
          <w:sz w:val="28"/>
          <w:szCs w:val="28"/>
          <w:highlight w:val="none"/>
        </w:rPr>
      </w:pPr>
      <w:r>
        <w:rPr>
          <w:rFonts w:hint="eastAsia" w:ascii="仿宋" w:hAnsi="仿宋" w:eastAsia="仿宋" w:cs="Times New Roman"/>
          <w:b/>
          <w:color w:val="auto"/>
          <w:sz w:val="28"/>
          <w:szCs w:val="28"/>
          <w:highlight w:val="none"/>
        </w:rPr>
        <w:t>第一部分 合同书</w:t>
      </w:r>
    </w:p>
    <w:p>
      <w:pPr>
        <w:pStyle w:val="152"/>
        <w:rPr>
          <w:rFonts w:ascii="仿宋" w:hAnsi="仿宋" w:eastAsia="仿宋"/>
          <w:color w:val="auto"/>
          <w:szCs w:val="24"/>
          <w:highlight w:val="none"/>
        </w:rPr>
      </w:pPr>
    </w:p>
    <w:p>
      <w:pPr>
        <w:pStyle w:val="152"/>
        <w:rPr>
          <w:rFonts w:ascii="仿宋" w:hAnsi="仿宋" w:eastAsia="仿宋"/>
          <w:color w:val="auto"/>
          <w:szCs w:val="24"/>
          <w:highlight w:val="none"/>
        </w:rPr>
      </w:pP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rPr>
      </w:pPr>
      <w:r>
        <w:rPr>
          <w:rFonts w:hint="eastAsia" w:ascii="仿宋" w:hAnsi="仿宋" w:eastAsia="仿宋"/>
          <w:color w:val="auto"/>
          <w:sz w:val="24"/>
          <w:highlight w:val="none"/>
        </w:rPr>
        <w:t>项目名称：</w:t>
      </w:r>
      <w:r>
        <w:rPr>
          <w:rFonts w:hint="eastAsia" w:ascii="仿宋" w:hAnsi="仿宋" w:eastAsia="仿宋" w:cs="Times New Roman"/>
          <w:color w:val="auto"/>
          <w:sz w:val="24"/>
          <w:highlight w:val="none"/>
          <w:lang w:eastAsia="zh-CN"/>
        </w:rPr>
        <w:t>瑞安市第五人民医院双拍成对经颅磁项目采购</w:t>
      </w:r>
      <w:r>
        <w:rPr>
          <w:rFonts w:hint="eastAsia" w:ascii="仿宋" w:hAnsi="仿宋" w:eastAsia="仿宋" w:cs="Times New Roman"/>
          <w:color w:val="auto"/>
          <w:sz w:val="24"/>
          <w:highlight w:val="none"/>
        </w:rPr>
        <w:t xml:space="preserve">     </w:t>
      </w:r>
      <w:r>
        <w:rPr>
          <w:rFonts w:ascii="仿宋" w:hAnsi="仿宋" w:eastAsia="仿宋"/>
          <w:color w:val="auto"/>
          <w:sz w:val="24"/>
          <w:highlight w:val="none"/>
          <w:u w:val="single"/>
        </w:rPr>
        <w:t xml:space="preserve">                              </w:t>
      </w:r>
    </w:p>
    <w:p>
      <w:pPr>
        <w:pStyle w:val="153"/>
        <w:spacing w:before="120" w:line="22" w:lineRule="atLeast"/>
        <w:rPr>
          <w:rFonts w:ascii="仿宋" w:hAnsi="仿宋" w:eastAsia="仿宋"/>
          <w:color w:val="auto"/>
          <w:szCs w:val="24"/>
          <w:highlight w:val="none"/>
        </w:rPr>
      </w:pPr>
    </w:p>
    <w:p>
      <w:pPr>
        <w:pStyle w:val="153"/>
        <w:spacing w:before="120" w:line="22" w:lineRule="atLeast"/>
        <w:rPr>
          <w:rFonts w:ascii="仿宋" w:hAnsi="仿宋" w:eastAsia="仿宋"/>
          <w:color w:val="auto"/>
          <w:szCs w:val="24"/>
          <w:highlight w:val="none"/>
        </w:rPr>
      </w:pPr>
    </w:p>
    <w:p>
      <w:pPr>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甲方：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left="960"/>
        <w:rPr>
          <w:rFonts w:ascii="仿宋" w:hAnsi="仿宋" w:eastAsia="仿宋"/>
          <w:color w:val="auto"/>
          <w:sz w:val="24"/>
          <w:highlight w:val="none"/>
          <w:u w:val="single"/>
        </w:rPr>
      </w:pPr>
      <w:r>
        <w:rPr>
          <w:rFonts w:hint="eastAsia" w:ascii="仿宋" w:hAnsi="仿宋" w:eastAsia="仿宋"/>
          <w:color w:val="auto"/>
          <w:sz w:val="24"/>
          <w:highlight w:val="none"/>
        </w:rPr>
        <w:t>乙方：</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签订地：</w:t>
      </w:r>
      <w:r>
        <w:rPr>
          <w:rFonts w:ascii="仿宋" w:hAnsi="仿宋" w:eastAsia="仿宋"/>
          <w:color w:val="auto"/>
          <w:sz w:val="24"/>
          <w:highlight w:val="none"/>
          <w:u w:val="single"/>
        </w:rPr>
        <w:t xml:space="preserve">                                     </w:t>
      </w:r>
    </w:p>
    <w:p>
      <w:pPr>
        <w:spacing w:before="120" w:line="22" w:lineRule="atLeast"/>
        <w:rPr>
          <w:rFonts w:ascii="仿宋" w:hAnsi="仿宋" w:eastAsia="仿宋"/>
          <w:color w:val="auto"/>
          <w:sz w:val="24"/>
          <w:highlight w:val="none"/>
        </w:rPr>
      </w:pPr>
    </w:p>
    <w:p>
      <w:pPr>
        <w:spacing w:before="120" w:line="22" w:lineRule="atLeast"/>
        <w:ind w:firstLine="960" w:firstLineChars="400"/>
        <w:rPr>
          <w:rFonts w:ascii="仿宋" w:hAnsi="仿宋" w:eastAsia="仿宋"/>
          <w:color w:val="auto"/>
          <w:sz w:val="24"/>
          <w:highlight w:val="none"/>
          <w:u w:val="single"/>
        </w:rPr>
      </w:pPr>
      <w:r>
        <w:rPr>
          <w:rFonts w:hint="eastAsia" w:ascii="仿宋" w:hAnsi="仿宋" w:eastAsia="仿宋"/>
          <w:color w:val="auto"/>
          <w:sz w:val="24"/>
          <w:highlight w:val="none"/>
        </w:rPr>
        <w:t>签订日期：</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日</w:t>
      </w:r>
    </w:p>
    <w:p>
      <w:pPr>
        <w:widowControl/>
        <w:jc w:val="left"/>
        <w:rPr>
          <w:rFonts w:ascii="仿宋" w:hAnsi="仿宋" w:eastAsia="仿宋"/>
          <w:color w:val="auto"/>
          <w:kern w:val="0"/>
          <w:sz w:val="24"/>
          <w:highlight w:val="none"/>
        </w:rPr>
        <w:sectPr>
          <w:headerReference r:id="rId10" w:type="default"/>
          <w:footerReference r:id="rId11" w:type="default"/>
          <w:pgSz w:w="11907" w:h="16840"/>
          <w:pgMar w:top="1474" w:right="1814" w:bottom="1474" w:left="1814" w:header="851" w:footer="851" w:gutter="0"/>
          <w:cols w:space="720" w:num="1"/>
        </w:sectPr>
      </w:pP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年</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月</w:t>
      </w:r>
      <w:r>
        <w:rPr>
          <w:rFonts w:ascii="仿宋" w:hAnsi="仿宋" w:eastAsia="仿宋"/>
          <w:color w:val="auto"/>
          <w:sz w:val="24"/>
          <w:highlight w:val="none"/>
          <w:u w:val="single"/>
          <w:lang w:val="zh-CN"/>
        </w:rPr>
        <w:t xml:space="preserve">    </w:t>
      </w:r>
      <w:r>
        <w:rPr>
          <w:rFonts w:hint="eastAsia" w:ascii="仿宋" w:hAnsi="仿宋" w:eastAsia="仿宋"/>
          <w:color w:val="auto"/>
          <w:sz w:val="24"/>
          <w:highlight w:val="none"/>
          <w:lang w:val="zh-CN"/>
        </w:rPr>
        <w:t>日</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（采购人）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以</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公开招标</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对</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eastAsia="zh-CN"/>
        </w:rPr>
        <w:t>瑞安市第五人民医院双拍成对经颅磁项目采购，编号：ZJKB2024020-01</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项目进行了采购。经</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评标委员会</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评定，</w:t>
      </w:r>
      <w:r>
        <w:rPr>
          <w:rFonts w:ascii="仿宋" w:hAnsi="仿宋" w:eastAsia="仿宋"/>
          <w:color w:val="auto"/>
          <w:sz w:val="24"/>
          <w:highlight w:val="none"/>
          <w:u w:val="single"/>
        </w:rPr>
        <w:t xml:space="preserve">   （中标供应商名称）</w:t>
      </w:r>
      <w:r>
        <w:rPr>
          <w:rFonts w:hint="eastAsia" w:ascii="仿宋" w:hAnsi="仿宋" w:eastAsia="仿宋"/>
          <w:color w:val="auto"/>
          <w:sz w:val="24"/>
          <w:highlight w:val="none"/>
        </w:rPr>
        <w:t>为该项目中标供应商。现于中标通知书发出之日起三十日内，按照采购文件</w:t>
      </w:r>
      <w:r>
        <w:rPr>
          <w:rFonts w:hint="eastAsia" w:ascii="仿宋" w:hAnsi="仿宋" w:eastAsia="仿宋"/>
          <w:color w:val="auto"/>
          <w:sz w:val="24"/>
          <w:highlight w:val="none"/>
          <w:lang w:eastAsia="zh-CN"/>
        </w:rPr>
        <w:t>等</w:t>
      </w:r>
      <w:r>
        <w:rPr>
          <w:rFonts w:hint="eastAsia" w:ascii="仿宋" w:hAnsi="仿宋" w:eastAsia="仿宋"/>
          <w:color w:val="auto"/>
          <w:sz w:val="24"/>
          <w:highlight w:val="none"/>
        </w:rPr>
        <w:t>确定的事项签订本合同。</w:t>
      </w:r>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lang w:val="zh-CN"/>
        </w:rPr>
        <w:t>根据《中华人民共和国民法典》、《中华人民共和国政府采购法》等相关法律法规之规定，按照平等、自愿、公平、诚实信用和绿色的原则，经</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lang w:eastAsia="zh-CN"/>
        </w:rPr>
        <w:t>瑞安市第五人民医院</w:t>
      </w:r>
      <w:r>
        <w:rPr>
          <w:rFonts w:ascii="仿宋" w:hAnsi="仿宋" w:eastAsia="仿宋"/>
          <w:color w:val="auto"/>
          <w:sz w:val="24"/>
          <w:highlight w:val="none"/>
          <w:u w:val="single"/>
        </w:rPr>
        <w:t xml:space="preserve"> </w:t>
      </w:r>
      <w:r>
        <w:rPr>
          <w:rFonts w:ascii="仿宋" w:hAnsi="仿宋" w:eastAsia="仿宋"/>
          <w:color w:val="auto"/>
          <w:sz w:val="24"/>
          <w:highlight w:val="none"/>
          <w:lang w:val="zh-CN"/>
        </w:rPr>
        <w:t>(以下简称：甲方)和</w:t>
      </w:r>
      <w:r>
        <w:rPr>
          <w:rFonts w:ascii="仿宋" w:hAnsi="仿宋" w:eastAsia="仿宋"/>
          <w:color w:val="auto"/>
          <w:sz w:val="24"/>
          <w:highlight w:val="none"/>
          <w:u w:val="single"/>
        </w:rPr>
        <w:t xml:space="preserve">   （中标供应商名称）   </w:t>
      </w:r>
      <w:r>
        <w:rPr>
          <w:rFonts w:ascii="仿宋" w:hAnsi="仿宋" w:eastAsia="仿宋"/>
          <w:color w:val="auto"/>
          <w:sz w:val="24"/>
          <w:highlight w:val="none"/>
          <w:lang w:val="zh-CN"/>
        </w:rPr>
        <w:t>(以下简称：乙方)协商一致，约定以下合同</w:t>
      </w:r>
      <w:r>
        <w:rPr>
          <w:rFonts w:hint="eastAsia" w:ascii="仿宋" w:hAnsi="仿宋" w:eastAsia="仿宋"/>
          <w:color w:val="auto"/>
          <w:sz w:val="24"/>
          <w:highlight w:val="none"/>
        </w:rPr>
        <w:t>条款，以兹共同遵守、全面履行。</w:t>
      </w:r>
    </w:p>
    <w:p>
      <w:pPr>
        <w:spacing w:line="560" w:lineRule="exact"/>
        <w:ind w:firstLine="482" w:firstLineChars="200"/>
        <w:outlineLvl w:val="0"/>
        <w:rPr>
          <w:rFonts w:ascii="仿宋" w:hAnsi="仿宋" w:eastAsia="仿宋"/>
          <w:b/>
          <w:color w:val="auto"/>
          <w:sz w:val="24"/>
          <w:highlight w:val="none"/>
        </w:rPr>
      </w:pPr>
      <w:bookmarkStart w:id="547" w:name="_Toc3029"/>
      <w:bookmarkStart w:id="548" w:name="_Toc24059"/>
      <w:bookmarkStart w:id="549" w:name="_Toc16014"/>
      <w:bookmarkStart w:id="550" w:name="_Toc2232"/>
      <w:r>
        <w:rPr>
          <w:rFonts w:ascii="仿宋" w:hAnsi="仿宋" w:eastAsia="仿宋"/>
          <w:b/>
          <w:color w:val="auto"/>
          <w:sz w:val="24"/>
          <w:highlight w:val="none"/>
        </w:rPr>
        <w:t xml:space="preserve">1.1 </w:t>
      </w:r>
      <w:r>
        <w:rPr>
          <w:rFonts w:hint="eastAsia" w:ascii="仿宋" w:hAnsi="仿宋" w:eastAsia="仿宋"/>
          <w:b/>
          <w:color w:val="auto"/>
          <w:sz w:val="24"/>
          <w:highlight w:val="none"/>
        </w:rPr>
        <w:t>合同组成部分</w:t>
      </w:r>
      <w:bookmarkEnd w:id="547"/>
      <w:bookmarkEnd w:id="548"/>
      <w:bookmarkEnd w:id="549"/>
      <w:bookmarkEnd w:id="550"/>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1.1.1 </w:t>
      </w:r>
      <w:r>
        <w:rPr>
          <w:rFonts w:hint="eastAsia" w:ascii="仿宋" w:hAnsi="仿宋" w:eastAsia="仿宋"/>
          <w:color w:val="auto"/>
          <w:sz w:val="24"/>
          <w:highlight w:val="none"/>
        </w:rPr>
        <w:t>本合同及其补充合同、变更协议；</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1.1.2 </w:t>
      </w:r>
      <w:r>
        <w:rPr>
          <w:rFonts w:hint="eastAsia" w:ascii="仿宋" w:hAnsi="仿宋" w:eastAsia="仿宋"/>
          <w:color w:val="auto"/>
          <w:sz w:val="24"/>
          <w:highlight w:val="none"/>
        </w:rPr>
        <w:t>中标通知书；</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1.1.3 </w:t>
      </w:r>
      <w:r>
        <w:rPr>
          <w:rFonts w:hint="eastAsia" w:ascii="仿宋" w:hAnsi="仿宋" w:eastAsia="仿宋"/>
          <w:color w:val="auto"/>
          <w:sz w:val="24"/>
          <w:highlight w:val="none"/>
        </w:rPr>
        <w:t>投标文件（含澄清或者说明文件）；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1.1.4 </w:t>
      </w:r>
      <w:r>
        <w:rPr>
          <w:rFonts w:hint="eastAsia" w:ascii="仿宋" w:hAnsi="仿宋" w:eastAsia="仿宋"/>
          <w:color w:val="auto"/>
          <w:sz w:val="24"/>
          <w:highlight w:val="none"/>
        </w:rPr>
        <w:t>招标文件（含澄清或者修改文件）；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1.1.5 </w:t>
      </w:r>
      <w:r>
        <w:rPr>
          <w:rFonts w:hint="eastAsia" w:ascii="仿宋" w:hAnsi="仿宋" w:eastAsia="仿宋"/>
          <w:color w:val="auto"/>
          <w:sz w:val="24"/>
          <w:highlight w:val="none"/>
        </w:rPr>
        <w:t>其他相关采购文件。</w:t>
      </w:r>
    </w:p>
    <w:p>
      <w:pPr>
        <w:spacing w:line="560" w:lineRule="exact"/>
        <w:ind w:firstLine="482" w:firstLineChars="200"/>
        <w:outlineLvl w:val="0"/>
        <w:rPr>
          <w:rFonts w:ascii="仿宋" w:hAnsi="仿宋" w:eastAsia="仿宋"/>
          <w:b/>
          <w:color w:val="auto"/>
          <w:sz w:val="24"/>
          <w:highlight w:val="none"/>
        </w:rPr>
      </w:pPr>
      <w:bookmarkStart w:id="551" w:name="_Toc27126"/>
      <w:bookmarkStart w:id="552" w:name="_Toc16927"/>
      <w:bookmarkStart w:id="553" w:name="_Toc24300"/>
      <w:bookmarkStart w:id="554" w:name="_Toc21295"/>
      <w:r>
        <w:rPr>
          <w:rFonts w:ascii="仿宋" w:hAnsi="仿宋" w:eastAsia="仿宋"/>
          <w:b/>
          <w:color w:val="auto"/>
          <w:sz w:val="24"/>
          <w:highlight w:val="none"/>
        </w:rPr>
        <w:t xml:space="preserve">1.2 </w:t>
      </w:r>
      <w:r>
        <w:rPr>
          <w:rFonts w:hint="eastAsia" w:ascii="仿宋" w:hAnsi="仿宋" w:eastAsia="仿宋"/>
          <w:b/>
          <w:color w:val="auto"/>
          <w:sz w:val="24"/>
          <w:highlight w:val="none"/>
        </w:rPr>
        <w:t>货物</w:t>
      </w:r>
      <w:bookmarkEnd w:id="551"/>
      <w:bookmarkEnd w:id="552"/>
      <w:bookmarkEnd w:id="553"/>
      <w:bookmarkEnd w:id="554"/>
    </w:p>
    <w:p>
      <w:pPr>
        <w:spacing w:line="560" w:lineRule="exact"/>
        <w:ind w:firstLine="480" w:firstLineChars="200"/>
        <w:jc w:val="left"/>
        <w:rPr>
          <w:rFonts w:ascii="仿宋" w:hAnsi="仿宋" w:eastAsia="仿宋"/>
          <w:color w:val="auto"/>
          <w:sz w:val="24"/>
          <w:highlight w:val="none"/>
          <w:u w:val="single"/>
        </w:rPr>
      </w:pPr>
      <w:r>
        <w:rPr>
          <w:rFonts w:ascii="仿宋" w:hAnsi="仿宋" w:eastAsia="仿宋"/>
          <w:color w:val="auto"/>
          <w:sz w:val="24"/>
          <w:highlight w:val="none"/>
        </w:rPr>
        <w:t xml:space="preserve">1.2.1 </w:t>
      </w:r>
      <w:r>
        <w:rPr>
          <w:rFonts w:hint="eastAsia" w:ascii="仿宋" w:hAnsi="仿宋" w:eastAsia="仿宋"/>
          <w:color w:val="auto"/>
          <w:sz w:val="24"/>
          <w:highlight w:val="none"/>
        </w:rPr>
        <w:t>货物名称</w:t>
      </w:r>
      <w:r>
        <w:rPr>
          <w:rFonts w:hint="eastAsia" w:ascii="仿宋" w:hAnsi="仿宋" w:eastAsia="仿宋"/>
          <w:color w:val="auto"/>
          <w:sz w:val="24"/>
          <w:highlight w:val="none"/>
          <w:lang w:eastAsia="zh-CN"/>
        </w:rPr>
        <w:t>、品牌、规格型号</w:t>
      </w:r>
      <w:r>
        <w:rPr>
          <w:rFonts w:hint="eastAsia" w:ascii="仿宋" w:hAnsi="仿宋" w:eastAsia="仿宋"/>
          <w:color w:val="auto"/>
          <w:sz w:val="24"/>
          <w:highlight w:val="none"/>
        </w:rPr>
        <w:t>：</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u w:val="single"/>
        </w:rPr>
      </w:pPr>
      <w:r>
        <w:rPr>
          <w:rFonts w:ascii="仿宋" w:hAnsi="仿宋" w:eastAsia="仿宋"/>
          <w:color w:val="auto"/>
          <w:sz w:val="24"/>
          <w:highlight w:val="none"/>
        </w:rPr>
        <w:t xml:space="preserve">1.2.2 </w:t>
      </w:r>
      <w:r>
        <w:rPr>
          <w:rFonts w:hint="eastAsia" w:ascii="仿宋" w:hAnsi="仿宋" w:eastAsia="仿宋"/>
          <w:color w:val="auto"/>
          <w:sz w:val="24"/>
          <w:highlight w:val="none"/>
        </w:rPr>
        <w:t>货物数量：</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1.2.3 </w:t>
      </w:r>
      <w:r>
        <w:rPr>
          <w:rFonts w:hint="eastAsia" w:ascii="仿宋" w:hAnsi="仿宋" w:eastAsia="仿宋"/>
          <w:color w:val="auto"/>
          <w:sz w:val="24"/>
          <w:highlight w:val="none"/>
        </w:rPr>
        <w:t>货物质量：</w:t>
      </w:r>
      <w:r>
        <w:rPr>
          <w:rFonts w:hint="eastAsia" w:ascii="仿宋" w:hAnsi="仿宋" w:eastAsia="仿宋"/>
          <w:color w:val="auto"/>
          <w:sz w:val="24"/>
          <w:highlight w:val="none"/>
          <w:u w:val="single"/>
        </w:rPr>
        <w:t>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555" w:name="_Toc21631"/>
      <w:bookmarkStart w:id="556" w:name="_Toc21551"/>
      <w:bookmarkStart w:id="557" w:name="_Toc23292"/>
      <w:bookmarkStart w:id="558" w:name="_Toc29169"/>
      <w:r>
        <w:rPr>
          <w:rFonts w:ascii="仿宋" w:hAnsi="仿宋" w:eastAsia="仿宋"/>
          <w:b/>
          <w:color w:val="auto"/>
          <w:sz w:val="24"/>
          <w:highlight w:val="none"/>
        </w:rPr>
        <w:t xml:space="preserve">1.3 </w:t>
      </w:r>
      <w:r>
        <w:rPr>
          <w:rFonts w:hint="eastAsia" w:ascii="仿宋" w:hAnsi="仿宋" w:eastAsia="仿宋"/>
          <w:b/>
          <w:color w:val="auto"/>
          <w:sz w:val="24"/>
          <w:highlight w:val="none"/>
        </w:rPr>
        <w:t>价款</w:t>
      </w:r>
      <w:bookmarkEnd w:id="555"/>
      <w:bookmarkEnd w:id="556"/>
      <w:bookmarkEnd w:id="557"/>
      <w:bookmarkEnd w:id="558"/>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本合同总价</w:t>
      </w:r>
      <w:r>
        <w:rPr>
          <w:rFonts w:hint="eastAsia" w:ascii="仿宋" w:hAnsi="仿宋" w:eastAsia="仿宋"/>
          <w:color w:val="auto"/>
          <w:sz w:val="24"/>
          <w:highlight w:val="none"/>
          <w:lang w:eastAsia="zh-CN"/>
        </w:rPr>
        <w:t>（含税）</w:t>
      </w:r>
      <w:r>
        <w:rPr>
          <w:rFonts w:hint="eastAsia" w:ascii="仿宋" w:hAnsi="仿宋" w:eastAsia="仿宋"/>
          <w:color w:val="auto"/>
          <w:sz w:val="24"/>
          <w:highlight w:val="none"/>
        </w:rPr>
        <w:t>为：￥</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元（大写：</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元人民币）。</w:t>
      </w:r>
    </w:p>
    <w:p>
      <w:pPr>
        <w:spacing w:line="560" w:lineRule="exact"/>
        <w:ind w:firstLine="480" w:firstLineChars="200"/>
        <w:rPr>
          <w:rFonts w:ascii="仿宋" w:hAnsi="仿宋" w:eastAsia="仿宋"/>
          <w:color w:val="auto"/>
          <w:sz w:val="24"/>
          <w:highlight w:val="none"/>
          <w:u w:val="single"/>
        </w:rPr>
      </w:pPr>
      <w:r>
        <w:rPr>
          <w:rFonts w:hint="eastAsia" w:ascii="仿宋" w:hAnsi="仿宋" w:eastAsia="仿宋"/>
          <w:color w:val="auto"/>
          <w:sz w:val="24"/>
          <w:highlight w:val="none"/>
        </w:rPr>
        <w:t>分项价格：</w:t>
      </w:r>
    </w:p>
    <w:tbl>
      <w:tblPr>
        <w:tblStyle w:val="37"/>
        <w:tblW w:w="7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84"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886" w:type="dxa"/>
            <w:gridSpan w:val="2"/>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154"/>
              <w:spacing w:line="560" w:lineRule="exact"/>
              <w:ind w:firstLine="200"/>
              <w:jc w:val="center"/>
              <w:rPr>
                <w:rFonts w:ascii="仿宋" w:hAnsi="仿宋" w:eastAsia="仿宋" w:cs="Times New Roman"/>
                <w:color w:val="auto"/>
                <w:sz w:val="24"/>
                <w:szCs w:val="24"/>
                <w:highlight w:val="none"/>
              </w:rPr>
            </w:pPr>
          </w:p>
        </w:tc>
      </w:tr>
    </w:tbl>
    <w:p>
      <w:pPr>
        <w:spacing w:line="560" w:lineRule="exact"/>
        <w:ind w:firstLine="482" w:firstLineChars="200"/>
        <w:outlineLvl w:val="0"/>
        <w:rPr>
          <w:rFonts w:hint="eastAsia" w:ascii="仿宋" w:hAnsi="仿宋" w:eastAsia="仿宋"/>
          <w:b/>
          <w:bCs w:val="0"/>
          <w:color w:val="auto"/>
          <w:sz w:val="24"/>
          <w:highlight w:val="none"/>
        </w:rPr>
      </w:pPr>
      <w:bookmarkStart w:id="559" w:name="_Toc21149"/>
      <w:bookmarkStart w:id="560" w:name="_Toc1814"/>
      <w:bookmarkStart w:id="561" w:name="_Toc22618"/>
      <w:bookmarkStart w:id="562" w:name="_Toc10340"/>
      <w:r>
        <w:rPr>
          <w:rFonts w:hint="eastAsia" w:ascii="仿宋" w:hAnsi="仿宋" w:eastAsia="仿宋"/>
          <w:b/>
          <w:bCs w:val="0"/>
          <w:color w:val="auto"/>
          <w:sz w:val="24"/>
          <w:highlight w:val="none"/>
        </w:rPr>
        <w:t>1.4履约保证金</w:t>
      </w:r>
      <w:bookmarkEnd w:id="559"/>
    </w:p>
    <w:p>
      <w:pPr>
        <w:spacing w:line="560" w:lineRule="exact"/>
        <w:ind w:firstLine="480" w:firstLineChars="200"/>
        <w:outlineLvl w:val="0"/>
        <w:rPr>
          <w:rFonts w:hint="eastAsia" w:ascii="仿宋" w:hAnsi="仿宋" w:eastAsia="仿宋"/>
          <w:b w:val="0"/>
          <w:bCs/>
          <w:color w:val="auto"/>
          <w:sz w:val="24"/>
          <w:highlight w:val="none"/>
        </w:rPr>
      </w:pPr>
      <w:bookmarkStart w:id="563" w:name="_Toc16670"/>
      <w:r>
        <w:rPr>
          <w:rFonts w:hint="eastAsia" w:ascii="仿宋" w:hAnsi="仿宋" w:eastAsia="仿宋"/>
          <w:b w:val="0"/>
          <w:bCs/>
          <w:color w:val="auto"/>
          <w:sz w:val="24"/>
          <w:highlight w:val="none"/>
        </w:rPr>
        <w:t>乙方</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u w:val="single"/>
          <w:lang w:val="en-US" w:eastAsia="zh-CN"/>
        </w:rPr>
        <w:t>否</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（是/否）需要支付履约保证金。若需要支付履约保证金的，则：</w:t>
      </w:r>
      <w:bookmarkEnd w:id="563"/>
    </w:p>
    <w:p>
      <w:pPr>
        <w:spacing w:line="560" w:lineRule="exact"/>
        <w:ind w:firstLine="480" w:firstLineChars="200"/>
        <w:outlineLvl w:val="0"/>
        <w:rPr>
          <w:rFonts w:hint="eastAsia" w:ascii="仿宋" w:hAnsi="仿宋" w:eastAsia="仿宋"/>
          <w:b w:val="0"/>
          <w:bCs/>
          <w:color w:val="auto"/>
          <w:sz w:val="24"/>
          <w:highlight w:val="none"/>
        </w:rPr>
      </w:pPr>
      <w:bookmarkStart w:id="564" w:name="_Toc24892"/>
      <w:r>
        <w:rPr>
          <w:rFonts w:hint="eastAsia" w:ascii="仿宋" w:hAnsi="仿宋" w:eastAsia="仿宋"/>
          <w:b w:val="0"/>
          <w:bCs/>
          <w:color w:val="auto"/>
          <w:sz w:val="24"/>
          <w:highlight w:val="none"/>
        </w:rPr>
        <w:t>1.4.1履约保证金的比例为合同金额的</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u w:val="single"/>
          <w:lang w:val="en-US" w:eastAsia="zh-CN"/>
        </w:rPr>
        <w:t>/</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w:t>
      </w:r>
      <w:bookmarkEnd w:id="564"/>
    </w:p>
    <w:p>
      <w:pPr>
        <w:spacing w:line="560" w:lineRule="exact"/>
        <w:ind w:firstLine="480" w:firstLineChars="200"/>
        <w:outlineLvl w:val="0"/>
        <w:rPr>
          <w:rFonts w:hint="eastAsia" w:ascii="仿宋" w:hAnsi="仿宋" w:eastAsia="仿宋"/>
          <w:b w:val="0"/>
          <w:bCs/>
          <w:color w:val="auto"/>
          <w:sz w:val="24"/>
          <w:highlight w:val="none"/>
        </w:rPr>
      </w:pPr>
      <w:bookmarkStart w:id="565" w:name="_Toc9843"/>
      <w:r>
        <w:rPr>
          <w:rFonts w:hint="eastAsia" w:ascii="仿宋" w:hAnsi="仿宋" w:eastAsia="仿宋"/>
          <w:b w:val="0"/>
          <w:bCs/>
          <w:color w:val="auto"/>
          <w:sz w:val="24"/>
          <w:highlight w:val="none"/>
        </w:rPr>
        <w:t>1.4.2履约保证金支付方式详见</w:t>
      </w:r>
      <w:r>
        <w:rPr>
          <w:rFonts w:hint="eastAsia" w:ascii="仿宋" w:hAnsi="仿宋" w:eastAsia="仿宋"/>
          <w:b w:val="0"/>
          <w:bCs/>
          <w:color w:val="auto"/>
          <w:sz w:val="24"/>
          <w:highlight w:val="none"/>
          <w:u w:val="single"/>
        </w:rPr>
        <w:t xml:space="preserve">    </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w:t>
      </w:r>
      <w:bookmarkEnd w:id="565"/>
    </w:p>
    <w:p>
      <w:pPr>
        <w:spacing w:line="560" w:lineRule="exact"/>
        <w:ind w:firstLine="480" w:firstLineChars="200"/>
        <w:outlineLvl w:val="0"/>
        <w:rPr>
          <w:rFonts w:hint="eastAsia" w:ascii="仿宋" w:hAnsi="仿宋" w:eastAsia="仿宋"/>
          <w:b w:val="0"/>
          <w:bCs/>
          <w:color w:val="auto"/>
          <w:sz w:val="24"/>
          <w:highlight w:val="none"/>
        </w:rPr>
      </w:pPr>
      <w:bookmarkStart w:id="566" w:name="_Toc27850"/>
      <w:r>
        <w:rPr>
          <w:rFonts w:hint="eastAsia" w:ascii="仿宋" w:hAnsi="仿宋" w:eastAsia="仿宋"/>
          <w:b w:val="0"/>
          <w:bCs/>
          <w:color w:val="auto"/>
          <w:sz w:val="24"/>
          <w:highlight w:val="none"/>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bookmarkEnd w:id="566"/>
    </w:p>
    <w:p>
      <w:pPr>
        <w:spacing w:line="560" w:lineRule="exact"/>
        <w:ind w:firstLine="480" w:firstLineChars="200"/>
        <w:outlineLvl w:val="0"/>
        <w:rPr>
          <w:rFonts w:hint="eastAsia" w:ascii="仿宋" w:hAnsi="仿宋" w:eastAsia="仿宋"/>
          <w:b w:val="0"/>
          <w:bCs/>
          <w:color w:val="auto"/>
          <w:sz w:val="24"/>
          <w:highlight w:val="none"/>
        </w:rPr>
      </w:pPr>
      <w:bookmarkStart w:id="567" w:name="_Toc966"/>
      <w:r>
        <w:rPr>
          <w:rFonts w:hint="eastAsia" w:ascii="仿宋" w:hAnsi="仿宋" w:eastAsia="仿宋"/>
          <w:b w:val="0"/>
          <w:bCs/>
          <w:color w:val="auto"/>
          <w:sz w:val="24"/>
          <w:highlight w:val="none"/>
        </w:rPr>
        <w:t>1.4.4 甲方在项目验收结束后及时退还履约保证金。甲方在项目通过验收之日起</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u w:val="single"/>
          <w:lang w:val="en-US" w:eastAsia="zh-CN"/>
        </w:rPr>
        <w:t xml:space="preserve"> </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b w:val="0"/>
          <w:bCs/>
          <w:color w:val="auto"/>
          <w:sz w:val="24"/>
          <w:highlight w:val="none"/>
          <w:u w:val="single"/>
        </w:rPr>
        <w:t xml:space="preserve">  0.05   </w:t>
      </w:r>
      <w:r>
        <w:rPr>
          <w:rFonts w:hint="eastAsia" w:ascii="仿宋" w:hAnsi="仿宋" w:eastAsia="仿宋"/>
          <w:b w:val="0"/>
          <w:bCs/>
          <w:color w:val="auto"/>
          <w:sz w:val="24"/>
          <w:highlight w:val="none"/>
        </w:rPr>
        <w:t>%计算，最高限额为本合同履约保证金的</w:t>
      </w:r>
      <w:r>
        <w:rPr>
          <w:rFonts w:hint="eastAsia" w:ascii="仿宋" w:hAnsi="仿宋" w:eastAsia="仿宋"/>
          <w:b w:val="0"/>
          <w:bCs/>
          <w:color w:val="auto"/>
          <w:sz w:val="24"/>
          <w:highlight w:val="none"/>
          <w:u w:val="single"/>
        </w:rPr>
        <w:t xml:space="preserve">  20   </w:t>
      </w:r>
      <w:r>
        <w:rPr>
          <w:rFonts w:hint="eastAsia" w:ascii="仿宋" w:hAnsi="仿宋" w:eastAsia="仿宋"/>
          <w:b w:val="0"/>
          <w:bCs/>
          <w:color w:val="auto"/>
          <w:sz w:val="24"/>
          <w:highlight w:val="none"/>
        </w:rPr>
        <w:t>%。</w:t>
      </w:r>
      <w:bookmarkEnd w:id="567"/>
    </w:p>
    <w:p>
      <w:pPr>
        <w:spacing w:line="560" w:lineRule="exact"/>
        <w:ind w:firstLine="482" w:firstLineChars="200"/>
        <w:outlineLvl w:val="0"/>
        <w:rPr>
          <w:rFonts w:hint="eastAsia" w:ascii="仿宋" w:hAnsi="仿宋" w:eastAsia="仿宋"/>
          <w:b w:val="0"/>
          <w:bCs/>
          <w:color w:val="auto"/>
          <w:sz w:val="24"/>
          <w:highlight w:val="none"/>
        </w:rPr>
      </w:pPr>
      <w:bookmarkStart w:id="568" w:name="_Toc15614"/>
      <w:r>
        <w:rPr>
          <w:rFonts w:hint="eastAsia" w:ascii="仿宋" w:hAnsi="仿宋" w:eastAsia="仿宋"/>
          <w:b/>
          <w:bCs w:val="0"/>
          <w:color w:val="auto"/>
          <w:sz w:val="24"/>
          <w:highlight w:val="none"/>
        </w:rPr>
        <w:t>1.5预付款</w:t>
      </w:r>
      <w:bookmarkEnd w:id="568"/>
    </w:p>
    <w:p>
      <w:pPr>
        <w:spacing w:line="560" w:lineRule="exact"/>
        <w:ind w:firstLine="480" w:firstLineChars="200"/>
        <w:outlineLvl w:val="0"/>
        <w:rPr>
          <w:rFonts w:hint="eastAsia" w:ascii="仿宋" w:hAnsi="仿宋" w:eastAsia="仿宋"/>
          <w:b w:val="0"/>
          <w:bCs/>
          <w:color w:val="auto"/>
          <w:sz w:val="24"/>
          <w:highlight w:val="none"/>
        </w:rPr>
      </w:pPr>
      <w:bookmarkStart w:id="569" w:name="_Toc8769"/>
      <w:r>
        <w:rPr>
          <w:rFonts w:hint="eastAsia" w:ascii="仿宋" w:hAnsi="仿宋" w:eastAsia="仿宋"/>
          <w:b w:val="0"/>
          <w:bCs/>
          <w:color w:val="auto"/>
          <w:sz w:val="24"/>
          <w:highlight w:val="none"/>
        </w:rPr>
        <w:t>甲方</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（是/否）需要支付预付款。若需要支付预付款的，则：</w:t>
      </w:r>
      <w:bookmarkEnd w:id="569"/>
    </w:p>
    <w:p>
      <w:pPr>
        <w:spacing w:line="560" w:lineRule="exact"/>
        <w:ind w:firstLine="480" w:firstLineChars="200"/>
        <w:outlineLvl w:val="0"/>
        <w:rPr>
          <w:rFonts w:hint="eastAsia" w:ascii="仿宋" w:hAnsi="仿宋" w:eastAsia="仿宋"/>
          <w:b w:val="0"/>
          <w:bCs/>
          <w:color w:val="auto"/>
          <w:sz w:val="24"/>
          <w:highlight w:val="none"/>
        </w:rPr>
      </w:pPr>
      <w:bookmarkStart w:id="570" w:name="_Toc23908"/>
      <w:r>
        <w:rPr>
          <w:rFonts w:hint="eastAsia" w:ascii="仿宋" w:hAnsi="仿宋" w:eastAsia="仿宋"/>
          <w:b w:val="0"/>
          <w:bCs/>
          <w:color w:val="auto"/>
          <w:sz w:val="24"/>
          <w:highlight w:val="none"/>
        </w:rPr>
        <w:t>1.5.1预付款比例、支付方式、时间详见</w:t>
      </w:r>
      <w:r>
        <w:rPr>
          <w:rFonts w:hint="eastAsia" w:ascii="仿宋" w:hAnsi="仿宋" w:eastAsia="仿宋"/>
          <w:b w:val="0"/>
          <w:bCs/>
          <w:color w:val="auto"/>
          <w:sz w:val="24"/>
          <w:highlight w:val="none"/>
          <w:u w:val="single"/>
        </w:rPr>
        <w:t xml:space="preserve">    </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 xml:space="preserve"> ；</w:t>
      </w:r>
      <w:bookmarkEnd w:id="570"/>
    </w:p>
    <w:p>
      <w:pPr>
        <w:spacing w:line="560" w:lineRule="exact"/>
        <w:ind w:firstLine="480" w:firstLineChars="200"/>
        <w:outlineLvl w:val="0"/>
        <w:rPr>
          <w:rFonts w:hint="eastAsia" w:ascii="仿宋" w:hAnsi="仿宋" w:eastAsia="仿宋"/>
          <w:b w:val="0"/>
          <w:bCs/>
          <w:color w:val="auto"/>
          <w:sz w:val="24"/>
          <w:highlight w:val="none"/>
        </w:rPr>
      </w:pPr>
      <w:bookmarkStart w:id="571" w:name="_Toc21029"/>
      <w:r>
        <w:rPr>
          <w:rFonts w:hint="eastAsia" w:ascii="仿宋" w:hAnsi="仿宋" w:eastAsia="仿宋"/>
          <w:b w:val="0"/>
          <w:bCs/>
          <w:color w:val="auto"/>
          <w:sz w:val="24"/>
          <w:highlight w:val="none"/>
        </w:rPr>
        <w:t>1.5.2预付款的扣回方式详见</w:t>
      </w:r>
      <w:r>
        <w:rPr>
          <w:rFonts w:hint="eastAsia" w:ascii="仿宋" w:hAnsi="仿宋" w:eastAsia="仿宋"/>
          <w:b w:val="0"/>
          <w:bCs/>
          <w:color w:val="auto"/>
          <w:sz w:val="24"/>
          <w:highlight w:val="none"/>
          <w:u w:val="single"/>
        </w:rPr>
        <w:t xml:space="preserve">    </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 xml:space="preserve"> ；</w:t>
      </w:r>
      <w:bookmarkEnd w:id="571"/>
    </w:p>
    <w:p>
      <w:pPr>
        <w:spacing w:line="560" w:lineRule="exact"/>
        <w:ind w:firstLine="480" w:firstLineChars="200"/>
        <w:outlineLvl w:val="0"/>
        <w:rPr>
          <w:rFonts w:hint="eastAsia" w:ascii="仿宋" w:hAnsi="仿宋" w:eastAsia="仿宋"/>
          <w:b w:val="0"/>
          <w:bCs/>
          <w:color w:val="auto"/>
          <w:sz w:val="24"/>
          <w:highlight w:val="none"/>
        </w:rPr>
      </w:pPr>
      <w:bookmarkStart w:id="572" w:name="_Toc3221"/>
      <w:r>
        <w:rPr>
          <w:rFonts w:hint="eastAsia" w:ascii="仿宋" w:hAnsi="仿宋" w:eastAsia="仿宋"/>
          <w:b w:val="0"/>
          <w:bCs/>
          <w:color w:val="auto"/>
          <w:sz w:val="24"/>
          <w:highlight w:val="none"/>
        </w:rPr>
        <w:t>1.5.3预付款的担保措施详见</w:t>
      </w:r>
      <w:r>
        <w:rPr>
          <w:rFonts w:hint="eastAsia" w:ascii="仿宋" w:hAnsi="仿宋" w:eastAsia="仿宋"/>
          <w:b w:val="0"/>
          <w:bCs/>
          <w:color w:val="auto"/>
          <w:sz w:val="24"/>
          <w:highlight w:val="none"/>
          <w:u w:val="single"/>
        </w:rPr>
        <w:t xml:space="preserve">    </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 xml:space="preserve"> 。</w:t>
      </w:r>
      <w:bookmarkEnd w:id="572"/>
    </w:p>
    <w:p>
      <w:pPr>
        <w:spacing w:line="560" w:lineRule="exact"/>
        <w:ind w:firstLine="482" w:firstLineChars="200"/>
        <w:outlineLvl w:val="0"/>
        <w:rPr>
          <w:rFonts w:hint="eastAsia" w:ascii="仿宋" w:hAnsi="仿宋" w:eastAsia="仿宋"/>
          <w:b/>
          <w:bCs w:val="0"/>
          <w:color w:val="auto"/>
          <w:sz w:val="24"/>
          <w:highlight w:val="none"/>
        </w:rPr>
      </w:pPr>
      <w:bookmarkStart w:id="573" w:name="_Toc12694"/>
      <w:r>
        <w:rPr>
          <w:rFonts w:hint="eastAsia" w:ascii="仿宋" w:hAnsi="仿宋" w:eastAsia="仿宋"/>
          <w:b/>
          <w:bCs w:val="0"/>
          <w:color w:val="auto"/>
          <w:sz w:val="24"/>
          <w:highlight w:val="none"/>
        </w:rPr>
        <w:t>1.6资金支付</w:t>
      </w:r>
      <w:bookmarkEnd w:id="573"/>
    </w:p>
    <w:p>
      <w:pPr>
        <w:spacing w:line="560" w:lineRule="exact"/>
        <w:ind w:firstLine="480" w:firstLineChars="200"/>
        <w:outlineLvl w:val="0"/>
        <w:rPr>
          <w:rFonts w:hint="eastAsia" w:ascii="仿宋" w:hAnsi="仿宋" w:eastAsia="仿宋"/>
          <w:b w:val="0"/>
          <w:bCs/>
          <w:color w:val="auto"/>
          <w:sz w:val="24"/>
          <w:highlight w:val="none"/>
        </w:rPr>
      </w:pPr>
      <w:bookmarkStart w:id="574" w:name="_Toc10831"/>
      <w:r>
        <w:rPr>
          <w:rFonts w:hint="eastAsia" w:ascii="仿宋" w:hAnsi="仿宋" w:eastAsia="仿宋"/>
          <w:b w:val="0"/>
          <w:bCs/>
          <w:color w:val="auto"/>
          <w:sz w:val="24"/>
          <w:highlight w:val="none"/>
        </w:rPr>
        <w:t>1.6.1甲方应严格履行合同，及时组织验收，验收合格后及时将合同款支付完毕。对于满足合同约定支付条件的，甲方自收到发票后</w:t>
      </w:r>
      <w:r>
        <w:rPr>
          <w:rFonts w:hint="eastAsia" w:ascii="仿宋" w:hAnsi="仿宋" w:eastAsia="仿宋"/>
          <w:b w:val="0"/>
          <w:bCs/>
          <w:color w:val="auto"/>
          <w:sz w:val="24"/>
          <w:highlight w:val="none"/>
          <w:lang w:eastAsia="zh-CN"/>
        </w:rPr>
        <w:t>7</w:t>
      </w:r>
      <w:r>
        <w:rPr>
          <w:rFonts w:hint="eastAsia" w:ascii="仿宋" w:hAnsi="仿宋" w:eastAsia="仿宋"/>
          <w:b w:val="0"/>
          <w:bCs/>
          <w:color w:val="auto"/>
          <w:sz w:val="24"/>
          <w:highlight w:val="none"/>
        </w:rPr>
        <w:t>个工作日内将资金支付到合同约定的乙方账户，有条件的甲方可以即时支付。甲方不得以机构变动、人员更替、政策调整、单位放假等为由延迟付款。</w:t>
      </w:r>
      <w:bookmarkEnd w:id="574"/>
    </w:p>
    <w:p>
      <w:pPr>
        <w:spacing w:line="560" w:lineRule="exact"/>
        <w:ind w:firstLine="480" w:firstLineChars="200"/>
        <w:outlineLvl w:val="0"/>
        <w:rPr>
          <w:rFonts w:hint="eastAsia" w:ascii="仿宋" w:hAnsi="仿宋" w:eastAsia="仿宋"/>
          <w:b w:val="0"/>
          <w:bCs/>
          <w:color w:val="auto"/>
          <w:sz w:val="24"/>
          <w:highlight w:val="none"/>
        </w:rPr>
      </w:pPr>
      <w:bookmarkStart w:id="575" w:name="_Toc6881"/>
      <w:r>
        <w:rPr>
          <w:rFonts w:hint="eastAsia" w:ascii="仿宋" w:hAnsi="仿宋" w:eastAsia="仿宋"/>
          <w:b w:val="0"/>
          <w:bCs/>
          <w:color w:val="auto"/>
          <w:sz w:val="24"/>
          <w:highlight w:val="none"/>
        </w:rPr>
        <w:t>1.6.2资金支付的方式、时间和条件详见</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rPr>
        <w:t>。</w:t>
      </w:r>
      <w:bookmarkEnd w:id="575"/>
    </w:p>
    <w:p>
      <w:pPr>
        <w:spacing w:line="560" w:lineRule="exact"/>
        <w:ind w:firstLine="482" w:firstLineChars="200"/>
        <w:outlineLvl w:val="0"/>
        <w:rPr>
          <w:rFonts w:hint="eastAsia" w:ascii="仿宋" w:hAnsi="仿宋" w:eastAsia="仿宋"/>
          <w:b/>
          <w:bCs w:val="0"/>
          <w:color w:val="auto"/>
          <w:sz w:val="24"/>
          <w:highlight w:val="none"/>
        </w:rPr>
      </w:pPr>
      <w:bookmarkStart w:id="576" w:name="_Toc17190"/>
      <w:r>
        <w:rPr>
          <w:rFonts w:hint="eastAsia" w:ascii="仿宋" w:hAnsi="仿宋" w:eastAsia="仿宋"/>
          <w:b/>
          <w:bCs w:val="0"/>
          <w:color w:val="auto"/>
          <w:sz w:val="24"/>
          <w:highlight w:val="none"/>
        </w:rPr>
        <w:t>1.7货物交付期限、地点和方式</w:t>
      </w:r>
      <w:bookmarkEnd w:id="576"/>
    </w:p>
    <w:p>
      <w:pPr>
        <w:spacing w:line="560" w:lineRule="exact"/>
        <w:ind w:firstLine="480" w:firstLineChars="200"/>
        <w:outlineLvl w:val="0"/>
        <w:rPr>
          <w:rFonts w:hint="eastAsia" w:ascii="仿宋" w:hAnsi="仿宋" w:eastAsia="仿宋"/>
          <w:b w:val="0"/>
          <w:bCs/>
          <w:color w:val="auto"/>
          <w:sz w:val="24"/>
          <w:highlight w:val="none"/>
        </w:rPr>
      </w:pPr>
      <w:bookmarkStart w:id="577" w:name="_Toc32219"/>
      <w:r>
        <w:rPr>
          <w:rFonts w:hint="eastAsia" w:ascii="仿宋" w:hAnsi="仿宋" w:eastAsia="仿宋"/>
          <w:b w:val="0"/>
          <w:bCs/>
          <w:color w:val="auto"/>
          <w:sz w:val="24"/>
          <w:highlight w:val="none"/>
        </w:rPr>
        <w:t>1.7.1 交付期限：详见</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rPr>
        <w:t>；</w:t>
      </w:r>
      <w:bookmarkEnd w:id="577"/>
    </w:p>
    <w:p>
      <w:pPr>
        <w:spacing w:line="560" w:lineRule="exact"/>
        <w:ind w:firstLine="480" w:firstLineChars="200"/>
        <w:outlineLvl w:val="0"/>
        <w:rPr>
          <w:rFonts w:hint="eastAsia" w:ascii="仿宋" w:hAnsi="仿宋" w:eastAsia="仿宋"/>
          <w:b w:val="0"/>
          <w:bCs/>
          <w:color w:val="auto"/>
          <w:sz w:val="24"/>
          <w:highlight w:val="none"/>
        </w:rPr>
      </w:pPr>
      <w:bookmarkStart w:id="578" w:name="_Toc3811"/>
      <w:r>
        <w:rPr>
          <w:rFonts w:hint="eastAsia" w:ascii="仿宋" w:hAnsi="仿宋" w:eastAsia="仿宋"/>
          <w:b w:val="0"/>
          <w:bCs/>
          <w:color w:val="auto"/>
          <w:sz w:val="24"/>
          <w:highlight w:val="none"/>
        </w:rPr>
        <w:t>1.7.2 交付地点：</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rPr>
        <w:t>；</w:t>
      </w:r>
      <w:bookmarkEnd w:id="578"/>
    </w:p>
    <w:p>
      <w:pPr>
        <w:spacing w:line="560" w:lineRule="exact"/>
        <w:ind w:firstLine="480" w:firstLineChars="200"/>
        <w:outlineLvl w:val="0"/>
        <w:rPr>
          <w:rFonts w:hint="eastAsia" w:ascii="仿宋" w:hAnsi="仿宋" w:eastAsia="仿宋"/>
          <w:b w:val="0"/>
          <w:bCs/>
          <w:color w:val="auto"/>
          <w:sz w:val="24"/>
          <w:highlight w:val="none"/>
        </w:rPr>
      </w:pPr>
      <w:bookmarkStart w:id="579" w:name="_Toc17735"/>
      <w:r>
        <w:rPr>
          <w:rFonts w:hint="eastAsia" w:ascii="仿宋" w:hAnsi="仿宋" w:eastAsia="仿宋"/>
          <w:b w:val="0"/>
          <w:bCs/>
          <w:color w:val="auto"/>
          <w:sz w:val="24"/>
          <w:highlight w:val="none"/>
        </w:rPr>
        <w:t>1.7.3 交付方式：</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rPr>
        <w:t>。</w:t>
      </w:r>
      <w:bookmarkEnd w:id="579"/>
    </w:p>
    <w:p>
      <w:pPr>
        <w:spacing w:line="560" w:lineRule="exact"/>
        <w:ind w:firstLine="482" w:firstLineChars="200"/>
        <w:outlineLvl w:val="0"/>
        <w:rPr>
          <w:rFonts w:hint="eastAsia" w:ascii="仿宋" w:hAnsi="仿宋" w:eastAsia="仿宋"/>
          <w:b/>
          <w:bCs w:val="0"/>
          <w:color w:val="auto"/>
          <w:sz w:val="24"/>
          <w:highlight w:val="none"/>
        </w:rPr>
      </w:pPr>
      <w:bookmarkStart w:id="580" w:name="_Toc7894"/>
      <w:r>
        <w:rPr>
          <w:rFonts w:hint="eastAsia" w:ascii="仿宋" w:hAnsi="仿宋" w:eastAsia="仿宋"/>
          <w:b/>
          <w:bCs w:val="0"/>
          <w:color w:val="auto"/>
          <w:sz w:val="24"/>
          <w:highlight w:val="none"/>
        </w:rPr>
        <w:t>1.8违约责任</w:t>
      </w:r>
      <w:bookmarkEnd w:id="580"/>
    </w:p>
    <w:p>
      <w:pPr>
        <w:spacing w:line="560" w:lineRule="exact"/>
        <w:ind w:firstLine="480" w:firstLineChars="200"/>
        <w:outlineLvl w:val="0"/>
        <w:rPr>
          <w:rFonts w:hint="eastAsia" w:ascii="仿宋" w:hAnsi="仿宋" w:eastAsia="仿宋"/>
          <w:b w:val="0"/>
          <w:bCs/>
          <w:color w:val="auto"/>
          <w:sz w:val="24"/>
          <w:highlight w:val="none"/>
        </w:rPr>
      </w:pPr>
      <w:bookmarkStart w:id="581" w:name="_Toc12394"/>
      <w:r>
        <w:rPr>
          <w:rFonts w:hint="eastAsia" w:ascii="仿宋" w:hAnsi="仿宋" w:eastAsia="仿宋"/>
          <w:b w:val="0"/>
          <w:bCs/>
          <w:color w:val="auto"/>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b w:val="0"/>
          <w:bCs/>
          <w:color w:val="auto"/>
          <w:sz w:val="24"/>
          <w:highlight w:val="none"/>
          <w:u w:val="single"/>
        </w:rPr>
        <w:t xml:space="preserve">  0.05   </w:t>
      </w:r>
      <w:r>
        <w:rPr>
          <w:rFonts w:hint="eastAsia" w:ascii="仿宋" w:hAnsi="仿宋" w:eastAsia="仿宋"/>
          <w:b w:val="0"/>
          <w:bCs/>
          <w:color w:val="auto"/>
          <w:sz w:val="24"/>
          <w:highlight w:val="none"/>
        </w:rPr>
        <w:t>%计算，最高限额为本合同总价的</w:t>
      </w:r>
      <w:r>
        <w:rPr>
          <w:rFonts w:hint="eastAsia" w:ascii="仿宋" w:hAnsi="仿宋" w:eastAsia="仿宋"/>
          <w:b w:val="0"/>
          <w:bCs/>
          <w:color w:val="auto"/>
          <w:sz w:val="24"/>
          <w:highlight w:val="none"/>
          <w:u w:val="single"/>
        </w:rPr>
        <w:t xml:space="preserve"> 20   </w:t>
      </w:r>
      <w:r>
        <w:rPr>
          <w:rFonts w:hint="eastAsia" w:ascii="仿宋" w:hAnsi="仿宋" w:eastAsia="仿宋"/>
          <w:b w:val="0"/>
          <w:bCs/>
          <w:color w:val="auto"/>
          <w:sz w:val="24"/>
          <w:highlight w:val="none"/>
        </w:rPr>
        <w:t>%；迟延交付货物的违约金计算数额达到前述最高限额之日起，甲方有权在要求乙方支付违约金的同时，书面通知乙方解除本合同；</w:t>
      </w:r>
      <w:bookmarkEnd w:id="581"/>
    </w:p>
    <w:p>
      <w:pPr>
        <w:spacing w:line="560" w:lineRule="exact"/>
        <w:ind w:firstLine="480" w:firstLineChars="200"/>
        <w:outlineLvl w:val="0"/>
        <w:rPr>
          <w:rFonts w:hint="eastAsia" w:ascii="仿宋" w:hAnsi="仿宋" w:eastAsia="仿宋"/>
          <w:b w:val="0"/>
          <w:bCs/>
          <w:color w:val="auto"/>
          <w:sz w:val="24"/>
          <w:highlight w:val="none"/>
        </w:rPr>
      </w:pPr>
      <w:bookmarkStart w:id="582" w:name="_Toc9114"/>
      <w:r>
        <w:rPr>
          <w:rFonts w:hint="eastAsia" w:ascii="仿宋" w:hAnsi="仿宋" w:eastAsia="仿宋"/>
          <w:b w:val="0"/>
          <w:bCs/>
          <w:color w:val="auto"/>
          <w:sz w:val="24"/>
          <w:highlight w:val="none"/>
        </w:rPr>
        <w:t>1.8.2 除不可抗力外，如果甲方没有按照本合同约定的付款方式付款，那么乙方可要求甲方支付违约金，违约金按每迟延付款一日的应付而未付款的</w:t>
      </w:r>
      <w:r>
        <w:rPr>
          <w:rFonts w:hint="eastAsia" w:ascii="仿宋" w:hAnsi="仿宋" w:eastAsia="仿宋"/>
          <w:b w:val="0"/>
          <w:bCs/>
          <w:color w:val="auto"/>
          <w:sz w:val="24"/>
          <w:highlight w:val="none"/>
          <w:u w:val="single"/>
        </w:rPr>
        <w:t xml:space="preserve"> 0.05 %</w:t>
      </w:r>
      <w:r>
        <w:rPr>
          <w:rFonts w:hint="eastAsia" w:ascii="仿宋" w:hAnsi="仿宋" w:eastAsia="仿宋"/>
          <w:b w:val="0"/>
          <w:bCs/>
          <w:color w:val="auto"/>
          <w:sz w:val="24"/>
          <w:highlight w:val="none"/>
        </w:rPr>
        <w:t>计算，最高限额为本合同总价的</w:t>
      </w:r>
      <w:r>
        <w:rPr>
          <w:rFonts w:hint="eastAsia" w:ascii="仿宋" w:hAnsi="仿宋" w:eastAsia="仿宋"/>
          <w:b w:val="0"/>
          <w:bCs/>
          <w:color w:val="auto"/>
          <w:sz w:val="24"/>
          <w:highlight w:val="none"/>
          <w:u w:val="single"/>
        </w:rPr>
        <w:t xml:space="preserve">   20   </w:t>
      </w:r>
      <w:r>
        <w:rPr>
          <w:rFonts w:hint="eastAsia" w:ascii="仿宋" w:hAnsi="仿宋" w:eastAsia="仿宋"/>
          <w:b w:val="0"/>
          <w:bCs/>
          <w:color w:val="auto"/>
          <w:sz w:val="24"/>
          <w:highlight w:val="none"/>
        </w:rPr>
        <w:t>%；迟延付款的违约金计算数额达到前述最高限额之日起，乙方有权在要求甲方支付违约金的同时，书面通知甲方解除本合同；</w:t>
      </w:r>
      <w:bookmarkEnd w:id="582"/>
    </w:p>
    <w:p>
      <w:pPr>
        <w:spacing w:line="560" w:lineRule="exact"/>
        <w:ind w:firstLine="480" w:firstLineChars="200"/>
        <w:outlineLvl w:val="0"/>
        <w:rPr>
          <w:rFonts w:hint="eastAsia" w:ascii="仿宋" w:hAnsi="仿宋" w:eastAsia="仿宋"/>
          <w:b w:val="0"/>
          <w:bCs/>
          <w:color w:val="auto"/>
          <w:sz w:val="24"/>
          <w:highlight w:val="none"/>
        </w:rPr>
      </w:pPr>
      <w:bookmarkStart w:id="583" w:name="_Toc2609"/>
      <w:r>
        <w:rPr>
          <w:rFonts w:hint="eastAsia" w:ascii="仿宋" w:hAnsi="仿宋" w:eastAsia="仿宋"/>
          <w:b w:val="0"/>
          <w:bCs/>
          <w:color w:val="auto"/>
          <w:sz w:val="24"/>
          <w:highlight w:val="none"/>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bookmarkEnd w:id="583"/>
    </w:p>
    <w:p>
      <w:pPr>
        <w:spacing w:line="560" w:lineRule="exact"/>
        <w:ind w:firstLine="480" w:firstLineChars="200"/>
        <w:outlineLvl w:val="0"/>
        <w:rPr>
          <w:rFonts w:hint="eastAsia" w:ascii="仿宋" w:hAnsi="仿宋" w:eastAsia="仿宋"/>
          <w:b w:val="0"/>
          <w:bCs/>
          <w:color w:val="auto"/>
          <w:sz w:val="24"/>
          <w:highlight w:val="none"/>
        </w:rPr>
      </w:pPr>
      <w:bookmarkStart w:id="584" w:name="_Toc11812"/>
      <w:r>
        <w:rPr>
          <w:rFonts w:hint="eastAsia" w:ascii="仿宋" w:hAnsi="仿宋" w:eastAsia="仿宋"/>
          <w:b w:val="0"/>
          <w:bCs/>
          <w:color w:val="auto"/>
          <w:sz w:val="24"/>
          <w:highlight w:val="none"/>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bookmarkEnd w:id="584"/>
    </w:p>
    <w:p>
      <w:pPr>
        <w:spacing w:line="560" w:lineRule="exact"/>
        <w:ind w:firstLine="480" w:firstLineChars="200"/>
        <w:outlineLvl w:val="0"/>
        <w:rPr>
          <w:rFonts w:hint="eastAsia" w:ascii="仿宋" w:hAnsi="仿宋" w:eastAsia="仿宋"/>
          <w:b w:val="0"/>
          <w:bCs/>
          <w:color w:val="auto"/>
          <w:sz w:val="24"/>
          <w:highlight w:val="none"/>
        </w:rPr>
      </w:pPr>
      <w:bookmarkStart w:id="585" w:name="_Toc12951"/>
      <w:r>
        <w:rPr>
          <w:rFonts w:hint="eastAsia" w:ascii="仿宋" w:hAnsi="仿宋" w:eastAsia="仿宋"/>
          <w:b w:val="0"/>
          <w:bCs/>
          <w:color w:val="auto"/>
          <w:sz w:val="24"/>
          <w:highlight w:val="none"/>
        </w:rPr>
        <w:t>1.8.5如果出现政府采购监督管理部门在处理投诉事项期间，书面通知甲方暂停采购活动的情形，或者询问或质疑事项可能影响中标或者成交结果的，导致甲方中止履行合同的情形，均不视为甲方违约。</w:t>
      </w:r>
      <w:bookmarkEnd w:id="585"/>
    </w:p>
    <w:p>
      <w:pPr>
        <w:spacing w:line="560" w:lineRule="exact"/>
        <w:ind w:firstLine="480" w:firstLineChars="200"/>
        <w:outlineLvl w:val="0"/>
        <w:rPr>
          <w:rFonts w:hint="eastAsia" w:ascii="仿宋" w:hAnsi="仿宋" w:eastAsia="仿宋"/>
          <w:b w:val="0"/>
          <w:bCs/>
          <w:color w:val="auto"/>
          <w:sz w:val="24"/>
          <w:highlight w:val="none"/>
        </w:rPr>
      </w:pPr>
      <w:bookmarkStart w:id="586" w:name="_Toc11788"/>
      <w:r>
        <w:rPr>
          <w:rFonts w:hint="eastAsia" w:ascii="仿宋" w:hAnsi="仿宋" w:eastAsia="仿宋"/>
          <w:b w:val="0"/>
          <w:bCs/>
          <w:color w:val="auto"/>
          <w:sz w:val="24"/>
          <w:highlight w:val="none"/>
        </w:rPr>
        <w:t>1.8.6违约责任</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rPr>
        <w:t>另有约定的，从其约定。</w:t>
      </w:r>
      <w:bookmarkEnd w:id="586"/>
    </w:p>
    <w:p>
      <w:pPr>
        <w:spacing w:line="560" w:lineRule="exact"/>
        <w:ind w:firstLine="482" w:firstLineChars="200"/>
        <w:outlineLvl w:val="0"/>
        <w:rPr>
          <w:rFonts w:hint="eastAsia" w:ascii="仿宋" w:hAnsi="仿宋" w:eastAsia="仿宋"/>
          <w:b/>
          <w:bCs w:val="0"/>
          <w:color w:val="auto"/>
          <w:sz w:val="24"/>
          <w:highlight w:val="none"/>
        </w:rPr>
      </w:pPr>
      <w:bookmarkStart w:id="587" w:name="_Toc21549"/>
      <w:r>
        <w:rPr>
          <w:rFonts w:hint="eastAsia" w:ascii="仿宋" w:hAnsi="仿宋" w:eastAsia="仿宋"/>
          <w:b/>
          <w:bCs w:val="0"/>
          <w:color w:val="auto"/>
          <w:sz w:val="24"/>
          <w:highlight w:val="none"/>
        </w:rPr>
        <w:t>1.9合同争议的解决</w:t>
      </w:r>
      <w:bookmarkEnd w:id="587"/>
    </w:p>
    <w:p>
      <w:pPr>
        <w:spacing w:line="560" w:lineRule="exact"/>
        <w:ind w:firstLine="480" w:firstLineChars="200"/>
        <w:outlineLvl w:val="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 xml:space="preserve">  </w:t>
      </w:r>
      <w:bookmarkStart w:id="588" w:name="_Toc16251"/>
      <w:r>
        <w:rPr>
          <w:rFonts w:hint="eastAsia" w:ascii="仿宋" w:hAnsi="仿宋" w:eastAsia="仿宋"/>
          <w:b w:val="0"/>
          <w:bCs/>
          <w:color w:val="auto"/>
          <w:sz w:val="24"/>
          <w:highlight w:val="none"/>
        </w:rPr>
        <w:t>本合同履行过程中发生的任何争议，双方当事人均可通过和解或者调解解决；不愿和解、调解或者和解、调解不成的，可以选择以下第</w:t>
      </w:r>
      <w:r>
        <w:rPr>
          <w:rFonts w:hint="eastAsia" w:ascii="仿宋" w:hAnsi="仿宋" w:eastAsia="仿宋"/>
          <w:b w:val="0"/>
          <w:bCs/>
          <w:color w:val="auto"/>
          <w:sz w:val="24"/>
          <w:highlight w:val="none"/>
          <w:u w:val="single"/>
        </w:rPr>
        <w:t xml:space="preserve">      </w:t>
      </w:r>
      <w:r>
        <w:rPr>
          <w:rFonts w:hint="eastAsia" w:ascii="仿宋" w:hAnsi="仿宋" w:eastAsia="仿宋"/>
          <w:b w:val="0"/>
          <w:bCs/>
          <w:color w:val="auto"/>
          <w:sz w:val="24"/>
          <w:highlight w:val="none"/>
        </w:rPr>
        <w:t>条款规定的方式解决：</w:t>
      </w:r>
      <w:bookmarkEnd w:id="588"/>
    </w:p>
    <w:p>
      <w:pPr>
        <w:spacing w:line="560" w:lineRule="exact"/>
        <w:ind w:firstLine="480" w:firstLineChars="200"/>
        <w:outlineLvl w:val="0"/>
        <w:rPr>
          <w:rFonts w:hint="eastAsia" w:ascii="仿宋" w:hAnsi="仿宋" w:eastAsia="仿宋"/>
          <w:b w:val="0"/>
          <w:bCs/>
          <w:color w:val="auto"/>
          <w:sz w:val="24"/>
          <w:highlight w:val="none"/>
        </w:rPr>
      </w:pPr>
      <w:bookmarkStart w:id="589" w:name="_Toc12017"/>
      <w:r>
        <w:rPr>
          <w:rFonts w:hint="eastAsia" w:ascii="仿宋" w:hAnsi="仿宋" w:eastAsia="仿宋"/>
          <w:b w:val="0"/>
          <w:bCs/>
          <w:color w:val="auto"/>
          <w:sz w:val="24"/>
          <w:highlight w:val="none"/>
        </w:rPr>
        <w:t>1.9.1 将争议提交</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rPr>
        <w:t>仲裁委员会依申请仲裁时其现行有效的仲裁规则裁决；</w:t>
      </w:r>
      <w:bookmarkEnd w:id="589"/>
    </w:p>
    <w:p>
      <w:pPr>
        <w:spacing w:line="560" w:lineRule="exact"/>
        <w:ind w:firstLine="480" w:firstLineChars="200"/>
        <w:outlineLvl w:val="0"/>
        <w:rPr>
          <w:rFonts w:hint="eastAsia" w:ascii="仿宋" w:hAnsi="仿宋" w:eastAsia="仿宋"/>
          <w:b w:val="0"/>
          <w:bCs/>
          <w:color w:val="auto"/>
          <w:sz w:val="24"/>
          <w:highlight w:val="none"/>
        </w:rPr>
      </w:pPr>
      <w:bookmarkStart w:id="590" w:name="_Toc11550"/>
      <w:r>
        <w:rPr>
          <w:rFonts w:hint="eastAsia" w:ascii="仿宋" w:hAnsi="仿宋" w:eastAsia="仿宋"/>
          <w:b w:val="0"/>
          <w:bCs/>
          <w:color w:val="auto"/>
          <w:sz w:val="24"/>
          <w:highlight w:val="none"/>
        </w:rPr>
        <w:t>1.9.2 向</w:t>
      </w:r>
      <w:r>
        <w:rPr>
          <w:rFonts w:hint="eastAsia" w:ascii="仿宋" w:hAnsi="仿宋" w:eastAsia="仿宋"/>
          <w:b/>
          <w:bCs w:val="0"/>
          <w:color w:val="auto"/>
          <w:sz w:val="24"/>
          <w:highlight w:val="none"/>
          <w:u w:val="single"/>
        </w:rPr>
        <w:t>合同专用条款</w:t>
      </w:r>
      <w:r>
        <w:rPr>
          <w:rFonts w:hint="eastAsia" w:ascii="仿宋" w:hAnsi="仿宋" w:eastAsia="仿宋"/>
          <w:b w:val="0"/>
          <w:bCs/>
          <w:color w:val="auto"/>
          <w:sz w:val="24"/>
          <w:highlight w:val="none"/>
        </w:rPr>
        <w:t>人民法院起诉。</w:t>
      </w:r>
      <w:bookmarkEnd w:id="590"/>
    </w:p>
    <w:p>
      <w:pPr>
        <w:spacing w:line="560" w:lineRule="exact"/>
        <w:ind w:firstLine="482" w:firstLineChars="200"/>
        <w:outlineLvl w:val="0"/>
        <w:rPr>
          <w:rFonts w:hint="eastAsia" w:ascii="仿宋" w:hAnsi="仿宋" w:eastAsia="仿宋"/>
          <w:b/>
          <w:bCs w:val="0"/>
          <w:color w:val="auto"/>
          <w:sz w:val="24"/>
          <w:highlight w:val="none"/>
        </w:rPr>
      </w:pPr>
      <w:bookmarkStart w:id="591" w:name="_Toc27355"/>
      <w:r>
        <w:rPr>
          <w:rFonts w:hint="eastAsia" w:ascii="仿宋" w:hAnsi="仿宋" w:eastAsia="仿宋"/>
          <w:b/>
          <w:bCs w:val="0"/>
          <w:color w:val="auto"/>
          <w:sz w:val="24"/>
          <w:highlight w:val="none"/>
        </w:rPr>
        <w:t>2.0 合同生效</w:t>
      </w:r>
      <w:bookmarkEnd w:id="591"/>
    </w:p>
    <w:p>
      <w:pPr>
        <w:spacing w:line="560" w:lineRule="exact"/>
        <w:ind w:firstLine="480" w:firstLineChars="200"/>
        <w:outlineLvl w:val="0"/>
        <w:rPr>
          <w:rFonts w:hint="eastAsia" w:ascii="仿宋" w:hAnsi="仿宋" w:eastAsia="仿宋"/>
          <w:b w:val="0"/>
          <w:bCs/>
          <w:color w:val="auto"/>
          <w:sz w:val="24"/>
          <w:highlight w:val="none"/>
        </w:rPr>
      </w:pPr>
      <w:bookmarkStart w:id="592" w:name="_Toc28423"/>
      <w:r>
        <w:rPr>
          <w:rFonts w:hint="eastAsia" w:ascii="仿宋" w:hAnsi="仿宋" w:eastAsia="仿宋"/>
          <w:b w:val="0"/>
          <w:bCs/>
          <w:color w:val="auto"/>
          <w:sz w:val="24"/>
          <w:highlight w:val="none"/>
        </w:rPr>
        <w:t>本合同自双方当事人盖章签字时生效。</w:t>
      </w:r>
      <w:bookmarkEnd w:id="592"/>
    </w:p>
    <w:p>
      <w:pPr>
        <w:spacing w:line="560" w:lineRule="exact"/>
        <w:ind w:firstLine="480" w:firstLineChars="200"/>
        <w:outlineLvl w:val="0"/>
        <w:rPr>
          <w:rFonts w:hint="eastAsia" w:ascii="仿宋" w:hAnsi="仿宋" w:eastAsia="仿宋"/>
          <w:b w:val="0"/>
          <w:bCs/>
          <w:color w:val="auto"/>
          <w:sz w:val="24"/>
          <w:highlight w:val="none"/>
        </w:rPr>
      </w:pPr>
    </w:p>
    <w:p>
      <w:pPr>
        <w:spacing w:line="560" w:lineRule="exact"/>
        <w:ind w:firstLine="482" w:firstLineChars="200"/>
        <w:outlineLvl w:val="0"/>
        <w:rPr>
          <w:rFonts w:hint="eastAsia" w:ascii="仿宋" w:hAnsi="仿宋" w:eastAsia="仿宋"/>
          <w:b w:val="0"/>
          <w:bCs/>
          <w:color w:val="auto"/>
          <w:sz w:val="24"/>
          <w:highlight w:val="none"/>
        </w:rPr>
      </w:pPr>
      <w:bookmarkStart w:id="593" w:name="_Toc14277"/>
      <w:r>
        <w:rPr>
          <w:rFonts w:hint="eastAsia" w:ascii="仿宋" w:hAnsi="仿宋" w:eastAsia="仿宋"/>
          <w:b/>
          <w:bCs w:val="0"/>
          <w:color w:val="auto"/>
          <w:sz w:val="24"/>
          <w:highlight w:val="none"/>
        </w:rPr>
        <w:t>甲方：</w:t>
      </w:r>
      <w:r>
        <w:rPr>
          <w:rFonts w:hint="eastAsia" w:ascii="仿宋" w:hAnsi="仿宋" w:eastAsia="仿宋"/>
          <w:b w:val="0"/>
          <w:bCs/>
          <w:color w:val="auto"/>
          <w:sz w:val="24"/>
          <w:highlight w:val="none"/>
        </w:rPr>
        <w:t xml:space="preserve">                                   </w:t>
      </w:r>
      <w:r>
        <w:rPr>
          <w:rFonts w:hint="eastAsia" w:ascii="仿宋" w:hAnsi="仿宋" w:eastAsia="仿宋"/>
          <w:b/>
          <w:bCs w:val="0"/>
          <w:color w:val="auto"/>
          <w:sz w:val="24"/>
          <w:highlight w:val="none"/>
        </w:rPr>
        <w:t>乙方：</w:t>
      </w:r>
      <w:bookmarkEnd w:id="593"/>
    </w:p>
    <w:p>
      <w:pPr>
        <w:spacing w:line="560" w:lineRule="exact"/>
        <w:ind w:firstLine="480" w:firstLineChars="200"/>
        <w:outlineLvl w:val="0"/>
        <w:rPr>
          <w:rFonts w:hint="eastAsia" w:ascii="仿宋" w:hAnsi="仿宋" w:eastAsia="仿宋"/>
          <w:b w:val="0"/>
          <w:bCs/>
          <w:color w:val="auto"/>
          <w:sz w:val="24"/>
          <w:highlight w:val="none"/>
        </w:rPr>
      </w:pPr>
      <w:bookmarkStart w:id="594" w:name="_Toc30070"/>
      <w:r>
        <w:rPr>
          <w:rFonts w:hint="eastAsia" w:ascii="仿宋" w:hAnsi="仿宋" w:eastAsia="仿宋"/>
          <w:b w:val="0"/>
          <w:bCs/>
          <w:color w:val="auto"/>
          <w:sz w:val="24"/>
          <w:highlight w:val="none"/>
        </w:rPr>
        <w:t>统一社会信用代码：                        统一社会信用代码或身份证号码：</w:t>
      </w:r>
      <w:bookmarkEnd w:id="594"/>
    </w:p>
    <w:p>
      <w:pPr>
        <w:spacing w:line="560" w:lineRule="exact"/>
        <w:ind w:firstLine="480" w:firstLineChars="200"/>
        <w:outlineLvl w:val="0"/>
        <w:rPr>
          <w:rFonts w:hint="eastAsia" w:ascii="仿宋" w:hAnsi="仿宋" w:eastAsia="仿宋"/>
          <w:b w:val="0"/>
          <w:bCs/>
          <w:color w:val="auto"/>
          <w:sz w:val="24"/>
          <w:highlight w:val="none"/>
        </w:rPr>
      </w:pPr>
    </w:p>
    <w:p>
      <w:pPr>
        <w:spacing w:line="560" w:lineRule="exact"/>
        <w:ind w:firstLine="480" w:firstLineChars="200"/>
        <w:outlineLvl w:val="0"/>
        <w:rPr>
          <w:rFonts w:hint="eastAsia" w:ascii="仿宋" w:hAnsi="仿宋" w:eastAsia="仿宋"/>
          <w:b w:val="0"/>
          <w:bCs/>
          <w:color w:val="auto"/>
          <w:sz w:val="24"/>
          <w:highlight w:val="none"/>
        </w:rPr>
      </w:pPr>
      <w:bookmarkStart w:id="595" w:name="_Toc28055"/>
      <w:r>
        <w:rPr>
          <w:rFonts w:hint="eastAsia" w:ascii="仿宋" w:hAnsi="仿宋" w:eastAsia="仿宋"/>
          <w:b w:val="0"/>
          <w:bCs/>
          <w:color w:val="auto"/>
          <w:sz w:val="24"/>
          <w:highlight w:val="none"/>
        </w:rPr>
        <w:t>住所：                                   住所：</w:t>
      </w:r>
      <w:bookmarkEnd w:id="595"/>
    </w:p>
    <w:p>
      <w:pPr>
        <w:spacing w:line="560" w:lineRule="exact"/>
        <w:ind w:firstLine="480" w:firstLineChars="200"/>
        <w:outlineLvl w:val="0"/>
        <w:rPr>
          <w:rFonts w:hint="eastAsia" w:ascii="仿宋" w:hAnsi="仿宋" w:eastAsia="仿宋"/>
          <w:b w:val="0"/>
          <w:bCs/>
          <w:color w:val="auto"/>
          <w:sz w:val="24"/>
          <w:highlight w:val="none"/>
        </w:rPr>
      </w:pPr>
      <w:bookmarkStart w:id="596" w:name="_Toc18121"/>
      <w:r>
        <w:rPr>
          <w:rFonts w:hint="eastAsia" w:ascii="仿宋" w:hAnsi="仿宋" w:eastAsia="仿宋"/>
          <w:b w:val="0"/>
          <w:bCs/>
          <w:color w:val="auto"/>
          <w:sz w:val="24"/>
          <w:highlight w:val="none"/>
        </w:rPr>
        <w:t>法定代表人或                             法定代表人</w:t>
      </w:r>
      <w:bookmarkEnd w:id="596"/>
    </w:p>
    <w:p>
      <w:pPr>
        <w:spacing w:line="560" w:lineRule="exact"/>
        <w:ind w:firstLine="480" w:firstLineChars="200"/>
        <w:outlineLvl w:val="0"/>
        <w:rPr>
          <w:rFonts w:hint="eastAsia" w:ascii="仿宋" w:hAnsi="仿宋" w:eastAsia="仿宋"/>
          <w:b w:val="0"/>
          <w:bCs/>
          <w:color w:val="auto"/>
          <w:sz w:val="24"/>
          <w:highlight w:val="none"/>
        </w:rPr>
      </w:pPr>
      <w:bookmarkStart w:id="597" w:name="_Toc14052"/>
      <w:r>
        <w:rPr>
          <w:rFonts w:hint="eastAsia" w:ascii="仿宋" w:hAnsi="仿宋" w:eastAsia="仿宋"/>
          <w:b w:val="0"/>
          <w:bCs/>
          <w:color w:val="auto"/>
          <w:sz w:val="24"/>
          <w:highlight w:val="none"/>
        </w:rPr>
        <w:t>授权代表（签字）：                        或授权代表（签字）:</w:t>
      </w:r>
      <w:bookmarkEnd w:id="597"/>
      <w:r>
        <w:rPr>
          <w:rFonts w:hint="eastAsia" w:ascii="仿宋" w:hAnsi="仿宋" w:eastAsia="仿宋"/>
          <w:b w:val="0"/>
          <w:bCs/>
          <w:color w:val="auto"/>
          <w:sz w:val="24"/>
          <w:highlight w:val="none"/>
        </w:rPr>
        <w:t xml:space="preserve"> </w:t>
      </w:r>
    </w:p>
    <w:p>
      <w:pPr>
        <w:spacing w:line="560" w:lineRule="exact"/>
        <w:ind w:firstLine="480" w:firstLineChars="200"/>
        <w:outlineLvl w:val="0"/>
        <w:rPr>
          <w:rFonts w:hint="eastAsia" w:ascii="仿宋" w:hAnsi="仿宋" w:eastAsia="仿宋"/>
          <w:b w:val="0"/>
          <w:bCs/>
          <w:color w:val="auto"/>
          <w:sz w:val="24"/>
          <w:highlight w:val="none"/>
        </w:rPr>
      </w:pPr>
      <w:bookmarkStart w:id="598" w:name="_Toc29234"/>
      <w:r>
        <w:rPr>
          <w:rFonts w:hint="eastAsia" w:ascii="仿宋" w:hAnsi="仿宋" w:eastAsia="仿宋"/>
          <w:b w:val="0"/>
          <w:bCs/>
          <w:color w:val="auto"/>
          <w:sz w:val="24"/>
          <w:highlight w:val="none"/>
        </w:rPr>
        <w:t>联系人：                                 联系人：</w:t>
      </w:r>
      <w:bookmarkEnd w:id="598"/>
    </w:p>
    <w:p>
      <w:pPr>
        <w:spacing w:line="560" w:lineRule="exact"/>
        <w:ind w:firstLine="480" w:firstLineChars="200"/>
        <w:outlineLvl w:val="0"/>
        <w:rPr>
          <w:rFonts w:hint="eastAsia" w:ascii="仿宋" w:hAnsi="仿宋" w:eastAsia="仿宋"/>
          <w:b w:val="0"/>
          <w:bCs/>
          <w:color w:val="auto"/>
          <w:sz w:val="24"/>
          <w:highlight w:val="none"/>
        </w:rPr>
      </w:pPr>
      <w:bookmarkStart w:id="599" w:name="_Toc24920"/>
      <w:r>
        <w:rPr>
          <w:rFonts w:hint="eastAsia" w:ascii="仿宋" w:hAnsi="仿宋" w:eastAsia="仿宋"/>
          <w:b w:val="0"/>
          <w:bCs/>
          <w:color w:val="auto"/>
          <w:sz w:val="24"/>
          <w:highlight w:val="none"/>
        </w:rPr>
        <w:t>约定送达地址：                           约定送达地址：</w:t>
      </w:r>
      <w:bookmarkEnd w:id="599"/>
    </w:p>
    <w:p>
      <w:pPr>
        <w:spacing w:line="560" w:lineRule="exact"/>
        <w:ind w:firstLine="480" w:firstLineChars="200"/>
        <w:outlineLvl w:val="0"/>
        <w:rPr>
          <w:rFonts w:hint="eastAsia" w:ascii="仿宋" w:hAnsi="仿宋" w:eastAsia="仿宋"/>
          <w:b w:val="0"/>
          <w:bCs/>
          <w:color w:val="auto"/>
          <w:sz w:val="24"/>
          <w:highlight w:val="none"/>
        </w:rPr>
      </w:pPr>
      <w:bookmarkStart w:id="600" w:name="_Toc9446"/>
      <w:r>
        <w:rPr>
          <w:rFonts w:hint="eastAsia" w:ascii="仿宋" w:hAnsi="仿宋" w:eastAsia="仿宋"/>
          <w:b w:val="0"/>
          <w:bCs/>
          <w:color w:val="auto"/>
          <w:sz w:val="24"/>
          <w:highlight w:val="none"/>
        </w:rPr>
        <w:t>邮政编码：                               邮政编码：</w:t>
      </w:r>
      <w:bookmarkEnd w:id="600"/>
    </w:p>
    <w:p>
      <w:pPr>
        <w:spacing w:line="560" w:lineRule="exact"/>
        <w:ind w:firstLine="480" w:firstLineChars="200"/>
        <w:outlineLvl w:val="0"/>
        <w:rPr>
          <w:rFonts w:hint="eastAsia" w:ascii="仿宋" w:hAnsi="仿宋" w:eastAsia="仿宋"/>
          <w:b w:val="0"/>
          <w:bCs/>
          <w:color w:val="auto"/>
          <w:sz w:val="24"/>
          <w:highlight w:val="none"/>
        </w:rPr>
      </w:pPr>
      <w:bookmarkStart w:id="601" w:name="_Toc2726"/>
      <w:r>
        <w:rPr>
          <w:rFonts w:hint="eastAsia" w:ascii="仿宋" w:hAnsi="仿宋" w:eastAsia="仿宋"/>
          <w:b w:val="0"/>
          <w:bCs/>
          <w:color w:val="auto"/>
          <w:sz w:val="24"/>
          <w:highlight w:val="none"/>
        </w:rPr>
        <w:t>电话:                                    电话:</w:t>
      </w:r>
      <w:bookmarkEnd w:id="601"/>
      <w:r>
        <w:rPr>
          <w:rFonts w:hint="eastAsia" w:ascii="仿宋" w:hAnsi="仿宋" w:eastAsia="仿宋"/>
          <w:b w:val="0"/>
          <w:bCs/>
          <w:color w:val="auto"/>
          <w:sz w:val="24"/>
          <w:highlight w:val="none"/>
        </w:rPr>
        <w:t xml:space="preserve"> </w:t>
      </w:r>
    </w:p>
    <w:p>
      <w:pPr>
        <w:spacing w:line="560" w:lineRule="exact"/>
        <w:ind w:firstLine="480" w:firstLineChars="200"/>
        <w:outlineLvl w:val="0"/>
        <w:rPr>
          <w:rFonts w:hint="eastAsia" w:ascii="仿宋" w:hAnsi="仿宋" w:eastAsia="仿宋"/>
          <w:b w:val="0"/>
          <w:bCs/>
          <w:color w:val="auto"/>
          <w:sz w:val="24"/>
          <w:highlight w:val="none"/>
        </w:rPr>
      </w:pPr>
      <w:bookmarkStart w:id="602" w:name="_Toc24025"/>
      <w:r>
        <w:rPr>
          <w:rFonts w:hint="eastAsia" w:ascii="仿宋" w:hAnsi="仿宋" w:eastAsia="仿宋"/>
          <w:b w:val="0"/>
          <w:bCs/>
          <w:color w:val="auto"/>
          <w:sz w:val="24"/>
          <w:highlight w:val="none"/>
        </w:rPr>
        <w:t>传真:                                    传真:</w:t>
      </w:r>
      <w:bookmarkEnd w:id="602"/>
    </w:p>
    <w:p>
      <w:pPr>
        <w:spacing w:line="560" w:lineRule="exact"/>
        <w:ind w:firstLine="480" w:firstLineChars="200"/>
        <w:outlineLvl w:val="0"/>
        <w:rPr>
          <w:rFonts w:hint="eastAsia" w:ascii="仿宋" w:hAnsi="仿宋" w:eastAsia="仿宋"/>
          <w:b w:val="0"/>
          <w:bCs/>
          <w:color w:val="auto"/>
          <w:sz w:val="24"/>
          <w:highlight w:val="none"/>
        </w:rPr>
      </w:pPr>
      <w:bookmarkStart w:id="603" w:name="_Toc21976"/>
      <w:r>
        <w:rPr>
          <w:rFonts w:hint="eastAsia" w:ascii="仿宋" w:hAnsi="仿宋" w:eastAsia="仿宋"/>
          <w:b w:val="0"/>
          <w:bCs/>
          <w:color w:val="auto"/>
          <w:sz w:val="24"/>
          <w:highlight w:val="none"/>
        </w:rPr>
        <w:t>电子邮箱：                               电子邮箱：</w:t>
      </w:r>
      <w:bookmarkEnd w:id="603"/>
    </w:p>
    <w:p>
      <w:pPr>
        <w:spacing w:line="560" w:lineRule="exact"/>
        <w:ind w:firstLine="480" w:firstLineChars="200"/>
        <w:outlineLvl w:val="0"/>
        <w:rPr>
          <w:rFonts w:hint="eastAsia" w:ascii="仿宋" w:hAnsi="仿宋" w:eastAsia="仿宋"/>
          <w:b w:val="0"/>
          <w:bCs/>
          <w:color w:val="auto"/>
          <w:sz w:val="24"/>
          <w:highlight w:val="none"/>
        </w:rPr>
      </w:pPr>
      <w:bookmarkStart w:id="604" w:name="_Toc23621"/>
      <w:r>
        <w:rPr>
          <w:rFonts w:hint="eastAsia" w:ascii="仿宋" w:hAnsi="仿宋" w:eastAsia="仿宋"/>
          <w:b w:val="0"/>
          <w:bCs/>
          <w:color w:val="auto"/>
          <w:sz w:val="24"/>
          <w:highlight w:val="none"/>
        </w:rPr>
        <w:t>开户银行：                               开户银行：</w:t>
      </w:r>
      <w:bookmarkEnd w:id="604"/>
      <w:r>
        <w:rPr>
          <w:rFonts w:hint="eastAsia" w:ascii="仿宋" w:hAnsi="仿宋" w:eastAsia="仿宋"/>
          <w:b w:val="0"/>
          <w:bCs/>
          <w:color w:val="auto"/>
          <w:sz w:val="24"/>
          <w:highlight w:val="none"/>
        </w:rPr>
        <w:t xml:space="preserve"> </w:t>
      </w:r>
    </w:p>
    <w:p>
      <w:pPr>
        <w:spacing w:line="560" w:lineRule="exact"/>
        <w:ind w:firstLine="480" w:firstLineChars="200"/>
        <w:outlineLvl w:val="0"/>
        <w:rPr>
          <w:rFonts w:hint="eastAsia" w:ascii="仿宋" w:hAnsi="仿宋" w:eastAsia="仿宋"/>
          <w:b w:val="0"/>
          <w:bCs/>
          <w:color w:val="auto"/>
          <w:sz w:val="24"/>
          <w:highlight w:val="none"/>
        </w:rPr>
      </w:pPr>
      <w:bookmarkStart w:id="605" w:name="_Toc29743"/>
      <w:r>
        <w:rPr>
          <w:rFonts w:hint="eastAsia" w:ascii="仿宋" w:hAnsi="仿宋" w:eastAsia="仿宋"/>
          <w:b w:val="0"/>
          <w:bCs/>
          <w:color w:val="auto"/>
          <w:sz w:val="24"/>
          <w:highlight w:val="none"/>
        </w:rPr>
        <w:t>开户名称：                               开户名称：</w:t>
      </w:r>
      <w:bookmarkEnd w:id="605"/>
      <w:r>
        <w:rPr>
          <w:rFonts w:hint="eastAsia" w:ascii="仿宋" w:hAnsi="仿宋" w:eastAsia="仿宋"/>
          <w:b w:val="0"/>
          <w:bCs/>
          <w:color w:val="auto"/>
          <w:sz w:val="24"/>
          <w:highlight w:val="none"/>
        </w:rPr>
        <w:t xml:space="preserve"> </w:t>
      </w:r>
    </w:p>
    <w:p>
      <w:pPr>
        <w:spacing w:line="560" w:lineRule="exact"/>
        <w:ind w:firstLine="480" w:firstLineChars="200"/>
        <w:outlineLvl w:val="0"/>
        <w:rPr>
          <w:rFonts w:hint="eastAsia" w:ascii="仿宋" w:hAnsi="仿宋" w:eastAsia="仿宋"/>
          <w:b w:val="0"/>
          <w:bCs/>
          <w:color w:val="auto"/>
          <w:sz w:val="24"/>
          <w:highlight w:val="none"/>
        </w:rPr>
      </w:pPr>
      <w:bookmarkStart w:id="606" w:name="_Toc1937"/>
      <w:r>
        <w:rPr>
          <w:rFonts w:hint="eastAsia" w:ascii="仿宋" w:hAnsi="仿宋" w:eastAsia="仿宋"/>
          <w:b w:val="0"/>
          <w:bCs/>
          <w:color w:val="auto"/>
          <w:sz w:val="24"/>
          <w:highlight w:val="none"/>
        </w:rPr>
        <w:t>开户账号：                               开户账号：</w:t>
      </w:r>
      <w:bookmarkEnd w:id="606"/>
    </w:p>
    <w:bookmarkEnd w:id="560"/>
    <w:bookmarkEnd w:id="561"/>
    <w:bookmarkEnd w:id="562"/>
    <w:p>
      <w:pPr>
        <w:widowControl/>
        <w:spacing w:line="560" w:lineRule="exact"/>
        <w:jc w:val="left"/>
        <w:rPr>
          <w:rFonts w:ascii="仿宋" w:hAnsi="仿宋" w:eastAsia="仿宋"/>
          <w:b/>
          <w:color w:val="auto"/>
          <w:sz w:val="24"/>
          <w:highlight w:val="none"/>
        </w:rPr>
      </w:pPr>
      <w:bookmarkStart w:id="607" w:name="_Toc331685783"/>
    </w:p>
    <w:p>
      <w:pPr>
        <w:rPr>
          <w:rFonts w:ascii="仿宋" w:hAnsi="仿宋" w:eastAsia="仿宋"/>
          <w:b/>
          <w:color w:val="auto"/>
          <w:sz w:val="24"/>
          <w:highlight w:val="none"/>
        </w:rPr>
      </w:pPr>
    </w:p>
    <w:p>
      <w:pPr>
        <w:pStyle w:val="12"/>
        <w:rPr>
          <w:rFonts w:ascii="仿宋" w:hAnsi="仿宋" w:eastAsia="仿宋"/>
          <w:b/>
          <w:color w:val="auto"/>
          <w:sz w:val="24"/>
          <w:highlight w:val="none"/>
        </w:rPr>
      </w:pPr>
    </w:p>
    <w:p>
      <w:pPr>
        <w:rPr>
          <w:color w:val="auto"/>
          <w:highlight w:val="none"/>
        </w:rPr>
      </w:pPr>
    </w:p>
    <w:p>
      <w:pPr>
        <w:pStyle w:val="152"/>
        <w:spacing w:line="560" w:lineRule="exact"/>
        <w:ind w:left="0" w:leftChars="0" w:firstLine="0" w:firstLineChars="0"/>
        <w:jc w:val="center"/>
        <w:rPr>
          <w:rFonts w:ascii="仿宋" w:hAnsi="仿宋" w:eastAsia="仿宋"/>
          <w:b/>
          <w:color w:val="auto"/>
          <w:sz w:val="28"/>
          <w:szCs w:val="28"/>
          <w:highlight w:val="none"/>
        </w:rPr>
      </w:pPr>
      <w:r>
        <w:rPr>
          <w:rFonts w:hint="eastAsia" w:ascii="仿宋" w:hAnsi="仿宋" w:eastAsia="仿宋"/>
          <w:b/>
          <w:color w:val="auto"/>
          <w:sz w:val="28"/>
          <w:szCs w:val="28"/>
          <w:highlight w:val="none"/>
        </w:rPr>
        <w:br w:type="page"/>
      </w:r>
      <w:r>
        <w:rPr>
          <w:rFonts w:hint="eastAsia" w:ascii="仿宋" w:hAnsi="仿宋" w:eastAsia="仿宋"/>
          <w:b/>
          <w:color w:val="auto"/>
          <w:sz w:val="28"/>
          <w:szCs w:val="28"/>
          <w:highlight w:val="none"/>
        </w:rPr>
        <w:t>第二部分</w:t>
      </w:r>
      <w:r>
        <w:rPr>
          <w:rFonts w:ascii="仿宋" w:hAnsi="仿宋" w:eastAsia="仿宋"/>
          <w:b/>
          <w:color w:val="auto"/>
          <w:sz w:val="28"/>
          <w:szCs w:val="28"/>
          <w:highlight w:val="none"/>
        </w:rPr>
        <w:t xml:space="preserve"> </w:t>
      </w:r>
      <w:r>
        <w:rPr>
          <w:rFonts w:hint="eastAsia" w:ascii="仿宋" w:hAnsi="仿宋" w:eastAsia="仿宋"/>
          <w:b/>
          <w:color w:val="auto"/>
          <w:sz w:val="28"/>
          <w:szCs w:val="28"/>
          <w:highlight w:val="none"/>
        </w:rPr>
        <w:t>合同一般条款</w:t>
      </w:r>
      <w:bookmarkEnd w:id="607"/>
    </w:p>
    <w:p>
      <w:pPr>
        <w:spacing w:line="560" w:lineRule="exact"/>
        <w:ind w:firstLine="482" w:firstLineChars="200"/>
        <w:outlineLvl w:val="0"/>
        <w:rPr>
          <w:rFonts w:ascii="仿宋" w:hAnsi="仿宋" w:eastAsia="仿宋"/>
          <w:b/>
          <w:color w:val="auto"/>
          <w:sz w:val="24"/>
          <w:highlight w:val="none"/>
        </w:rPr>
      </w:pPr>
      <w:bookmarkStart w:id="608" w:name="_Ref467379094"/>
      <w:bookmarkStart w:id="609" w:name="_Ref467379101"/>
      <w:bookmarkStart w:id="610" w:name="_Ref467379205"/>
      <w:bookmarkStart w:id="611" w:name="_Toc28763"/>
      <w:bookmarkStart w:id="612" w:name="_Ref467378463"/>
      <w:bookmarkStart w:id="613" w:name="_Toc16917"/>
      <w:bookmarkStart w:id="614" w:name="_Toc26102"/>
      <w:bookmarkStart w:id="615" w:name="_Toc487900349"/>
      <w:bookmarkStart w:id="616" w:name="_Toc279701240"/>
      <w:bookmarkStart w:id="617" w:name="_Ref467378404"/>
      <w:bookmarkStart w:id="618" w:name="_Ref467378499"/>
      <w:bookmarkStart w:id="619" w:name="_Ref467379195"/>
      <w:bookmarkStart w:id="620" w:name="_Toc259093669"/>
      <w:bookmarkStart w:id="621" w:name="_Ref467379225"/>
      <w:bookmarkStart w:id="622" w:name="_Ref467379214"/>
      <w:bookmarkStart w:id="623" w:name="_Toc19614"/>
      <w:bookmarkStart w:id="624" w:name="_Ref467379109"/>
      <w:r>
        <w:rPr>
          <w:rFonts w:ascii="仿宋" w:hAnsi="仿宋" w:eastAsia="仿宋"/>
          <w:b/>
          <w:color w:val="auto"/>
          <w:sz w:val="24"/>
          <w:highlight w:val="none"/>
        </w:rPr>
        <w:t xml:space="preserve">2.1 </w:t>
      </w:r>
      <w:r>
        <w:rPr>
          <w:rFonts w:hint="eastAsia" w:ascii="仿宋" w:hAnsi="仿宋" w:eastAsia="仿宋"/>
          <w:b/>
          <w:color w:val="auto"/>
          <w:sz w:val="24"/>
          <w:highlight w:val="none"/>
        </w:rPr>
        <w:t>定义</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本合同中的下列词语应按以下内容进行解释：</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2.1.1 </w:t>
      </w:r>
      <w:r>
        <w:rPr>
          <w:rFonts w:hint="eastAsia" w:ascii="仿宋" w:hAnsi="仿宋" w:eastAsia="仿宋"/>
          <w:color w:val="auto"/>
          <w:sz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 </w:t>
      </w:r>
      <w:r>
        <w:rPr>
          <w:rFonts w:hint="eastAsia" w:ascii="仿宋" w:hAnsi="仿宋" w:eastAsia="仿宋"/>
          <w:color w:val="auto"/>
          <w:sz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2.1.3 </w:t>
      </w:r>
      <w:r>
        <w:rPr>
          <w:rFonts w:hint="eastAsia" w:ascii="仿宋" w:hAnsi="仿宋" w:eastAsia="仿宋"/>
          <w:color w:val="auto"/>
          <w:sz w:val="24"/>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auto"/>
          <w:sz w:val="24"/>
          <w:highlight w:val="none"/>
        </w:rPr>
      </w:pPr>
      <w:bookmarkStart w:id="625" w:name="_Ref467378840"/>
      <w:r>
        <w:rPr>
          <w:rFonts w:ascii="仿宋" w:hAnsi="仿宋" w:eastAsia="仿宋"/>
          <w:color w:val="auto"/>
          <w:sz w:val="24"/>
          <w:highlight w:val="none"/>
        </w:rPr>
        <w:t xml:space="preserve">2.1.4 </w:t>
      </w:r>
      <w:r>
        <w:rPr>
          <w:rFonts w:hint="eastAsia" w:ascii="仿宋" w:hAnsi="仿宋" w:eastAsia="仿宋"/>
          <w:color w:val="auto"/>
          <w:sz w:val="24"/>
          <w:highlight w:val="none"/>
        </w:rPr>
        <w:t>“甲方”系指与中标供应商签署合同的采购人</w:t>
      </w:r>
      <w:bookmarkEnd w:id="625"/>
      <w:r>
        <w:rPr>
          <w:rFonts w:hint="eastAsia" w:ascii="仿宋" w:hAnsi="仿宋" w:eastAsia="仿宋"/>
          <w:color w:val="auto"/>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color w:val="auto"/>
          <w:sz w:val="24"/>
          <w:highlight w:val="none"/>
        </w:rPr>
      </w:pPr>
      <w:bookmarkStart w:id="626" w:name="_Ref467379400"/>
      <w:r>
        <w:rPr>
          <w:rFonts w:ascii="仿宋" w:hAnsi="仿宋" w:eastAsia="仿宋"/>
          <w:color w:val="auto"/>
          <w:sz w:val="24"/>
          <w:highlight w:val="none"/>
        </w:rPr>
        <w:t xml:space="preserve">2.1.5 </w:t>
      </w:r>
      <w:r>
        <w:rPr>
          <w:rFonts w:hint="eastAsia" w:ascii="仿宋" w:hAnsi="仿宋" w:eastAsia="仿宋"/>
          <w:color w:val="auto"/>
          <w:sz w:val="24"/>
          <w:highlight w:val="none"/>
        </w:rPr>
        <w:t>“乙方”系指根据合同约定交付货物的中标供应商</w:t>
      </w:r>
      <w:bookmarkEnd w:id="626"/>
      <w:r>
        <w:rPr>
          <w:rFonts w:hint="eastAsia" w:ascii="仿宋" w:hAnsi="仿宋" w:eastAsia="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auto"/>
          <w:sz w:val="24"/>
          <w:highlight w:val="none"/>
        </w:rPr>
      </w:pPr>
      <w:bookmarkStart w:id="627" w:name="_Ref467379436"/>
      <w:r>
        <w:rPr>
          <w:rFonts w:ascii="仿宋" w:hAnsi="仿宋" w:eastAsia="仿宋"/>
          <w:color w:val="auto"/>
          <w:sz w:val="24"/>
          <w:highlight w:val="none"/>
        </w:rPr>
        <w:t xml:space="preserve">2.1.6 </w:t>
      </w:r>
      <w:r>
        <w:rPr>
          <w:rFonts w:hint="eastAsia" w:ascii="仿宋" w:hAnsi="仿宋" w:eastAsia="仿宋"/>
          <w:color w:val="auto"/>
          <w:sz w:val="24"/>
          <w:highlight w:val="none"/>
        </w:rPr>
        <w:t>“现场”系指合同约定货物将要运至或者安装的地点。</w:t>
      </w:r>
      <w:bookmarkEnd w:id="627"/>
    </w:p>
    <w:p>
      <w:pPr>
        <w:spacing w:line="560" w:lineRule="exact"/>
        <w:ind w:firstLine="482" w:firstLineChars="200"/>
        <w:outlineLvl w:val="0"/>
        <w:rPr>
          <w:rFonts w:ascii="仿宋" w:hAnsi="仿宋" w:eastAsia="仿宋"/>
          <w:b/>
          <w:color w:val="auto"/>
          <w:sz w:val="24"/>
          <w:highlight w:val="none"/>
        </w:rPr>
      </w:pPr>
      <w:bookmarkStart w:id="628" w:name="_Toc279701241"/>
      <w:bookmarkStart w:id="629" w:name="_Toc259093670"/>
      <w:bookmarkStart w:id="630" w:name="_Toc27635"/>
      <w:bookmarkStart w:id="631" w:name="_Toc13336"/>
      <w:bookmarkStart w:id="632" w:name="_Toc17240"/>
      <w:bookmarkStart w:id="633" w:name="_Toc32504"/>
      <w:bookmarkStart w:id="634" w:name="_Toc487900350"/>
      <w:r>
        <w:rPr>
          <w:rFonts w:ascii="仿宋" w:hAnsi="仿宋" w:eastAsia="仿宋"/>
          <w:b/>
          <w:color w:val="auto"/>
          <w:sz w:val="24"/>
          <w:highlight w:val="none"/>
        </w:rPr>
        <w:t xml:space="preserve">2.2 </w:t>
      </w:r>
      <w:r>
        <w:rPr>
          <w:rFonts w:hint="eastAsia" w:ascii="仿宋" w:hAnsi="仿宋" w:eastAsia="仿宋"/>
          <w:b/>
          <w:color w:val="auto"/>
          <w:sz w:val="24"/>
          <w:highlight w:val="none"/>
        </w:rPr>
        <w:t>技术规范</w:t>
      </w:r>
      <w:bookmarkEnd w:id="628"/>
      <w:bookmarkEnd w:id="629"/>
      <w:bookmarkEnd w:id="630"/>
      <w:bookmarkEnd w:id="631"/>
      <w:bookmarkEnd w:id="632"/>
      <w:bookmarkEnd w:id="633"/>
      <w:bookmarkEnd w:id="634"/>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货物所应遵守的技术规范应与采购文件规定的技术规范和技术规范附件</w:t>
      </w:r>
      <w:r>
        <w:rPr>
          <w:rFonts w:ascii="仿宋" w:hAnsi="仿宋" w:eastAsia="仿宋"/>
          <w:color w:val="auto"/>
          <w:sz w:val="24"/>
          <w:highlight w:val="none"/>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color w:val="auto"/>
          <w:sz w:val="24"/>
          <w:highlight w:val="none"/>
        </w:rPr>
      </w:pPr>
      <w:bookmarkStart w:id="635" w:name="_Toc259093671"/>
      <w:bookmarkStart w:id="636" w:name="_Toc27853"/>
      <w:bookmarkStart w:id="637" w:name="_Toc15089"/>
      <w:bookmarkStart w:id="638" w:name="_Toc31634"/>
      <w:bookmarkStart w:id="639" w:name="_Toc279701242"/>
      <w:bookmarkStart w:id="640" w:name="_Toc9829"/>
      <w:bookmarkStart w:id="641" w:name="_Toc487900351"/>
      <w:r>
        <w:rPr>
          <w:rFonts w:ascii="仿宋" w:hAnsi="仿宋" w:eastAsia="仿宋"/>
          <w:b/>
          <w:color w:val="auto"/>
          <w:sz w:val="24"/>
          <w:highlight w:val="none"/>
        </w:rPr>
        <w:t xml:space="preserve">2.3 </w:t>
      </w:r>
      <w:r>
        <w:rPr>
          <w:rFonts w:hint="eastAsia" w:ascii="仿宋" w:hAnsi="仿宋" w:eastAsia="仿宋"/>
          <w:b/>
          <w:color w:val="auto"/>
          <w:sz w:val="24"/>
          <w:highlight w:val="none"/>
        </w:rPr>
        <w:t>知识产权</w:t>
      </w:r>
      <w:bookmarkEnd w:id="635"/>
      <w:bookmarkEnd w:id="636"/>
      <w:bookmarkEnd w:id="637"/>
      <w:bookmarkEnd w:id="638"/>
      <w:bookmarkEnd w:id="639"/>
      <w:bookmarkEnd w:id="640"/>
      <w:bookmarkEnd w:id="641"/>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2.3.1 </w:t>
      </w:r>
      <w:r>
        <w:rPr>
          <w:rFonts w:hint="eastAsia" w:ascii="仿宋" w:hAnsi="仿宋" w:eastAsia="仿宋"/>
          <w:color w:val="auto"/>
          <w:sz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2.3.2具有知识产权的计算机软件等货物的知识产权归属，详见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642" w:name="_Toc30867"/>
      <w:bookmarkStart w:id="643" w:name="_Toc4194"/>
      <w:bookmarkStart w:id="644" w:name="_Toc11932"/>
      <w:bookmarkStart w:id="645" w:name="_Toc29149"/>
      <w:r>
        <w:rPr>
          <w:rFonts w:ascii="仿宋" w:hAnsi="仿宋" w:eastAsia="仿宋"/>
          <w:b/>
          <w:color w:val="auto"/>
          <w:sz w:val="24"/>
          <w:highlight w:val="none"/>
        </w:rPr>
        <w:t xml:space="preserve">2.4 </w:t>
      </w:r>
      <w:r>
        <w:rPr>
          <w:rFonts w:hint="eastAsia" w:ascii="仿宋" w:hAnsi="仿宋" w:eastAsia="仿宋"/>
          <w:b/>
          <w:color w:val="auto"/>
          <w:sz w:val="24"/>
          <w:highlight w:val="none"/>
        </w:rPr>
        <w:t>包装和装运</w:t>
      </w:r>
      <w:bookmarkEnd w:id="642"/>
      <w:bookmarkEnd w:id="643"/>
      <w:bookmarkEnd w:id="644"/>
      <w:bookmarkEnd w:id="645"/>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2.4.1除</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另有约定外</w:t>
      </w:r>
      <w:r>
        <w:rPr>
          <w:rFonts w:ascii="仿宋" w:hAnsi="仿宋" w:eastAsia="仿宋"/>
          <w:color w:val="auto"/>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2.4.2 </w:t>
      </w:r>
      <w:r>
        <w:rPr>
          <w:rFonts w:hint="eastAsia" w:ascii="仿宋" w:hAnsi="仿宋" w:eastAsia="仿宋"/>
          <w:color w:val="auto"/>
          <w:sz w:val="24"/>
          <w:highlight w:val="none"/>
        </w:rPr>
        <w:t>装运货物的要求和通知，详见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646" w:name="_Ref467379542"/>
      <w:bookmarkStart w:id="647" w:name="_Toc487900354"/>
      <w:bookmarkStart w:id="648" w:name="_Ref467378591"/>
      <w:bookmarkStart w:id="649" w:name="_Ref467379527"/>
      <w:bookmarkStart w:id="650" w:name="_Ref467379536"/>
      <w:bookmarkStart w:id="651" w:name="_Toc259093674"/>
      <w:bookmarkStart w:id="652" w:name="_Toc279701245"/>
      <w:bookmarkStart w:id="653" w:name="_Ref467378541"/>
      <w:bookmarkStart w:id="654" w:name="_Toc19074"/>
      <w:bookmarkStart w:id="655" w:name="_Toc26182"/>
      <w:bookmarkStart w:id="656" w:name="_Toc30272"/>
      <w:bookmarkStart w:id="657" w:name="_Toc5976"/>
      <w:r>
        <w:rPr>
          <w:rFonts w:ascii="仿宋" w:hAnsi="仿宋" w:eastAsia="仿宋"/>
          <w:b/>
          <w:color w:val="auto"/>
          <w:sz w:val="24"/>
          <w:highlight w:val="none"/>
        </w:rPr>
        <w:t>2.</w:t>
      </w:r>
      <w:bookmarkEnd w:id="646"/>
      <w:bookmarkEnd w:id="647"/>
      <w:bookmarkEnd w:id="648"/>
      <w:bookmarkEnd w:id="649"/>
      <w:bookmarkEnd w:id="650"/>
      <w:bookmarkEnd w:id="651"/>
      <w:bookmarkEnd w:id="652"/>
      <w:bookmarkEnd w:id="653"/>
      <w:r>
        <w:rPr>
          <w:rFonts w:ascii="仿宋" w:hAnsi="仿宋" w:eastAsia="仿宋"/>
          <w:b/>
          <w:color w:val="auto"/>
          <w:sz w:val="24"/>
          <w:highlight w:val="none"/>
        </w:rPr>
        <w:t xml:space="preserve">5 </w:t>
      </w:r>
      <w:r>
        <w:rPr>
          <w:rFonts w:hint="eastAsia" w:ascii="仿宋" w:hAnsi="仿宋" w:eastAsia="仿宋"/>
          <w:b/>
          <w:color w:val="auto"/>
          <w:sz w:val="24"/>
          <w:highlight w:val="none"/>
        </w:rPr>
        <w:t>履约检查和问题反馈</w:t>
      </w:r>
      <w:bookmarkEnd w:id="654"/>
      <w:bookmarkEnd w:id="655"/>
      <w:bookmarkEnd w:id="656"/>
      <w:bookmarkEnd w:id="657"/>
    </w:p>
    <w:p>
      <w:pPr>
        <w:spacing w:line="560" w:lineRule="exact"/>
        <w:ind w:firstLine="480" w:firstLineChars="200"/>
        <w:rPr>
          <w:rFonts w:ascii="仿宋" w:hAnsi="仿宋" w:eastAsia="仿宋"/>
          <w:color w:val="auto"/>
          <w:sz w:val="24"/>
          <w:highlight w:val="none"/>
        </w:rPr>
      </w:pPr>
      <w:bookmarkStart w:id="658" w:name="_Ref467379657"/>
      <w:r>
        <w:rPr>
          <w:rFonts w:ascii="仿宋" w:hAnsi="仿宋" w:eastAsia="仿宋"/>
          <w:color w:val="auto"/>
          <w:sz w:val="24"/>
          <w:highlight w:val="none"/>
        </w:rPr>
        <w:t>2.5.1</w:t>
      </w:r>
      <w:bookmarkEnd w:id="658"/>
      <w:bookmarkStart w:id="659" w:name="_Toc186431854"/>
      <w:bookmarkStart w:id="660" w:name="_Toc259093676"/>
      <w:bookmarkStart w:id="661" w:name="_Ref467379807"/>
      <w:bookmarkStart w:id="662" w:name="_Ref467379793"/>
      <w:bookmarkStart w:id="663" w:name="_Toc487900357"/>
      <w:bookmarkStart w:id="664" w:name="_Toc279701247"/>
      <w:r>
        <w:rPr>
          <w:rFonts w:hint="eastAsia" w:ascii="仿宋" w:hAnsi="仿宋" w:eastAsia="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2.5.2 </w:t>
      </w:r>
      <w:r>
        <w:rPr>
          <w:rFonts w:hint="eastAsia" w:ascii="仿宋" w:hAnsi="仿宋" w:eastAsia="仿宋"/>
          <w:color w:val="auto"/>
          <w:sz w:val="24"/>
          <w:highlight w:val="none"/>
        </w:rPr>
        <w:t>合同履行期间，甲方有权将履行过程中出现的问题反馈给乙方，双方当事人应以书面形式约定需要完善和改进的内容</w:t>
      </w:r>
      <w:bookmarkEnd w:id="659"/>
      <w:bookmarkStart w:id="665" w:name="_Toc186431855"/>
      <w:r>
        <w:rPr>
          <w:rFonts w:hint="eastAsia" w:ascii="仿宋" w:hAnsi="仿宋" w:eastAsia="仿宋"/>
          <w:color w:val="auto"/>
          <w:sz w:val="24"/>
          <w:highlight w:val="none"/>
        </w:rPr>
        <w:t>。</w:t>
      </w:r>
    </w:p>
    <w:bookmarkEnd w:id="660"/>
    <w:bookmarkEnd w:id="661"/>
    <w:bookmarkEnd w:id="662"/>
    <w:bookmarkEnd w:id="663"/>
    <w:bookmarkEnd w:id="664"/>
    <w:bookmarkEnd w:id="665"/>
    <w:p>
      <w:pPr>
        <w:spacing w:line="560" w:lineRule="exact"/>
        <w:ind w:firstLine="482" w:firstLineChars="200"/>
        <w:outlineLvl w:val="0"/>
        <w:rPr>
          <w:rFonts w:ascii="仿宋" w:hAnsi="仿宋" w:eastAsia="仿宋"/>
          <w:b/>
          <w:color w:val="auto"/>
          <w:sz w:val="24"/>
          <w:highlight w:val="none"/>
        </w:rPr>
      </w:pPr>
      <w:bookmarkStart w:id="666" w:name="_Ref467379923"/>
      <w:bookmarkStart w:id="667" w:name="_Toc279701248"/>
      <w:bookmarkStart w:id="668" w:name="_Toc259093677"/>
      <w:bookmarkStart w:id="669" w:name="_Ref467379852"/>
      <w:bookmarkStart w:id="670" w:name="_Toc487900358"/>
      <w:bookmarkStart w:id="671" w:name="_Ref467379863"/>
      <w:bookmarkStart w:id="672" w:name="_Toc774"/>
      <w:bookmarkStart w:id="673" w:name="_Toc16110"/>
      <w:bookmarkStart w:id="674" w:name="_Toc9530"/>
      <w:bookmarkStart w:id="675" w:name="_Toc3225"/>
      <w:r>
        <w:rPr>
          <w:rFonts w:ascii="仿宋" w:hAnsi="仿宋" w:eastAsia="仿宋"/>
          <w:b/>
          <w:color w:val="auto"/>
          <w:sz w:val="24"/>
          <w:highlight w:val="none"/>
        </w:rPr>
        <w:t xml:space="preserve">2.6 </w:t>
      </w:r>
      <w:r>
        <w:rPr>
          <w:rFonts w:hint="eastAsia" w:ascii="仿宋" w:hAnsi="仿宋" w:eastAsia="仿宋"/>
          <w:b/>
          <w:color w:val="auto"/>
          <w:sz w:val="24"/>
          <w:highlight w:val="none"/>
        </w:rPr>
        <w:t>技术资料</w:t>
      </w:r>
      <w:bookmarkEnd w:id="666"/>
      <w:bookmarkEnd w:id="667"/>
      <w:bookmarkEnd w:id="668"/>
      <w:bookmarkEnd w:id="669"/>
      <w:bookmarkEnd w:id="670"/>
      <w:bookmarkEnd w:id="671"/>
      <w:r>
        <w:rPr>
          <w:rFonts w:hint="eastAsia" w:ascii="仿宋" w:hAnsi="仿宋" w:eastAsia="仿宋"/>
          <w:b/>
          <w:color w:val="auto"/>
          <w:sz w:val="24"/>
          <w:highlight w:val="none"/>
        </w:rPr>
        <w:t>和保密义务</w:t>
      </w:r>
      <w:bookmarkEnd w:id="672"/>
      <w:bookmarkEnd w:id="673"/>
      <w:bookmarkEnd w:id="674"/>
      <w:bookmarkEnd w:id="675"/>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2.6.1 </w:t>
      </w:r>
      <w:r>
        <w:rPr>
          <w:rFonts w:hint="eastAsia" w:ascii="仿宋" w:hAnsi="仿宋" w:eastAsia="仿宋"/>
          <w:color w:val="auto"/>
          <w:sz w:val="24"/>
          <w:highlight w:val="none"/>
        </w:rPr>
        <w:t>乙方有权依据合同约定和项目需要，向甲方了解有关情况，调阅有关资料等，甲方应予积极配合；</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2.6.2 </w:t>
      </w:r>
      <w:r>
        <w:rPr>
          <w:rFonts w:hint="eastAsia" w:ascii="仿宋" w:hAnsi="仿宋" w:eastAsia="仿宋"/>
          <w:color w:val="auto"/>
          <w:sz w:val="24"/>
          <w:highlight w:val="none"/>
        </w:rPr>
        <w:t>乙方有义务妥善保管和保护由甲方提供的前款信息和资料等；</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2.6.3 </w:t>
      </w:r>
      <w:r>
        <w:rPr>
          <w:rFonts w:hint="eastAsia" w:ascii="仿宋" w:hAnsi="仿宋" w:eastAsia="仿宋"/>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auto"/>
          <w:sz w:val="24"/>
          <w:highlight w:val="none"/>
        </w:rPr>
      </w:pPr>
      <w:bookmarkStart w:id="676" w:name="_Toc10610"/>
      <w:r>
        <w:rPr>
          <w:rFonts w:ascii="仿宋" w:hAnsi="仿宋" w:eastAsia="仿宋"/>
          <w:b/>
          <w:color w:val="auto"/>
          <w:sz w:val="24"/>
          <w:highlight w:val="none"/>
        </w:rPr>
        <w:t xml:space="preserve">2.7 </w:t>
      </w:r>
      <w:r>
        <w:rPr>
          <w:rFonts w:hint="eastAsia" w:ascii="仿宋" w:hAnsi="仿宋" w:eastAsia="仿宋"/>
          <w:b/>
          <w:color w:val="auto"/>
          <w:sz w:val="24"/>
          <w:highlight w:val="none"/>
        </w:rPr>
        <w:t>质量保证</w:t>
      </w:r>
      <w:bookmarkEnd w:id="676"/>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2.7.1 </w:t>
      </w:r>
      <w:r>
        <w:rPr>
          <w:rFonts w:hint="eastAsia" w:ascii="仿宋" w:hAnsi="仿宋" w:eastAsia="仿宋"/>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2.7.2 </w:t>
      </w:r>
      <w:r>
        <w:rPr>
          <w:rFonts w:hint="eastAsia" w:ascii="仿宋" w:hAnsi="仿宋" w:eastAsia="仿宋"/>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auto"/>
          <w:sz w:val="24"/>
          <w:highlight w:val="none"/>
        </w:rPr>
      </w:pPr>
      <w:bookmarkStart w:id="677" w:name="_Toc3549"/>
      <w:bookmarkStart w:id="678" w:name="_Toc17244"/>
      <w:bookmarkStart w:id="679" w:name="_Toc279701252"/>
      <w:bookmarkStart w:id="680" w:name="_Toc487900362"/>
      <w:bookmarkStart w:id="681" w:name="_Toc259093681"/>
      <w:r>
        <w:rPr>
          <w:rFonts w:ascii="仿宋" w:hAnsi="仿宋" w:eastAsia="仿宋"/>
          <w:b/>
          <w:color w:val="auto"/>
          <w:sz w:val="24"/>
          <w:highlight w:val="none"/>
        </w:rPr>
        <w:t xml:space="preserve">2.8 </w:t>
      </w:r>
      <w:r>
        <w:rPr>
          <w:rFonts w:hint="eastAsia" w:ascii="仿宋" w:hAnsi="仿宋" w:eastAsia="仿宋"/>
          <w:b/>
          <w:color w:val="auto"/>
          <w:sz w:val="24"/>
          <w:highlight w:val="none"/>
        </w:rPr>
        <w:t>货物的风险负担</w:t>
      </w:r>
      <w:bookmarkEnd w:id="677"/>
      <w:bookmarkEnd w:id="678"/>
    </w:p>
    <w:p>
      <w:pPr>
        <w:spacing w:line="560" w:lineRule="exact"/>
        <w:ind w:firstLine="480" w:firstLineChars="200"/>
        <w:rPr>
          <w:rFonts w:ascii="仿宋" w:hAnsi="仿宋" w:eastAsia="仿宋"/>
          <w:b/>
          <w:color w:val="auto"/>
          <w:sz w:val="24"/>
          <w:highlight w:val="none"/>
        </w:rPr>
      </w:pPr>
      <w:r>
        <w:rPr>
          <w:rFonts w:hint="eastAsia" w:ascii="仿宋" w:hAnsi="仿宋" w:eastAsia="仿宋"/>
          <w:color w:val="auto"/>
          <w:sz w:val="24"/>
          <w:highlight w:val="none"/>
        </w:rPr>
        <w:t>货物或者在途货物或者交付给第一承运人后的货物毁损、灭失的风险负担详见</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w:t>
      </w:r>
    </w:p>
    <w:p>
      <w:pPr>
        <w:spacing w:line="560" w:lineRule="exact"/>
        <w:ind w:firstLine="482" w:firstLineChars="200"/>
        <w:outlineLvl w:val="0"/>
        <w:rPr>
          <w:rFonts w:ascii="仿宋" w:hAnsi="仿宋" w:eastAsia="仿宋"/>
          <w:b/>
          <w:color w:val="auto"/>
          <w:sz w:val="24"/>
          <w:highlight w:val="none"/>
        </w:rPr>
      </w:pPr>
      <w:bookmarkStart w:id="682" w:name="_Toc14055"/>
      <w:bookmarkStart w:id="683" w:name="_Toc23892"/>
      <w:r>
        <w:rPr>
          <w:rFonts w:ascii="仿宋" w:hAnsi="仿宋" w:eastAsia="仿宋"/>
          <w:b/>
          <w:color w:val="auto"/>
          <w:sz w:val="24"/>
          <w:highlight w:val="none"/>
        </w:rPr>
        <w:t xml:space="preserve">2.9 </w:t>
      </w:r>
      <w:r>
        <w:rPr>
          <w:rFonts w:hint="eastAsia" w:ascii="仿宋" w:hAnsi="仿宋" w:eastAsia="仿宋"/>
          <w:b/>
          <w:color w:val="auto"/>
          <w:sz w:val="24"/>
          <w:highlight w:val="none"/>
        </w:rPr>
        <w:t>延迟交货</w:t>
      </w:r>
      <w:bookmarkEnd w:id="679"/>
      <w:bookmarkEnd w:id="680"/>
      <w:bookmarkEnd w:id="681"/>
      <w:bookmarkEnd w:id="682"/>
      <w:bookmarkEnd w:id="683"/>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color w:val="auto"/>
          <w:sz w:val="24"/>
          <w:highlight w:val="none"/>
        </w:rPr>
      </w:pPr>
      <w:bookmarkStart w:id="684" w:name="_Toc7502"/>
      <w:bookmarkStart w:id="685" w:name="_Toc18683"/>
      <w:bookmarkStart w:id="686" w:name="_Toc259093683"/>
      <w:bookmarkStart w:id="687" w:name="_Toc487900364"/>
      <w:bookmarkStart w:id="688" w:name="_Toc279701254"/>
      <w:bookmarkStart w:id="689" w:name="_Ref467378121"/>
      <w:r>
        <w:rPr>
          <w:rFonts w:ascii="仿宋" w:hAnsi="仿宋" w:eastAsia="仿宋"/>
          <w:b/>
          <w:color w:val="auto"/>
          <w:sz w:val="24"/>
          <w:highlight w:val="none"/>
        </w:rPr>
        <w:t xml:space="preserve">2.10 </w:t>
      </w:r>
      <w:r>
        <w:rPr>
          <w:rFonts w:hint="eastAsia" w:ascii="仿宋" w:hAnsi="仿宋" w:eastAsia="仿宋"/>
          <w:b/>
          <w:color w:val="auto"/>
          <w:sz w:val="24"/>
          <w:highlight w:val="none"/>
        </w:rPr>
        <w:t>合同变更</w:t>
      </w:r>
      <w:bookmarkEnd w:id="684"/>
      <w:bookmarkEnd w:id="685"/>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690" w:name="_Toc279701259"/>
      <w:bookmarkStart w:id="691" w:name="_Toc259093688"/>
      <w:bookmarkStart w:id="692" w:name="_Toc487900369"/>
    </w:p>
    <w:p>
      <w:pPr>
        <w:spacing w:line="560" w:lineRule="exact"/>
        <w:ind w:firstLine="482" w:firstLineChars="200"/>
        <w:outlineLvl w:val="0"/>
        <w:rPr>
          <w:rFonts w:ascii="仿宋" w:hAnsi="仿宋" w:eastAsia="仿宋"/>
          <w:b/>
          <w:color w:val="auto"/>
          <w:sz w:val="24"/>
          <w:highlight w:val="none"/>
        </w:rPr>
      </w:pPr>
      <w:bookmarkStart w:id="693" w:name="_Toc10366"/>
      <w:bookmarkStart w:id="694" w:name="_Toc18256"/>
      <w:bookmarkStart w:id="695" w:name="_Toc22955"/>
      <w:bookmarkStart w:id="696" w:name="_Toc15237"/>
      <w:r>
        <w:rPr>
          <w:rFonts w:ascii="仿宋" w:hAnsi="仿宋" w:eastAsia="仿宋"/>
          <w:b/>
          <w:color w:val="auto"/>
          <w:sz w:val="24"/>
          <w:highlight w:val="none"/>
        </w:rPr>
        <w:t xml:space="preserve">2.11 </w:t>
      </w:r>
      <w:r>
        <w:rPr>
          <w:rFonts w:hint="eastAsia" w:ascii="仿宋" w:hAnsi="仿宋" w:eastAsia="仿宋"/>
          <w:b/>
          <w:color w:val="auto"/>
          <w:sz w:val="24"/>
          <w:highlight w:val="none"/>
        </w:rPr>
        <w:t>合同转让</w:t>
      </w:r>
      <w:bookmarkEnd w:id="690"/>
      <w:bookmarkEnd w:id="691"/>
      <w:bookmarkEnd w:id="692"/>
      <w:r>
        <w:rPr>
          <w:rFonts w:hint="eastAsia" w:ascii="仿宋" w:hAnsi="仿宋" w:eastAsia="仿宋"/>
          <w:b/>
          <w:color w:val="auto"/>
          <w:sz w:val="24"/>
          <w:highlight w:val="none"/>
        </w:rPr>
        <w:t>和分包</w:t>
      </w:r>
      <w:bookmarkEnd w:id="693"/>
      <w:bookmarkEnd w:id="694"/>
      <w:bookmarkEnd w:id="695"/>
      <w:bookmarkEnd w:id="696"/>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b/>
          <w:color w:val="auto"/>
          <w:sz w:val="24"/>
          <w:highlight w:val="none"/>
        </w:rPr>
      </w:pPr>
      <w:bookmarkStart w:id="697" w:name="_Toc23078"/>
      <w:bookmarkStart w:id="698" w:name="_Toc13566"/>
      <w:bookmarkStart w:id="699" w:name="_Toc14066"/>
      <w:bookmarkStart w:id="700" w:name="_Toc16508"/>
      <w:r>
        <w:rPr>
          <w:rFonts w:ascii="仿宋" w:hAnsi="仿宋" w:eastAsia="仿宋"/>
          <w:b/>
          <w:color w:val="auto"/>
          <w:sz w:val="24"/>
          <w:highlight w:val="none"/>
        </w:rPr>
        <w:t xml:space="preserve">2.12 </w:t>
      </w:r>
      <w:r>
        <w:rPr>
          <w:rFonts w:hint="eastAsia" w:ascii="仿宋" w:hAnsi="仿宋" w:eastAsia="仿宋"/>
          <w:b/>
          <w:color w:val="auto"/>
          <w:sz w:val="24"/>
          <w:highlight w:val="none"/>
        </w:rPr>
        <w:t>不可抗力</w:t>
      </w:r>
      <w:bookmarkEnd w:id="697"/>
      <w:bookmarkEnd w:id="698"/>
      <w:bookmarkEnd w:id="699"/>
      <w:bookmarkEnd w:id="700"/>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2.12.2 </w:t>
      </w:r>
      <w:r>
        <w:rPr>
          <w:rFonts w:hint="eastAsia" w:ascii="仿宋" w:hAnsi="仿宋" w:eastAsia="仿宋"/>
          <w:color w:val="auto"/>
          <w:sz w:val="24"/>
          <w:highlight w:val="none"/>
        </w:rPr>
        <w:t>因不可抗力致使不能实现合同目的的，当事人可以解除合同；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2.12.3 </w:t>
      </w:r>
      <w:r>
        <w:rPr>
          <w:rFonts w:hint="eastAsia" w:ascii="仿宋" w:hAnsi="仿宋" w:eastAsia="仿宋"/>
          <w:color w:val="auto"/>
          <w:sz w:val="24"/>
          <w:highlight w:val="none"/>
        </w:rPr>
        <w:t>因不可抗力致使合同有变更必要的，双方当事人应在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约定时间内以书面形式变更合同；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2.12.4受不可抗力影响的一方在不可抗力发生后，应在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约定时间内以书面形式通知对方当事人，并在</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b/>
          <w:color w:val="auto"/>
          <w:sz w:val="24"/>
          <w:highlight w:val="none"/>
        </w:rPr>
      </w:pPr>
      <w:bookmarkStart w:id="701" w:name="_Toc487900365"/>
      <w:bookmarkStart w:id="702" w:name="_Toc6969"/>
      <w:bookmarkStart w:id="703" w:name="_Toc17169"/>
      <w:bookmarkStart w:id="704" w:name="_Toc279701255"/>
      <w:bookmarkStart w:id="705" w:name="_Toc689"/>
      <w:bookmarkStart w:id="706" w:name="_Toc30676"/>
      <w:bookmarkStart w:id="707" w:name="_Toc259093684"/>
      <w:r>
        <w:rPr>
          <w:rFonts w:ascii="仿宋" w:hAnsi="仿宋" w:eastAsia="仿宋"/>
          <w:b/>
          <w:color w:val="auto"/>
          <w:sz w:val="24"/>
          <w:highlight w:val="none"/>
        </w:rPr>
        <w:t xml:space="preserve">2.13 </w:t>
      </w:r>
      <w:r>
        <w:rPr>
          <w:rFonts w:hint="eastAsia" w:ascii="仿宋" w:hAnsi="仿宋" w:eastAsia="仿宋"/>
          <w:b/>
          <w:color w:val="auto"/>
          <w:sz w:val="24"/>
          <w:highlight w:val="none"/>
        </w:rPr>
        <w:t>税费</w:t>
      </w:r>
      <w:bookmarkEnd w:id="701"/>
      <w:bookmarkEnd w:id="702"/>
      <w:bookmarkEnd w:id="703"/>
      <w:bookmarkEnd w:id="704"/>
      <w:bookmarkEnd w:id="705"/>
      <w:bookmarkEnd w:id="706"/>
      <w:bookmarkEnd w:id="707"/>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color w:val="auto"/>
          <w:sz w:val="24"/>
          <w:highlight w:val="none"/>
        </w:rPr>
      </w:pPr>
      <w:bookmarkStart w:id="708" w:name="_Toc259093687"/>
      <w:bookmarkStart w:id="709" w:name="_Toc16959"/>
      <w:bookmarkStart w:id="710" w:name="_Toc279701258"/>
      <w:bookmarkStart w:id="711" w:name="_Toc487900368"/>
      <w:bookmarkStart w:id="712" w:name="_Toc824"/>
      <w:bookmarkStart w:id="713" w:name="_Toc7102"/>
      <w:bookmarkStart w:id="714" w:name="_Toc8298"/>
      <w:r>
        <w:rPr>
          <w:rFonts w:ascii="仿宋" w:hAnsi="仿宋" w:eastAsia="仿宋"/>
          <w:b/>
          <w:color w:val="auto"/>
          <w:sz w:val="24"/>
          <w:highlight w:val="none"/>
        </w:rPr>
        <w:t>2.14乙方破产</w:t>
      </w:r>
      <w:bookmarkEnd w:id="708"/>
      <w:bookmarkEnd w:id="709"/>
      <w:bookmarkEnd w:id="710"/>
      <w:bookmarkEnd w:id="711"/>
      <w:bookmarkEnd w:id="712"/>
      <w:bookmarkEnd w:id="713"/>
      <w:bookmarkEnd w:id="714"/>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color w:val="auto"/>
          <w:sz w:val="24"/>
          <w:highlight w:val="none"/>
        </w:rPr>
      </w:pPr>
      <w:bookmarkStart w:id="715" w:name="_Toc29826"/>
      <w:bookmarkStart w:id="716" w:name="_Toc6134"/>
      <w:bookmarkStart w:id="717" w:name="_Toc15387"/>
      <w:bookmarkStart w:id="718" w:name="_Toc29333"/>
      <w:r>
        <w:rPr>
          <w:rFonts w:ascii="仿宋" w:hAnsi="仿宋" w:eastAsia="仿宋"/>
          <w:b/>
          <w:color w:val="auto"/>
          <w:sz w:val="24"/>
          <w:highlight w:val="none"/>
        </w:rPr>
        <w:t xml:space="preserve">2.15 </w:t>
      </w:r>
      <w:r>
        <w:rPr>
          <w:rFonts w:hint="eastAsia" w:ascii="仿宋" w:hAnsi="仿宋" w:eastAsia="仿宋"/>
          <w:b/>
          <w:color w:val="auto"/>
          <w:sz w:val="24"/>
          <w:highlight w:val="none"/>
        </w:rPr>
        <w:t>合同中止、终止</w:t>
      </w:r>
      <w:bookmarkEnd w:id="715"/>
      <w:bookmarkEnd w:id="716"/>
      <w:bookmarkEnd w:id="717"/>
      <w:bookmarkEnd w:id="718"/>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2.15.1 </w:t>
      </w:r>
      <w:r>
        <w:rPr>
          <w:rFonts w:hint="eastAsia" w:ascii="仿宋" w:hAnsi="仿宋" w:eastAsia="仿宋"/>
          <w:color w:val="auto"/>
          <w:sz w:val="24"/>
          <w:highlight w:val="none"/>
        </w:rPr>
        <w:t>双方当事人不得擅自中止或者终止合同；</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auto"/>
          <w:sz w:val="24"/>
          <w:highlight w:val="none"/>
        </w:rPr>
      </w:pPr>
      <w:bookmarkStart w:id="719" w:name="_Toc6596"/>
      <w:bookmarkStart w:id="720" w:name="_Toc1125"/>
      <w:bookmarkStart w:id="721" w:name="_Toc25623"/>
      <w:bookmarkStart w:id="722" w:name="_Toc14563"/>
      <w:r>
        <w:rPr>
          <w:rFonts w:ascii="仿宋" w:hAnsi="仿宋" w:eastAsia="仿宋"/>
          <w:b/>
          <w:color w:val="auto"/>
          <w:sz w:val="24"/>
          <w:highlight w:val="none"/>
        </w:rPr>
        <w:t>2.16检验和验收</w:t>
      </w:r>
      <w:bookmarkEnd w:id="719"/>
      <w:bookmarkEnd w:id="720"/>
      <w:bookmarkEnd w:id="721"/>
      <w:bookmarkEnd w:id="722"/>
    </w:p>
    <w:p>
      <w:pPr>
        <w:spacing w:line="560" w:lineRule="exact"/>
        <w:ind w:firstLine="480" w:firstLineChars="20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2.16.1</w:t>
      </w:r>
      <w:r>
        <w:rPr>
          <w:rFonts w:hint="eastAsia" w:ascii="仿宋" w:hAnsi="仿宋" w:eastAsia="仿宋" w:cs="Times New Roman"/>
          <w:color w:val="auto"/>
          <w:sz w:val="24"/>
          <w:highlight w:val="none"/>
          <w:lang w:eastAsia="zh-CN"/>
        </w:rPr>
        <w:t>货物验收标准：</w:t>
      </w:r>
      <w:r>
        <w:rPr>
          <w:rFonts w:hint="eastAsia" w:ascii="仿宋" w:hAnsi="仿宋" w:eastAsia="仿宋" w:cs="Times New Roman"/>
          <w:color w:val="auto"/>
          <w:sz w:val="24"/>
          <w:highlight w:val="none"/>
          <w:lang w:val="en-US" w:eastAsia="zh-CN"/>
        </w:rPr>
        <w:t>乙方</w:t>
      </w:r>
      <w:r>
        <w:rPr>
          <w:rFonts w:hint="eastAsia" w:ascii="仿宋" w:hAnsi="仿宋" w:eastAsia="仿宋" w:cs="Times New Roman"/>
          <w:color w:val="auto"/>
          <w:sz w:val="24"/>
          <w:highlight w:val="none"/>
          <w:lang w:eastAsia="zh-CN"/>
        </w:rPr>
        <w:t>提供的所有货物必须是全新未使用过的货物。</w:t>
      </w:r>
    </w:p>
    <w:p>
      <w:pPr>
        <w:spacing w:line="560" w:lineRule="exact"/>
        <w:ind w:firstLine="480" w:firstLineChars="20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2.16.2</w:t>
      </w:r>
      <w:r>
        <w:rPr>
          <w:rFonts w:hint="eastAsia" w:ascii="仿宋" w:hAnsi="仿宋" w:eastAsia="仿宋" w:cs="Times New Roman"/>
          <w:color w:val="auto"/>
          <w:sz w:val="24"/>
          <w:highlight w:val="none"/>
          <w:lang w:eastAsia="zh-CN"/>
        </w:rPr>
        <w:t>属放射诊疗项目货物的，须通过相关性能检测，满足职业病危害控制效果评价的性能要求，相关</w:t>
      </w:r>
      <w:r>
        <w:rPr>
          <w:rFonts w:hint="eastAsia" w:ascii="仿宋" w:hAnsi="仿宋" w:eastAsia="仿宋" w:cs="Times New Roman"/>
          <w:color w:val="auto"/>
          <w:sz w:val="24"/>
          <w:highlight w:val="none"/>
          <w:lang w:val="en-US" w:eastAsia="zh-CN"/>
        </w:rPr>
        <w:t>检测</w:t>
      </w:r>
      <w:r>
        <w:rPr>
          <w:rFonts w:hint="eastAsia" w:ascii="仿宋" w:hAnsi="仿宋" w:eastAsia="仿宋" w:cs="Times New Roman"/>
          <w:color w:val="auto"/>
          <w:sz w:val="24"/>
          <w:highlight w:val="none"/>
          <w:lang w:eastAsia="zh-CN"/>
        </w:rPr>
        <w:t>费用由</w:t>
      </w:r>
      <w:r>
        <w:rPr>
          <w:rFonts w:hint="eastAsia" w:ascii="仿宋" w:hAnsi="仿宋" w:eastAsia="仿宋" w:cs="Times New Roman"/>
          <w:color w:val="auto"/>
          <w:sz w:val="24"/>
          <w:highlight w:val="none"/>
          <w:lang w:val="en-US" w:eastAsia="zh-CN"/>
        </w:rPr>
        <w:t>乙方</w:t>
      </w:r>
      <w:r>
        <w:rPr>
          <w:rFonts w:hint="eastAsia" w:ascii="仿宋" w:hAnsi="仿宋" w:eastAsia="仿宋" w:cs="Times New Roman"/>
          <w:color w:val="auto"/>
          <w:sz w:val="24"/>
          <w:highlight w:val="none"/>
          <w:lang w:eastAsia="zh-CN"/>
        </w:rPr>
        <w:t>自行承担。</w:t>
      </w:r>
    </w:p>
    <w:p>
      <w:pPr>
        <w:spacing w:line="560" w:lineRule="exact"/>
        <w:ind w:firstLine="480" w:firstLineChars="20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2.16.3</w:t>
      </w:r>
      <w:r>
        <w:rPr>
          <w:rFonts w:hint="eastAsia" w:ascii="仿宋" w:hAnsi="仿宋" w:eastAsia="仿宋" w:cs="Times New Roman"/>
          <w:color w:val="auto"/>
          <w:sz w:val="24"/>
          <w:highlight w:val="none"/>
          <w:lang w:eastAsia="zh-CN"/>
        </w:rPr>
        <w:t>货物应符合国家相关标准、投标文件的性能指标及功能要求。</w:t>
      </w:r>
    </w:p>
    <w:p>
      <w:pPr>
        <w:spacing w:line="560" w:lineRule="exact"/>
        <w:ind w:firstLine="480" w:firstLineChars="20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2.16.4</w:t>
      </w:r>
      <w:r>
        <w:rPr>
          <w:rFonts w:hint="eastAsia" w:ascii="仿宋" w:hAnsi="仿宋" w:eastAsia="仿宋" w:cs="Times New Roman"/>
          <w:color w:val="auto"/>
          <w:sz w:val="24"/>
          <w:highlight w:val="none"/>
          <w:lang w:eastAsia="zh-CN"/>
        </w:rPr>
        <w:t>达到货物验收标准后，</w:t>
      </w:r>
      <w:r>
        <w:rPr>
          <w:rFonts w:hint="eastAsia" w:ascii="仿宋" w:hAnsi="仿宋" w:eastAsia="仿宋" w:cs="Times New Roman"/>
          <w:color w:val="auto"/>
          <w:sz w:val="24"/>
          <w:highlight w:val="none"/>
          <w:lang w:val="en-US" w:eastAsia="zh-CN"/>
        </w:rPr>
        <w:t>乙方</w:t>
      </w:r>
      <w:r>
        <w:rPr>
          <w:rFonts w:hint="eastAsia" w:ascii="仿宋" w:hAnsi="仿宋" w:eastAsia="仿宋" w:cs="Times New Roman"/>
          <w:color w:val="auto"/>
          <w:sz w:val="24"/>
          <w:highlight w:val="none"/>
          <w:lang w:eastAsia="zh-CN"/>
        </w:rPr>
        <w:t>应及时通知</w:t>
      </w:r>
      <w:r>
        <w:rPr>
          <w:rFonts w:hint="eastAsia" w:ascii="仿宋" w:hAnsi="仿宋" w:eastAsia="仿宋" w:cs="Times New Roman"/>
          <w:color w:val="auto"/>
          <w:sz w:val="24"/>
          <w:highlight w:val="none"/>
          <w:lang w:val="en-US" w:eastAsia="zh-CN"/>
        </w:rPr>
        <w:t>甲方</w:t>
      </w:r>
      <w:r>
        <w:rPr>
          <w:rFonts w:hint="eastAsia" w:ascii="仿宋" w:hAnsi="仿宋" w:eastAsia="仿宋" w:cs="Times New Roman"/>
          <w:color w:val="auto"/>
          <w:sz w:val="24"/>
          <w:highlight w:val="none"/>
          <w:lang w:eastAsia="zh-CN"/>
        </w:rPr>
        <w:t>，</w:t>
      </w:r>
      <w:r>
        <w:rPr>
          <w:rFonts w:hint="eastAsia" w:ascii="仿宋" w:hAnsi="仿宋" w:eastAsia="仿宋" w:cs="Times New Roman"/>
          <w:color w:val="auto"/>
          <w:sz w:val="24"/>
          <w:highlight w:val="none"/>
          <w:lang w:val="en-US" w:eastAsia="zh-CN"/>
        </w:rPr>
        <w:t>甲方接到通知后</w:t>
      </w:r>
      <w:r>
        <w:rPr>
          <w:rFonts w:hint="eastAsia" w:ascii="仿宋" w:hAnsi="仿宋" w:eastAsia="仿宋" w:cs="Times New Roman"/>
          <w:color w:val="auto"/>
          <w:sz w:val="24"/>
          <w:highlight w:val="none"/>
          <w:lang w:eastAsia="zh-CN"/>
        </w:rPr>
        <w:t>应在10个工作日内组织验收，必要时邀请相关的专业人员或机构参与验收。经</w:t>
      </w:r>
      <w:r>
        <w:rPr>
          <w:rFonts w:hint="eastAsia" w:ascii="仿宋" w:hAnsi="仿宋" w:eastAsia="仿宋" w:cs="Times New Roman"/>
          <w:color w:val="auto"/>
          <w:sz w:val="24"/>
          <w:highlight w:val="none"/>
          <w:lang w:val="en-US" w:eastAsia="zh-CN"/>
        </w:rPr>
        <w:t>甲方</w:t>
      </w:r>
      <w:r>
        <w:rPr>
          <w:rFonts w:hint="eastAsia" w:ascii="仿宋" w:hAnsi="仿宋" w:eastAsia="仿宋" w:cs="Times New Roman"/>
          <w:color w:val="auto"/>
          <w:sz w:val="24"/>
          <w:highlight w:val="none"/>
          <w:lang w:eastAsia="zh-CN"/>
        </w:rPr>
        <w:t>认可后，与设备性能指标、合同内容一起作为设备验收标准。达到货物验收标准且满足其他验收标准的，进行项目合格验收，</w:t>
      </w:r>
      <w:r>
        <w:rPr>
          <w:rFonts w:hint="eastAsia" w:ascii="仿宋" w:hAnsi="仿宋" w:eastAsia="仿宋" w:cs="Times New Roman"/>
          <w:color w:val="auto"/>
          <w:sz w:val="24"/>
          <w:highlight w:val="none"/>
          <w:lang w:val="en-US" w:eastAsia="zh-CN"/>
        </w:rPr>
        <w:t>双方</w:t>
      </w:r>
      <w:r>
        <w:rPr>
          <w:rFonts w:hint="eastAsia" w:ascii="仿宋" w:hAnsi="仿宋" w:eastAsia="仿宋" w:cs="Times New Roman"/>
          <w:color w:val="auto"/>
          <w:sz w:val="24"/>
          <w:highlight w:val="none"/>
          <w:lang w:eastAsia="zh-CN"/>
        </w:rPr>
        <w:t>共同签署验收报告</w:t>
      </w:r>
      <w:r>
        <w:rPr>
          <w:rFonts w:hint="eastAsia" w:ascii="仿宋" w:hAnsi="仿宋" w:eastAsia="仿宋" w:cs="Times New Roman"/>
          <w:color w:val="auto"/>
          <w:sz w:val="24"/>
          <w:highlight w:val="none"/>
          <w:lang w:val="en-US" w:eastAsia="zh-CN"/>
        </w:rPr>
        <w:t>并加盖公章。</w:t>
      </w:r>
      <w:r>
        <w:rPr>
          <w:rFonts w:hint="eastAsia" w:ascii="仿宋" w:hAnsi="仿宋" w:eastAsia="仿宋" w:cs="Times New Roman"/>
          <w:color w:val="auto"/>
          <w:sz w:val="24"/>
          <w:highlight w:val="none"/>
          <w:lang w:eastAsia="zh-CN"/>
        </w:rPr>
        <w:t>验收中发现设备达不到验收标准或合同规定的性能指标，</w:t>
      </w:r>
      <w:r>
        <w:rPr>
          <w:rFonts w:hint="eastAsia" w:ascii="仿宋" w:hAnsi="仿宋" w:eastAsia="仿宋" w:cs="Times New Roman"/>
          <w:color w:val="auto"/>
          <w:sz w:val="24"/>
          <w:highlight w:val="none"/>
          <w:lang w:val="en-US" w:eastAsia="zh-CN"/>
        </w:rPr>
        <w:t>乙方</w:t>
      </w:r>
      <w:r>
        <w:rPr>
          <w:rFonts w:hint="eastAsia" w:ascii="仿宋" w:hAnsi="仿宋" w:eastAsia="仿宋" w:cs="Times New Roman"/>
          <w:color w:val="auto"/>
          <w:sz w:val="24"/>
          <w:highlight w:val="none"/>
          <w:lang w:eastAsia="zh-CN"/>
        </w:rPr>
        <w:t>必须更换设备，并且赔偿由此给</w:t>
      </w:r>
      <w:r>
        <w:rPr>
          <w:rFonts w:hint="eastAsia" w:ascii="仿宋" w:hAnsi="仿宋" w:eastAsia="仿宋" w:cs="Times New Roman"/>
          <w:color w:val="auto"/>
          <w:sz w:val="24"/>
          <w:highlight w:val="none"/>
          <w:lang w:val="en-US" w:eastAsia="zh-CN"/>
        </w:rPr>
        <w:t>甲方</w:t>
      </w:r>
      <w:r>
        <w:rPr>
          <w:rFonts w:hint="eastAsia" w:ascii="仿宋" w:hAnsi="仿宋" w:eastAsia="仿宋" w:cs="Times New Roman"/>
          <w:color w:val="auto"/>
          <w:sz w:val="24"/>
          <w:highlight w:val="none"/>
          <w:lang w:eastAsia="zh-CN"/>
        </w:rPr>
        <w:t>造成的损失。</w:t>
      </w:r>
    </w:p>
    <w:p>
      <w:pPr>
        <w:spacing w:line="560" w:lineRule="exact"/>
        <w:ind w:firstLine="480" w:firstLineChars="20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2.16.5乙方</w:t>
      </w:r>
      <w:r>
        <w:rPr>
          <w:rFonts w:hint="eastAsia" w:ascii="仿宋" w:hAnsi="仿宋" w:eastAsia="仿宋" w:cs="Times New Roman"/>
          <w:color w:val="auto"/>
          <w:sz w:val="24"/>
          <w:highlight w:val="none"/>
          <w:lang w:eastAsia="zh-CN"/>
        </w:rPr>
        <w:t>向</w:t>
      </w:r>
      <w:r>
        <w:rPr>
          <w:rFonts w:hint="eastAsia" w:ascii="仿宋" w:hAnsi="仿宋" w:eastAsia="仿宋" w:cs="Times New Roman"/>
          <w:color w:val="auto"/>
          <w:sz w:val="24"/>
          <w:highlight w:val="none"/>
          <w:lang w:val="en-US" w:eastAsia="zh-CN"/>
        </w:rPr>
        <w:t>甲方</w:t>
      </w:r>
      <w:r>
        <w:rPr>
          <w:rFonts w:hint="eastAsia" w:ascii="仿宋" w:hAnsi="仿宋" w:eastAsia="仿宋" w:cs="Times New Roman"/>
          <w:color w:val="auto"/>
          <w:sz w:val="24"/>
          <w:highlight w:val="none"/>
          <w:lang w:eastAsia="zh-CN"/>
        </w:rPr>
        <w:t>提交必要的合格证明文件、检测报告、技术资料、安装报告资料。</w:t>
      </w:r>
    </w:p>
    <w:p>
      <w:pPr>
        <w:spacing w:line="560" w:lineRule="exact"/>
        <w:ind w:firstLine="480" w:firstLineChars="20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2.16.6</w:t>
      </w:r>
      <w:r>
        <w:rPr>
          <w:rFonts w:hint="eastAsia" w:ascii="仿宋" w:hAnsi="仿宋" w:eastAsia="仿宋" w:cs="Times New Roman"/>
          <w:color w:val="auto"/>
          <w:sz w:val="24"/>
          <w:highlight w:val="none"/>
          <w:lang w:eastAsia="zh-CN"/>
        </w:rPr>
        <w:t>验收过程中所发生的所有费用（含检测、耗材、</w:t>
      </w:r>
      <w:r>
        <w:rPr>
          <w:rFonts w:hint="eastAsia" w:ascii="仿宋" w:hAnsi="仿宋" w:eastAsia="仿宋" w:cs="Times New Roman"/>
          <w:color w:val="auto"/>
          <w:sz w:val="24"/>
          <w:highlight w:val="none"/>
          <w:lang w:val="en-US" w:eastAsia="zh-CN"/>
        </w:rPr>
        <w:t>专家费</w:t>
      </w:r>
      <w:r>
        <w:rPr>
          <w:rFonts w:hint="eastAsia" w:ascii="仿宋" w:hAnsi="仿宋" w:eastAsia="仿宋" w:cs="Times New Roman"/>
          <w:color w:val="auto"/>
          <w:sz w:val="24"/>
          <w:highlight w:val="none"/>
          <w:lang w:eastAsia="zh-CN"/>
        </w:rPr>
        <w:t>等）由</w:t>
      </w:r>
      <w:r>
        <w:rPr>
          <w:rFonts w:hint="eastAsia" w:ascii="仿宋" w:hAnsi="仿宋" w:eastAsia="仿宋" w:cs="Times New Roman"/>
          <w:color w:val="auto"/>
          <w:sz w:val="24"/>
          <w:highlight w:val="none"/>
          <w:lang w:val="en-US" w:eastAsia="zh-CN"/>
        </w:rPr>
        <w:t>乙方</w:t>
      </w:r>
      <w:r>
        <w:rPr>
          <w:rFonts w:hint="eastAsia" w:ascii="仿宋" w:hAnsi="仿宋" w:eastAsia="仿宋" w:cs="Times New Roman"/>
          <w:color w:val="auto"/>
          <w:sz w:val="24"/>
          <w:highlight w:val="none"/>
          <w:lang w:eastAsia="zh-CN"/>
        </w:rPr>
        <w:t>承担。</w:t>
      </w:r>
    </w:p>
    <w:bookmarkEnd w:id="686"/>
    <w:bookmarkEnd w:id="687"/>
    <w:bookmarkEnd w:id="688"/>
    <w:bookmarkEnd w:id="689"/>
    <w:p>
      <w:pPr>
        <w:spacing w:line="560" w:lineRule="exact"/>
        <w:ind w:firstLine="482" w:firstLineChars="200"/>
        <w:outlineLvl w:val="0"/>
        <w:rPr>
          <w:rFonts w:ascii="仿宋" w:hAnsi="仿宋" w:eastAsia="仿宋"/>
          <w:b/>
          <w:color w:val="auto"/>
          <w:sz w:val="24"/>
          <w:highlight w:val="none"/>
        </w:rPr>
      </w:pPr>
      <w:bookmarkStart w:id="723" w:name="_Toc259093690"/>
      <w:bookmarkStart w:id="724" w:name="_Toc487900371"/>
      <w:bookmarkStart w:id="725" w:name="_Toc279701261"/>
      <w:bookmarkStart w:id="726" w:name="_Toc233"/>
      <w:bookmarkStart w:id="727" w:name="_Toc25182"/>
      <w:bookmarkStart w:id="728" w:name="_Toc11284"/>
      <w:r>
        <w:rPr>
          <w:rFonts w:ascii="仿宋" w:hAnsi="仿宋" w:eastAsia="仿宋"/>
          <w:b/>
          <w:color w:val="auto"/>
          <w:sz w:val="24"/>
          <w:highlight w:val="none"/>
        </w:rPr>
        <w:t xml:space="preserve">2.17 </w:t>
      </w:r>
      <w:r>
        <w:rPr>
          <w:rFonts w:hint="eastAsia" w:ascii="仿宋" w:hAnsi="仿宋" w:eastAsia="仿宋"/>
          <w:b/>
          <w:color w:val="auto"/>
          <w:sz w:val="24"/>
          <w:highlight w:val="none"/>
        </w:rPr>
        <w:t>通知</w:t>
      </w:r>
      <w:bookmarkEnd w:id="723"/>
      <w:bookmarkEnd w:id="724"/>
      <w:bookmarkEnd w:id="725"/>
      <w:r>
        <w:rPr>
          <w:rFonts w:hint="eastAsia" w:ascii="仿宋" w:hAnsi="仿宋" w:eastAsia="仿宋"/>
          <w:b/>
          <w:color w:val="auto"/>
          <w:sz w:val="24"/>
          <w:highlight w:val="none"/>
        </w:rPr>
        <w:t>和送达</w:t>
      </w:r>
      <w:bookmarkEnd w:id="726"/>
      <w:bookmarkEnd w:id="727"/>
      <w:bookmarkEnd w:id="728"/>
    </w:p>
    <w:p>
      <w:pPr>
        <w:spacing w:line="560" w:lineRule="exact"/>
        <w:ind w:firstLine="480" w:firstLineChars="200"/>
        <w:rPr>
          <w:rFonts w:ascii="仿宋" w:hAnsi="仿宋" w:eastAsia="仿宋"/>
          <w:color w:val="auto"/>
          <w:sz w:val="24"/>
          <w:highlight w:val="none"/>
        </w:rPr>
      </w:pPr>
      <w:bookmarkStart w:id="729" w:name="_Toc3135"/>
      <w:bookmarkStart w:id="730" w:name="_Toc6698"/>
      <w:bookmarkStart w:id="731" w:name="_Toc487900372"/>
      <w:bookmarkStart w:id="732" w:name="_Toc279701262"/>
      <w:bookmarkStart w:id="733" w:name="_Toc259093691"/>
      <w:r>
        <w:rPr>
          <w:rFonts w:ascii="仿宋" w:hAnsi="仿宋" w:eastAsia="仿宋"/>
          <w:color w:val="auto"/>
          <w:sz w:val="24"/>
          <w:highlight w:val="none"/>
        </w:rPr>
        <w:t>2.17.1</w:t>
      </w:r>
      <w:r>
        <w:rPr>
          <w:rFonts w:hint="eastAsia" w:ascii="仿宋" w:hAnsi="仿宋" w:eastAsia="仿宋"/>
          <w:color w:val="auto"/>
          <w:sz w:val="24"/>
          <w:highlight w:val="none"/>
        </w:rPr>
        <w:t>任何一方因履行合同而以合同第一部分尾部所列明的传真或电子邮件</w:t>
      </w:r>
      <w:r>
        <w:rPr>
          <w:rFonts w:ascii="仿宋" w:hAnsi="仿宋" w:eastAsia="仿宋"/>
          <w:color w:val="auto"/>
          <w:sz w:val="24"/>
          <w:highlight w:val="none"/>
        </w:rPr>
        <w:t xml:space="preserve"> </w:t>
      </w:r>
      <w:r>
        <w:rPr>
          <w:rFonts w:ascii="仿宋" w:hAnsi="仿宋" w:eastAsia="仿宋"/>
          <w:color w:val="auto"/>
          <w:sz w:val="24"/>
          <w:highlight w:val="none"/>
          <w:u w:val="single"/>
        </w:rPr>
        <w:t xml:space="preserve">       </w:t>
      </w:r>
      <w:r>
        <w:rPr>
          <w:rFonts w:hint="eastAsia" w:ascii="仿宋" w:hAnsi="仿宋" w:eastAsia="仿宋"/>
          <w:color w:val="auto"/>
          <w:sz w:val="24"/>
          <w:highlight w:val="none"/>
        </w:rPr>
        <w:t>发出的所有通知、文件、材料，均视为已向对方当事人送达；任何一方变更上述送达方式或者地址的，应于</w:t>
      </w:r>
      <w:r>
        <w:rPr>
          <w:rFonts w:hint="eastAsia" w:ascii="仿宋" w:hAnsi="仿宋" w:eastAsia="仿宋"/>
          <w:color w:val="auto"/>
          <w:sz w:val="24"/>
          <w:highlight w:val="none"/>
          <w:u w:val="single"/>
        </w:rPr>
        <w:t>3</w:t>
      </w:r>
      <w:r>
        <w:rPr>
          <w:rFonts w:hint="eastAsia" w:ascii="仿宋" w:hAnsi="仿宋" w:eastAsia="仿宋"/>
          <w:color w:val="auto"/>
          <w:sz w:val="24"/>
          <w:highlight w:val="none"/>
        </w:rPr>
        <w:t>个工作日内书面通知对方当事人，在对方当事人收到有关变更通知之前，变更前的约定送达方式或者地址仍视为有效。</w:t>
      </w:r>
      <w:bookmarkEnd w:id="729"/>
      <w:bookmarkEnd w:id="730"/>
    </w:p>
    <w:p>
      <w:pPr>
        <w:spacing w:line="560" w:lineRule="exact"/>
        <w:ind w:firstLine="480" w:firstLineChars="200"/>
        <w:rPr>
          <w:rFonts w:ascii="仿宋" w:hAnsi="仿宋" w:eastAsia="仿宋"/>
          <w:color w:val="auto"/>
          <w:sz w:val="24"/>
          <w:highlight w:val="none"/>
        </w:rPr>
      </w:pPr>
      <w:bookmarkStart w:id="734" w:name="_Toc23294"/>
      <w:bookmarkStart w:id="735" w:name="_Toc23128"/>
      <w:r>
        <w:rPr>
          <w:rFonts w:ascii="仿宋" w:hAnsi="仿宋" w:eastAsia="仿宋"/>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auto"/>
          <w:sz w:val="24"/>
          <w:highlight w:val="none"/>
        </w:rPr>
        <w:t>的，邮件挂号寄出或者交邮之日之次日视为送达。</w:t>
      </w:r>
      <w:bookmarkEnd w:id="734"/>
      <w:bookmarkEnd w:id="735"/>
    </w:p>
    <w:p>
      <w:pPr>
        <w:spacing w:line="560" w:lineRule="exact"/>
        <w:ind w:firstLine="482" w:firstLineChars="200"/>
        <w:outlineLvl w:val="0"/>
        <w:rPr>
          <w:rFonts w:ascii="仿宋" w:hAnsi="仿宋" w:eastAsia="仿宋"/>
          <w:b/>
          <w:color w:val="auto"/>
          <w:sz w:val="24"/>
          <w:highlight w:val="none"/>
        </w:rPr>
      </w:pPr>
      <w:bookmarkStart w:id="736" w:name="_Toc4355"/>
      <w:bookmarkStart w:id="737" w:name="_Toc30599"/>
      <w:bookmarkStart w:id="738" w:name="_Toc18540"/>
      <w:bookmarkStart w:id="739" w:name="_Toc1518"/>
      <w:r>
        <w:rPr>
          <w:rFonts w:ascii="仿宋" w:hAnsi="仿宋" w:eastAsia="仿宋"/>
          <w:b/>
          <w:color w:val="auto"/>
          <w:sz w:val="24"/>
          <w:highlight w:val="none"/>
        </w:rPr>
        <w:t xml:space="preserve">2.18 </w:t>
      </w:r>
      <w:r>
        <w:rPr>
          <w:rFonts w:hint="eastAsia" w:ascii="仿宋" w:hAnsi="仿宋" w:eastAsia="仿宋"/>
          <w:b/>
          <w:color w:val="auto"/>
          <w:sz w:val="24"/>
          <w:highlight w:val="none"/>
        </w:rPr>
        <w:t>计量单位</w:t>
      </w:r>
      <w:bookmarkEnd w:id="731"/>
      <w:bookmarkEnd w:id="732"/>
      <w:bookmarkEnd w:id="733"/>
      <w:bookmarkEnd w:id="736"/>
      <w:bookmarkEnd w:id="737"/>
      <w:bookmarkEnd w:id="738"/>
      <w:bookmarkEnd w:id="739"/>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除技术规范中另有规定外</w:t>
      </w:r>
      <w:r>
        <w:rPr>
          <w:rFonts w:ascii="仿宋" w:hAnsi="仿宋" w:eastAsia="仿宋"/>
          <w:color w:val="auto"/>
          <w:sz w:val="24"/>
          <w:highlight w:val="none"/>
        </w:rPr>
        <w:t>,合同的计量单位均使用国家法定计量单位。</w:t>
      </w:r>
    </w:p>
    <w:p>
      <w:pPr>
        <w:spacing w:line="560" w:lineRule="exact"/>
        <w:ind w:firstLine="482" w:firstLineChars="200"/>
        <w:outlineLvl w:val="0"/>
        <w:rPr>
          <w:rFonts w:ascii="仿宋" w:hAnsi="仿宋" w:eastAsia="仿宋"/>
          <w:b/>
          <w:color w:val="auto"/>
          <w:sz w:val="24"/>
          <w:highlight w:val="none"/>
        </w:rPr>
      </w:pPr>
      <w:bookmarkStart w:id="740" w:name="_Toc12773"/>
      <w:bookmarkStart w:id="741" w:name="_Toc10330"/>
      <w:bookmarkStart w:id="742" w:name="_Toc279701263"/>
      <w:bookmarkStart w:id="743" w:name="_Toc18912"/>
      <w:bookmarkStart w:id="744" w:name="_Toc259093692"/>
      <w:bookmarkStart w:id="745" w:name="_Toc487900373"/>
      <w:bookmarkStart w:id="746" w:name="_Toc18567"/>
      <w:r>
        <w:rPr>
          <w:rFonts w:ascii="仿宋" w:hAnsi="仿宋" w:eastAsia="仿宋"/>
          <w:b/>
          <w:color w:val="auto"/>
          <w:sz w:val="24"/>
          <w:highlight w:val="none"/>
        </w:rPr>
        <w:t xml:space="preserve">2.19 </w:t>
      </w:r>
      <w:r>
        <w:rPr>
          <w:rFonts w:hint="eastAsia" w:ascii="仿宋" w:hAnsi="仿宋" w:eastAsia="仿宋"/>
          <w:b/>
          <w:color w:val="auto"/>
          <w:sz w:val="24"/>
          <w:highlight w:val="none"/>
        </w:rPr>
        <w:t>合同使用的文字和适用的法律</w:t>
      </w:r>
      <w:bookmarkEnd w:id="740"/>
      <w:bookmarkEnd w:id="741"/>
      <w:bookmarkEnd w:id="742"/>
      <w:bookmarkEnd w:id="743"/>
      <w:bookmarkEnd w:id="744"/>
      <w:bookmarkEnd w:id="745"/>
      <w:bookmarkEnd w:id="746"/>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2.19.1 </w:t>
      </w:r>
      <w:r>
        <w:rPr>
          <w:rFonts w:hint="eastAsia" w:ascii="仿宋" w:hAnsi="仿宋" w:eastAsia="仿宋"/>
          <w:color w:val="auto"/>
          <w:sz w:val="24"/>
          <w:highlight w:val="none"/>
        </w:rPr>
        <w:t>合同使用汉语书就、变更和解释；</w:t>
      </w:r>
    </w:p>
    <w:p>
      <w:pPr>
        <w:spacing w:line="560" w:lineRule="exact"/>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2.19.2 </w:t>
      </w:r>
      <w:r>
        <w:rPr>
          <w:rFonts w:hint="eastAsia" w:ascii="仿宋" w:hAnsi="仿宋" w:eastAsia="仿宋"/>
          <w:color w:val="auto"/>
          <w:sz w:val="24"/>
          <w:highlight w:val="none"/>
        </w:rPr>
        <w:t>合同适用中华人民共和国法律。</w:t>
      </w:r>
    </w:p>
    <w:p>
      <w:pPr>
        <w:spacing w:line="560" w:lineRule="exact"/>
        <w:ind w:firstLine="482" w:firstLineChars="200"/>
        <w:outlineLvl w:val="0"/>
        <w:rPr>
          <w:rFonts w:ascii="仿宋" w:hAnsi="仿宋" w:eastAsia="仿宋"/>
          <w:b/>
          <w:color w:val="auto"/>
          <w:sz w:val="24"/>
          <w:highlight w:val="none"/>
        </w:rPr>
      </w:pPr>
      <w:bookmarkStart w:id="747" w:name="_Toc19890"/>
      <w:bookmarkStart w:id="748" w:name="_Toc6885"/>
      <w:bookmarkStart w:id="749" w:name="_Toc5304"/>
      <w:bookmarkStart w:id="750" w:name="_Toc14001"/>
      <w:r>
        <w:rPr>
          <w:rFonts w:ascii="仿宋" w:hAnsi="仿宋" w:eastAsia="仿宋"/>
          <w:b/>
          <w:color w:val="auto"/>
          <w:sz w:val="24"/>
          <w:highlight w:val="none"/>
        </w:rPr>
        <w:t>2.2</w:t>
      </w:r>
      <w:r>
        <w:rPr>
          <w:rFonts w:hint="eastAsia" w:ascii="仿宋" w:hAnsi="仿宋" w:eastAsia="仿宋"/>
          <w:b/>
          <w:color w:val="auto"/>
          <w:sz w:val="24"/>
          <w:highlight w:val="none"/>
          <w:lang w:val="en-US" w:eastAsia="zh-CN"/>
        </w:rPr>
        <w:t>0</w:t>
      </w:r>
      <w:r>
        <w:rPr>
          <w:rFonts w:hint="eastAsia" w:ascii="仿宋" w:hAnsi="仿宋" w:eastAsia="仿宋"/>
          <w:b/>
          <w:color w:val="auto"/>
          <w:sz w:val="24"/>
          <w:highlight w:val="none"/>
        </w:rPr>
        <w:t>合同份数</w:t>
      </w:r>
      <w:bookmarkEnd w:id="747"/>
      <w:bookmarkEnd w:id="748"/>
      <w:bookmarkEnd w:id="749"/>
      <w:bookmarkEnd w:id="750"/>
    </w:p>
    <w:p>
      <w:pPr>
        <w:spacing w:line="56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合同份数按</w:t>
      </w:r>
      <w:r>
        <w:rPr>
          <w:rFonts w:hint="eastAsia" w:ascii="仿宋" w:hAnsi="仿宋" w:eastAsia="仿宋"/>
          <w:b/>
          <w:i/>
          <w:color w:val="auto"/>
          <w:sz w:val="24"/>
          <w:highlight w:val="none"/>
          <w:u w:val="single"/>
        </w:rPr>
        <w:t>合同专用条款</w:t>
      </w:r>
      <w:r>
        <w:rPr>
          <w:rFonts w:hint="eastAsia" w:ascii="仿宋" w:hAnsi="仿宋" w:eastAsia="仿宋"/>
          <w:color w:val="auto"/>
          <w:sz w:val="24"/>
          <w:highlight w:val="none"/>
        </w:rPr>
        <w:t>规定，每份均具有同等法律效力。</w:t>
      </w:r>
    </w:p>
    <w:p>
      <w:pPr>
        <w:pStyle w:val="152"/>
        <w:spacing w:line="560" w:lineRule="exact"/>
        <w:ind w:left="0" w:leftChars="0" w:firstLine="0" w:firstLineChars="0"/>
        <w:jc w:val="center"/>
        <w:rPr>
          <w:rFonts w:ascii="仿宋" w:hAnsi="仿宋" w:eastAsia="仿宋"/>
          <w:b/>
          <w:color w:val="auto"/>
          <w:szCs w:val="24"/>
          <w:highlight w:val="none"/>
        </w:rPr>
      </w:pPr>
      <w:r>
        <w:rPr>
          <w:rFonts w:ascii="仿宋" w:hAnsi="仿宋" w:eastAsia="仿宋" w:cs="Times New Roman"/>
          <w:color w:val="auto"/>
          <w:kern w:val="0"/>
          <w:szCs w:val="24"/>
          <w:highlight w:val="none"/>
        </w:rPr>
        <w:br w:type="page"/>
      </w:r>
      <w:r>
        <w:rPr>
          <w:rFonts w:hint="eastAsia" w:ascii="仿宋" w:hAnsi="仿宋" w:eastAsia="仿宋"/>
          <w:b/>
          <w:color w:val="auto"/>
          <w:sz w:val="30"/>
          <w:szCs w:val="30"/>
          <w:highlight w:val="none"/>
        </w:rPr>
        <w:t>第三部分</w:t>
      </w:r>
      <w:r>
        <w:rPr>
          <w:rFonts w:ascii="仿宋" w:hAnsi="仿宋" w:eastAsia="仿宋"/>
          <w:b/>
          <w:color w:val="auto"/>
          <w:sz w:val="30"/>
          <w:szCs w:val="30"/>
          <w:highlight w:val="none"/>
        </w:rPr>
        <w:t xml:space="preserve">  </w:t>
      </w:r>
      <w:r>
        <w:rPr>
          <w:rFonts w:hint="eastAsia" w:ascii="仿宋" w:hAnsi="仿宋" w:eastAsia="仿宋"/>
          <w:b/>
          <w:color w:val="auto"/>
          <w:sz w:val="30"/>
          <w:szCs w:val="30"/>
          <w:highlight w:val="none"/>
        </w:rPr>
        <w:t>合同专用条款</w:t>
      </w:r>
    </w:p>
    <w:p>
      <w:pPr>
        <w:spacing w:line="560" w:lineRule="exact"/>
        <w:ind w:left="-420" w:leftChars="-200" w:right="-420" w:rightChars="-200" w:firstLine="480" w:firstLineChars="200"/>
        <w:rPr>
          <w:color w:val="auto"/>
          <w:highlight w:val="none"/>
        </w:rPr>
      </w:pPr>
      <w:r>
        <w:rPr>
          <w:rFonts w:hint="eastAsia" w:ascii="仿宋" w:hAnsi="仿宋" w:eastAsia="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37"/>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sz w:val="24"/>
                <w:highlight w:val="none"/>
                <w:lang w:eastAsia="zh-CN"/>
              </w:rPr>
            </w:pPr>
            <w:r>
              <w:rPr>
                <w:rFonts w:ascii="仿宋" w:hAnsi="仿宋" w:eastAsia="仿宋" w:cs="Times New Roman"/>
                <w:color w:val="auto"/>
                <w:sz w:val="24"/>
                <w:highlight w:val="none"/>
              </w:rPr>
              <w:t>1.4.</w:t>
            </w:r>
            <w:r>
              <w:rPr>
                <w:rFonts w:hint="eastAsia" w:ascii="仿宋" w:hAnsi="仿宋" w:eastAsia="仿宋" w:cs="Times New Roman"/>
                <w:color w:val="auto"/>
                <w:sz w:val="24"/>
                <w:highlight w:val="none"/>
                <w:lang w:val="en-US" w:eastAsia="zh-CN"/>
              </w:rPr>
              <w:t>2</w:t>
            </w:r>
          </w:p>
        </w:tc>
        <w:tc>
          <w:tcPr>
            <w:tcW w:w="8275" w:type="dxa"/>
            <w:noWrap w:val="0"/>
            <w:vAlign w:val="center"/>
          </w:tcPr>
          <w:p>
            <w:pPr>
              <w:spacing w:line="360" w:lineRule="auto"/>
              <w:rPr>
                <w:rFonts w:hint="eastAsia" w:ascii="仿宋" w:hAnsi="仿宋" w:eastAsia="仿宋" w:cs="Times New Roman"/>
                <w:color w:val="auto"/>
                <w:sz w:val="24"/>
                <w:highlight w:val="none"/>
                <w:lang w:eastAsia="zh-CN"/>
              </w:rPr>
            </w:pPr>
            <w:r>
              <w:rPr>
                <w:rFonts w:hint="eastAsia" w:ascii="仿宋" w:hAnsi="仿宋" w:eastAsia="仿宋" w:cs="Times New Roman"/>
                <w:b w:val="0"/>
                <w:bCs/>
                <w:color w:val="auto"/>
                <w:sz w:val="24"/>
                <w:highlight w:val="none"/>
              </w:rPr>
              <w:t>履约保证金支付方式</w:t>
            </w:r>
            <w:r>
              <w:rPr>
                <w:rFonts w:hint="eastAsia" w:ascii="仿宋" w:hAnsi="仿宋" w:eastAsia="仿宋" w:cs="Times New Roman"/>
                <w:b w:val="0"/>
                <w:bCs/>
                <w:color w:val="auto"/>
                <w:sz w:val="24"/>
                <w:highlight w:val="none"/>
                <w:lang w:eastAsia="zh-CN"/>
              </w:rPr>
              <w:t>：</w:t>
            </w:r>
            <w:r>
              <w:rPr>
                <w:rFonts w:hint="eastAsia" w:ascii="仿宋" w:hAnsi="仿宋" w:eastAsia="仿宋" w:cs="Times New Roman"/>
                <w:b w:val="0"/>
                <w:bCs/>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ascii="仿宋" w:hAnsi="仿宋" w:eastAsia="仿宋" w:cs="Times New Roman"/>
                <w:color w:val="auto"/>
                <w:sz w:val="24"/>
                <w:highlight w:val="none"/>
              </w:rPr>
            </w:pPr>
            <w:r>
              <w:rPr>
                <w:rFonts w:ascii="仿宋" w:hAnsi="仿宋" w:eastAsia="仿宋" w:cs="Times New Roman"/>
                <w:color w:val="auto"/>
                <w:sz w:val="24"/>
                <w:highlight w:val="none"/>
              </w:rPr>
              <w:t xml:space="preserve">1.5.1 </w:t>
            </w:r>
          </w:p>
        </w:tc>
        <w:tc>
          <w:tcPr>
            <w:tcW w:w="8275" w:type="dxa"/>
            <w:noWrap w:val="0"/>
            <w:vAlign w:val="center"/>
          </w:tcPr>
          <w:p>
            <w:pPr>
              <w:spacing w:line="360" w:lineRule="auto"/>
              <w:rPr>
                <w:rFonts w:hint="eastAsia" w:ascii="仿宋" w:hAnsi="仿宋" w:eastAsia="仿宋" w:cs="Times New Roman"/>
                <w:color w:val="auto"/>
                <w:sz w:val="24"/>
                <w:highlight w:val="none"/>
                <w:lang w:eastAsia="zh-CN"/>
              </w:rPr>
            </w:pPr>
            <w:r>
              <w:rPr>
                <w:rFonts w:hint="eastAsia" w:ascii="仿宋" w:hAnsi="仿宋" w:eastAsia="仿宋" w:cs="Times New Roman"/>
                <w:b w:val="0"/>
                <w:bCs/>
                <w:color w:val="auto"/>
                <w:sz w:val="24"/>
                <w:highlight w:val="none"/>
              </w:rPr>
              <w:t>预付款比例、支付方式、时间</w:t>
            </w:r>
            <w:r>
              <w:rPr>
                <w:rFonts w:hint="eastAsia" w:ascii="仿宋" w:hAnsi="仿宋" w:eastAsia="仿宋" w:cs="Times New Roman"/>
                <w:b w:val="0"/>
                <w:bCs/>
                <w:color w:val="auto"/>
                <w:sz w:val="24"/>
                <w:highlight w:val="none"/>
                <w:lang w:eastAsia="zh-CN"/>
              </w:rPr>
              <w:t>：</w:t>
            </w:r>
            <w:r>
              <w:rPr>
                <w:rFonts w:hint="eastAsia" w:ascii="Times New Roman" w:hAnsi="宋体" w:eastAsia="宋体" w:cs="Times New Roman"/>
                <w:bCs/>
                <w:color w:val="auto"/>
                <w:szCs w:val="21"/>
                <w:highlight w:val="none"/>
                <w:lang w:val="en-US" w:eastAsia="zh-CN"/>
              </w:rPr>
              <w:t>合同签订生效且具备实施条件之日起，收到乙方提供的有效发票后7个工作日内</w:t>
            </w:r>
            <w:r>
              <w:rPr>
                <w:rFonts w:hint="eastAsia" w:ascii="仿宋" w:hAnsi="仿宋" w:eastAsia="仿宋" w:cs="Times New Roman"/>
                <w:b w:val="0"/>
                <w:bCs/>
                <w:color w:val="auto"/>
                <w:sz w:val="24"/>
                <w:highlight w:val="none"/>
                <w:lang w:eastAsia="zh-CN"/>
              </w:rPr>
              <w:t>，</w:t>
            </w:r>
            <w:r>
              <w:rPr>
                <w:rFonts w:hint="eastAsia" w:ascii="仿宋" w:hAnsi="仿宋" w:eastAsia="仿宋" w:cs="Times New Roman"/>
                <w:b w:val="0"/>
                <w:bCs/>
                <w:color w:val="auto"/>
                <w:sz w:val="24"/>
                <w:highlight w:val="none"/>
                <w:lang w:val="en-US" w:eastAsia="zh-CN"/>
              </w:rPr>
              <w:t>甲方</w:t>
            </w:r>
            <w:r>
              <w:rPr>
                <w:rFonts w:hint="eastAsia" w:ascii="仿宋" w:hAnsi="仿宋" w:eastAsia="仿宋" w:cs="Times New Roman"/>
                <w:b w:val="0"/>
                <w:bCs/>
                <w:color w:val="auto"/>
                <w:sz w:val="24"/>
                <w:highlight w:val="none"/>
                <w:lang w:eastAsia="zh-CN"/>
              </w:rPr>
              <w:t>须支付合同价款的40%作为预付款。（根据浙财采监〔2022〕3号文件要求，在签订合同时，如</w:t>
            </w:r>
            <w:r>
              <w:rPr>
                <w:rFonts w:hint="eastAsia" w:ascii="仿宋" w:hAnsi="仿宋" w:eastAsia="仿宋" w:cs="Times New Roman"/>
                <w:b w:val="0"/>
                <w:bCs/>
                <w:color w:val="auto"/>
                <w:sz w:val="24"/>
                <w:highlight w:val="none"/>
                <w:lang w:val="en-US" w:eastAsia="zh-CN"/>
              </w:rPr>
              <w:t>乙方</w:t>
            </w:r>
            <w:r>
              <w:rPr>
                <w:rFonts w:hint="eastAsia" w:ascii="仿宋" w:hAnsi="仿宋" w:eastAsia="仿宋" w:cs="Times New Roman"/>
                <w:b w:val="0"/>
                <w:bCs/>
                <w:color w:val="auto"/>
                <w:sz w:val="24"/>
                <w:highlight w:val="none"/>
                <w:lang w:eastAsia="zh-CN"/>
              </w:rPr>
              <w:t>为大型企业或</w:t>
            </w:r>
            <w:r>
              <w:rPr>
                <w:rFonts w:hint="eastAsia" w:ascii="仿宋" w:hAnsi="仿宋" w:eastAsia="仿宋" w:cs="Times New Roman"/>
                <w:b w:val="0"/>
                <w:bCs/>
                <w:color w:val="auto"/>
                <w:sz w:val="24"/>
                <w:highlight w:val="none"/>
                <w:lang w:val="en-US" w:eastAsia="zh-CN"/>
              </w:rPr>
              <w:t>乙方</w:t>
            </w:r>
            <w:r>
              <w:rPr>
                <w:rFonts w:hint="eastAsia" w:ascii="仿宋" w:hAnsi="仿宋" w:eastAsia="仿宋" w:cs="Times New Roman"/>
                <w:b w:val="0"/>
                <w:bCs/>
                <w:color w:val="auto"/>
                <w:sz w:val="24"/>
                <w:highlight w:val="none"/>
                <w:lang w:eastAsia="zh-CN"/>
              </w:rPr>
              <w:t>明确表示无需预付款或者主动要求降低预付款比例的，</w:t>
            </w:r>
            <w:r>
              <w:rPr>
                <w:rFonts w:hint="eastAsia" w:ascii="仿宋" w:hAnsi="仿宋" w:eastAsia="仿宋" w:cs="Times New Roman"/>
                <w:b w:val="0"/>
                <w:bCs/>
                <w:color w:val="auto"/>
                <w:sz w:val="24"/>
                <w:highlight w:val="none"/>
                <w:lang w:val="en-US" w:eastAsia="zh-CN"/>
              </w:rPr>
              <w:t>甲方</w:t>
            </w:r>
            <w:r>
              <w:rPr>
                <w:rFonts w:hint="eastAsia" w:ascii="仿宋" w:hAnsi="仿宋" w:eastAsia="仿宋" w:cs="Times New Roman"/>
                <w:b w:val="0"/>
                <w:bCs/>
                <w:color w:val="auto"/>
                <w:sz w:val="24"/>
                <w:highlight w:val="none"/>
                <w:lang w:eastAsia="zh-CN"/>
              </w:rPr>
              <w:t>可不适用前述规定。）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ascii="仿宋" w:hAnsi="仿宋" w:eastAsia="仿宋" w:cs="Times New Roman"/>
                <w:color w:val="auto"/>
                <w:sz w:val="24"/>
                <w:highlight w:val="none"/>
              </w:rPr>
            </w:pPr>
            <w:r>
              <w:rPr>
                <w:rFonts w:ascii="仿宋" w:hAnsi="仿宋" w:eastAsia="仿宋" w:cs="Times New Roman"/>
                <w:color w:val="auto"/>
                <w:sz w:val="24"/>
                <w:highlight w:val="none"/>
              </w:rPr>
              <w:t>1.5.2</w:t>
            </w:r>
          </w:p>
        </w:tc>
        <w:tc>
          <w:tcPr>
            <w:tcW w:w="8275" w:type="dxa"/>
            <w:noWrap w:val="0"/>
            <w:vAlign w:val="center"/>
          </w:tcPr>
          <w:p>
            <w:pPr>
              <w:spacing w:line="360" w:lineRule="auto"/>
              <w:rPr>
                <w:rFonts w:hint="eastAsia" w:ascii="仿宋" w:hAnsi="仿宋" w:eastAsia="仿宋" w:cs="Times New Roman"/>
                <w:color w:val="auto"/>
                <w:sz w:val="24"/>
                <w:highlight w:val="none"/>
                <w:lang w:eastAsia="zh-CN"/>
              </w:rPr>
            </w:pPr>
            <w:r>
              <w:rPr>
                <w:rFonts w:hint="eastAsia" w:ascii="仿宋" w:hAnsi="仿宋" w:eastAsia="仿宋" w:cs="Times New Roman"/>
                <w:b w:val="0"/>
                <w:bCs/>
                <w:color w:val="auto"/>
                <w:sz w:val="24"/>
                <w:highlight w:val="none"/>
              </w:rPr>
              <w:t>预付款的扣回方式</w:t>
            </w:r>
            <w:r>
              <w:rPr>
                <w:rFonts w:hint="eastAsia" w:ascii="仿宋" w:hAnsi="仿宋" w:eastAsia="仿宋" w:cs="Times New Roman"/>
                <w:b w:val="0"/>
                <w:bCs/>
                <w:color w:val="auto"/>
                <w:sz w:val="24"/>
                <w:highlight w:val="none"/>
                <w:lang w:eastAsia="zh-CN"/>
              </w:rPr>
              <w:t>：预付款在后续货款中作相应抵扣。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ascii="仿宋" w:hAnsi="仿宋" w:eastAsia="仿宋" w:cs="Times New Roman"/>
                <w:color w:val="auto"/>
                <w:sz w:val="24"/>
                <w:highlight w:val="none"/>
              </w:rPr>
            </w:pPr>
            <w:r>
              <w:rPr>
                <w:rFonts w:ascii="仿宋" w:hAnsi="仿宋" w:eastAsia="仿宋" w:cs="Times New Roman"/>
                <w:color w:val="auto"/>
                <w:sz w:val="24"/>
                <w:highlight w:val="none"/>
              </w:rPr>
              <w:t xml:space="preserve">1.5.3 </w:t>
            </w:r>
          </w:p>
        </w:tc>
        <w:tc>
          <w:tcPr>
            <w:tcW w:w="8275" w:type="dxa"/>
            <w:noWrap w:val="0"/>
            <w:vAlign w:val="center"/>
          </w:tcPr>
          <w:p>
            <w:pPr>
              <w:spacing w:line="360" w:lineRule="auto"/>
              <w:rPr>
                <w:rFonts w:hint="default" w:ascii="仿宋" w:hAnsi="仿宋" w:eastAsia="仿宋" w:cs="Times New Roman"/>
                <w:color w:val="auto"/>
                <w:sz w:val="24"/>
                <w:highlight w:val="none"/>
                <w:lang w:val="en-US" w:eastAsia="zh-CN"/>
              </w:rPr>
            </w:pPr>
            <w:r>
              <w:rPr>
                <w:rFonts w:hint="eastAsia" w:ascii="仿宋" w:hAnsi="仿宋" w:eastAsia="仿宋" w:cs="Times New Roman"/>
                <w:b w:val="0"/>
                <w:bCs/>
                <w:color w:val="auto"/>
                <w:sz w:val="24"/>
                <w:highlight w:val="none"/>
              </w:rPr>
              <w:t>预付款的担保措施</w:t>
            </w:r>
            <w:r>
              <w:rPr>
                <w:rFonts w:hint="eastAsia" w:ascii="仿宋" w:hAnsi="仿宋" w:eastAsia="仿宋" w:cs="Times New Roman"/>
                <w:b w:val="0"/>
                <w:bCs/>
                <w:color w:val="auto"/>
                <w:sz w:val="24"/>
                <w:highlight w:val="none"/>
                <w:lang w:eastAsia="zh-CN"/>
              </w:rPr>
              <w:t>：</w:t>
            </w:r>
            <w:r>
              <w:rPr>
                <w:rFonts w:hint="eastAsia" w:ascii="仿宋" w:hAnsi="仿宋" w:eastAsia="仿宋" w:cs="Times New Roman"/>
                <w:b w:val="0"/>
                <w:bCs/>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rPr>
              <w:t>1.6.</w:t>
            </w:r>
            <w:r>
              <w:rPr>
                <w:rFonts w:hint="eastAsia" w:ascii="仿宋" w:hAnsi="仿宋" w:eastAsia="仿宋" w:cs="Times New Roman"/>
                <w:color w:val="auto"/>
                <w:sz w:val="24"/>
                <w:highlight w:val="none"/>
                <w:lang w:val="en-US" w:eastAsia="zh-CN"/>
              </w:rPr>
              <w:t>2</w:t>
            </w:r>
          </w:p>
        </w:tc>
        <w:tc>
          <w:tcPr>
            <w:tcW w:w="8275" w:type="dxa"/>
            <w:noWrap w:val="0"/>
            <w:vAlign w:val="center"/>
          </w:tcPr>
          <w:p>
            <w:pPr>
              <w:spacing w:line="360" w:lineRule="auto"/>
              <w:rPr>
                <w:rFonts w:hint="eastAsia" w:ascii="仿宋" w:hAnsi="仿宋" w:eastAsia="仿宋" w:cs="Times New Roman"/>
                <w:color w:val="auto"/>
                <w:sz w:val="24"/>
                <w:highlight w:val="none"/>
                <w:lang w:eastAsia="zh-CN"/>
              </w:rPr>
            </w:pPr>
            <w:r>
              <w:rPr>
                <w:rFonts w:hint="eastAsia" w:ascii="仿宋" w:hAnsi="仿宋" w:eastAsia="仿宋" w:cs="Times New Roman"/>
                <w:b w:val="0"/>
                <w:bCs/>
                <w:color w:val="auto"/>
                <w:sz w:val="24"/>
                <w:highlight w:val="none"/>
              </w:rPr>
              <w:t>资金支付的方式、时间和条件</w:t>
            </w:r>
            <w:r>
              <w:rPr>
                <w:rFonts w:hint="eastAsia" w:ascii="仿宋" w:hAnsi="仿宋" w:eastAsia="仿宋" w:cs="Times New Roman"/>
                <w:b w:val="0"/>
                <w:bCs/>
                <w:color w:val="auto"/>
                <w:sz w:val="24"/>
                <w:highlight w:val="none"/>
                <w:lang w:eastAsia="zh-CN"/>
              </w:rPr>
              <w:t>：设备到货通过初验后，甲方收到发票后7个工作日内支付合同货款90%（注：预付款在此扣回），设备投入使用满6个月后，并通过验收合格后7个工作日支付剩余货款。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rPr>
              <w:t>1.7</w:t>
            </w:r>
            <w:r>
              <w:rPr>
                <w:rFonts w:hint="eastAsia" w:ascii="仿宋" w:hAnsi="仿宋" w:eastAsia="仿宋" w:cs="Times New Roman"/>
                <w:color w:val="auto"/>
                <w:sz w:val="24"/>
                <w:highlight w:val="none"/>
                <w:lang w:val="en-US" w:eastAsia="zh-CN"/>
              </w:rPr>
              <w:t>.1</w:t>
            </w:r>
          </w:p>
        </w:tc>
        <w:tc>
          <w:tcPr>
            <w:tcW w:w="8275" w:type="dxa"/>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b w:val="0"/>
                <w:bCs/>
                <w:color w:val="auto"/>
                <w:sz w:val="24"/>
                <w:highlight w:val="none"/>
              </w:rPr>
              <w:t>交付期限：合同签订后≤30个工作日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color w:val="auto"/>
                <w:sz w:val="24"/>
                <w:highlight w:val="none"/>
              </w:rPr>
              <w:t>1.7.</w:t>
            </w:r>
            <w:r>
              <w:rPr>
                <w:rFonts w:hint="eastAsia" w:ascii="仿宋" w:hAnsi="仿宋" w:eastAsia="仿宋" w:cs="Times New Roman"/>
                <w:color w:val="auto"/>
                <w:sz w:val="24"/>
                <w:highlight w:val="none"/>
                <w:lang w:val="en-US" w:eastAsia="zh-CN"/>
              </w:rPr>
              <w:t>2</w:t>
            </w:r>
          </w:p>
        </w:tc>
        <w:tc>
          <w:tcPr>
            <w:tcW w:w="8275" w:type="dxa"/>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b w:val="0"/>
                <w:bCs/>
                <w:color w:val="auto"/>
                <w:sz w:val="24"/>
                <w:highlight w:val="none"/>
              </w:rPr>
              <w:t>交付地点：</w:t>
            </w:r>
            <w:r>
              <w:rPr>
                <w:rFonts w:hint="eastAsia" w:ascii="仿宋" w:hAnsi="仿宋" w:eastAsia="仿宋" w:cs="Times New Roman"/>
                <w:b w:val="0"/>
                <w:bCs/>
                <w:color w:val="auto"/>
                <w:sz w:val="24"/>
                <w:highlight w:val="none"/>
                <w:lang w:val="en-US" w:eastAsia="zh-CN"/>
              </w:rPr>
              <w:t>瑞安市第五人民医院</w:t>
            </w:r>
            <w:r>
              <w:rPr>
                <w:rFonts w:hint="eastAsia" w:ascii="仿宋" w:hAnsi="仿宋" w:eastAsia="仿宋" w:cs="Times New Roman"/>
                <w:b w:val="0"/>
                <w:bCs/>
                <w:color w:val="auto"/>
                <w:sz w:val="24"/>
                <w:highlight w:val="none"/>
                <w:lang w:eastAsia="zh-CN"/>
              </w:rPr>
              <w:t>指定</w:t>
            </w:r>
            <w:r>
              <w:rPr>
                <w:rFonts w:hint="eastAsia" w:ascii="仿宋" w:hAnsi="仿宋" w:eastAsia="仿宋" w:cs="Times New Roman"/>
                <w:b w:val="0"/>
                <w:bCs/>
                <w:color w:val="auto"/>
                <w:sz w:val="24"/>
                <w:highlight w:val="none"/>
                <w:lang w:val="en-US" w:eastAsia="zh-CN"/>
              </w:rPr>
              <w:t>地点</w:t>
            </w:r>
            <w:r>
              <w:rPr>
                <w:rFonts w:hint="eastAsia" w:ascii="仿宋" w:hAnsi="仿宋" w:eastAsia="仿宋" w:cs="Times New Roman"/>
                <w:b w:val="0"/>
                <w:bCs/>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color w:val="auto"/>
                <w:sz w:val="24"/>
                <w:highlight w:val="none"/>
              </w:rPr>
              <w:t>1.7.</w:t>
            </w:r>
            <w:r>
              <w:rPr>
                <w:rFonts w:hint="eastAsia" w:ascii="仿宋" w:hAnsi="仿宋" w:eastAsia="仿宋" w:cs="Times New Roman"/>
                <w:color w:val="auto"/>
                <w:sz w:val="24"/>
                <w:highlight w:val="none"/>
                <w:lang w:val="en-US" w:eastAsia="zh-CN"/>
              </w:rPr>
              <w:t>3</w:t>
            </w:r>
          </w:p>
        </w:tc>
        <w:tc>
          <w:tcPr>
            <w:tcW w:w="8275" w:type="dxa"/>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b w:val="0"/>
                <w:bCs/>
                <w:color w:val="auto"/>
                <w:sz w:val="24"/>
                <w:highlight w:val="none"/>
              </w:rPr>
              <w:t>交付方式：</w:t>
            </w:r>
            <w:r>
              <w:rPr>
                <w:rFonts w:hint="eastAsia" w:ascii="仿宋" w:hAnsi="仿宋" w:eastAsia="仿宋" w:cs="Times New Roman"/>
                <w:b w:val="0"/>
                <w:bCs/>
                <w:color w:val="auto"/>
                <w:sz w:val="24"/>
                <w:highlight w:val="none"/>
                <w:lang w:eastAsia="zh-CN"/>
              </w:rPr>
              <w:t>在接到</w:t>
            </w:r>
            <w:r>
              <w:rPr>
                <w:rFonts w:hint="eastAsia" w:ascii="仿宋" w:hAnsi="仿宋" w:eastAsia="仿宋" w:cs="Times New Roman"/>
                <w:b w:val="0"/>
                <w:bCs/>
                <w:color w:val="auto"/>
                <w:sz w:val="24"/>
                <w:highlight w:val="none"/>
                <w:lang w:val="en-US" w:eastAsia="zh-CN"/>
              </w:rPr>
              <w:t>甲方</w:t>
            </w:r>
            <w:r>
              <w:rPr>
                <w:rFonts w:hint="eastAsia" w:ascii="仿宋" w:hAnsi="仿宋" w:eastAsia="仿宋" w:cs="Times New Roman"/>
                <w:b w:val="0"/>
                <w:bCs/>
                <w:color w:val="auto"/>
                <w:sz w:val="24"/>
                <w:highlight w:val="none"/>
                <w:lang w:eastAsia="zh-CN"/>
              </w:rPr>
              <w:t>通知后，</w:t>
            </w:r>
            <w:r>
              <w:rPr>
                <w:rFonts w:hint="eastAsia" w:ascii="仿宋" w:hAnsi="仿宋" w:eastAsia="仿宋" w:cs="Times New Roman"/>
                <w:b w:val="0"/>
                <w:bCs/>
                <w:color w:val="auto"/>
                <w:sz w:val="24"/>
                <w:highlight w:val="none"/>
                <w:lang w:val="en-US" w:eastAsia="zh-CN"/>
              </w:rPr>
              <w:t>乙方</w:t>
            </w:r>
            <w:r>
              <w:rPr>
                <w:rFonts w:hint="eastAsia" w:ascii="仿宋" w:hAnsi="仿宋" w:eastAsia="仿宋" w:cs="Times New Roman"/>
                <w:b w:val="0"/>
                <w:bCs/>
                <w:color w:val="auto"/>
                <w:sz w:val="24"/>
                <w:highlight w:val="none"/>
                <w:lang w:eastAsia="zh-CN"/>
              </w:rPr>
              <w:t>须对</w:t>
            </w:r>
            <w:r>
              <w:rPr>
                <w:rFonts w:hint="eastAsia" w:ascii="仿宋" w:hAnsi="仿宋" w:eastAsia="仿宋" w:cs="Times New Roman"/>
                <w:b w:val="0"/>
                <w:bCs/>
                <w:color w:val="auto"/>
                <w:sz w:val="24"/>
                <w:highlight w:val="none"/>
                <w:lang w:val="en-US" w:eastAsia="zh-CN"/>
              </w:rPr>
              <w:t>甲方</w:t>
            </w:r>
            <w:r>
              <w:rPr>
                <w:rFonts w:hint="eastAsia" w:ascii="仿宋" w:hAnsi="仿宋" w:eastAsia="仿宋" w:cs="Times New Roman"/>
                <w:b w:val="0"/>
                <w:bCs/>
                <w:color w:val="auto"/>
                <w:sz w:val="24"/>
                <w:highlight w:val="none"/>
                <w:lang w:eastAsia="zh-CN"/>
              </w:rPr>
              <w:t>现场进行查勘，现场勘察后10个工作日内书面提供</w:t>
            </w:r>
            <w:r>
              <w:rPr>
                <w:rFonts w:hint="eastAsia" w:ascii="仿宋" w:hAnsi="仿宋" w:eastAsia="仿宋" w:cs="Times New Roman"/>
                <w:b w:val="0"/>
                <w:bCs/>
                <w:color w:val="auto"/>
                <w:sz w:val="24"/>
                <w:highlight w:val="none"/>
                <w:lang w:val="en-US" w:eastAsia="zh-CN"/>
              </w:rPr>
              <w:t>甲方</w:t>
            </w:r>
            <w:r>
              <w:rPr>
                <w:rFonts w:hint="eastAsia" w:ascii="仿宋" w:hAnsi="仿宋" w:eastAsia="仿宋" w:cs="Times New Roman"/>
                <w:b w:val="0"/>
                <w:bCs/>
                <w:color w:val="auto"/>
                <w:sz w:val="24"/>
                <w:highlight w:val="none"/>
                <w:lang w:eastAsia="zh-CN"/>
              </w:rPr>
              <w:t>认可的运输方案及安装方案，安装</w:t>
            </w:r>
            <w:r>
              <w:rPr>
                <w:rFonts w:hint="eastAsia" w:ascii="仿宋" w:hAnsi="仿宋" w:eastAsia="仿宋" w:cs="Times New Roman"/>
                <w:b w:val="0"/>
                <w:bCs/>
                <w:color w:val="auto"/>
                <w:sz w:val="24"/>
                <w:highlight w:val="none"/>
                <w:lang w:val="en-US" w:eastAsia="zh-CN"/>
              </w:rPr>
              <w:t>至甲方</w:t>
            </w:r>
            <w:r>
              <w:rPr>
                <w:rFonts w:hint="eastAsia" w:ascii="仿宋" w:hAnsi="仿宋" w:eastAsia="仿宋" w:cs="Times New Roman"/>
                <w:b w:val="0"/>
                <w:bCs/>
                <w:color w:val="auto"/>
                <w:sz w:val="24"/>
                <w:highlight w:val="none"/>
                <w:lang w:eastAsia="zh-CN"/>
              </w:rPr>
              <w:t>指定机房。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1.8.6</w:t>
            </w:r>
          </w:p>
        </w:tc>
        <w:tc>
          <w:tcPr>
            <w:tcW w:w="8275" w:type="dxa"/>
            <w:noWrap w:val="0"/>
            <w:vAlign w:val="center"/>
          </w:tcPr>
          <w:p>
            <w:pPr>
              <w:spacing w:line="360" w:lineRule="auto"/>
              <w:ind w:left="-420" w:leftChars="-200" w:right="-420" w:rightChars="-200" w:firstLine="480" w:firstLineChars="20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1.9</w:t>
            </w:r>
          </w:p>
        </w:tc>
        <w:tc>
          <w:tcPr>
            <w:tcW w:w="8275" w:type="dxa"/>
            <w:noWrap w:val="0"/>
            <w:vAlign w:val="center"/>
          </w:tcPr>
          <w:p>
            <w:pPr>
              <w:spacing w:line="360" w:lineRule="auto"/>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rPr>
              <w:t>本合同履行过程中发生的任何争议，双方当事人均可通过和解或者调解解决；不愿和解、调解或者和解、调解不成的，</w:t>
            </w:r>
            <w:r>
              <w:rPr>
                <w:rFonts w:hint="eastAsia" w:ascii="仿宋" w:hAnsi="仿宋" w:eastAsia="仿宋" w:cs="Times New Roman"/>
                <w:b w:val="0"/>
                <w:bCs/>
                <w:color w:val="auto"/>
                <w:sz w:val="24"/>
                <w:highlight w:val="none"/>
              </w:rPr>
              <w:t>向</w:t>
            </w:r>
            <w:r>
              <w:rPr>
                <w:rFonts w:hint="eastAsia" w:ascii="仿宋" w:hAnsi="仿宋" w:eastAsia="仿宋" w:cs="Times New Roman"/>
                <w:b w:val="0"/>
                <w:bCs/>
                <w:color w:val="auto"/>
                <w:sz w:val="24"/>
                <w:highlight w:val="none"/>
                <w:lang w:val="en-US" w:eastAsia="zh-CN"/>
              </w:rPr>
              <w:t>项目所在地</w:t>
            </w:r>
            <w:r>
              <w:rPr>
                <w:rFonts w:hint="eastAsia" w:ascii="仿宋" w:hAnsi="仿宋" w:eastAsia="仿宋" w:cs="Times New Roman"/>
                <w:b w:val="0"/>
                <w:bCs/>
                <w:color w:val="auto"/>
                <w:sz w:val="24"/>
                <w:highlight w:val="none"/>
              </w:rPr>
              <w:t>人民法院起诉</w:t>
            </w:r>
            <w:r>
              <w:rPr>
                <w:rFonts w:hint="eastAsia" w:ascii="仿宋" w:hAnsi="仿宋" w:eastAsia="仿宋" w:cs="Times New Roman"/>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w:t>
            </w:r>
            <w:r>
              <w:rPr>
                <w:rFonts w:hint="eastAsia" w:ascii="仿宋" w:hAnsi="仿宋" w:eastAsia="仿宋" w:cs="Times New Roman"/>
                <w:color w:val="auto"/>
                <w:sz w:val="24"/>
                <w:highlight w:val="none"/>
                <w:lang w:val="en-US" w:eastAsia="zh-CN"/>
              </w:rPr>
              <w:t>3</w:t>
            </w:r>
            <w:r>
              <w:rPr>
                <w:rFonts w:hint="eastAsia" w:ascii="仿宋" w:hAnsi="仿宋" w:eastAsia="仿宋" w:cs="Times New Roman"/>
                <w:color w:val="auto"/>
                <w:sz w:val="24"/>
                <w:highlight w:val="none"/>
              </w:rPr>
              <w:t>.2</w:t>
            </w:r>
          </w:p>
        </w:tc>
        <w:tc>
          <w:tcPr>
            <w:tcW w:w="8275" w:type="dxa"/>
            <w:noWrap w:val="0"/>
            <w:vAlign w:val="center"/>
          </w:tcPr>
          <w:p>
            <w:pPr>
              <w:spacing w:line="360" w:lineRule="auto"/>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所提供的产品应具有知识产权的合法产品，且中标人保证所提供的货物或其任何一部分均不会侵犯任何第三方的知识产权。货物所含的软件招标人具有永久使用权。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top"/>
          </w:tcPr>
          <w:p>
            <w:pPr>
              <w:spacing w:line="360" w:lineRule="auto"/>
              <w:rPr>
                <w:rFonts w:ascii="仿宋" w:hAnsi="仿宋" w:eastAsia="仿宋" w:cs="Times New Roman"/>
                <w:color w:val="auto"/>
                <w:sz w:val="24"/>
                <w:highlight w:val="none"/>
              </w:rPr>
            </w:pPr>
            <w:r>
              <w:rPr>
                <w:rFonts w:hint="eastAsia" w:ascii="仿宋" w:hAnsi="仿宋" w:eastAsia="仿宋" w:cs="Times New Roman"/>
                <w:color w:val="auto"/>
                <w:sz w:val="24"/>
                <w:highlight w:val="none"/>
              </w:rPr>
              <w:t>2.</w:t>
            </w:r>
            <w:r>
              <w:rPr>
                <w:rFonts w:hint="eastAsia" w:ascii="仿宋" w:hAnsi="仿宋" w:eastAsia="仿宋" w:cs="Times New Roman"/>
                <w:color w:val="auto"/>
                <w:sz w:val="24"/>
                <w:highlight w:val="none"/>
                <w:lang w:val="en-US" w:eastAsia="zh-CN"/>
              </w:rPr>
              <w:t>.4.1</w:t>
            </w:r>
            <w:r>
              <w:rPr>
                <w:rFonts w:hint="eastAsia" w:ascii="仿宋" w:hAnsi="仿宋" w:eastAsia="仿宋" w:cs="Times New Roman"/>
                <w:color w:val="auto"/>
                <w:sz w:val="24"/>
                <w:highlight w:val="none"/>
              </w:rPr>
              <w:t xml:space="preserve"> </w:t>
            </w:r>
          </w:p>
        </w:tc>
        <w:tc>
          <w:tcPr>
            <w:tcW w:w="8275" w:type="dxa"/>
            <w:noWrap w:val="0"/>
            <w:vAlign w:val="top"/>
          </w:tcPr>
          <w:p>
            <w:pPr>
              <w:spacing w:line="360" w:lineRule="auto"/>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ascii="仿宋" w:hAnsi="仿宋" w:eastAsia="仿宋" w:cs="Times New Roman"/>
                <w:color w:val="auto"/>
                <w:sz w:val="24"/>
                <w:highlight w:val="none"/>
              </w:rPr>
            </w:pPr>
            <w:r>
              <w:rPr>
                <w:rFonts w:ascii="仿宋" w:hAnsi="仿宋" w:eastAsia="仿宋" w:cs="Times New Roman"/>
                <w:color w:val="auto"/>
                <w:sz w:val="24"/>
                <w:highlight w:val="none"/>
              </w:rPr>
              <w:t>2.</w:t>
            </w:r>
            <w:r>
              <w:rPr>
                <w:rFonts w:hint="eastAsia" w:ascii="仿宋" w:hAnsi="仿宋" w:eastAsia="仿宋" w:cs="Times New Roman"/>
                <w:color w:val="auto"/>
                <w:sz w:val="24"/>
                <w:highlight w:val="none"/>
                <w:lang w:val="en-US" w:eastAsia="zh-CN"/>
              </w:rPr>
              <w:t>4</w:t>
            </w:r>
            <w:r>
              <w:rPr>
                <w:rFonts w:ascii="仿宋" w:hAnsi="仿宋" w:eastAsia="仿宋" w:cs="Times New Roman"/>
                <w:color w:val="auto"/>
                <w:sz w:val="24"/>
                <w:highlight w:val="none"/>
              </w:rPr>
              <w:t>.3</w:t>
            </w:r>
          </w:p>
        </w:tc>
        <w:tc>
          <w:tcPr>
            <w:tcW w:w="8275" w:type="dxa"/>
            <w:noWrap w:val="0"/>
            <w:vAlign w:val="center"/>
          </w:tcPr>
          <w:p>
            <w:pPr>
              <w:spacing w:line="360" w:lineRule="auto"/>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sz w:val="24"/>
                <w:highlight w:val="none"/>
                <w:lang w:eastAsia="zh-CN"/>
              </w:rPr>
            </w:pPr>
            <w:r>
              <w:rPr>
                <w:rFonts w:ascii="仿宋" w:hAnsi="仿宋" w:eastAsia="仿宋" w:cs="Times New Roman"/>
                <w:color w:val="auto"/>
                <w:sz w:val="24"/>
                <w:highlight w:val="none"/>
              </w:rPr>
              <w:t>2.</w:t>
            </w:r>
            <w:r>
              <w:rPr>
                <w:rFonts w:hint="eastAsia" w:ascii="仿宋" w:hAnsi="仿宋" w:eastAsia="仿宋" w:cs="Times New Roman"/>
                <w:color w:val="auto"/>
                <w:sz w:val="24"/>
                <w:highlight w:val="none"/>
                <w:lang w:val="en-US" w:eastAsia="zh-CN"/>
              </w:rPr>
              <w:t>8</w:t>
            </w:r>
          </w:p>
        </w:tc>
        <w:tc>
          <w:tcPr>
            <w:tcW w:w="8275" w:type="dxa"/>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color w:val="auto"/>
                <w:sz w:val="24"/>
                <w:highlight w:val="none"/>
              </w:rPr>
              <w:t>货物或者在途货物或者交付给第一承运人后的货物毁损、灭失的风险负担详见合同专用条款。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sz w:val="24"/>
                <w:highlight w:val="none"/>
                <w:lang w:eastAsia="zh-CN"/>
              </w:rPr>
            </w:pPr>
            <w:r>
              <w:rPr>
                <w:rFonts w:ascii="仿宋" w:hAnsi="仿宋" w:eastAsia="仿宋" w:cs="Times New Roman"/>
                <w:color w:val="auto"/>
                <w:sz w:val="24"/>
                <w:highlight w:val="none"/>
              </w:rPr>
              <w:t>2.1</w:t>
            </w:r>
            <w:r>
              <w:rPr>
                <w:rFonts w:hint="eastAsia" w:ascii="仿宋" w:hAnsi="仿宋" w:eastAsia="仿宋" w:cs="Times New Roman"/>
                <w:color w:val="auto"/>
                <w:sz w:val="24"/>
                <w:highlight w:val="none"/>
                <w:lang w:val="en-US" w:eastAsia="zh-CN"/>
              </w:rPr>
              <w:t>2</w:t>
            </w:r>
            <w:r>
              <w:rPr>
                <w:rFonts w:ascii="仿宋" w:hAnsi="仿宋" w:eastAsia="仿宋" w:cs="Times New Roman"/>
                <w:color w:val="auto"/>
                <w:sz w:val="24"/>
                <w:highlight w:val="none"/>
              </w:rPr>
              <w:t>.</w:t>
            </w:r>
            <w:r>
              <w:rPr>
                <w:rFonts w:hint="eastAsia" w:ascii="仿宋" w:hAnsi="仿宋" w:eastAsia="仿宋" w:cs="Times New Roman"/>
                <w:color w:val="auto"/>
                <w:sz w:val="24"/>
                <w:highlight w:val="none"/>
                <w:lang w:val="en-US" w:eastAsia="zh-CN"/>
              </w:rPr>
              <w:t>3</w:t>
            </w:r>
          </w:p>
        </w:tc>
        <w:tc>
          <w:tcPr>
            <w:tcW w:w="8275" w:type="dxa"/>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color w:val="auto"/>
                <w:sz w:val="24"/>
                <w:highlight w:val="none"/>
              </w:rPr>
              <w:t>因不可抗力致使合同有变更必要的，双方当事人应在合同专用条款约定时间内以书面形式变更合同；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sz w:val="24"/>
                <w:highlight w:val="none"/>
                <w:lang w:eastAsia="zh-CN"/>
              </w:rPr>
            </w:pPr>
            <w:r>
              <w:rPr>
                <w:rFonts w:ascii="仿宋" w:hAnsi="仿宋" w:eastAsia="仿宋" w:cs="Times New Roman"/>
                <w:color w:val="auto"/>
                <w:sz w:val="24"/>
                <w:highlight w:val="none"/>
              </w:rPr>
              <w:t>2.1</w:t>
            </w:r>
            <w:r>
              <w:rPr>
                <w:rFonts w:hint="eastAsia" w:ascii="仿宋" w:hAnsi="仿宋" w:eastAsia="仿宋" w:cs="Times New Roman"/>
                <w:color w:val="auto"/>
                <w:sz w:val="24"/>
                <w:highlight w:val="none"/>
                <w:lang w:val="en-US" w:eastAsia="zh-CN"/>
              </w:rPr>
              <w:t>2</w:t>
            </w:r>
            <w:r>
              <w:rPr>
                <w:rFonts w:ascii="仿宋" w:hAnsi="仿宋" w:eastAsia="仿宋" w:cs="Times New Roman"/>
                <w:color w:val="auto"/>
                <w:sz w:val="24"/>
                <w:highlight w:val="none"/>
              </w:rPr>
              <w:t>.</w:t>
            </w:r>
            <w:r>
              <w:rPr>
                <w:rFonts w:hint="eastAsia" w:ascii="仿宋" w:hAnsi="仿宋" w:eastAsia="仿宋" w:cs="Times New Roman"/>
                <w:color w:val="auto"/>
                <w:sz w:val="24"/>
                <w:highlight w:val="none"/>
                <w:lang w:val="en-US" w:eastAsia="zh-CN"/>
              </w:rPr>
              <w:t>4</w:t>
            </w:r>
          </w:p>
        </w:tc>
        <w:tc>
          <w:tcPr>
            <w:tcW w:w="8275" w:type="dxa"/>
            <w:noWrap w:val="0"/>
            <w:vAlign w:val="center"/>
          </w:tcPr>
          <w:p>
            <w:pPr>
              <w:spacing w:line="360" w:lineRule="auto"/>
              <w:rPr>
                <w:rFonts w:ascii="仿宋" w:hAnsi="仿宋" w:eastAsia="仿宋" w:cs="Times New Roman"/>
                <w:color w:val="auto"/>
                <w:sz w:val="24"/>
                <w:highlight w:val="none"/>
              </w:rPr>
            </w:pPr>
            <w:r>
              <w:rPr>
                <w:rFonts w:hint="eastAsia" w:ascii="仿宋" w:hAnsi="仿宋" w:eastAsia="仿宋" w:cs="Times New Roman"/>
                <w:color w:val="auto"/>
                <w:sz w:val="24"/>
                <w:highlight w:val="none"/>
              </w:rPr>
              <w:t>受不可抗力影响的一方在不可抗力发生后，应在合同专用条款约定时间内以书面形式通知对方当事人，并在合同专用条款约定时间内，将有关部门出具的证明文件送达对方当事人。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2.2</w:t>
            </w:r>
            <w:r>
              <w:rPr>
                <w:rFonts w:hint="eastAsia" w:ascii="仿宋" w:hAnsi="仿宋" w:eastAsia="仿宋" w:cs="Times New Roman"/>
                <w:color w:val="auto"/>
                <w:sz w:val="24"/>
                <w:highlight w:val="none"/>
                <w:lang w:val="en-US" w:eastAsia="zh-CN"/>
              </w:rPr>
              <w:t>0</w:t>
            </w:r>
            <w:r>
              <w:rPr>
                <w:rFonts w:hint="eastAsia" w:ascii="仿宋" w:hAnsi="仿宋" w:eastAsia="仿宋" w:cs="Times New Roman"/>
                <w:color w:val="auto"/>
                <w:sz w:val="24"/>
                <w:highlight w:val="none"/>
              </w:rPr>
              <w:t xml:space="preserve"> </w:t>
            </w:r>
          </w:p>
        </w:tc>
        <w:tc>
          <w:tcPr>
            <w:tcW w:w="8275" w:type="dxa"/>
            <w:noWrap w:val="0"/>
            <w:vAlign w:val="center"/>
          </w:tcPr>
          <w:p>
            <w:pPr>
              <w:spacing w:line="360" w:lineRule="auto"/>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rPr>
              <w:t>本合同正本一式</w:t>
            </w:r>
            <w:r>
              <w:rPr>
                <w:rFonts w:hint="eastAsia" w:ascii="仿宋" w:hAnsi="仿宋" w:eastAsia="仿宋" w:cs="Times New Roman"/>
                <w:color w:val="auto"/>
                <w:sz w:val="24"/>
                <w:highlight w:val="none"/>
                <w:u w:val="single"/>
              </w:rPr>
              <w:t xml:space="preserve">    </w:t>
            </w:r>
            <w:r>
              <w:rPr>
                <w:rFonts w:hint="eastAsia" w:ascii="仿宋" w:hAnsi="仿宋" w:eastAsia="仿宋" w:cs="Times New Roman"/>
                <w:color w:val="auto"/>
                <w:sz w:val="24"/>
                <w:highlight w:val="none"/>
              </w:rPr>
              <w:t>份，副本</w:t>
            </w:r>
            <w:r>
              <w:rPr>
                <w:rFonts w:hint="eastAsia" w:ascii="仿宋" w:hAnsi="仿宋" w:eastAsia="仿宋" w:cs="Times New Roman"/>
                <w:color w:val="auto"/>
                <w:sz w:val="24"/>
                <w:highlight w:val="none"/>
                <w:u w:val="single"/>
              </w:rPr>
              <w:t xml:space="preserve">    </w:t>
            </w:r>
            <w:r>
              <w:rPr>
                <w:rFonts w:hint="eastAsia" w:ascii="仿宋" w:hAnsi="仿宋" w:eastAsia="仿宋" w:cs="Times New Roman"/>
                <w:color w:val="auto"/>
                <w:sz w:val="24"/>
                <w:highlight w:val="none"/>
              </w:rPr>
              <w:t>份</w:t>
            </w:r>
            <w:r>
              <w:rPr>
                <w:rFonts w:hint="eastAsia" w:ascii="仿宋" w:hAnsi="仿宋" w:eastAsia="仿宋" w:cs="Times New Roman"/>
                <w:color w:val="auto"/>
                <w:sz w:val="24"/>
                <w:highlight w:val="none"/>
                <w:lang w:eastAsia="zh-CN"/>
              </w:rPr>
              <w:t>，</w:t>
            </w:r>
            <w:r>
              <w:rPr>
                <w:rFonts w:hint="eastAsia" w:ascii="仿宋" w:hAnsi="仿宋" w:eastAsia="仿宋" w:cs="Times New Roman"/>
                <w:color w:val="auto"/>
                <w:sz w:val="24"/>
                <w:highlight w:val="none"/>
              </w:rPr>
              <w:t>甲乙双方各执</w:t>
            </w:r>
            <w:r>
              <w:rPr>
                <w:rFonts w:hint="eastAsia" w:ascii="仿宋" w:hAnsi="仿宋" w:eastAsia="仿宋" w:cs="Times New Roman"/>
                <w:color w:val="auto"/>
                <w:sz w:val="24"/>
                <w:highlight w:val="none"/>
                <w:u w:val="single"/>
                <w:lang w:val="en-US" w:eastAsia="zh-CN"/>
              </w:rPr>
              <w:t xml:space="preserve">    </w:t>
            </w:r>
            <w:r>
              <w:rPr>
                <w:rFonts w:hint="eastAsia" w:ascii="仿宋" w:hAnsi="仿宋" w:eastAsia="仿宋" w:cs="Times New Roman"/>
                <w:color w:val="auto"/>
                <w:sz w:val="24"/>
                <w:highlight w:val="none"/>
              </w:rPr>
              <w:t>份；每份均具有同等法律效力</w:t>
            </w:r>
            <w:r>
              <w:rPr>
                <w:rFonts w:hint="eastAsia" w:ascii="仿宋" w:hAnsi="仿宋" w:eastAsia="仿宋" w:cs="Times New Roman"/>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noWrap w:val="0"/>
            <w:vAlign w:val="center"/>
          </w:tcPr>
          <w:p>
            <w:pPr>
              <w:spacing w:line="360" w:lineRule="auto"/>
              <w:rPr>
                <w:rFonts w:hint="eastAsia" w:ascii="仿宋" w:hAnsi="仿宋" w:eastAsia="仿宋" w:cs="Times New Roman"/>
                <w:color w:val="auto"/>
                <w:kern w:val="2"/>
                <w:sz w:val="24"/>
                <w:szCs w:val="22"/>
                <w:highlight w:val="none"/>
                <w:lang w:val="en-US" w:eastAsia="zh-CN" w:bidi="ar-SA"/>
              </w:rPr>
            </w:pPr>
            <w:bookmarkStart w:id="751" w:name="_Toc2222"/>
            <w:bookmarkStart w:id="752" w:name="_Toc24518"/>
            <w:bookmarkStart w:id="753" w:name="_Toc274"/>
            <w:r>
              <w:rPr>
                <w:rFonts w:hint="eastAsia" w:ascii="仿宋" w:hAnsi="仿宋" w:eastAsia="仿宋" w:cs="Times New Roman"/>
                <w:color w:val="auto"/>
                <w:sz w:val="24"/>
                <w:highlight w:val="none"/>
                <w:lang w:val="en-US" w:eastAsia="zh-CN"/>
              </w:rPr>
              <w:t>2.21</w:t>
            </w:r>
          </w:p>
        </w:tc>
        <w:tc>
          <w:tcPr>
            <w:tcW w:w="8275" w:type="dxa"/>
            <w:noWrap w:val="0"/>
            <w:vAlign w:val="center"/>
          </w:tcPr>
          <w:p>
            <w:pPr>
              <w:spacing w:line="360" w:lineRule="auto"/>
              <w:rPr>
                <w:rFonts w:hint="eastAsia" w:ascii="仿宋" w:hAnsi="仿宋" w:eastAsia="仿宋" w:cs="Times New Roman"/>
                <w:color w:val="auto"/>
                <w:kern w:val="2"/>
                <w:sz w:val="24"/>
                <w:szCs w:val="22"/>
                <w:highlight w:val="none"/>
                <w:lang w:val="en-US" w:eastAsia="zh-CN" w:bidi="ar-SA"/>
              </w:rPr>
            </w:pPr>
            <w:r>
              <w:rPr>
                <w:rFonts w:hint="eastAsia" w:ascii="仿宋" w:hAnsi="仿宋" w:eastAsia="仿宋" w:cs="Times New Roman"/>
                <w:color w:val="auto"/>
                <w:sz w:val="24"/>
                <w:highlight w:val="none"/>
                <w:lang w:val="en-US" w:eastAsia="zh-CN"/>
              </w:rPr>
              <w:t>其他：《售后服务承诺书》作为合同的附件</w:t>
            </w:r>
          </w:p>
        </w:tc>
      </w:tr>
    </w:tbl>
    <w:p>
      <w:pPr>
        <w:pStyle w:val="2"/>
        <w:keepNext w:val="0"/>
        <w:keepLines w:val="0"/>
        <w:pageBreakBefore/>
        <w:tabs>
          <w:tab w:val="left" w:pos="840"/>
        </w:tabs>
        <w:spacing w:before="312" w:beforeLines="100" w:after="312" w:afterLines="100" w:line="400" w:lineRule="atLeast"/>
        <w:jc w:val="center"/>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第</w:t>
      </w:r>
      <w:r>
        <w:rPr>
          <w:rFonts w:hint="eastAsia" w:ascii="宋体" w:hAnsi="宋体" w:eastAsia="宋体" w:cs="宋体"/>
          <w:color w:val="auto"/>
          <w:sz w:val="28"/>
          <w:szCs w:val="36"/>
          <w:highlight w:val="none"/>
          <w:lang w:val="en-US" w:eastAsia="zh-CN"/>
        </w:rPr>
        <w:t>六</w:t>
      </w:r>
      <w:r>
        <w:rPr>
          <w:rFonts w:hint="eastAsia" w:ascii="宋体" w:hAnsi="宋体" w:eastAsia="宋体" w:cs="宋体"/>
          <w:color w:val="auto"/>
          <w:sz w:val="28"/>
          <w:szCs w:val="36"/>
          <w:highlight w:val="none"/>
        </w:rPr>
        <w:t xml:space="preserve">部分  </w:t>
      </w:r>
      <w:bookmarkEnd w:id="22"/>
      <w:bookmarkEnd w:id="23"/>
      <w:r>
        <w:rPr>
          <w:rFonts w:hint="eastAsia" w:ascii="宋体" w:hAnsi="宋体" w:eastAsia="宋体" w:cs="宋体"/>
          <w:color w:val="auto"/>
          <w:sz w:val="28"/>
          <w:szCs w:val="36"/>
          <w:highlight w:val="none"/>
        </w:rPr>
        <w:t>应提交的有关格式范例</w:t>
      </w:r>
      <w:bookmarkEnd w:id="751"/>
      <w:bookmarkEnd w:id="752"/>
      <w:bookmarkEnd w:id="753"/>
    </w:p>
    <w:p>
      <w:pPr>
        <w:spacing w:line="360" w:lineRule="auto"/>
        <w:jc w:val="center"/>
        <w:outlineLvl w:val="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rPr>
        <w:t xml:space="preserve"> </w:t>
      </w:r>
      <w:bookmarkStart w:id="754" w:name="_Toc1715"/>
      <w:bookmarkStart w:id="755" w:name="_Toc25231"/>
      <w:bookmarkStart w:id="756" w:name="_Toc25765"/>
      <w:r>
        <w:rPr>
          <w:rFonts w:hint="eastAsia" w:ascii="宋体" w:hAnsi="宋体" w:eastAsia="宋体" w:cs="宋体"/>
          <w:b/>
          <w:color w:val="auto"/>
          <w:kern w:val="0"/>
          <w:sz w:val="32"/>
          <w:szCs w:val="32"/>
          <w:highlight w:val="none"/>
        </w:rPr>
        <w:t>资格文件部分</w:t>
      </w:r>
      <w:bookmarkEnd w:id="754"/>
      <w:bookmarkEnd w:id="755"/>
      <w:bookmarkEnd w:id="756"/>
    </w:p>
    <w:p>
      <w:pPr>
        <w:snapToGrid w:val="0"/>
        <w:spacing w:line="400" w:lineRule="atLeast"/>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目录</w:t>
      </w:r>
    </w:p>
    <w:p>
      <w:pPr>
        <w:snapToGrid w:val="0"/>
        <w:spacing w:line="360" w:lineRule="auto"/>
        <w:rPr>
          <w:rFonts w:hint="eastAsia" w:ascii="宋体" w:hAnsi="宋体" w:eastAsia="宋体" w:cs="宋体"/>
          <w:color w:val="auto"/>
          <w:sz w:val="21"/>
          <w:szCs w:val="21"/>
          <w:highlight w:val="none"/>
        </w:rPr>
      </w:pPr>
    </w:p>
    <w:p>
      <w:pPr>
        <w:numPr>
          <w:ilvl w:val="0"/>
          <w:numId w:val="13"/>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具有独立承担民事责任能力的证明材料……………………………（页码）</w:t>
      </w:r>
    </w:p>
    <w:p>
      <w:pPr>
        <w:numPr>
          <w:ilvl w:val="0"/>
          <w:numId w:val="13"/>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符合参加政府采购活动应当具备的一般条件的承诺函……………（页码）</w:t>
      </w:r>
    </w:p>
    <w:p>
      <w:pPr>
        <w:numPr>
          <w:ilvl w:val="0"/>
          <w:numId w:val="13"/>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落实政府采购政策需满足的资格要求………………………………（页码）</w:t>
      </w:r>
    </w:p>
    <w:p>
      <w:pPr>
        <w:numPr>
          <w:ilvl w:val="0"/>
          <w:numId w:val="13"/>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本项目的特定资格要求………………………………………………（页码）</w:t>
      </w:r>
    </w:p>
    <w:p>
      <w:pPr>
        <w:snapToGrid w:val="0"/>
        <w:spacing w:line="400" w:lineRule="atLeast"/>
        <w:ind w:left="426"/>
        <w:rPr>
          <w:rFonts w:hint="eastAsia" w:ascii="宋体" w:hAnsi="宋体" w:eastAsia="宋体" w:cs="宋体"/>
          <w:color w:val="auto"/>
          <w:highlight w:val="none"/>
        </w:rPr>
      </w:pPr>
    </w:p>
    <w:p>
      <w:pPr>
        <w:snapToGrid w:val="0"/>
        <w:spacing w:line="400" w:lineRule="atLeast"/>
        <w:ind w:firstLine="420" w:firstLineChars="200"/>
        <w:rPr>
          <w:rFonts w:hint="eastAsia" w:ascii="宋体" w:hAnsi="宋体" w:eastAsia="宋体" w:cs="宋体"/>
          <w:color w:val="auto"/>
          <w:highlight w:val="none"/>
        </w:rPr>
      </w:pPr>
    </w:p>
    <w:p>
      <w:pPr>
        <w:spacing w:line="400" w:lineRule="atLeast"/>
        <w:rPr>
          <w:rFonts w:hint="eastAsia" w:ascii="宋体" w:hAnsi="宋体" w:eastAsia="宋体" w:cs="宋体"/>
          <w:b/>
          <w:color w:val="auto"/>
          <w:sz w:val="28"/>
          <w:szCs w:val="36"/>
          <w:highlight w:val="none"/>
        </w:rPr>
      </w:pPr>
      <w:bookmarkStart w:id="757" w:name="_Toc7860"/>
      <w:bookmarkStart w:id="758" w:name="_Toc376436266"/>
      <w:bookmarkStart w:id="759" w:name="_Toc3603"/>
      <w:bookmarkStart w:id="760" w:name="_Toc26806"/>
      <w:bookmarkStart w:id="761" w:name="_Toc419811115"/>
      <w:bookmarkStart w:id="762" w:name="_Toc4311"/>
      <w:bookmarkStart w:id="763" w:name="_Toc31870"/>
      <w:bookmarkStart w:id="764" w:name="_Toc25605"/>
      <w:bookmarkStart w:id="765" w:name="_Toc7092"/>
      <w:bookmarkStart w:id="766" w:name="_Toc29673"/>
      <w:bookmarkStart w:id="767" w:name="_Toc15858"/>
      <w:bookmarkStart w:id="768" w:name="_Toc376414485"/>
      <w:bookmarkStart w:id="769" w:name="_Toc1432"/>
      <w:bookmarkStart w:id="770" w:name="_Toc474156108"/>
      <w:bookmarkStart w:id="771" w:name="_Toc454832231"/>
    </w:p>
    <w:p>
      <w:pPr>
        <w:pStyle w:val="3"/>
        <w:numPr>
          <w:ilvl w:val="0"/>
          <w:numId w:val="14"/>
        </w:numPr>
        <w:tabs>
          <w:tab w:val="left" w:pos="840"/>
        </w:tabs>
        <w:spacing w:before="0" w:after="156" w:afterLines="50" w:line="400" w:lineRule="exact"/>
        <w:ind w:left="0" w:leftChars="0" w:firstLine="420" w:firstLineChars="0"/>
        <w:jc w:val="center"/>
        <w:rPr>
          <w:rFonts w:hint="eastAsia" w:ascii="宋体" w:hAnsi="宋体" w:eastAsia="宋体" w:cs="宋体"/>
          <w:b/>
          <w:color w:val="auto"/>
          <w:kern w:val="0"/>
          <w:sz w:val="32"/>
          <w:szCs w:val="32"/>
          <w:highlight w:val="none"/>
        </w:rPr>
      </w:pPr>
      <w:r>
        <w:rPr>
          <w:rFonts w:hint="eastAsia" w:ascii="宋体" w:hAnsi="宋体" w:eastAsia="宋体" w:cs="宋体"/>
          <w:b/>
          <w:bCs w:val="0"/>
          <w:color w:val="auto"/>
          <w:highlight w:val="none"/>
        </w:rPr>
        <w:br w:type="page"/>
      </w:r>
      <w:bookmarkEnd w:id="757"/>
      <w:bookmarkEnd w:id="758"/>
      <w:bookmarkEnd w:id="759"/>
      <w:bookmarkEnd w:id="760"/>
      <w:bookmarkEnd w:id="761"/>
      <w:bookmarkEnd w:id="762"/>
      <w:bookmarkEnd w:id="763"/>
      <w:bookmarkEnd w:id="764"/>
      <w:bookmarkEnd w:id="765"/>
      <w:bookmarkEnd w:id="766"/>
      <w:bookmarkEnd w:id="767"/>
      <w:bookmarkEnd w:id="768"/>
      <w:bookmarkEnd w:id="769"/>
      <w:bookmarkStart w:id="772" w:name="_Toc7544"/>
      <w:bookmarkStart w:id="773" w:name="_Toc26338"/>
      <w:bookmarkStart w:id="774" w:name="_Toc31004"/>
      <w:bookmarkStart w:id="775" w:name="_Toc28708"/>
      <w:bookmarkStart w:id="776" w:name="_Toc419811114"/>
      <w:r>
        <w:rPr>
          <w:rFonts w:hint="eastAsia" w:ascii="宋体" w:hAnsi="宋体" w:eastAsia="宋体" w:cs="宋体"/>
          <w:b/>
          <w:color w:val="auto"/>
          <w:kern w:val="0"/>
          <w:sz w:val="28"/>
          <w:szCs w:val="28"/>
          <w:highlight w:val="none"/>
        </w:rPr>
        <w:t>具有独立承担民事责任能力的证明材料</w:t>
      </w:r>
      <w:bookmarkEnd w:id="772"/>
      <w:bookmarkEnd w:id="773"/>
    </w:p>
    <w:p>
      <w:pPr>
        <w:pStyle w:val="31"/>
        <w:tabs>
          <w:tab w:val="left" w:pos="630"/>
          <w:tab w:val="left" w:pos="840"/>
          <w:tab w:val="left" w:pos="1050"/>
        </w:tabs>
        <w:spacing w:before="0" w:beforeAutospacing="0" w:after="0" w:afterAutospacing="0" w:line="360" w:lineRule="auto"/>
        <w:ind w:firstLine="420" w:firstLineChars="200"/>
        <w:rPr>
          <w:rFonts w:hint="eastAsia" w:ascii="宋体" w:hAnsi="宋体" w:eastAsia="宋体" w:cs="宋体"/>
          <w:bCs/>
          <w:color w:val="auto"/>
          <w:sz w:val="21"/>
          <w:szCs w:val="21"/>
          <w:highlight w:val="none"/>
        </w:rPr>
      </w:pPr>
    </w:p>
    <w:p>
      <w:pPr>
        <w:pStyle w:val="31"/>
        <w:tabs>
          <w:tab w:val="left" w:pos="630"/>
          <w:tab w:val="left" w:pos="840"/>
          <w:tab w:val="left" w:pos="1050"/>
        </w:tabs>
        <w:spacing w:before="0" w:beforeAutospacing="0" w:after="0" w:afterAutospacing="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供应商须在</w:t>
      </w:r>
      <w:r>
        <w:rPr>
          <w:rFonts w:hint="eastAsia" w:ascii="宋体" w:hAnsi="宋体" w:eastAsia="宋体" w:cs="宋体"/>
          <w:bCs/>
          <w:color w:val="auto"/>
          <w:sz w:val="21"/>
          <w:szCs w:val="21"/>
          <w:highlight w:val="none"/>
          <w:lang w:val="en-US" w:eastAsia="zh-CN"/>
        </w:rPr>
        <w:t>投标</w:t>
      </w:r>
      <w:r>
        <w:rPr>
          <w:rFonts w:hint="eastAsia" w:ascii="宋体" w:hAnsi="宋体" w:eastAsia="宋体" w:cs="宋体"/>
          <w:bCs/>
          <w:color w:val="auto"/>
          <w:sz w:val="21"/>
          <w:szCs w:val="21"/>
          <w:highlight w:val="none"/>
        </w:rPr>
        <w:t>文件中出具符合以下情况的证明材料复印件（五选一）：</w:t>
      </w:r>
    </w:p>
    <w:p>
      <w:pPr>
        <w:pStyle w:val="31"/>
        <w:tabs>
          <w:tab w:val="left" w:pos="312"/>
        </w:tabs>
        <w:spacing w:before="0" w:beforeAutospacing="0" w:after="0" w:afterAutospacing="0" w:line="360" w:lineRule="auto"/>
        <w:ind w:firstLine="420" w:firstLineChars="200"/>
        <w:rPr>
          <w:rFonts w:hint="eastAsia" w:ascii="宋体" w:hAnsi="宋体" w:eastAsia="宋体" w:cs="宋体"/>
          <w:bCs/>
          <w:color w:val="auto"/>
          <w:sz w:val="21"/>
          <w:szCs w:val="21"/>
          <w:highlight w:val="none"/>
        </w:rPr>
      </w:pPr>
      <w:r>
        <w:rPr>
          <w:rFonts w:hint="eastAsia" w:ascii="Times New Roman" w:hAnsi="Times New Roman" w:eastAsia="宋体"/>
          <w:bCs/>
          <w:color w:val="auto"/>
          <w:sz w:val="21"/>
          <w:szCs w:val="21"/>
          <w:highlight w:val="none"/>
          <w:lang w:eastAsia="zh-CN"/>
        </w:rPr>
        <w:t>（</w:t>
      </w:r>
      <w:r>
        <w:rPr>
          <w:rFonts w:hint="eastAsia" w:ascii="Times New Roman" w:hAnsi="Times New Roman" w:eastAsia="宋体"/>
          <w:bCs/>
          <w:color w:val="auto"/>
          <w:sz w:val="21"/>
          <w:szCs w:val="21"/>
          <w:highlight w:val="none"/>
          <w:lang w:val="en-US" w:eastAsia="zh-CN"/>
        </w:rPr>
        <w:t>1</w:t>
      </w:r>
      <w:r>
        <w:rPr>
          <w:rFonts w:hint="eastAsia" w:ascii="Times New Roman" w:hAnsi="Times New Roman" w:eastAsia="宋体"/>
          <w:bCs/>
          <w:color w:val="auto"/>
          <w:sz w:val="21"/>
          <w:szCs w:val="21"/>
          <w:highlight w:val="none"/>
          <w:lang w:eastAsia="zh-CN"/>
        </w:rPr>
        <w:t>）</w:t>
      </w:r>
      <w:r>
        <w:rPr>
          <w:rFonts w:hint="eastAsia" w:ascii="宋体" w:hAnsi="宋体" w:eastAsia="宋体" w:cs="宋体"/>
          <w:bCs/>
          <w:color w:val="auto"/>
          <w:sz w:val="21"/>
          <w:szCs w:val="21"/>
          <w:highlight w:val="none"/>
        </w:rPr>
        <w:t>如供应商是企业（包括合伙企业），提供在工商部门注册的有效“企业法人营业执照”或“营业执照”；</w:t>
      </w:r>
    </w:p>
    <w:p>
      <w:pPr>
        <w:pStyle w:val="31"/>
        <w:tabs>
          <w:tab w:val="left" w:pos="312"/>
        </w:tabs>
        <w:spacing w:before="0" w:beforeAutospacing="0" w:after="0" w:afterAutospacing="0" w:line="360" w:lineRule="auto"/>
        <w:ind w:firstLine="420" w:firstLineChars="200"/>
        <w:rPr>
          <w:rFonts w:hint="eastAsia" w:ascii="宋体" w:hAnsi="宋体" w:eastAsia="宋体" w:cs="宋体"/>
          <w:bCs/>
          <w:color w:val="auto"/>
          <w:sz w:val="21"/>
          <w:szCs w:val="21"/>
          <w:highlight w:val="none"/>
        </w:rPr>
      </w:pPr>
      <w:r>
        <w:rPr>
          <w:rFonts w:hint="eastAsia" w:ascii="Times New Roman" w:hAnsi="Times New Roman" w:eastAsia="宋体"/>
          <w:bCs/>
          <w:color w:val="auto"/>
          <w:sz w:val="21"/>
          <w:szCs w:val="21"/>
          <w:highlight w:val="none"/>
          <w:lang w:eastAsia="zh-CN"/>
        </w:rPr>
        <w:t>（</w:t>
      </w:r>
      <w:r>
        <w:rPr>
          <w:rFonts w:hint="eastAsia" w:ascii="Times New Roman" w:hAnsi="Times New Roman" w:eastAsia="宋体"/>
          <w:bCs/>
          <w:color w:val="auto"/>
          <w:sz w:val="21"/>
          <w:szCs w:val="21"/>
          <w:highlight w:val="none"/>
          <w:lang w:val="en-US" w:eastAsia="zh-CN"/>
        </w:rPr>
        <w:t>2</w:t>
      </w:r>
      <w:r>
        <w:rPr>
          <w:rFonts w:hint="eastAsia" w:ascii="Times New Roman" w:hAnsi="Times New Roman" w:eastAsia="宋体"/>
          <w:bCs/>
          <w:color w:val="auto"/>
          <w:sz w:val="21"/>
          <w:szCs w:val="21"/>
          <w:highlight w:val="none"/>
          <w:lang w:eastAsia="zh-CN"/>
        </w:rPr>
        <w:t>）</w:t>
      </w:r>
      <w:r>
        <w:rPr>
          <w:rFonts w:hint="eastAsia" w:ascii="宋体" w:hAnsi="宋体" w:eastAsia="宋体" w:cs="宋体"/>
          <w:bCs/>
          <w:color w:val="auto"/>
          <w:sz w:val="21"/>
          <w:szCs w:val="21"/>
          <w:highlight w:val="none"/>
        </w:rPr>
        <w:t>如供应商是事业单位，提供有效的“事业单位法人证书”；</w:t>
      </w:r>
    </w:p>
    <w:p>
      <w:pPr>
        <w:pStyle w:val="31"/>
        <w:tabs>
          <w:tab w:val="left" w:pos="312"/>
        </w:tabs>
        <w:spacing w:before="0" w:beforeAutospacing="0" w:after="0" w:afterAutospacing="0" w:line="360" w:lineRule="auto"/>
        <w:ind w:firstLine="420" w:firstLineChars="200"/>
        <w:rPr>
          <w:rFonts w:hint="eastAsia" w:ascii="宋体" w:hAnsi="宋体" w:eastAsia="宋体" w:cs="宋体"/>
          <w:bCs/>
          <w:color w:val="auto"/>
          <w:sz w:val="21"/>
          <w:szCs w:val="21"/>
          <w:highlight w:val="none"/>
        </w:rPr>
      </w:pPr>
      <w:r>
        <w:rPr>
          <w:rFonts w:hint="eastAsia" w:ascii="Times New Roman" w:hAnsi="Times New Roman" w:eastAsia="宋体"/>
          <w:bCs/>
          <w:color w:val="auto"/>
          <w:sz w:val="21"/>
          <w:szCs w:val="21"/>
          <w:highlight w:val="none"/>
          <w:lang w:eastAsia="zh-CN"/>
        </w:rPr>
        <w:t>（</w:t>
      </w:r>
      <w:r>
        <w:rPr>
          <w:rFonts w:hint="eastAsia" w:ascii="Times New Roman" w:hAnsi="Times New Roman" w:eastAsia="宋体"/>
          <w:bCs/>
          <w:color w:val="auto"/>
          <w:sz w:val="21"/>
          <w:szCs w:val="21"/>
          <w:highlight w:val="none"/>
          <w:lang w:val="en-US" w:eastAsia="zh-CN"/>
        </w:rPr>
        <w:t>3</w:t>
      </w:r>
      <w:r>
        <w:rPr>
          <w:rFonts w:hint="eastAsia" w:ascii="Times New Roman" w:hAnsi="Times New Roman" w:eastAsia="宋体"/>
          <w:bCs/>
          <w:color w:val="auto"/>
          <w:sz w:val="21"/>
          <w:szCs w:val="21"/>
          <w:highlight w:val="none"/>
          <w:lang w:eastAsia="zh-CN"/>
        </w:rPr>
        <w:t>）</w:t>
      </w:r>
      <w:r>
        <w:rPr>
          <w:rFonts w:hint="eastAsia" w:ascii="宋体" w:hAnsi="宋体" w:eastAsia="宋体" w:cs="宋体"/>
          <w:bCs/>
          <w:color w:val="auto"/>
          <w:sz w:val="21"/>
          <w:szCs w:val="21"/>
          <w:highlight w:val="none"/>
        </w:rPr>
        <w:t>如供应商是非企业专业服务机构的，提供执业许可证等证明文件；</w:t>
      </w:r>
    </w:p>
    <w:p>
      <w:pPr>
        <w:pStyle w:val="31"/>
        <w:tabs>
          <w:tab w:val="left" w:pos="312"/>
        </w:tabs>
        <w:spacing w:before="0" w:beforeAutospacing="0" w:after="0" w:afterAutospacing="0" w:line="360" w:lineRule="auto"/>
        <w:ind w:firstLine="420" w:firstLineChars="200"/>
        <w:rPr>
          <w:rFonts w:hint="eastAsia" w:ascii="宋体" w:hAnsi="宋体" w:eastAsia="宋体" w:cs="宋体"/>
          <w:bCs/>
          <w:color w:val="auto"/>
          <w:sz w:val="21"/>
          <w:szCs w:val="21"/>
          <w:highlight w:val="none"/>
        </w:rPr>
      </w:pPr>
      <w:r>
        <w:rPr>
          <w:rFonts w:hint="eastAsia" w:ascii="Times New Roman" w:hAnsi="Times New Roman" w:eastAsia="宋体"/>
          <w:bCs/>
          <w:color w:val="auto"/>
          <w:sz w:val="21"/>
          <w:szCs w:val="21"/>
          <w:highlight w:val="none"/>
          <w:lang w:eastAsia="zh-CN"/>
        </w:rPr>
        <w:t>（</w:t>
      </w:r>
      <w:r>
        <w:rPr>
          <w:rFonts w:hint="eastAsia" w:ascii="Times New Roman" w:hAnsi="Times New Roman" w:eastAsia="宋体"/>
          <w:bCs/>
          <w:color w:val="auto"/>
          <w:sz w:val="21"/>
          <w:szCs w:val="21"/>
          <w:highlight w:val="none"/>
          <w:lang w:val="en-US" w:eastAsia="zh-CN"/>
        </w:rPr>
        <w:t>4</w:t>
      </w:r>
      <w:r>
        <w:rPr>
          <w:rFonts w:hint="eastAsia" w:ascii="Times New Roman" w:hAnsi="Times New Roman" w:eastAsia="宋体"/>
          <w:bCs/>
          <w:color w:val="auto"/>
          <w:sz w:val="21"/>
          <w:szCs w:val="21"/>
          <w:highlight w:val="none"/>
          <w:lang w:eastAsia="zh-CN"/>
        </w:rPr>
        <w:t>）</w:t>
      </w:r>
      <w:r>
        <w:rPr>
          <w:rFonts w:hint="eastAsia" w:ascii="宋体" w:hAnsi="宋体" w:eastAsia="宋体" w:cs="宋体"/>
          <w:bCs/>
          <w:color w:val="auto"/>
          <w:sz w:val="21"/>
          <w:szCs w:val="21"/>
          <w:highlight w:val="none"/>
        </w:rPr>
        <w:t>如供应商是个体工商户，提供有效的“个体工商户营业执照”；</w:t>
      </w:r>
    </w:p>
    <w:p>
      <w:pPr>
        <w:pStyle w:val="31"/>
        <w:tabs>
          <w:tab w:val="left" w:pos="312"/>
        </w:tabs>
        <w:spacing w:before="0" w:beforeAutospacing="0" w:after="0" w:afterAutospacing="0" w:line="360" w:lineRule="auto"/>
        <w:ind w:firstLine="420" w:firstLineChars="200"/>
        <w:rPr>
          <w:rFonts w:hint="eastAsia" w:ascii="宋体" w:hAnsi="宋体" w:eastAsia="宋体" w:cs="宋体"/>
          <w:bCs/>
          <w:color w:val="auto"/>
          <w:sz w:val="21"/>
          <w:szCs w:val="21"/>
          <w:highlight w:val="none"/>
        </w:rPr>
      </w:pPr>
      <w:r>
        <w:rPr>
          <w:rFonts w:hint="eastAsia" w:ascii="Times New Roman" w:hAnsi="Times New Roman" w:eastAsia="宋体"/>
          <w:bCs/>
          <w:color w:val="auto"/>
          <w:sz w:val="21"/>
          <w:szCs w:val="21"/>
          <w:highlight w:val="none"/>
          <w:lang w:eastAsia="zh-CN"/>
        </w:rPr>
        <w:t>（</w:t>
      </w:r>
      <w:r>
        <w:rPr>
          <w:rFonts w:hint="eastAsia" w:ascii="Times New Roman" w:hAnsi="Times New Roman" w:eastAsia="宋体"/>
          <w:bCs/>
          <w:color w:val="auto"/>
          <w:sz w:val="21"/>
          <w:szCs w:val="21"/>
          <w:highlight w:val="none"/>
          <w:lang w:val="en-US" w:eastAsia="zh-CN"/>
        </w:rPr>
        <w:t>5</w:t>
      </w:r>
      <w:r>
        <w:rPr>
          <w:rFonts w:hint="eastAsia" w:ascii="Times New Roman" w:hAnsi="Times New Roman" w:eastAsia="宋体"/>
          <w:bCs/>
          <w:color w:val="auto"/>
          <w:sz w:val="21"/>
          <w:szCs w:val="21"/>
          <w:highlight w:val="none"/>
          <w:lang w:eastAsia="zh-CN"/>
        </w:rPr>
        <w:t>）</w:t>
      </w:r>
      <w:r>
        <w:rPr>
          <w:rFonts w:hint="eastAsia" w:ascii="宋体" w:hAnsi="宋体" w:eastAsia="宋体" w:cs="宋体"/>
          <w:bCs/>
          <w:color w:val="auto"/>
          <w:sz w:val="21"/>
          <w:szCs w:val="21"/>
          <w:highlight w:val="none"/>
        </w:rPr>
        <w:t>如供应商是自然人，提供有效的自然人身份证明（居民身份证正反面或公安机关出具的临时居民身份证正反面或港澳台胞证或护照）。</w:t>
      </w:r>
    </w:p>
    <w:p>
      <w:pPr>
        <w:pStyle w:val="31"/>
        <w:tabs>
          <w:tab w:val="left" w:pos="630"/>
          <w:tab w:val="left" w:pos="840"/>
          <w:tab w:val="left" w:pos="1050"/>
        </w:tabs>
        <w:spacing w:before="0" w:beforeAutospacing="0" w:after="0" w:afterAutospacing="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3"/>
        <w:numPr>
          <w:ilvl w:val="0"/>
          <w:numId w:val="14"/>
        </w:numPr>
        <w:tabs>
          <w:tab w:val="left" w:pos="840"/>
        </w:tabs>
        <w:spacing w:before="0" w:after="156" w:afterLines="50" w:line="400" w:lineRule="exact"/>
        <w:ind w:left="0" w:leftChars="0" w:firstLine="420" w:firstLineChars="0"/>
        <w:jc w:val="center"/>
        <w:rPr>
          <w:rFonts w:hint="eastAsia" w:ascii="宋体" w:hAnsi="宋体" w:eastAsia="宋体" w:cs="宋体"/>
          <w:color w:val="auto"/>
          <w:sz w:val="28"/>
          <w:szCs w:val="36"/>
          <w:highlight w:val="none"/>
        </w:rPr>
      </w:pPr>
      <w:r>
        <w:rPr>
          <w:rFonts w:hint="eastAsia" w:ascii="宋体" w:hAnsi="宋体" w:cs="宋体"/>
          <w:b/>
          <w:color w:val="auto"/>
          <w:kern w:val="0"/>
          <w:sz w:val="32"/>
          <w:szCs w:val="32"/>
          <w:highlight w:val="none"/>
          <w:lang w:val="en-US" w:eastAsia="zh-CN"/>
        </w:rPr>
        <w:br w:type="page"/>
      </w:r>
      <w:bookmarkStart w:id="777" w:name="_Toc26892"/>
      <w:bookmarkStart w:id="778" w:name="_Toc9693"/>
      <w:r>
        <w:rPr>
          <w:rFonts w:hint="eastAsia" w:ascii="宋体" w:hAnsi="宋体" w:eastAsia="宋体" w:cs="宋体"/>
          <w:b/>
          <w:bCs w:val="0"/>
          <w:color w:val="auto"/>
          <w:sz w:val="28"/>
          <w:szCs w:val="36"/>
          <w:highlight w:val="none"/>
        </w:rPr>
        <w:t>符合参加政府采购活动应当具备的一般条件的承诺函</w:t>
      </w:r>
      <w:bookmarkEnd w:id="777"/>
      <w:bookmarkEnd w:id="778"/>
    </w:p>
    <w:p>
      <w:pPr>
        <w:rPr>
          <w:rFonts w:hint="eastAsia" w:ascii="宋体" w:hAnsi="宋体" w:eastAsia="宋体" w:cs="宋体"/>
          <w:color w:val="auto"/>
          <w:highlight w:val="none"/>
        </w:rPr>
      </w:pPr>
    </w:p>
    <w:p>
      <w:pPr>
        <w:spacing w:line="276" w:lineRule="auto"/>
        <w:rPr>
          <w:rFonts w:ascii="宋体" w:hAnsi="Times New Roman" w:eastAsia="宋体" w:cs="Times New Roman"/>
          <w:bCs/>
          <w:color w:val="auto"/>
          <w:highlight w:val="none"/>
        </w:rPr>
      </w:pPr>
      <w:r>
        <w:rPr>
          <w:rFonts w:hint="eastAsia" w:ascii="Arial" w:hAnsi="Arial" w:cs="Arial"/>
          <w:color w:val="auto"/>
          <w:szCs w:val="21"/>
          <w:highlight w:val="none"/>
          <w:lang w:eastAsia="zh-CN"/>
        </w:rPr>
        <w:t>瑞安市第五人民医院</w:t>
      </w:r>
      <w:r>
        <w:rPr>
          <w:rFonts w:hint="eastAsia" w:ascii="Arial" w:hAnsi="Arial" w:eastAsia="宋体" w:cs="Arial"/>
          <w:color w:val="auto"/>
          <w:szCs w:val="21"/>
          <w:highlight w:val="none"/>
          <w:lang w:eastAsia="zh-CN"/>
        </w:rPr>
        <w:t>、</w:t>
      </w:r>
      <w:r>
        <w:rPr>
          <w:rFonts w:hint="eastAsia" w:ascii="Arial" w:hAnsi="Arial" w:eastAsia="宋体" w:cs="Arial"/>
          <w:color w:val="auto"/>
          <w:szCs w:val="21"/>
          <w:highlight w:val="none"/>
          <w:lang w:val="en-US" w:eastAsia="zh-CN"/>
        </w:rPr>
        <w:t>浙江凯宝工程项目管理有限公司</w:t>
      </w:r>
      <w:r>
        <w:rPr>
          <w:rFonts w:hint="eastAsia" w:ascii="宋体" w:hAnsi="宋体" w:eastAsia="宋体" w:cs="Times New Roman"/>
          <w:bCs/>
          <w:color w:val="auto"/>
          <w:highlight w:val="none"/>
        </w:rPr>
        <w:t>：</w:t>
      </w:r>
    </w:p>
    <w:p>
      <w:pPr>
        <w:rPr>
          <w:rFonts w:ascii="Times New Roman" w:hAnsi="Times New Roman" w:eastAsia="宋体" w:cs="Times New Roman"/>
          <w:color w:val="auto"/>
          <w:highlight w:val="none"/>
        </w:rPr>
      </w:pP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我方参与（项目名称）【</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编号：（采购编号）】政府采购活动，郑重承诺：</w:t>
      </w:r>
    </w:p>
    <w:p>
      <w:pPr>
        <w:snapToGrid w:val="0"/>
        <w:spacing w:line="360" w:lineRule="auto"/>
        <w:ind w:firstLine="315" w:firstLineChars="1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（一）具备《中华人民共和国政府采购法》第二十二条第一款规定的条件：</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2、具有良好的商业信誉和健全的财务会计制度； </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4、有依法缴纳税收和社会保障资金的良好记录；</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5、参加政府采购活动前三年内，在经营活动中没有重大违法记录；</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6、具有法律、行政法规规定的其他条件。</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（三）不存在以下情况：</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1、单位负责人为同一人或者存在直接控股、管理关系的不同供应商参加同一合同项下的政府采购活动的；</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2、为采购项目提供整体设计、规范编制或者项目管理、监理、检测等服务后再参加该采购项目的其他采购活动的。</w:t>
      </w:r>
    </w:p>
    <w:p>
      <w:pPr>
        <w:snapToGrid w:val="0"/>
        <w:spacing w:line="360" w:lineRule="auto"/>
        <w:ind w:firstLine="420" w:firstLineChars="200"/>
        <w:jc w:val="left"/>
        <w:rPr>
          <w:rStyle w:val="39"/>
          <w:rFonts w:hint="eastAsia" w:ascii="宋体" w:hAnsi="宋体" w:eastAsia="宋体" w:cs="宋体"/>
          <w:color w:val="auto"/>
          <w:sz w:val="21"/>
          <w:szCs w:val="21"/>
          <w:highlight w:val="none"/>
        </w:rPr>
      </w:pPr>
      <w:r>
        <w:rPr>
          <w:rStyle w:val="39"/>
          <w:rFonts w:hint="eastAsia" w:ascii="宋体" w:hAnsi="宋体" w:eastAsia="宋体" w:cs="宋体"/>
          <w:b w:val="0"/>
          <w:bCs w:val="0"/>
          <w:color w:val="auto"/>
          <w:sz w:val="21"/>
          <w:szCs w:val="21"/>
          <w:highlight w:val="none"/>
          <w:lang w:eastAsia="zh-CN"/>
        </w:rPr>
        <w:t>我方</w:t>
      </w:r>
      <w:r>
        <w:rPr>
          <w:rStyle w:val="39"/>
          <w:rFonts w:hint="eastAsia" w:ascii="宋体" w:hAnsi="宋体" w:eastAsia="宋体" w:cs="宋体"/>
          <w:b w:val="0"/>
          <w:bCs w:val="0"/>
          <w:color w:val="auto"/>
          <w:sz w:val="21"/>
          <w:szCs w:val="21"/>
          <w:highlight w:val="none"/>
        </w:rPr>
        <w:t>对上述承诺的真实性负责。上述承诺如有虚假，将按“提供虚假材料谋取中标、成交”情形，由采购人取消我公司任何资格（投标/中标/签订合同），且由采购单位/采购代理机构报告至政府采购监管部门。</w:t>
      </w:r>
      <w:r>
        <w:rPr>
          <w:rStyle w:val="39"/>
          <w:rFonts w:hint="eastAsia" w:ascii="宋体" w:hAnsi="宋体" w:eastAsia="宋体" w:cs="宋体"/>
          <w:color w:val="auto"/>
          <w:sz w:val="21"/>
          <w:szCs w:val="21"/>
          <w:highlight w:val="none"/>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snapToGrid w:val="0"/>
        <w:spacing w:line="360" w:lineRule="auto"/>
        <w:ind w:firstLine="420" w:firstLineChars="200"/>
        <w:jc w:val="left"/>
        <w:rPr>
          <w:rFonts w:hint="eastAsia" w:ascii="宋体" w:hAnsi="宋体" w:eastAsia="宋体" w:cs="宋体"/>
          <w:color w:val="auto"/>
          <w:sz w:val="21"/>
          <w:szCs w:val="21"/>
          <w:highlight w:val="none"/>
        </w:rPr>
      </w:pPr>
      <w:r>
        <w:rPr>
          <w:rStyle w:val="39"/>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lang w:eastAsia="zh-CN"/>
        </w:rPr>
        <w:t>方</w:t>
      </w:r>
      <w:r>
        <w:rPr>
          <w:rStyle w:val="39"/>
          <w:rFonts w:hint="eastAsia" w:ascii="宋体" w:hAnsi="宋体" w:eastAsia="宋体" w:cs="宋体"/>
          <w:color w:val="auto"/>
          <w:sz w:val="21"/>
          <w:szCs w:val="21"/>
          <w:highlight w:val="none"/>
        </w:rPr>
        <w:t>已知晓前述法律规定，对此无任何异议。</w:t>
      </w:r>
    </w:p>
    <w:p>
      <w:pPr>
        <w:spacing w:line="360" w:lineRule="auto"/>
        <w:rPr>
          <w:rStyle w:val="142"/>
          <w:rFonts w:ascii="宋体" w:hAnsi="宋体" w:cs="Arial"/>
          <w:b/>
          <w:bCs/>
          <w:color w:val="auto"/>
          <w:szCs w:val="21"/>
          <w:highlight w:val="none"/>
        </w:rPr>
      </w:pPr>
    </w:p>
    <w:p>
      <w:pPr>
        <w:spacing w:line="360" w:lineRule="auto"/>
        <w:rPr>
          <w:rFonts w:ascii="宋体" w:hAnsi="宋体"/>
          <w:b/>
          <w:bCs/>
          <w:color w:val="auto"/>
          <w:szCs w:val="21"/>
          <w:highlight w:val="none"/>
        </w:rPr>
      </w:pPr>
      <w:r>
        <w:rPr>
          <w:rStyle w:val="142"/>
          <w:rFonts w:ascii="宋体" w:hAnsi="宋体" w:cs="Arial"/>
          <w:b/>
          <w:bCs/>
          <w:color w:val="auto"/>
          <w:szCs w:val="21"/>
          <w:highlight w:val="none"/>
        </w:rPr>
        <w:t>注：</w:t>
      </w:r>
      <w:bookmarkStart w:id="779" w:name="_Toc16992"/>
      <w:bookmarkStart w:id="780" w:name="_Toc12722"/>
      <w:bookmarkStart w:id="781" w:name="_Toc9599"/>
      <w:r>
        <w:rPr>
          <w:rFonts w:hint="eastAsia" w:ascii="宋体" w:hAnsi="宋体"/>
          <w:b/>
          <w:bCs/>
          <w:color w:val="auto"/>
          <w:szCs w:val="21"/>
          <w:highlight w:val="none"/>
        </w:rPr>
        <w:t>1.</w:t>
      </w:r>
      <w:r>
        <w:rPr>
          <w:rStyle w:val="142"/>
          <w:rFonts w:ascii="宋体" w:hAnsi="宋体" w:cs="Arial"/>
          <w:color w:val="auto"/>
          <w:szCs w:val="21"/>
          <w:highlight w:val="none"/>
        </w:rPr>
        <w:t>▲</w:t>
      </w:r>
      <w:r>
        <w:rPr>
          <w:rFonts w:hint="eastAsia" w:ascii="宋体" w:hAnsi="宋体" w:cs="宋体"/>
          <w:b/>
          <w:bCs/>
          <w:color w:val="auto"/>
          <w:szCs w:val="21"/>
          <w:highlight w:val="none"/>
        </w:rPr>
        <w:t>本承诺函必须提供。</w:t>
      </w:r>
    </w:p>
    <w:p>
      <w:pPr>
        <w:spacing w:line="360" w:lineRule="auto"/>
        <w:rPr>
          <w:rStyle w:val="142"/>
          <w:rFonts w:ascii="宋体" w:hAnsi="宋体" w:cs="Arial"/>
          <w:b/>
          <w:bCs/>
          <w:color w:val="auto"/>
          <w:szCs w:val="21"/>
          <w:highlight w:val="none"/>
        </w:rPr>
      </w:pPr>
      <w:r>
        <w:rPr>
          <w:rFonts w:hint="eastAsia" w:ascii="宋体" w:hAnsi="宋体"/>
          <w:b/>
          <w:bCs/>
          <w:color w:val="auto"/>
          <w:szCs w:val="21"/>
          <w:highlight w:val="none"/>
        </w:rPr>
        <w:t>2.参加政府采购活动的时间是指供应商参加本项目的政府采购活动时间为准（具体以投标截止时间为准）。</w:t>
      </w:r>
      <w:bookmarkEnd w:id="779"/>
      <w:bookmarkEnd w:id="780"/>
      <w:bookmarkEnd w:id="781"/>
    </w:p>
    <w:p>
      <w:pPr>
        <w:snapToGrid w:val="0"/>
        <w:spacing w:line="360" w:lineRule="auto"/>
        <w:ind w:firstLine="420" w:firstLineChars="200"/>
        <w:jc w:val="left"/>
        <w:rPr>
          <w:rFonts w:hint="eastAsia" w:ascii="宋体" w:hAnsi="宋体" w:eastAsia="宋体" w:cs="宋体"/>
          <w:color w:val="auto"/>
          <w:sz w:val="21"/>
          <w:szCs w:val="21"/>
          <w:highlight w:val="none"/>
        </w:rPr>
      </w:pPr>
    </w:p>
    <w:p>
      <w:pPr>
        <w:snapToGrid w:val="0"/>
        <w:spacing w:line="360" w:lineRule="auto"/>
        <w:ind w:firstLine="4830" w:firstLineChars="23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投标人名称(电子签名</w:t>
      </w:r>
      <w:r>
        <w:rPr>
          <w:rFonts w:hint="eastAsia" w:ascii="宋体" w:hAnsi="宋体" w:eastAsia="宋体" w:cs="宋体"/>
          <w:color w:val="auto"/>
          <w:kern w:val="0"/>
          <w:sz w:val="21"/>
          <w:szCs w:val="21"/>
          <w:highlight w:val="none"/>
          <w:lang w:val="en-US" w:eastAsia="zh-CN"/>
        </w:rPr>
        <w:t>或公章</w:t>
      </w:r>
      <w:r>
        <w:rPr>
          <w:rFonts w:hint="eastAsia" w:ascii="宋体" w:hAnsi="宋体" w:eastAsia="宋体" w:cs="宋体"/>
          <w:color w:val="auto"/>
          <w:kern w:val="0"/>
          <w:sz w:val="21"/>
          <w:szCs w:val="21"/>
          <w:highlight w:val="none"/>
          <w:lang w:val="zh-CN"/>
        </w:rPr>
        <w:t>)：</w:t>
      </w:r>
    </w:p>
    <w:p>
      <w:pPr>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 xml:space="preserve">：  年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w:t>
      </w:r>
    </w:p>
    <w:p>
      <w:pPr>
        <w:pStyle w:val="16"/>
        <w:ind w:left="0" w:leftChars="0" w:firstLine="0" w:firstLineChars="0"/>
        <w:rPr>
          <w:rFonts w:hint="eastAsia" w:ascii="宋体" w:hAnsi="宋体" w:eastAsia="宋体" w:cs="宋体"/>
          <w:color w:val="auto"/>
          <w:highlight w:val="none"/>
        </w:rPr>
      </w:pPr>
    </w:p>
    <w:p>
      <w:pPr>
        <w:pStyle w:val="16"/>
        <w:ind w:left="0" w:leftChars="0" w:firstLine="0" w:firstLineChars="0"/>
        <w:rPr>
          <w:rFonts w:hint="eastAsia" w:ascii="宋体" w:hAnsi="宋体" w:eastAsia="宋体" w:cs="宋体"/>
          <w:color w:val="auto"/>
          <w:highlight w:val="none"/>
        </w:rPr>
      </w:pPr>
    </w:p>
    <w:p>
      <w:pPr>
        <w:pStyle w:val="3"/>
        <w:numPr>
          <w:ilvl w:val="0"/>
          <w:numId w:val="14"/>
        </w:numPr>
        <w:tabs>
          <w:tab w:val="left" w:pos="840"/>
        </w:tabs>
        <w:spacing w:before="0" w:after="156" w:afterLines="50" w:line="400" w:lineRule="exact"/>
        <w:ind w:left="0" w:leftChars="0" w:firstLine="420" w:firstLineChars="0"/>
        <w:jc w:val="center"/>
        <w:rPr>
          <w:rFonts w:hint="eastAsia" w:ascii="宋体" w:hAnsi="宋体" w:eastAsia="宋体" w:cs="宋体"/>
          <w:b/>
          <w:bCs w:val="0"/>
          <w:color w:val="auto"/>
          <w:kern w:val="2"/>
          <w:sz w:val="28"/>
          <w:szCs w:val="36"/>
          <w:highlight w:val="none"/>
          <w:lang w:val="en-US" w:eastAsia="zh-CN" w:bidi="ar-SA"/>
        </w:rPr>
      </w:pPr>
      <w:bookmarkStart w:id="782" w:name="_Toc6274"/>
      <w:bookmarkStart w:id="783" w:name="_Toc9753"/>
      <w:bookmarkStart w:id="784" w:name="_Toc26372"/>
      <w:r>
        <w:rPr>
          <w:rFonts w:hint="eastAsia" w:ascii="宋体" w:hAnsi="宋体" w:eastAsia="宋体" w:cs="宋体"/>
          <w:b/>
          <w:bCs w:val="0"/>
          <w:color w:val="auto"/>
          <w:kern w:val="2"/>
          <w:sz w:val="28"/>
          <w:szCs w:val="36"/>
          <w:highlight w:val="none"/>
          <w:lang w:val="en-US" w:eastAsia="zh-CN" w:bidi="ar-SA"/>
        </w:rPr>
        <w:t>落实政府采购政策需满足的资格要求</w:t>
      </w:r>
      <w:bookmarkEnd w:id="782"/>
      <w:bookmarkEnd w:id="783"/>
    </w:p>
    <w:p>
      <w:pPr>
        <w:numPr>
          <w:ilvl w:val="0"/>
          <w:numId w:val="0"/>
        </w:numPr>
        <w:spacing w:line="360" w:lineRule="auto"/>
        <w:ind w:left="420" w:leftChars="0"/>
        <w:rPr>
          <w:rFonts w:hint="eastAsia" w:ascii="宋体" w:hAnsi="宋体" w:eastAsia="宋体" w:cs="宋体"/>
          <w:b/>
          <w:bCs w:val="0"/>
          <w:color w:val="auto"/>
          <w:kern w:val="2"/>
          <w:sz w:val="28"/>
          <w:szCs w:val="36"/>
          <w:highlight w:val="none"/>
          <w:lang w:val="en-US" w:eastAsia="zh-CN" w:bidi="ar-SA"/>
        </w:rPr>
      </w:pPr>
      <w:r>
        <w:rPr>
          <w:rFonts w:hint="eastAsia" w:ascii="宋体" w:hAnsi="宋体" w:eastAsia="宋体" w:cs="宋体"/>
          <w:color w:val="auto"/>
          <w:sz w:val="24"/>
          <w:highlight w:val="none"/>
        </w:rPr>
        <w:t>（根据</w:t>
      </w:r>
      <w:r>
        <w:rPr>
          <w:rFonts w:hint="eastAsia" w:ascii="宋体" w:hAnsi="宋体" w:eastAsia="宋体" w:cs="宋体"/>
          <w:color w:val="auto"/>
          <w:sz w:val="24"/>
          <w:highlight w:val="none"/>
          <w:lang w:val="en-US" w:eastAsia="zh-CN"/>
        </w:rPr>
        <w:t>招标</w:t>
      </w:r>
      <w:r>
        <w:rPr>
          <w:rFonts w:hint="eastAsia" w:ascii="宋体" w:hAnsi="宋体" w:eastAsia="宋体" w:cs="宋体"/>
          <w:color w:val="auto"/>
          <w:sz w:val="24"/>
          <w:highlight w:val="none"/>
          <w:lang w:eastAsia="zh-CN"/>
        </w:rPr>
        <w:t>公告</w:t>
      </w:r>
      <w:r>
        <w:rPr>
          <w:rFonts w:hint="eastAsia" w:ascii="宋体" w:hAnsi="宋体" w:eastAsia="宋体" w:cs="宋体"/>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ascii="仿宋_GB2312" w:hAnsi="仿宋" w:eastAsia="仿宋_GB2312" w:cs="仿宋_GB2312"/>
          <w:b/>
          <w:color w:val="auto"/>
          <w:sz w:val="24"/>
          <w:highlight w:val="none"/>
        </w:rPr>
      </w:pPr>
    </w:p>
    <w:p>
      <w:pPr>
        <w:pStyle w:val="1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3"/>
        <w:numPr>
          <w:ilvl w:val="0"/>
          <w:numId w:val="14"/>
        </w:numPr>
        <w:tabs>
          <w:tab w:val="left" w:pos="840"/>
        </w:tabs>
        <w:spacing w:before="0" w:after="156" w:afterLines="50" w:line="400" w:lineRule="exact"/>
        <w:ind w:left="0" w:leftChars="0" w:firstLine="420" w:firstLineChars="0"/>
        <w:jc w:val="center"/>
        <w:rPr>
          <w:rFonts w:hint="eastAsia" w:ascii="宋体" w:hAnsi="宋体" w:eastAsia="宋体" w:cs="宋体"/>
          <w:b/>
          <w:color w:val="auto"/>
          <w:kern w:val="0"/>
          <w:sz w:val="28"/>
          <w:szCs w:val="28"/>
          <w:highlight w:val="none"/>
        </w:rPr>
      </w:pPr>
      <w:r>
        <w:rPr>
          <w:rFonts w:hint="eastAsia" w:ascii="宋体" w:hAnsi="宋体" w:eastAsia="宋体" w:cs="宋体"/>
          <w:b/>
          <w:bCs/>
          <w:color w:val="auto"/>
          <w:sz w:val="28"/>
          <w:szCs w:val="28"/>
          <w:highlight w:val="none"/>
        </w:rPr>
        <w:br w:type="page"/>
      </w:r>
      <w:bookmarkStart w:id="785" w:name="_Toc28612"/>
      <w:bookmarkStart w:id="786" w:name="_Toc24900"/>
      <w:r>
        <w:rPr>
          <w:rFonts w:hint="eastAsia" w:ascii="宋体" w:hAnsi="宋体" w:eastAsia="宋体" w:cs="宋体"/>
          <w:b/>
          <w:color w:val="auto"/>
          <w:kern w:val="0"/>
          <w:sz w:val="28"/>
          <w:szCs w:val="28"/>
          <w:highlight w:val="none"/>
        </w:rPr>
        <w:t>本项目的特定资格要求</w:t>
      </w:r>
      <w:bookmarkEnd w:id="785"/>
      <w:bookmarkEnd w:id="786"/>
    </w:p>
    <w:p>
      <w:pPr>
        <w:numPr>
          <w:ilvl w:val="0"/>
          <w:numId w:val="0"/>
        </w:numPr>
        <w:spacing w:line="360" w:lineRule="auto"/>
        <w:ind w:left="420" w:left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pStyle w:val="12"/>
        <w:rPr>
          <w:rFonts w:hint="eastAsia" w:ascii="宋体" w:hAnsi="宋体" w:eastAsia="宋体" w:cs="宋体"/>
          <w:color w:val="auto"/>
          <w:sz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sz w:val="24"/>
          <w:highlight w:val="none"/>
        </w:rPr>
      </w:pPr>
    </w:p>
    <w:p>
      <w:pPr>
        <w:pStyle w:val="12"/>
        <w:rPr>
          <w:rFonts w:hint="eastAsia" w:ascii="宋体" w:hAnsi="宋体" w:eastAsia="宋体" w:cs="宋体"/>
          <w:color w:val="auto"/>
          <w:sz w:val="28"/>
          <w:szCs w:val="28"/>
          <w:highlight w:val="none"/>
        </w:rPr>
      </w:pP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宋体" w:hAnsi="宋体" w:eastAsia="宋体" w:cs="宋体"/>
          <w:b/>
          <w:color w:val="auto"/>
          <w:kern w:val="0"/>
          <w:sz w:val="28"/>
          <w:szCs w:val="28"/>
          <w:highlight w:val="none"/>
          <w:lang w:val="en-US" w:eastAsia="zh-CN"/>
        </w:rPr>
        <w:br w:type="page"/>
      </w:r>
      <w:bookmarkEnd w:id="784"/>
      <w:r>
        <w:rPr>
          <w:rFonts w:hint="eastAsia" w:ascii="宋体" w:hAnsi="宋体" w:eastAsia="宋体" w:cs="宋体"/>
          <w:color w:val="auto"/>
          <w:sz w:val="28"/>
          <w:szCs w:val="36"/>
          <w:highlight w:val="none"/>
          <w:lang w:val="en-US" w:eastAsia="zh-CN"/>
        </w:rPr>
        <w:t xml:space="preserve"> </w:t>
      </w:r>
      <w:bookmarkStart w:id="787" w:name="_Toc25088"/>
      <w:bookmarkStart w:id="788" w:name="_Toc9308"/>
      <w:bookmarkStart w:id="789" w:name="_Toc25318"/>
      <w:r>
        <w:rPr>
          <w:rFonts w:hint="eastAsia" w:ascii="宋体" w:hAnsi="宋体" w:eastAsia="宋体" w:cs="宋体"/>
          <w:b/>
          <w:color w:val="auto"/>
          <w:kern w:val="0"/>
          <w:sz w:val="28"/>
          <w:szCs w:val="28"/>
          <w:highlight w:val="none"/>
        </w:rPr>
        <w:t>商务技术文件部分</w:t>
      </w:r>
      <w:bookmarkEnd w:id="787"/>
      <w:bookmarkEnd w:id="788"/>
      <w:bookmarkEnd w:id="789"/>
    </w:p>
    <w:p>
      <w:pPr>
        <w:snapToGrid w:val="0"/>
        <w:spacing w:line="360" w:lineRule="auto"/>
        <w:ind w:left="479" w:leftChars="228"/>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目录</w:t>
      </w:r>
    </w:p>
    <w:p>
      <w:pPr>
        <w:numPr>
          <w:ilvl w:val="0"/>
          <w:numId w:val="15"/>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投标函…………………………………………………………………………………（页码）</w:t>
      </w:r>
    </w:p>
    <w:p>
      <w:pPr>
        <w:numPr>
          <w:ilvl w:val="0"/>
          <w:numId w:val="15"/>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授权委托书或法定代表人（单位负责人、自然人本人）身份证明………………（页码）</w:t>
      </w:r>
    </w:p>
    <w:p>
      <w:pPr>
        <w:numPr>
          <w:ilvl w:val="0"/>
          <w:numId w:val="15"/>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符合性审查资料………………………………………………………………………（页码）</w:t>
      </w:r>
    </w:p>
    <w:p>
      <w:pPr>
        <w:numPr>
          <w:ilvl w:val="0"/>
          <w:numId w:val="15"/>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评标标准相应的商务技术资料………………………………………………………（页码）</w:t>
      </w:r>
    </w:p>
    <w:p>
      <w:pPr>
        <w:numPr>
          <w:ilvl w:val="0"/>
          <w:numId w:val="15"/>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政府采购供应商廉洁自律承诺书</w:t>
      </w:r>
      <w:r>
        <w:rPr>
          <w:rFonts w:hint="eastAsia" w:ascii="宋体" w:hAnsi="宋体" w:eastAsia="宋体" w:cs="宋体"/>
          <w:color w:val="auto"/>
          <w:sz w:val="21"/>
          <w:szCs w:val="21"/>
          <w:highlight w:val="none"/>
        </w:rPr>
        <w:t>……………………………………………………（页码）</w:t>
      </w:r>
    </w:p>
    <w:p>
      <w:pPr>
        <w:numPr>
          <w:ilvl w:val="0"/>
          <w:numId w:val="15"/>
        </w:numPr>
        <w:snapToGrid w:val="0"/>
        <w:spacing w:line="360" w:lineRule="auto"/>
        <w:ind w:left="425" w:leftChars="0" w:hanging="42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售后服务承诺书………………………………………………………………………（页码）</w:t>
      </w:r>
    </w:p>
    <w:p>
      <w:pPr>
        <w:pStyle w:val="3"/>
        <w:numPr>
          <w:ilvl w:val="1"/>
          <w:numId w:val="0"/>
        </w:numPr>
        <w:tabs>
          <w:tab w:val="left" w:pos="840"/>
        </w:tabs>
        <w:spacing w:before="0" w:after="156" w:afterLines="50" w:line="400" w:lineRule="exact"/>
        <w:jc w:val="center"/>
        <w:rPr>
          <w:rFonts w:hint="eastAsia" w:ascii="宋体" w:hAnsi="宋体" w:eastAsia="宋体" w:cs="宋体"/>
          <w:b/>
          <w:bCs w:val="0"/>
          <w:color w:val="auto"/>
          <w:kern w:val="2"/>
          <w:sz w:val="28"/>
          <w:szCs w:val="36"/>
          <w:highlight w:val="none"/>
          <w:lang w:val="en-US" w:eastAsia="zh-CN" w:bidi="ar-SA"/>
        </w:rPr>
      </w:pPr>
      <w:r>
        <w:rPr>
          <w:rFonts w:hint="eastAsia" w:ascii="宋体" w:hAnsi="宋体" w:eastAsia="宋体" w:cs="宋体"/>
          <w:b/>
          <w:color w:val="auto"/>
          <w:sz w:val="24"/>
          <w:highlight w:val="none"/>
        </w:rPr>
        <w:br w:type="page"/>
      </w:r>
      <w:bookmarkStart w:id="790" w:name="_Toc28033"/>
      <w:bookmarkStart w:id="791" w:name="_Toc16303"/>
      <w:bookmarkStart w:id="792" w:name="_Toc486931332"/>
      <w:bookmarkStart w:id="793" w:name="_Toc433019964"/>
      <w:bookmarkStart w:id="794" w:name="_Toc384303171"/>
      <w:bookmarkStart w:id="795" w:name="_Toc453158714"/>
      <w:bookmarkStart w:id="796" w:name="_Toc14715"/>
      <w:bookmarkStart w:id="797" w:name="_Toc433808004"/>
      <w:bookmarkStart w:id="798" w:name="_Toc384303166"/>
      <w:bookmarkStart w:id="799" w:name="_Toc10325"/>
      <w:bookmarkStart w:id="800" w:name="_Toc26167"/>
      <w:bookmarkStart w:id="801" w:name="_Toc402258849"/>
      <w:r>
        <w:rPr>
          <w:rFonts w:hint="eastAsia" w:ascii="宋体" w:hAnsi="宋体" w:eastAsia="宋体" w:cs="宋体"/>
          <w:b/>
          <w:bCs w:val="0"/>
          <w:color w:val="auto"/>
          <w:kern w:val="2"/>
          <w:sz w:val="28"/>
          <w:szCs w:val="36"/>
          <w:highlight w:val="none"/>
          <w:lang w:val="en-US" w:eastAsia="zh-CN" w:bidi="ar-SA"/>
        </w:rPr>
        <w:t>一、投标函</w:t>
      </w:r>
      <w:bookmarkEnd w:id="790"/>
      <w:bookmarkEnd w:id="791"/>
    </w:p>
    <w:p>
      <w:pPr>
        <w:spacing w:line="360" w:lineRule="auto"/>
        <w:rPr>
          <w:rFonts w:ascii="宋体" w:hAnsi="Times New Roman" w:eastAsia="宋体" w:cs="Times New Roman"/>
          <w:bCs/>
          <w:color w:val="auto"/>
          <w:highlight w:val="none"/>
        </w:rPr>
      </w:pPr>
      <w:r>
        <w:rPr>
          <w:rFonts w:hint="eastAsia" w:ascii="Arial" w:hAnsi="Arial" w:cs="Arial"/>
          <w:color w:val="auto"/>
          <w:szCs w:val="21"/>
          <w:highlight w:val="none"/>
          <w:lang w:eastAsia="zh-CN"/>
        </w:rPr>
        <w:t>瑞安市第五人民医院</w:t>
      </w:r>
      <w:r>
        <w:rPr>
          <w:rFonts w:hint="eastAsia" w:ascii="Arial" w:hAnsi="Arial" w:eastAsia="宋体" w:cs="Arial"/>
          <w:color w:val="auto"/>
          <w:szCs w:val="21"/>
          <w:highlight w:val="none"/>
          <w:lang w:eastAsia="zh-CN"/>
        </w:rPr>
        <w:t>、</w:t>
      </w:r>
      <w:r>
        <w:rPr>
          <w:rFonts w:hint="eastAsia" w:ascii="Arial" w:hAnsi="Arial" w:eastAsia="宋体" w:cs="Arial"/>
          <w:color w:val="auto"/>
          <w:szCs w:val="21"/>
          <w:highlight w:val="none"/>
          <w:lang w:val="en-US" w:eastAsia="zh-CN"/>
        </w:rPr>
        <w:t>浙江凯宝工程项目管理有限公司</w:t>
      </w:r>
      <w:r>
        <w:rPr>
          <w:rFonts w:hint="eastAsia" w:ascii="宋体" w:hAnsi="宋体" w:eastAsia="宋体" w:cs="Times New Roman"/>
          <w:bCs/>
          <w:color w:val="auto"/>
          <w:highlight w:val="none"/>
        </w:rPr>
        <w:t>：</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我方参加你方组织的（</w:t>
      </w:r>
      <w:r>
        <w:rPr>
          <w:rFonts w:hint="eastAsia" w:ascii="宋体" w:hAnsi="宋体" w:cs="宋体"/>
          <w:color w:val="auto"/>
          <w:sz w:val="21"/>
          <w:szCs w:val="21"/>
          <w:highlight w:val="none"/>
          <w:lang w:eastAsia="zh-CN"/>
        </w:rPr>
        <w:t>瑞安市第五人民医院双拍成对经颅磁项目采购</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编号：</w:t>
      </w:r>
      <w:r>
        <w:rPr>
          <w:rFonts w:hint="eastAsia" w:ascii="宋体" w:hAnsi="宋体" w:cs="宋体"/>
          <w:color w:val="auto"/>
          <w:szCs w:val="21"/>
          <w:highlight w:val="none"/>
          <w:lang w:eastAsia="zh-CN"/>
        </w:rPr>
        <w:t>ZJKB2024020-01</w:t>
      </w:r>
      <w:r>
        <w:rPr>
          <w:rFonts w:hint="eastAsia" w:ascii="宋体" w:hAnsi="宋体" w:eastAsia="宋体" w:cs="宋体"/>
          <w:color w:val="auto"/>
          <w:sz w:val="21"/>
          <w:szCs w:val="21"/>
          <w:highlight w:val="none"/>
        </w:rPr>
        <w:t>】招标的有关活动，并对此项目进行投标。为此：</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1、我方承诺投标有效期从提交投标文件的截止之日起</w:t>
      </w:r>
      <w:r>
        <w:rPr>
          <w:rFonts w:hint="eastAsia" w:ascii="宋体" w:hAnsi="宋体" w:eastAsia="宋体" w:cs="宋体"/>
          <w:color w:val="auto"/>
          <w:sz w:val="21"/>
          <w:szCs w:val="21"/>
          <w:highlight w:val="none"/>
          <w:u w:val="single"/>
          <w:lang w:val="en-US" w:eastAsia="zh-CN"/>
        </w:rPr>
        <w:t>90</w:t>
      </w:r>
      <w:r>
        <w:rPr>
          <w:rFonts w:hint="eastAsia" w:ascii="宋体" w:hAnsi="宋体" w:eastAsia="宋体" w:cs="宋体"/>
          <w:color w:val="auto"/>
          <w:sz w:val="21"/>
          <w:szCs w:val="21"/>
          <w:highlight w:val="none"/>
          <w:lang w:eastAsia="zh-CN"/>
        </w:rPr>
        <w:t>日</w:t>
      </w:r>
      <w:r>
        <w:rPr>
          <w:rFonts w:hint="eastAsia" w:ascii="宋体" w:hAnsi="宋体" w:eastAsia="宋体" w:cs="宋体"/>
          <w:color w:val="auto"/>
          <w:sz w:val="21"/>
          <w:szCs w:val="21"/>
          <w:highlight w:val="none"/>
        </w:rPr>
        <w:t>，本投标文件在投标有效期满之前均具有约束力。</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2、我方的投标文件包括以下内容：</w:t>
      </w:r>
    </w:p>
    <w:p>
      <w:pPr>
        <w:snapToGrid w:val="0"/>
        <w:spacing w:line="360" w:lineRule="auto"/>
        <w:ind w:left="210" w:leftChars="1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2.1资格文件：</w:t>
      </w:r>
    </w:p>
    <w:p>
      <w:pPr>
        <w:snapToGrid w:val="0"/>
        <w:spacing w:line="360" w:lineRule="auto"/>
        <w:ind w:left="420" w:leftChars="20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2.1.1</w:t>
      </w:r>
      <w:r>
        <w:rPr>
          <w:rFonts w:hint="eastAsia" w:ascii="宋体" w:hAnsi="宋体" w:eastAsia="宋体" w:cs="宋体"/>
          <w:color w:val="auto"/>
          <w:sz w:val="21"/>
          <w:szCs w:val="21"/>
          <w:highlight w:val="none"/>
          <w:lang w:val="en-US" w:eastAsia="zh-CN"/>
        </w:rPr>
        <w:t>具有独立承担民事责任能力的证明材料；</w:t>
      </w:r>
    </w:p>
    <w:p>
      <w:pPr>
        <w:snapToGrid w:val="0"/>
        <w:spacing w:line="360" w:lineRule="auto"/>
        <w:ind w:left="420" w:leftChars="2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符合参加政府采购活动应当具备的一般条件的承诺函；</w:t>
      </w:r>
    </w:p>
    <w:p>
      <w:pPr>
        <w:snapToGrid w:val="0"/>
        <w:spacing w:line="360" w:lineRule="auto"/>
        <w:ind w:left="420" w:leftChars="2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落实政府采购政策需满足的资格要求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napToGrid w:val="0"/>
        <w:spacing w:line="360" w:lineRule="auto"/>
        <w:ind w:left="420" w:leftChars="2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本项目的特定资格要求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napToGrid w:val="0"/>
        <w:spacing w:line="360" w:lineRule="auto"/>
        <w:ind w:left="210" w:leftChars="10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商务技术</w:t>
      </w:r>
      <w:r>
        <w:rPr>
          <w:rFonts w:hint="eastAsia" w:ascii="宋体" w:hAnsi="宋体" w:eastAsia="宋体" w:cs="宋体"/>
          <w:color w:val="auto"/>
          <w:sz w:val="21"/>
          <w:szCs w:val="21"/>
          <w:highlight w:val="none"/>
          <w:lang w:val="zh-CN"/>
        </w:rPr>
        <w:t>文件：</w:t>
      </w:r>
    </w:p>
    <w:p>
      <w:pPr>
        <w:snapToGrid w:val="0"/>
        <w:spacing w:line="360" w:lineRule="auto"/>
        <w:ind w:left="420" w:leftChars="2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2.2.1投标函；</w:t>
      </w:r>
      <w:r>
        <w:rPr>
          <w:rFonts w:hint="eastAsia" w:ascii="宋体" w:hAnsi="宋体" w:eastAsia="宋体" w:cs="宋体"/>
          <w:color w:val="auto"/>
          <w:sz w:val="21"/>
          <w:szCs w:val="21"/>
          <w:highlight w:val="none"/>
          <w:lang w:val="zh-CN"/>
        </w:rPr>
        <w:t xml:space="preserve"> </w:t>
      </w:r>
    </w:p>
    <w:p>
      <w:pPr>
        <w:snapToGrid w:val="0"/>
        <w:spacing w:line="360" w:lineRule="auto"/>
        <w:ind w:left="420" w:leftChars="2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2.2.2授权委托书或法定代表人（单位负责人）身份证明；</w:t>
      </w:r>
    </w:p>
    <w:p>
      <w:pPr>
        <w:snapToGrid w:val="0"/>
        <w:spacing w:line="360" w:lineRule="auto"/>
        <w:ind w:left="420" w:leftChars="2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符合性审查资料；</w:t>
      </w:r>
    </w:p>
    <w:p>
      <w:pPr>
        <w:snapToGrid w:val="0"/>
        <w:spacing w:line="360" w:lineRule="auto"/>
        <w:ind w:left="420" w:leftChars="2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评标标准相应的商务技术资料；</w:t>
      </w:r>
    </w:p>
    <w:p>
      <w:pPr>
        <w:snapToGrid w:val="0"/>
        <w:spacing w:line="360" w:lineRule="auto"/>
        <w:ind w:left="420" w:leftChars="20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val="zh-CN"/>
        </w:rPr>
        <w:t>政府采购供应商廉洁自律承诺书；</w:t>
      </w:r>
    </w:p>
    <w:p>
      <w:pPr>
        <w:snapToGrid w:val="0"/>
        <w:spacing w:line="360" w:lineRule="auto"/>
        <w:ind w:left="210" w:leftChars="1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3报价文件</w:t>
      </w:r>
    </w:p>
    <w:p>
      <w:pPr>
        <w:snapToGrid w:val="0"/>
        <w:spacing w:line="360" w:lineRule="auto"/>
        <w:ind w:left="420" w:leftChars="20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2.3.1开标一览表（报价表）</w:t>
      </w:r>
      <w:r>
        <w:rPr>
          <w:rFonts w:hint="eastAsia" w:ascii="宋体" w:hAnsi="宋体" w:eastAsia="宋体" w:cs="宋体"/>
          <w:color w:val="auto"/>
          <w:sz w:val="21"/>
          <w:szCs w:val="21"/>
          <w:highlight w:val="none"/>
          <w:lang w:val="en-US" w:eastAsia="zh-CN"/>
        </w:rPr>
        <w:t>。</w:t>
      </w:r>
    </w:p>
    <w:p>
      <w:pPr>
        <w:snapToGrid w:val="0"/>
        <w:spacing w:line="360" w:lineRule="auto"/>
        <w:ind w:left="420" w:leftChars="200"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2.3.</w:t>
      </w:r>
      <w:r>
        <w:rPr>
          <w:rFonts w:hint="eastAsia" w:ascii="宋体" w:hAnsi="宋体" w:eastAsia="宋体" w:cs="宋体"/>
          <w:color w:val="auto"/>
          <w:sz w:val="21"/>
          <w:szCs w:val="21"/>
          <w:highlight w:val="none"/>
          <w:lang w:val="en-US" w:eastAsia="zh-CN"/>
        </w:rPr>
        <w:t>2报价明细表。</w:t>
      </w:r>
    </w:p>
    <w:p>
      <w:pPr>
        <w:snapToGrid w:val="0"/>
        <w:spacing w:line="360" w:lineRule="auto"/>
        <w:ind w:left="420" w:leftChars="20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2.3.3</w:t>
      </w:r>
      <w:r>
        <w:rPr>
          <w:rFonts w:hint="eastAsia" w:ascii="宋体" w:hAnsi="宋体" w:eastAsia="宋体" w:cs="宋体"/>
          <w:color w:val="auto"/>
          <w:sz w:val="21"/>
          <w:szCs w:val="21"/>
          <w:highlight w:val="none"/>
        </w:rPr>
        <w:t>中小企业声明函（如果有）。</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3、我方承诺除商务技术偏离表列出的偏离外，我方响应招标文件的全部要求。</w:t>
      </w:r>
    </w:p>
    <w:p>
      <w:pPr>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4、如我方中标，我方承诺：</w:t>
      </w:r>
    </w:p>
    <w:p>
      <w:pPr>
        <w:snapToGrid w:val="0"/>
        <w:spacing w:line="360" w:lineRule="auto"/>
        <w:ind w:left="210" w:leftChars="1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4.1在收到中标通知书后，在中标通知书规定的期限内与你方签订合同； </w:t>
      </w:r>
    </w:p>
    <w:p>
      <w:pPr>
        <w:snapToGrid w:val="0"/>
        <w:spacing w:line="360" w:lineRule="auto"/>
        <w:ind w:left="210" w:leftChars="1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4.2在签订合同时不向你方提出附加条件； </w:t>
      </w:r>
    </w:p>
    <w:p>
      <w:pPr>
        <w:snapToGrid w:val="0"/>
        <w:spacing w:line="360" w:lineRule="auto"/>
        <w:ind w:left="210" w:leftChars="1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4.3按照招标文件要求提交履约保证金； </w:t>
      </w:r>
    </w:p>
    <w:p>
      <w:pPr>
        <w:snapToGrid w:val="0"/>
        <w:spacing w:line="360" w:lineRule="auto"/>
        <w:ind w:left="210" w:leftChars="1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4.4在合同约定的期限内完成合同规定的全部义务。 </w:t>
      </w:r>
    </w:p>
    <w:p>
      <w:pPr>
        <w:snapToGrid w:val="0"/>
        <w:spacing w:line="360" w:lineRule="auto"/>
        <w:ind w:left="210" w:leftChars="10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5、其他补充说明: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line="360" w:lineRule="auto"/>
        <w:ind w:firstLine="3780" w:firstLineChars="18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投标人名称（电子签名</w:t>
      </w:r>
      <w:r>
        <w:rPr>
          <w:rFonts w:hint="eastAsia" w:ascii="宋体" w:hAnsi="宋体" w:eastAsia="宋体" w:cs="宋体"/>
          <w:color w:val="auto"/>
          <w:sz w:val="21"/>
          <w:szCs w:val="21"/>
          <w:highlight w:val="none"/>
          <w:lang w:val="en-US" w:eastAsia="zh-CN"/>
        </w:rPr>
        <w:t>或公章</w:t>
      </w:r>
      <w:r>
        <w:rPr>
          <w:rFonts w:hint="eastAsia" w:ascii="宋体" w:hAnsi="宋体" w:eastAsia="宋体" w:cs="宋体"/>
          <w:color w:val="auto"/>
          <w:sz w:val="21"/>
          <w:szCs w:val="21"/>
          <w:highlight w:val="none"/>
        </w:rPr>
        <w:t xml:space="preserve">）：                          </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  年   月   日</w:t>
      </w:r>
    </w:p>
    <w:p>
      <w:pPr>
        <w:rPr>
          <w:rFonts w:hint="eastAsia" w:ascii="宋体" w:hAnsi="宋体" w:eastAsia="宋体" w:cs="宋体"/>
          <w:color w:val="auto"/>
          <w:sz w:val="21"/>
          <w:szCs w:val="21"/>
          <w:highlight w:val="none"/>
        </w:rPr>
      </w:pPr>
    </w:p>
    <w:p>
      <w:pPr>
        <w:spacing w:line="360" w:lineRule="auto"/>
        <w:rPr>
          <w:rFonts w:ascii="宋体" w:hAnsi="宋体"/>
          <w:b/>
          <w:bCs/>
          <w:color w:val="auto"/>
          <w:szCs w:val="21"/>
          <w:highlight w:val="none"/>
        </w:rPr>
      </w:pPr>
      <w:r>
        <w:rPr>
          <w:rStyle w:val="142"/>
          <w:rFonts w:ascii="宋体" w:hAnsi="宋体" w:cs="Arial"/>
          <w:b/>
          <w:bCs/>
          <w:color w:val="auto"/>
          <w:szCs w:val="21"/>
          <w:highlight w:val="none"/>
        </w:rPr>
        <w:t>注：</w:t>
      </w:r>
      <w:r>
        <w:rPr>
          <w:rStyle w:val="142"/>
          <w:rFonts w:ascii="宋体" w:hAnsi="宋体" w:cs="Arial"/>
          <w:color w:val="auto"/>
          <w:szCs w:val="21"/>
          <w:highlight w:val="none"/>
        </w:rPr>
        <w:t>▲</w:t>
      </w:r>
      <w:r>
        <w:rPr>
          <w:rFonts w:hint="eastAsia" w:ascii="宋体" w:hAnsi="宋体" w:cs="宋体"/>
          <w:b/>
          <w:bCs/>
          <w:color w:val="auto"/>
          <w:szCs w:val="21"/>
          <w:highlight w:val="none"/>
        </w:rPr>
        <w:t>本</w:t>
      </w:r>
      <w:r>
        <w:rPr>
          <w:rFonts w:hint="eastAsia" w:ascii="宋体" w:hAnsi="宋体" w:cs="宋体"/>
          <w:b/>
          <w:bCs/>
          <w:color w:val="auto"/>
          <w:szCs w:val="21"/>
          <w:highlight w:val="none"/>
          <w:lang w:val="en-US" w:eastAsia="zh-CN"/>
        </w:rPr>
        <w:t>表</w:t>
      </w:r>
      <w:r>
        <w:rPr>
          <w:rFonts w:hint="eastAsia" w:ascii="宋体" w:hAnsi="宋体" w:cs="宋体"/>
          <w:b/>
          <w:bCs/>
          <w:color w:val="auto"/>
          <w:szCs w:val="21"/>
          <w:highlight w:val="none"/>
        </w:rPr>
        <w:t>必须提供。</w:t>
      </w:r>
    </w:p>
    <w:p>
      <w:pPr>
        <w:pStyle w:val="3"/>
        <w:numPr>
          <w:ilvl w:val="1"/>
          <w:numId w:val="0"/>
        </w:numPr>
        <w:tabs>
          <w:tab w:val="left" w:pos="840"/>
        </w:tabs>
        <w:spacing w:before="0" w:after="156" w:afterLines="50" w:line="400" w:lineRule="exact"/>
        <w:jc w:val="center"/>
        <w:rPr>
          <w:rFonts w:hint="eastAsia" w:ascii="宋体" w:hAnsi="宋体" w:eastAsia="宋体" w:cs="宋体"/>
          <w:b/>
          <w:bCs w:val="0"/>
          <w:color w:val="auto"/>
          <w:kern w:val="2"/>
          <w:sz w:val="28"/>
          <w:szCs w:val="36"/>
          <w:highlight w:val="none"/>
          <w:lang w:val="en-US" w:eastAsia="zh-CN" w:bidi="ar-SA"/>
        </w:rPr>
      </w:pPr>
      <w:r>
        <w:rPr>
          <w:rFonts w:hint="eastAsia" w:ascii="宋体" w:hAnsi="宋体" w:eastAsia="宋体" w:cs="宋体"/>
          <w:b/>
          <w:bCs w:val="0"/>
          <w:color w:val="auto"/>
          <w:kern w:val="2"/>
          <w:sz w:val="28"/>
          <w:szCs w:val="36"/>
          <w:highlight w:val="none"/>
          <w:lang w:val="zh-CN" w:eastAsia="zh-CN" w:bidi="ar-SA"/>
        </w:rPr>
        <w:br w:type="page"/>
      </w:r>
      <w:bookmarkStart w:id="802" w:name="_Toc18900"/>
      <w:bookmarkStart w:id="803" w:name="_Toc29841"/>
      <w:r>
        <w:rPr>
          <w:rFonts w:hint="eastAsia" w:ascii="宋体" w:hAnsi="宋体" w:eastAsia="宋体" w:cs="宋体"/>
          <w:b/>
          <w:bCs w:val="0"/>
          <w:color w:val="auto"/>
          <w:kern w:val="2"/>
          <w:sz w:val="28"/>
          <w:szCs w:val="36"/>
          <w:highlight w:val="none"/>
          <w:lang w:val="zh-CN" w:eastAsia="zh-CN" w:bidi="ar-SA"/>
        </w:rPr>
        <w:t>二、授权委托书或法定代表人（单位负责人、自然人本人）身份证明</w:t>
      </w:r>
      <w:bookmarkEnd w:id="802"/>
      <w:bookmarkEnd w:id="803"/>
    </w:p>
    <w:p>
      <w:pPr>
        <w:spacing w:line="360" w:lineRule="auto"/>
        <w:ind w:firstLine="612"/>
        <w:jc w:val="center"/>
        <w:outlineLvl w:val="9"/>
        <w:rPr>
          <w:rFonts w:hint="eastAsia" w:ascii="宋体" w:hAnsi="宋体" w:eastAsia="宋体" w:cs="宋体"/>
          <w:b/>
          <w:bCs w:val="0"/>
          <w:color w:val="auto"/>
          <w:kern w:val="2"/>
          <w:sz w:val="28"/>
          <w:szCs w:val="36"/>
          <w:highlight w:val="none"/>
          <w:lang w:val="en-US" w:eastAsia="zh-CN" w:bidi="ar-SA"/>
        </w:rPr>
      </w:pPr>
      <w:r>
        <w:rPr>
          <w:rFonts w:hint="eastAsia" w:ascii="宋体" w:hAnsi="宋体" w:eastAsia="宋体" w:cs="宋体"/>
          <w:b/>
          <w:bCs w:val="0"/>
          <w:color w:val="auto"/>
          <w:kern w:val="2"/>
          <w:sz w:val="28"/>
          <w:szCs w:val="36"/>
          <w:highlight w:val="none"/>
          <w:lang w:val="en-US" w:eastAsia="zh-CN" w:bidi="ar-SA"/>
        </w:rPr>
        <w:t>法定代表人授权书</w:t>
      </w:r>
    </w:p>
    <w:p>
      <w:pPr>
        <w:pStyle w:val="31"/>
        <w:spacing w:before="0" w:beforeAutospacing="0" w:after="0" w:afterAutospacing="0"/>
        <w:ind w:firstLine="420"/>
        <w:rPr>
          <w:rFonts w:hint="eastAsia" w:ascii="宋体" w:hAnsi="宋体" w:eastAsia="宋体" w:cs="宋体"/>
          <w:color w:val="auto"/>
          <w:szCs w:val="21"/>
          <w:highlight w:val="none"/>
        </w:rPr>
      </w:pPr>
    </w:p>
    <w:p>
      <w:pPr>
        <w:widowControl/>
        <w:autoSpaceDE w:val="0"/>
        <w:autoSpaceDN w:val="0"/>
        <w:spacing w:line="360" w:lineRule="auto"/>
        <w:ind w:firstLine="0" w:firstLineChars="0"/>
        <w:rPr>
          <w:rStyle w:val="142"/>
          <w:rFonts w:ascii="Arial" w:hAnsi="Arial" w:cs="Arial"/>
          <w:i w:val="0"/>
          <w:iCs w:val="0"/>
          <w:color w:val="auto"/>
          <w:highlight w:val="none"/>
        </w:rPr>
      </w:pPr>
      <w:r>
        <w:rPr>
          <w:rFonts w:hint="eastAsia" w:ascii="宋体" w:hAnsi="宋体" w:cs="宋体"/>
          <w:b w:val="0"/>
          <w:bCs/>
          <w:i w:val="0"/>
          <w:iCs w:val="0"/>
          <w:color w:val="auto"/>
          <w:szCs w:val="21"/>
          <w:highlight w:val="none"/>
          <w:u w:val="single"/>
          <w:lang w:val="en-US" w:eastAsia="zh-CN"/>
        </w:rPr>
        <w:t>瑞安市第五人民医院、浙江凯宝工程项目管理有限公司</w:t>
      </w:r>
      <w:r>
        <w:rPr>
          <w:rFonts w:hint="eastAsia" w:ascii="宋体" w:hAnsi="宋体" w:cs="宋体"/>
          <w:b w:val="0"/>
          <w:bCs/>
          <w:i w:val="0"/>
          <w:iCs w:val="0"/>
          <w:color w:val="auto"/>
          <w:szCs w:val="21"/>
          <w:highlight w:val="none"/>
          <w:lang w:bidi="ar"/>
        </w:rPr>
        <w:t>：</w:t>
      </w:r>
    </w:p>
    <w:p>
      <w:pPr>
        <w:spacing w:line="360" w:lineRule="auto"/>
        <w:ind w:firstLine="612"/>
        <w:jc w:val="left"/>
        <w:outlineLvl w:val="9"/>
        <w:rPr>
          <w:rFonts w:hint="eastAsia" w:ascii="宋体" w:hAnsi="宋体" w:cs="宋体"/>
          <w:color w:val="auto"/>
          <w:szCs w:val="21"/>
          <w:highlight w:val="none"/>
        </w:rPr>
      </w:pPr>
      <w:r>
        <w:rPr>
          <w:rFonts w:hint="eastAsia" w:ascii="宋体" w:hAnsi="宋体" w:cs="宋体"/>
          <w:i w:val="0"/>
          <w:iCs w:val="0"/>
          <w:color w:val="auto"/>
          <w:szCs w:val="21"/>
          <w:highlight w:val="none"/>
          <w:lang w:bidi="ar"/>
        </w:rPr>
        <w:t>本授权委托书声明：我</w:t>
      </w:r>
      <w:r>
        <w:rPr>
          <w:rFonts w:hint="eastAsia" w:ascii="宋体" w:hAnsi="宋体" w:cs="宋体"/>
          <w:i w:val="0"/>
          <w:iCs w:val="0"/>
          <w:color w:val="auto"/>
          <w:szCs w:val="21"/>
          <w:highlight w:val="none"/>
          <w:u w:val="single"/>
          <w:lang w:bidi="ar"/>
        </w:rPr>
        <w:t>（法人代表姓名）</w:t>
      </w:r>
      <w:r>
        <w:rPr>
          <w:rFonts w:hint="eastAsia" w:ascii="宋体" w:hAnsi="宋体" w:cs="宋体"/>
          <w:i w:val="0"/>
          <w:iCs w:val="0"/>
          <w:color w:val="auto"/>
          <w:szCs w:val="21"/>
          <w:highlight w:val="none"/>
          <w:lang w:bidi="ar"/>
        </w:rPr>
        <w:t>系</w:t>
      </w:r>
      <w:r>
        <w:rPr>
          <w:rFonts w:hint="eastAsia" w:ascii="宋体" w:hAnsi="宋体" w:cs="宋体"/>
          <w:i w:val="0"/>
          <w:iCs w:val="0"/>
          <w:color w:val="auto"/>
          <w:szCs w:val="21"/>
          <w:highlight w:val="none"/>
          <w:u w:val="single"/>
          <w:lang w:bidi="ar"/>
        </w:rPr>
        <w:t xml:space="preserve">（投标人名称） </w:t>
      </w:r>
      <w:r>
        <w:rPr>
          <w:rFonts w:hint="eastAsia" w:ascii="宋体" w:hAnsi="宋体" w:cs="宋体"/>
          <w:i w:val="0"/>
          <w:iCs w:val="0"/>
          <w:color w:val="auto"/>
          <w:szCs w:val="21"/>
          <w:highlight w:val="none"/>
          <w:lang w:bidi="ar"/>
        </w:rPr>
        <w:t>的法定代表人，现授权委托</w:t>
      </w:r>
      <w:r>
        <w:rPr>
          <w:rFonts w:hint="eastAsia" w:ascii="宋体" w:hAnsi="宋体" w:cs="宋体"/>
          <w:i w:val="0"/>
          <w:iCs w:val="0"/>
          <w:color w:val="auto"/>
          <w:szCs w:val="21"/>
          <w:highlight w:val="none"/>
          <w:u w:val="single"/>
          <w:lang w:bidi="ar"/>
        </w:rPr>
        <w:t>（授权代表姓名）</w:t>
      </w:r>
      <w:r>
        <w:rPr>
          <w:rFonts w:hint="eastAsia" w:ascii="宋体" w:hAnsi="宋体" w:cs="宋体"/>
          <w:i w:val="0"/>
          <w:iCs w:val="0"/>
          <w:color w:val="auto"/>
          <w:szCs w:val="21"/>
          <w:highlight w:val="none"/>
          <w:lang w:bidi="ar"/>
        </w:rPr>
        <w:t>为我公司法定代表人授</w:t>
      </w:r>
      <w:r>
        <w:rPr>
          <w:rFonts w:hint="eastAsia" w:ascii="宋体" w:hAnsi="宋体" w:cs="宋体"/>
          <w:color w:val="auto"/>
          <w:szCs w:val="21"/>
          <w:highlight w:val="none"/>
          <w:lang w:bidi="ar"/>
        </w:rPr>
        <w:t>权代表，参加贵处组织的</w:t>
      </w:r>
      <w:r>
        <w:rPr>
          <w:rStyle w:val="142"/>
          <w:rFonts w:ascii="Arial" w:hAnsi="Arial" w:cs="Arial"/>
          <w:color w:val="auto"/>
          <w:highlight w:val="none"/>
          <w:u w:val="single"/>
        </w:rPr>
        <w:t xml:space="preserve">       项目名称         </w:t>
      </w:r>
      <w:r>
        <w:rPr>
          <w:rStyle w:val="142"/>
          <w:rFonts w:ascii="Arial" w:hAnsi="Arial" w:cs="Arial"/>
          <w:color w:val="auto"/>
          <w:highlight w:val="none"/>
        </w:rPr>
        <w:t>（项目编号：    ）</w:t>
      </w:r>
      <w:r>
        <w:rPr>
          <w:rFonts w:hint="eastAsia" w:ascii="宋体" w:hAnsi="宋体" w:cs="宋体"/>
          <w:color w:val="auto"/>
          <w:szCs w:val="21"/>
          <w:highlight w:val="none"/>
          <w:lang w:bidi="ar"/>
        </w:rPr>
        <w:t>投标，全权处理本次招投标活动中的一切事宜，我承认授权代表全权代表我所签署的本项目的投标文件的内容。</w:t>
      </w:r>
    </w:p>
    <w:p>
      <w:pPr>
        <w:spacing w:line="360" w:lineRule="auto"/>
        <w:ind w:firstLine="697"/>
        <w:jc w:val="left"/>
        <w:outlineLvl w:val="9"/>
        <w:rPr>
          <w:rFonts w:hint="eastAsia" w:ascii="宋体" w:hAnsi="宋体" w:cs="宋体"/>
          <w:color w:val="auto"/>
          <w:szCs w:val="21"/>
          <w:highlight w:val="none"/>
        </w:rPr>
      </w:pPr>
      <w:r>
        <w:rPr>
          <w:rFonts w:hint="eastAsia" w:ascii="宋体" w:hAnsi="宋体" w:cs="宋体"/>
          <w:color w:val="auto"/>
          <w:szCs w:val="21"/>
          <w:highlight w:val="none"/>
          <w:lang w:bidi="ar"/>
        </w:rPr>
        <w:t>授权代表无转授权，特此授权。</w:t>
      </w:r>
    </w:p>
    <w:p>
      <w:pPr>
        <w:spacing w:line="240" w:lineRule="auto"/>
        <w:jc w:val="left"/>
        <w:outlineLvl w:val="9"/>
        <w:rPr>
          <w:rFonts w:hint="eastAsia" w:ascii="宋体" w:hAnsi="宋体" w:cs="宋体"/>
          <w:color w:val="auto"/>
          <w:szCs w:val="21"/>
          <w:highlight w:val="none"/>
        </w:rPr>
      </w:pPr>
    </w:p>
    <w:p>
      <w:pPr>
        <w:spacing w:line="240" w:lineRule="auto"/>
        <w:jc w:val="left"/>
        <w:outlineLvl w:val="9"/>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bidi="ar"/>
        </w:rPr>
        <w:t>授权代表</w:t>
      </w:r>
      <w:r>
        <w:rPr>
          <w:rFonts w:hint="eastAsia" w:ascii="宋体" w:hAnsi="宋体" w:cs="宋体"/>
          <w:color w:val="auto"/>
          <w:szCs w:val="21"/>
          <w:highlight w:val="none"/>
          <w:lang w:val="en-US" w:eastAsia="zh-CN" w:bidi="ar"/>
        </w:rPr>
        <w:t>签字：</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lang w:val="en-US" w:eastAsia="zh-CN" w:bidi="ar"/>
        </w:rPr>
        <w:t xml:space="preserve"> </w:t>
      </w:r>
      <w:r>
        <w:rPr>
          <w:rFonts w:hint="eastAsia" w:ascii="宋体" w:hAnsi="宋体" w:cs="宋体"/>
          <w:color w:val="auto"/>
          <w:szCs w:val="21"/>
          <w:highlight w:val="none"/>
          <w:lang w:bidi="ar"/>
        </w:rPr>
        <w:t>职务：</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r>
        <w:rPr>
          <w:rFonts w:hint="eastAsia" w:ascii="宋体" w:hAnsi="宋体" w:cs="宋体"/>
          <w:color w:val="auto"/>
          <w:szCs w:val="21"/>
          <w:highlight w:val="none"/>
          <w:lang w:bidi="ar"/>
        </w:rPr>
        <w:t>电</w:t>
      </w:r>
      <w:r>
        <w:rPr>
          <w:rFonts w:hint="eastAsia" w:ascii="宋体" w:hAnsi="宋体" w:cs="宋体"/>
          <w:color w:val="auto"/>
          <w:szCs w:val="21"/>
          <w:highlight w:val="none"/>
          <w:lang w:val="en-US" w:eastAsia="zh-CN" w:bidi="ar"/>
        </w:rPr>
        <w:t>联系方式</w:t>
      </w:r>
      <w:r>
        <w:rPr>
          <w:rFonts w:hint="eastAsia" w:ascii="宋体" w:hAnsi="宋体" w:cs="宋体"/>
          <w:color w:val="auto"/>
          <w:szCs w:val="21"/>
          <w:highlight w:val="none"/>
          <w:lang w:bidi="ar"/>
        </w:rPr>
        <w:t>：</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u w:val="single"/>
          <w:lang w:val="en-US" w:eastAsia="zh-CN" w:bidi="ar"/>
        </w:rPr>
        <w:t xml:space="preserve">        </w:t>
      </w:r>
    </w:p>
    <w:p>
      <w:pPr>
        <w:spacing w:line="240" w:lineRule="auto"/>
        <w:ind w:firstLine="2940" w:firstLineChars="1400"/>
        <w:jc w:val="left"/>
        <w:outlineLvl w:val="9"/>
        <w:rPr>
          <w:rFonts w:hint="eastAsia" w:ascii="宋体" w:hAnsi="宋体" w:cs="宋体"/>
          <w:color w:val="auto"/>
          <w:szCs w:val="21"/>
          <w:highlight w:val="none"/>
        </w:rPr>
      </w:pPr>
    </w:p>
    <w:p>
      <w:pPr>
        <w:spacing w:line="360" w:lineRule="auto"/>
        <w:jc w:val="left"/>
        <w:outlineLvl w:val="9"/>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附：投标人授权代表身份证复印件。</w:t>
      </w:r>
      <w:r>
        <w:rPr>
          <w:rFonts w:hint="eastAsia" w:ascii="宋体" w:hAnsi="宋体" w:cs="宋体"/>
          <w:b/>
          <w:bCs/>
          <w:color w:val="auto"/>
          <w:szCs w:val="21"/>
          <w:highlight w:val="none"/>
          <w:lang w:eastAsia="zh-CN"/>
        </w:rPr>
        <w:t>（正反面）</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4520" w:type="dxa"/>
            <w:noWrap w:val="0"/>
            <w:vAlign w:val="top"/>
          </w:tcPr>
          <w:p>
            <w:pPr>
              <w:pStyle w:val="16"/>
              <w:jc w:val="left"/>
              <w:outlineLvl w:val="9"/>
              <w:rPr>
                <w:rFonts w:hint="eastAsia" w:ascii="宋体" w:hAnsi="宋体" w:eastAsia="宋体" w:cs="宋体"/>
                <w:b/>
                <w:bCs/>
                <w:color w:val="auto"/>
                <w:szCs w:val="21"/>
                <w:highlight w:val="none"/>
                <w:vertAlign w:val="baseline"/>
              </w:rPr>
            </w:pPr>
          </w:p>
        </w:tc>
        <w:tc>
          <w:tcPr>
            <w:tcW w:w="4520" w:type="dxa"/>
            <w:noWrap w:val="0"/>
            <w:vAlign w:val="top"/>
          </w:tcPr>
          <w:p>
            <w:pPr>
              <w:pStyle w:val="16"/>
              <w:jc w:val="left"/>
              <w:outlineLvl w:val="9"/>
              <w:rPr>
                <w:rFonts w:hint="eastAsia" w:ascii="宋体" w:hAnsi="宋体" w:eastAsia="宋体" w:cs="宋体"/>
                <w:b/>
                <w:bCs/>
                <w:color w:val="auto"/>
                <w:szCs w:val="21"/>
                <w:highlight w:val="none"/>
                <w:vertAlign w:val="baseline"/>
              </w:rPr>
            </w:pPr>
          </w:p>
        </w:tc>
      </w:tr>
    </w:tbl>
    <w:p>
      <w:pPr>
        <w:spacing w:line="240" w:lineRule="auto"/>
        <w:ind w:firstLine="2730" w:firstLineChars="1300"/>
        <w:jc w:val="left"/>
        <w:outlineLvl w:val="9"/>
        <w:rPr>
          <w:rFonts w:hint="eastAsia" w:ascii="宋体" w:hAnsi="宋体" w:cs="宋体"/>
          <w:color w:val="auto"/>
          <w:szCs w:val="21"/>
          <w:highlight w:val="none"/>
          <w:lang w:bidi="ar"/>
        </w:rPr>
      </w:pPr>
    </w:p>
    <w:p>
      <w:pPr>
        <w:spacing w:line="240" w:lineRule="auto"/>
        <w:ind w:firstLine="2730" w:firstLineChars="1300"/>
        <w:jc w:val="left"/>
        <w:outlineLvl w:val="9"/>
        <w:rPr>
          <w:rFonts w:hint="eastAsia" w:ascii="宋体" w:hAnsi="宋体" w:cs="宋体"/>
          <w:color w:val="auto"/>
          <w:szCs w:val="21"/>
          <w:highlight w:val="none"/>
        </w:rPr>
      </w:pPr>
      <w:r>
        <w:rPr>
          <w:rFonts w:hint="eastAsia" w:ascii="宋体" w:hAnsi="宋体" w:cs="宋体"/>
          <w:color w:val="auto"/>
          <w:szCs w:val="21"/>
          <w:highlight w:val="none"/>
          <w:lang w:bidi="ar"/>
        </w:rPr>
        <w:t>投标人全称：</w:t>
      </w:r>
      <w:r>
        <w:rPr>
          <w:rFonts w:hint="eastAsia" w:ascii="宋体" w:hAnsi="宋体" w:cs="宋体"/>
          <w:color w:val="auto"/>
          <w:szCs w:val="21"/>
          <w:highlight w:val="none"/>
          <w:u w:val="single"/>
          <w:lang w:bidi="ar"/>
        </w:rPr>
        <w:t xml:space="preserve">                             （盖</w:t>
      </w:r>
      <w:r>
        <w:rPr>
          <w:rFonts w:hint="eastAsia" w:ascii="宋体" w:hAnsi="宋体" w:cs="宋体"/>
          <w:color w:val="auto"/>
          <w:szCs w:val="21"/>
          <w:highlight w:val="none"/>
          <w:u w:val="single"/>
          <w:lang w:eastAsia="zh-CN" w:bidi="ar"/>
        </w:rPr>
        <w:t>公</w:t>
      </w:r>
      <w:r>
        <w:rPr>
          <w:rFonts w:hint="eastAsia" w:ascii="宋体" w:hAnsi="宋体" w:cs="宋体"/>
          <w:color w:val="auto"/>
          <w:szCs w:val="21"/>
          <w:highlight w:val="none"/>
          <w:u w:val="single"/>
          <w:lang w:bidi="ar"/>
        </w:rPr>
        <w:t>章）</w:t>
      </w:r>
    </w:p>
    <w:p>
      <w:pPr>
        <w:spacing w:line="240" w:lineRule="auto"/>
        <w:ind w:left="2100" w:leftChars="1000" w:firstLine="840" w:firstLineChars="400"/>
        <w:jc w:val="left"/>
        <w:outlineLvl w:val="9"/>
        <w:rPr>
          <w:rFonts w:hint="eastAsia" w:ascii="宋体" w:hAnsi="宋体" w:cs="宋体"/>
          <w:color w:val="auto"/>
          <w:szCs w:val="21"/>
          <w:highlight w:val="none"/>
        </w:rPr>
      </w:pPr>
    </w:p>
    <w:p>
      <w:pPr>
        <w:spacing w:line="240" w:lineRule="auto"/>
        <w:ind w:firstLine="2730" w:firstLineChars="1300"/>
        <w:jc w:val="left"/>
        <w:outlineLvl w:val="9"/>
        <w:rPr>
          <w:rFonts w:hint="eastAsia" w:ascii="宋体" w:hAnsi="宋体" w:cs="宋体"/>
          <w:color w:val="auto"/>
          <w:szCs w:val="21"/>
          <w:highlight w:val="none"/>
          <w:u w:val="single"/>
        </w:rPr>
      </w:pPr>
      <w:r>
        <w:rPr>
          <w:rFonts w:hint="eastAsia" w:ascii="宋体" w:hAnsi="宋体" w:cs="宋体"/>
          <w:color w:val="auto"/>
          <w:szCs w:val="21"/>
          <w:highlight w:val="none"/>
          <w:lang w:bidi="ar"/>
        </w:rPr>
        <w:t>法定代表人：</w:t>
      </w:r>
      <w:r>
        <w:rPr>
          <w:rFonts w:hint="eastAsia" w:ascii="宋体" w:hAnsi="宋体" w:cs="宋体"/>
          <w:color w:val="auto"/>
          <w:szCs w:val="21"/>
          <w:highlight w:val="none"/>
          <w:u w:val="single"/>
          <w:lang w:bidi="ar"/>
        </w:rPr>
        <w:t xml:space="preserve">                              （签字或盖章）</w:t>
      </w:r>
    </w:p>
    <w:p>
      <w:pPr>
        <w:spacing w:line="240" w:lineRule="auto"/>
        <w:ind w:left="2100" w:leftChars="1000" w:firstLine="840" w:firstLineChars="400"/>
        <w:jc w:val="left"/>
        <w:outlineLvl w:val="9"/>
        <w:rPr>
          <w:rFonts w:hint="eastAsia" w:ascii="宋体" w:hAnsi="宋体" w:cs="宋体"/>
          <w:color w:val="auto"/>
          <w:szCs w:val="21"/>
          <w:highlight w:val="none"/>
          <w:u w:val="single"/>
        </w:rPr>
      </w:pPr>
    </w:p>
    <w:p>
      <w:pPr>
        <w:spacing w:line="240" w:lineRule="auto"/>
        <w:ind w:firstLine="4200" w:firstLineChars="2000"/>
        <w:jc w:val="left"/>
        <w:outlineLvl w:val="9"/>
        <w:rPr>
          <w:rFonts w:hint="eastAsia" w:ascii="宋体" w:hAnsi="宋体" w:cs="宋体"/>
          <w:color w:val="auto"/>
          <w:szCs w:val="21"/>
          <w:highlight w:val="none"/>
        </w:rPr>
      </w:pPr>
      <w:r>
        <w:rPr>
          <w:rFonts w:hint="eastAsia" w:ascii="宋体" w:hAnsi="宋体" w:cs="宋体"/>
          <w:color w:val="auto"/>
          <w:szCs w:val="21"/>
          <w:highlight w:val="none"/>
          <w:lang w:bidi="ar"/>
        </w:rPr>
        <w:t>授权委托日期：</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 xml:space="preserve">年 </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月</w:t>
      </w:r>
      <w:r>
        <w:rPr>
          <w:rFonts w:hint="eastAsia" w:ascii="宋体" w:hAnsi="宋体" w:cs="宋体"/>
          <w:color w:val="auto"/>
          <w:szCs w:val="21"/>
          <w:highlight w:val="none"/>
          <w:u w:val="single"/>
          <w:lang w:bidi="ar"/>
        </w:rPr>
        <w:t xml:space="preserve">    </w:t>
      </w:r>
      <w:r>
        <w:rPr>
          <w:rFonts w:hint="eastAsia" w:ascii="宋体" w:hAnsi="宋体" w:cs="宋体"/>
          <w:color w:val="auto"/>
          <w:szCs w:val="21"/>
          <w:highlight w:val="none"/>
          <w:lang w:bidi="ar"/>
        </w:rPr>
        <w:t>日</w:t>
      </w:r>
    </w:p>
    <w:p>
      <w:pPr>
        <w:spacing w:line="360" w:lineRule="auto"/>
        <w:ind w:left="2833" w:leftChars="1349" w:firstLine="2100" w:firstLineChars="1000"/>
        <w:jc w:val="left"/>
        <w:outlineLvl w:val="9"/>
        <w:rPr>
          <w:rFonts w:hint="eastAsia" w:ascii="宋体" w:hAnsi="宋体" w:cs="宋体"/>
          <w:color w:val="auto"/>
          <w:szCs w:val="21"/>
          <w:highlight w:val="none"/>
        </w:rPr>
      </w:pPr>
    </w:p>
    <w:p>
      <w:pPr>
        <w:pStyle w:val="15"/>
        <w:spacing w:line="240" w:lineRule="auto"/>
        <w:jc w:val="left"/>
        <w:outlineLvl w:val="9"/>
        <w:rPr>
          <w:rFonts w:hint="eastAsia" w:ascii="宋体" w:hAnsi="宋体" w:eastAsia="宋体" w:cs="宋体"/>
          <w:b/>
          <w:color w:val="auto"/>
          <w:sz w:val="21"/>
          <w:szCs w:val="21"/>
          <w:highlight w:val="none"/>
          <w:lang w:val="en-US" w:eastAsia="zh-CN"/>
        </w:rPr>
      </w:pPr>
    </w:p>
    <w:p>
      <w:pPr>
        <w:pStyle w:val="15"/>
        <w:spacing w:line="240" w:lineRule="auto"/>
        <w:jc w:val="left"/>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注：1.</w:t>
      </w:r>
      <w:r>
        <w:rPr>
          <w:rFonts w:hint="eastAsia" w:ascii="宋体" w:hAnsi="宋体" w:eastAsia="宋体" w:cs="宋体"/>
          <w:b w:val="0"/>
          <w:bCs/>
          <w:color w:val="auto"/>
          <w:sz w:val="21"/>
          <w:szCs w:val="21"/>
          <w:highlight w:val="none"/>
        </w:rPr>
        <w:t>如</w:t>
      </w:r>
      <w:r>
        <w:rPr>
          <w:rFonts w:hint="eastAsia" w:ascii="宋体" w:hAnsi="宋体" w:eastAsia="宋体" w:cs="宋体"/>
          <w:b w:val="0"/>
          <w:bCs/>
          <w:color w:val="auto"/>
          <w:sz w:val="21"/>
          <w:szCs w:val="21"/>
          <w:highlight w:val="none"/>
          <w:lang w:eastAsia="zh-CN"/>
        </w:rPr>
        <w:t>授权代表参与投标的，</w:t>
      </w:r>
      <w:r>
        <w:rPr>
          <w:rFonts w:hint="eastAsia" w:ascii="宋体" w:hAnsi="宋体" w:eastAsia="宋体" w:cs="宋体"/>
          <w:b w:val="0"/>
          <w:bCs/>
          <w:color w:val="auto"/>
          <w:sz w:val="21"/>
          <w:szCs w:val="21"/>
          <w:highlight w:val="none"/>
          <w:lang w:val="en-US" w:eastAsia="zh-CN"/>
        </w:rPr>
        <w:t>则</w:t>
      </w:r>
      <w:r>
        <w:rPr>
          <w:rFonts w:hint="eastAsia" w:ascii="宋体" w:hAnsi="宋体" w:eastAsia="宋体" w:cs="宋体"/>
          <w:b w:val="0"/>
          <w:bCs/>
          <w:color w:val="auto"/>
          <w:sz w:val="21"/>
          <w:szCs w:val="21"/>
          <w:highlight w:val="none"/>
        </w:rPr>
        <w:t>须提供</w:t>
      </w:r>
      <w:r>
        <w:rPr>
          <w:rFonts w:hint="eastAsia" w:ascii="宋体" w:hAnsi="宋体" w:eastAsia="宋体" w:cs="宋体"/>
          <w:b w:val="0"/>
          <w:bCs/>
          <w:color w:val="auto"/>
          <w:sz w:val="21"/>
          <w:szCs w:val="21"/>
          <w:highlight w:val="none"/>
          <w:lang w:val="en-US" w:eastAsia="zh-CN"/>
        </w:rPr>
        <w:t>本</w:t>
      </w:r>
      <w:r>
        <w:rPr>
          <w:rFonts w:hint="eastAsia" w:ascii="宋体" w:hAnsi="宋体" w:eastAsia="宋体" w:cs="宋体"/>
          <w:b w:val="0"/>
          <w:bCs/>
          <w:color w:val="auto"/>
          <w:sz w:val="21"/>
          <w:szCs w:val="21"/>
          <w:highlight w:val="none"/>
        </w:rPr>
        <w:t>《法定代表人授权书》。</w:t>
      </w:r>
    </w:p>
    <w:p>
      <w:pPr>
        <w:rPr>
          <w:rFonts w:hint="default"/>
          <w:color w:val="auto"/>
          <w:highlight w:val="none"/>
          <w:lang w:val="en-US" w:eastAsia="zh-CN"/>
        </w:rPr>
      </w:pPr>
    </w:p>
    <w:p>
      <w:pPr>
        <w:autoSpaceDE w:val="0"/>
        <w:autoSpaceDN w:val="0"/>
        <w:spacing w:line="360" w:lineRule="auto"/>
        <w:jc w:val="center"/>
        <w:rPr>
          <w:rFonts w:hint="eastAsia" w:ascii="仿宋_GB2312" w:hAnsi="仿宋" w:eastAsia="仿宋_GB2312" w:cs="仿宋_GB2312"/>
          <w:b/>
          <w:color w:val="auto"/>
          <w:sz w:val="30"/>
          <w:szCs w:val="30"/>
          <w:highlight w:val="none"/>
        </w:rPr>
      </w:pPr>
      <w:r>
        <w:rPr>
          <w:rFonts w:hint="eastAsia" w:ascii="仿宋_GB2312" w:hAnsi="仿宋" w:eastAsia="仿宋_GB2312" w:cs="仿宋_GB2312"/>
          <w:b/>
          <w:color w:val="auto"/>
          <w:kern w:val="0"/>
          <w:sz w:val="32"/>
          <w:szCs w:val="32"/>
          <w:highlight w:val="none"/>
          <w:lang w:val="zh-CN"/>
        </w:rPr>
        <w:br w:type="page"/>
      </w:r>
      <w:r>
        <w:rPr>
          <w:rFonts w:hint="eastAsia" w:ascii="宋体" w:hAnsi="宋体" w:eastAsia="宋体" w:cs="宋体"/>
          <w:b/>
          <w:bCs w:val="0"/>
          <w:color w:val="auto"/>
          <w:kern w:val="2"/>
          <w:sz w:val="28"/>
          <w:szCs w:val="36"/>
          <w:highlight w:val="none"/>
          <w:lang w:val="zh-CN" w:eastAsia="zh-CN" w:bidi="ar-SA"/>
        </w:rPr>
        <w:t>法定代表人、单位负责人或自然人本人的身份证明（适用于法定代表人、单位负责人或者自然人本人代表投标人参加投标）</w:t>
      </w:r>
    </w:p>
    <w:p>
      <w:pPr>
        <w:autoSpaceDE w:val="0"/>
        <w:autoSpaceDN w:val="0"/>
        <w:spacing w:line="360" w:lineRule="auto"/>
        <w:rPr>
          <w:rFonts w:hint="eastAsia" w:hAnsi="宋体" w:eastAsia="宋体" w:cs="Times New Roman"/>
          <w:b/>
          <w:bCs/>
          <w:color w:val="auto"/>
          <w:sz w:val="28"/>
          <w:szCs w:val="28"/>
          <w:highlight w:val="none"/>
          <w:lang w:eastAsia="zh-CN"/>
        </w:rPr>
      </w:pPr>
    </w:p>
    <w:p>
      <w:pPr>
        <w:widowControl/>
        <w:autoSpaceDE w:val="0"/>
        <w:autoSpaceDN w:val="0"/>
        <w:spacing w:line="360" w:lineRule="auto"/>
        <w:ind w:firstLine="3092" w:firstLineChars="1100"/>
        <w:rPr>
          <w:rFonts w:hint="eastAsia" w:hAnsi="宋体" w:eastAsia="宋体" w:cs="Times New Roman"/>
          <w:b/>
          <w:bCs/>
          <w:color w:val="auto"/>
          <w:sz w:val="28"/>
          <w:szCs w:val="28"/>
          <w:highlight w:val="none"/>
          <w:lang w:eastAsia="zh-CN"/>
        </w:rPr>
      </w:pPr>
      <w:r>
        <w:rPr>
          <w:rFonts w:hint="eastAsia" w:hAnsi="宋体" w:eastAsia="宋体" w:cs="Times New Roman"/>
          <w:b/>
          <w:bCs/>
          <w:color w:val="auto"/>
          <w:sz w:val="28"/>
          <w:szCs w:val="28"/>
          <w:highlight w:val="none"/>
          <w:lang w:eastAsia="zh-CN"/>
        </w:rPr>
        <w:t>法定代表人身份证明</w:t>
      </w:r>
    </w:p>
    <w:p>
      <w:pPr>
        <w:widowControl/>
        <w:autoSpaceDE w:val="0"/>
        <w:autoSpaceDN w:val="0"/>
        <w:spacing w:line="360" w:lineRule="auto"/>
        <w:ind w:firstLine="0" w:firstLineChars="0"/>
        <w:rPr>
          <w:rStyle w:val="142"/>
          <w:rFonts w:ascii="Arial" w:hAnsi="Arial" w:cs="Arial"/>
          <w:color w:val="auto"/>
          <w:highlight w:val="none"/>
        </w:rPr>
      </w:pPr>
      <w:r>
        <w:rPr>
          <w:rFonts w:hint="eastAsia" w:ascii="宋体" w:hAnsi="宋体" w:cs="宋体"/>
          <w:b w:val="0"/>
          <w:bCs/>
          <w:color w:val="auto"/>
          <w:szCs w:val="21"/>
          <w:highlight w:val="none"/>
          <w:u w:val="single"/>
          <w:lang w:val="en-US" w:eastAsia="zh-CN"/>
        </w:rPr>
        <w:t>瑞安市第五人民医院、浙江凯宝工程项目管理有限公司</w:t>
      </w:r>
      <w:r>
        <w:rPr>
          <w:rFonts w:hint="eastAsia" w:ascii="宋体" w:hAnsi="宋体" w:cs="宋体"/>
          <w:b w:val="0"/>
          <w:bCs/>
          <w:color w:val="auto"/>
          <w:szCs w:val="21"/>
          <w:highlight w:val="none"/>
          <w:lang w:bidi="ar"/>
        </w:rPr>
        <w:t>：</w:t>
      </w:r>
    </w:p>
    <w:p>
      <w:pPr>
        <w:rPr>
          <w:rFonts w:hint="eastAsia"/>
          <w:color w:val="auto"/>
          <w:highlight w:val="none"/>
          <w:lang w:val="en-US" w:eastAsia="zh-CN"/>
        </w:rPr>
      </w:pPr>
    </w:p>
    <w:p>
      <w:pPr>
        <w:pStyle w:val="17"/>
        <w:ind w:left="0" w:leftChars="0" w:firstLine="420" w:firstLineChars="200"/>
        <w:rPr>
          <w:rFonts w:hint="eastAsia" w:ascii="宋体" w:hAnsi="宋体" w:cs="宋体"/>
          <w:b w:val="0"/>
          <w:bCs/>
          <w:color w:val="auto"/>
          <w:szCs w:val="21"/>
          <w:highlight w:val="none"/>
          <w:u w:val="single"/>
          <w:lang w:val="en-US" w:eastAsia="zh-CN" w:bidi="ar"/>
        </w:rPr>
      </w:pPr>
      <w:r>
        <w:rPr>
          <w:rStyle w:val="142"/>
          <w:rFonts w:hint="eastAsia" w:ascii="Arial" w:hAnsi="Arial" w:cs="Arial"/>
          <w:color w:val="auto"/>
          <w:sz w:val="21"/>
          <w:szCs w:val="22"/>
          <w:highlight w:val="none"/>
          <w:lang w:val="en-US" w:eastAsia="zh-CN" w:bidi="ar-SA"/>
        </w:rPr>
        <w:t>姓名：</w:t>
      </w:r>
      <w:r>
        <w:rPr>
          <w:rFonts w:hint="eastAsia" w:ascii="宋体" w:hAnsi="宋体" w:cs="宋体"/>
          <w:b w:val="0"/>
          <w:bCs/>
          <w:color w:val="auto"/>
          <w:szCs w:val="21"/>
          <w:highlight w:val="none"/>
          <w:u w:val="single"/>
          <w:lang w:val="en-US" w:eastAsia="zh-CN" w:bidi="ar"/>
        </w:rPr>
        <w:t xml:space="preserve">          </w:t>
      </w:r>
      <w:r>
        <w:rPr>
          <w:rStyle w:val="142"/>
          <w:rFonts w:hint="eastAsia" w:ascii="Arial" w:hAnsi="Arial" w:cs="Arial"/>
          <w:color w:val="auto"/>
          <w:sz w:val="21"/>
          <w:szCs w:val="22"/>
          <w:highlight w:val="none"/>
          <w:lang w:val="en-US" w:eastAsia="zh-CN" w:bidi="ar-SA"/>
        </w:rPr>
        <w:t>性别：</w:t>
      </w:r>
      <w:r>
        <w:rPr>
          <w:rFonts w:hint="eastAsia" w:ascii="宋体" w:hAnsi="宋体" w:cs="宋体"/>
          <w:b w:val="0"/>
          <w:bCs/>
          <w:color w:val="auto"/>
          <w:szCs w:val="21"/>
          <w:highlight w:val="none"/>
          <w:u w:val="single"/>
          <w:lang w:val="en-US" w:eastAsia="zh-CN" w:bidi="ar"/>
        </w:rPr>
        <w:t xml:space="preserve">          </w:t>
      </w:r>
      <w:r>
        <w:rPr>
          <w:rStyle w:val="142"/>
          <w:rFonts w:hint="eastAsia" w:ascii="Arial" w:hAnsi="Arial" w:cs="Arial"/>
          <w:color w:val="auto"/>
          <w:sz w:val="21"/>
          <w:szCs w:val="22"/>
          <w:highlight w:val="none"/>
          <w:lang w:val="en-US" w:eastAsia="zh-CN" w:bidi="ar-SA"/>
        </w:rPr>
        <w:t>职务：</w:t>
      </w:r>
      <w:r>
        <w:rPr>
          <w:rFonts w:hint="eastAsia" w:ascii="宋体" w:hAnsi="宋体" w:cs="宋体"/>
          <w:b w:val="0"/>
          <w:bCs/>
          <w:color w:val="auto"/>
          <w:szCs w:val="21"/>
          <w:highlight w:val="none"/>
          <w:u w:val="single"/>
          <w:lang w:val="en-US" w:eastAsia="zh-CN" w:bidi="ar"/>
        </w:rPr>
        <w:t xml:space="preserve">          </w:t>
      </w:r>
    </w:p>
    <w:p>
      <w:pPr>
        <w:pStyle w:val="17"/>
        <w:ind w:left="0" w:leftChars="0" w:right="869" w:rightChars="414" w:firstLine="420" w:firstLineChars="200"/>
        <w:rPr>
          <w:rFonts w:hint="eastAsia" w:cs="宋体"/>
          <w:b w:val="0"/>
          <w:bCs/>
          <w:color w:val="auto"/>
          <w:sz w:val="21"/>
          <w:szCs w:val="16"/>
          <w:highlight w:val="none"/>
          <w:u w:val="none"/>
          <w:lang w:val="en-US" w:eastAsia="zh-CN" w:bidi="ar"/>
        </w:rPr>
      </w:pPr>
      <w:r>
        <w:rPr>
          <w:rStyle w:val="142"/>
          <w:rFonts w:hint="eastAsia" w:ascii="Arial" w:hAnsi="Arial" w:cs="Arial"/>
          <w:color w:val="auto"/>
          <w:sz w:val="21"/>
          <w:szCs w:val="22"/>
          <w:highlight w:val="none"/>
          <w:lang w:val="en-US" w:eastAsia="zh-CN" w:bidi="ar-SA"/>
        </w:rPr>
        <w:t>联系方式：</w:t>
      </w:r>
      <w:r>
        <w:rPr>
          <w:rFonts w:hint="eastAsia" w:ascii="宋体" w:hAnsi="宋体" w:cs="宋体"/>
          <w:b w:val="0"/>
          <w:bCs/>
          <w:color w:val="auto"/>
          <w:szCs w:val="21"/>
          <w:highlight w:val="none"/>
          <w:u w:val="single"/>
          <w:lang w:val="en-US" w:eastAsia="zh-CN" w:bidi="ar"/>
        </w:rPr>
        <w:t xml:space="preserve">          </w:t>
      </w:r>
      <w:r>
        <w:rPr>
          <w:rFonts w:hint="eastAsia" w:cs="宋体"/>
          <w:b w:val="0"/>
          <w:bCs/>
          <w:color w:val="auto"/>
          <w:szCs w:val="21"/>
          <w:highlight w:val="none"/>
          <w:u w:val="none"/>
          <w:lang w:val="en-US" w:eastAsia="zh-CN" w:bidi="ar"/>
        </w:rPr>
        <w:t>，</w:t>
      </w:r>
      <w:r>
        <w:rPr>
          <w:rStyle w:val="142"/>
          <w:rFonts w:hint="eastAsia" w:ascii="Arial" w:hAnsi="Arial" w:cs="Arial"/>
          <w:color w:val="auto"/>
          <w:sz w:val="21"/>
          <w:szCs w:val="22"/>
          <w:highlight w:val="none"/>
          <w:lang w:val="en-US" w:eastAsia="zh-CN" w:bidi="ar-SA"/>
        </w:rPr>
        <w:t>系</w:t>
      </w:r>
      <w:r>
        <w:rPr>
          <w:rFonts w:hint="eastAsia" w:ascii="宋体" w:hAnsi="宋体" w:cs="宋体"/>
          <w:b w:val="0"/>
          <w:bCs/>
          <w:color w:val="auto"/>
          <w:szCs w:val="21"/>
          <w:highlight w:val="none"/>
          <w:u w:val="single"/>
          <w:lang w:val="en-US" w:eastAsia="zh-CN" w:bidi="ar"/>
        </w:rPr>
        <w:t xml:space="preserve">   </w:t>
      </w:r>
      <w:r>
        <w:rPr>
          <w:rStyle w:val="142"/>
          <w:rFonts w:hint="eastAsia" w:ascii="Arial" w:hAnsi="Arial" w:cs="Arial"/>
          <w:i w:val="0"/>
          <w:iCs w:val="0"/>
          <w:color w:val="auto"/>
          <w:sz w:val="21"/>
          <w:szCs w:val="22"/>
          <w:highlight w:val="none"/>
          <w:u w:val="single"/>
          <w:lang w:val="en-US" w:eastAsia="zh-CN" w:bidi="ar-SA"/>
        </w:rPr>
        <w:t>（投标人名称）</w:t>
      </w:r>
      <w:r>
        <w:rPr>
          <w:rFonts w:hint="eastAsia" w:ascii="宋体" w:hAnsi="宋体" w:cs="宋体"/>
          <w:b w:val="0"/>
          <w:bCs/>
          <w:i w:val="0"/>
          <w:iCs w:val="0"/>
          <w:color w:val="auto"/>
          <w:szCs w:val="21"/>
          <w:highlight w:val="none"/>
          <w:u w:val="single"/>
          <w:lang w:val="en-US" w:eastAsia="zh-CN" w:bidi="ar"/>
        </w:rPr>
        <w:t xml:space="preserve">   </w:t>
      </w:r>
      <w:r>
        <w:rPr>
          <w:rFonts w:hint="eastAsia" w:ascii="宋体" w:hAnsi="宋体" w:cs="宋体"/>
          <w:b w:val="0"/>
          <w:bCs/>
          <w:color w:val="auto"/>
          <w:szCs w:val="21"/>
          <w:highlight w:val="none"/>
          <w:u w:val="single"/>
          <w:lang w:val="en-US" w:eastAsia="zh-CN" w:bidi="ar"/>
        </w:rPr>
        <w:t xml:space="preserve">    </w:t>
      </w:r>
      <w:r>
        <w:rPr>
          <w:rFonts w:hint="eastAsia" w:cs="宋体"/>
          <w:b w:val="0"/>
          <w:bCs/>
          <w:color w:val="auto"/>
          <w:sz w:val="21"/>
          <w:szCs w:val="16"/>
          <w:highlight w:val="none"/>
          <w:u w:val="none"/>
          <w:lang w:val="en-US" w:eastAsia="zh-CN" w:bidi="ar"/>
        </w:rPr>
        <w:t>的法定代表人，特此证明。</w:t>
      </w:r>
    </w:p>
    <w:p>
      <w:pPr>
        <w:pStyle w:val="17"/>
        <w:ind w:left="0" w:leftChars="0" w:firstLine="420" w:firstLineChars="200"/>
        <w:rPr>
          <w:rFonts w:hint="eastAsia" w:cs="宋体"/>
          <w:b w:val="0"/>
          <w:bCs/>
          <w:color w:val="auto"/>
          <w:sz w:val="21"/>
          <w:szCs w:val="16"/>
          <w:highlight w:val="none"/>
          <w:u w:val="none"/>
          <w:lang w:val="en-US" w:eastAsia="zh-CN" w:bidi="ar"/>
        </w:rPr>
      </w:pPr>
    </w:p>
    <w:p>
      <w:pPr>
        <w:pStyle w:val="17"/>
        <w:ind w:left="0" w:leftChars="0" w:firstLine="420" w:firstLineChars="200"/>
        <w:rPr>
          <w:rFonts w:hint="eastAsia" w:cs="宋体"/>
          <w:b w:val="0"/>
          <w:bCs/>
          <w:color w:val="auto"/>
          <w:sz w:val="21"/>
          <w:szCs w:val="16"/>
          <w:highlight w:val="none"/>
          <w:u w:val="none"/>
          <w:lang w:val="en-US" w:eastAsia="zh-CN" w:bidi="ar"/>
        </w:rPr>
      </w:pPr>
    </w:p>
    <w:p>
      <w:pPr>
        <w:pStyle w:val="17"/>
        <w:ind w:left="0" w:leftChars="0" w:firstLine="420" w:firstLineChars="200"/>
        <w:jc w:val="right"/>
        <w:rPr>
          <w:rFonts w:hint="eastAsia" w:cs="宋体"/>
          <w:b w:val="0"/>
          <w:bCs/>
          <w:color w:val="auto"/>
          <w:sz w:val="21"/>
          <w:szCs w:val="16"/>
          <w:highlight w:val="none"/>
          <w:u w:val="none"/>
          <w:lang w:val="en-US" w:eastAsia="zh-CN" w:bidi="ar"/>
        </w:rPr>
      </w:pPr>
    </w:p>
    <w:p>
      <w:pPr>
        <w:pStyle w:val="17"/>
        <w:ind w:left="0" w:leftChars="0" w:firstLine="420" w:firstLineChars="200"/>
        <w:jc w:val="left"/>
        <w:rPr>
          <w:rFonts w:hint="eastAsia" w:cs="宋体"/>
          <w:b w:val="0"/>
          <w:bCs/>
          <w:color w:val="auto"/>
          <w:sz w:val="21"/>
          <w:szCs w:val="16"/>
          <w:highlight w:val="none"/>
          <w:u w:val="none"/>
          <w:lang w:val="en-US" w:eastAsia="zh-CN" w:bidi="ar"/>
        </w:rPr>
      </w:pPr>
    </w:p>
    <w:p>
      <w:pPr>
        <w:spacing w:line="360" w:lineRule="auto"/>
        <w:jc w:val="left"/>
        <w:outlineLvl w:val="9"/>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附：</w:t>
      </w:r>
      <w:r>
        <w:rPr>
          <w:rFonts w:hint="eastAsia" w:ascii="宋体" w:hAnsi="宋体" w:cs="宋体"/>
          <w:b/>
          <w:bCs/>
          <w:color w:val="auto"/>
          <w:szCs w:val="21"/>
          <w:highlight w:val="none"/>
          <w:lang w:eastAsia="zh-CN"/>
        </w:rPr>
        <w:t>法定代表人</w:t>
      </w:r>
      <w:r>
        <w:rPr>
          <w:rFonts w:hint="eastAsia" w:ascii="宋体" w:hAnsi="宋体" w:cs="宋体"/>
          <w:b/>
          <w:bCs/>
          <w:color w:val="auto"/>
          <w:szCs w:val="21"/>
          <w:highlight w:val="none"/>
        </w:rPr>
        <w:t>身份证复印件。</w:t>
      </w:r>
      <w:r>
        <w:rPr>
          <w:rFonts w:hint="eastAsia" w:ascii="宋体" w:hAnsi="宋体" w:cs="宋体"/>
          <w:b/>
          <w:bCs/>
          <w:color w:val="auto"/>
          <w:szCs w:val="21"/>
          <w:highlight w:val="none"/>
          <w:lang w:eastAsia="zh-CN"/>
        </w:rPr>
        <w:t>（正反面）</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4520" w:type="dxa"/>
            <w:noWrap w:val="0"/>
            <w:vAlign w:val="top"/>
          </w:tcPr>
          <w:p>
            <w:pPr>
              <w:pStyle w:val="16"/>
              <w:jc w:val="left"/>
              <w:outlineLvl w:val="9"/>
              <w:rPr>
                <w:rFonts w:hint="eastAsia" w:ascii="宋体" w:hAnsi="宋体" w:eastAsia="宋体" w:cs="宋体"/>
                <w:b/>
                <w:bCs/>
                <w:color w:val="auto"/>
                <w:szCs w:val="21"/>
                <w:highlight w:val="none"/>
                <w:vertAlign w:val="baseline"/>
              </w:rPr>
            </w:pPr>
          </w:p>
        </w:tc>
        <w:tc>
          <w:tcPr>
            <w:tcW w:w="4520" w:type="dxa"/>
            <w:noWrap w:val="0"/>
            <w:vAlign w:val="top"/>
          </w:tcPr>
          <w:p>
            <w:pPr>
              <w:pStyle w:val="16"/>
              <w:jc w:val="left"/>
              <w:outlineLvl w:val="9"/>
              <w:rPr>
                <w:rFonts w:hint="eastAsia" w:ascii="宋体" w:hAnsi="宋体" w:eastAsia="宋体" w:cs="宋体"/>
                <w:b/>
                <w:bCs/>
                <w:color w:val="auto"/>
                <w:szCs w:val="21"/>
                <w:highlight w:val="none"/>
                <w:vertAlign w:val="baseline"/>
              </w:rPr>
            </w:pPr>
          </w:p>
        </w:tc>
      </w:tr>
    </w:tbl>
    <w:p>
      <w:pPr>
        <w:pStyle w:val="17"/>
        <w:ind w:left="0" w:leftChars="0" w:firstLine="420" w:firstLineChars="200"/>
        <w:jc w:val="right"/>
        <w:rPr>
          <w:rFonts w:hint="eastAsia" w:cs="宋体"/>
          <w:b w:val="0"/>
          <w:bCs/>
          <w:color w:val="auto"/>
          <w:sz w:val="21"/>
          <w:szCs w:val="16"/>
          <w:highlight w:val="none"/>
          <w:u w:val="none"/>
          <w:lang w:val="en-US" w:eastAsia="zh-CN" w:bidi="ar"/>
        </w:rPr>
      </w:pPr>
    </w:p>
    <w:p>
      <w:pPr>
        <w:pStyle w:val="17"/>
        <w:ind w:left="0" w:leftChars="0" w:firstLine="420" w:firstLineChars="200"/>
        <w:jc w:val="right"/>
        <w:rPr>
          <w:rFonts w:hint="eastAsia" w:cs="宋体"/>
          <w:b w:val="0"/>
          <w:bCs/>
          <w:color w:val="auto"/>
          <w:sz w:val="21"/>
          <w:szCs w:val="16"/>
          <w:highlight w:val="none"/>
          <w:u w:val="none"/>
          <w:lang w:val="en-US" w:eastAsia="zh-CN" w:bidi="ar"/>
        </w:rPr>
      </w:pPr>
    </w:p>
    <w:p>
      <w:pPr>
        <w:pStyle w:val="17"/>
        <w:ind w:left="0" w:leftChars="0" w:firstLine="420" w:firstLineChars="200"/>
        <w:jc w:val="right"/>
        <w:rPr>
          <w:rFonts w:hint="eastAsia" w:cs="宋体"/>
          <w:b w:val="0"/>
          <w:bCs/>
          <w:color w:val="auto"/>
          <w:sz w:val="21"/>
          <w:szCs w:val="16"/>
          <w:highlight w:val="none"/>
          <w:u w:val="none"/>
          <w:lang w:val="en-US" w:eastAsia="zh-CN" w:bidi="ar"/>
        </w:rPr>
      </w:pPr>
    </w:p>
    <w:p>
      <w:pPr>
        <w:pStyle w:val="17"/>
        <w:ind w:left="0" w:leftChars="0" w:firstLine="420" w:firstLineChars="200"/>
        <w:jc w:val="right"/>
        <w:rPr>
          <w:rFonts w:hint="eastAsia" w:cs="宋体"/>
          <w:b w:val="0"/>
          <w:bCs/>
          <w:color w:val="auto"/>
          <w:sz w:val="21"/>
          <w:szCs w:val="16"/>
          <w:highlight w:val="none"/>
          <w:u w:val="none"/>
          <w:lang w:val="en-US" w:eastAsia="zh-CN" w:bidi="ar"/>
        </w:rPr>
      </w:pPr>
    </w:p>
    <w:p>
      <w:pPr>
        <w:spacing w:line="480" w:lineRule="auto"/>
        <w:jc w:val="right"/>
        <w:rPr>
          <w:rFonts w:hint="eastAsia" w:ascii="宋体" w:hAnsi="宋体" w:cs="宋体"/>
          <w:bCs/>
          <w:color w:val="auto"/>
          <w:szCs w:val="21"/>
          <w:highlight w:val="none"/>
          <w:lang w:bidi="ar"/>
        </w:rPr>
      </w:pPr>
      <w:r>
        <w:rPr>
          <w:rFonts w:hint="eastAsia" w:ascii="宋体" w:hAnsi="宋体" w:cs="宋体"/>
          <w:bCs/>
          <w:color w:val="auto"/>
          <w:szCs w:val="21"/>
          <w:highlight w:val="none"/>
          <w:lang w:eastAsia="zh-CN" w:bidi="ar"/>
        </w:rPr>
        <w:t>投标人</w:t>
      </w:r>
      <w:r>
        <w:rPr>
          <w:rFonts w:hint="eastAsia" w:ascii="宋体" w:hAnsi="宋体" w:cs="宋体"/>
          <w:bCs/>
          <w:color w:val="auto"/>
          <w:szCs w:val="21"/>
          <w:highlight w:val="none"/>
          <w:lang w:bidi="ar"/>
        </w:rPr>
        <w:t>全称：</w:t>
      </w:r>
      <w:r>
        <w:rPr>
          <w:rFonts w:hint="eastAsia" w:cs="宋体"/>
          <w:color w:val="auto"/>
          <w:sz w:val="21"/>
          <w:szCs w:val="21"/>
          <w:highlight w:val="none"/>
          <w:u w:val="single"/>
          <w:lang w:bidi="ar"/>
        </w:rPr>
        <w:t xml:space="preserve">                    （盖公章）</w:t>
      </w:r>
    </w:p>
    <w:p>
      <w:pPr>
        <w:spacing w:line="480" w:lineRule="auto"/>
        <w:ind w:firstLine="4830" w:firstLineChars="2300"/>
        <w:rPr>
          <w:rFonts w:hint="eastAsia" w:cs="宋体"/>
          <w:bCs/>
          <w:color w:val="auto"/>
          <w:szCs w:val="21"/>
          <w:highlight w:val="none"/>
        </w:rPr>
      </w:pPr>
      <w:r>
        <w:rPr>
          <w:rFonts w:hint="eastAsia" w:ascii="宋体" w:hAnsi="宋体" w:cs="宋体"/>
          <w:bCs/>
          <w:color w:val="auto"/>
          <w:szCs w:val="21"/>
          <w:highlight w:val="none"/>
        </w:rPr>
        <w:t>日期：</w:t>
      </w:r>
      <w:r>
        <w:rPr>
          <w:rFonts w:hint="eastAsia" w:cs="宋体"/>
          <w:color w:val="auto"/>
          <w:sz w:val="21"/>
          <w:szCs w:val="21"/>
          <w:highlight w:val="none"/>
          <w:u w:val="single"/>
          <w:lang w:bidi="ar"/>
        </w:rPr>
        <w:t xml:space="preserve">        </w:t>
      </w:r>
      <w:r>
        <w:rPr>
          <w:rFonts w:hint="eastAsia" w:cs="宋体"/>
          <w:color w:val="auto"/>
          <w:sz w:val="21"/>
          <w:szCs w:val="21"/>
          <w:highlight w:val="none"/>
          <w:lang w:bidi="ar"/>
        </w:rPr>
        <w:t xml:space="preserve">年 </w:t>
      </w:r>
      <w:r>
        <w:rPr>
          <w:rFonts w:hint="eastAsia" w:cs="宋体"/>
          <w:color w:val="auto"/>
          <w:sz w:val="21"/>
          <w:szCs w:val="21"/>
          <w:highlight w:val="none"/>
          <w:u w:val="single"/>
          <w:lang w:bidi="ar"/>
        </w:rPr>
        <w:t xml:space="preserve">  </w:t>
      </w:r>
      <w:r>
        <w:rPr>
          <w:rFonts w:hint="eastAsia" w:cs="宋体"/>
          <w:color w:val="auto"/>
          <w:sz w:val="21"/>
          <w:szCs w:val="21"/>
          <w:highlight w:val="none"/>
          <w:u w:val="single"/>
          <w:lang w:val="en-US" w:eastAsia="zh-CN" w:bidi="ar"/>
        </w:rPr>
        <w:t xml:space="preserve">   </w:t>
      </w:r>
      <w:r>
        <w:rPr>
          <w:rFonts w:hint="eastAsia" w:cs="宋体"/>
          <w:color w:val="auto"/>
          <w:sz w:val="21"/>
          <w:szCs w:val="21"/>
          <w:highlight w:val="none"/>
          <w:u w:val="single"/>
          <w:lang w:bidi="ar"/>
        </w:rPr>
        <w:t xml:space="preserve"> </w:t>
      </w:r>
      <w:r>
        <w:rPr>
          <w:rFonts w:hint="eastAsia" w:cs="宋体"/>
          <w:color w:val="auto"/>
          <w:sz w:val="21"/>
          <w:szCs w:val="21"/>
          <w:highlight w:val="none"/>
          <w:lang w:bidi="ar"/>
        </w:rPr>
        <w:t>月</w:t>
      </w:r>
      <w:r>
        <w:rPr>
          <w:rFonts w:hint="eastAsia" w:cs="宋体"/>
          <w:color w:val="auto"/>
          <w:sz w:val="21"/>
          <w:szCs w:val="21"/>
          <w:highlight w:val="none"/>
          <w:u w:val="single"/>
          <w:lang w:bidi="ar"/>
        </w:rPr>
        <w:t xml:space="preserve">   </w:t>
      </w:r>
      <w:r>
        <w:rPr>
          <w:rFonts w:hint="eastAsia" w:cs="宋体"/>
          <w:color w:val="auto"/>
          <w:sz w:val="21"/>
          <w:szCs w:val="21"/>
          <w:highlight w:val="none"/>
          <w:u w:val="single"/>
          <w:lang w:val="en-US" w:eastAsia="zh-CN" w:bidi="ar"/>
        </w:rPr>
        <w:t xml:space="preserve">  </w:t>
      </w:r>
      <w:r>
        <w:rPr>
          <w:rFonts w:hint="eastAsia" w:cs="宋体"/>
          <w:color w:val="auto"/>
          <w:sz w:val="21"/>
          <w:szCs w:val="21"/>
          <w:highlight w:val="none"/>
          <w:u w:val="single"/>
          <w:lang w:bidi="ar"/>
        </w:rPr>
        <w:t xml:space="preserve"> </w:t>
      </w:r>
      <w:r>
        <w:rPr>
          <w:rFonts w:hint="eastAsia" w:cs="宋体"/>
          <w:color w:val="auto"/>
          <w:sz w:val="21"/>
          <w:szCs w:val="21"/>
          <w:highlight w:val="none"/>
          <w:lang w:bidi="ar"/>
        </w:rPr>
        <w:t>日</w:t>
      </w:r>
    </w:p>
    <w:p>
      <w:pPr>
        <w:pStyle w:val="15"/>
        <w:spacing w:line="240" w:lineRule="auto"/>
        <w:jc w:val="left"/>
        <w:outlineLvl w:val="9"/>
        <w:rPr>
          <w:rFonts w:hint="eastAsia" w:ascii="宋体" w:hAnsi="宋体" w:eastAsia="宋体" w:cs="宋体"/>
          <w:b/>
          <w:color w:val="auto"/>
          <w:sz w:val="21"/>
          <w:szCs w:val="21"/>
          <w:highlight w:val="none"/>
          <w:lang w:val="en-US" w:eastAsia="zh-CN"/>
        </w:rPr>
      </w:pPr>
    </w:p>
    <w:p>
      <w:pPr>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val="en-US" w:eastAsia="zh-CN"/>
        </w:rPr>
        <w:br w:type="page"/>
      </w:r>
    </w:p>
    <w:p>
      <w:pPr>
        <w:pStyle w:val="3"/>
        <w:numPr>
          <w:ilvl w:val="1"/>
          <w:numId w:val="0"/>
        </w:numPr>
        <w:tabs>
          <w:tab w:val="left" w:pos="840"/>
        </w:tabs>
        <w:spacing w:before="0" w:after="156" w:afterLines="50" w:line="400" w:lineRule="exact"/>
        <w:jc w:val="center"/>
        <w:rPr>
          <w:rFonts w:hint="eastAsia" w:ascii="宋体" w:hAnsi="宋体" w:eastAsia="宋体" w:cs="宋体"/>
          <w:b/>
          <w:bCs w:val="0"/>
          <w:color w:val="auto"/>
          <w:kern w:val="2"/>
          <w:sz w:val="28"/>
          <w:szCs w:val="28"/>
          <w:highlight w:val="none"/>
          <w:lang w:val="en-US" w:eastAsia="zh-CN" w:bidi="ar-SA"/>
        </w:rPr>
      </w:pPr>
      <w:bookmarkStart w:id="804" w:name="_Toc16569"/>
      <w:bookmarkStart w:id="805" w:name="_Toc10909"/>
      <w:r>
        <w:rPr>
          <w:rFonts w:hint="eastAsia" w:ascii="宋体" w:hAnsi="宋体" w:eastAsia="宋体" w:cs="宋体"/>
          <w:b/>
          <w:bCs w:val="0"/>
          <w:color w:val="auto"/>
          <w:kern w:val="2"/>
          <w:sz w:val="28"/>
          <w:szCs w:val="28"/>
          <w:highlight w:val="none"/>
          <w:lang w:val="en-US" w:eastAsia="zh-CN" w:bidi="ar-SA"/>
        </w:rPr>
        <w:t>三、符合性审查资料</w:t>
      </w:r>
      <w:bookmarkEnd w:id="804"/>
      <w:bookmarkEnd w:id="805"/>
    </w:p>
    <w:p>
      <w:pPr>
        <w:jc w:val="center"/>
        <w:rPr>
          <w:rFonts w:ascii="仿宋_GB2312" w:hAnsi="仿宋" w:eastAsia="仿宋_GB2312" w:cs="仿宋_GB2312"/>
          <w:b/>
          <w:color w:val="auto"/>
          <w:kern w:val="0"/>
          <w:sz w:val="32"/>
          <w:szCs w:val="32"/>
          <w:highlight w:val="none"/>
        </w:rPr>
      </w:pPr>
    </w:p>
    <w:tbl>
      <w:tblPr>
        <w:tblStyle w:val="3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snapToGrid w:val="0"/>
              <w:spacing w:line="240" w:lineRule="atLeas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4991" w:type="dxa"/>
            <w:noWrap w:val="0"/>
            <w:vAlign w:val="center"/>
          </w:tcPr>
          <w:p>
            <w:pPr>
              <w:snapToGrid w:val="0"/>
              <w:spacing w:line="240" w:lineRule="atLeas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实质性要求</w:t>
            </w:r>
          </w:p>
        </w:tc>
        <w:tc>
          <w:tcPr>
            <w:tcW w:w="2551" w:type="dxa"/>
            <w:noWrap w:val="0"/>
            <w:vAlign w:val="center"/>
          </w:tcPr>
          <w:p>
            <w:pPr>
              <w:snapToGrid w:val="0"/>
              <w:spacing w:line="240" w:lineRule="atLeas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需要提供的符合性审查资料</w:t>
            </w:r>
          </w:p>
        </w:tc>
        <w:tc>
          <w:tcPr>
            <w:tcW w:w="1418" w:type="dxa"/>
            <w:noWrap w:val="0"/>
            <w:vAlign w:val="center"/>
          </w:tcPr>
          <w:p>
            <w:pPr>
              <w:snapToGrid w:val="0"/>
              <w:spacing w:line="240" w:lineRule="atLeas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投标文件中的</w:t>
            </w:r>
          </w:p>
          <w:p>
            <w:pPr>
              <w:snapToGrid w:val="0"/>
              <w:spacing w:line="240" w:lineRule="atLeas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991" w:type="dxa"/>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投标文件按照招标文件要求签署、盖章。</w:t>
            </w:r>
          </w:p>
        </w:tc>
        <w:tc>
          <w:tcPr>
            <w:tcW w:w="2551"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需要使用电子签名或者签字盖章的投标文件的组成部分</w:t>
            </w:r>
          </w:p>
        </w:tc>
        <w:tc>
          <w:tcPr>
            <w:tcW w:w="1418" w:type="dxa"/>
            <w:noWrap w:val="0"/>
            <w:vAlign w:val="top"/>
          </w:tcPr>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4991" w:type="dxa"/>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投标文件中承诺的投标有效期不少于招标文件中载明的投标有效期。</w:t>
            </w:r>
          </w:p>
        </w:tc>
        <w:tc>
          <w:tcPr>
            <w:tcW w:w="2551"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w:t>
            </w:r>
          </w:p>
        </w:tc>
        <w:tc>
          <w:tcPr>
            <w:tcW w:w="1418" w:type="dxa"/>
            <w:noWrap w:val="0"/>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4991" w:type="dxa"/>
            <w:noWrap w:val="0"/>
            <w:vAlign w:val="top"/>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投标文件满足招标文件的其它实质性要求。</w:t>
            </w:r>
          </w:p>
        </w:tc>
        <w:tc>
          <w:tcPr>
            <w:tcW w:w="2551"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招标文件其它实质性要求相应的材料（“▲” 系指实质性要求条款，招标文件无其它实质性要求的，无需提供）</w:t>
            </w:r>
          </w:p>
        </w:tc>
        <w:tc>
          <w:tcPr>
            <w:tcW w:w="1418" w:type="dxa"/>
            <w:noWrap w:val="0"/>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bl>
    <w:p>
      <w:pPr>
        <w:pStyle w:val="12"/>
        <w:ind w:left="0" w:leftChars="0"/>
        <w:rPr>
          <w:color w:val="auto"/>
          <w:highlight w:val="none"/>
        </w:rPr>
      </w:pPr>
    </w:p>
    <w:p>
      <w:pPr>
        <w:jc w:val="both"/>
        <w:rPr>
          <w:rFonts w:ascii="仿宋_GB2312" w:hAnsi="仿宋" w:eastAsia="仿宋_GB2312" w:cs="仿宋_GB2312"/>
          <w:b/>
          <w:color w:val="auto"/>
          <w:kern w:val="0"/>
          <w:sz w:val="32"/>
          <w:szCs w:val="32"/>
          <w:highlight w:val="none"/>
        </w:rPr>
      </w:pPr>
      <w:r>
        <w:rPr>
          <w:rFonts w:hint="eastAsia" w:ascii="宋体" w:hAnsi="宋体" w:eastAsia="宋体" w:cs="宋体"/>
          <w:color w:val="auto"/>
          <w:sz w:val="21"/>
          <w:szCs w:val="21"/>
          <w:highlight w:val="none"/>
          <w:lang w:val="en-US" w:eastAsia="zh-CN"/>
        </w:rPr>
        <w:t>注：按本格式和要求提供</w:t>
      </w:r>
      <w:r>
        <w:rPr>
          <w:rFonts w:hint="eastAsia" w:ascii="宋体" w:hAnsi="宋体" w:eastAsia="宋体" w:cs="宋体"/>
          <w:b/>
          <w:color w:val="auto"/>
          <w:kern w:val="0"/>
          <w:sz w:val="21"/>
          <w:szCs w:val="21"/>
          <w:highlight w:val="none"/>
        </w:rPr>
        <w:t xml:space="preserve"> </w:t>
      </w:r>
      <w:r>
        <w:rPr>
          <w:rFonts w:ascii="仿宋_GB2312" w:hAnsi="仿宋" w:eastAsia="仿宋_GB2312" w:cs="仿宋_GB2312"/>
          <w:b/>
          <w:color w:val="auto"/>
          <w:kern w:val="0"/>
          <w:sz w:val="32"/>
          <w:szCs w:val="32"/>
          <w:highlight w:val="none"/>
        </w:rPr>
        <w:t xml:space="preserve">           </w:t>
      </w: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pStyle w:val="3"/>
        <w:numPr>
          <w:ilvl w:val="1"/>
          <w:numId w:val="0"/>
        </w:numPr>
        <w:tabs>
          <w:tab w:val="left" w:pos="840"/>
        </w:tabs>
        <w:spacing w:before="0" w:after="156" w:afterLines="50" w:line="400" w:lineRule="exact"/>
        <w:jc w:val="center"/>
        <w:rPr>
          <w:color w:val="auto"/>
          <w:highlight w:val="none"/>
        </w:rPr>
      </w:pPr>
      <w:r>
        <w:rPr>
          <w:rFonts w:hint="eastAsia" w:ascii="仿宋_GB2312" w:hAnsi="仿宋" w:eastAsia="仿宋_GB2312" w:cs="仿宋_GB2312"/>
          <w:b/>
          <w:color w:val="auto"/>
          <w:kern w:val="0"/>
          <w:sz w:val="32"/>
          <w:szCs w:val="32"/>
          <w:highlight w:val="none"/>
        </w:rPr>
        <w:br w:type="page"/>
      </w:r>
      <w:bookmarkStart w:id="806" w:name="_Toc3828"/>
      <w:bookmarkStart w:id="807" w:name="_Toc24318"/>
      <w:r>
        <w:rPr>
          <w:rFonts w:hint="eastAsia" w:ascii="宋体" w:hAnsi="宋体" w:eastAsia="宋体" w:cs="宋体"/>
          <w:b/>
          <w:color w:val="auto"/>
          <w:kern w:val="0"/>
          <w:sz w:val="28"/>
          <w:szCs w:val="28"/>
          <w:highlight w:val="none"/>
          <w:lang w:val="en-US" w:eastAsia="zh-CN"/>
        </w:rPr>
        <w:t>四</w:t>
      </w:r>
      <w:r>
        <w:rPr>
          <w:rFonts w:hint="eastAsia" w:ascii="宋体" w:hAnsi="宋体" w:eastAsia="宋体" w:cs="宋体"/>
          <w:b/>
          <w:bCs w:val="0"/>
          <w:color w:val="auto"/>
          <w:kern w:val="2"/>
          <w:sz w:val="28"/>
          <w:szCs w:val="28"/>
          <w:highlight w:val="none"/>
          <w:lang w:val="en-US" w:eastAsia="zh-CN" w:bidi="ar-SA"/>
        </w:rPr>
        <w:t>、评标标准相应的商务技术资料</w:t>
      </w:r>
      <w:bookmarkEnd w:id="806"/>
      <w:bookmarkEnd w:id="807"/>
    </w:p>
    <w:p>
      <w:pPr>
        <w:snapToGrid w:val="0"/>
        <w:spacing w:line="360" w:lineRule="auto"/>
        <w:jc w:val="left"/>
        <w:rPr>
          <w:rFonts w:hint="eastAsia" w:ascii="宋体" w:hAnsi="宋体" w:eastAsia="宋体" w:cs="宋体"/>
          <w:b/>
          <w:color w:val="auto"/>
          <w:sz w:val="21"/>
          <w:szCs w:val="20"/>
          <w:highlight w:val="none"/>
          <w:lang w:eastAsia="zh-CN"/>
        </w:rPr>
      </w:pPr>
      <w:r>
        <w:rPr>
          <w:rFonts w:hint="eastAsia" w:ascii="宋体" w:hAnsi="宋体" w:eastAsia="宋体" w:cs="宋体"/>
          <w:b/>
          <w:color w:val="auto"/>
          <w:sz w:val="21"/>
          <w:szCs w:val="20"/>
          <w:highlight w:val="none"/>
        </w:rPr>
        <w:t>（按招标文件第四部分评标办法前附表中“投标文件中评标标准相应的商务技术资料目录”提供资料）</w:t>
      </w:r>
      <w:r>
        <w:rPr>
          <w:rFonts w:hint="eastAsia" w:ascii="宋体" w:hAnsi="宋体" w:eastAsia="宋体" w:cs="宋体"/>
          <w:b/>
          <w:color w:val="auto"/>
          <w:sz w:val="21"/>
          <w:szCs w:val="20"/>
          <w:highlight w:val="none"/>
          <w:lang w:eastAsia="zh-CN"/>
        </w:rPr>
        <w:t>，</w:t>
      </w:r>
      <w:r>
        <w:rPr>
          <w:rFonts w:hint="eastAsia" w:ascii="宋体" w:hAnsi="宋体" w:eastAsia="宋体" w:cs="宋体"/>
          <w:b/>
          <w:color w:val="auto"/>
          <w:sz w:val="21"/>
          <w:szCs w:val="20"/>
          <w:highlight w:val="none"/>
          <w:lang w:val="en-US" w:eastAsia="zh-CN"/>
        </w:rPr>
        <w:t>相关格式参考如下：</w:t>
      </w:r>
    </w:p>
    <w:p>
      <w:pPr>
        <w:jc w:val="center"/>
        <w:rPr>
          <w:rFonts w:ascii="仿宋_GB2312" w:hAnsi="仿宋" w:eastAsia="仿宋_GB2312" w:cs="仿宋_GB2312"/>
          <w:b/>
          <w:color w:val="auto"/>
          <w:kern w:val="0"/>
          <w:sz w:val="32"/>
          <w:szCs w:val="32"/>
          <w:highlight w:val="none"/>
        </w:rPr>
      </w:pPr>
    </w:p>
    <w:p>
      <w:pPr>
        <w:pStyle w:val="12"/>
        <w:rPr>
          <w:rFonts w:ascii="仿宋_GB2312" w:hAnsi="仿宋" w:eastAsia="仿宋_GB2312" w:cs="仿宋_GB2312"/>
          <w:b/>
          <w:color w:val="auto"/>
          <w:kern w:val="0"/>
          <w:sz w:val="32"/>
          <w:szCs w:val="32"/>
          <w:highlight w:val="none"/>
        </w:rPr>
      </w:pPr>
    </w:p>
    <w:p>
      <w:pPr>
        <w:pStyle w:val="12"/>
        <w:rPr>
          <w:color w:val="auto"/>
          <w:highlight w:val="none"/>
        </w:rPr>
      </w:pPr>
      <w:r>
        <w:rPr>
          <w:rFonts w:hint="eastAsia" w:ascii="宋体" w:hAnsi="宋体" w:eastAsia="宋体" w:cs="宋体"/>
          <w:b/>
          <w:bCs w:val="0"/>
          <w:color w:val="auto"/>
          <w:kern w:val="2"/>
          <w:sz w:val="28"/>
          <w:szCs w:val="28"/>
          <w:highlight w:val="none"/>
          <w:lang w:val="en-US" w:eastAsia="zh-CN" w:bidi="ar-SA"/>
        </w:rPr>
        <w:br w:type="page"/>
      </w:r>
    </w:p>
    <w:p>
      <w:pPr>
        <w:pStyle w:val="12"/>
        <w:rPr>
          <w:color w:val="auto"/>
          <w:highlight w:val="none"/>
        </w:rPr>
      </w:pPr>
    </w:p>
    <w:p>
      <w:pPr>
        <w:pStyle w:val="3"/>
        <w:numPr>
          <w:ilvl w:val="0"/>
          <w:numId w:val="16"/>
        </w:numPr>
        <w:tabs>
          <w:tab w:val="left" w:pos="840"/>
        </w:tabs>
        <w:spacing w:before="0" w:after="156" w:afterLines="50" w:line="400" w:lineRule="exact"/>
        <w:jc w:val="center"/>
        <w:rPr>
          <w:rFonts w:hint="eastAsia" w:ascii="仿宋_GB2312" w:hAnsi="仿宋" w:eastAsia="仿宋_GB2312" w:cs="仿宋_GB2312"/>
          <w:b/>
          <w:color w:val="auto"/>
          <w:kern w:val="0"/>
          <w:sz w:val="32"/>
          <w:szCs w:val="32"/>
          <w:highlight w:val="none"/>
        </w:rPr>
      </w:pPr>
      <w:bookmarkStart w:id="808" w:name="_Toc29316"/>
      <w:bookmarkStart w:id="809" w:name="_Toc21996"/>
      <w:r>
        <w:rPr>
          <w:rFonts w:hint="eastAsia" w:ascii="仿宋_GB2312" w:hAnsi="仿宋" w:eastAsia="仿宋_GB2312" w:cs="仿宋_GB2312"/>
          <w:b/>
          <w:color w:val="auto"/>
          <w:kern w:val="0"/>
          <w:sz w:val="32"/>
          <w:szCs w:val="32"/>
          <w:highlight w:val="none"/>
        </w:rPr>
        <w:t>投标标的清单</w:t>
      </w:r>
    </w:p>
    <w:tbl>
      <w:tblPr>
        <w:tblStyle w:val="3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_GB2312" w:hAnsi="仿宋" w:eastAsia="仿宋_GB2312" w:cs="Times New Roman"/>
                <w:b/>
                <w:bCs/>
                <w:color w:val="auto"/>
                <w:sz w:val="24"/>
                <w:highlight w:val="none"/>
              </w:rPr>
            </w:pPr>
          </w:p>
          <w:p>
            <w:pPr>
              <w:spacing w:line="240" w:lineRule="auto"/>
              <w:jc w:val="center"/>
              <w:rPr>
                <w:rFonts w:hint="eastAsia"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备注</w:t>
            </w:r>
            <w:r>
              <w:rPr>
                <w:rFonts w:hint="eastAsia" w:ascii="仿宋_GB2312" w:hAnsi="仿宋" w:eastAsia="仿宋_GB2312" w:cs="Times New Roman"/>
                <w:b/>
                <w:bCs/>
                <w:color w:val="auto"/>
                <w:sz w:val="24"/>
                <w:highlight w:val="none"/>
                <w:lang w:eastAsia="zh-CN"/>
              </w:rPr>
              <w:t>（</w:t>
            </w:r>
            <w:r>
              <w:rPr>
                <w:rFonts w:hint="eastAsia" w:ascii="仿宋_GB2312" w:hAnsi="仿宋" w:eastAsia="仿宋_GB2312" w:cs="Times New Roman"/>
                <w:b/>
                <w:bCs/>
                <w:color w:val="auto"/>
                <w:sz w:val="24"/>
                <w:highlight w:val="none"/>
                <w:lang w:val="en-US" w:eastAsia="zh-CN"/>
              </w:rPr>
              <w:t>如果有</w:t>
            </w:r>
            <w:r>
              <w:rPr>
                <w:rFonts w:hint="eastAsia" w:ascii="仿宋_GB2312" w:hAnsi="仿宋" w:eastAsia="仿宋_GB2312" w:cs="Times New Roman"/>
                <w:b/>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color w:val="auto"/>
                <w:kern w:val="0"/>
                <w:sz w:val="24"/>
                <w:highlight w:val="none"/>
              </w:rPr>
            </w:pPr>
            <w:r>
              <w:rPr>
                <w:rFonts w:hint="default" w:ascii="仿宋_GB2312" w:hAnsi="仿宋" w:eastAsia="仿宋_GB2312" w:cs="仿宋_GB2312"/>
                <w:color w:val="auto"/>
                <w:kern w:val="0"/>
                <w:sz w:val="24"/>
                <w:highlight w:val="none"/>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b/>
                <w:color w:val="auto"/>
                <w:kern w:val="0"/>
                <w:sz w:val="32"/>
                <w:szCs w:val="32"/>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color w:val="auto"/>
                <w:kern w:val="0"/>
                <w:sz w:val="24"/>
                <w:highlight w:val="none"/>
              </w:rPr>
            </w:pPr>
            <w:r>
              <w:rPr>
                <w:rFonts w:hint="default" w:ascii="仿宋_GB2312" w:hAnsi="仿宋" w:eastAsia="仿宋_GB2312" w:cs="仿宋_GB2312"/>
                <w:color w:val="auto"/>
                <w:kern w:val="0"/>
                <w:sz w:val="24"/>
                <w:highlight w:val="none"/>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b/>
                <w:color w:val="auto"/>
                <w:kern w:val="0"/>
                <w:sz w:val="32"/>
                <w:szCs w:val="32"/>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color w:val="auto"/>
                <w:kern w:val="0"/>
                <w:sz w:val="24"/>
                <w:highlight w:val="none"/>
              </w:rPr>
            </w:pPr>
            <w:r>
              <w:rPr>
                <w:rFonts w:hint="default" w:ascii="仿宋_GB2312" w:hAnsi="仿宋" w:eastAsia="仿宋_GB2312" w:cs="仿宋_GB2312"/>
                <w:color w:val="auto"/>
                <w:kern w:val="0"/>
                <w:sz w:val="24"/>
                <w:highlight w:val="none"/>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spacing w:line="240" w:lineRule="auto"/>
              <w:jc w:val="center"/>
              <w:rPr>
                <w:rFonts w:ascii="仿宋_GB2312" w:hAnsi="仿宋" w:eastAsia="仿宋_GB2312" w:cs="仿宋_GB2312"/>
                <w:b/>
                <w:color w:val="auto"/>
                <w:kern w:val="0"/>
                <w:sz w:val="32"/>
                <w:szCs w:val="32"/>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b/>
                <w:color w:val="auto"/>
                <w:kern w:val="0"/>
                <w:sz w:val="32"/>
                <w:szCs w:val="32"/>
                <w:highlight w:val="none"/>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仿宋_GB2312" w:hAnsi="仿宋" w:eastAsia="仿宋_GB2312" w:cs="仿宋_GB2312"/>
                <w:b/>
                <w:color w:val="auto"/>
                <w:kern w:val="0"/>
                <w:sz w:val="32"/>
                <w:szCs w:val="32"/>
                <w:highlight w:val="none"/>
              </w:rPr>
            </w:pPr>
          </w:p>
        </w:tc>
      </w:tr>
    </w:tbl>
    <w:p>
      <w:pPr>
        <w:pStyle w:val="12"/>
        <w:ind w:left="0" w:leftChars="0"/>
        <w:rPr>
          <w:color w:val="auto"/>
          <w:highlight w:val="none"/>
        </w:rPr>
      </w:pPr>
      <w:r>
        <w:rPr>
          <w:rFonts w:hint="eastAsia" w:ascii="仿宋_GB2312" w:hAnsi="仿宋" w:eastAsia="仿宋_GB2312" w:cs="仿宋_GB2312"/>
          <w:color w:val="auto"/>
          <w:sz w:val="24"/>
          <w:highlight w:val="none"/>
          <w:lang w:val="en-US" w:eastAsia="zh-CN"/>
        </w:rPr>
        <w:t>注：按本格式和要求提供</w:t>
      </w:r>
    </w:p>
    <w:p>
      <w:pPr>
        <w:pStyle w:val="3"/>
        <w:numPr>
          <w:ilvl w:val="0"/>
          <w:numId w:val="16"/>
        </w:numPr>
        <w:tabs>
          <w:tab w:val="left" w:pos="840"/>
        </w:tabs>
        <w:spacing w:before="0" w:after="156" w:afterLines="50" w:line="400" w:lineRule="exact"/>
        <w:jc w:val="center"/>
        <w:rPr>
          <w:rFonts w:hint="eastAsia" w:ascii="宋体" w:hAnsi="宋体" w:eastAsia="宋体" w:cs="宋体"/>
          <w:b/>
          <w:bCs w:val="0"/>
          <w:color w:val="auto"/>
          <w:kern w:val="2"/>
          <w:sz w:val="28"/>
          <w:szCs w:val="28"/>
          <w:highlight w:val="none"/>
          <w:lang w:val="en-US" w:eastAsia="zh-CN" w:bidi="ar-SA"/>
        </w:rPr>
      </w:pPr>
      <w:r>
        <w:rPr>
          <w:rFonts w:hint="eastAsia" w:ascii="宋体" w:hAnsi="宋体" w:eastAsia="宋体" w:cs="宋体"/>
          <w:b/>
          <w:bCs w:val="0"/>
          <w:color w:val="auto"/>
          <w:kern w:val="2"/>
          <w:sz w:val="28"/>
          <w:szCs w:val="28"/>
          <w:highlight w:val="none"/>
          <w:lang w:val="en-US" w:eastAsia="zh-CN" w:bidi="ar-SA"/>
        </w:rPr>
        <w:br w:type="page"/>
      </w:r>
      <w:r>
        <w:rPr>
          <w:rFonts w:hint="eastAsia" w:ascii="宋体" w:hAnsi="宋体" w:eastAsia="宋体" w:cs="宋体"/>
          <w:b/>
          <w:bCs w:val="0"/>
          <w:color w:val="auto"/>
          <w:kern w:val="2"/>
          <w:sz w:val="28"/>
          <w:szCs w:val="28"/>
          <w:highlight w:val="none"/>
          <w:lang w:val="en-US" w:eastAsia="zh-CN" w:bidi="ar-SA"/>
        </w:rPr>
        <w:t>商务技术偏离表</w:t>
      </w:r>
      <w:bookmarkEnd w:id="808"/>
      <w:bookmarkEnd w:id="809"/>
    </w:p>
    <w:p>
      <w:pPr>
        <w:numPr>
          <w:ilvl w:val="0"/>
          <w:numId w:val="0"/>
        </w:numPr>
        <w:rPr>
          <w:rFonts w:hint="eastAsia"/>
          <w:color w:val="auto"/>
          <w:highlight w:val="none"/>
          <w:lang w:val="en-US" w:eastAsia="zh-CN"/>
        </w:rPr>
      </w:pPr>
    </w:p>
    <w:tbl>
      <w:tblPr>
        <w:tblStyle w:val="38"/>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689"/>
        <w:gridCol w:w="3551"/>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960" w:type="dxa"/>
            <w:noWrap w:val="0"/>
            <w:vAlign w:val="center"/>
          </w:tcPr>
          <w:p>
            <w:pPr>
              <w:jc w:val="center"/>
              <w:rPr>
                <w:rFonts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序号</w:t>
            </w:r>
          </w:p>
        </w:tc>
        <w:tc>
          <w:tcPr>
            <w:tcW w:w="3689" w:type="dxa"/>
            <w:noWrap w:val="0"/>
            <w:vAlign w:val="center"/>
          </w:tcPr>
          <w:p>
            <w:pPr>
              <w:jc w:val="center"/>
              <w:rPr>
                <w:rFonts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招标文件章节及具体内容</w:t>
            </w:r>
          </w:p>
        </w:tc>
        <w:tc>
          <w:tcPr>
            <w:tcW w:w="3551" w:type="dxa"/>
            <w:noWrap w:val="0"/>
            <w:vAlign w:val="center"/>
          </w:tcPr>
          <w:p>
            <w:pPr>
              <w:jc w:val="center"/>
              <w:rPr>
                <w:rFonts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投标文件章节及具体内容</w:t>
            </w:r>
          </w:p>
        </w:tc>
        <w:tc>
          <w:tcPr>
            <w:tcW w:w="1278" w:type="dxa"/>
            <w:noWrap w:val="0"/>
            <w:vAlign w:val="center"/>
          </w:tcPr>
          <w:p>
            <w:pPr>
              <w:jc w:val="center"/>
              <w:rPr>
                <w:rFonts w:ascii="仿宋_GB2312" w:hAnsi="仿宋" w:eastAsia="仿宋_GB2312" w:cs="Times New Roman"/>
                <w:b/>
                <w:bCs/>
                <w:color w:val="auto"/>
                <w:sz w:val="24"/>
                <w:highlight w:val="none"/>
              </w:rPr>
            </w:pPr>
            <w:r>
              <w:rPr>
                <w:rFonts w:hint="eastAsia" w:ascii="仿宋_GB2312" w:hAnsi="仿宋" w:eastAsia="仿宋_GB2312" w:cs="Times New Roman"/>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960" w:type="dxa"/>
            <w:noWrap w:val="0"/>
            <w:vAlign w:val="center"/>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9" w:type="dxa"/>
            <w:noWrap w:val="0"/>
            <w:vAlign w:val="center"/>
          </w:tcPr>
          <w:p>
            <w:pPr>
              <w:jc w:val="center"/>
              <w:rPr>
                <w:rFonts w:ascii="仿宋_GB2312" w:hAnsi="仿宋" w:eastAsia="仿宋_GB2312" w:cs="仿宋_GB2312"/>
                <w:b/>
                <w:color w:val="auto"/>
                <w:kern w:val="0"/>
                <w:sz w:val="32"/>
                <w:szCs w:val="32"/>
                <w:highlight w:val="none"/>
              </w:rPr>
            </w:pPr>
          </w:p>
        </w:tc>
        <w:tc>
          <w:tcPr>
            <w:tcW w:w="3551" w:type="dxa"/>
            <w:noWrap w:val="0"/>
            <w:vAlign w:val="center"/>
          </w:tcPr>
          <w:p>
            <w:pPr>
              <w:jc w:val="center"/>
              <w:rPr>
                <w:rFonts w:ascii="仿宋_GB2312" w:hAnsi="仿宋" w:eastAsia="仿宋_GB2312" w:cs="仿宋_GB2312"/>
                <w:b/>
                <w:color w:val="auto"/>
                <w:kern w:val="0"/>
                <w:sz w:val="32"/>
                <w:szCs w:val="32"/>
                <w:highlight w:val="none"/>
              </w:rPr>
            </w:pPr>
          </w:p>
        </w:tc>
        <w:tc>
          <w:tcPr>
            <w:tcW w:w="1278" w:type="dxa"/>
            <w:noWrap w:val="0"/>
            <w:vAlign w:val="center"/>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960" w:type="dxa"/>
            <w:noWrap w:val="0"/>
            <w:vAlign w:val="center"/>
          </w:tcPr>
          <w:p>
            <w:pPr>
              <w:jc w:val="center"/>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9" w:type="dxa"/>
            <w:noWrap w:val="0"/>
            <w:vAlign w:val="center"/>
          </w:tcPr>
          <w:p>
            <w:pPr>
              <w:jc w:val="center"/>
              <w:rPr>
                <w:rFonts w:ascii="仿宋_GB2312" w:hAnsi="仿宋" w:eastAsia="仿宋_GB2312" w:cs="仿宋_GB2312"/>
                <w:b/>
                <w:color w:val="auto"/>
                <w:kern w:val="0"/>
                <w:sz w:val="32"/>
                <w:szCs w:val="32"/>
                <w:highlight w:val="none"/>
              </w:rPr>
            </w:pPr>
          </w:p>
        </w:tc>
        <w:tc>
          <w:tcPr>
            <w:tcW w:w="3551" w:type="dxa"/>
            <w:noWrap w:val="0"/>
            <w:vAlign w:val="center"/>
          </w:tcPr>
          <w:p>
            <w:pPr>
              <w:jc w:val="center"/>
              <w:rPr>
                <w:rFonts w:ascii="仿宋_GB2312" w:hAnsi="仿宋" w:eastAsia="仿宋_GB2312" w:cs="仿宋_GB2312"/>
                <w:b/>
                <w:color w:val="auto"/>
                <w:kern w:val="0"/>
                <w:sz w:val="32"/>
                <w:szCs w:val="32"/>
                <w:highlight w:val="none"/>
              </w:rPr>
            </w:pPr>
          </w:p>
        </w:tc>
        <w:tc>
          <w:tcPr>
            <w:tcW w:w="1278" w:type="dxa"/>
            <w:noWrap w:val="0"/>
            <w:vAlign w:val="center"/>
          </w:tcPr>
          <w:p>
            <w:pPr>
              <w:jc w:val="center"/>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960" w:type="dxa"/>
            <w:noWrap w:val="0"/>
            <w:vAlign w:val="center"/>
          </w:tcPr>
          <w:p>
            <w:pPr>
              <w:jc w:val="center"/>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9" w:type="dxa"/>
            <w:noWrap w:val="0"/>
            <w:vAlign w:val="center"/>
          </w:tcPr>
          <w:p>
            <w:pPr>
              <w:jc w:val="center"/>
              <w:rPr>
                <w:rFonts w:ascii="仿宋_GB2312" w:hAnsi="仿宋" w:eastAsia="仿宋_GB2312" w:cs="仿宋_GB2312"/>
                <w:b/>
                <w:color w:val="auto"/>
                <w:kern w:val="0"/>
                <w:sz w:val="32"/>
                <w:szCs w:val="32"/>
                <w:highlight w:val="none"/>
              </w:rPr>
            </w:pPr>
          </w:p>
        </w:tc>
        <w:tc>
          <w:tcPr>
            <w:tcW w:w="3551" w:type="dxa"/>
            <w:noWrap w:val="0"/>
            <w:vAlign w:val="center"/>
          </w:tcPr>
          <w:p>
            <w:pPr>
              <w:jc w:val="center"/>
              <w:rPr>
                <w:rFonts w:ascii="仿宋_GB2312" w:hAnsi="仿宋" w:eastAsia="仿宋_GB2312" w:cs="仿宋_GB2312"/>
                <w:b/>
                <w:color w:val="auto"/>
                <w:kern w:val="0"/>
                <w:sz w:val="32"/>
                <w:szCs w:val="32"/>
                <w:highlight w:val="none"/>
              </w:rPr>
            </w:pPr>
          </w:p>
        </w:tc>
        <w:tc>
          <w:tcPr>
            <w:tcW w:w="1278" w:type="dxa"/>
            <w:noWrap w:val="0"/>
            <w:vAlign w:val="center"/>
          </w:tcPr>
          <w:p>
            <w:pPr>
              <w:jc w:val="center"/>
              <w:rPr>
                <w:rFonts w:ascii="仿宋_GB2312" w:hAnsi="仿宋" w:eastAsia="仿宋_GB2312" w:cs="仿宋_GB2312"/>
                <w:b/>
                <w:color w:val="auto"/>
                <w:kern w:val="0"/>
                <w:sz w:val="32"/>
                <w:szCs w:val="32"/>
                <w:highlight w:val="none"/>
              </w:rPr>
            </w:pPr>
          </w:p>
        </w:tc>
      </w:tr>
    </w:tbl>
    <w:p>
      <w:pPr>
        <w:pStyle w:val="24"/>
        <w:spacing w:line="400" w:lineRule="atLeast"/>
        <w:ind w:left="0" w:leftChars="0" w:firstLine="422" w:firstLineChars="200"/>
        <w:rPr>
          <w:rFonts w:hint="eastAsia" w:ascii="宋体" w:hAnsi="宋体" w:eastAsia="宋体" w:cs="宋体"/>
          <w:b/>
          <w:bCs/>
          <w:caps/>
          <w:color w:val="auto"/>
          <w:kern w:val="0"/>
          <w:sz w:val="21"/>
          <w:szCs w:val="21"/>
          <w:highlight w:val="none"/>
          <w:lang w:val="en-US" w:eastAsia="zh-CN" w:bidi="ar-SA"/>
        </w:rPr>
      </w:pPr>
      <w:r>
        <w:rPr>
          <w:rFonts w:hint="eastAsia" w:cs="宋体"/>
          <w:color w:val="auto"/>
          <w:highlight w:val="none"/>
        </w:rPr>
        <w:t>注：</w:t>
      </w:r>
      <w:r>
        <w:rPr>
          <w:rFonts w:hint="eastAsia" w:ascii="宋体" w:hAnsi="宋体" w:cs="宋体"/>
          <w:b/>
          <w:bCs/>
          <w:caps/>
          <w:color w:val="auto"/>
          <w:kern w:val="0"/>
          <w:sz w:val="21"/>
          <w:szCs w:val="21"/>
          <w:highlight w:val="none"/>
          <w:lang w:val="en-US" w:eastAsia="zh-CN" w:bidi="ar-SA"/>
        </w:rPr>
        <w:t>1、</w:t>
      </w:r>
      <w:r>
        <w:rPr>
          <w:rFonts w:hint="eastAsia" w:ascii="宋体" w:hAnsi="宋体" w:eastAsia="宋体" w:cs="宋体"/>
          <w:b/>
          <w:bCs/>
          <w:caps/>
          <w:color w:val="auto"/>
          <w:kern w:val="0"/>
          <w:sz w:val="21"/>
          <w:szCs w:val="21"/>
          <w:highlight w:val="none"/>
          <w:lang w:val="en-US" w:eastAsia="zh-CN" w:bidi="ar-SA"/>
        </w:rPr>
        <w:t xml:space="preserve">投标人必须按“第三部分  采购需求--二、采购内容及技术要求--（二）参数要求”中“ </w:t>
      </w:r>
      <w:r>
        <w:rPr>
          <w:rFonts w:hint="eastAsia" w:ascii="宋体" w:hAnsi="宋体" w:eastAsia="宋体" w:cs="宋体"/>
          <w:b/>
          <w:bCs/>
          <w:color w:val="auto"/>
          <w:sz w:val="21"/>
          <w:szCs w:val="21"/>
          <w:highlight w:val="none"/>
        </w:rPr>
        <w:t>主要性能参数</w:t>
      </w:r>
      <w:r>
        <w:rPr>
          <w:rFonts w:hint="eastAsia" w:ascii="宋体" w:hAnsi="宋体" w:eastAsia="宋体" w:cs="宋体"/>
          <w:b/>
          <w:bCs/>
          <w:caps/>
          <w:color w:val="auto"/>
          <w:kern w:val="0"/>
          <w:sz w:val="21"/>
          <w:szCs w:val="21"/>
          <w:highlight w:val="none"/>
          <w:lang w:val="en-US" w:eastAsia="zh-CN" w:bidi="ar-SA"/>
        </w:rPr>
        <w:t>”的各项参数一一对应，</w:t>
      </w:r>
    </w:p>
    <w:p>
      <w:pPr>
        <w:ind w:firstLine="632" w:firstLineChars="300"/>
        <w:rPr>
          <w:rFonts w:hint="eastAsia" w:ascii="宋体" w:hAnsi="宋体" w:eastAsia="宋体" w:cs="宋体"/>
          <w:b/>
          <w:bCs/>
          <w:caps/>
          <w:color w:val="auto"/>
          <w:kern w:val="0"/>
          <w:sz w:val="21"/>
          <w:szCs w:val="21"/>
          <w:highlight w:val="none"/>
          <w:lang w:val="en-US" w:eastAsia="zh-CN" w:bidi="ar-SA"/>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numberInDash"/>
          <w:cols w:space="720" w:num="1"/>
          <w:titlePg/>
          <w:docGrid w:linePitch="312" w:charSpace="0"/>
        </w:sectPr>
      </w:pPr>
      <w:r>
        <w:rPr>
          <w:rFonts w:hint="eastAsia" w:ascii="宋体" w:hAnsi="宋体" w:eastAsia="宋体" w:cs="宋体"/>
          <w:b/>
          <w:bCs/>
          <w:caps/>
          <w:color w:val="auto"/>
          <w:kern w:val="0"/>
          <w:sz w:val="21"/>
          <w:szCs w:val="21"/>
          <w:highlight w:val="none"/>
          <w:lang w:val="en-US" w:eastAsia="zh-CN" w:bidi="ar-SA"/>
        </w:rPr>
        <w:t>2、“偏离情况”栏填写：“正偏离”或“负偏离”或“符合”</w:t>
      </w:r>
    </w:p>
    <w:p>
      <w:pPr>
        <w:pStyle w:val="3"/>
        <w:numPr>
          <w:ilvl w:val="0"/>
          <w:numId w:val="16"/>
        </w:numPr>
        <w:tabs>
          <w:tab w:val="left" w:pos="840"/>
        </w:tabs>
        <w:spacing w:before="0" w:after="156" w:afterLines="50" w:line="400" w:lineRule="exact"/>
        <w:jc w:val="center"/>
        <w:rPr>
          <w:rFonts w:hint="eastAsia" w:ascii="宋体" w:hAnsi="宋体" w:eastAsia="宋体" w:cs="宋体"/>
          <w:b/>
          <w:bCs w:val="0"/>
          <w:color w:val="auto"/>
          <w:sz w:val="28"/>
          <w:szCs w:val="36"/>
          <w:highlight w:val="none"/>
        </w:rPr>
      </w:pPr>
      <w:bookmarkStart w:id="810" w:name="_Toc73100339"/>
      <w:bookmarkStart w:id="811" w:name="_Toc15680"/>
      <w:bookmarkStart w:id="812" w:name="_Toc20153"/>
      <w:bookmarkStart w:id="813" w:name="_Toc18277"/>
      <w:r>
        <w:rPr>
          <w:rFonts w:hint="eastAsia" w:ascii="宋体" w:hAnsi="宋体" w:cs="宋体"/>
          <w:b/>
          <w:bCs w:val="0"/>
          <w:color w:val="auto"/>
          <w:sz w:val="28"/>
          <w:szCs w:val="36"/>
          <w:highlight w:val="none"/>
          <w:lang w:eastAsia="zh-CN"/>
        </w:rPr>
        <w:t>2020</w:t>
      </w:r>
      <w:r>
        <w:rPr>
          <w:rFonts w:hint="eastAsia" w:ascii="宋体" w:hAnsi="宋体" w:eastAsia="宋体" w:cs="宋体"/>
          <w:b/>
          <w:bCs w:val="0"/>
          <w:color w:val="auto"/>
          <w:sz w:val="28"/>
          <w:szCs w:val="36"/>
          <w:highlight w:val="none"/>
        </w:rPr>
        <w:t>年1月</w:t>
      </w:r>
      <w:r>
        <w:rPr>
          <w:rFonts w:hint="eastAsia" w:ascii="宋体" w:hAnsi="宋体" w:eastAsia="宋体" w:cs="宋体"/>
          <w:b/>
          <w:bCs w:val="0"/>
          <w:color w:val="auto"/>
          <w:sz w:val="28"/>
          <w:szCs w:val="36"/>
          <w:highlight w:val="none"/>
          <w:lang w:val="en-US" w:eastAsia="zh-CN"/>
        </w:rPr>
        <w:t>1日</w:t>
      </w:r>
      <w:r>
        <w:rPr>
          <w:rFonts w:hint="eastAsia" w:ascii="宋体" w:hAnsi="宋体" w:eastAsia="宋体" w:cs="宋体"/>
          <w:b/>
          <w:bCs w:val="0"/>
          <w:color w:val="auto"/>
          <w:sz w:val="28"/>
          <w:szCs w:val="36"/>
          <w:highlight w:val="none"/>
        </w:rPr>
        <w:t>以来项目业绩一览表</w:t>
      </w:r>
    </w:p>
    <w:p>
      <w:pPr>
        <w:spacing w:before="312" w:beforeLines="100" w:after="156" w:afterLines="50"/>
        <w:ind w:right="-11"/>
        <w:rPr>
          <w:rFonts w:hint="eastAsia"/>
          <w:b/>
          <w:bCs/>
          <w:color w:val="auto"/>
          <w:sz w:val="30"/>
          <w:highlight w:val="none"/>
        </w:rPr>
      </w:pPr>
      <w:r>
        <w:rPr>
          <w:rFonts w:hint="eastAsia" w:ascii="宋体" w:hAnsi="宋体"/>
          <w:b/>
          <w:color w:val="auto"/>
          <w:szCs w:val="21"/>
          <w:highlight w:val="none"/>
        </w:rPr>
        <w:t>项目编号：</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185"/>
        <w:gridCol w:w="1890"/>
        <w:gridCol w:w="1785"/>
        <w:gridCol w:w="1680"/>
        <w:gridCol w:w="14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spacing w:line="380" w:lineRule="exact"/>
              <w:jc w:val="center"/>
              <w:rPr>
                <w:rFonts w:hint="eastAsia" w:ascii="新宋体" w:hAnsi="新宋体" w:eastAsia="新宋体" w:cs="Times New Roman"/>
                <w:b/>
                <w:bCs/>
                <w:color w:val="auto"/>
                <w:sz w:val="22"/>
                <w:highlight w:val="none"/>
              </w:rPr>
            </w:pPr>
            <w:r>
              <w:rPr>
                <w:rFonts w:hint="eastAsia" w:ascii="新宋体" w:hAnsi="新宋体" w:eastAsia="新宋体" w:cs="Times New Roman"/>
                <w:b/>
                <w:bCs/>
                <w:color w:val="auto"/>
                <w:sz w:val="22"/>
                <w:highlight w:val="none"/>
              </w:rPr>
              <w:t>序号</w:t>
            </w:r>
          </w:p>
        </w:tc>
        <w:tc>
          <w:tcPr>
            <w:tcW w:w="1890" w:type="dxa"/>
            <w:noWrap w:val="0"/>
            <w:vAlign w:val="center"/>
          </w:tcPr>
          <w:p>
            <w:pPr>
              <w:spacing w:line="380" w:lineRule="exact"/>
              <w:jc w:val="center"/>
              <w:rPr>
                <w:rFonts w:hint="eastAsia" w:ascii="新宋体" w:hAnsi="新宋体" w:eastAsia="新宋体" w:cs="Times New Roman"/>
                <w:b/>
                <w:bCs/>
                <w:color w:val="auto"/>
                <w:sz w:val="22"/>
                <w:highlight w:val="none"/>
              </w:rPr>
            </w:pPr>
            <w:r>
              <w:rPr>
                <w:rFonts w:hint="eastAsia" w:ascii="新宋体" w:hAnsi="新宋体" w:eastAsia="新宋体" w:cs="Times New Roman"/>
                <w:b/>
                <w:bCs/>
                <w:color w:val="auto"/>
                <w:sz w:val="22"/>
                <w:highlight w:val="none"/>
              </w:rPr>
              <w:t>项目名称</w:t>
            </w:r>
          </w:p>
        </w:tc>
        <w:tc>
          <w:tcPr>
            <w:tcW w:w="1785" w:type="dxa"/>
            <w:noWrap w:val="0"/>
            <w:vAlign w:val="center"/>
          </w:tcPr>
          <w:p>
            <w:pPr>
              <w:spacing w:line="380" w:lineRule="exact"/>
              <w:jc w:val="center"/>
              <w:rPr>
                <w:rFonts w:hint="eastAsia" w:ascii="新宋体" w:hAnsi="新宋体" w:eastAsia="新宋体" w:cs="Times New Roman"/>
                <w:b/>
                <w:bCs/>
                <w:color w:val="auto"/>
                <w:sz w:val="22"/>
                <w:highlight w:val="none"/>
              </w:rPr>
            </w:pPr>
            <w:r>
              <w:rPr>
                <w:rFonts w:hint="eastAsia" w:ascii="新宋体" w:hAnsi="新宋体" w:eastAsia="新宋体" w:cs="Times New Roman"/>
                <w:b/>
                <w:bCs/>
                <w:color w:val="auto"/>
                <w:sz w:val="22"/>
                <w:highlight w:val="none"/>
              </w:rPr>
              <w:t>用户单位</w:t>
            </w:r>
          </w:p>
        </w:tc>
        <w:tc>
          <w:tcPr>
            <w:tcW w:w="1680" w:type="dxa"/>
            <w:noWrap w:val="0"/>
            <w:vAlign w:val="center"/>
          </w:tcPr>
          <w:p>
            <w:pPr>
              <w:spacing w:line="380" w:lineRule="exact"/>
              <w:jc w:val="center"/>
              <w:rPr>
                <w:rFonts w:hint="eastAsia" w:ascii="新宋体" w:hAnsi="新宋体" w:eastAsia="新宋体" w:cs="Times New Roman"/>
                <w:b/>
                <w:bCs/>
                <w:color w:val="auto"/>
                <w:sz w:val="22"/>
                <w:highlight w:val="none"/>
              </w:rPr>
            </w:pPr>
            <w:r>
              <w:rPr>
                <w:rFonts w:hint="eastAsia" w:ascii="新宋体" w:hAnsi="新宋体" w:eastAsia="新宋体" w:cs="Times New Roman"/>
                <w:b/>
                <w:bCs/>
                <w:color w:val="auto"/>
                <w:sz w:val="22"/>
                <w:highlight w:val="none"/>
              </w:rPr>
              <w:t>合同金额</w:t>
            </w:r>
          </w:p>
        </w:tc>
        <w:tc>
          <w:tcPr>
            <w:tcW w:w="1470" w:type="dxa"/>
            <w:noWrap w:val="0"/>
            <w:vAlign w:val="center"/>
          </w:tcPr>
          <w:p>
            <w:pPr>
              <w:spacing w:line="380" w:lineRule="exact"/>
              <w:jc w:val="center"/>
              <w:rPr>
                <w:rFonts w:hint="eastAsia" w:ascii="新宋体" w:hAnsi="新宋体" w:eastAsia="新宋体" w:cs="Times New Roman"/>
                <w:b/>
                <w:bCs/>
                <w:color w:val="auto"/>
                <w:sz w:val="22"/>
                <w:highlight w:val="none"/>
              </w:rPr>
            </w:pPr>
            <w:r>
              <w:rPr>
                <w:rFonts w:hint="eastAsia" w:ascii="新宋体" w:hAnsi="新宋体" w:eastAsia="新宋体" w:cs="Times New Roman"/>
                <w:b/>
                <w:bCs/>
                <w:color w:val="auto"/>
                <w:sz w:val="22"/>
                <w:highlight w:val="none"/>
              </w:rPr>
              <w:t>合同日期</w:t>
            </w:r>
          </w:p>
        </w:tc>
        <w:tc>
          <w:tcPr>
            <w:tcW w:w="1260" w:type="dxa"/>
            <w:noWrap w:val="0"/>
            <w:vAlign w:val="center"/>
          </w:tcPr>
          <w:p>
            <w:pPr>
              <w:spacing w:line="380" w:lineRule="exact"/>
              <w:jc w:val="center"/>
              <w:rPr>
                <w:rFonts w:hint="eastAsia" w:ascii="新宋体" w:hAnsi="新宋体" w:eastAsia="新宋体" w:cs="Times New Roman"/>
                <w:b/>
                <w:bCs/>
                <w:color w:val="auto"/>
                <w:sz w:val="22"/>
                <w:highlight w:val="none"/>
              </w:rPr>
            </w:pPr>
            <w:r>
              <w:rPr>
                <w:rFonts w:hint="eastAsia" w:ascii="Calibri" w:hAnsi="Calibri" w:eastAsia="宋体" w:cs="Times New Roman"/>
                <w:b/>
                <w:bCs/>
                <w:color w:val="auto"/>
                <w:highlight w:val="none"/>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0" w:hRule="exact"/>
        </w:trPr>
        <w:tc>
          <w:tcPr>
            <w:tcW w:w="11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890" w:type="dxa"/>
            <w:noWrap w:val="0"/>
            <w:vAlign w:val="center"/>
          </w:tcPr>
          <w:p>
            <w:pPr>
              <w:autoSpaceDE w:val="0"/>
              <w:autoSpaceDN w:val="0"/>
              <w:adjustRightInd w:val="0"/>
              <w:jc w:val="center"/>
              <w:rPr>
                <w:rFonts w:ascii="宋体" w:hAnsi="Calibri" w:eastAsia="宋体" w:cs="Times New Roman"/>
                <w:color w:val="auto"/>
                <w:highlight w:val="none"/>
              </w:rPr>
            </w:pPr>
          </w:p>
        </w:tc>
        <w:tc>
          <w:tcPr>
            <w:tcW w:w="1785" w:type="dxa"/>
            <w:noWrap w:val="0"/>
            <w:vAlign w:val="center"/>
          </w:tcPr>
          <w:p>
            <w:pPr>
              <w:autoSpaceDE w:val="0"/>
              <w:autoSpaceDN w:val="0"/>
              <w:adjustRightInd w:val="0"/>
              <w:jc w:val="center"/>
              <w:rPr>
                <w:rFonts w:ascii="宋体" w:hAnsi="Calibri" w:eastAsia="宋体" w:cs="Times New Roman"/>
                <w:color w:val="auto"/>
                <w:highlight w:val="none"/>
              </w:rPr>
            </w:pPr>
          </w:p>
        </w:tc>
        <w:tc>
          <w:tcPr>
            <w:tcW w:w="1680" w:type="dxa"/>
            <w:noWrap w:val="0"/>
            <w:vAlign w:val="center"/>
          </w:tcPr>
          <w:p>
            <w:pPr>
              <w:autoSpaceDE w:val="0"/>
              <w:autoSpaceDN w:val="0"/>
              <w:adjustRightInd w:val="0"/>
              <w:jc w:val="center"/>
              <w:rPr>
                <w:rFonts w:ascii="宋体" w:hAnsi="Calibri" w:eastAsia="宋体" w:cs="Times New Roman"/>
                <w:color w:val="auto"/>
                <w:highlight w:val="none"/>
              </w:rPr>
            </w:pPr>
          </w:p>
        </w:tc>
        <w:tc>
          <w:tcPr>
            <w:tcW w:w="1470" w:type="dxa"/>
            <w:noWrap w:val="0"/>
            <w:vAlign w:val="center"/>
          </w:tcPr>
          <w:p>
            <w:pPr>
              <w:autoSpaceDE w:val="0"/>
              <w:autoSpaceDN w:val="0"/>
              <w:adjustRightInd w:val="0"/>
              <w:jc w:val="center"/>
              <w:rPr>
                <w:rFonts w:ascii="宋体" w:hAnsi="Calibri" w:eastAsia="宋体" w:cs="Times New Roman"/>
                <w:color w:val="auto"/>
                <w:highlight w:val="none"/>
              </w:rPr>
            </w:pPr>
          </w:p>
        </w:tc>
        <w:tc>
          <w:tcPr>
            <w:tcW w:w="1260" w:type="dxa"/>
            <w:noWrap w:val="0"/>
            <w:vAlign w:val="center"/>
          </w:tcPr>
          <w:p>
            <w:pPr>
              <w:autoSpaceDE w:val="0"/>
              <w:autoSpaceDN w:val="0"/>
              <w:adjustRightInd w:val="0"/>
              <w:jc w:val="center"/>
              <w:rPr>
                <w:rFonts w:ascii="宋体" w:hAnsi="Calibri" w:eastAsia="宋体" w:cs="Times New Roman"/>
                <w:color w:val="auto"/>
                <w:highlight w:val="none"/>
              </w:rPr>
            </w:pPr>
          </w:p>
        </w:tc>
      </w:tr>
    </w:tbl>
    <w:p>
      <w:pPr>
        <w:spacing w:before="156" w:beforeLines="50" w:line="360" w:lineRule="auto"/>
        <w:ind w:right="-21" w:rightChars="-10" w:firstLine="422" w:firstLineChars="200"/>
        <w:rPr>
          <w:rFonts w:hint="eastAsia" w:ascii="宋体" w:hAnsi="宋体"/>
          <w:b/>
          <w:color w:val="auto"/>
          <w:highlight w:val="none"/>
        </w:rPr>
      </w:pPr>
      <w:r>
        <w:rPr>
          <w:rFonts w:hint="eastAsia" w:ascii="宋体" w:hAnsi="宋体"/>
          <w:b/>
          <w:color w:val="auto"/>
          <w:highlight w:val="none"/>
        </w:rPr>
        <w:t>注：</w:t>
      </w:r>
      <w:r>
        <w:rPr>
          <w:rFonts w:hint="eastAsia" w:ascii="宋体" w:hAnsi="宋体"/>
          <w:b/>
          <w:color w:val="auto"/>
          <w:highlight w:val="none"/>
          <w:lang w:val="en-US" w:eastAsia="zh-CN"/>
        </w:rPr>
        <w:t>1、</w:t>
      </w:r>
      <w:r>
        <w:rPr>
          <w:rFonts w:hint="eastAsia" w:ascii="宋体" w:hAnsi="宋体"/>
          <w:b/>
          <w:color w:val="auto"/>
          <w:highlight w:val="none"/>
        </w:rPr>
        <w:t>业绩有效性认定：提供</w:t>
      </w:r>
      <w:r>
        <w:rPr>
          <w:rFonts w:hint="eastAsia" w:ascii="宋体" w:hAnsi="宋体"/>
          <w:b/>
          <w:color w:val="auto"/>
          <w:highlight w:val="none"/>
          <w:lang w:val="en-US" w:eastAsia="zh-CN"/>
        </w:rPr>
        <w:t>完整的</w:t>
      </w:r>
      <w:r>
        <w:rPr>
          <w:rFonts w:hint="eastAsia" w:ascii="宋体" w:hAnsi="宋体"/>
          <w:b/>
          <w:color w:val="auto"/>
          <w:highlight w:val="none"/>
        </w:rPr>
        <w:t>合同扫描件并加盖</w:t>
      </w:r>
      <w:r>
        <w:rPr>
          <w:rFonts w:hint="eastAsia" w:ascii="宋体" w:hAnsi="宋体"/>
          <w:b/>
          <w:color w:val="auto"/>
          <w:highlight w:val="none"/>
          <w:lang w:val="en-US" w:eastAsia="zh-CN"/>
        </w:rPr>
        <w:t>公章</w:t>
      </w:r>
      <w:r>
        <w:rPr>
          <w:rFonts w:hint="eastAsia" w:ascii="宋体" w:hAnsi="宋体"/>
          <w:b/>
          <w:color w:val="auto"/>
          <w:highlight w:val="none"/>
        </w:rPr>
        <w:t>；业绩认定时间以合同的签订时间为准。</w:t>
      </w:r>
    </w:p>
    <w:p>
      <w:pPr>
        <w:spacing w:before="156" w:beforeLines="50" w:line="360" w:lineRule="auto"/>
        <w:ind w:right="-21" w:rightChars="-10" w:firstLine="422" w:firstLineChars="200"/>
        <w:rPr>
          <w:rFonts w:hint="eastAsia" w:ascii="宋体" w:hAnsi="宋体" w:eastAsia="宋体" w:cs="Times New Roman"/>
          <w:b/>
          <w:color w:val="auto"/>
          <w:highlight w:val="none"/>
          <w:lang w:val="en-US" w:eastAsia="zh-CN"/>
        </w:rPr>
      </w:pPr>
      <w:r>
        <w:rPr>
          <w:rFonts w:hint="eastAsia" w:ascii="宋体" w:hAnsi="宋体" w:eastAsia="宋体" w:cs="Times New Roman"/>
          <w:b/>
          <w:color w:val="auto"/>
          <w:highlight w:val="none"/>
          <w:lang w:val="en-US" w:eastAsia="zh-CN"/>
        </w:rPr>
        <w:t>2、对省级以上主管部门认定的首台套产品，自纳入《省推广应用指导目录》起3年内，以及产品核心技术高于国内领先水平，并具有明晰自主知识产权的“制造精品”产品，自认定之日起2年内，视同已具备相应销售业绩，参加政府采购活动时业绩分值为满分。</w:t>
      </w:r>
    </w:p>
    <w:bookmarkEnd w:id="810"/>
    <w:bookmarkEnd w:id="811"/>
    <w:bookmarkEnd w:id="812"/>
    <w:bookmarkEnd w:id="813"/>
    <w:p>
      <w:pPr>
        <w:rPr>
          <w:rFonts w:hAnsi="宋体"/>
          <w:b/>
          <w:bCs w:val="0"/>
          <w:color w:val="auto"/>
          <w:sz w:val="28"/>
          <w:szCs w:val="36"/>
          <w:highlight w:val="none"/>
        </w:rPr>
      </w:pPr>
      <w:bookmarkStart w:id="814" w:name="_Toc32216"/>
      <w:bookmarkStart w:id="815" w:name="_Toc19222"/>
      <w:bookmarkStart w:id="816" w:name="_Toc15909"/>
      <w:r>
        <w:rPr>
          <w:rFonts w:hint="eastAsia" w:ascii="Times New Roman" w:hAnsi="宋体" w:eastAsia="宋体" w:cs="Times New Roman"/>
          <w:b/>
          <w:bCs w:val="0"/>
          <w:color w:val="auto"/>
          <w:kern w:val="2"/>
          <w:sz w:val="28"/>
          <w:szCs w:val="36"/>
          <w:highlight w:val="none"/>
          <w:lang w:val="en-US" w:eastAsia="zh-CN" w:bidi="ar-SA"/>
        </w:rPr>
        <w:br w:type="page"/>
      </w:r>
    </w:p>
    <w:p>
      <w:pPr>
        <w:pStyle w:val="3"/>
        <w:numPr>
          <w:ilvl w:val="0"/>
          <w:numId w:val="16"/>
        </w:numPr>
        <w:tabs>
          <w:tab w:val="left" w:pos="840"/>
        </w:tabs>
        <w:spacing w:before="0" w:after="156" w:afterLines="50" w:line="400" w:lineRule="exact"/>
        <w:jc w:val="center"/>
        <w:rPr>
          <w:rFonts w:hAnsi="宋体"/>
          <w:b/>
          <w:bCs w:val="0"/>
          <w:color w:val="auto"/>
          <w:sz w:val="28"/>
          <w:szCs w:val="36"/>
          <w:highlight w:val="none"/>
        </w:rPr>
      </w:pPr>
      <w:r>
        <w:rPr>
          <w:rFonts w:hint="eastAsia" w:ascii="Times New Roman" w:hAnsi="宋体" w:eastAsia="宋体" w:cs="Times New Roman"/>
          <w:b/>
          <w:bCs w:val="0"/>
          <w:color w:val="auto"/>
          <w:kern w:val="2"/>
          <w:sz w:val="28"/>
          <w:szCs w:val="36"/>
          <w:highlight w:val="none"/>
          <w:lang w:val="en-US" w:eastAsia="zh-CN" w:bidi="ar-SA"/>
        </w:rPr>
        <w:t>环境标志产品、节能产品</w:t>
      </w:r>
    </w:p>
    <w:p>
      <w:pPr>
        <w:spacing w:line="360" w:lineRule="auto"/>
        <w:ind w:left="34" w:leftChars="0"/>
        <w:rPr>
          <w:rFonts w:hint="eastAsia"/>
          <w:color w:val="auto"/>
          <w:highlight w:val="none"/>
        </w:rPr>
      </w:pPr>
    </w:p>
    <w:p>
      <w:pPr>
        <w:spacing w:line="360" w:lineRule="auto"/>
        <w:ind w:left="34" w:leftChars="0"/>
        <w:rPr>
          <w:rFonts w:hint="eastAsia" w:ascii="宋体" w:hAnsi="宋体" w:eastAsia="宋体" w:cs="Times New Roman"/>
          <w:b/>
          <w:color w:val="auto"/>
          <w:sz w:val="24"/>
          <w:szCs w:val="24"/>
          <w:highlight w:val="none"/>
        </w:rPr>
      </w:pPr>
      <w:r>
        <w:rPr>
          <w:rFonts w:hint="eastAsia"/>
          <w:color w:val="auto"/>
          <w:highlight w:val="none"/>
        </w:rPr>
        <w:t>对所投产品是否取得有效的政府采购节能产品、环境标志产品认证证书的情况</w:t>
      </w:r>
      <w:r>
        <w:rPr>
          <w:rFonts w:hint="eastAsia"/>
          <w:color w:val="auto"/>
          <w:highlight w:val="none"/>
          <w:lang w:eastAsia="zh-CN"/>
        </w:rPr>
        <w:t>，</w:t>
      </w:r>
      <w:r>
        <w:rPr>
          <w:rFonts w:hint="eastAsia"/>
          <w:color w:val="auto"/>
          <w:highlight w:val="none"/>
          <w:lang w:val="en-US" w:eastAsia="zh-CN"/>
        </w:rPr>
        <w:t>若是，须</w:t>
      </w:r>
      <w:r>
        <w:rPr>
          <w:rFonts w:hint="eastAsia"/>
          <w:color w:val="auto"/>
          <w:highlight w:val="none"/>
        </w:rPr>
        <w:t>提供国家确定的认证机构出具的、处于有效期之内的节能产品、环境标志产品认证证书</w:t>
      </w:r>
      <w:r>
        <w:rPr>
          <w:rFonts w:hint="eastAsia"/>
          <w:color w:val="auto"/>
          <w:highlight w:val="none"/>
          <w:lang w:val="en-US" w:eastAsia="zh-CN"/>
        </w:rPr>
        <w:t>扫描件</w:t>
      </w:r>
      <w:r>
        <w:rPr>
          <w:rFonts w:hint="eastAsia"/>
          <w:color w:val="auto"/>
          <w:highlight w:val="none"/>
          <w:lang w:eastAsia="zh-CN"/>
        </w:rPr>
        <w:t>。</w:t>
      </w:r>
    </w:p>
    <w:p>
      <w:pPr>
        <w:pStyle w:val="3"/>
        <w:numPr>
          <w:ilvl w:val="0"/>
          <w:numId w:val="16"/>
        </w:numPr>
        <w:tabs>
          <w:tab w:val="left" w:pos="840"/>
        </w:tabs>
        <w:spacing w:before="0" w:after="156" w:afterLines="50" w:line="400" w:lineRule="exact"/>
        <w:jc w:val="center"/>
        <w:rPr>
          <w:rFonts w:hAnsi="宋体"/>
          <w:b/>
          <w:bCs w:val="0"/>
          <w:color w:val="auto"/>
          <w:sz w:val="28"/>
          <w:szCs w:val="36"/>
          <w:highlight w:val="none"/>
        </w:rPr>
      </w:pPr>
      <w:r>
        <w:rPr>
          <w:rFonts w:hint="eastAsia" w:ascii="Times New Roman" w:hAnsi="宋体" w:eastAsia="宋体" w:cs="Times New Roman"/>
          <w:b/>
          <w:bCs w:val="0"/>
          <w:color w:val="auto"/>
          <w:kern w:val="2"/>
          <w:sz w:val="28"/>
          <w:szCs w:val="36"/>
          <w:highlight w:val="none"/>
          <w:lang w:val="en-US" w:eastAsia="zh-CN" w:bidi="ar-SA"/>
        </w:rPr>
        <w:br w:type="page"/>
      </w:r>
      <w:r>
        <w:rPr>
          <w:rFonts w:hint="eastAsia" w:ascii="Times New Roman" w:hAnsi="宋体" w:eastAsia="宋体" w:cs="Times New Roman"/>
          <w:b/>
          <w:bCs w:val="0"/>
          <w:color w:val="auto"/>
          <w:kern w:val="2"/>
          <w:sz w:val="28"/>
          <w:szCs w:val="36"/>
          <w:highlight w:val="none"/>
          <w:lang w:val="en-US" w:eastAsia="zh-CN" w:bidi="ar-SA"/>
        </w:rPr>
        <w:t>安装、调试的方案和措施</w:t>
      </w:r>
      <w:r>
        <w:rPr>
          <w:rFonts w:hint="eastAsia" w:ascii="Times New Roman" w:hAnsi="宋体" w:eastAsia="宋体" w:cs="Times New Roman"/>
          <w:b/>
          <w:bCs w:val="0"/>
          <w:color w:val="auto"/>
          <w:kern w:val="2"/>
          <w:sz w:val="28"/>
          <w:szCs w:val="36"/>
          <w:highlight w:val="none"/>
          <w:lang w:val="zh-CN" w:eastAsia="zh-CN" w:bidi="ar-SA"/>
        </w:rPr>
        <w:t>（</w:t>
      </w:r>
      <w:r>
        <w:rPr>
          <w:rFonts w:hint="eastAsia" w:ascii="Times New Roman" w:hAnsi="宋体" w:eastAsia="宋体" w:cs="Times New Roman"/>
          <w:b/>
          <w:bCs w:val="0"/>
          <w:color w:val="auto"/>
          <w:kern w:val="2"/>
          <w:sz w:val="28"/>
          <w:szCs w:val="36"/>
          <w:highlight w:val="none"/>
          <w:lang w:val="en-US" w:eastAsia="zh-CN" w:bidi="ar-SA"/>
        </w:rPr>
        <w:t>格式自拟</w:t>
      </w:r>
      <w:r>
        <w:rPr>
          <w:rFonts w:hint="eastAsia" w:ascii="Times New Roman" w:hAnsi="宋体" w:eastAsia="宋体" w:cs="Times New Roman"/>
          <w:b/>
          <w:bCs w:val="0"/>
          <w:color w:val="auto"/>
          <w:kern w:val="2"/>
          <w:sz w:val="28"/>
          <w:szCs w:val="36"/>
          <w:highlight w:val="none"/>
          <w:lang w:val="zh-CN" w:eastAsia="zh-CN" w:bidi="ar-SA"/>
        </w:rPr>
        <w:t>）</w:t>
      </w:r>
    </w:p>
    <w:p>
      <w:pPr>
        <w:pStyle w:val="3"/>
        <w:numPr>
          <w:ilvl w:val="0"/>
          <w:numId w:val="16"/>
        </w:numPr>
        <w:tabs>
          <w:tab w:val="left" w:pos="840"/>
        </w:tabs>
        <w:spacing w:before="0" w:after="156" w:afterLines="50" w:line="400" w:lineRule="exact"/>
        <w:jc w:val="center"/>
        <w:rPr>
          <w:rFonts w:hAnsi="宋体"/>
          <w:b/>
          <w:bCs w:val="0"/>
          <w:color w:val="auto"/>
          <w:sz w:val="28"/>
          <w:szCs w:val="36"/>
          <w:highlight w:val="none"/>
        </w:rPr>
      </w:pPr>
      <w:r>
        <w:rPr>
          <w:rFonts w:hint="eastAsia" w:ascii="Times New Roman" w:hAnsi="宋体" w:eastAsia="宋体" w:cs="Times New Roman"/>
          <w:b/>
          <w:bCs w:val="0"/>
          <w:color w:val="auto"/>
          <w:kern w:val="2"/>
          <w:sz w:val="28"/>
          <w:szCs w:val="36"/>
          <w:highlight w:val="none"/>
          <w:lang w:val="en-US" w:eastAsia="zh-CN" w:bidi="ar-SA"/>
        </w:rPr>
        <w:br w:type="page"/>
      </w:r>
      <w:r>
        <w:rPr>
          <w:rFonts w:hint="eastAsia" w:ascii="Times New Roman" w:hAnsi="宋体" w:eastAsia="宋体" w:cs="Times New Roman"/>
          <w:b/>
          <w:bCs w:val="0"/>
          <w:color w:val="auto"/>
          <w:kern w:val="2"/>
          <w:sz w:val="28"/>
          <w:szCs w:val="36"/>
          <w:highlight w:val="none"/>
          <w:lang w:val="en-US" w:eastAsia="zh-CN" w:bidi="ar-SA"/>
        </w:rPr>
        <w:t>技术培训的方案和措施</w:t>
      </w:r>
      <w:r>
        <w:rPr>
          <w:rFonts w:hint="eastAsia" w:ascii="Times New Roman" w:hAnsi="宋体" w:eastAsia="宋体" w:cs="Times New Roman"/>
          <w:b/>
          <w:bCs w:val="0"/>
          <w:color w:val="auto"/>
          <w:kern w:val="2"/>
          <w:sz w:val="28"/>
          <w:szCs w:val="36"/>
          <w:highlight w:val="none"/>
          <w:lang w:val="zh-CN" w:eastAsia="zh-CN" w:bidi="ar-SA"/>
        </w:rPr>
        <w:t>（</w:t>
      </w:r>
      <w:r>
        <w:rPr>
          <w:rFonts w:hint="eastAsia" w:ascii="Times New Roman" w:hAnsi="宋体" w:eastAsia="宋体" w:cs="Times New Roman"/>
          <w:b/>
          <w:bCs w:val="0"/>
          <w:color w:val="auto"/>
          <w:kern w:val="2"/>
          <w:sz w:val="28"/>
          <w:szCs w:val="36"/>
          <w:highlight w:val="none"/>
          <w:lang w:val="en-US" w:eastAsia="zh-CN" w:bidi="ar-SA"/>
        </w:rPr>
        <w:t>格式自拟</w:t>
      </w:r>
      <w:r>
        <w:rPr>
          <w:rFonts w:hint="eastAsia" w:ascii="Times New Roman" w:hAnsi="宋体" w:eastAsia="宋体" w:cs="Times New Roman"/>
          <w:b/>
          <w:bCs w:val="0"/>
          <w:color w:val="auto"/>
          <w:kern w:val="2"/>
          <w:sz w:val="28"/>
          <w:szCs w:val="36"/>
          <w:highlight w:val="none"/>
          <w:lang w:val="zh-CN" w:eastAsia="zh-CN" w:bidi="ar-SA"/>
        </w:rPr>
        <w:t>）</w:t>
      </w:r>
    </w:p>
    <w:p>
      <w:pPr>
        <w:pStyle w:val="3"/>
        <w:numPr>
          <w:ilvl w:val="0"/>
          <w:numId w:val="16"/>
        </w:numPr>
        <w:tabs>
          <w:tab w:val="left" w:pos="840"/>
        </w:tabs>
        <w:spacing w:before="0" w:after="156" w:afterLines="50" w:line="400" w:lineRule="exact"/>
        <w:jc w:val="center"/>
        <w:rPr>
          <w:rFonts w:ascii="Times New Roman" w:hAnsi="Times New Roman"/>
          <w:b/>
          <w:color w:val="auto"/>
          <w:sz w:val="30"/>
          <w:szCs w:val="30"/>
          <w:highlight w:val="none"/>
        </w:rPr>
      </w:pPr>
      <w:r>
        <w:rPr>
          <w:rFonts w:ascii="Times New Roman" w:hAnsi="Times New Roman"/>
          <w:b/>
          <w:color w:val="auto"/>
          <w:sz w:val="30"/>
          <w:szCs w:val="30"/>
          <w:highlight w:val="none"/>
        </w:rPr>
        <w:br w:type="page"/>
      </w:r>
      <w:r>
        <w:rPr>
          <w:rFonts w:hint="eastAsia" w:ascii="Cambria" w:hAnsi="宋体" w:eastAsia="宋体" w:cs="Times New Roman"/>
          <w:b/>
          <w:bCs/>
          <w:color w:val="auto"/>
          <w:kern w:val="2"/>
          <w:sz w:val="28"/>
          <w:szCs w:val="36"/>
          <w:highlight w:val="none"/>
          <w:lang w:val="en-US" w:eastAsia="zh-CN" w:bidi="ar-SA"/>
        </w:rPr>
        <w:t>随机标准附件、备品备件、零配件、专用工具清单配备一览表</w:t>
      </w:r>
    </w:p>
    <w:p>
      <w:pPr>
        <w:spacing w:line="400" w:lineRule="atLeast"/>
        <w:rPr>
          <w:rFonts w:ascii="宋体" w:hAnsi="宋体"/>
          <w:color w:val="auto"/>
          <w:szCs w:val="21"/>
          <w:highlight w:val="none"/>
        </w:rPr>
      </w:pPr>
      <w:r>
        <w:rPr>
          <w:rFonts w:hint="eastAsia" w:ascii="宋体" w:hAnsi="宋体"/>
          <w:b/>
          <w:color w:val="auto"/>
          <w:szCs w:val="21"/>
          <w:highlight w:val="none"/>
        </w:rPr>
        <w:t>项目编号：</w:t>
      </w:r>
    </w:p>
    <w:tbl>
      <w:tblPr>
        <w:tblStyle w:val="3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026"/>
        <w:gridCol w:w="2250"/>
        <w:gridCol w:w="1349"/>
        <w:gridCol w:w="1243"/>
        <w:gridCol w:w="81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678" w:type="dxa"/>
            <w:noWrap w:val="0"/>
            <w:vAlign w:val="center"/>
          </w:tcPr>
          <w:p>
            <w:pPr>
              <w:spacing w:line="400" w:lineRule="atLeast"/>
              <w:jc w:val="center"/>
              <w:rPr>
                <w:rFonts w:ascii="宋体" w:hAnsi="Calibri" w:eastAsia="宋体" w:cs="Times New Roman"/>
                <w:b/>
                <w:bCs/>
                <w:color w:val="auto"/>
                <w:highlight w:val="none"/>
              </w:rPr>
            </w:pPr>
            <w:r>
              <w:rPr>
                <w:rFonts w:hint="eastAsia" w:ascii="宋体" w:hAnsi="Calibri" w:eastAsia="宋体" w:cs="Times New Roman"/>
                <w:b/>
                <w:bCs/>
                <w:color w:val="auto"/>
                <w:highlight w:val="none"/>
              </w:rPr>
              <w:t>序号</w:t>
            </w:r>
          </w:p>
        </w:tc>
        <w:tc>
          <w:tcPr>
            <w:tcW w:w="2026" w:type="dxa"/>
            <w:noWrap w:val="0"/>
            <w:vAlign w:val="center"/>
          </w:tcPr>
          <w:p>
            <w:pPr>
              <w:spacing w:line="400" w:lineRule="atLeast"/>
              <w:jc w:val="center"/>
              <w:rPr>
                <w:rFonts w:hint="eastAsia" w:ascii="宋体" w:hAnsi="Times New Roman" w:eastAsia="宋体" w:cs="Times New Roman"/>
                <w:b/>
                <w:bCs/>
                <w:color w:val="auto"/>
                <w:highlight w:val="none"/>
              </w:rPr>
            </w:pPr>
            <w:r>
              <w:rPr>
                <w:rFonts w:hint="eastAsia" w:ascii="宋体" w:hAnsi="Times New Roman" w:eastAsia="宋体" w:cs="Times New Roman"/>
                <w:b/>
                <w:bCs/>
                <w:color w:val="auto"/>
                <w:highlight w:val="none"/>
              </w:rPr>
              <w:t>名称</w:t>
            </w:r>
          </w:p>
        </w:tc>
        <w:tc>
          <w:tcPr>
            <w:tcW w:w="2250" w:type="dxa"/>
            <w:noWrap w:val="0"/>
            <w:vAlign w:val="center"/>
          </w:tcPr>
          <w:p>
            <w:pPr>
              <w:spacing w:line="400" w:lineRule="atLeast"/>
              <w:jc w:val="center"/>
              <w:rPr>
                <w:rFonts w:hint="eastAsia" w:ascii="宋体" w:hAnsi="Times New Roman" w:eastAsia="宋体" w:cs="Times New Roman"/>
                <w:b/>
                <w:bCs/>
                <w:color w:val="auto"/>
                <w:highlight w:val="none"/>
              </w:rPr>
            </w:pPr>
            <w:r>
              <w:rPr>
                <w:rFonts w:hint="eastAsia" w:ascii="宋体" w:hAnsi="Times New Roman" w:eastAsia="宋体" w:cs="Times New Roman"/>
                <w:b/>
                <w:bCs/>
                <w:color w:val="auto"/>
                <w:highlight w:val="none"/>
              </w:rPr>
              <w:t>主要技术指标</w:t>
            </w:r>
          </w:p>
        </w:tc>
        <w:tc>
          <w:tcPr>
            <w:tcW w:w="1349" w:type="dxa"/>
            <w:noWrap w:val="0"/>
            <w:vAlign w:val="center"/>
          </w:tcPr>
          <w:p>
            <w:pPr>
              <w:spacing w:line="400" w:lineRule="atLeast"/>
              <w:jc w:val="center"/>
              <w:rPr>
                <w:rFonts w:hint="eastAsia" w:ascii="宋体" w:hAnsi="Times New Roman" w:eastAsia="宋体" w:cs="Times New Roman"/>
                <w:b/>
                <w:bCs/>
                <w:color w:val="auto"/>
                <w:highlight w:val="none"/>
              </w:rPr>
            </w:pPr>
            <w:r>
              <w:rPr>
                <w:rFonts w:hint="eastAsia" w:ascii="宋体" w:hAnsi="Times New Roman" w:eastAsia="宋体" w:cs="Times New Roman"/>
                <w:b/>
                <w:bCs/>
                <w:color w:val="auto"/>
                <w:highlight w:val="none"/>
              </w:rPr>
              <w:t>规格型号</w:t>
            </w:r>
          </w:p>
        </w:tc>
        <w:tc>
          <w:tcPr>
            <w:tcW w:w="1243" w:type="dxa"/>
            <w:noWrap w:val="0"/>
            <w:vAlign w:val="center"/>
          </w:tcPr>
          <w:p>
            <w:pPr>
              <w:spacing w:line="400" w:lineRule="atLeast"/>
              <w:jc w:val="center"/>
              <w:rPr>
                <w:rFonts w:hint="eastAsia" w:ascii="宋体" w:hAnsi="Times New Roman" w:eastAsia="宋体" w:cs="Times New Roman"/>
                <w:b/>
                <w:bCs/>
                <w:color w:val="auto"/>
                <w:highlight w:val="none"/>
              </w:rPr>
            </w:pPr>
            <w:r>
              <w:rPr>
                <w:rFonts w:hint="eastAsia" w:ascii="宋体" w:hAnsi="Times New Roman" w:eastAsia="宋体" w:cs="Times New Roman"/>
                <w:b/>
                <w:bCs/>
                <w:color w:val="auto"/>
                <w:highlight w:val="none"/>
              </w:rPr>
              <w:t>品牌/产地</w:t>
            </w:r>
          </w:p>
        </w:tc>
        <w:tc>
          <w:tcPr>
            <w:tcW w:w="812" w:type="dxa"/>
            <w:noWrap w:val="0"/>
            <w:vAlign w:val="center"/>
          </w:tcPr>
          <w:p>
            <w:pPr>
              <w:spacing w:line="400" w:lineRule="atLeast"/>
              <w:jc w:val="center"/>
              <w:rPr>
                <w:rFonts w:hint="eastAsia" w:ascii="宋体" w:hAnsi="Times New Roman" w:eastAsia="宋体" w:cs="Times New Roman"/>
                <w:b/>
                <w:bCs/>
                <w:color w:val="auto"/>
                <w:highlight w:val="none"/>
              </w:rPr>
            </w:pPr>
            <w:r>
              <w:rPr>
                <w:rFonts w:hint="eastAsia" w:ascii="宋体" w:hAnsi="Times New Roman" w:eastAsia="宋体" w:cs="Times New Roman"/>
                <w:b/>
                <w:bCs/>
                <w:color w:val="auto"/>
                <w:highlight w:val="none"/>
              </w:rPr>
              <w:t>数量</w:t>
            </w:r>
          </w:p>
        </w:tc>
        <w:tc>
          <w:tcPr>
            <w:tcW w:w="930" w:type="dxa"/>
            <w:noWrap w:val="0"/>
            <w:vAlign w:val="center"/>
          </w:tcPr>
          <w:p>
            <w:pPr>
              <w:spacing w:line="400" w:lineRule="atLeast"/>
              <w:jc w:val="center"/>
              <w:rPr>
                <w:rFonts w:hint="eastAsia" w:ascii="宋体" w:hAnsi="Times New Roman" w:eastAsia="宋体" w:cs="Times New Roman"/>
                <w:b/>
                <w:bCs/>
                <w:color w:val="auto"/>
                <w:highlight w:val="none"/>
              </w:rPr>
            </w:pPr>
            <w:r>
              <w:rPr>
                <w:rFonts w:hint="eastAsia" w:ascii="宋体" w:hAnsi="Times New Roman" w:eastAsia="宋体" w:cs="Times New Roman"/>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678" w:type="dxa"/>
            <w:noWrap w:val="0"/>
            <w:vAlign w:val="center"/>
          </w:tcPr>
          <w:p>
            <w:pPr>
              <w:spacing w:line="400" w:lineRule="atLeast"/>
              <w:ind w:firstLine="592"/>
              <w:jc w:val="center"/>
              <w:rPr>
                <w:rFonts w:ascii="宋体" w:hAnsi="Calibri" w:eastAsia="宋体" w:cs="Times New Roman"/>
                <w:color w:val="auto"/>
                <w:highlight w:val="none"/>
              </w:rPr>
            </w:pPr>
          </w:p>
        </w:tc>
        <w:tc>
          <w:tcPr>
            <w:tcW w:w="2026" w:type="dxa"/>
            <w:noWrap w:val="0"/>
            <w:vAlign w:val="center"/>
          </w:tcPr>
          <w:p>
            <w:pPr>
              <w:spacing w:line="400" w:lineRule="atLeast"/>
              <w:ind w:firstLine="592"/>
              <w:jc w:val="center"/>
              <w:rPr>
                <w:rFonts w:ascii="宋体" w:hAnsi="Calibri" w:eastAsia="宋体" w:cs="Times New Roman"/>
                <w:color w:val="auto"/>
                <w:highlight w:val="none"/>
              </w:rPr>
            </w:pPr>
          </w:p>
        </w:tc>
        <w:tc>
          <w:tcPr>
            <w:tcW w:w="2250" w:type="dxa"/>
            <w:noWrap w:val="0"/>
            <w:vAlign w:val="center"/>
          </w:tcPr>
          <w:p>
            <w:pPr>
              <w:spacing w:line="400" w:lineRule="atLeast"/>
              <w:ind w:firstLine="592"/>
              <w:jc w:val="center"/>
              <w:rPr>
                <w:rFonts w:ascii="宋体" w:hAnsi="Calibri" w:eastAsia="宋体" w:cs="Times New Roman"/>
                <w:color w:val="auto"/>
                <w:highlight w:val="none"/>
              </w:rPr>
            </w:pPr>
          </w:p>
        </w:tc>
        <w:tc>
          <w:tcPr>
            <w:tcW w:w="1349" w:type="dxa"/>
            <w:noWrap w:val="0"/>
            <w:vAlign w:val="center"/>
          </w:tcPr>
          <w:p>
            <w:pPr>
              <w:spacing w:line="400" w:lineRule="atLeast"/>
              <w:ind w:firstLine="592"/>
              <w:jc w:val="center"/>
              <w:rPr>
                <w:rFonts w:ascii="宋体" w:hAnsi="Calibri" w:eastAsia="宋体" w:cs="Times New Roman"/>
                <w:color w:val="auto"/>
                <w:highlight w:val="none"/>
              </w:rPr>
            </w:pPr>
          </w:p>
        </w:tc>
        <w:tc>
          <w:tcPr>
            <w:tcW w:w="1243" w:type="dxa"/>
            <w:noWrap w:val="0"/>
            <w:vAlign w:val="center"/>
          </w:tcPr>
          <w:p>
            <w:pPr>
              <w:spacing w:line="400" w:lineRule="atLeast"/>
              <w:ind w:firstLine="592"/>
              <w:jc w:val="center"/>
              <w:rPr>
                <w:rFonts w:ascii="宋体" w:hAnsi="Calibri" w:eastAsia="宋体" w:cs="Times New Roman"/>
                <w:color w:val="auto"/>
                <w:highlight w:val="none"/>
              </w:rPr>
            </w:pPr>
          </w:p>
        </w:tc>
        <w:tc>
          <w:tcPr>
            <w:tcW w:w="812" w:type="dxa"/>
            <w:noWrap w:val="0"/>
            <w:vAlign w:val="center"/>
          </w:tcPr>
          <w:p>
            <w:pPr>
              <w:spacing w:line="400" w:lineRule="atLeast"/>
              <w:ind w:firstLine="592"/>
              <w:jc w:val="center"/>
              <w:rPr>
                <w:rFonts w:ascii="宋体" w:hAnsi="Calibri" w:eastAsia="宋体" w:cs="Times New Roman"/>
                <w:color w:val="auto"/>
                <w:highlight w:val="none"/>
              </w:rPr>
            </w:pPr>
          </w:p>
        </w:tc>
        <w:tc>
          <w:tcPr>
            <w:tcW w:w="930" w:type="dxa"/>
            <w:noWrap w:val="0"/>
            <w:vAlign w:val="center"/>
          </w:tcPr>
          <w:p>
            <w:pPr>
              <w:spacing w:line="400" w:lineRule="atLeast"/>
              <w:ind w:firstLine="592"/>
              <w:jc w:val="center"/>
              <w:rPr>
                <w:rFonts w:ascii="宋体" w:hAnsi="Calibri" w:eastAsia="宋体" w:cs="Times New Roman"/>
                <w:color w:val="auto"/>
                <w:highlight w:val="none"/>
              </w:rPr>
            </w:pPr>
          </w:p>
        </w:tc>
      </w:tr>
    </w:tbl>
    <w:p>
      <w:pPr>
        <w:pStyle w:val="6"/>
        <w:spacing w:line="276" w:lineRule="auto"/>
        <w:ind w:firstLine="0"/>
        <w:rPr>
          <w:rFonts w:ascii="宋体" w:hAnsi="宋体" w:cs="Arial"/>
          <w:color w:val="auto"/>
          <w:highlight w:val="none"/>
        </w:rPr>
      </w:pPr>
      <w:r>
        <w:rPr>
          <w:rFonts w:hint="eastAsia" w:ascii="宋体" w:hAnsi="宋体"/>
          <w:color w:val="auto"/>
          <w:highlight w:val="none"/>
        </w:rPr>
        <w:t>注：</w:t>
      </w:r>
      <w:r>
        <w:rPr>
          <w:rFonts w:hint="eastAsia" w:ascii="宋体" w:hAnsi="宋体"/>
          <w:color w:val="auto"/>
          <w:highlight w:val="none"/>
        </w:rPr>
        <w:tab/>
      </w:r>
      <w:r>
        <w:rPr>
          <w:rFonts w:ascii="宋体" w:hAnsi="宋体" w:cs="Arial"/>
          <w:color w:val="auto"/>
          <w:highlight w:val="none"/>
        </w:rPr>
        <w:t>1. 本表所列</w:t>
      </w:r>
      <w:r>
        <w:rPr>
          <w:rFonts w:hint="eastAsia" w:ascii="宋体" w:hAnsi="宋体" w:cs="Arial"/>
          <w:color w:val="auto"/>
          <w:highlight w:val="none"/>
        </w:rPr>
        <w:t>清单，</w:t>
      </w:r>
      <w:r>
        <w:rPr>
          <w:rFonts w:hint="eastAsia" w:ascii="宋体" w:hAnsi="宋体" w:cs="Arial"/>
          <w:color w:val="auto"/>
          <w:highlight w:val="none"/>
          <w:lang w:val="en-US" w:eastAsia="zh-CN"/>
        </w:rPr>
        <w:t>其</w:t>
      </w:r>
      <w:r>
        <w:rPr>
          <w:rFonts w:ascii="宋体" w:hAnsi="宋体" w:cs="Arial"/>
          <w:color w:val="auto"/>
          <w:highlight w:val="none"/>
        </w:rPr>
        <w:t>价格</w:t>
      </w:r>
      <w:r>
        <w:rPr>
          <w:rFonts w:hint="eastAsia" w:ascii="宋体" w:hAnsi="宋体" w:cs="Arial"/>
          <w:color w:val="auto"/>
          <w:highlight w:val="none"/>
          <w:lang w:val="en-US" w:eastAsia="zh-CN"/>
        </w:rPr>
        <w:t>包含在</w:t>
      </w:r>
      <w:r>
        <w:rPr>
          <w:rFonts w:hint="eastAsia" w:ascii="宋体" w:hAnsi="宋体" w:cs="Arial"/>
          <w:color w:val="auto"/>
          <w:highlight w:val="none"/>
        </w:rPr>
        <w:t>投标报价</w:t>
      </w:r>
      <w:r>
        <w:rPr>
          <w:rFonts w:hint="eastAsia" w:ascii="宋体" w:hAnsi="宋体" w:cs="Arial"/>
          <w:color w:val="auto"/>
          <w:highlight w:val="none"/>
          <w:lang w:val="en-US" w:eastAsia="zh-CN"/>
        </w:rPr>
        <w:t>中</w:t>
      </w:r>
      <w:r>
        <w:rPr>
          <w:rFonts w:hint="eastAsia" w:ascii="宋体" w:hAnsi="宋体" w:cs="Arial"/>
          <w:color w:val="auto"/>
          <w:highlight w:val="none"/>
        </w:rPr>
        <w:t>。</w:t>
      </w:r>
    </w:p>
    <w:p>
      <w:pPr>
        <w:rPr>
          <w:rFonts w:ascii="宋体" w:hAnsi="宋体" w:cs="Arial"/>
          <w:color w:val="auto"/>
          <w:highlight w:val="none"/>
        </w:rPr>
      </w:pPr>
      <w:r>
        <w:rPr>
          <w:rFonts w:hint="eastAsia" w:ascii="宋体" w:hAnsi="宋体" w:cs="Arial"/>
          <w:color w:val="auto"/>
          <w:highlight w:val="none"/>
          <w:lang w:val="en-US" w:eastAsia="zh-CN"/>
        </w:rPr>
        <w:t>2</w:t>
      </w:r>
      <w:r>
        <w:rPr>
          <w:rFonts w:ascii="宋体" w:hAnsi="宋体" w:cs="Arial"/>
          <w:color w:val="auto"/>
          <w:highlight w:val="none"/>
        </w:rPr>
        <w:t>. 此表仅提供了表格形式，</w:t>
      </w:r>
      <w:r>
        <w:rPr>
          <w:rFonts w:hint="eastAsia" w:ascii="宋体" w:hAnsi="宋体" w:cs="Arial"/>
          <w:color w:val="auto"/>
          <w:highlight w:val="none"/>
          <w:lang w:val="en-US" w:eastAsia="zh-CN"/>
        </w:rPr>
        <w:t>投标人</w:t>
      </w:r>
      <w:r>
        <w:rPr>
          <w:rFonts w:ascii="宋体" w:hAnsi="宋体" w:cs="Arial"/>
          <w:color w:val="auto"/>
          <w:highlight w:val="none"/>
        </w:rPr>
        <w:t>应根据需要准备足够数量的表格来填写。</w:t>
      </w: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w:t>
      </w:r>
      <w:r>
        <w:rPr>
          <w:rFonts w:hint="eastAsia" w:ascii="宋体" w:hAnsi="宋体" w:eastAsia="宋体" w:cs="宋体"/>
          <w:color w:val="auto"/>
          <w:sz w:val="21"/>
          <w:szCs w:val="21"/>
          <w:highlight w:val="none"/>
        </w:rPr>
        <w:t>电子签名</w:t>
      </w:r>
      <w:r>
        <w:rPr>
          <w:rFonts w:hint="eastAsia" w:ascii="宋体" w:hAnsi="宋体" w:eastAsia="宋体" w:cs="宋体"/>
          <w:color w:val="auto"/>
          <w:sz w:val="21"/>
          <w:szCs w:val="21"/>
          <w:highlight w:val="none"/>
          <w:lang w:val="en-US" w:eastAsia="zh-CN"/>
        </w:rPr>
        <w:t>或公章</w:t>
      </w:r>
      <w:r>
        <w:rPr>
          <w:rFonts w:hint="eastAsia" w:ascii="宋体" w:hAnsi="宋体" w:eastAsia="宋体" w:cs="宋体"/>
          <w:color w:val="auto"/>
          <w:kern w:val="0"/>
          <w:sz w:val="21"/>
          <w:szCs w:val="21"/>
          <w:highlight w:val="none"/>
          <w:lang w:val="zh-CN"/>
        </w:rPr>
        <w:t xml:space="preserve">）：                                                                                                                                                                                                               </w:t>
      </w:r>
    </w:p>
    <w:p>
      <w:pPr>
        <w:spacing w:line="360" w:lineRule="auto"/>
        <w:ind w:left="4620" w:leftChars="2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 xml:space="preserve">   年   月   日</w:t>
      </w:r>
    </w:p>
    <w:p>
      <w:pPr>
        <w:pStyle w:val="34"/>
        <w:rPr>
          <w:color w:val="auto"/>
          <w:highlight w:val="none"/>
        </w:rPr>
        <w:sectPr>
          <w:pgSz w:w="11906" w:h="16838"/>
          <w:pgMar w:top="1276" w:right="1418" w:bottom="1247" w:left="1418" w:header="851" w:footer="992" w:gutter="0"/>
          <w:pgNumType w:fmt="numberInDash"/>
          <w:cols w:space="720" w:num="1"/>
          <w:titlePg/>
          <w:docGrid w:linePitch="312" w:charSpace="0"/>
        </w:sectPr>
      </w:pPr>
    </w:p>
    <w:p>
      <w:pPr>
        <w:pStyle w:val="3"/>
        <w:numPr>
          <w:ilvl w:val="0"/>
          <w:numId w:val="16"/>
        </w:numPr>
        <w:tabs>
          <w:tab w:val="left" w:pos="840"/>
        </w:tabs>
        <w:spacing w:before="0" w:after="156" w:afterLines="50" w:line="400" w:lineRule="exact"/>
        <w:jc w:val="center"/>
        <w:rPr>
          <w:rFonts w:ascii="Times New Roman" w:hAnsi="Times New Roman"/>
          <w:b/>
          <w:color w:val="auto"/>
          <w:sz w:val="30"/>
          <w:szCs w:val="30"/>
          <w:highlight w:val="none"/>
        </w:rPr>
      </w:pPr>
      <w:r>
        <w:rPr>
          <w:rFonts w:ascii="Times New Roman" w:hAnsi="Times New Roman"/>
          <w:b/>
          <w:color w:val="auto"/>
          <w:sz w:val="30"/>
          <w:szCs w:val="30"/>
          <w:highlight w:val="none"/>
        </w:rPr>
        <w:t>运行成本列表</w:t>
      </w:r>
    </w:p>
    <w:p>
      <w:pPr>
        <w:spacing w:line="400" w:lineRule="atLeast"/>
        <w:rPr>
          <w:rFonts w:ascii="宋体" w:hAnsi="宋体"/>
          <w:color w:val="auto"/>
          <w:szCs w:val="21"/>
          <w:highlight w:val="none"/>
        </w:rPr>
      </w:pPr>
      <w:r>
        <w:rPr>
          <w:rFonts w:hint="eastAsia" w:ascii="宋体" w:hAnsi="宋体"/>
          <w:b/>
          <w:color w:val="auto"/>
          <w:szCs w:val="21"/>
          <w:highlight w:val="none"/>
        </w:rPr>
        <w:t>项目编号：</w:t>
      </w:r>
    </w:p>
    <w:tbl>
      <w:tblPr>
        <w:tblStyle w:val="37"/>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374"/>
        <w:gridCol w:w="1490"/>
        <w:gridCol w:w="1019"/>
        <w:gridCol w:w="1758"/>
        <w:gridCol w:w="94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94" w:type="dxa"/>
            <w:noWrap w:val="0"/>
            <w:vAlign w:val="center"/>
          </w:tcPr>
          <w:p>
            <w:pPr>
              <w:spacing w:line="400" w:lineRule="atLeast"/>
              <w:jc w:val="center"/>
              <w:rPr>
                <w:rFonts w:ascii="宋体" w:hAnsi="Calibri" w:eastAsia="宋体" w:cs="Times New Roman"/>
                <w:b/>
                <w:bCs/>
                <w:color w:val="auto"/>
                <w:highlight w:val="none"/>
              </w:rPr>
            </w:pPr>
            <w:r>
              <w:rPr>
                <w:rFonts w:hint="eastAsia" w:ascii="宋体" w:hAnsi="Calibri" w:eastAsia="宋体" w:cs="Times New Roman"/>
                <w:b/>
                <w:bCs/>
                <w:color w:val="auto"/>
                <w:highlight w:val="none"/>
              </w:rPr>
              <w:t>序号</w:t>
            </w:r>
          </w:p>
        </w:tc>
        <w:tc>
          <w:tcPr>
            <w:tcW w:w="2374" w:type="dxa"/>
            <w:noWrap w:val="0"/>
            <w:vAlign w:val="center"/>
          </w:tcPr>
          <w:p>
            <w:pPr>
              <w:spacing w:line="400" w:lineRule="atLeast"/>
              <w:jc w:val="center"/>
              <w:rPr>
                <w:rFonts w:hint="eastAsia" w:ascii="宋体" w:hAnsi="Times New Roman" w:eastAsia="宋体" w:cs="Times New Roman"/>
                <w:b/>
                <w:bCs/>
                <w:color w:val="auto"/>
                <w:highlight w:val="none"/>
              </w:rPr>
            </w:pPr>
            <w:r>
              <w:rPr>
                <w:rFonts w:hint="eastAsia" w:ascii="宋体" w:hAnsi="Times New Roman" w:eastAsia="宋体" w:cs="Times New Roman"/>
                <w:b/>
                <w:bCs/>
                <w:color w:val="auto"/>
                <w:highlight w:val="none"/>
              </w:rPr>
              <w:t>消耗品或易耗品内容</w:t>
            </w:r>
          </w:p>
        </w:tc>
        <w:tc>
          <w:tcPr>
            <w:tcW w:w="1490" w:type="dxa"/>
            <w:noWrap w:val="0"/>
            <w:vAlign w:val="center"/>
          </w:tcPr>
          <w:p>
            <w:pPr>
              <w:spacing w:line="400" w:lineRule="atLeast"/>
              <w:jc w:val="center"/>
              <w:rPr>
                <w:rFonts w:hint="eastAsia" w:ascii="宋体" w:hAnsi="Times New Roman" w:eastAsia="宋体" w:cs="Times New Roman"/>
                <w:b/>
                <w:bCs/>
                <w:color w:val="auto"/>
                <w:highlight w:val="none"/>
              </w:rPr>
            </w:pPr>
            <w:r>
              <w:rPr>
                <w:rFonts w:ascii="宋体" w:hAnsi="Times New Roman" w:eastAsia="宋体" w:cs="Times New Roman"/>
                <w:b/>
                <w:bCs/>
                <w:color w:val="auto"/>
                <w:highlight w:val="none"/>
              </w:rPr>
              <w:t>型号和规格</w:t>
            </w:r>
          </w:p>
        </w:tc>
        <w:tc>
          <w:tcPr>
            <w:tcW w:w="1019" w:type="dxa"/>
            <w:noWrap w:val="0"/>
            <w:vAlign w:val="center"/>
          </w:tcPr>
          <w:p>
            <w:pPr>
              <w:spacing w:line="400" w:lineRule="atLeast"/>
              <w:jc w:val="center"/>
              <w:rPr>
                <w:rFonts w:hint="eastAsia" w:ascii="宋体" w:hAnsi="Times New Roman" w:eastAsia="宋体" w:cs="Times New Roman"/>
                <w:b/>
                <w:bCs/>
                <w:color w:val="auto"/>
                <w:highlight w:val="none"/>
              </w:rPr>
            </w:pPr>
            <w:r>
              <w:rPr>
                <w:rFonts w:ascii="宋体" w:hAnsi="Times New Roman" w:eastAsia="宋体" w:cs="Times New Roman"/>
                <w:b/>
                <w:bCs/>
                <w:color w:val="auto"/>
                <w:highlight w:val="none"/>
              </w:rPr>
              <w:t>单位</w:t>
            </w:r>
          </w:p>
        </w:tc>
        <w:tc>
          <w:tcPr>
            <w:tcW w:w="1758" w:type="dxa"/>
            <w:noWrap w:val="0"/>
            <w:vAlign w:val="center"/>
          </w:tcPr>
          <w:p>
            <w:pPr>
              <w:spacing w:line="400" w:lineRule="atLeast"/>
              <w:jc w:val="center"/>
              <w:rPr>
                <w:rFonts w:hint="eastAsia" w:ascii="宋体" w:hAnsi="Times New Roman" w:eastAsia="宋体" w:cs="Times New Roman"/>
                <w:b/>
                <w:bCs/>
                <w:color w:val="auto"/>
                <w:highlight w:val="none"/>
              </w:rPr>
            </w:pPr>
            <w:r>
              <w:rPr>
                <w:rFonts w:ascii="宋体" w:hAnsi="Times New Roman" w:eastAsia="宋体" w:cs="Times New Roman"/>
                <w:b/>
                <w:bCs/>
                <w:color w:val="auto"/>
                <w:highlight w:val="none"/>
              </w:rPr>
              <w:t>制造商/产地/品牌</w:t>
            </w:r>
          </w:p>
        </w:tc>
        <w:tc>
          <w:tcPr>
            <w:tcW w:w="949" w:type="dxa"/>
            <w:noWrap w:val="0"/>
            <w:vAlign w:val="center"/>
          </w:tcPr>
          <w:p>
            <w:pPr>
              <w:spacing w:line="400" w:lineRule="atLeast"/>
              <w:jc w:val="center"/>
              <w:rPr>
                <w:rFonts w:hint="eastAsia" w:ascii="宋体" w:hAnsi="Times New Roman" w:eastAsia="宋体" w:cs="Times New Roman"/>
                <w:b/>
                <w:bCs/>
                <w:color w:val="auto"/>
                <w:highlight w:val="none"/>
              </w:rPr>
            </w:pPr>
            <w:r>
              <w:rPr>
                <w:rFonts w:ascii="宋体" w:hAnsi="Times New Roman" w:eastAsia="宋体" w:cs="Times New Roman"/>
                <w:b/>
                <w:bCs/>
                <w:color w:val="auto"/>
                <w:highlight w:val="none"/>
              </w:rPr>
              <w:t>单价</w:t>
            </w:r>
          </w:p>
        </w:tc>
        <w:tc>
          <w:tcPr>
            <w:tcW w:w="873" w:type="dxa"/>
            <w:noWrap w:val="0"/>
            <w:vAlign w:val="center"/>
          </w:tcPr>
          <w:p>
            <w:pPr>
              <w:spacing w:line="400" w:lineRule="atLeast"/>
              <w:jc w:val="center"/>
              <w:rPr>
                <w:rFonts w:hint="eastAsia" w:ascii="宋体" w:hAnsi="Times New Roman" w:eastAsia="宋体" w:cs="Times New Roman"/>
                <w:b/>
                <w:bCs/>
                <w:color w:val="auto"/>
                <w:highlight w:val="none"/>
              </w:rPr>
            </w:pPr>
            <w:r>
              <w:rPr>
                <w:rFonts w:ascii="宋体" w:hAnsi="Times New Roman" w:eastAsia="宋体" w:cs="Times New Roman"/>
                <w:b/>
                <w:bCs/>
                <w:color w:val="auto"/>
                <w:highlight w:val="none"/>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794" w:type="dxa"/>
            <w:noWrap w:val="0"/>
            <w:vAlign w:val="center"/>
          </w:tcPr>
          <w:p>
            <w:pPr>
              <w:spacing w:line="400" w:lineRule="atLeast"/>
              <w:ind w:firstLine="592"/>
              <w:jc w:val="center"/>
              <w:rPr>
                <w:rFonts w:ascii="宋体" w:hAnsi="Calibri" w:eastAsia="宋体" w:cs="Times New Roman"/>
                <w:color w:val="auto"/>
                <w:highlight w:val="none"/>
              </w:rPr>
            </w:pPr>
          </w:p>
        </w:tc>
        <w:tc>
          <w:tcPr>
            <w:tcW w:w="2374" w:type="dxa"/>
            <w:noWrap w:val="0"/>
            <w:vAlign w:val="center"/>
          </w:tcPr>
          <w:p>
            <w:pPr>
              <w:spacing w:line="400" w:lineRule="atLeast"/>
              <w:ind w:firstLine="592"/>
              <w:jc w:val="center"/>
              <w:rPr>
                <w:rFonts w:ascii="宋体" w:hAnsi="Calibri" w:eastAsia="宋体" w:cs="Times New Roman"/>
                <w:color w:val="auto"/>
                <w:highlight w:val="none"/>
              </w:rPr>
            </w:pPr>
          </w:p>
        </w:tc>
        <w:tc>
          <w:tcPr>
            <w:tcW w:w="1490" w:type="dxa"/>
            <w:noWrap w:val="0"/>
            <w:vAlign w:val="center"/>
          </w:tcPr>
          <w:p>
            <w:pPr>
              <w:spacing w:line="400" w:lineRule="atLeast"/>
              <w:ind w:firstLine="592"/>
              <w:jc w:val="center"/>
              <w:rPr>
                <w:rFonts w:ascii="宋体" w:hAnsi="Calibri" w:eastAsia="宋体" w:cs="Times New Roman"/>
                <w:color w:val="auto"/>
                <w:highlight w:val="none"/>
              </w:rPr>
            </w:pPr>
          </w:p>
        </w:tc>
        <w:tc>
          <w:tcPr>
            <w:tcW w:w="1019" w:type="dxa"/>
            <w:noWrap w:val="0"/>
            <w:vAlign w:val="center"/>
          </w:tcPr>
          <w:p>
            <w:pPr>
              <w:spacing w:line="400" w:lineRule="atLeast"/>
              <w:ind w:firstLine="592"/>
              <w:jc w:val="center"/>
              <w:rPr>
                <w:rFonts w:ascii="宋体" w:hAnsi="Calibri" w:eastAsia="宋体" w:cs="Times New Roman"/>
                <w:color w:val="auto"/>
                <w:highlight w:val="none"/>
              </w:rPr>
            </w:pPr>
          </w:p>
        </w:tc>
        <w:tc>
          <w:tcPr>
            <w:tcW w:w="1758" w:type="dxa"/>
            <w:noWrap w:val="0"/>
            <w:vAlign w:val="center"/>
          </w:tcPr>
          <w:p>
            <w:pPr>
              <w:spacing w:line="400" w:lineRule="atLeast"/>
              <w:ind w:firstLine="592"/>
              <w:jc w:val="center"/>
              <w:rPr>
                <w:rFonts w:ascii="宋体" w:hAnsi="Calibri" w:eastAsia="宋体" w:cs="Times New Roman"/>
                <w:color w:val="auto"/>
                <w:highlight w:val="none"/>
              </w:rPr>
            </w:pPr>
          </w:p>
        </w:tc>
        <w:tc>
          <w:tcPr>
            <w:tcW w:w="949" w:type="dxa"/>
            <w:noWrap w:val="0"/>
            <w:vAlign w:val="center"/>
          </w:tcPr>
          <w:p>
            <w:pPr>
              <w:spacing w:line="400" w:lineRule="atLeast"/>
              <w:ind w:firstLine="592"/>
              <w:jc w:val="center"/>
              <w:rPr>
                <w:rFonts w:ascii="宋体" w:hAnsi="Calibri" w:eastAsia="宋体" w:cs="Times New Roman"/>
                <w:color w:val="auto"/>
                <w:highlight w:val="none"/>
              </w:rPr>
            </w:pPr>
          </w:p>
        </w:tc>
        <w:tc>
          <w:tcPr>
            <w:tcW w:w="873" w:type="dxa"/>
            <w:noWrap w:val="0"/>
            <w:vAlign w:val="center"/>
          </w:tcPr>
          <w:p>
            <w:pPr>
              <w:spacing w:line="400" w:lineRule="atLeast"/>
              <w:ind w:firstLine="592"/>
              <w:jc w:val="center"/>
              <w:rPr>
                <w:rFonts w:ascii="宋体" w:hAnsi="Calibri" w:eastAsia="宋体" w:cs="Times New Roman"/>
                <w:color w:val="auto"/>
                <w:highlight w:val="none"/>
              </w:rPr>
            </w:pPr>
          </w:p>
        </w:tc>
      </w:tr>
    </w:tbl>
    <w:p>
      <w:pPr>
        <w:pStyle w:val="6"/>
        <w:spacing w:line="276" w:lineRule="auto"/>
        <w:ind w:firstLine="0"/>
        <w:rPr>
          <w:rFonts w:ascii="宋体" w:hAnsi="宋体" w:cs="Arial"/>
          <w:color w:val="auto"/>
          <w:highlight w:val="none"/>
        </w:rPr>
      </w:pPr>
      <w:r>
        <w:rPr>
          <w:rFonts w:hint="eastAsia" w:ascii="宋体" w:hAnsi="宋体"/>
          <w:color w:val="auto"/>
          <w:highlight w:val="none"/>
        </w:rPr>
        <w:t>注：</w:t>
      </w:r>
      <w:r>
        <w:rPr>
          <w:rFonts w:ascii="宋体" w:hAnsi="宋体" w:cs="Arial"/>
          <w:color w:val="auto"/>
          <w:highlight w:val="none"/>
        </w:rPr>
        <w:t xml:space="preserve"> 此表仅提供了表格形式，</w:t>
      </w:r>
      <w:r>
        <w:rPr>
          <w:rFonts w:hint="eastAsia" w:ascii="宋体" w:hAnsi="宋体" w:cs="Arial"/>
          <w:color w:val="auto"/>
          <w:highlight w:val="none"/>
          <w:lang w:val="en-US" w:eastAsia="zh-CN"/>
        </w:rPr>
        <w:t>投标人</w:t>
      </w:r>
      <w:r>
        <w:rPr>
          <w:rFonts w:ascii="宋体" w:hAnsi="宋体" w:cs="Arial"/>
          <w:color w:val="auto"/>
          <w:highlight w:val="none"/>
        </w:rPr>
        <w:t>应根据需要准备足够数量的表格来填写。</w:t>
      </w: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w:t>
      </w:r>
      <w:r>
        <w:rPr>
          <w:rFonts w:hint="eastAsia" w:ascii="宋体" w:hAnsi="宋体" w:eastAsia="宋体" w:cs="宋体"/>
          <w:color w:val="auto"/>
          <w:sz w:val="21"/>
          <w:szCs w:val="21"/>
          <w:highlight w:val="none"/>
        </w:rPr>
        <w:t>电子签名</w:t>
      </w:r>
      <w:r>
        <w:rPr>
          <w:rFonts w:hint="eastAsia" w:ascii="宋体" w:hAnsi="宋体" w:eastAsia="宋体" w:cs="宋体"/>
          <w:color w:val="auto"/>
          <w:sz w:val="21"/>
          <w:szCs w:val="21"/>
          <w:highlight w:val="none"/>
          <w:lang w:val="en-US" w:eastAsia="zh-CN"/>
        </w:rPr>
        <w:t>或公章</w:t>
      </w:r>
      <w:r>
        <w:rPr>
          <w:rFonts w:hint="eastAsia" w:ascii="宋体" w:hAnsi="宋体" w:eastAsia="宋体" w:cs="宋体"/>
          <w:color w:val="auto"/>
          <w:kern w:val="0"/>
          <w:sz w:val="21"/>
          <w:szCs w:val="21"/>
          <w:highlight w:val="none"/>
          <w:lang w:val="zh-CN"/>
        </w:rPr>
        <w:t xml:space="preserve">）：                                                                                                                                                                                                               </w:t>
      </w:r>
    </w:p>
    <w:p>
      <w:pPr>
        <w:spacing w:line="360" w:lineRule="auto"/>
        <w:ind w:left="4620" w:leftChars="2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 xml:space="preserve">   年   月   日</w:t>
      </w:r>
    </w:p>
    <w:p>
      <w:pPr>
        <w:snapToGrid w:val="0"/>
        <w:spacing w:before="50" w:after="120" w:afterLines="50" w:line="360" w:lineRule="auto"/>
        <w:jc w:val="left"/>
        <w:rPr>
          <w:rFonts w:ascii="Times New Roman" w:hAnsi="Times New Roman"/>
          <w:b/>
          <w:bCs/>
          <w:color w:val="auto"/>
          <w:sz w:val="24"/>
          <w:szCs w:val="20"/>
          <w:highlight w:val="none"/>
        </w:rPr>
      </w:pPr>
    </w:p>
    <w:p>
      <w:pPr>
        <w:pStyle w:val="3"/>
        <w:numPr>
          <w:ilvl w:val="0"/>
          <w:numId w:val="16"/>
        </w:numPr>
        <w:tabs>
          <w:tab w:val="left" w:pos="840"/>
        </w:tabs>
        <w:spacing w:before="0" w:after="156" w:afterLines="50" w:line="400" w:lineRule="exact"/>
        <w:jc w:val="center"/>
        <w:rPr>
          <w:rFonts w:hAnsi="宋体"/>
          <w:b/>
          <w:bCs w:val="0"/>
          <w:color w:val="auto"/>
          <w:sz w:val="28"/>
          <w:szCs w:val="36"/>
          <w:highlight w:val="none"/>
        </w:rPr>
      </w:pPr>
      <w:r>
        <w:rPr>
          <w:rFonts w:hint="eastAsia" w:hAnsi="宋体" w:eastAsia="宋体" w:cs="Times New Roman"/>
          <w:b/>
          <w:bCs/>
          <w:color w:val="auto"/>
          <w:sz w:val="28"/>
          <w:szCs w:val="36"/>
          <w:highlight w:val="none"/>
          <w:lang w:val="en-US" w:eastAsia="zh-CN"/>
        </w:rPr>
        <w:br w:type="page"/>
      </w:r>
      <w:r>
        <w:rPr>
          <w:rFonts w:hint="eastAsia" w:hAnsi="宋体" w:eastAsia="宋体" w:cs="Times New Roman"/>
          <w:b/>
          <w:bCs/>
          <w:color w:val="auto"/>
          <w:sz w:val="28"/>
          <w:szCs w:val="36"/>
          <w:highlight w:val="none"/>
          <w:lang w:val="en-US" w:eastAsia="zh-CN"/>
        </w:rPr>
        <w:t>维修成本:包括保修价格，维修配件价格，维修服务费价格等</w:t>
      </w:r>
    </w:p>
    <w:p>
      <w:pPr>
        <w:pStyle w:val="3"/>
        <w:numPr>
          <w:ilvl w:val="0"/>
          <w:numId w:val="0"/>
        </w:numPr>
        <w:tabs>
          <w:tab w:val="left" w:pos="840"/>
        </w:tabs>
        <w:spacing w:before="0" w:after="156" w:afterLines="50" w:line="400" w:lineRule="exact"/>
        <w:jc w:val="center"/>
        <w:rPr>
          <w:rFonts w:hAnsi="宋体"/>
          <w:b/>
          <w:bCs w:val="0"/>
          <w:color w:val="auto"/>
          <w:sz w:val="28"/>
          <w:szCs w:val="36"/>
          <w:highlight w:val="none"/>
        </w:rPr>
      </w:pPr>
      <w:r>
        <w:rPr>
          <w:rFonts w:hint="eastAsia" w:ascii="Times New Roman" w:hAnsi="宋体" w:eastAsia="宋体" w:cs="Times New Roman"/>
          <w:b/>
          <w:bCs w:val="0"/>
          <w:color w:val="auto"/>
          <w:kern w:val="2"/>
          <w:sz w:val="28"/>
          <w:szCs w:val="36"/>
          <w:highlight w:val="none"/>
          <w:lang w:val="zh-CN" w:eastAsia="zh-CN" w:bidi="ar-SA"/>
        </w:rPr>
        <w:t>（</w:t>
      </w:r>
      <w:r>
        <w:rPr>
          <w:rFonts w:hint="eastAsia" w:ascii="Times New Roman" w:hAnsi="宋体" w:eastAsia="宋体" w:cs="Times New Roman"/>
          <w:b/>
          <w:bCs w:val="0"/>
          <w:color w:val="auto"/>
          <w:kern w:val="2"/>
          <w:sz w:val="28"/>
          <w:szCs w:val="36"/>
          <w:highlight w:val="none"/>
          <w:lang w:val="en-US" w:eastAsia="zh-CN" w:bidi="ar-SA"/>
        </w:rPr>
        <w:t>格式自拟</w:t>
      </w:r>
      <w:r>
        <w:rPr>
          <w:rFonts w:hint="eastAsia" w:ascii="Times New Roman" w:hAnsi="宋体" w:eastAsia="宋体" w:cs="Times New Roman"/>
          <w:b/>
          <w:bCs w:val="0"/>
          <w:color w:val="auto"/>
          <w:kern w:val="2"/>
          <w:sz w:val="28"/>
          <w:szCs w:val="36"/>
          <w:highlight w:val="none"/>
          <w:lang w:val="zh-CN" w:eastAsia="zh-CN" w:bidi="ar-SA"/>
        </w:rPr>
        <w:t>）</w:t>
      </w:r>
    </w:p>
    <w:p>
      <w:pPr>
        <w:pStyle w:val="3"/>
        <w:numPr>
          <w:ilvl w:val="0"/>
          <w:numId w:val="16"/>
        </w:numPr>
        <w:tabs>
          <w:tab w:val="left" w:pos="840"/>
        </w:tabs>
        <w:spacing w:before="0" w:after="156" w:afterLines="50" w:line="400" w:lineRule="exact"/>
        <w:jc w:val="center"/>
        <w:rPr>
          <w:rFonts w:hAnsi="宋体"/>
          <w:b/>
          <w:bCs w:val="0"/>
          <w:color w:val="auto"/>
          <w:sz w:val="28"/>
          <w:szCs w:val="36"/>
          <w:highlight w:val="none"/>
        </w:rPr>
      </w:pPr>
      <w:r>
        <w:rPr>
          <w:rFonts w:hint="eastAsia" w:ascii="Times New Roman" w:hAnsi="宋体" w:eastAsia="宋体" w:cs="Times New Roman"/>
          <w:b/>
          <w:bCs w:val="0"/>
          <w:color w:val="auto"/>
          <w:kern w:val="2"/>
          <w:sz w:val="28"/>
          <w:szCs w:val="36"/>
          <w:highlight w:val="none"/>
          <w:lang w:val="en-US" w:eastAsia="zh-CN" w:bidi="ar-SA"/>
        </w:rPr>
        <w:br w:type="page"/>
      </w:r>
      <w:r>
        <w:rPr>
          <w:rFonts w:hint="eastAsia" w:ascii="Times New Roman" w:hAnsi="宋体" w:eastAsia="宋体" w:cs="Times New Roman"/>
          <w:b/>
          <w:bCs w:val="0"/>
          <w:color w:val="auto"/>
          <w:kern w:val="2"/>
          <w:sz w:val="28"/>
          <w:szCs w:val="36"/>
          <w:highlight w:val="none"/>
          <w:lang w:val="en-US" w:eastAsia="zh-CN" w:bidi="ar-SA"/>
        </w:rPr>
        <w:t>售后服务机构技术服务人员情况</w:t>
      </w:r>
      <w:bookmarkEnd w:id="814"/>
      <w:bookmarkEnd w:id="815"/>
      <w:bookmarkEnd w:id="816"/>
    </w:p>
    <w:p>
      <w:pPr>
        <w:spacing w:line="400" w:lineRule="atLeast"/>
        <w:jc w:val="left"/>
        <w:rPr>
          <w:rFonts w:hint="default" w:ascii="宋体" w:hAnsi="宋体" w:eastAsia="宋体" w:cs="宋体"/>
          <w:color w:val="auto"/>
          <w:szCs w:val="21"/>
          <w:highlight w:val="none"/>
          <w:lang w:val="en-US" w:eastAsia="zh-CN"/>
        </w:rPr>
      </w:pPr>
      <w:r>
        <w:rPr>
          <w:rFonts w:hint="eastAsia" w:ascii="宋体" w:hAnsi="宋体" w:cs="宋体"/>
          <w:b/>
          <w:color w:val="auto"/>
          <w:szCs w:val="21"/>
          <w:highlight w:val="none"/>
        </w:rPr>
        <w:t xml:space="preserve">项目名称：     </w:t>
      </w:r>
      <w:r>
        <w:rPr>
          <w:rFonts w:hint="eastAsia" w:ascii="宋体" w:hAnsi="宋体" w:cs="宋体"/>
          <w:b/>
          <w:color w:val="auto"/>
          <w:szCs w:val="21"/>
          <w:highlight w:val="none"/>
          <w:lang w:val="en-US" w:eastAsia="zh-CN"/>
        </w:rPr>
        <w:t xml:space="preserve">       </w:t>
      </w:r>
      <w:r>
        <w:rPr>
          <w:rFonts w:hint="eastAsia" w:ascii="宋体" w:hAnsi="宋体" w:cs="宋体"/>
          <w:b/>
          <w:color w:val="auto"/>
          <w:szCs w:val="21"/>
          <w:highlight w:val="none"/>
        </w:rPr>
        <w:t xml:space="preserve"> </w:t>
      </w:r>
      <w:r>
        <w:rPr>
          <w:rFonts w:hint="eastAsia" w:ascii="宋体" w:hAnsi="宋体" w:cs="宋体"/>
          <w:b/>
          <w:color w:val="auto"/>
          <w:szCs w:val="21"/>
          <w:highlight w:val="none"/>
          <w:lang w:val="en-US" w:eastAsia="zh-CN"/>
        </w:rPr>
        <w:t xml:space="preserve">                                       </w:t>
      </w:r>
      <w:r>
        <w:rPr>
          <w:rFonts w:hint="eastAsia" w:ascii="宋体" w:hAnsi="宋体" w:cs="宋体"/>
          <w:b/>
          <w:color w:val="auto"/>
          <w:szCs w:val="21"/>
          <w:highlight w:val="none"/>
        </w:rPr>
        <w:t>项目编号：</w:t>
      </w:r>
    </w:p>
    <w:tbl>
      <w:tblPr>
        <w:tblStyle w:val="37"/>
        <w:tblW w:w="97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071"/>
        <w:gridCol w:w="1192"/>
        <w:gridCol w:w="985"/>
        <w:gridCol w:w="985"/>
        <w:gridCol w:w="1191"/>
        <w:gridCol w:w="1285"/>
        <w:gridCol w:w="1285"/>
        <w:gridCol w:w="9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序号</w:t>
            </w:r>
          </w:p>
        </w:tc>
        <w:tc>
          <w:tcPr>
            <w:tcW w:w="1071"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姓名</w:t>
            </w:r>
          </w:p>
        </w:tc>
        <w:tc>
          <w:tcPr>
            <w:tcW w:w="1192"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性别</w:t>
            </w:r>
          </w:p>
        </w:tc>
        <w:tc>
          <w:tcPr>
            <w:tcW w:w="985"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年龄</w:t>
            </w:r>
          </w:p>
        </w:tc>
        <w:tc>
          <w:tcPr>
            <w:tcW w:w="985"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学历</w:t>
            </w:r>
          </w:p>
        </w:tc>
        <w:tc>
          <w:tcPr>
            <w:tcW w:w="1191"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职称/资格证书</w:t>
            </w:r>
          </w:p>
        </w:tc>
        <w:tc>
          <w:tcPr>
            <w:tcW w:w="1285"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拟任</w:t>
            </w:r>
          </w:p>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职务</w:t>
            </w:r>
          </w:p>
        </w:tc>
        <w:tc>
          <w:tcPr>
            <w:tcW w:w="1285"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从事相关行业服务简历、年限</w:t>
            </w:r>
          </w:p>
        </w:tc>
        <w:tc>
          <w:tcPr>
            <w:tcW w:w="924" w:type="dxa"/>
            <w:noWrap w:val="0"/>
            <w:vAlign w:val="center"/>
          </w:tcPr>
          <w:p>
            <w:pPr>
              <w:overflowPunct w:val="0"/>
              <w:spacing w:line="300" w:lineRule="exact"/>
              <w:jc w:val="center"/>
              <w:rPr>
                <w:rFonts w:ascii="新宋体" w:hAnsi="新宋体" w:eastAsia="新宋体" w:cs="Times New Roman"/>
                <w:color w:val="auto"/>
                <w:sz w:val="22"/>
                <w:highlight w:val="none"/>
              </w:rPr>
            </w:pPr>
            <w:r>
              <w:rPr>
                <w:rFonts w:hint="eastAsia" w:ascii="新宋体" w:hAnsi="新宋体" w:eastAsia="新宋体" w:cs="Times New Roman"/>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85" w:type="dxa"/>
            <w:noWrap w:val="0"/>
            <w:vAlign w:val="center"/>
          </w:tcPr>
          <w:p>
            <w:pPr>
              <w:jc w:val="center"/>
              <w:rPr>
                <w:rFonts w:ascii="Arial" w:hAnsi="Arial" w:eastAsia="宋体" w:cs="Arial"/>
                <w:color w:val="auto"/>
                <w:sz w:val="24"/>
                <w:highlight w:val="none"/>
              </w:rPr>
            </w:pPr>
          </w:p>
        </w:tc>
        <w:tc>
          <w:tcPr>
            <w:tcW w:w="1071" w:type="dxa"/>
            <w:noWrap w:val="0"/>
            <w:vAlign w:val="center"/>
          </w:tcPr>
          <w:p>
            <w:pPr>
              <w:jc w:val="center"/>
              <w:rPr>
                <w:rFonts w:ascii="Arial" w:hAnsi="Arial" w:eastAsia="宋体" w:cs="Arial"/>
                <w:color w:val="auto"/>
                <w:sz w:val="24"/>
                <w:highlight w:val="none"/>
              </w:rPr>
            </w:pPr>
          </w:p>
        </w:tc>
        <w:tc>
          <w:tcPr>
            <w:tcW w:w="1192"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985" w:type="dxa"/>
            <w:noWrap w:val="0"/>
            <w:vAlign w:val="center"/>
          </w:tcPr>
          <w:p>
            <w:pPr>
              <w:jc w:val="center"/>
              <w:rPr>
                <w:rFonts w:ascii="Arial" w:hAnsi="Arial" w:eastAsia="宋体" w:cs="Arial"/>
                <w:color w:val="auto"/>
                <w:sz w:val="24"/>
                <w:highlight w:val="none"/>
              </w:rPr>
            </w:pPr>
          </w:p>
        </w:tc>
        <w:tc>
          <w:tcPr>
            <w:tcW w:w="1191" w:type="dxa"/>
            <w:noWrap w:val="0"/>
            <w:vAlign w:val="center"/>
          </w:tcPr>
          <w:p>
            <w:pPr>
              <w:jc w:val="center"/>
              <w:rPr>
                <w:rFonts w:ascii="Arial" w:hAnsi="Arial" w:eastAsia="宋体" w:cs="Arial"/>
                <w:color w:val="auto"/>
                <w:sz w:val="24"/>
                <w:highlight w:val="none"/>
              </w:rPr>
            </w:pPr>
          </w:p>
        </w:tc>
        <w:tc>
          <w:tcPr>
            <w:tcW w:w="1285" w:type="dxa"/>
            <w:noWrap w:val="0"/>
            <w:vAlign w:val="top"/>
          </w:tcPr>
          <w:p>
            <w:pPr>
              <w:jc w:val="center"/>
              <w:rPr>
                <w:rFonts w:ascii="Arial" w:hAnsi="Arial" w:eastAsia="宋体" w:cs="Arial"/>
                <w:color w:val="auto"/>
                <w:sz w:val="24"/>
                <w:highlight w:val="none"/>
              </w:rPr>
            </w:pPr>
          </w:p>
        </w:tc>
        <w:tc>
          <w:tcPr>
            <w:tcW w:w="1285" w:type="dxa"/>
            <w:noWrap w:val="0"/>
            <w:vAlign w:val="center"/>
          </w:tcPr>
          <w:p>
            <w:pPr>
              <w:jc w:val="center"/>
              <w:rPr>
                <w:rFonts w:ascii="Arial" w:hAnsi="Arial" w:eastAsia="宋体" w:cs="Arial"/>
                <w:color w:val="auto"/>
                <w:sz w:val="24"/>
                <w:highlight w:val="none"/>
              </w:rPr>
            </w:pPr>
          </w:p>
        </w:tc>
        <w:tc>
          <w:tcPr>
            <w:tcW w:w="924" w:type="dxa"/>
            <w:noWrap w:val="0"/>
            <w:vAlign w:val="center"/>
          </w:tcPr>
          <w:p>
            <w:pPr>
              <w:jc w:val="center"/>
              <w:rPr>
                <w:rFonts w:ascii="Arial" w:hAnsi="Arial" w:eastAsia="宋体" w:cs="Arial"/>
                <w:color w:val="auto"/>
                <w:sz w:val="24"/>
                <w:highlight w:val="none"/>
              </w:rPr>
            </w:pPr>
          </w:p>
        </w:tc>
      </w:tr>
    </w:tbl>
    <w:p>
      <w:pPr>
        <w:pStyle w:val="24"/>
        <w:tabs>
          <w:tab w:val="left" w:pos="1915"/>
          <w:tab w:val="clear" w:pos="8948"/>
        </w:tabs>
        <w:spacing w:before="0" w:after="0"/>
        <w:ind w:left="142"/>
        <w:rPr>
          <w:rFonts w:ascii="Arial" w:hAnsi="宋体" w:cs="Arial"/>
          <w:color w:val="auto"/>
          <w:highlight w:val="none"/>
        </w:rPr>
      </w:pPr>
      <w:r>
        <w:rPr>
          <w:rFonts w:ascii="Arial" w:hAnsi="宋体" w:cs="Arial"/>
          <w:color w:val="auto"/>
          <w:highlight w:val="none"/>
        </w:rPr>
        <w:t>注：</w:t>
      </w:r>
    </w:p>
    <w:p>
      <w:pPr>
        <w:pStyle w:val="24"/>
        <w:tabs>
          <w:tab w:val="left" w:pos="1915"/>
          <w:tab w:val="clear" w:pos="8948"/>
        </w:tabs>
        <w:spacing w:before="0" w:after="0" w:line="360" w:lineRule="auto"/>
        <w:ind w:left="142"/>
        <w:rPr>
          <w:rFonts w:hint="eastAsia" w:ascii="宋体" w:hAnsi="宋体" w:cs="Arial"/>
          <w:b/>
          <w:snapToGrid w:val="0"/>
          <w:color w:val="auto"/>
          <w:szCs w:val="21"/>
          <w:highlight w:val="none"/>
        </w:rPr>
      </w:pPr>
      <w:r>
        <w:rPr>
          <w:rFonts w:hint="eastAsia" w:ascii="Arial" w:hAnsi="宋体" w:cs="Arial"/>
          <w:color w:val="auto"/>
          <w:highlight w:val="none"/>
          <w:lang w:val="en-US" w:eastAsia="zh-CN"/>
        </w:rPr>
        <w:t>1、</w:t>
      </w:r>
      <w:r>
        <w:rPr>
          <w:rFonts w:hint="eastAsia" w:ascii="宋体" w:hAnsi="宋体" w:cs="Arial"/>
          <w:b/>
          <w:color w:val="auto"/>
          <w:highlight w:val="none"/>
        </w:rPr>
        <w:t>随表提交</w:t>
      </w:r>
      <w:r>
        <w:rPr>
          <w:rFonts w:hint="eastAsia" w:ascii="宋体" w:hAnsi="宋体" w:cs="Arial"/>
          <w:b/>
          <w:snapToGrid w:val="0"/>
          <w:color w:val="auto"/>
          <w:szCs w:val="21"/>
          <w:highlight w:val="none"/>
        </w:rPr>
        <w:t>身份证、学历证书（或学位证书）、职称/执业资格证书等相关证明材料</w:t>
      </w:r>
      <w:r>
        <w:rPr>
          <w:rFonts w:hint="eastAsia" w:ascii="宋体" w:hAnsi="宋体" w:cs="Arial"/>
          <w:b/>
          <w:snapToGrid w:val="0"/>
          <w:color w:val="auto"/>
          <w:szCs w:val="21"/>
          <w:highlight w:val="none"/>
          <w:lang w:eastAsia="zh-CN"/>
        </w:rPr>
        <w:t>（</w:t>
      </w:r>
      <w:r>
        <w:rPr>
          <w:rFonts w:hint="eastAsia" w:ascii="宋体" w:hAnsi="宋体" w:cs="Arial"/>
          <w:b/>
          <w:snapToGrid w:val="0"/>
          <w:color w:val="auto"/>
          <w:szCs w:val="21"/>
          <w:highlight w:val="none"/>
          <w:lang w:val="en-US" w:eastAsia="zh-CN"/>
        </w:rPr>
        <w:t>如有</w:t>
      </w:r>
      <w:r>
        <w:rPr>
          <w:rFonts w:hint="eastAsia" w:ascii="宋体" w:hAnsi="宋体" w:cs="Arial"/>
          <w:b/>
          <w:snapToGrid w:val="0"/>
          <w:color w:val="auto"/>
          <w:szCs w:val="21"/>
          <w:highlight w:val="none"/>
          <w:lang w:eastAsia="zh-CN"/>
        </w:rPr>
        <w:t>）（</w:t>
      </w:r>
      <w:r>
        <w:rPr>
          <w:rFonts w:hint="eastAsia" w:ascii="宋体" w:hAnsi="宋体" w:cs="Arial"/>
          <w:b/>
          <w:snapToGrid w:val="0"/>
          <w:color w:val="auto"/>
          <w:szCs w:val="21"/>
          <w:highlight w:val="none"/>
          <w:lang w:val="en-US" w:eastAsia="zh-CN"/>
        </w:rPr>
        <w:t>详见评分办法要求</w:t>
      </w:r>
      <w:r>
        <w:rPr>
          <w:rFonts w:hint="eastAsia" w:ascii="宋体" w:hAnsi="宋体" w:cs="Arial"/>
          <w:b/>
          <w:snapToGrid w:val="0"/>
          <w:color w:val="auto"/>
          <w:szCs w:val="21"/>
          <w:highlight w:val="none"/>
          <w:lang w:eastAsia="zh-CN"/>
        </w:rPr>
        <w:t>）</w:t>
      </w:r>
      <w:r>
        <w:rPr>
          <w:rFonts w:hint="eastAsia" w:ascii="宋体" w:hAnsi="宋体" w:cs="Arial"/>
          <w:b/>
          <w:snapToGrid w:val="0"/>
          <w:color w:val="auto"/>
          <w:szCs w:val="21"/>
          <w:highlight w:val="none"/>
        </w:rPr>
        <w:t>扫描件</w:t>
      </w:r>
      <w:r>
        <w:rPr>
          <w:rFonts w:hint="eastAsia" w:ascii="宋体" w:hAnsi="宋体" w:cs="Arial"/>
          <w:b/>
          <w:snapToGrid w:val="0"/>
          <w:color w:val="auto"/>
          <w:szCs w:val="21"/>
          <w:highlight w:val="none"/>
          <w:lang w:eastAsia="zh-CN"/>
        </w:rPr>
        <w:t>加盖公章</w:t>
      </w:r>
      <w:r>
        <w:rPr>
          <w:rFonts w:hint="eastAsia" w:ascii="宋体" w:hAnsi="宋体" w:cs="Arial"/>
          <w:b/>
          <w:snapToGrid w:val="0"/>
          <w:color w:val="auto"/>
          <w:szCs w:val="21"/>
          <w:highlight w:val="none"/>
        </w:rPr>
        <w:t>。</w:t>
      </w:r>
    </w:p>
    <w:p>
      <w:pPr>
        <w:pStyle w:val="151"/>
        <w:spacing w:line="360" w:lineRule="auto"/>
        <w:ind w:firstLine="210" w:firstLineChars="100"/>
        <w:rPr>
          <w:rFonts w:hint="eastAsia" w:ascii="宋体" w:hAnsi="宋体" w:cs="Arial"/>
          <w:b/>
          <w:snapToGrid w:val="0"/>
          <w:color w:val="auto"/>
          <w:szCs w:val="21"/>
          <w:highlight w:val="none"/>
        </w:rPr>
      </w:pPr>
      <w:r>
        <w:rPr>
          <w:rFonts w:hint="eastAsia"/>
          <w:color w:val="auto"/>
          <w:highlight w:val="none"/>
          <w:lang w:val="en-US" w:eastAsia="zh-CN"/>
        </w:rPr>
        <w:t>2、</w:t>
      </w:r>
      <w:r>
        <w:rPr>
          <w:rFonts w:hint="eastAsia"/>
          <w:color w:val="auto"/>
          <w:highlight w:val="none"/>
        </w:rPr>
        <w:t>列入本表人员如要更换，需经</w:t>
      </w:r>
      <w:r>
        <w:rPr>
          <w:rFonts w:hint="eastAsia"/>
          <w:color w:val="auto"/>
          <w:highlight w:val="none"/>
          <w:lang w:eastAsia="zh-CN"/>
        </w:rPr>
        <w:t>采购人</w:t>
      </w:r>
      <w:r>
        <w:rPr>
          <w:rFonts w:hint="eastAsia"/>
          <w:color w:val="auto"/>
          <w:highlight w:val="none"/>
        </w:rPr>
        <w:t>同意；擅自更换或不到位属违约行为。</w:t>
      </w:r>
    </w:p>
    <w:p>
      <w:pPr>
        <w:pStyle w:val="120"/>
        <w:widowControl w:val="0"/>
        <w:pBdr>
          <w:left w:val="none" w:color="auto" w:sz="0" w:space="0"/>
          <w:bottom w:val="none" w:color="auto" w:sz="0" w:space="0"/>
          <w:right w:val="none" w:color="auto" w:sz="0" w:space="0"/>
        </w:pBdr>
        <w:spacing w:before="0" w:beforeAutospacing="0" w:after="0" w:afterAutospacing="0" w:line="276" w:lineRule="auto"/>
        <w:rPr>
          <w:rFonts w:ascii="Times New Roman" w:hAnsi="Times New Roman" w:eastAsia="宋体"/>
          <w:color w:val="auto"/>
          <w:kern w:val="2"/>
          <w:sz w:val="21"/>
          <w:highlight w:val="none"/>
        </w:rPr>
      </w:pPr>
    </w:p>
    <w:p>
      <w:pPr>
        <w:pStyle w:val="34"/>
        <w:rPr>
          <w:rFonts w:hint="eastAsia"/>
          <w:color w:val="auto"/>
          <w:highlight w:val="none"/>
        </w:rPr>
      </w:pP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w:t>
      </w:r>
      <w:r>
        <w:rPr>
          <w:rFonts w:hint="eastAsia" w:ascii="宋体" w:hAnsi="宋体" w:eastAsia="宋体" w:cs="宋体"/>
          <w:color w:val="auto"/>
          <w:sz w:val="21"/>
          <w:szCs w:val="21"/>
          <w:highlight w:val="none"/>
        </w:rPr>
        <w:t>电子签名</w:t>
      </w:r>
      <w:r>
        <w:rPr>
          <w:rFonts w:hint="eastAsia" w:ascii="宋体" w:hAnsi="宋体" w:eastAsia="宋体" w:cs="宋体"/>
          <w:color w:val="auto"/>
          <w:sz w:val="21"/>
          <w:szCs w:val="21"/>
          <w:highlight w:val="none"/>
          <w:lang w:val="en-US" w:eastAsia="zh-CN"/>
        </w:rPr>
        <w:t>或公章</w:t>
      </w:r>
      <w:r>
        <w:rPr>
          <w:rFonts w:hint="eastAsia" w:ascii="宋体" w:hAnsi="宋体" w:eastAsia="宋体" w:cs="宋体"/>
          <w:color w:val="auto"/>
          <w:kern w:val="0"/>
          <w:sz w:val="21"/>
          <w:szCs w:val="21"/>
          <w:highlight w:val="none"/>
          <w:lang w:val="zh-CN"/>
        </w:rPr>
        <w:t xml:space="preserve">）：                                                                                                                                                                                                               </w:t>
      </w:r>
    </w:p>
    <w:p>
      <w:pPr>
        <w:spacing w:line="360" w:lineRule="auto"/>
        <w:ind w:left="4620" w:leftChars="2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 xml:space="preserve">   年   月   日</w:t>
      </w:r>
    </w:p>
    <w:p>
      <w:pPr>
        <w:pStyle w:val="16"/>
        <w:rPr>
          <w:color w:val="auto"/>
          <w:highlight w:val="none"/>
        </w:rPr>
      </w:pPr>
    </w:p>
    <w:p>
      <w:pPr>
        <w:pStyle w:val="3"/>
        <w:numPr>
          <w:ilvl w:val="1"/>
          <w:numId w:val="0"/>
        </w:numPr>
        <w:tabs>
          <w:tab w:val="left" w:pos="840"/>
        </w:tabs>
        <w:spacing w:before="0" w:after="156" w:afterLines="50" w:line="400" w:lineRule="exact"/>
        <w:jc w:val="center"/>
        <w:rPr>
          <w:rFonts w:hint="eastAsia" w:ascii="宋体" w:hAnsi="宋体" w:eastAsia="宋体" w:cs="宋体"/>
          <w:b/>
          <w:bCs/>
          <w:color w:val="auto"/>
          <w:kern w:val="0"/>
          <w:sz w:val="28"/>
          <w:szCs w:val="28"/>
          <w:highlight w:val="none"/>
          <w:lang w:val="en-US" w:eastAsia="zh-CN"/>
        </w:rPr>
      </w:pPr>
      <w:bookmarkStart w:id="817" w:name="_Toc495925975"/>
      <w:bookmarkEnd w:id="817"/>
      <w:bookmarkStart w:id="818" w:name="_Toc495925976"/>
      <w:bookmarkEnd w:id="818"/>
      <w:bookmarkStart w:id="819" w:name="_Toc204398773"/>
      <w:bookmarkEnd w:id="819"/>
      <w:r>
        <w:rPr>
          <w:rFonts w:hint="eastAsia" w:ascii="宋体" w:hAnsi="宋体" w:eastAsia="宋体" w:cs="宋体"/>
          <w:b/>
          <w:bCs/>
          <w:color w:val="auto"/>
          <w:kern w:val="0"/>
          <w:sz w:val="28"/>
          <w:szCs w:val="28"/>
          <w:highlight w:val="none"/>
          <w:lang w:val="en-US" w:eastAsia="zh-CN"/>
        </w:rPr>
        <w:br w:type="page"/>
      </w:r>
      <w:bookmarkStart w:id="820" w:name="_Toc4405"/>
      <w:bookmarkStart w:id="821" w:name="_Toc8327"/>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lang w:val="zh-CN" w:eastAsia="zh-CN"/>
        </w:rPr>
        <w:t>政府采购供应商廉洁自律承诺书</w:t>
      </w:r>
      <w:bookmarkEnd w:id="820"/>
      <w:bookmarkEnd w:id="821"/>
    </w:p>
    <w:p>
      <w:pPr>
        <w:snapToGrid w:val="0"/>
        <w:spacing w:line="360" w:lineRule="auto"/>
        <w:rPr>
          <w:rFonts w:ascii="仿宋_GB2312" w:hAnsi="仿宋" w:eastAsia="仿宋_GB2312" w:cs="仿宋_GB2312"/>
          <w:color w:val="auto"/>
          <w:sz w:val="24"/>
          <w:highlight w:val="none"/>
        </w:rPr>
      </w:pPr>
    </w:p>
    <w:p>
      <w:pPr>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（采购人）、（采购代理机构）</w:t>
      </w:r>
      <w:r>
        <w:rPr>
          <w:rFonts w:hint="eastAsia" w:ascii="宋体" w:hAnsi="宋体" w:eastAsia="宋体" w:cs="宋体"/>
          <w:color w:val="auto"/>
          <w:kern w:val="0"/>
          <w:sz w:val="21"/>
          <w:szCs w:val="21"/>
          <w:highlight w:val="none"/>
          <w:lang w:val="zh-CN"/>
        </w:rPr>
        <w:t>：</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我单位响应你</w:t>
      </w:r>
      <w:r>
        <w:rPr>
          <w:rFonts w:hint="eastAsia" w:ascii="宋体" w:hAnsi="宋体" w:eastAsia="宋体" w:cs="宋体"/>
          <w:color w:val="auto"/>
          <w:sz w:val="21"/>
          <w:szCs w:val="21"/>
          <w:highlight w:val="none"/>
        </w:rPr>
        <w:t>单位</w:t>
      </w:r>
      <w:r>
        <w:rPr>
          <w:rFonts w:hint="eastAsia" w:ascii="宋体" w:hAnsi="宋体" w:eastAsia="宋体" w:cs="宋体"/>
          <w:color w:val="auto"/>
          <w:kern w:val="0"/>
          <w:sz w:val="21"/>
          <w:szCs w:val="21"/>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二、不为项目有关人员及部门报销应由你方单位或个人支付的费用； </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三、不向项目有关人员及部门提供有可能影响公正的宴请和健身娱乐等活动； </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四、不为项目有关人员及部门出国（境）、旅游等提供方便；</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好处；</w:t>
      </w:r>
    </w:p>
    <w:p>
      <w:pPr>
        <w:autoSpaceDE w:val="0"/>
        <w:autoSpaceDN w:val="0"/>
        <w:spacing w:line="360" w:lineRule="auto"/>
        <w:ind w:left="2" w:leftChars="1"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六、严格遵守《</w:t>
      </w:r>
      <w:r>
        <w:rPr>
          <w:rFonts w:hint="eastAsia" w:ascii="宋体" w:hAnsi="宋体" w:eastAsia="宋体" w:cs="宋体"/>
          <w:color w:val="auto"/>
          <w:sz w:val="21"/>
          <w:szCs w:val="21"/>
          <w:highlight w:val="none"/>
          <w:lang w:val="zh-CN"/>
        </w:rPr>
        <w:t>中华人民共和国</w:t>
      </w:r>
      <w:r>
        <w:rPr>
          <w:rFonts w:hint="eastAsia" w:ascii="宋体" w:hAnsi="宋体" w:eastAsia="宋体" w:cs="宋体"/>
          <w:color w:val="auto"/>
          <w:kern w:val="0"/>
          <w:sz w:val="21"/>
          <w:szCs w:val="21"/>
          <w:highlight w:val="none"/>
          <w:lang w:val="zh-CN"/>
        </w:rPr>
        <w:t>政府采购法》、</w:t>
      </w:r>
      <w:r>
        <w:rPr>
          <w:rFonts w:hint="eastAsia" w:ascii="宋体" w:hAnsi="宋体" w:eastAsia="宋体" w:cs="宋体"/>
          <w:color w:val="auto"/>
          <w:sz w:val="21"/>
          <w:szCs w:val="21"/>
          <w:highlight w:val="none"/>
          <w:lang w:val="zh-CN"/>
        </w:rPr>
        <w:t>《中华人民共和国民法典》</w:t>
      </w:r>
      <w:r>
        <w:rPr>
          <w:rFonts w:hint="eastAsia" w:ascii="宋体" w:hAnsi="宋体" w:eastAsia="宋体" w:cs="宋体"/>
          <w:color w:val="auto"/>
          <w:kern w:val="0"/>
          <w:sz w:val="21"/>
          <w:szCs w:val="21"/>
          <w:highlight w:val="none"/>
          <w:lang w:val="zh-CN"/>
        </w:rPr>
        <w:t xml:space="preserve">等法律法规，诚实守信，合法经营，坚决抵制各种违法违纪行为。 </w:t>
      </w:r>
    </w:p>
    <w:p>
      <w:pPr>
        <w:autoSpaceDE w:val="0"/>
        <w:autoSpaceDN w:val="0"/>
        <w:spacing w:line="36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如违反上述承诺，你</w:t>
      </w:r>
      <w:r>
        <w:rPr>
          <w:rFonts w:hint="eastAsia" w:ascii="宋体" w:hAnsi="宋体" w:eastAsia="宋体" w:cs="宋体"/>
          <w:color w:val="auto"/>
          <w:sz w:val="21"/>
          <w:szCs w:val="21"/>
          <w:highlight w:val="none"/>
        </w:rPr>
        <w:t>单位</w:t>
      </w:r>
      <w:r>
        <w:rPr>
          <w:rFonts w:hint="eastAsia" w:ascii="宋体" w:hAnsi="宋体" w:eastAsia="宋体" w:cs="宋体"/>
          <w:color w:val="auto"/>
          <w:kern w:val="0"/>
          <w:sz w:val="21"/>
          <w:szCs w:val="21"/>
          <w:highlight w:val="none"/>
          <w:lang w:val="zh-CN"/>
        </w:rPr>
        <w:t>有权立即取消我单位投标、中标或在建项目的建设资格，有权拒绝我单位在一定时期内进入你</w:t>
      </w:r>
      <w:r>
        <w:rPr>
          <w:rFonts w:hint="eastAsia" w:ascii="宋体" w:hAnsi="宋体" w:eastAsia="宋体" w:cs="宋体"/>
          <w:color w:val="auto"/>
          <w:sz w:val="21"/>
          <w:szCs w:val="21"/>
          <w:highlight w:val="none"/>
        </w:rPr>
        <w:t>单位</w:t>
      </w:r>
      <w:r>
        <w:rPr>
          <w:rFonts w:hint="eastAsia" w:ascii="宋体" w:hAnsi="宋体" w:eastAsia="宋体" w:cs="宋体"/>
          <w:color w:val="auto"/>
          <w:kern w:val="0"/>
          <w:sz w:val="21"/>
          <w:szCs w:val="21"/>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1"/>
          <w:szCs w:val="21"/>
          <w:highlight w:val="none"/>
          <w:lang w:val="zh-CN"/>
        </w:rPr>
      </w:pPr>
    </w:p>
    <w:p>
      <w:pPr>
        <w:autoSpaceDE w:val="0"/>
        <w:autoSpaceDN w:val="0"/>
        <w:spacing w:line="360" w:lineRule="auto"/>
        <w:ind w:left="2"/>
        <w:jc w:val="left"/>
        <w:rPr>
          <w:rFonts w:hint="eastAsia" w:ascii="宋体" w:hAnsi="宋体" w:eastAsia="宋体" w:cs="宋体"/>
          <w:color w:val="auto"/>
          <w:kern w:val="0"/>
          <w:sz w:val="21"/>
          <w:szCs w:val="21"/>
          <w:highlight w:val="none"/>
          <w:lang w:val="zh-CN"/>
        </w:rPr>
      </w:pPr>
    </w:p>
    <w:p>
      <w:pPr>
        <w:autoSpaceDE w:val="0"/>
        <w:autoSpaceDN w:val="0"/>
        <w:spacing w:line="360" w:lineRule="auto"/>
        <w:ind w:left="2"/>
        <w:jc w:val="left"/>
        <w:rPr>
          <w:rFonts w:hint="eastAsia" w:ascii="宋体" w:hAnsi="宋体" w:eastAsia="宋体" w:cs="宋体"/>
          <w:color w:val="auto"/>
          <w:kern w:val="0"/>
          <w:sz w:val="21"/>
          <w:szCs w:val="21"/>
          <w:highlight w:val="none"/>
          <w:lang w:val="zh-CN"/>
        </w:rPr>
      </w:pP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w:t>
      </w:r>
      <w:r>
        <w:rPr>
          <w:rFonts w:hint="eastAsia" w:ascii="宋体" w:hAnsi="宋体" w:eastAsia="宋体" w:cs="宋体"/>
          <w:color w:val="auto"/>
          <w:sz w:val="21"/>
          <w:szCs w:val="21"/>
          <w:highlight w:val="none"/>
        </w:rPr>
        <w:t>电子签名</w:t>
      </w:r>
      <w:r>
        <w:rPr>
          <w:rFonts w:hint="eastAsia" w:ascii="宋体" w:hAnsi="宋体" w:eastAsia="宋体" w:cs="宋体"/>
          <w:color w:val="auto"/>
          <w:sz w:val="21"/>
          <w:szCs w:val="21"/>
          <w:highlight w:val="none"/>
          <w:lang w:val="en-US" w:eastAsia="zh-CN"/>
        </w:rPr>
        <w:t>或公章</w:t>
      </w:r>
      <w:r>
        <w:rPr>
          <w:rFonts w:hint="eastAsia" w:ascii="宋体" w:hAnsi="宋体" w:eastAsia="宋体" w:cs="宋体"/>
          <w:color w:val="auto"/>
          <w:kern w:val="0"/>
          <w:sz w:val="21"/>
          <w:szCs w:val="21"/>
          <w:highlight w:val="none"/>
          <w:lang w:val="zh-CN"/>
        </w:rPr>
        <w:t xml:space="preserve">）：                                                                                                                                                                                                               </w:t>
      </w:r>
    </w:p>
    <w:p>
      <w:pPr>
        <w:spacing w:line="360" w:lineRule="auto"/>
        <w:ind w:left="4620" w:leftChars="2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 xml:space="preserve">   年   月   日</w:t>
      </w:r>
    </w:p>
    <w:p>
      <w:pPr>
        <w:spacing w:line="360" w:lineRule="auto"/>
        <w:jc w:val="both"/>
        <w:rPr>
          <w:rFonts w:hint="eastAsia" w:ascii="宋体" w:hAnsi="宋体" w:eastAsia="宋体" w:cs="宋体"/>
          <w:b/>
          <w:bCs/>
          <w:color w:val="auto"/>
          <w:sz w:val="21"/>
          <w:szCs w:val="21"/>
          <w:highlight w:val="none"/>
        </w:rPr>
      </w:pPr>
    </w:p>
    <w:p>
      <w:pPr>
        <w:spacing w:line="360" w:lineRule="auto"/>
        <w:jc w:val="both"/>
        <w:rPr>
          <w:rFonts w:hint="eastAsia" w:ascii="宋体" w:hAnsi="宋体" w:eastAsia="宋体" w:cs="宋体"/>
          <w:b/>
          <w:bCs/>
          <w:color w:val="auto"/>
          <w:sz w:val="21"/>
          <w:szCs w:val="21"/>
          <w:highlight w:val="none"/>
        </w:rPr>
      </w:pPr>
    </w:p>
    <w:p>
      <w:pPr>
        <w:spacing w:line="360" w:lineRule="auto"/>
        <w:jc w:val="both"/>
        <w:rPr>
          <w:rFonts w:hint="default" w:ascii="宋体" w:hAnsi="宋体" w:eastAsia="宋体" w:cs="宋体"/>
          <w:b/>
          <w:bCs/>
          <w:color w:val="auto"/>
          <w:sz w:val="21"/>
          <w:szCs w:val="21"/>
          <w:highlight w:val="none"/>
          <w:lang w:val="en-US"/>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numberInDash"/>
          <w:cols w:space="720" w:num="1"/>
          <w:titlePg/>
          <w:docGrid w:linePitch="312" w:charSpace="0"/>
        </w:sectPr>
      </w:pPr>
      <w:r>
        <w:rPr>
          <w:rFonts w:hint="eastAsia" w:ascii="宋体" w:hAnsi="宋体" w:eastAsia="宋体" w:cs="宋体"/>
          <w:b/>
          <w:bCs/>
          <w:color w:val="auto"/>
          <w:sz w:val="21"/>
          <w:szCs w:val="21"/>
          <w:highlight w:val="none"/>
          <w:lang w:val="en-US" w:eastAsia="zh-CN"/>
        </w:rPr>
        <w:t>注：按本格式和要求提供。</w:t>
      </w:r>
    </w:p>
    <w:p>
      <w:pPr>
        <w:pStyle w:val="3"/>
        <w:numPr>
          <w:ilvl w:val="1"/>
          <w:numId w:val="0"/>
        </w:numPr>
        <w:tabs>
          <w:tab w:val="left" w:pos="840"/>
        </w:tabs>
        <w:spacing w:before="0" w:after="156" w:afterLines="50" w:line="400" w:lineRule="exact"/>
        <w:jc w:val="center"/>
        <w:rPr>
          <w:rFonts w:hint="eastAsia" w:ascii="Times New Roman" w:hAnsi="宋体" w:eastAsia="宋体" w:cs="Times New Roman"/>
          <w:b/>
          <w:color w:val="auto"/>
          <w:kern w:val="0"/>
          <w:sz w:val="28"/>
          <w:szCs w:val="28"/>
          <w:highlight w:val="none"/>
          <w:lang w:eastAsia="zh-CN"/>
        </w:rPr>
      </w:pPr>
      <w:bookmarkStart w:id="822" w:name="_Toc24786"/>
      <w:bookmarkStart w:id="823" w:name="_Toc32704"/>
      <w:r>
        <w:rPr>
          <w:rFonts w:hint="eastAsia" w:ascii="宋体" w:hAnsi="宋体" w:eastAsia="宋体" w:cs="宋体"/>
          <w:b/>
          <w:bCs/>
          <w:color w:val="auto"/>
          <w:sz w:val="28"/>
          <w:szCs w:val="36"/>
          <w:highlight w:val="none"/>
          <w:lang w:val="en-US" w:eastAsia="zh-CN"/>
        </w:rPr>
        <w:t>六</w:t>
      </w:r>
      <w:r>
        <w:rPr>
          <w:rFonts w:hint="eastAsia" w:ascii="Times New Roman" w:hAnsi="宋体" w:eastAsia="宋体" w:cs="Times New Roman"/>
          <w:b/>
          <w:color w:val="auto"/>
          <w:kern w:val="0"/>
          <w:sz w:val="28"/>
          <w:szCs w:val="28"/>
          <w:highlight w:val="none"/>
          <w:lang w:eastAsia="zh-CN"/>
        </w:rPr>
        <w:t>、售后服务承诺书</w:t>
      </w:r>
      <w:r>
        <w:rPr>
          <w:rFonts w:hint="eastAsia" w:ascii="Times New Roman" w:hAnsi="宋体" w:cs="Times New Roman"/>
          <w:b/>
          <w:color w:val="auto"/>
          <w:kern w:val="0"/>
          <w:sz w:val="28"/>
          <w:szCs w:val="28"/>
          <w:highlight w:val="none"/>
          <w:lang w:eastAsia="zh-CN"/>
        </w:rPr>
        <w:t>（</w:t>
      </w:r>
      <w:r>
        <w:rPr>
          <w:rFonts w:hint="eastAsia" w:ascii="Times New Roman" w:hAnsi="宋体" w:cs="Times New Roman"/>
          <w:b/>
          <w:color w:val="auto"/>
          <w:kern w:val="0"/>
          <w:sz w:val="28"/>
          <w:szCs w:val="28"/>
          <w:highlight w:val="none"/>
          <w:lang w:val="en-US" w:eastAsia="zh-CN"/>
        </w:rPr>
        <w:t>格式自拟</w:t>
      </w:r>
      <w:r>
        <w:rPr>
          <w:rFonts w:hint="eastAsia" w:ascii="Times New Roman" w:hAnsi="宋体" w:cs="Times New Roman"/>
          <w:b/>
          <w:color w:val="auto"/>
          <w:kern w:val="0"/>
          <w:sz w:val="28"/>
          <w:szCs w:val="28"/>
          <w:highlight w:val="none"/>
          <w:lang w:eastAsia="zh-CN"/>
        </w:rPr>
        <w:t>）</w:t>
      </w:r>
    </w:p>
    <w:p>
      <w:pPr>
        <w:spacing w:line="360" w:lineRule="auto"/>
        <w:jc w:val="center"/>
        <w:outlineLvl w:val="0"/>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en-US" w:eastAsia="zh-CN"/>
        </w:rPr>
        <w:br w:type="page"/>
      </w:r>
      <w:bookmarkStart w:id="824" w:name="_Toc27177"/>
      <w:r>
        <w:rPr>
          <w:rFonts w:hint="eastAsia" w:ascii="宋体" w:hAnsi="宋体" w:eastAsia="宋体" w:cs="宋体"/>
          <w:b/>
          <w:bCs/>
          <w:color w:val="auto"/>
          <w:sz w:val="28"/>
          <w:szCs w:val="36"/>
          <w:highlight w:val="none"/>
          <w:lang w:val="en-US" w:eastAsia="zh-CN"/>
        </w:rPr>
        <w:t>报价文件部分</w:t>
      </w:r>
      <w:bookmarkEnd w:id="822"/>
      <w:bookmarkEnd w:id="823"/>
      <w:bookmarkEnd w:id="824"/>
    </w:p>
    <w:p>
      <w:pPr>
        <w:snapToGrid w:val="0"/>
        <w:spacing w:line="360" w:lineRule="auto"/>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rPr>
          <w:rFonts w:ascii="仿宋_GB2312" w:hAnsi="仿宋" w:eastAsia="仿宋_GB2312" w:cs="仿宋_GB2312"/>
          <w:b/>
          <w:color w:val="auto"/>
          <w:kern w:val="0"/>
          <w:sz w:val="36"/>
          <w:szCs w:val="36"/>
          <w:highlight w:val="none"/>
        </w:rPr>
      </w:pP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（1）开标一览表（报价表）………………………………………………………（页码）</w:t>
      </w:r>
    </w:p>
    <w:p>
      <w:pPr>
        <w:snapToGrid w:val="0"/>
        <w:spacing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报价明细表</w:t>
      </w:r>
      <w:r>
        <w:rPr>
          <w:rFonts w:hint="eastAsia" w:ascii="宋体" w:hAnsi="宋体" w:eastAsia="宋体" w:cs="宋体"/>
          <w:color w:val="auto"/>
          <w:sz w:val="21"/>
          <w:szCs w:val="21"/>
          <w:highlight w:val="none"/>
        </w:rPr>
        <w:t>……………………………………………………………………（页码）</w:t>
      </w:r>
    </w:p>
    <w:p>
      <w:pPr>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中小企业声明函………………………………………………………………（页码）</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pStyle w:val="148"/>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pgNumType w:fmt="numberInDash"/>
          <w:cols w:space="720" w:num="1"/>
          <w:titlePg/>
          <w:docGrid w:linePitch="312" w:charSpace="0"/>
        </w:sectPr>
      </w:pPr>
    </w:p>
    <w:p>
      <w:pPr>
        <w:pStyle w:val="3"/>
        <w:numPr>
          <w:ilvl w:val="1"/>
          <w:numId w:val="0"/>
        </w:numPr>
        <w:tabs>
          <w:tab w:val="left" w:pos="840"/>
        </w:tabs>
        <w:spacing w:before="0" w:after="156" w:afterLines="50" w:line="400" w:lineRule="exact"/>
        <w:jc w:val="center"/>
        <w:rPr>
          <w:rFonts w:hint="eastAsia" w:ascii="宋体" w:hAnsi="宋体" w:eastAsia="宋体" w:cs="宋体"/>
          <w:b/>
          <w:bCs w:val="0"/>
          <w:color w:val="auto"/>
          <w:kern w:val="2"/>
          <w:sz w:val="28"/>
          <w:szCs w:val="28"/>
          <w:highlight w:val="none"/>
        </w:rPr>
      </w:pPr>
      <w:bookmarkStart w:id="825" w:name="_Toc9759"/>
      <w:bookmarkStart w:id="826" w:name="_Toc10619"/>
      <w:r>
        <w:rPr>
          <w:rFonts w:hint="eastAsia" w:ascii="宋体" w:hAnsi="宋体" w:eastAsia="宋体" w:cs="宋体"/>
          <w:b/>
          <w:bCs w:val="0"/>
          <w:color w:val="auto"/>
          <w:kern w:val="2"/>
          <w:sz w:val="28"/>
          <w:szCs w:val="28"/>
          <w:highlight w:val="none"/>
        </w:rPr>
        <w:t>一</w:t>
      </w:r>
      <w:r>
        <w:rPr>
          <w:rFonts w:hint="eastAsia" w:ascii="宋体" w:hAnsi="宋体" w:eastAsia="宋体" w:cs="宋体"/>
          <w:b/>
          <w:bCs w:val="0"/>
          <w:color w:val="auto"/>
          <w:kern w:val="2"/>
          <w:sz w:val="28"/>
          <w:szCs w:val="28"/>
          <w:highlight w:val="none"/>
          <w:lang w:val="en-US" w:eastAsia="zh-CN"/>
        </w:rPr>
        <w:t>-1</w:t>
      </w:r>
      <w:r>
        <w:rPr>
          <w:rFonts w:hint="eastAsia" w:ascii="宋体" w:hAnsi="宋体" w:eastAsia="宋体" w:cs="宋体"/>
          <w:b/>
          <w:bCs w:val="0"/>
          <w:color w:val="auto"/>
          <w:kern w:val="2"/>
          <w:sz w:val="28"/>
          <w:szCs w:val="28"/>
          <w:highlight w:val="none"/>
        </w:rPr>
        <w:t>、开标一览表（报价表）</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snapToGrid w:val="0"/>
        <w:spacing w:line="360" w:lineRule="auto"/>
        <w:ind w:firstLine="482"/>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highlight w:val="none"/>
          <w:u w:val="single"/>
          <w:lang w:eastAsia="zh-CN"/>
        </w:rPr>
        <w:t>瑞安市第五人民医院双拍成对经颅磁项目采购</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en-US" w:eastAsia="zh-CN"/>
        </w:rPr>
        <w:t>项目</w:t>
      </w:r>
      <w:r>
        <w:rPr>
          <w:rFonts w:hint="eastAsia" w:ascii="仿宋_GB2312" w:hAnsi="仿宋" w:eastAsia="仿宋_GB2312" w:cs="仿宋_GB2312"/>
          <w:color w:val="auto"/>
          <w:kern w:val="0"/>
          <w:sz w:val="24"/>
          <w:highlight w:val="none"/>
          <w:lang w:val="zh-CN"/>
        </w:rPr>
        <w:t>编号：</w:t>
      </w:r>
      <w:r>
        <w:rPr>
          <w:rFonts w:hint="eastAsia" w:ascii="仿宋_GB2312" w:hAnsi="仿宋" w:eastAsia="仿宋_GB2312" w:cs="仿宋_GB2312"/>
          <w:color w:val="auto"/>
          <w:kern w:val="0"/>
          <w:sz w:val="24"/>
          <w:highlight w:val="none"/>
          <w:u w:val="single"/>
          <w:lang w:val="en-US" w:eastAsia="zh-CN"/>
        </w:rPr>
        <w:t xml:space="preserve">                </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】的实施</w:t>
      </w:r>
      <w:r>
        <w:rPr>
          <w:rFonts w:hint="eastAsia" w:ascii="仿宋_GB2312" w:hAnsi="仿宋" w:eastAsia="仿宋_GB2312" w:cs="仿宋_GB2312"/>
          <w:color w:val="auto"/>
          <w:kern w:val="0"/>
          <w:sz w:val="24"/>
          <w:highlight w:val="none"/>
          <w:lang w:val="zh-CN"/>
        </w:rPr>
        <w:t>。</w:t>
      </w:r>
    </w:p>
    <w:p>
      <w:pPr>
        <w:spacing w:line="360" w:lineRule="auto"/>
        <w:jc w:val="center"/>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开标一览表（报价表）</w:t>
      </w:r>
      <w:r>
        <w:rPr>
          <w:rFonts w:ascii="仿宋_GB2312" w:hAnsi="仿宋" w:eastAsia="仿宋_GB2312" w:cs="仿宋_GB2312"/>
          <w:b/>
          <w:color w:val="auto"/>
          <w:kern w:val="0"/>
          <w:sz w:val="24"/>
          <w:highlight w:val="none"/>
          <w:lang w:val="zh-CN"/>
        </w:rPr>
        <w:t>(单位均为人民币元)</w:t>
      </w:r>
    </w:p>
    <w:tbl>
      <w:tblPr>
        <w:tblStyle w:val="37"/>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250"/>
        <w:gridCol w:w="2287"/>
        <w:gridCol w:w="1538"/>
        <w:gridCol w:w="1487"/>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768"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Times New Roman"/>
                <w:b/>
                <w:color w:val="auto"/>
                <w:sz w:val="24"/>
                <w:highlight w:val="none"/>
              </w:rPr>
              <w:t>序号</w:t>
            </w:r>
          </w:p>
        </w:tc>
        <w:tc>
          <w:tcPr>
            <w:tcW w:w="2250"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Times New Roman"/>
                <w:b/>
                <w:color w:val="auto"/>
                <w:sz w:val="24"/>
                <w:highlight w:val="none"/>
              </w:rPr>
              <w:t>名称</w:t>
            </w:r>
          </w:p>
        </w:tc>
        <w:tc>
          <w:tcPr>
            <w:tcW w:w="2287" w:type="dxa"/>
            <w:noWrap w:val="0"/>
            <w:vAlign w:val="center"/>
          </w:tcPr>
          <w:p>
            <w:pPr>
              <w:spacing w:line="360" w:lineRule="auto"/>
              <w:jc w:val="center"/>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投标报价</w:t>
            </w:r>
          </w:p>
        </w:tc>
        <w:tc>
          <w:tcPr>
            <w:tcW w:w="1538" w:type="dxa"/>
            <w:noWrap w:val="0"/>
            <w:vAlign w:val="center"/>
          </w:tcPr>
          <w:p>
            <w:pPr>
              <w:spacing w:line="360" w:lineRule="auto"/>
              <w:jc w:val="center"/>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交货期</w:t>
            </w:r>
          </w:p>
        </w:tc>
        <w:tc>
          <w:tcPr>
            <w:tcW w:w="1487" w:type="dxa"/>
            <w:noWrap w:val="0"/>
            <w:vAlign w:val="center"/>
          </w:tcPr>
          <w:p>
            <w:pPr>
              <w:spacing w:line="360" w:lineRule="auto"/>
              <w:jc w:val="center"/>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项目负责人</w:t>
            </w:r>
          </w:p>
        </w:tc>
        <w:tc>
          <w:tcPr>
            <w:tcW w:w="1128" w:type="dxa"/>
            <w:noWrap w:val="0"/>
            <w:vAlign w:val="center"/>
          </w:tcPr>
          <w:p>
            <w:pPr>
              <w:spacing w:line="360" w:lineRule="auto"/>
              <w:jc w:val="center"/>
              <w:rPr>
                <w:rFonts w:hint="eastAsia" w:ascii="仿宋_GB2312" w:hAnsi="仿宋" w:eastAsia="仿宋_GB2312" w:cs="仿宋_GB2312"/>
                <w:b/>
                <w:color w:val="auto"/>
                <w:sz w:val="24"/>
                <w:highlight w:val="none"/>
                <w:lang w:val="en-US" w:eastAsia="zh-CN"/>
              </w:rPr>
            </w:pPr>
            <w:r>
              <w:rPr>
                <w:rFonts w:hint="eastAsia" w:ascii="仿宋_GB2312" w:hAnsi="仿宋" w:eastAsia="仿宋_GB2312" w:cs="仿宋_GB2312"/>
                <w:b/>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768" w:type="dxa"/>
            <w:noWrap w:val="0"/>
            <w:vAlign w:val="center"/>
          </w:tcPr>
          <w:p>
            <w:pPr>
              <w:spacing w:line="360" w:lineRule="auto"/>
              <w:jc w:val="center"/>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w:t>
            </w:r>
          </w:p>
        </w:tc>
        <w:tc>
          <w:tcPr>
            <w:tcW w:w="2250" w:type="dxa"/>
            <w:noWrap w:val="0"/>
            <w:vAlign w:val="center"/>
          </w:tcPr>
          <w:p>
            <w:pPr>
              <w:snapToGrid w:val="0"/>
              <w:spacing w:line="360" w:lineRule="auto"/>
              <w:jc w:val="left"/>
              <w:rPr>
                <w:rFonts w:hint="eastAsia" w:ascii="仿宋_GB2312" w:hAnsi="仿宋" w:eastAsia="仿宋_GB2312" w:cs="仿宋_GB2312"/>
                <w:color w:val="auto"/>
                <w:sz w:val="24"/>
                <w:highlight w:val="none"/>
                <w:lang w:eastAsia="zh-CN"/>
              </w:rPr>
            </w:pPr>
            <w:r>
              <w:rPr>
                <w:rFonts w:hint="eastAsia" w:ascii="仿宋_GB2312" w:hAnsi="仿宋" w:eastAsia="仿宋_GB2312" w:cs="仿宋_GB2312"/>
                <w:color w:val="auto"/>
                <w:sz w:val="24"/>
                <w:highlight w:val="none"/>
                <w:lang w:eastAsia="zh-CN"/>
              </w:rPr>
              <w:t>瑞安市第五人民医院双拍成对经颅磁项目采购</w:t>
            </w:r>
          </w:p>
        </w:tc>
        <w:tc>
          <w:tcPr>
            <w:tcW w:w="2287" w:type="dxa"/>
            <w:noWrap w:val="0"/>
            <w:vAlign w:val="center"/>
          </w:tcPr>
          <w:p>
            <w:pPr>
              <w:snapToGrid w:val="0"/>
              <w:spacing w:line="360" w:lineRule="auto"/>
              <w:jc w:val="both"/>
              <w:rPr>
                <w:rFonts w:hint="eastAsia"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（小写）</w:t>
            </w:r>
          </w:p>
          <w:p>
            <w:pPr>
              <w:snapToGrid w:val="0"/>
              <w:spacing w:line="360" w:lineRule="auto"/>
              <w:jc w:val="both"/>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（大写）</w:t>
            </w:r>
          </w:p>
        </w:tc>
        <w:tc>
          <w:tcPr>
            <w:tcW w:w="1538" w:type="dxa"/>
            <w:noWrap w:val="0"/>
            <w:vAlign w:val="center"/>
          </w:tcPr>
          <w:p>
            <w:pPr>
              <w:snapToGrid w:val="0"/>
              <w:spacing w:line="360" w:lineRule="auto"/>
              <w:jc w:val="both"/>
              <w:rPr>
                <w:rFonts w:hint="eastAsia" w:ascii="仿宋_GB2312" w:hAnsi="仿宋" w:eastAsia="仿宋_GB2312" w:cs="仿宋_GB2312"/>
                <w:b/>
                <w:color w:val="auto"/>
                <w:sz w:val="24"/>
                <w:highlight w:val="none"/>
              </w:rPr>
            </w:pPr>
          </w:p>
        </w:tc>
        <w:tc>
          <w:tcPr>
            <w:tcW w:w="1487" w:type="dxa"/>
            <w:noWrap w:val="0"/>
            <w:vAlign w:val="center"/>
          </w:tcPr>
          <w:p>
            <w:pPr>
              <w:snapToGrid w:val="0"/>
              <w:spacing w:line="360" w:lineRule="auto"/>
              <w:jc w:val="both"/>
              <w:rPr>
                <w:rFonts w:hint="eastAsia" w:ascii="仿宋_GB2312" w:hAnsi="仿宋" w:eastAsia="仿宋_GB2312" w:cs="仿宋_GB2312"/>
                <w:b/>
                <w:color w:val="auto"/>
                <w:sz w:val="24"/>
                <w:highlight w:val="none"/>
              </w:rPr>
            </w:pPr>
          </w:p>
        </w:tc>
        <w:tc>
          <w:tcPr>
            <w:tcW w:w="1128" w:type="dxa"/>
            <w:noWrap w:val="0"/>
            <w:vAlign w:val="center"/>
          </w:tcPr>
          <w:p>
            <w:pPr>
              <w:snapToGrid w:val="0"/>
              <w:spacing w:line="360" w:lineRule="auto"/>
              <w:jc w:val="both"/>
              <w:rPr>
                <w:rFonts w:hint="eastAsia" w:ascii="仿宋_GB2312" w:hAnsi="仿宋" w:eastAsia="仿宋_GB2312" w:cs="仿宋_GB2312"/>
                <w:b/>
                <w:color w:val="auto"/>
                <w:sz w:val="24"/>
                <w:highlight w:val="none"/>
              </w:rPr>
            </w:pPr>
          </w:p>
        </w:tc>
      </w:tr>
      <w:bookmarkEnd w:id="825"/>
      <w:bookmarkEnd w:id="826"/>
    </w:tbl>
    <w:p>
      <w:pPr>
        <w:widowControl/>
        <w:numPr>
          <w:ilvl w:val="0"/>
          <w:numId w:val="0"/>
        </w:numPr>
        <w:spacing w:line="360" w:lineRule="exact"/>
        <w:ind w:left="780" w:leftChars="0"/>
        <w:jc w:val="left"/>
        <w:rPr>
          <w:rFonts w:hint="eastAsia"/>
          <w:color w:val="auto"/>
          <w:highlight w:val="none"/>
          <w:lang w:eastAsia="zh-CN"/>
        </w:rPr>
      </w:pPr>
    </w:p>
    <w:p>
      <w:pPr>
        <w:numPr>
          <w:ilvl w:val="0"/>
          <w:numId w:val="17"/>
        </w:numPr>
        <w:spacing w:line="276" w:lineRule="auto"/>
        <w:rPr>
          <w:rFonts w:hint="eastAsia" w:ascii="宋体" w:hAnsi="宋体"/>
          <w:b/>
          <w:color w:val="auto"/>
          <w:szCs w:val="21"/>
          <w:highlight w:val="none"/>
        </w:rPr>
      </w:pPr>
      <w:r>
        <w:rPr>
          <w:rFonts w:hint="eastAsia" w:ascii="Arial" w:hAnsi="Arial" w:cs="Arial"/>
          <w:color w:val="auto"/>
          <w:highlight w:val="none"/>
        </w:rPr>
        <w:t>此表</w:t>
      </w:r>
      <w:r>
        <w:rPr>
          <w:rFonts w:hint="eastAsia"/>
          <w:color w:val="auto"/>
          <w:highlight w:val="none"/>
        </w:rPr>
        <w:t>投标</w:t>
      </w:r>
      <w:r>
        <w:rPr>
          <w:rFonts w:hint="eastAsia"/>
          <w:color w:val="auto"/>
          <w:highlight w:val="none"/>
          <w:lang w:val="en-US" w:eastAsia="zh-CN"/>
        </w:rPr>
        <w:t>报价</w:t>
      </w:r>
      <w:r>
        <w:rPr>
          <w:rFonts w:hint="eastAsia" w:ascii="Arial" w:hAnsi="Arial" w:cs="Arial"/>
          <w:color w:val="auto"/>
          <w:highlight w:val="none"/>
        </w:rPr>
        <w:t>应与“</w:t>
      </w:r>
      <w:r>
        <w:rPr>
          <w:rFonts w:hint="eastAsia" w:ascii="Arial" w:hAnsi="Arial" w:cs="Arial"/>
          <w:color w:val="auto"/>
          <w:highlight w:val="none"/>
          <w:lang w:val="en-US" w:eastAsia="zh-CN"/>
        </w:rPr>
        <w:t xml:space="preserve">一-2 </w:t>
      </w:r>
      <w:r>
        <w:rPr>
          <w:rFonts w:hint="eastAsia" w:ascii="Arial" w:hAnsi="Arial" w:cs="Arial"/>
          <w:color w:val="auto"/>
          <w:highlight w:val="none"/>
        </w:rPr>
        <w:t>报价明细表”合计</w:t>
      </w:r>
      <w:r>
        <w:rPr>
          <w:rFonts w:hint="eastAsia" w:ascii="Arial" w:hAnsi="Arial" w:cs="Arial"/>
          <w:color w:val="auto"/>
          <w:highlight w:val="none"/>
          <w:lang w:eastAsia="zh-CN"/>
        </w:rPr>
        <w:t>价</w:t>
      </w:r>
      <w:r>
        <w:rPr>
          <w:rFonts w:hint="eastAsia" w:ascii="Arial" w:hAnsi="Arial" w:cs="Arial"/>
          <w:color w:val="auto"/>
          <w:highlight w:val="none"/>
        </w:rPr>
        <w:t>相一致。</w:t>
      </w:r>
    </w:p>
    <w:p>
      <w:pPr>
        <w:numPr>
          <w:ilvl w:val="0"/>
          <w:numId w:val="17"/>
        </w:numPr>
        <w:spacing w:line="360" w:lineRule="exact"/>
        <w:rPr>
          <w:rFonts w:hint="eastAsia" w:ascii="新宋体" w:hAnsi="新宋体" w:eastAsia="新宋体"/>
          <w:color w:val="auto"/>
          <w:szCs w:val="21"/>
          <w:highlight w:val="none"/>
        </w:rPr>
      </w:pPr>
      <w:r>
        <w:rPr>
          <w:rFonts w:hint="eastAsia" w:ascii="新宋体" w:hAnsi="新宋体" w:eastAsia="新宋体"/>
          <w:color w:val="auto"/>
          <w:szCs w:val="21"/>
          <w:highlight w:val="none"/>
        </w:rPr>
        <w:t>此表不得自行增减内容。</w:t>
      </w: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p>
    <w:p>
      <w:pPr>
        <w:autoSpaceDE w:val="0"/>
        <w:autoSpaceDN w:val="0"/>
        <w:spacing w:line="360" w:lineRule="auto"/>
        <w:ind w:left="2" w:leftChars="1" w:right="1120" w:firstLine="4620" w:firstLineChars="2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w:t>
      </w:r>
      <w:r>
        <w:rPr>
          <w:rFonts w:hint="eastAsia" w:ascii="宋体" w:hAnsi="宋体" w:eastAsia="宋体" w:cs="宋体"/>
          <w:color w:val="auto"/>
          <w:sz w:val="21"/>
          <w:szCs w:val="21"/>
          <w:highlight w:val="none"/>
        </w:rPr>
        <w:t>电子签名</w:t>
      </w:r>
      <w:r>
        <w:rPr>
          <w:rFonts w:hint="eastAsia" w:ascii="宋体" w:hAnsi="宋体" w:eastAsia="宋体" w:cs="宋体"/>
          <w:color w:val="auto"/>
          <w:sz w:val="21"/>
          <w:szCs w:val="21"/>
          <w:highlight w:val="none"/>
          <w:lang w:val="en-US" w:eastAsia="zh-CN"/>
        </w:rPr>
        <w:t>或公章</w:t>
      </w:r>
      <w:r>
        <w:rPr>
          <w:rFonts w:hint="eastAsia" w:ascii="宋体" w:hAnsi="宋体" w:eastAsia="宋体" w:cs="宋体"/>
          <w:color w:val="auto"/>
          <w:kern w:val="0"/>
          <w:sz w:val="21"/>
          <w:szCs w:val="21"/>
          <w:highlight w:val="none"/>
          <w:lang w:val="zh-CN"/>
        </w:rPr>
        <w:t xml:space="preserve">）：                                                                                                                                                                                                               </w:t>
      </w:r>
    </w:p>
    <w:p>
      <w:pPr>
        <w:spacing w:line="360" w:lineRule="auto"/>
        <w:ind w:left="4620" w:leftChars="2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 xml:space="preserve">   年   月   日</w:t>
      </w:r>
    </w:p>
    <w:p>
      <w:pPr>
        <w:pStyle w:val="3"/>
        <w:numPr>
          <w:ilvl w:val="0"/>
          <w:numId w:val="0"/>
        </w:numPr>
        <w:tabs>
          <w:tab w:val="left" w:pos="840"/>
        </w:tabs>
        <w:spacing w:before="0" w:after="156" w:afterLines="50" w:line="400" w:lineRule="exact"/>
        <w:ind w:leftChars="0"/>
        <w:jc w:val="center"/>
        <w:rPr>
          <w:rFonts w:hint="eastAsia" w:ascii="宋体" w:hAnsi="宋体" w:eastAsia="宋体" w:cs="宋体"/>
          <w:b/>
          <w:bCs/>
          <w:color w:val="auto"/>
          <w:sz w:val="28"/>
          <w:szCs w:val="28"/>
          <w:highlight w:val="none"/>
          <w:lang w:val="en-US" w:eastAsia="zh-CN"/>
        </w:rPr>
        <w:sectPr>
          <w:pgSz w:w="11906" w:h="16838"/>
          <w:pgMar w:top="1134" w:right="1274" w:bottom="1020" w:left="1575" w:header="680" w:footer="680" w:gutter="0"/>
          <w:pgNumType w:fmt="numberInDash"/>
          <w:cols w:space="720" w:num="1"/>
          <w:titlePg/>
          <w:docGrid w:type="lines" w:linePitch="312" w:charSpace="0"/>
        </w:sectPr>
      </w:pPr>
    </w:p>
    <w:p>
      <w:pPr>
        <w:pStyle w:val="3"/>
        <w:numPr>
          <w:ilvl w:val="1"/>
          <w:numId w:val="0"/>
        </w:numPr>
        <w:tabs>
          <w:tab w:val="left" w:pos="840"/>
        </w:tabs>
        <w:spacing w:before="0" w:after="156" w:afterLines="50" w:line="400" w:lineRule="exact"/>
        <w:jc w:val="center"/>
        <w:rPr>
          <w:rFonts w:hint="eastAsia" w:ascii="宋体" w:hAnsi="宋体" w:eastAsia="宋体" w:cs="宋体"/>
          <w:b/>
          <w:bCs w:val="0"/>
          <w:color w:val="auto"/>
          <w:kern w:val="2"/>
          <w:sz w:val="28"/>
          <w:szCs w:val="28"/>
          <w:highlight w:val="none"/>
          <w:lang w:val="en-US" w:eastAsia="zh-CN"/>
        </w:rPr>
      </w:pPr>
      <w:bookmarkStart w:id="827" w:name="_Toc18824"/>
      <w:bookmarkStart w:id="828" w:name="_Toc2172"/>
      <w:r>
        <w:rPr>
          <w:rFonts w:hint="eastAsia" w:ascii="宋体" w:hAnsi="宋体" w:eastAsia="宋体" w:cs="宋体"/>
          <w:b/>
          <w:bCs w:val="0"/>
          <w:color w:val="auto"/>
          <w:kern w:val="2"/>
          <w:sz w:val="28"/>
          <w:szCs w:val="28"/>
          <w:highlight w:val="none"/>
        </w:rPr>
        <w:t>一</w:t>
      </w:r>
      <w:r>
        <w:rPr>
          <w:rFonts w:hint="eastAsia" w:ascii="宋体" w:hAnsi="宋体" w:eastAsia="宋体" w:cs="宋体"/>
          <w:b/>
          <w:bCs w:val="0"/>
          <w:color w:val="auto"/>
          <w:kern w:val="2"/>
          <w:sz w:val="28"/>
          <w:szCs w:val="28"/>
          <w:highlight w:val="none"/>
          <w:lang w:val="en-US" w:eastAsia="zh-CN"/>
        </w:rPr>
        <w:t>-2报价明细表</w:t>
      </w:r>
    </w:p>
    <w:p>
      <w:pPr>
        <w:rPr>
          <w:rFonts w:hint="default"/>
          <w:lang w:val="en-US" w:eastAsia="zh-CN"/>
        </w:rPr>
      </w:pPr>
    </w:p>
    <w:tbl>
      <w:tblPr>
        <w:tblStyle w:val="37"/>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284"/>
        <w:gridCol w:w="2046"/>
        <w:gridCol w:w="1322"/>
        <w:gridCol w:w="1457"/>
        <w:gridCol w:w="1457"/>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trPr>
        <w:tc>
          <w:tcPr>
            <w:tcW w:w="592" w:type="dxa"/>
            <w:noWrap w:val="0"/>
            <w:vAlign w:val="center"/>
          </w:tcPr>
          <w:p>
            <w:pPr>
              <w:spacing w:line="360" w:lineRule="auto"/>
              <w:jc w:val="center"/>
              <w:rPr>
                <w:rFonts w:hint="eastAsia" w:ascii="仿宋_GB2312" w:hAnsi="仿宋" w:eastAsia="仿宋_GB2312" w:cs="Times New Roman"/>
                <w:b/>
                <w:color w:val="auto"/>
                <w:sz w:val="24"/>
                <w:highlight w:val="none"/>
                <w:lang w:val="en-US" w:eastAsia="zh-CN"/>
              </w:rPr>
            </w:pPr>
            <w:r>
              <w:rPr>
                <w:rFonts w:hint="eastAsia" w:ascii="仿宋_GB2312" w:hAnsi="仿宋" w:eastAsia="仿宋_GB2312" w:cs="Times New Roman"/>
                <w:b/>
                <w:color w:val="auto"/>
                <w:sz w:val="24"/>
                <w:highlight w:val="none"/>
                <w:lang w:val="en-US" w:eastAsia="zh-CN"/>
              </w:rPr>
              <w:t>序号</w:t>
            </w:r>
          </w:p>
        </w:tc>
        <w:tc>
          <w:tcPr>
            <w:tcW w:w="1284" w:type="dxa"/>
            <w:noWrap w:val="0"/>
            <w:vAlign w:val="center"/>
          </w:tcPr>
          <w:p>
            <w:pPr>
              <w:spacing w:line="360" w:lineRule="auto"/>
              <w:jc w:val="center"/>
              <w:rPr>
                <w:rFonts w:ascii="新宋体" w:hAnsi="新宋体" w:eastAsia="新宋体" w:cs="Times New Roman"/>
                <w:b/>
                <w:color w:val="auto"/>
                <w:sz w:val="22"/>
                <w:highlight w:val="none"/>
              </w:rPr>
            </w:pPr>
            <w:r>
              <w:rPr>
                <w:rFonts w:hint="eastAsia" w:ascii="仿宋_GB2312" w:hAnsi="仿宋" w:eastAsia="仿宋_GB2312" w:cs="Times New Roman"/>
                <w:b/>
                <w:color w:val="auto"/>
                <w:sz w:val="24"/>
                <w:highlight w:val="none"/>
              </w:rPr>
              <w:t>名称</w:t>
            </w:r>
          </w:p>
        </w:tc>
        <w:tc>
          <w:tcPr>
            <w:tcW w:w="2046" w:type="dxa"/>
            <w:noWrap w:val="0"/>
            <w:vAlign w:val="top"/>
          </w:tcPr>
          <w:p>
            <w:pPr>
              <w:spacing w:line="360" w:lineRule="auto"/>
              <w:jc w:val="center"/>
              <w:rPr>
                <w:rFonts w:ascii="仿宋_GB2312" w:hAnsi="仿宋" w:eastAsia="仿宋_GB2312" w:cs="Times New Roman"/>
                <w:b/>
                <w:color w:val="auto"/>
                <w:sz w:val="24"/>
                <w:highlight w:val="none"/>
              </w:rPr>
            </w:pPr>
          </w:p>
          <w:p>
            <w:pPr>
              <w:spacing w:line="360" w:lineRule="auto"/>
              <w:jc w:val="center"/>
              <w:rPr>
                <w:rFonts w:ascii="新宋体" w:hAnsi="新宋体" w:eastAsia="新宋体" w:cs="Times New Roman"/>
                <w:b/>
                <w:color w:val="auto"/>
                <w:sz w:val="22"/>
                <w:highlight w:val="none"/>
              </w:rPr>
            </w:pPr>
            <w:r>
              <w:rPr>
                <w:rFonts w:hint="eastAsia" w:ascii="仿宋_GB2312" w:hAnsi="仿宋" w:eastAsia="仿宋_GB2312" w:cs="Times New Roman"/>
                <w:b/>
                <w:color w:val="auto"/>
                <w:sz w:val="24"/>
                <w:highlight w:val="none"/>
              </w:rPr>
              <w:t>品牌（如果有）</w:t>
            </w:r>
          </w:p>
        </w:tc>
        <w:tc>
          <w:tcPr>
            <w:tcW w:w="1322" w:type="dxa"/>
            <w:noWrap w:val="0"/>
            <w:vAlign w:val="center"/>
          </w:tcPr>
          <w:p>
            <w:pPr>
              <w:spacing w:line="360" w:lineRule="auto"/>
              <w:jc w:val="center"/>
              <w:rPr>
                <w:rFonts w:ascii="新宋体" w:hAnsi="新宋体" w:eastAsia="新宋体" w:cs="Times New Roman"/>
                <w:b/>
                <w:color w:val="auto"/>
                <w:sz w:val="22"/>
                <w:highlight w:val="none"/>
              </w:rPr>
            </w:pPr>
            <w:r>
              <w:rPr>
                <w:rFonts w:hint="eastAsia" w:ascii="仿宋_GB2312" w:hAnsi="仿宋" w:eastAsia="仿宋_GB2312" w:cs="Times New Roman"/>
                <w:b/>
                <w:color w:val="auto"/>
                <w:sz w:val="24"/>
                <w:highlight w:val="none"/>
              </w:rPr>
              <w:t>规格型号</w:t>
            </w:r>
          </w:p>
        </w:tc>
        <w:tc>
          <w:tcPr>
            <w:tcW w:w="1457" w:type="dxa"/>
            <w:noWrap w:val="0"/>
            <w:vAlign w:val="center"/>
          </w:tcPr>
          <w:p>
            <w:pPr>
              <w:spacing w:line="360" w:lineRule="auto"/>
              <w:jc w:val="center"/>
              <w:rPr>
                <w:rFonts w:ascii="新宋体" w:hAnsi="新宋体" w:eastAsia="新宋体" w:cs="Times New Roman"/>
                <w:b/>
                <w:color w:val="auto"/>
                <w:sz w:val="22"/>
                <w:highlight w:val="none"/>
              </w:rPr>
            </w:pPr>
            <w:r>
              <w:rPr>
                <w:rFonts w:hint="eastAsia" w:ascii="仿宋_GB2312" w:hAnsi="仿宋" w:eastAsia="仿宋_GB2312" w:cs="Times New Roman"/>
                <w:b/>
                <w:color w:val="auto"/>
                <w:sz w:val="24"/>
                <w:highlight w:val="none"/>
              </w:rPr>
              <w:t>数量</w:t>
            </w:r>
          </w:p>
        </w:tc>
        <w:tc>
          <w:tcPr>
            <w:tcW w:w="1457" w:type="dxa"/>
            <w:noWrap w:val="0"/>
            <w:vAlign w:val="center"/>
          </w:tcPr>
          <w:p>
            <w:pPr>
              <w:spacing w:line="360" w:lineRule="auto"/>
              <w:jc w:val="center"/>
              <w:rPr>
                <w:rFonts w:hint="eastAsia" w:ascii="Times New Roman" w:hAnsi="Calibri" w:eastAsia="宋体" w:cs="Times New Roman"/>
                <w:b/>
                <w:color w:val="auto"/>
                <w:highlight w:val="none"/>
                <w:lang w:eastAsia="zh-CN"/>
              </w:rPr>
            </w:pPr>
            <w:r>
              <w:rPr>
                <w:rFonts w:hint="eastAsia" w:ascii="仿宋_GB2312" w:hAnsi="仿宋" w:eastAsia="仿宋_GB2312" w:cs="Times New Roman"/>
                <w:b/>
                <w:color w:val="auto"/>
                <w:sz w:val="24"/>
                <w:highlight w:val="none"/>
              </w:rPr>
              <w:t>单价</w:t>
            </w:r>
          </w:p>
        </w:tc>
        <w:tc>
          <w:tcPr>
            <w:tcW w:w="1457" w:type="dxa"/>
            <w:noWrap w:val="0"/>
            <w:vAlign w:val="center"/>
          </w:tcPr>
          <w:p>
            <w:pPr>
              <w:spacing w:line="360" w:lineRule="auto"/>
              <w:jc w:val="center"/>
              <w:rPr>
                <w:rFonts w:hint="eastAsia" w:ascii="Times New Roman" w:hAnsi="Calibri" w:eastAsia="宋体" w:cs="Times New Roman"/>
                <w:b/>
                <w:color w:val="auto"/>
                <w:highlight w:val="none"/>
                <w:lang w:eastAsia="zh-CN"/>
              </w:rPr>
            </w:pPr>
            <w:r>
              <w:rPr>
                <w:rFonts w:hint="eastAsia" w:ascii="仿宋_GB2312" w:hAnsi="仿宋" w:eastAsia="仿宋_GB2312" w:cs="Times New Roman"/>
                <w:b/>
                <w:color w:val="auto"/>
                <w:sz w:val="24"/>
                <w:highlight w:val="no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592" w:type="dxa"/>
            <w:noWrap w:val="0"/>
            <w:vAlign w:val="center"/>
          </w:tcPr>
          <w:p>
            <w:pPr>
              <w:pStyle w:val="145"/>
              <w:snapToGrid w:val="0"/>
              <w:jc w:val="center"/>
              <w:rPr>
                <w:rFonts w:hint="default" w:ascii="Times New Roman" w:eastAsia="宋体" w:cs="Times New Roman"/>
                <w:b/>
                <w:bCs w:val="0"/>
                <w:color w:val="auto"/>
                <w:highlight w:val="none"/>
                <w:lang w:val="en-US" w:eastAsia="zh-CN"/>
              </w:rPr>
            </w:pPr>
            <w:r>
              <w:rPr>
                <w:rFonts w:hint="eastAsia" w:ascii="Times New Roman" w:eastAsia="宋体" w:cs="Times New Roman"/>
                <w:b/>
                <w:bCs w:val="0"/>
                <w:color w:val="auto"/>
                <w:highlight w:val="none"/>
                <w:lang w:val="en-US" w:eastAsia="zh-CN"/>
              </w:rPr>
              <w:t>1</w:t>
            </w:r>
          </w:p>
        </w:tc>
        <w:tc>
          <w:tcPr>
            <w:tcW w:w="1284" w:type="dxa"/>
            <w:noWrap w:val="0"/>
            <w:vAlign w:val="center"/>
          </w:tcPr>
          <w:p>
            <w:pPr>
              <w:pStyle w:val="145"/>
              <w:snapToGrid w:val="0"/>
              <w:jc w:val="center"/>
              <w:rPr>
                <w:rFonts w:hint="default" w:ascii="Times New Roman" w:eastAsia="宋体" w:cs="Times New Roman"/>
                <w:b/>
                <w:bCs w:val="0"/>
                <w:color w:val="auto"/>
                <w:highlight w:val="none"/>
                <w:lang w:val="en-US" w:eastAsia="zh-CN"/>
              </w:rPr>
            </w:pPr>
          </w:p>
        </w:tc>
        <w:tc>
          <w:tcPr>
            <w:tcW w:w="2046" w:type="dxa"/>
            <w:noWrap w:val="0"/>
            <w:vAlign w:val="center"/>
          </w:tcPr>
          <w:p>
            <w:pPr>
              <w:adjustRightInd w:val="0"/>
              <w:snapToGrid w:val="0"/>
              <w:jc w:val="center"/>
              <w:rPr>
                <w:rFonts w:hint="eastAsia" w:ascii="Times New Roman" w:hAnsi="Calibri" w:eastAsia="宋体" w:cs="Times New Roman"/>
                <w:b/>
                <w:color w:val="auto"/>
                <w:highlight w:val="none"/>
                <w:lang w:eastAsia="zh-CN"/>
              </w:rPr>
            </w:pPr>
          </w:p>
        </w:tc>
        <w:tc>
          <w:tcPr>
            <w:tcW w:w="1322"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592" w:type="dxa"/>
            <w:noWrap w:val="0"/>
            <w:vAlign w:val="center"/>
          </w:tcPr>
          <w:p>
            <w:pPr>
              <w:pStyle w:val="145"/>
              <w:snapToGrid w:val="0"/>
              <w:jc w:val="center"/>
              <w:rPr>
                <w:rFonts w:hint="default" w:ascii="Times New Roman" w:eastAsia="宋体" w:cs="Times New Roman"/>
                <w:b/>
                <w:bCs w:val="0"/>
                <w:color w:val="auto"/>
                <w:highlight w:val="none"/>
                <w:lang w:val="en-US" w:eastAsia="zh-CN"/>
              </w:rPr>
            </w:pPr>
            <w:r>
              <w:rPr>
                <w:rFonts w:hint="eastAsia" w:ascii="Times New Roman" w:eastAsia="宋体" w:cs="Times New Roman"/>
                <w:b/>
                <w:bCs w:val="0"/>
                <w:color w:val="auto"/>
                <w:highlight w:val="none"/>
                <w:lang w:val="en-US" w:eastAsia="zh-CN"/>
              </w:rPr>
              <w:t>2</w:t>
            </w:r>
          </w:p>
        </w:tc>
        <w:tc>
          <w:tcPr>
            <w:tcW w:w="1284" w:type="dxa"/>
            <w:noWrap w:val="0"/>
            <w:vAlign w:val="center"/>
          </w:tcPr>
          <w:p>
            <w:pPr>
              <w:pStyle w:val="145"/>
              <w:snapToGrid w:val="0"/>
              <w:jc w:val="center"/>
              <w:rPr>
                <w:rFonts w:hint="eastAsia" w:ascii="Times New Roman" w:eastAsia="宋体" w:cs="Times New Roman"/>
                <w:b/>
                <w:bCs w:val="0"/>
                <w:color w:val="auto"/>
                <w:highlight w:val="none"/>
                <w:lang w:val="en-US" w:eastAsia="zh-CN"/>
              </w:rPr>
            </w:pPr>
          </w:p>
        </w:tc>
        <w:tc>
          <w:tcPr>
            <w:tcW w:w="2046" w:type="dxa"/>
            <w:noWrap w:val="0"/>
            <w:vAlign w:val="center"/>
          </w:tcPr>
          <w:p>
            <w:pPr>
              <w:adjustRightInd w:val="0"/>
              <w:snapToGrid w:val="0"/>
              <w:jc w:val="center"/>
              <w:rPr>
                <w:rFonts w:hint="eastAsia" w:ascii="Times New Roman" w:hAnsi="Calibri" w:eastAsia="宋体" w:cs="Times New Roman"/>
                <w:b/>
                <w:color w:val="auto"/>
                <w:highlight w:val="none"/>
                <w:lang w:eastAsia="zh-CN"/>
              </w:rPr>
            </w:pPr>
          </w:p>
        </w:tc>
        <w:tc>
          <w:tcPr>
            <w:tcW w:w="1322"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592" w:type="dxa"/>
            <w:noWrap w:val="0"/>
            <w:vAlign w:val="center"/>
          </w:tcPr>
          <w:p>
            <w:pPr>
              <w:pStyle w:val="145"/>
              <w:snapToGrid w:val="0"/>
              <w:jc w:val="center"/>
              <w:rPr>
                <w:rFonts w:hint="default" w:ascii="Times New Roman" w:eastAsia="宋体" w:cs="Times New Roman"/>
                <w:b/>
                <w:bCs w:val="0"/>
                <w:color w:val="auto"/>
                <w:highlight w:val="none"/>
                <w:lang w:val="en-US" w:eastAsia="zh-CN"/>
              </w:rPr>
            </w:pPr>
            <w:r>
              <w:rPr>
                <w:rFonts w:hint="eastAsia" w:ascii="Times New Roman" w:eastAsia="宋体" w:cs="Times New Roman"/>
                <w:b/>
                <w:bCs w:val="0"/>
                <w:color w:val="auto"/>
                <w:highlight w:val="none"/>
                <w:lang w:val="en-US" w:eastAsia="zh-CN"/>
              </w:rPr>
              <w:t>3</w:t>
            </w:r>
          </w:p>
        </w:tc>
        <w:tc>
          <w:tcPr>
            <w:tcW w:w="1284" w:type="dxa"/>
            <w:noWrap w:val="0"/>
            <w:vAlign w:val="center"/>
          </w:tcPr>
          <w:p>
            <w:pPr>
              <w:pStyle w:val="145"/>
              <w:snapToGrid w:val="0"/>
              <w:jc w:val="center"/>
              <w:rPr>
                <w:rFonts w:hint="eastAsia" w:ascii="Times New Roman" w:eastAsia="宋体" w:cs="Times New Roman"/>
                <w:b/>
                <w:bCs w:val="0"/>
                <w:color w:val="auto"/>
                <w:highlight w:val="none"/>
                <w:lang w:val="en-US" w:eastAsia="zh-CN"/>
              </w:rPr>
            </w:pPr>
          </w:p>
        </w:tc>
        <w:tc>
          <w:tcPr>
            <w:tcW w:w="2046" w:type="dxa"/>
            <w:noWrap w:val="0"/>
            <w:vAlign w:val="center"/>
          </w:tcPr>
          <w:p>
            <w:pPr>
              <w:adjustRightInd w:val="0"/>
              <w:snapToGrid w:val="0"/>
              <w:jc w:val="center"/>
              <w:rPr>
                <w:rFonts w:hint="eastAsia" w:ascii="Times New Roman" w:hAnsi="Calibri" w:eastAsia="宋体" w:cs="Times New Roman"/>
                <w:b/>
                <w:color w:val="auto"/>
                <w:highlight w:val="none"/>
                <w:lang w:eastAsia="zh-CN"/>
              </w:rPr>
            </w:pPr>
          </w:p>
        </w:tc>
        <w:tc>
          <w:tcPr>
            <w:tcW w:w="1322"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592" w:type="dxa"/>
            <w:noWrap w:val="0"/>
            <w:vAlign w:val="center"/>
          </w:tcPr>
          <w:p>
            <w:pPr>
              <w:pStyle w:val="145"/>
              <w:snapToGrid w:val="0"/>
              <w:jc w:val="center"/>
              <w:rPr>
                <w:rFonts w:hint="default" w:ascii="Times New Roman" w:eastAsia="宋体" w:cs="Times New Roman"/>
                <w:b/>
                <w:bCs w:val="0"/>
                <w:color w:val="auto"/>
                <w:highlight w:val="none"/>
                <w:lang w:val="en-US" w:eastAsia="zh-CN"/>
              </w:rPr>
            </w:pPr>
            <w:r>
              <w:rPr>
                <w:rFonts w:hint="eastAsia" w:ascii="Times New Roman" w:eastAsia="宋体" w:cs="Times New Roman"/>
                <w:b/>
                <w:bCs w:val="0"/>
                <w:color w:val="auto"/>
                <w:highlight w:val="none"/>
                <w:lang w:val="en-US" w:eastAsia="zh-CN"/>
              </w:rPr>
              <w:t>……</w:t>
            </w:r>
          </w:p>
        </w:tc>
        <w:tc>
          <w:tcPr>
            <w:tcW w:w="1284" w:type="dxa"/>
            <w:noWrap w:val="0"/>
            <w:vAlign w:val="center"/>
          </w:tcPr>
          <w:p>
            <w:pPr>
              <w:pStyle w:val="145"/>
              <w:snapToGrid w:val="0"/>
              <w:jc w:val="center"/>
              <w:rPr>
                <w:rFonts w:hint="eastAsia" w:ascii="Times New Roman" w:eastAsia="宋体" w:cs="Times New Roman"/>
                <w:b/>
                <w:bCs w:val="0"/>
                <w:color w:val="auto"/>
                <w:highlight w:val="none"/>
                <w:lang w:val="en-US" w:eastAsia="zh-CN"/>
              </w:rPr>
            </w:pPr>
          </w:p>
        </w:tc>
        <w:tc>
          <w:tcPr>
            <w:tcW w:w="2046" w:type="dxa"/>
            <w:noWrap w:val="0"/>
            <w:vAlign w:val="center"/>
          </w:tcPr>
          <w:p>
            <w:pPr>
              <w:adjustRightInd w:val="0"/>
              <w:snapToGrid w:val="0"/>
              <w:jc w:val="center"/>
              <w:rPr>
                <w:rFonts w:hint="eastAsia" w:ascii="Times New Roman" w:hAnsi="Calibri" w:eastAsia="宋体" w:cs="Times New Roman"/>
                <w:b/>
                <w:color w:val="auto"/>
                <w:highlight w:val="none"/>
                <w:lang w:eastAsia="zh-CN"/>
              </w:rPr>
            </w:pPr>
          </w:p>
        </w:tc>
        <w:tc>
          <w:tcPr>
            <w:tcW w:w="1322"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592" w:type="dxa"/>
            <w:noWrap w:val="0"/>
            <w:vAlign w:val="center"/>
          </w:tcPr>
          <w:p>
            <w:pPr>
              <w:pStyle w:val="145"/>
              <w:snapToGrid w:val="0"/>
              <w:jc w:val="center"/>
              <w:rPr>
                <w:rFonts w:hint="eastAsia" w:ascii="新宋体" w:hAnsi="新宋体" w:eastAsia="新宋体"/>
                <w:b/>
                <w:bCs w:val="0"/>
                <w:color w:val="auto"/>
                <w:sz w:val="22"/>
                <w:highlight w:val="none"/>
                <w:lang w:val="en-US" w:eastAsia="zh-CN"/>
              </w:rPr>
            </w:pPr>
          </w:p>
        </w:tc>
        <w:tc>
          <w:tcPr>
            <w:tcW w:w="1284" w:type="dxa"/>
            <w:noWrap w:val="0"/>
            <w:vAlign w:val="center"/>
          </w:tcPr>
          <w:p>
            <w:pPr>
              <w:pStyle w:val="145"/>
              <w:snapToGrid w:val="0"/>
              <w:jc w:val="center"/>
              <w:rPr>
                <w:rFonts w:hint="eastAsia" w:ascii="新宋体" w:hAnsi="新宋体" w:eastAsia="新宋体"/>
                <w:b/>
                <w:bCs w:val="0"/>
                <w:color w:val="auto"/>
                <w:sz w:val="22"/>
                <w:highlight w:val="none"/>
                <w:lang w:val="en-US" w:eastAsia="zh-CN"/>
              </w:rPr>
            </w:pPr>
          </w:p>
        </w:tc>
        <w:tc>
          <w:tcPr>
            <w:tcW w:w="2046" w:type="dxa"/>
            <w:noWrap w:val="0"/>
            <w:vAlign w:val="center"/>
          </w:tcPr>
          <w:p>
            <w:pPr>
              <w:adjustRightInd w:val="0"/>
              <w:snapToGrid w:val="0"/>
              <w:jc w:val="center"/>
              <w:rPr>
                <w:rFonts w:ascii="新宋体" w:hAnsi="新宋体" w:eastAsia="新宋体" w:cs="Times New Roman"/>
                <w:b/>
                <w:color w:val="auto"/>
                <w:sz w:val="22"/>
                <w:highlight w:val="none"/>
              </w:rPr>
            </w:pPr>
          </w:p>
        </w:tc>
        <w:tc>
          <w:tcPr>
            <w:tcW w:w="1322"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592" w:type="dxa"/>
            <w:noWrap w:val="0"/>
            <w:vAlign w:val="center"/>
          </w:tcPr>
          <w:p>
            <w:pPr>
              <w:pStyle w:val="145"/>
              <w:snapToGrid w:val="0"/>
              <w:jc w:val="center"/>
              <w:rPr>
                <w:rFonts w:hint="eastAsia" w:ascii="新宋体" w:hAnsi="新宋体" w:eastAsia="新宋体"/>
                <w:b/>
                <w:bCs w:val="0"/>
                <w:color w:val="auto"/>
                <w:sz w:val="22"/>
                <w:highlight w:val="none"/>
                <w:lang w:val="en-US" w:eastAsia="zh-CN"/>
              </w:rPr>
            </w:pPr>
          </w:p>
        </w:tc>
        <w:tc>
          <w:tcPr>
            <w:tcW w:w="1284" w:type="dxa"/>
            <w:noWrap w:val="0"/>
            <w:vAlign w:val="center"/>
          </w:tcPr>
          <w:p>
            <w:pPr>
              <w:pStyle w:val="145"/>
              <w:snapToGrid w:val="0"/>
              <w:jc w:val="center"/>
              <w:rPr>
                <w:rFonts w:hint="eastAsia" w:ascii="新宋体" w:hAnsi="新宋体" w:eastAsia="新宋体"/>
                <w:b/>
                <w:bCs w:val="0"/>
                <w:color w:val="auto"/>
                <w:sz w:val="22"/>
                <w:highlight w:val="none"/>
                <w:lang w:val="en-US" w:eastAsia="zh-CN"/>
              </w:rPr>
            </w:pPr>
          </w:p>
        </w:tc>
        <w:tc>
          <w:tcPr>
            <w:tcW w:w="2046" w:type="dxa"/>
            <w:noWrap w:val="0"/>
            <w:vAlign w:val="center"/>
          </w:tcPr>
          <w:p>
            <w:pPr>
              <w:adjustRightInd w:val="0"/>
              <w:snapToGrid w:val="0"/>
              <w:jc w:val="center"/>
              <w:rPr>
                <w:rFonts w:hint="eastAsia" w:ascii="新宋体" w:hAnsi="新宋体" w:eastAsia="新宋体" w:cs="Times New Roman"/>
                <w:b/>
                <w:color w:val="auto"/>
                <w:sz w:val="22"/>
                <w:highlight w:val="none"/>
                <w:lang w:eastAsia="zh-CN"/>
              </w:rPr>
            </w:pPr>
          </w:p>
        </w:tc>
        <w:tc>
          <w:tcPr>
            <w:tcW w:w="1322"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592" w:type="dxa"/>
            <w:noWrap w:val="0"/>
            <w:vAlign w:val="center"/>
          </w:tcPr>
          <w:p>
            <w:pPr>
              <w:pStyle w:val="145"/>
              <w:snapToGrid w:val="0"/>
              <w:jc w:val="center"/>
              <w:rPr>
                <w:rFonts w:hint="eastAsia" w:ascii="新宋体" w:hAnsi="新宋体" w:eastAsia="新宋体"/>
                <w:b/>
                <w:bCs w:val="0"/>
                <w:color w:val="auto"/>
                <w:sz w:val="22"/>
                <w:highlight w:val="none"/>
                <w:lang w:val="en-US" w:eastAsia="zh-CN"/>
              </w:rPr>
            </w:pPr>
          </w:p>
        </w:tc>
        <w:tc>
          <w:tcPr>
            <w:tcW w:w="1284" w:type="dxa"/>
            <w:noWrap w:val="0"/>
            <w:vAlign w:val="center"/>
          </w:tcPr>
          <w:p>
            <w:pPr>
              <w:pStyle w:val="145"/>
              <w:snapToGrid w:val="0"/>
              <w:jc w:val="center"/>
              <w:rPr>
                <w:rFonts w:hint="eastAsia" w:ascii="新宋体" w:hAnsi="新宋体" w:eastAsia="新宋体"/>
                <w:b/>
                <w:bCs w:val="0"/>
                <w:color w:val="auto"/>
                <w:sz w:val="22"/>
                <w:highlight w:val="none"/>
                <w:lang w:val="en-US" w:eastAsia="zh-CN"/>
              </w:rPr>
            </w:pPr>
          </w:p>
        </w:tc>
        <w:tc>
          <w:tcPr>
            <w:tcW w:w="2046" w:type="dxa"/>
            <w:noWrap w:val="0"/>
            <w:vAlign w:val="center"/>
          </w:tcPr>
          <w:p>
            <w:pPr>
              <w:adjustRightInd w:val="0"/>
              <w:snapToGrid w:val="0"/>
              <w:jc w:val="center"/>
              <w:rPr>
                <w:rFonts w:hint="eastAsia" w:ascii="新宋体" w:hAnsi="新宋体" w:eastAsia="新宋体" w:cs="Times New Roman"/>
                <w:b/>
                <w:color w:val="auto"/>
                <w:sz w:val="22"/>
                <w:highlight w:val="none"/>
                <w:lang w:eastAsia="zh-CN"/>
              </w:rPr>
            </w:pPr>
          </w:p>
        </w:tc>
        <w:tc>
          <w:tcPr>
            <w:tcW w:w="1322"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exact"/>
        </w:trPr>
        <w:tc>
          <w:tcPr>
            <w:tcW w:w="592" w:type="dxa"/>
            <w:noWrap w:val="0"/>
            <w:vAlign w:val="center"/>
          </w:tcPr>
          <w:p>
            <w:pPr>
              <w:adjustRightInd w:val="0"/>
              <w:snapToGrid w:val="0"/>
              <w:jc w:val="center"/>
              <w:rPr>
                <w:rFonts w:hint="eastAsia" w:ascii="新宋体" w:hAnsi="新宋体" w:eastAsia="新宋体" w:cs="Times New Roman"/>
                <w:b/>
                <w:color w:val="auto"/>
                <w:sz w:val="22"/>
                <w:highlight w:val="none"/>
                <w:lang w:eastAsia="zh-CN"/>
              </w:rPr>
            </w:pPr>
          </w:p>
        </w:tc>
        <w:tc>
          <w:tcPr>
            <w:tcW w:w="3330" w:type="dxa"/>
            <w:gridSpan w:val="2"/>
            <w:noWrap w:val="0"/>
            <w:vAlign w:val="center"/>
          </w:tcPr>
          <w:p>
            <w:pPr>
              <w:adjustRightInd w:val="0"/>
              <w:snapToGrid w:val="0"/>
              <w:jc w:val="center"/>
              <w:rPr>
                <w:rFonts w:ascii="新宋体" w:hAnsi="新宋体" w:eastAsia="新宋体" w:cs="Times New Roman"/>
                <w:b/>
                <w:color w:val="auto"/>
                <w:sz w:val="22"/>
                <w:highlight w:val="none"/>
              </w:rPr>
            </w:pPr>
            <w:r>
              <w:rPr>
                <w:rFonts w:hint="eastAsia" w:ascii="新宋体" w:hAnsi="新宋体" w:eastAsia="新宋体" w:cs="Times New Roman"/>
                <w:b/>
                <w:color w:val="auto"/>
                <w:sz w:val="22"/>
                <w:highlight w:val="none"/>
                <w:lang w:eastAsia="zh-CN"/>
              </w:rPr>
              <w:t>合计价（元）</w:t>
            </w:r>
          </w:p>
        </w:tc>
        <w:tc>
          <w:tcPr>
            <w:tcW w:w="1322"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c>
          <w:tcPr>
            <w:tcW w:w="1457" w:type="dxa"/>
            <w:noWrap w:val="0"/>
            <w:vAlign w:val="center"/>
          </w:tcPr>
          <w:p>
            <w:pPr>
              <w:pStyle w:val="145"/>
              <w:snapToGrid w:val="0"/>
              <w:jc w:val="center"/>
              <w:rPr>
                <w:rFonts w:ascii="新宋体" w:hAnsi="新宋体" w:eastAsia="新宋体"/>
                <w:color w:val="auto"/>
                <w:sz w:val="22"/>
                <w:highlight w:val="none"/>
              </w:rPr>
            </w:pPr>
          </w:p>
        </w:tc>
      </w:tr>
    </w:tbl>
    <w:p>
      <w:pPr>
        <w:ind w:firstLine="420" w:firstLineChars="200"/>
        <w:rPr>
          <w:rFonts w:hint="eastAsia" w:ascii="Arial" w:hAnsi="Arial" w:cs="Arial"/>
          <w:color w:val="auto"/>
          <w:highlight w:val="none"/>
          <w:lang w:val="en-US" w:eastAsia="zh-CN"/>
        </w:rPr>
      </w:pPr>
    </w:p>
    <w:p>
      <w:pPr>
        <w:spacing w:line="360" w:lineRule="auto"/>
        <w:ind w:firstLine="420" w:firstLineChars="200"/>
        <w:rPr>
          <w:rFonts w:hint="eastAsia" w:ascii="Arial" w:hAnsi="Arial" w:cs="Arial"/>
          <w:color w:val="auto"/>
          <w:highlight w:val="none"/>
        </w:rPr>
      </w:pPr>
      <w:r>
        <w:rPr>
          <w:rFonts w:hint="eastAsia" w:ascii="Arial" w:hAnsi="Arial" w:cs="Arial"/>
          <w:color w:val="auto"/>
          <w:highlight w:val="none"/>
          <w:lang w:val="en-US" w:eastAsia="zh-CN"/>
        </w:rPr>
        <w:t>注：</w:t>
      </w:r>
      <w:r>
        <w:rPr>
          <w:rFonts w:hint="eastAsia" w:ascii="Arial" w:hAnsi="Arial" w:cs="Arial"/>
          <w:color w:val="auto"/>
          <w:highlight w:val="none"/>
        </w:rPr>
        <w:t>1、本表仅供参考，各供应商可根据投标方案自行编制报价明细表；</w:t>
      </w:r>
    </w:p>
    <w:p>
      <w:pPr>
        <w:spacing w:line="360" w:lineRule="auto"/>
        <w:ind w:firstLine="420" w:firstLineChars="200"/>
        <w:rPr>
          <w:rFonts w:hint="eastAsia" w:ascii="Arial" w:hAnsi="Arial" w:cs="Arial"/>
          <w:color w:val="auto"/>
          <w:highlight w:val="none"/>
        </w:rPr>
      </w:pPr>
      <w:r>
        <w:rPr>
          <w:rFonts w:hint="eastAsia" w:ascii="Arial" w:hAnsi="Arial" w:cs="Arial"/>
          <w:color w:val="auto"/>
          <w:highlight w:val="none"/>
        </w:rPr>
        <w:t>2、本表所列费用为本项目的全部费用，除此外，不允许增加任何费用。</w:t>
      </w:r>
    </w:p>
    <w:p>
      <w:pPr>
        <w:spacing w:line="360" w:lineRule="auto"/>
        <w:ind w:firstLine="420" w:firstLineChars="200"/>
        <w:rPr>
          <w:rFonts w:hint="eastAsia" w:ascii="Arial" w:hAnsi="Arial" w:cs="Arial"/>
          <w:color w:val="auto"/>
          <w:highlight w:val="none"/>
        </w:rPr>
      </w:pPr>
      <w:r>
        <w:rPr>
          <w:rFonts w:hint="eastAsia" w:ascii="Arial" w:hAnsi="Arial" w:cs="Arial"/>
          <w:color w:val="auto"/>
          <w:highlight w:val="none"/>
        </w:rPr>
        <w:t>3、此表合计价应与“</w:t>
      </w:r>
      <w:r>
        <w:rPr>
          <w:rFonts w:hint="eastAsia" w:ascii="Arial" w:hAnsi="Arial" w:cs="Arial"/>
          <w:color w:val="auto"/>
          <w:highlight w:val="none"/>
          <w:lang w:val="en-US" w:eastAsia="zh-CN"/>
        </w:rPr>
        <w:t>一-1</w:t>
      </w:r>
      <w:r>
        <w:rPr>
          <w:rFonts w:hint="eastAsia" w:ascii="Arial" w:hAnsi="Arial" w:cs="Arial"/>
          <w:color w:val="auto"/>
          <w:highlight w:val="none"/>
        </w:rPr>
        <w:t xml:space="preserve"> </w:t>
      </w:r>
      <w:r>
        <w:rPr>
          <w:rFonts w:hint="eastAsia" w:ascii="Arial" w:hAnsi="Arial" w:cs="Arial"/>
          <w:color w:val="auto"/>
          <w:highlight w:val="none"/>
          <w:lang w:val="en-US" w:eastAsia="zh-CN"/>
        </w:rPr>
        <w:t>开标</w:t>
      </w:r>
      <w:r>
        <w:rPr>
          <w:rFonts w:hint="eastAsia" w:ascii="Arial" w:hAnsi="Arial" w:cs="Arial"/>
          <w:color w:val="auto"/>
          <w:highlight w:val="none"/>
        </w:rPr>
        <w:t>一览表”</w:t>
      </w:r>
      <w:r>
        <w:rPr>
          <w:rFonts w:hint="eastAsia"/>
          <w:color w:val="auto"/>
          <w:highlight w:val="none"/>
        </w:rPr>
        <w:t xml:space="preserve"> </w:t>
      </w:r>
      <w:r>
        <w:rPr>
          <w:rFonts w:hint="eastAsia"/>
          <w:color w:val="auto"/>
          <w:highlight w:val="none"/>
          <w:lang w:eastAsia="zh-CN"/>
        </w:rPr>
        <w:t>投标</w:t>
      </w:r>
      <w:r>
        <w:rPr>
          <w:rFonts w:hint="eastAsia"/>
          <w:color w:val="auto"/>
          <w:highlight w:val="none"/>
          <w:lang w:val="en-US" w:eastAsia="zh-CN"/>
        </w:rPr>
        <w:t>报价</w:t>
      </w:r>
      <w:r>
        <w:rPr>
          <w:rFonts w:hint="eastAsia" w:ascii="Arial" w:hAnsi="Arial" w:cs="Arial"/>
          <w:color w:val="auto"/>
          <w:highlight w:val="none"/>
        </w:rPr>
        <w:t>相一致。</w:t>
      </w: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p>
    <w:p>
      <w:pPr>
        <w:autoSpaceDE w:val="0"/>
        <w:autoSpaceDN w:val="0"/>
        <w:spacing w:line="360" w:lineRule="auto"/>
        <w:ind w:left="2" w:leftChars="1" w:right="1120" w:firstLine="3990" w:firstLineChars="19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w:t>
      </w:r>
      <w:r>
        <w:rPr>
          <w:rFonts w:hint="eastAsia" w:ascii="宋体" w:hAnsi="宋体" w:eastAsia="宋体" w:cs="宋体"/>
          <w:color w:val="auto"/>
          <w:sz w:val="21"/>
          <w:szCs w:val="21"/>
          <w:highlight w:val="none"/>
        </w:rPr>
        <w:t>电子签名</w:t>
      </w:r>
      <w:r>
        <w:rPr>
          <w:rFonts w:hint="eastAsia" w:ascii="宋体" w:hAnsi="宋体" w:eastAsia="宋体" w:cs="宋体"/>
          <w:color w:val="auto"/>
          <w:sz w:val="21"/>
          <w:szCs w:val="21"/>
          <w:highlight w:val="none"/>
          <w:lang w:val="en-US" w:eastAsia="zh-CN"/>
        </w:rPr>
        <w:t>或公章</w:t>
      </w:r>
      <w:r>
        <w:rPr>
          <w:rFonts w:hint="eastAsia" w:ascii="宋体" w:hAnsi="宋体" w:eastAsia="宋体" w:cs="宋体"/>
          <w:color w:val="auto"/>
          <w:kern w:val="0"/>
          <w:sz w:val="21"/>
          <w:szCs w:val="21"/>
          <w:highlight w:val="none"/>
          <w:lang w:val="zh-CN"/>
        </w:rPr>
        <w:t xml:space="preserve">）：                                                                                                                                                                                                               </w:t>
      </w:r>
    </w:p>
    <w:p>
      <w:pPr>
        <w:spacing w:line="360" w:lineRule="auto"/>
        <w:ind w:left="4620" w:leftChars="2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 xml:space="preserve">   年   月   日</w:t>
      </w:r>
    </w:p>
    <w:p>
      <w:pPr>
        <w:pStyle w:val="3"/>
        <w:numPr>
          <w:ilvl w:val="1"/>
          <w:numId w:val="0"/>
        </w:numPr>
        <w:tabs>
          <w:tab w:val="left" w:pos="840"/>
        </w:tabs>
        <w:spacing w:before="0" w:after="156" w:afterLines="50" w:line="400" w:lineRule="exact"/>
        <w:jc w:val="center"/>
        <w:rPr>
          <w:rFonts w:hint="eastAsia" w:ascii="宋体" w:hAnsi="宋体" w:eastAsia="宋体" w:cs="宋体"/>
          <w:b/>
          <w:color w:val="auto"/>
          <w:sz w:val="28"/>
          <w:szCs w:val="28"/>
          <w:highlight w:val="none"/>
        </w:rPr>
      </w:pPr>
      <w:r>
        <w:rPr>
          <w:rFonts w:hint="eastAsia" w:ascii="宋体" w:hAnsi="宋体" w:eastAsia="宋体" w:cs="宋体"/>
          <w:b/>
          <w:bCs w:val="0"/>
          <w:color w:val="auto"/>
          <w:kern w:val="2"/>
          <w:sz w:val="28"/>
          <w:szCs w:val="28"/>
          <w:highlight w:val="none"/>
          <w:lang w:val="en-US" w:eastAsia="zh-CN"/>
        </w:rPr>
        <w:br w:type="page"/>
      </w:r>
      <w:r>
        <w:rPr>
          <w:rFonts w:hint="eastAsia" w:ascii="宋体" w:hAnsi="宋体" w:eastAsia="宋体" w:cs="宋体"/>
          <w:b/>
          <w:bCs/>
          <w:color w:val="auto"/>
          <w:sz w:val="28"/>
          <w:szCs w:val="28"/>
          <w:highlight w:val="none"/>
          <w:lang w:val="en-US" w:eastAsia="zh-CN"/>
        </w:rPr>
        <w:t>二</w:t>
      </w:r>
      <w:bookmarkEnd w:id="827"/>
      <w:bookmarkEnd w:id="828"/>
      <w:r>
        <w:rPr>
          <w:rFonts w:hint="eastAsia" w:ascii="宋体" w:hAnsi="宋体" w:eastAsia="宋体" w:cs="宋体"/>
          <w:b/>
          <w:bCs/>
          <w:color w:val="auto"/>
          <w:sz w:val="28"/>
          <w:szCs w:val="28"/>
          <w:highlight w:val="none"/>
          <w:lang w:val="en-US" w:eastAsia="zh-CN"/>
        </w:rPr>
        <w:t>-1、</w:t>
      </w:r>
      <w:r>
        <w:rPr>
          <w:rFonts w:hint="eastAsia" w:ascii="宋体" w:hAnsi="宋体" w:eastAsia="宋体" w:cs="宋体"/>
          <w:b/>
          <w:color w:val="auto"/>
          <w:sz w:val="28"/>
          <w:szCs w:val="28"/>
          <w:highlight w:val="none"/>
        </w:rPr>
        <w:t>中小企业声明函（货物）</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hint="eastAsia" w:ascii="宋体" w:hAnsi="宋体" w:cs="宋体"/>
          <w:color w:val="auto"/>
          <w:sz w:val="24"/>
          <w:highlight w:val="none"/>
        </w:rPr>
        <w:t>﹝</w:t>
      </w:r>
      <w:r>
        <w:rPr>
          <w:rFonts w:ascii="仿宋_GB2312" w:hAnsi="宋体" w:eastAsia="仿宋_GB2312"/>
          <w:color w:val="auto"/>
          <w:sz w:val="24"/>
          <w:highlight w:val="none"/>
        </w:rPr>
        <w:t>2020</w:t>
      </w:r>
      <w:r>
        <w:rPr>
          <w:rFonts w:hint="eastAsia" w:ascii="宋体" w:hAnsi="宋体" w:cs="宋体"/>
          <w:color w:val="auto"/>
          <w:sz w:val="24"/>
          <w:highlight w:val="none"/>
        </w:rPr>
        <w:t>﹞</w:t>
      </w:r>
      <w:r>
        <w:rPr>
          <w:rFonts w:ascii="仿宋_GB2312" w:hAnsi="宋体" w:eastAsia="仿宋_GB2312"/>
          <w:color w:val="auto"/>
          <w:sz w:val="24"/>
          <w:highlight w:val="none"/>
        </w:rPr>
        <w:t xml:space="preserve">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u w:val="single"/>
        </w:rPr>
        <w:t>（</w:t>
      </w:r>
      <w:r>
        <w:rPr>
          <w:rFonts w:hint="eastAsia" w:ascii="仿宋_GB2312" w:hAnsi="宋体" w:eastAsia="仿宋_GB2312"/>
          <w:color w:val="auto"/>
          <w:sz w:val="24"/>
          <w:highlight w:val="none"/>
          <w:u w:val="single"/>
          <w:lang w:val="en-US" w:eastAsia="zh-CN"/>
        </w:rPr>
        <w:t>采购人</w:t>
      </w:r>
      <w:r>
        <w:rPr>
          <w:rFonts w:hint="eastAsia" w:ascii="仿宋_GB2312" w:hAnsi="宋体" w:eastAsia="仿宋_GB2312"/>
          <w:color w:val="auto"/>
          <w:sz w:val="24"/>
          <w:highlight w:val="none"/>
          <w:u w:val="single"/>
        </w:rPr>
        <w:t>）</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rPr>
        <w:t>（项目名称）</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highlight w:val="none"/>
        </w:rPr>
      </w:pPr>
      <w:r>
        <w:rPr>
          <w:rFonts w:ascii="仿宋_GB2312" w:hAnsi="宋体" w:eastAsia="仿宋_GB2312"/>
          <w:color w:val="auto"/>
          <w:sz w:val="24"/>
          <w:highlight w:val="none"/>
        </w:rPr>
        <w:t>1.</w:t>
      </w:r>
      <w:r>
        <w:rPr>
          <w:color w:val="auto"/>
          <w:highlight w:val="none"/>
          <w:u w:val="single"/>
        </w:rPr>
        <w:t xml:space="preserve"> </w:t>
      </w:r>
      <w:r>
        <w:rPr>
          <w:rFonts w:hint="eastAsia"/>
          <w:color w:val="auto"/>
          <w:highlight w:val="none"/>
          <w:u w:val="single"/>
          <w:lang w:val="en-US" w:eastAsia="zh-CN"/>
        </w:rPr>
        <w:t>经颅磁设备</w:t>
      </w:r>
      <w:r>
        <w:rPr>
          <w:rFonts w:ascii="仿宋_GB2312" w:hAnsi="宋体" w:eastAsia="仿宋_GB2312"/>
          <w:color w:val="auto"/>
          <w:sz w:val="24"/>
          <w:highlight w:val="none"/>
          <w:u w:val="single"/>
        </w:rPr>
        <w:t xml:space="preserve"> </w:t>
      </w:r>
      <w:r>
        <w:rPr>
          <w:rFonts w:ascii="仿宋_GB2312" w:hAnsi="宋体" w:eastAsia="仿宋_GB2312"/>
          <w:color w:val="auto"/>
          <w:sz w:val="24"/>
          <w:highlight w:val="none"/>
        </w:rPr>
        <w:t xml:space="preserve">，属于 </w:t>
      </w:r>
      <w:r>
        <w:rPr>
          <w:rFonts w:hint="eastAsia" w:ascii="仿宋_GB2312" w:hAnsi="宋体" w:eastAsia="仿宋_GB2312"/>
          <w:color w:val="auto"/>
          <w:sz w:val="24"/>
          <w:highlight w:val="none"/>
          <w:u w:val="single"/>
          <w:lang w:val="en-US" w:eastAsia="zh-CN"/>
        </w:rPr>
        <w:t>工业</w:t>
      </w:r>
      <w:r>
        <w:rPr>
          <w:rFonts w:hint="eastAsia" w:ascii="仿宋_GB2312" w:hAnsi="宋体" w:eastAsia="仿宋_GB2312"/>
          <w:color w:val="auto"/>
          <w:sz w:val="24"/>
          <w:highlight w:val="none"/>
        </w:rPr>
        <w:t>行业</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；制造商为</w:t>
      </w:r>
      <w:r>
        <w:rPr>
          <w:rFonts w:ascii="仿宋_GB2312" w:hAnsi="宋体" w:eastAsia="仿宋_GB2312"/>
          <w:color w:val="auto"/>
          <w:sz w:val="24"/>
          <w:highlight w:val="none"/>
          <w:u w:val="single"/>
        </w:rPr>
        <w:t xml:space="preserve"> （企业名称）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万元，属于</w:t>
      </w:r>
      <w:r>
        <w:rPr>
          <w:rFonts w:ascii="仿宋_GB2312" w:hAnsi="宋体" w:eastAsia="仿宋_GB2312"/>
          <w:color w:val="auto"/>
          <w:sz w:val="24"/>
          <w:highlight w:val="none"/>
          <w:u w:val="single"/>
        </w:rPr>
        <w:t xml:space="preserve"> （中型企业、小型企业、微型企业）</w:t>
      </w:r>
      <w:r>
        <w:rPr>
          <w:rFonts w:ascii="仿宋_GB2312" w:hAnsi="宋体" w:eastAsia="仿宋_GB2312"/>
          <w:color w:val="auto"/>
          <w:sz w:val="24"/>
          <w:highlight w:val="none"/>
        </w:rPr>
        <w:t xml:space="preserve"> ；</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rPr>
          <w:color w:val="auto"/>
          <w:highlight w:val="none"/>
        </w:rPr>
      </w:pP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p>
    <w:p>
      <w:pPr>
        <w:snapToGrid w:val="0"/>
        <w:spacing w:line="360" w:lineRule="auto"/>
        <w:ind w:firstLine="5160" w:firstLineChars="21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hint="eastAsia"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left"/>
        <w:rPr>
          <w:rFonts w:hint="eastAsia" w:ascii="仿宋_GB2312" w:hAnsi="宋体" w:eastAsia="仿宋_GB2312"/>
          <w:color w:val="auto"/>
          <w:sz w:val="18"/>
          <w:szCs w:val="18"/>
          <w:highlight w:val="none"/>
        </w:rPr>
      </w:pPr>
    </w:p>
    <w:p>
      <w:pPr>
        <w:spacing w:line="360" w:lineRule="auto"/>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w:t>
      </w:r>
    </w:p>
    <w:p>
      <w:pPr>
        <w:numPr>
          <w:ilvl w:val="0"/>
          <w:numId w:val="0"/>
        </w:numPr>
        <w:spacing w:line="360" w:lineRule="auto"/>
        <w:ind w:right="420" w:firstLine="480" w:firstLineChars="200"/>
        <w:rPr>
          <w:rFonts w:hint="eastAsia" w:ascii="仿宋_GB2312" w:hAnsi="仿宋" w:eastAsia="仿宋_GB2312" w:cs="仿宋_GB2312"/>
          <w:color w:val="auto"/>
          <w:sz w:val="24"/>
          <w:highlight w:val="none"/>
          <w:lang w:val="en-US" w:eastAsia="zh-CN"/>
        </w:rPr>
      </w:pPr>
      <w:r>
        <w:rPr>
          <w:rFonts w:hint="eastAsia" w:ascii="仿宋_GB2312" w:hAnsi="仿宋" w:eastAsia="仿宋_GB2312" w:cs="仿宋_GB2312"/>
          <w:color w:val="auto"/>
          <w:sz w:val="24"/>
          <w:highlight w:val="none"/>
          <w:lang w:val="en-US" w:eastAsia="zh-CN"/>
        </w:rPr>
        <w:t>1.</w:t>
      </w:r>
      <w:r>
        <w:rPr>
          <w:rFonts w:hint="eastAsia" w:ascii="仿宋_GB2312" w:hAnsi="仿宋" w:eastAsia="仿宋_GB2312" w:cs="仿宋_GB2312"/>
          <w:color w:val="auto"/>
          <w:sz w:val="24"/>
          <w:highlight w:val="none"/>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w:t>
      </w:r>
    </w:p>
    <w:p>
      <w:pPr>
        <w:numPr>
          <w:ilvl w:val="0"/>
          <w:numId w:val="0"/>
        </w:num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w:t>
      </w:r>
      <w:r>
        <w:rPr>
          <w:rFonts w:hint="eastAsia" w:ascii="仿宋_GB2312" w:hAnsi="仿宋" w:eastAsia="仿宋_GB2312" w:cs="仿宋_GB2312"/>
          <w:color w:val="auto"/>
          <w:sz w:val="24"/>
          <w:highlight w:val="none"/>
        </w:rPr>
        <w:t>符合《关于促进残疾人就业政府采购政策的通知》（财库〔</w:t>
      </w:r>
      <w:r>
        <w:rPr>
          <w:rFonts w:ascii="仿宋_GB2312" w:hAnsi="仿宋" w:eastAsia="仿宋_GB2312" w:cs="仿宋_GB2312"/>
          <w:color w:val="auto"/>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420" w:firstLine="420" w:firstLineChars="200"/>
        <w:textAlignment w:val="auto"/>
        <w:rPr>
          <w:rFonts w:hint="eastAsia" w:ascii="宋体" w:hAnsi="宋体" w:eastAsia="宋体" w:cs="宋体"/>
          <w:color w:val="auto"/>
          <w:sz w:val="21"/>
          <w:szCs w:val="21"/>
          <w:highlight w:val="none"/>
        </w:rPr>
      </w:pPr>
    </w:p>
    <w:p>
      <w:pPr>
        <w:keepNext/>
        <w:keepLines/>
        <w:pageBreakBefore w:val="0"/>
        <w:widowControl w:val="0"/>
        <w:numPr>
          <w:ilvl w:val="0"/>
          <w:numId w:val="0"/>
        </w:numPr>
        <w:tabs>
          <w:tab w:val="left" w:pos="840"/>
        </w:tabs>
        <w:kinsoku/>
        <w:wordWrap/>
        <w:overflowPunct/>
        <w:topLinePunct w:val="0"/>
        <w:autoSpaceDE/>
        <w:autoSpaceDN/>
        <w:bidi w:val="0"/>
        <w:adjustRightInd/>
        <w:snapToGrid/>
        <w:spacing w:before="0" w:after="156" w:afterLines="50" w:line="400" w:lineRule="exact"/>
        <w:ind w:leftChars="0"/>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r>
        <w:rPr>
          <w:rFonts w:hint="eastAsia" w:ascii="宋体" w:hAnsi="宋体" w:eastAsia="宋体" w:cs="宋体"/>
          <w:b/>
          <w:bCs/>
          <w:color w:val="auto"/>
          <w:sz w:val="28"/>
          <w:szCs w:val="28"/>
          <w:highlight w:val="none"/>
          <w:lang w:val="en-US" w:eastAsia="zh-CN"/>
        </w:rPr>
        <w:t>中小企业划型标准</w:t>
      </w:r>
      <w:r>
        <w:rPr>
          <w:rFonts w:hint="eastAsia" w:ascii="Times New Roman" w:hAnsi="Times New Roman" w:eastAsia="宋体" w:cs="宋体"/>
          <w:caps w:val="0"/>
          <w:color w:val="auto"/>
          <w:highlight w:val="none"/>
        </w:rPr>
        <w:drawing>
          <wp:anchor distT="0" distB="0" distL="114300" distR="114300" simplePos="0" relativeHeight="251660288" behindDoc="1" locked="0" layoutInCell="1" allowOverlap="1">
            <wp:simplePos x="0" y="0"/>
            <wp:positionH relativeFrom="column">
              <wp:posOffset>-21590</wp:posOffset>
            </wp:positionH>
            <wp:positionV relativeFrom="page">
              <wp:posOffset>1274445</wp:posOffset>
            </wp:positionV>
            <wp:extent cx="5498465" cy="8139430"/>
            <wp:effectExtent l="0" t="0" r="6985" b="13970"/>
            <wp:wrapTight wrapText="bothSides">
              <wp:wrapPolygon>
                <wp:start x="21592" y="-2"/>
                <wp:lineTo x="0" y="0"/>
                <wp:lineTo x="0" y="21600"/>
                <wp:lineTo x="21592" y="21602"/>
                <wp:lineTo x="8" y="21602"/>
                <wp:lineTo x="21600" y="21600"/>
                <wp:lineTo x="21600" y="0"/>
                <wp:lineTo x="8" y="-2"/>
                <wp:lineTo x="21592" y="-2"/>
              </wp:wrapPolygon>
            </wp:wrapTight>
            <wp:docPr id="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7"/>
                    <pic:cNvPicPr>
                      <a:picLocks noChangeAspect="1"/>
                    </pic:cNvPicPr>
                  </pic:nvPicPr>
                  <pic:blipFill>
                    <a:blip r:embed="rId26"/>
                    <a:stretch>
                      <a:fillRect/>
                    </a:stretch>
                  </pic:blipFill>
                  <pic:spPr>
                    <a:xfrm>
                      <a:off x="0" y="0"/>
                      <a:ext cx="5498465" cy="8139430"/>
                    </a:xfrm>
                    <a:prstGeom prst="rect">
                      <a:avLst/>
                    </a:prstGeom>
                    <a:noFill/>
                    <a:ln>
                      <a:noFill/>
                    </a:ln>
                  </pic:spPr>
                </pic:pic>
              </a:graphicData>
            </a:graphic>
          </wp:anchor>
        </w:drawing>
      </w:r>
      <w:r>
        <w:rPr>
          <w:rFonts w:hint="eastAsia" w:ascii="宋体" w:hAnsi="宋体" w:eastAsia="宋体" w:cs="宋体"/>
          <w:b/>
          <w:bCs/>
          <w:color w:val="auto"/>
          <w:sz w:val="28"/>
          <w:szCs w:val="28"/>
          <w:highlight w:val="none"/>
        </w:rPr>
        <w:br w:type="page"/>
      </w:r>
      <w:r>
        <w:rPr>
          <w:rFonts w:hint="eastAsia" w:ascii="宋体" w:hAnsi="宋体" w:eastAsia="宋体" w:cs="宋体"/>
          <w:b/>
          <w:bCs/>
          <w:color w:val="auto"/>
          <w:sz w:val="28"/>
          <w:szCs w:val="28"/>
          <w:highlight w:val="none"/>
          <w:lang w:val="en-US" w:eastAsia="zh-CN"/>
        </w:rPr>
        <w:t xml:space="preserve">二-2 </w:t>
      </w:r>
      <w:r>
        <w:rPr>
          <w:rFonts w:hint="eastAsia" w:ascii="宋体" w:hAnsi="宋体" w:eastAsia="宋体" w:cs="宋体"/>
          <w:b/>
          <w:bCs/>
          <w:color w:val="auto"/>
          <w:sz w:val="28"/>
          <w:szCs w:val="28"/>
          <w:highlight w:val="none"/>
        </w:rPr>
        <w:t>残疾人福利性单位声明函</w:t>
      </w:r>
    </w:p>
    <w:p>
      <w:pPr>
        <w:spacing w:line="360" w:lineRule="auto"/>
        <w:rPr>
          <w:rFonts w:ascii="仿宋_GB2312" w:hAnsi="仿宋" w:eastAsia="仿宋_GB2312"/>
          <w:b/>
          <w:color w:val="auto"/>
          <w:spacing w:val="6"/>
          <w:sz w:val="30"/>
          <w:szCs w:val="30"/>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b w:val="0"/>
          <w:bCs w:val="0"/>
          <w:color w:val="auto"/>
          <w:sz w:val="21"/>
          <w:szCs w:val="21"/>
          <w:highlight w:val="none"/>
          <w:u w:val="single"/>
        </w:rPr>
        <w:t>__</w:t>
      </w:r>
      <w:r>
        <w:rPr>
          <w:rFonts w:hint="eastAsia" w:ascii="宋体" w:hAnsi="宋体" w:eastAsia="宋体" w:cs="宋体"/>
          <w:b w:val="0"/>
          <w:bCs w:val="0"/>
          <w:color w:val="auto"/>
          <w:sz w:val="21"/>
          <w:szCs w:val="21"/>
          <w:highlight w:val="none"/>
          <w:u w:val="single"/>
          <w:lang w:val="en-US" w:eastAsia="zh-CN"/>
        </w:rPr>
        <w:t>(采购人)</w:t>
      </w:r>
      <w:r>
        <w:rPr>
          <w:rFonts w:hint="eastAsia" w:ascii="宋体" w:hAnsi="宋体" w:eastAsia="宋体" w:cs="宋体"/>
          <w:b w:val="0"/>
          <w:bCs w:val="0"/>
          <w:color w:val="auto"/>
          <w:sz w:val="21"/>
          <w:szCs w:val="21"/>
          <w:highlight w:val="none"/>
          <w:u w:val="single"/>
        </w:rPr>
        <w:t>___</w:t>
      </w:r>
      <w:r>
        <w:rPr>
          <w:rFonts w:hint="eastAsia" w:ascii="宋体" w:hAnsi="宋体" w:eastAsia="宋体" w:cs="宋体"/>
          <w:color w:val="auto"/>
          <w:sz w:val="21"/>
          <w:szCs w:val="21"/>
          <w:highlight w:val="none"/>
        </w:rPr>
        <w:t>单位的</w:t>
      </w:r>
      <w:r>
        <w:rPr>
          <w:rFonts w:hint="eastAsia" w:ascii="宋体" w:hAnsi="宋体" w:eastAsia="宋体" w:cs="宋体"/>
          <w:color w:val="auto"/>
          <w:sz w:val="21"/>
          <w:szCs w:val="21"/>
          <w:highlight w:val="none"/>
          <w:u w:val="single"/>
        </w:rPr>
        <w:t>_</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项目名称</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_</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项目编号：</w:t>
      </w:r>
      <w:r>
        <w:rPr>
          <w:rFonts w:hint="eastAsia" w:ascii="宋体" w:hAnsi="宋体" w:eastAsia="宋体" w:cs="宋体"/>
          <w:color w:val="auto"/>
          <w:sz w:val="21"/>
          <w:szCs w:val="21"/>
          <w:highlight w:val="none"/>
          <w:u w:val="single"/>
        </w:rPr>
        <w:t>_</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项目编号</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_</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本单位对上述声明的真实性负责。如有虚假，将依法承担相应责任。</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p>
    <w:p>
      <w:pPr>
        <w:tabs>
          <w:tab w:val="left" w:pos="4860"/>
        </w:tabs>
        <w:spacing w:line="360" w:lineRule="auto"/>
        <w:ind w:right="1560"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kern w:val="0"/>
          <w:sz w:val="21"/>
          <w:szCs w:val="21"/>
          <w:highlight w:val="none"/>
          <w:lang w:val="zh-CN"/>
        </w:rPr>
        <w:t>投标人名称（电子签名</w:t>
      </w:r>
      <w:r>
        <w:rPr>
          <w:rFonts w:hint="eastAsia" w:ascii="宋体" w:hAnsi="宋体" w:eastAsia="宋体" w:cs="宋体"/>
          <w:color w:val="auto"/>
          <w:kern w:val="0"/>
          <w:sz w:val="21"/>
          <w:szCs w:val="21"/>
          <w:highlight w:val="none"/>
          <w:lang w:val="en-US" w:eastAsia="zh-CN"/>
        </w:rPr>
        <w:t>或公章</w:t>
      </w: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sz w:val="21"/>
          <w:szCs w:val="21"/>
          <w:highlight w:val="none"/>
        </w:rPr>
        <w:t>：</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1559"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1559" w:firstLine="0" w:firstLineChars="0"/>
        <w:jc w:val="center"/>
        <w:textAlignment w:val="auto"/>
        <w:outlineLvl w:val="0"/>
        <w:rPr>
          <w:rFonts w:hint="eastAsia" w:ascii="宋体" w:hAnsi="宋体" w:eastAsia="宋体" w:cs="宋体"/>
          <w:b/>
          <w:color w:val="auto"/>
          <w:sz w:val="28"/>
          <w:szCs w:val="36"/>
          <w:highlight w:val="none"/>
        </w:rPr>
      </w:pPr>
      <w:r>
        <w:rPr>
          <w:rFonts w:hint="eastAsia" w:ascii="宋体" w:hAnsi="宋体" w:eastAsia="宋体" w:cs="宋体"/>
          <w:b/>
          <w:color w:val="auto"/>
          <w:kern w:val="0"/>
          <w:sz w:val="28"/>
          <w:szCs w:val="28"/>
          <w:highlight w:val="none"/>
        </w:rPr>
        <w:br w:type="page"/>
      </w:r>
      <w:bookmarkStart w:id="829" w:name="_Toc30552"/>
      <w:bookmarkStart w:id="830" w:name="_Toc6014"/>
      <w:bookmarkStart w:id="831" w:name="_Toc7815"/>
      <w:r>
        <w:rPr>
          <w:rFonts w:hint="eastAsia" w:ascii="宋体" w:hAnsi="宋体" w:eastAsia="宋体" w:cs="宋体"/>
          <w:b/>
          <w:color w:val="auto"/>
          <w:kern w:val="44"/>
          <w:sz w:val="28"/>
          <w:szCs w:val="36"/>
          <w:highlight w:val="none"/>
          <w:lang w:val="en-US" w:eastAsia="zh-CN" w:bidi="ar-SA"/>
        </w:rPr>
        <w:t>第七部分 实质性响应条款及无效标条款</w:t>
      </w:r>
      <w:bookmarkEnd w:id="829"/>
      <w:bookmarkEnd w:id="830"/>
      <w:bookmarkEnd w:id="831"/>
    </w:p>
    <w:p>
      <w:pPr>
        <w:pStyle w:val="26"/>
        <w:widowControl/>
        <w:numPr>
          <w:ilvl w:val="0"/>
          <w:numId w:val="18"/>
        </w:numPr>
        <w:spacing w:line="360" w:lineRule="auto"/>
        <w:ind w:lef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实质性条款</w:t>
      </w:r>
    </w:p>
    <w:p>
      <w:pPr>
        <w:widowControl/>
        <w:numPr>
          <w:ilvl w:val="0"/>
          <w:numId w:val="19"/>
        </w:numPr>
        <w:tabs>
          <w:tab w:val="left" w:pos="0"/>
        </w:tabs>
        <w:spacing w:line="360" w:lineRule="auto"/>
        <w:ind w:left="5" w:firstLine="415" w:firstLineChars="197"/>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预算金额（最高限价）：</w:t>
      </w:r>
      <w:r>
        <w:rPr>
          <w:rFonts w:hint="eastAsia" w:ascii="宋体" w:hAnsi="宋体" w:cs="宋体"/>
          <w:b/>
          <w:bCs/>
          <w:color w:val="auto"/>
          <w:sz w:val="21"/>
          <w:szCs w:val="21"/>
          <w:highlight w:val="none"/>
          <w:lang w:val="en-US" w:eastAsia="zh-CN"/>
        </w:rPr>
        <w:t>45</w:t>
      </w:r>
      <w:r>
        <w:rPr>
          <w:rFonts w:hint="eastAsia" w:ascii="宋体" w:hAnsi="宋体" w:eastAsia="宋体" w:cs="宋体"/>
          <w:b/>
          <w:bCs/>
          <w:color w:val="auto"/>
          <w:sz w:val="21"/>
          <w:szCs w:val="21"/>
          <w:highlight w:val="none"/>
          <w:lang w:val="en-US" w:eastAsia="zh-CN"/>
        </w:rPr>
        <w:t>万元。</w:t>
      </w:r>
    </w:p>
    <w:p>
      <w:pPr>
        <w:widowControl/>
        <w:numPr>
          <w:ilvl w:val="0"/>
          <w:numId w:val="19"/>
        </w:numPr>
        <w:tabs>
          <w:tab w:val="left" w:pos="0"/>
        </w:tabs>
        <w:spacing w:line="360" w:lineRule="auto"/>
        <w:ind w:left="5" w:firstLine="413" w:firstLineChars="19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申请人的资格要求</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宋体" w:hAnsi="宋体" w:eastAsia="宋体" w:cs="宋体"/>
          <w:color w:val="auto"/>
          <w:sz w:val="21"/>
          <w:szCs w:val="21"/>
          <w:highlight w:val="none"/>
          <w:lang w:eastAsia="zh-CN"/>
        </w:rPr>
        <w:t>。</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2.落实政府采购政策需满足的资格要求：本项目服务全部由符合政策要求的中小微企业承接（残疾人福利性单位和监狱企业视同小型、微型企业）。</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3.本项目的特定资格要求：</w:t>
      </w:r>
      <w:r>
        <w:rPr>
          <w:rFonts w:hint="eastAsia" w:ascii="宋体" w:hAnsi="宋体" w:eastAsia="宋体" w:cs="宋体"/>
          <w:b/>
          <w:bCs/>
          <w:color w:val="auto"/>
          <w:sz w:val="21"/>
          <w:szCs w:val="21"/>
          <w:highlight w:val="none"/>
          <w:lang w:val="en-US" w:eastAsia="zh-CN"/>
        </w:rPr>
        <w:t>无</w:t>
      </w:r>
      <w:r>
        <w:rPr>
          <w:rFonts w:hint="eastAsia" w:ascii="宋体" w:hAnsi="宋体" w:eastAsia="宋体" w:cs="宋体"/>
          <w:b/>
          <w:bCs/>
          <w:color w:val="auto"/>
          <w:sz w:val="21"/>
          <w:szCs w:val="21"/>
          <w:highlight w:val="none"/>
          <w:u w:val="none"/>
        </w:rPr>
        <w:t>。</w:t>
      </w:r>
    </w:p>
    <w:p>
      <w:pPr>
        <w:widowControl/>
        <w:numPr>
          <w:ilvl w:val="0"/>
          <w:numId w:val="19"/>
        </w:numPr>
        <w:tabs>
          <w:tab w:val="left" w:pos="0"/>
        </w:tabs>
        <w:spacing w:line="360" w:lineRule="auto"/>
        <w:ind w:left="5" w:firstLine="413" w:firstLineChars="197"/>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交货期</w:t>
      </w:r>
      <w:r>
        <w:rPr>
          <w:rFonts w:hint="eastAsia" w:ascii="宋体" w:hAnsi="宋体" w:eastAsia="宋体" w:cs="宋体"/>
          <w:b w:val="0"/>
          <w:bCs w:val="0"/>
          <w:color w:val="auto"/>
          <w:sz w:val="21"/>
          <w:szCs w:val="21"/>
          <w:highlight w:val="none"/>
          <w:lang w:val="en-US" w:eastAsia="zh-CN"/>
        </w:rPr>
        <w:t>：合同签订后≤30个工作日</w:t>
      </w:r>
      <w:r>
        <w:rPr>
          <w:rFonts w:hint="eastAsia" w:ascii="宋体" w:hAnsi="宋体" w:eastAsia="宋体" w:cs="宋体"/>
          <w:b/>
          <w:bCs/>
          <w:color w:val="auto"/>
          <w:sz w:val="21"/>
          <w:szCs w:val="21"/>
        </w:rPr>
        <w:t>。</w:t>
      </w:r>
    </w:p>
    <w:p>
      <w:pPr>
        <w:widowControl/>
        <w:numPr>
          <w:ilvl w:val="0"/>
          <w:numId w:val="19"/>
        </w:numPr>
        <w:tabs>
          <w:tab w:val="left" w:pos="0"/>
        </w:tabs>
        <w:spacing w:line="360" w:lineRule="auto"/>
        <w:ind w:left="5" w:firstLine="413" w:firstLineChars="197"/>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《符合参加政府采购活动应当具备的一般条件的承诺函》</w:t>
      </w:r>
    </w:p>
    <w:p>
      <w:pPr>
        <w:widowControl/>
        <w:numPr>
          <w:ilvl w:val="0"/>
          <w:numId w:val="19"/>
        </w:numPr>
        <w:tabs>
          <w:tab w:val="left" w:pos="0"/>
        </w:tabs>
        <w:spacing w:line="360" w:lineRule="auto"/>
        <w:ind w:left="5" w:firstLine="413" w:firstLineChars="197"/>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《投标函》</w:t>
      </w:r>
    </w:p>
    <w:p>
      <w:pPr>
        <w:widowControl/>
        <w:numPr>
          <w:ilvl w:val="0"/>
          <w:numId w:val="19"/>
        </w:numPr>
        <w:tabs>
          <w:tab w:val="left" w:pos="0"/>
        </w:tabs>
        <w:spacing w:line="360" w:lineRule="auto"/>
        <w:ind w:left="5" w:firstLine="413" w:firstLineChars="197"/>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《开标一览表》</w:t>
      </w:r>
    </w:p>
    <w:p>
      <w:pPr>
        <w:widowControl/>
        <w:numPr>
          <w:ilvl w:val="0"/>
          <w:numId w:val="19"/>
        </w:numPr>
        <w:tabs>
          <w:tab w:val="left" w:pos="0"/>
        </w:tabs>
        <w:spacing w:line="360" w:lineRule="auto"/>
        <w:ind w:left="5" w:firstLine="413" w:firstLineChars="197"/>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▲投标人为医疗器械生产企业的：第二类、第三类医疗器械生产企业提供《医疗器械生产许可证》、第一类医疗器械生产企业提供第一类医疗器械生产备案凭证；</w:t>
      </w:r>
    </w:p>
    <w:p>
      <w:pPr>
        <w:widowControl/>
        <w:numPr>
          <w:ilvl w:val="0"/>
          <w:numId w:val="0"/>
        </w:numPr>
        <w:tabs>
          <w:tab w:val="left" w:pos="0"/>
        </w:tabs>
        <w:spacing w:line="360" w:lineRule="auto"/>
        <w:ind w:leftChars="197"/>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投标人为医疗器械经营企业的：第三类医疗器械经营企业提供《医疗器械经营许可证》、第二类医疗器械经营企业提供第二类医疗器械经营备案凭证；</w:t>
      </w:r>
    </w:p>
    <w:p>
      <w:pPr>
        <w:widowControl/>
        <w:numPr>
          <w:ilvl w:val="0"/>
          <w:numId w:val="19"/>
        </w:numPr>
        <w:tabs>
          <w:tab w:val="left" w:pos="0"/>
        </w:tabs>
        <w:spacing w:line="360" w:lineRule="auto"/>
        <w:ind w:left="5" w:firstLine="413" w:firstLineChars="197"/>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▲提供食品药品监督管理部门核发的完整有效的医疗器械注册或备案证明； </w:t>
      </w:r>
    </w:p>
    <w:p>
      <w:pPr>
        <w:widowControl/>
        <w:numPr>
          <w:ilvl w:val="0"/>
          <w:numId w:val="19"/>
        </w:numPr>
        <w:tabs>
          <w:tab w:val="left" w:pos="0"/>
        </w:tabs>
        <w:spacing w:line="360" w:lineRule="auto"/>
        <w:ind w:left="5" w:firstLine="413" w:firstLineChars="197"/>
        <w:rPr>
          <w:rFonts w:hint="eastAsia"/>
          <w:color w:val="auto"/>
          <w:highlight w:val="none"/>
          <w:lang w:val="en-US" w:eastAsia="zh-CN"/>
        </w:rPr>
      </w:pPr>
      <w:r>
        <w:rPr>
          <w:rFonts w:hint="eastAsia"/>
          <w:color w:val="auto"/>
          <w:highlight w:val="none"/>
          <w:lang w:val="en-US" w:eastAsia="zh-CN"/>
        </w:rPr>
        <w:t>参数要求</w:t>
      </w:r>
    </w:p>
    <w:tbl>
      <w:tblPr>
        <w:tblStyle w:val="38"/>
        <w:tblW w:w="8739"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7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66" w:type="dxa"/>
            <w:noWrap w:val="0"/>
            <w:vAlign w:val="center"/>
          </w:tcPr>
          <w:p>
            <w:pPr>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p>
        </w:tc>
        <w:tc>
          <w:tcPr>
            <w:tcW w:w="7673" w:type="dxa"/>
            <w:noWrap w:val="0"/>
            <w:vAlign w:val="center"/>
          </w:tcPr>
          <w:p>
            <w:pPr>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主要性能参数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66"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shd w:val="clear" w:color="auto" w:fill="FFFFFF"/>
              </w:rPr>
              <w:t>▲</w:t>
            </w:r>
            <w:r>
              <w:rPr>
                <w:rFonts w:hint="eastAsia" w:ascii="宋体" w:hAnsi="宋体" w:eastAsia="宋体" w:cs="宋体"/>
                <w:color w:val="auto"/>
                <w:spacing w:val="20"/>
                <w:sz w:val="21"/>
                <w:szCs w:val="21"/>
                <w:highlight w:val="none"/>
              </w:rPr>
              <w:t>1.3</w:t>
            </w:r>
          </w:p>
        </w:tc>
        <w:tc>
          <w:tcPr>
            <w:tcW w:w="7673" w:type="dxa"/>
            <w:noWrap w:val="0"/>
            <w:vAlign w:val="center"/>
          </w:tcPr>
          <w:p>
            <w:pPr>
              <w:keepNext w:val="0"/>
              <w:keepLines w:val="0"/>
              <w:pageBreakBefore w:val="0"/>
              <w:widowControl w:val="0"/>
              <w:tabs>
                <w:tab w:val="left" w:pos="4275"/>
              </w:tabs>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刺激频率：0Hz～100Hz 可调。</w:t>
            </w:r>
          </w:p>
        </w:tc>
      </w:tr>
    </w:tbl>
    <w:p>
      <w:pPr>
        <w:pStyle w:val="6"/>
        <w:spacing w:line="360" w:lineRule="auto"/>
        <w:ind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投标人</w:t>
      </w:r>
      <w:r>
        <w:rPr>
          <w:rFonts w:hint="eastAsia" w:ascii="宋体" w:hAnsi="宋体" w:eastAsia="宋体" w:cs="宋体"/>
          <w:b/>
          <w:bCs/>
          <w:color w:val="auto"/>
          <w:sz w:val="21"/>
          <w:szCs w:val="21"/>
          <w:highlight w:val="none"/>
        </w:rPr>
        <w:t>必须对以上内容作出实质性响应，否则视作无效投标，如</w:t>
      </w:r>
      <w:r>
        <w:rPr>
          <w:rFonts w:hint="eastAsia" w:ascii="宋体" w:hAnsi="宋体" w:eastAsia="宋体" w:cs="宋体"/>
          <w:b/>
          <w:bCs/>
          <w:color w:val="auto"/>
          <w:sz w:val="21"/>
          <w:szCs w:val="21"/>
          <w:highlight w:val="none"/>
          <w:lang w:eastAsia="zh-CN"/>
        </w:rPr>
        <w:t>上述</w:t>
      </w:r>
      <w:r>
        <w:rPr>
          <w:rFonts w:hint="eastAsia" w:ascii="宋体" w:hAnsi="宋体" w:eastAsia="宋体" w:cs="宋体"/>
          <w:b/>
          <w:bCs/>
          <w:color w:val="auto"/>
          <w:sz w:val="21"/>
          <w:szCs w:val="21"/>
          <w:highlight w:val="none"/>
        </w:rPr>
        <w:t>实质性条款有所遗漏，以</w:t>
      </w:r>
      <w:r>
        <w:rPr>
          <w:rFonts w:hint="eastAsia" w:ascii="宋体" w:hAnsi="宋体" w:eastAsia="宋体" w:cs="宋体"/>
          <w:b/>
          <w:bCs/>
          <w:color w:val="auto"/>
          <w:sz w:val="21"/>
          <w:szCs w:val="21"/>
          <w:highlight w:val="none"/>
          <w:lang w:val="en-US" w:eastAsia="zh-CN"/>
        </w:rPr>
        <w:t>招标</w:t>
      </w:r>
      <w:r>
        <w:rPr>
          <w:rFonts w:hint="eastAsia" w:ascii="宋体" w:hAnsi="宋体" w:eastAsia="宋体" w:cs="宋体"/>
          <w:b/>
          <w:bCs/>
          <w:color w:val="auto"/>
          <w:sz w:val="21"/>
          <w:szCs w:val="21"/>
          <w:highlight w:val="none"/>
          <w:lang w:eastAsia="zh-CN"/>
        </w:rPr>
        <w:t>文件</w:t>
      </w:r>
      <w:r>
        <w:rPr>
          <w:rFonts w:hint="eastAsia" w:ascii="宋体" w:hAnsi="宋体" w:eastAsia="宋体" w:cs="宋体"/>
          <w:b/>
          <w:bCs/>
          <w:color w:val="auto"/>
          <w:sz w:val="21"/>
          <w:szCs w:val="21"/>
          <w:highlight w:val="none"/>
        </w:rPr>
        <w:t>中标识“▲</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为准。若评标委员会认为其他有关技术及商务部分存在重大负偏离，将可能做无效投标处理。</w:t>
      </w:r>
    </w:p>
    <w:p>
      <w:pPr>
        <w:pStyle w:val="26"/>
        <w:widowControl/>
        <w:numPr>
          <w:ilvl w:val="0"/>
          <w:numId w:val="18"/>
        </w:numPr>
        <w:spacing w:line="360" w:lineRule="auto"/>
        <w:ind w:left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无效标条款</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投标人不具备招标文件中规定的资格要求的（投标人未提供有效的资格文件的，视为投标人不具备招标文件中规定的资格要求）；</w:t>
      </w:r>
      <w:bookmarkStart w:id="850" w:name="_GoBack"/>
      <w:bookmarkEnd w:id="850"/>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投标文件未按照招标文件要求签署、盖章的；</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rPr>
        <w:t>若</w:t>
      </w: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文件为授权代表签署的而未提供有效的法定代表人授权书的；</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投标文件含有采购人不能接受的附加条件的；</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投标文件中承诺的投标有效期少于招标文件中载明的投标有效期的；</w:t>
      </w:r>
    </w:p>
    <w:p>
      <w:pPr>
        <w:numPr>
          <w:ilvl w:val="0"/>
          <w:numId w:val="20"/>
        </w:numPr>
        <w:snapToGrid w:val="0"/>
        <w:spacing w:line="360" w:lineRule="auto"/>
        <w:ind w:left="5" w:leftChars="0" w:firstLine="415"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投标文件出现不是唯一的、有选择性投标报价的</w:t>
      </w:r>
      <w:r>
        <w:rPr>
          <w:rFonts w:hint="eastAsia" w:ascii="宋体" w:hAnsi="宋体" w:eastAsia="宋体" w:cs="宋体"/>
          <w:color w:val="auto"/>
          <w:kern w:val="0"/>
          <w:sz w:val="21"/>
          <w:szCs w:val="21"/>
          <w:highlight w:val="none"/>
          <w:lang w:eastAsia="zh-CN"/>
        </w:rPr>
        <w:t>；</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投标报价超过招标文件中规定的预算金额或者最高限价的</w:t>
      </w:r>
      <w:r>
        <w:rPr>
          <w:rFonts w:hint="eastAsia" w:ascii="宋体" w:hAnsi="宋体" w:eastAsia="宋体" w:cs="宋体"/>
          <w:color w:val="auto"/>
          <w:kern w:val="0"/>
          <w:sz w:val="21"/>
          <w:szCs w:val="21"/>
          <w:highlight w:val="none"/>
          <w:lang w:eastAsia="zh-CN"/>
        </w:rPr>
        <w:t>；</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eastAsia="宋体" w:cs="宋体"/>
          <w:color w:val="auto"/>
          <w:kern w:val="0"/>
          <w:sz w:val="21"/>
          <w:szCs w:val="21"/>
          <w:highlight w:val="none"/>
          <w:lang w:eastAsia="zh-CN"/>
        </w:rPr>
        <w:t>；</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投标人对根据修正原则修正后的报价不确认的；</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投标人提供虚假材料投标的；</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投标人有恶意串通、妨碍其他投标人的竞争行为、损害采购人或者其他投标人的合法权益情形的；</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投标人仅提交备份投标文件，没有在电子交易平台传输递交投标文件的，投标无效；</w:t>
      </w:r>
    </w:p>
    <w:p>
      <w:pPr>
        <w:numPr>
          <w:ilvl w:val="0"/>
          <w:numId w:val="20"/>
        </w:numPr>
        <w:spacing w:line="360" w:lineRule="auto"/>
        <w:ind w:left="5" w:leftChars="0" w:firstLine="415" w:firstLineChars="0"/>
        <w:rPr>
          <w:rFonts w:hint="eastAsia" w:ascii="宋体" w:hAnsi="宋体" w:eastAsia="宋体" w:cs="宋体"/>
          <w:b w:val="0"/>
          <w:bCs w:val="0"/>
          <w:color w:val="auto"/>
          <w:kern w:val="0"/>
          <w:sz w:val="21"/>
          <w:szCs w:val="21"/>
          <w:highlight w:val="none"/>
          <w:lang w:val="en-US"/>
        </w:rPr>
      </w:pPr>
      <w:r>
        <w:rPr>
          <w:rFonts w:hint="eastAsia" w:ascii="宋体" w:hAnsi="宋体" w:eastAsia="宋体" w:cs="宋体"/>
          <w:b w:val="0"/>
          <w:bCs w:val="0"/>
          <w:color w:val="auto"/>
          <w:kern w:val="0"/>
          <w:sz w:val="21"/>
          <w:szCs w:val="21"/>
          <w:highlight w:val="none"/>
          <w:lang w:val="en-US"/>
        </w:rPr>
        <w:t>投标文件不满足招标文件的其它实质性要求的；</w:t>
      </w:r>
    </w:p>
    <w:p>
      <w:pPr>
        <w:numPr>
          <w:ilvl w:val="0"/>
          <w:numId w:val="20"/>
        </w:numPr>
        <w:spacing w:line="360" w:lineRule="auto"/>
        <w:ind w:left="5" w:leftChars="0" w:firstLine="415"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法律、法规、规章（适用本市的）及省级以上规范性文件（适用本市的）规定的其他无效情形。</w:t>
      </w:r>
    </w:p>
    <w:p>
      <w:pPr>
        <w:pStyle w:val="26"/>
        <w:widowControl/>
        <w:numPr>
          <w:ilvl w:val="0"/>
          <w:numId w:val="18"/>
        </w:numPr>
        <w:spacing w:line="360" w:lineRule="auto"/>
        <w:ind w:leftChars="0"/>
        <w:rPr>
          <w:rFonts w:hint="eastAsia" w:ascii="宋体" w:hAnsi="宋体" w:eastAsia="宋体" w:cs="宋体"/>
          <w:b/>
          <w:bCs/>
          <w:color w:val="auto"/>
          <w:kern w:val="0"/>
          <w:sz w:val="21"/>
          <w:szCs w:val="21"/>
          <w:highlight w:val="none"/>
          <w:lang w:val="en-US"/>
        </w:rPr>
      </w:pPr>
      <w:r>
        <w:rPr>
          <w:rFonts w:hint="eastAsia" w:ascii="宋体" w:hAnsi="宋体" w:eastAsia="宋体" w:cs="宋体"/>
          <w:b/>
          <w:color w:val="auto"/>
          <w:kern w:val="0"/>
          <w:sz w:val="21"/>
          <w:szCs w:val="21"/>
          <w:highlight w:val="none"/>
          <w:lang w:val="en-US" w:eastAsia="zh-CN" w:bidi="ar-SA"/>
        </w:rPr>
        <w:t>有下列情形之一的，视为投标人串通投标，其投标无效：</w:t>
      </w:r>
    </w:p>
    <w:p>
      <w:pPr>
        <w:numPr>
          <w:ilvl w:val="0"/>
          <w:numId w:val="21"/>
        </w:numPr>
        <w:spacing w:line="360" w:lineRule="auto"/>
        <w:ind w:left="5" w:leftChars="0" w:firstLine="415" w:firstLineChars="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不同投标人的投标文件由同一单位或者个人编制；</w:t>
      </w:r>
    </w:p>
    <w:p>
      <w:pPr>
        <w:numPr>
          <w:ilvl w:val="0"/>
          <w:numId w:val="21"/>
        </w:numPr>
        <w:spacing w:line="360" w:lineRule="auto"/>
        <w:ind w:left="5" w:leftChars="0" w:firstLine="415" w:firstLineChars="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不同投标人委托同一单位或者个人办理投标事宜；</w:t>
      </w:r>
    </w:p>
    <w:p>
      <w:pPr>
        <w:numPr>
          <w:ilvl w:val="0"/>
          <w:numId w:val="21"/>
        </w:numPr>
        <w:spacing w:line="360" w:lineRule="auto"/>
        <w:ind w:left="5" w:leftChars="0" w:firstLine="415" w:firstLineChars="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不同投标人的投标文件载明的项目管理成员或者联系人员为同一人；</w:t>
      </w:r>
    </w:p>
    <w:p>
      <w:pPr>
        <w:numPr>
          <w:ilvl w:val="0"/>
          <w:numId w:val="21"/>
        </w:numPr>
        <w:spacing w:line="360" w:lineRule="auto"/>
        <w:ind w:left="5" w:leftChars="0" w:firstLine="415" w:firstLineChars="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不同投标人的投标文件异常一致或者投标报价呈规律性差异；</w:t>
      </w:r>
    </w:p>
    <w:p>
      <w:pPr>
        <w:numPr>
          <w:ilvl w:val="0"/>
          <w:numId w:val="21"/>
        </w:numPr>
        <w:spacing w:line="360" w:lineRule="auto"/>
        <w:ind w:left="5" w:leftChars="0" w:firstLine="415" w:firstLineChars="0"/>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不同投标人的投标文件相互混装；</w:t>
      </w:r>
    </w:p>
    <w:p>
      <w:pPr>
        <w:numPr>
          <w:ilvl w:val="0"/>
          <w:numId w:val="21"/>
        </w:numPr>
        <w:spacing w:line="360" w:lineRule="auto"/>
        <w:ind w:left="5" w:leftChars="0" w:firstLine="415" w:firstLineChars="0"/>
        <w:rPr>
          <w:rFonts w:hint="eastAsia" w:ascii="宋体" w:hAnsi="宋体" w:eastAsia="宋体" w:cs="宋体"/>
          <w:strike w:val="0"/>
          <w:dstrike w:val="0"/>
          <w:color w:val="auto"/>
          <w:sz w:val="21"/>
          <w:szCs w:val="21"/>
          <w:highlight w:val="none"/>
          <w:lang w:val="en-US" w:eastAsia="zh-CN"/>
        </w:rPr>
      </w:pPr>
      <w:r>
        <w:rPr>
          <w:rFonts w:hint="eastAsia" w:ascii="宋体" w:hAnsi="宋体" w:eastAsia="宋体" w:cs="宋体"/>
          <w:strike w:val="0"/>
          <w:dstrike w:val="0"/>
          <w:color w:val="auto"/>
          <w:kern w:val="0"/>
          <w:sz w:val="21"/>
          <w:szCs w:val="21"/>
          <w:highlight w:val="none"/>
          <w:lang w:val="en-US" w:eastAsia="zh-CN"/>
        </w:rPr>
        <w:t>法律、法规或规章规定的其他串通行为。</w:t>
      </w:r>
    </w:p>
    <w:p>
      <w:pPr>
        <w:widowControl w:val="0"/>
        <w:adjustRightInd/>
        <w:spacing w:line="360" w:lineRule="auto"/>
        <w:jc w:val="both"/>
        <w:textAlignment w:val="auto"/>
        <w:rPr>
          <w:rFonts w:hint="eastAsia"/>
          <w:color w:val="auto"/>
          <w:highlight w:val="none"/>
        </w:rPr>
      </w:pPr>
    </w:p>
    <w:p>
      <w:pPr>
        <w:pStyle w:val="6"/>
        <w:spacing w:line="360" w:lineRule="auto"/>
        <w:ind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如</w:t>
      </w:r>
      <w:r>
        <w:rPr>
          <w:rFonts w:hint="eastAsia" w:ascii="宋体" w:hAnsi="宋体" w:cs="宋体"/>
          <w:b/>
          <w:bCs/>
          <w:color w:val="auto"/>
          <w:szCs w:val="21"/>
          <w:highlight w:val="none"/>
          <w:lang w:eastAsia="zh-CN"/>
        </w:rPr>
        <w:t>上述</w:t>
      </w:r>
      <w:r>
        <w:rPr>
          <w:rFonts w:hint="eastAsia" w:ascii="宋体" w:hAnsi="宋体" w:cs="宋体"/>
          <w:b/>
          <w:bCs/>
          <w:color w:val="auto"/>
          <w:szCs w:val="21"/>
          <w:highlight w:val="none"/>
          <w:lang w:val="en-US" w:eastAsia="zh-CN"/>
        </w:rPr>
        <w:t>无效标</w:t>
      </w:r>
      <w:r>
        <w:rPr>
          <w:rFonts w:hint="eastAsia" w:ascii="宋体" w:hAnsi="宋体" w:cs="宋体"/>
          <w:b/>
          <w:bCs/>
          <w:color w:val="auto"/>
          <w:szCs w:val="21"/>
          <w:highlight w:val="none"/>
        </w:rPr>
        <w:t>条款有所遗漏，以</w:t>
      </w:r>
      <w:r>
        <w:rPr>
          <w:rFonts w:hint="eastAsia" w:ascii="宋体" w:hAnsi="宋体" w:cs="宋体"/>
          <w:b/>
          <w:bCs/>
          <w:color w:val="auto"/>
          <w:szCs w:val="21"/>
          <w:highlight w:val="none"/>
          <w:lang w:val="en-US" w:eastAsia="zh-CN"/>
        </w:rPr>
        <w:t>招标</w:t>
      </w:r>
      <w:r>
        <w:rPr>
          <w:rFonts w:hint="eastAsia" w:ascii="宋体" w:hAnsi="宋体" w:cs="宋体"/>
          <w:b/>
          <w:bCs/>
          <w:color w:val="auto"/>
          <w:szCs w:val="21"/>
          <w:highlight w:val="none"/>
          <w:lang w:eastAsia="zh-CN"/>
        </w:rPr>
        <w:t>文件</w:t>
      </w:r>
      <w:r>
        <w:rPr>
          <w:rFonts w:hint="eastAsia" w:ascii="宋体" w:hAnsi="宋体" w:cs="宋体"/>
          <w:b/>
          <w:bCs/>
          <w:color w:val="auto"/>
          <w:szCs w:val="21"/>
          <w:highlight w:val="none"/>
        </w:rPr>
        <w:t>中</w:t>
      </w:r>
      <w:r>
        <w:rPr>
          <w:rFonts w:hint="eastAsia" w:ascii="宋体" w:hAnsi="宋体" w:cs="宋体"/>
          <w:b/>
          <w:bCs/>
          <w:color w:val="auto"/>
          <w:szCs w:val="21"/>
          <w:highlight w:val="none"/>
          <w:lang w:val="en-US" w:eastAsia="zh-CN"/>
        </w:rPr>
        <w:t>表述</w:t>
      </w:r>
      <w:r>
        <w:rPr>
          <w:rFonts w:hint="eastAsia" w:ascii="宋体" w:hAnsi="宋体" w:cs="宋体"/>
          <w:b/>
          <w:bCs/>
          <w:color w:val="auto"/>
          <w:szCs w:val="21"/>
          <w:highlight w:val="none"/>
        </w:rPr>
        <w:t>为准。</w:t>
      </w: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spacing w:line="360" w:lineRule="auto"/>
        <w:rPr>
          <w:rFonts w:ascii="仿宋_GB2312" w:hAnsi="仿宋" w:eastAsia="仿宋_GB2312" w:cs="仿宋_GB2312"/>
          <w:b/>
          <w:color w:val="auto"/>
          <w:sz w:val="24"/>
          <w:highlight w:val="none"/>
        </w:rPr>
      </w:pPr>
    </w:p>
    <w:p>
      <w:pPr>
        <w:pStyle w:val="2"/>
        <w:keepNext w:val="0"/>
        <w:keepLines w:val="0"/>
        <w:pageBreakBefore/>
        <w:tabs>
          <w:tab w:val="left" w:pos="840"/>
        </w:tabs>
        <w:spacing w:before="312" w:beforeLines="100" w:after="312" w:afterLines="100" w:line="400" w:lineRule="atLeast"/>
        <w:jc w:val="left"/>
        <w:rPr>
          <w:rFonts w:ascii="仿宋_GB2312" w:hAnsi="仿宋" w:eastAsia="仿宋_GB2312"/>
          <w:b/>
          <w:color w:val="auto"/>
          <w:spacing w:val="6"/>
          <w:sz w:val="32"/>
          <w:szCs w:val="32"/>
          <w:highlight w:val="none"/>
        </w:rPr>
      </w:pPr>
      <w:bookmarkStart w:id="832" w:name="_Toc26925"/>
      <w:bookmarkStart w:id="833" w:name="_Toc21233"/>
      <w:bookmarkStart w:id="834" w:name="_Toc29270"/>
      <w:r>
        <w:rPr>
          <w:rFonts w:hint="eastAsia" w:ascii="仿宋_GB2312" w:hAnsi="仿宋" w:eastAsia="仿宋_GB2312" w:cs="Times New Roman"/>
          <w:b/>
          <w:color w:val="auto"/>
          <w:spacing w:val="6"/>
          <w:kern w:val="2"/>
          <w:sz w:val="32"/>
          <w:szCs w:val="32"/>
          <w:highlight w:val="none"/>
          <w:lang w:val="en-US" w:eastAsia="zh-CN" w:bidi="ar-SA"/>
        </w:rPr>
        <w:t xml:space="preserve">其他附件：                                          </w:t>
      </w:r>
      <w:r>
        <w:rPr>
          <w:rFonts w:hint="eastAsia" w:ascii="仿宋_GB2312" w:hAnsi="仿宋" w:eastAsia="仿宋_GB2312"/>
          <w:b/>
          <w:color w:val="auto"/>
          <w:spacing w:val="6"/>
          <w:sz w:val="32"/>
          <w:szCs w:val="32"/>
          <w:highlight w:val="none"/>
        </w:rPr>
        <w:t>附</w:t>
      </w:r>
      <w:r>
        <w:rPr>
          <w:rFonts w:hint="eastAsia" w:ascii="仿宋_GB2312" w:hAnsi="仿宋" w:eastAsia="仿宋_GB2312"/>
          <w:b/>
          <w:color w:val="auto"/>
          <w:spacing w:val="6"/>
          <w:sz w:val="32"/>
          <w:szCs w:val="32"/>
          <w:highlight w:val="none"/>
          <w:lang w:val="en-US" w:eastAsia="zh-CN"/>
        </w:rPr>
        <w:t>件1</w:t>
      </w:r>
      <w:r>
        <w:rPr>
          <w:rFonts w:ascii="仿宋_GB2312" w:hAnsi="仿宋" w:eastAsia="仿宋_GB2312"/>
          <w:b/>
          <w:color w:val="auto"/>
          <w:spacing w:val="6"/>
          <w:sz w:val="32"/>
          <w:szCs w:val="32"/>
          <w:highlight w:val="none"/>
        </w:rPr>
        <w:t>：质疑函范本及制作说明</w:t>
      </w:r>
      <w:bookmarkEnd w:id="832"/>
      <w:bookmarkEnd w:id="833"/>
      <w:bookmarkEnd w:id="834"/>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质疑函范本</w:t>
      </w:r>
    </w:p>
    <w:p>
      <w:pPr>
        <w:snapToGrid w:val="0"/>
        <w:spacing w:before="240" w:beforeLines="100"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一、质疑供应商基本信息</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质疑供应商：</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联系人：</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授权代表：</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联系电话：</w:t>
      </w:r>
      <w:r>
        <w:rPr>
          <w:rFonts w:ascii="仿宋_GB2312" w:hAnsi="仿宋" w:eastAsia="仿宋_GB2312" w:cs="仿宋"/>
          <w:color w:val="auto"/>
          <w:sz w:val="24"/>
          <w:highlight w:val="none"/>
          <w:u w:val="dotted"/>
        </w:rPr>
        <w:t xml:space="preserve">                                           </w:t>
      </w:r>
      <w:r>
        <w:rPr>
          <w:rFonts w:ascii="仿宋_GB2312" w:hAnsi="仿宋" w:eastAsia="仿宋_GB2312" w:cs="仿宋"/>
          <w:color w:val="auto"/>
          <w:sz w:val="24"/>
          <w:highlight w:val="none"/>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地址：</w:t>
      </w:r>
      <w:r>
        <w:rPr>
          <w:rFonts w:ascii="仿宋_GB2312" w:hAnsi="仿宋" w:eastAsia="仿宋_GB2312" w:cs="仿宋"/>
          <w:color w:val="auto"/>
          <w:sz w:val="24"/>
          <w:highlight w:val="none"/>
        </w:rPr>
        <w:t xml:space="preserve"> </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邮编：</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二、质疑项目基本情况</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质疑项目的编号：</w:t>
      </w:r>
      <w:r>
        <w:rPr>
          <w:rFonts w:ascii="仿宋_GB2312" w:hAnsi="仿宋" w:eastAsia="仿宋_GB2312" w:cs="仿宋"/>
          <w:color w:val="auto"/>
          <w:sz w:val="24"/>
          <w:highlight w:val="none"/>
          <w:u w:val="dotted"/>
        </w:rPr>
        <w:t xml:space="preserve">               </w:t>
      </w:r>
      <w:r>
        <w:rPr>
          <w:rFonts w:hint="eastAsia" w:ascii="仿宋_GB2312" w:hAnsi="仿宋" w:eastAsia="仿宋_GB2312" w:cs="仿宋"/>
          <w:color w:val="auto"/>
          <w:sz w:val="24"/>
          <w:highlight w:val="none"/>
        </w:rPr>
        <w:t>包号：</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采购人名称：</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采购文件获取日期：</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三、质疑事项具体内容</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1：</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事实依据：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法律依据：</w:t>
      </w: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ascii="仿宋_GB2312" w:hAnsi="仿宋" w:eastAsia="仿宋_GB2312" w:cs="仿宋"/>
          <w:color w:val="auto"/>
          <w:sz w:val="24"/>
          <w:highlight w:val="none"/>
          <w:u w:val="dotted"/>
        </w:rPr>
        <w:t xml:space="preserve">                                                     </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质疑事项</w:t>
      </w:r>
      <w:r>
        <w:rPr>
          <w:rFonts w:ascii="仿宋_GB2312" w:hAnsi="仿宋" w:eastAsia="仿宋_GB2312" w:cs="仿宋"/>
          <w:color w:val="auto"/>
          <w:sz w:val="24"/>
          <w:highlight w:val="none"/>
        </w:rPr>
        <w:t>2</w:t>
      </w:r>
    </w:p>
    <w:p>
      <w:pPr>
        <w:snapToGrid w:val="0"/>
        <w:spacing w:line="360" w:lineRule="auto"/>
        <w:rPr>
          <w:rFonts w:ascii="仿宋_GB2312" w:hAnsi="仿宋" w:eastAsia="仿宋_GB2312" w:cs="仿宋"/>
          <w:color w:val="auto"/>
          <w:sz w:val="24"/>
          <w:highlight w:val="none"/>
        </w:rPr>
      </w:pPr>
      <w:r>
        <w:rPr>
          <w:rFonts w:hint="eastAsia" w:ascii="仿宋_GB2312" w:hAnsi="仿宋" w:eastAsia="仿宋_GB2312" w:cs="仿宋"/>
          <w:color w:val="auto"/>
          <w:sz w:val="24"/>
          <w:highlight w:val="none"/>
        </w:rPr>
        <w:t>……</w:t>
      </w:r>
    </w:p>
    <w:p>
      <w:pPr>
        <w:snapToGrid w:val="0"/>
        <w:spacing w:line="360" w:lineRule="auto"/>
        <w:rPr>
          <w:rFonts w:ascii="仿宋_GB2312" w:hAnsi="仿宋" w:eastAsia="仿宋_GB2312" w:cs="仿宋"/>
          <w:bCs/>
          <w:color w:val="auto"/>
          <w:sz w:val="24"/>
          <w:highlight w:val="none"/>
        </w:rPr>
      </w:pPr>
      <w:r>
        <w:rPr>
          <w:rFonts w:hint="eastAsia" w:ascii="仿宋_GB2312" w:hAnsi="仿宋" w:eastAsia="仿宋_GB2312" w:cs="仿宋"/>
          <w:bCs/>
          <w:color w:val="auto"/>
          <w:sz w:val="24"/>
          <w:highlight w:val="none"/>
        </w:rPr>
        <w:t>四、与质疑事项相关的质疑请求</w:t>
      </w:r>
    </w:p>
    <w:p>
      <w:pPr>
        <w:snapToGrid w:val="0"/>
        <w:spacing w:line="360" w:lineRule="auto"/>
        <w:rPr>
          <w:rFonts w:ascii="仿宋_GB2312" w:hAnsi="仿宋" w:eastAsia="仿宋_GB2312" w:cs="仿宋"/>
          <w:color w:val="auto"/>
          <w:sz w:val="24"/>
          <w:highlight w:val="none"/>
          <w:u w:val="dotted"/>
        </w:rPr>
      </w:pPr>
      <w:r>
        <w:rPr>
          <w:rFonts w:hint="eastAsia" w:ascii="仿宋_GB2312" w:hAnsi="仿宋" w:eastAsia="仿宋_GB2312" w:cs="仿宋"/>
          <w:color w:val="auto"/>
          <w:sz w:val="24"/>
          <w:highlight w:val="none"/>
        </w:rPr>
        <w:t>请求：</w:t>
      </w:r>
      <w:r>
        <w:rPr>
          <w:rFonts w:ascii="仿宋_GB2312" w:hAnsi="仿宋" w:eastAsia="仿宋_GB2312" w:cs="仿宋"/>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jc w:val="center"/>
        <w:rPr>
          <w:rFonts w:ascii="仿宋_GB2312" w:hAnsi="仿宋" w:eastAsia="仿宋_GB2312" w:cs="仿宋"/>
          <w:b/>
          <w:bCs/>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质疑函制作说明：</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2.质疑供应商若委托代理人进行质疑的，</w:t>
      </w:r>
      <w:r>
        <w:rPr>
          <w:rFonts w:hint="eastAsia" w:ascii="仿宋_GB2312" w:hAnsi="仿宋" w:eastAsia="仿宋_GB2312"/>
          <w:color w:val="auto"/>
          <w:sz w:val="24"/>
          <w:highlight w:val="none"/>
        </w:rPr>
        <w:t>质疑函应按要求列明“授权代表”的有关内容，并在附件中提交由质疑</w:t>
      </w:r>
      <w:r>
        <w:rPr>
          <w:rFonts w:hint="eastAsia" w:ascii="仿宋_GB2312" w:hAnsi="仿宋" w:eastAsia="仿宋_GB2312"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5.质疑函的质疑请求应与质疑事项相关。</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6.质疑供应商为自然人的，</w:t>
      </w:r>
      <w:r>
        <w:rPr>
          <w:rFonts w:hint="eastAsia" w:ascii="仿宋_GB2312" w:hAnsi="仿宋" w:eastAsia="仿宋_GB2312"/>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highlight w:val="none"/>
        </w:rPr>
      </w:pPr>
    </w:p>
    <w:p>
      <w:pPr>
        <w:spacing w:line="360" w:lineRule="auto"/>
        <w:jc w:val="center"/>
        <w:rPr>
          <w:rFonts w:ascii="仿宋_GB2312" w:hAnsi="仿宋" w:eastAsia="仿宋_GB2312"/>
          <w:b/>
          <w:color w:val="auto"/>
          <w:spacing w:val="6"/>
          <w:sz w:val="32"/>
          <w:szCs w:val="32"/>
          <w:highlight w:val="none"/>
        </w:rPr>
      </w:pPr>
    </w:p>
    <w:p>
      <w:pPr>
        <w:spacing w:line="360" w:lineRule="auto"/>
        <w:jc w:val="center"/>
        <w:rPr>
          <w:rFonts w:ascii="仿宋_GB2312" w:hAnsi="仿宋" w:eastAsia="仿宋_GB2312"/>
          <w:b/>
          <w:color w:val="auto"/>
          <w:spacing w:val="6"/>
          <w:sz w:val="32"/>
          <w:szCs w:val="32"/>
          <w:highlight w:val="none"/>
        </w:rPr>
      </w:pPr>
    </w:p>
    <w:p>
      <w:pPr>
        <w:keepNext w:val="0"/>
        <w:keepLines w:val="0"/>
        <w:pageBreakBefore/>
        <w:widowControl w:val="0"/>
        <w:tabs>
          <w:tab w:val="left" w:pos="840"/>
        </w:tabs>
        <w:kinsoku/>
        <w:wordWrap/>
        <w:overflowPunct/>
        <w:topLinePunct w:val="0"/>
        <w:autoSpaceDE/>
        <w:autoSpaceDN/>
        <w:bidi w:val="0"/>
        <w:adjustRightInd/>
        <w:snapToGrid/>
        <w:spacing w:before="312" w:beforeLines="100" w:after="312" w:afterLines="100" w:line="400" w:lineRule="atLeast"/>
        <w:jc w:val="left"/>
        <w:textAlignment w:val="auto"/>
        <w:outlineLvl w:val="9"/>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附件</w:t>
      </w:r>
      <w:r>
        <w:rPr>
          <w:rFonts w:hint="eastAsia" w:ascii="仿宋_GB2312" w:hAnsi="仿宋" w:eastAsia="仿宋_GB2312"/>
          <w:b/>
          <w:color w:val="auto"/>
          <w:spacing w:val="6"/>
          <w:sz w:val="32"/>
          <w:szCs w:val="32"/>
          <w:highlight w:val="none"/>
          <w:lang w:val="en-US" w:eastAsia="zh-CN"/>
        </w:rPr>
        <w:t>2</w:t>
      </w:r>
      <w:r>
        <w:rPr>
          <w:rFonts w:ascii="仿宋_GB2312" w:hAnsi="仿宋" w:eastAsia="仿宋_GB2312"/>
          <w:b/>
          <w:color w:val="auto"/>
          <w:spacing w:val="6"/>
          <w:sz w:val="32"/>
          <w:szCs w:val="32"/>
          <w:highlight w:val="none"/>
        </w:rPr>
        <w:t>：投诉书范本及制作说明</w:t>
      </w:r>
    </w:p>
    <w:p>
      <w:pPr>
        <w:spacing w:line="360" w:lineRule="auto"/>
        <w:jc w:val="center"/>
        <w:rPr>
          <w:rFonts w:ascii="仿宋_GB2312" w:hAnsi="仿宋" w:eastAsia="仿宋_GB2312"/>
          <w:b/>
          <w:color w:val="auto"/>
          <w:sz w:val="24"/>
          <w:highlight w:val="none"/>
        </w:rPr>
      </w:pPr>
    </w:p>
    <w:p>
      <w:pPr>
        <w:spacing w:line="360" w:lineRule="auto"/>
        <w:jc w:val="center"/>
        <w:rPr>
          <w:rFonts w:ascii="仿宋_GB2312" w:hAnsi="仿宋" w:eastAsia="仿宋_GB2312"/>
          <w:b/>
          <w:color w:val="auto"/>
          <w:spacing w:val="6"/>
          <w:sz w:val="32"/>
          <w:szCs w:val="32"/>
          <w:highlight w:val="none"/>
        </w:rPr>
      </w:pPr>
      <w:r>
        <w:rPr>
          <w:rFonts w:hint="eastAsia" w:ascii="仿宋_GB2312" w:hAnsi="仿宋" w:eastAsia="仿宋_GB2312"/>
          <w:b/>
          <w:color w:val="auto"/>
          <w:spacing w:val="6"/>
          <w:sz w:val="32"/>
          <w:szCs w:val="32"/>
          <w:highlight w:val="none"/>
        </w:rPr>
        <w:t>投诉书范本</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一、投诉相关主体基本情况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tabs>
          <w:tab w:val="left" w:pos="6510"/>
        </w:tabs>
        <w:spacing w:line="360" w:lineRule="auto"/>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w:t>
      </w:r>
      <w:r>
        <w:rPr>
          <w:rFonts w:ascii="仿宋_GB2312" w:hAnsi="仿宋" w:eastAsia="仿宋_GB2312"/>
          <w:color w:val="auto"/>
          <w:sz w:val="24"/>
          <w:highlight w:val="none"/>
        </w:rPr>
        <w:t>/主要负责人：</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tabs>
          <w:tab w:val="left" w:pos="6510"/>
        </w:tabs>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授权代表：</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hint="eastAsia" w:ascii="仿宋_GB2312" w:hAnsi="仿宋" w:eastAsia="仿宋_GB2312"/>
          <w:color w:val="auto"/>
          <w:sz w:val="24"/>
          <w:highlight w:val="none"/>
          <w:u w:val="dotted"/>
        </w:rPr>
        <w:t>：</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1：</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被投诉人</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相关供应商：</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地</w:t>
      </w:r>
      <w:r>
        <w:rPr>
          <w:rFonts w:ascii="仿宋_GB2312" w:hAnsi="仿宋" w:eastAsia="仿宋_GB2312"/>
          <w:color w:val="auto"/>
          <w:sz w:val="24"/>
          <w:highlight w:val="none"/>
        </w:rPr>
        <w:t xml:space="preserve">     </w:t>
      </w:r>
      <w:r>
        <w:rPr>
          <w:rFonts w:hint="eastAsia" w:ascii="仿宋_GB2312" w:hAnsi="仿宋" w:eastAsia="仿宋_GB2312"/>
          <w:color w:val="auto"/>
          <w:sz w:val="24"/>
          <w:highlight w:val="none"/>
        </w:rPr>
        <w:t>址：</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邮编：</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联系人：</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联系电话：</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二、投诉项目基本情况</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采购项目名称：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采购项目编号：</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包号：</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采购人名称：</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u w:val="single"/>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代理机构名称：</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采购文件公告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采购结果公告</w:t>
      </w:r>
      <w:r>
        <w:rPr>
          <w:rFonts w:ascii="仿宋_GB2312" w:hAnsi="仿宋" w:eastAsia="仿宋_GB2312"/>
          <w:color w:val="auto"/>
          <w:sz w:val="24"/>
          <w:highlight w:val="none"/>
        </w:rPr>
        <w:t>:</w:t>
      </w:r>
      <w:r>
        <w:rPr>
          <w:rFonts w:hint="eastAsia" w:ascii="仿宋_GB2312" w:hAnsi="仿宋" w:eastAsia="仿宋_GB2312"/>
          <w:color w:val="auto"/>
          <w:sz w:val="24"/>
          <w:highlight w:val="none"/>
          <w:u w:val="dotted"/>
        </w:rPr>
        <w:t>是</w:t>
      </w:r>
      <w:r>
        <w:rPr>
          <w:rFonts w:ascii="仿宋_GB2312" w:hAnsi="仿宋" w:eastAsia="仿宋_GB2312"/>
          <w:color w:val="auto"/>
          <w:sz w:val="24"/>
          <w:highlight w:val="none"/>
          <w:u w:val="dotted"/>
        </w:rPr>
        <w:t xml:space="preserve">/否 </w:t>
      </w:r>
      <w:r>
        <w:rPr>
          <w:rFonts w:hint="eastAsia" w:ascii="仿宋_GB2312" w:hAnsi="仿宋" w:eastAsia="仿宋_GB2312"/>
          <w:color w:val="auto"/>
          <w:sz w:val="24"/>
          <w:highlight w:val="none"/>
        </w:rPr>
        <w:t>公告期限：</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三、质疑基本情况</w:t>
      </w:r>
    </w:p>
    <w:p>
      <w:pPr>
        <w:spacing w:line="360" w:lineRule="auto"/>
        <w:ind w:firstLine="480" w:firstLineChars="200"/>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投诉人于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,向</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提出质疑，质疑事项为：</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ind w:firstLine="360" w:firstLineChars="150"/>
        <w:rPr>
          <w:rFonts w:ascii="仿宋_GB2312" w:hAnsi="仿宋" w:eastAsia="仿宋_GB2312"/>
          <w:color w:val="auto"/>
          <w:sz w:val="24"/>
          <w:highlight w:val="none"/>
        </w:rPr>
      </w:pPr>
      <w:r>
        <w:rPr>
          <w:rFonts w:hint="eastAsia" w:ascii="仿宋_GB2312" w:hAnsi="仿宋" w:eastAsia="仿宋_GB2312"/>
          <w:color w:val="auto"/>
          <w:sz w:val="24"/>
          <w:highlight w:val="none"/>
          <w:u w:val="dotted"/>
        </w:rPr>
        <w:t>采购人</w:t>
      </w:r>
      <w:r>
        <w:rPr>
          <w:rFonts w:ascii="仿宋_GB2312" w:hAnsi="仿宋" w:eastAsia="仿宋_GB2312"/>
          <w:color w:val="auto"/>
          <w:sz w:val="24"/>
          <w:highlight w:val="none"/>
          <w:u w:val="dotted"/>
        </w:rPr>
        <w:t>/代理机构</w:t>
      </w:r>
      <w:r>
        <w:rPr>
          <w:rFonts w:hint="eastAsia" w:ascii="仿宋_GB2312" w:hAnsi="仿宋" w:eastAsia="仿宋_GB2312"/>
          <w:color w:val="auto"/>
          <w:sz w:val="24"/>
          <w:highlight w:val="none"/>
        </w:rPr>
        <w:t>于</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年</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月</w:t>
      </w:r>
      <w:r>
        <w:rPr>
          <w:rFonts w:ascii="仿宋_GB2312" w:hAnsi="仿宋" w:eastAsia="仿宋_GB2312"/>
          <w:color w:val="auto"/>
          <w:sz w:val="24"/>
          <w:highlight w:val="none"/>
          <w:u w:val="dotted"/>
        </w:rPr>
        <w:t xml:space="preserve">   </w:t>
      </w:r>
      <w:r>
        <w:rPr>
          <w:rFonts w:hint="eastAsia" w:ascii="仿宋_GB2312" w:hAnsi="仿宋" w:eastAsia="仿宋_GB2312"/>
          <w:color w:val="auto"/>
          <w:sz w:val="24"/>
          <w:highlight w:val="none"/>
        </w:rPr>
        <w:t>日</w:t>
      </w:r>
      <w:r>
        <w:rPr>
          <w:rFonts w:ascii="仿宋_GB2312" w:hAnsi="仿宋" w:eastAsia="仿宋_GB2312"/>
          <w:color w:val="auto"/>
          <w:sz w:val="24"/>
          <w:highlight w:val="none"/>
        </w:rPr>
        <w:t>,就质疑事项</w:t>
      </w:r>
      <w:r>
        <w:rPr>
          <w:rFonts w:hint="eastAsia" w:ascii="仿宋_GB2312" w:hAnsi="仿宋" w:eastAsia="仿宋_GB2312"/>
          <w:color w:val="auto"/>
          <w:sz w:val="24"/>
          <w:highlight w:val="none"/>
        </w:rPr>
        <w:t>作出了答复</w:t>
      </w:r>
      <w:r>
        <w:rPr>
          <w:rFonts w:ascii="仿宋_GB2312" w:hAnsi="仿宋" w:eastAsia="仿宋_GB2312"/>
          <w:color w:val="auto"/>
          <w:sz w:val="24"/>
          <w:highlight w:val="none"/>
        </w:rPr>
        <w:t>/没有在法定期限内</w:t>
      </w:r>
      <w:r>
        <w:rPr>
          <w:rFonts w:hint="eastAsia" w:ascii="仿宋_GB2312" w:hAnsi="仿宋" w:eastAsia="仿宋_GB2312"/>
          <w:color w:val="auto"/>
          <w:sz w:val="24"/>
          <w:highlight w:val="none"/>
        </w:rPr>
        <w:t>作出答复。</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四、投诉事项具体内容</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 xml:space="preserve"> 1：</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事实依据：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single"/>
        </w:rPr>
      </w:pPr>
      <w:r>
        <w:rPr>
          <w:rFonts w:hint="eastAsia" w:ascii="仿宋_GB2312" w:hAnsi="仿宋" w:eastAsia="仿宋_GB2312"/>
          <w:color w:val="auto"/>
          <w:sz w:val="24"/>
          <w:highlight w:val="none"/>
        </w:rPr>
        <w:t>法律依据：</w:t>
      </w: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u w:val="dotted"/>
        </w:rPr>
      </w:pPr>
      <w:r>
        <w:rPr>
          <w:rFonts w:ascii="仿宋_GB2312" w:hAnsi="仿宋" w:eastAsia="仿宋_GB2312"/>
          <w:color w:val="auto"/>
          <w:sz w:val="24"/>
          <w:highlight w:val="none"/>
          <w:u w:val="dotted"/>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投诉事项</w:t>
      </w:r>
      <w:r>
        <w:rPr>
          <w:rFonts w:ascii="仿宋_GB2312" w:hAnsi="仿宋" w:eastAsia="仿宋_GB2312"/>
          <w:color w:val="auto"/>
          <w:sz w:val="24"/>
          <w:highlight w:val="none"/>
        </w:rPr>
        <w:t>2</w:t>
      </w:r>
    </w:p>
    <w:p>
      <w:pPr>
        <w:spacing w:line="360" w:lineRule="auto"/>
        <w:rPr>
          <w:rFonts w:ascii="仿宋_GB2312" w:hAnsi="仿宋" w:eastAsia="仿宋_GB2312"/>
          <w:color w:val="auto"/>
          <w:sz w:val="24"/>
          <w:highlight w:val="none"/>
          <w:u w:val="dotted"/>
        </w:rPr>
      </w:pPr>
      <w:r>
        <w:rPr>
          <w:rFonts w:hint="eastAsia" w:ascii="仿宋_GB2312" w:hAnsi="仿宋" w:eastAsia="仿宋_GB2312"/>
          <w:color w:val="auto"/>
          <w:sz w:val="24"/>
          <w:highlight w:val="none"/>
        </w:rPr>
        <w:t>……</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五、与投诉事项相关的投诉请求</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请求：</w:t>
      </w:r>
      <w:r>
        <w:rPr>
          <w:rFonts w:ascii="仿宋_GB2312" w:hAnsi="仿宋" w:eastAsia="仿宋_GB2312"/>
          <w:color w:val="auto"/>
          <w:sz w:val="24"/>
          <w:highlight w:val="none"/>
          <w:u w:val="dotted"/>
        </w:rPr>
        <w:t xml:space="preserve">                                              </w:t>
      </w: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u w:val="single"/>
        </w:rPr>
      </w:pPr>
      <w:r>
        <w:rPr>
          <w:rFonts w:ascii="仿宋_GB2312" w:hAnsi="仿宋" w:eastAsia="仿宋_GB2312"/>
          <w:color w:val="auto"/>
          <w:sz w:val="24"/>
          <w:highlight w:val="none"/>
        </w:rPr>
        <w:t xml:space="preserve">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签字</w:t>
      </w:r>
      <w:r>
        <w:rPr>
          <w:rFonts w:ascii="仿宋_GB2312" w:hAnsi="仿宋" w:eastAsia="仿宋_GB2312"/>
          <w:color w:val="auto"/>
          <w:sz w:val="24"/>
          <w:highlight w:val="none"/>
        </w:rPr>
        <w:t xml:space="preserve">(签章)：                   公章：                      </w:t>
      </w:r>
    </w:p>
    <w:p>
      <w:pPr>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日期：</w:t>
      </w:r>
      <w:r>
        <w:rPr>
          <w:rFonts w:ascii="仿宋_GB2312" w:hAnsi="仿宋" w:eastAsia="仿宋_GB2312"/>
          <w:color w:val="auto"/>
          <w:sz w:val="24"/>
          <w:highlight w:val="none"/>
        </w:rPr>
        <w:t xml:space="preserve">    </w:t>
      </w: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p>
    <w:p>
      <w:pPr>
        <w:spacing w:line="360" w:lineRule="auto"/>
        <w:rPr>
          <w:rFonts w:ascii="仿宋_GB2312" w:hAnsi="仿宋" w:eastAsia="仿宋_GB2312"/>
          <w:b/>
          <w:color w:val="auto"/>
          <w:sz w:val="24"/>
          <w:highlight w:val="none"/>
        </w:rPr>
      </w:pPr>
      <w:r>
        <w:rPr>
          <w:rFonts w:hint="eastAsia" w:ascii="仿宋_GB2312" w:hAnsi="仿宋" w:eastAsia="仿宋_GB2312"/>
          <w:b/>
          <w:color w:val="auto"/>
          <w:sz w:val="24"/>
          <w:highlight w:val="none"/>
        </w:rPr>
        <w:t>投诉书制作说明：</w:t>
      </w:r>
    </w:p>
    <w:p>
      <w:pPr>
        <w:widowControl/>
        <w:spacing w:line="360" w:lineRule="auto"/>
        <w:ind w:firstLine="480" w:firstLineChars="200"/>
        <w:rPr>
          <w:rFonts w:ascii="仿宋_GB2312" w:hAnsi="仿宋" w:eastAsia="仿宋_GB2312" w:cs="宋体"/>
          <w:color w:val="auto"/>
          <w:kern w:val="0"/>
          <w:sz w:val="24"/>
          <w:highlight w:val="none"/>
        </w:rPr>
      </w:pPr>
      <w:r>
        <w:rPr>
          <w:rFonts w:ascii="仿宋_GB2312" w:hAnsi="仿宋" w:eastAsia="仿宋_GB2312"/>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highlight w:val="none"/>
        </w:rPr>
      </w:pPr>
      <w:r>
        <w:rPr>
          <w:rFonts w:ascii="仿宋_GB2312" w:hAnsi="仿宋" w:eastAsia="仿宋_GB2312"/>
          <w:color w:val="auto"/>
          <w:sz w:val="24"/>
          <w:highlight w:val="none"/>
        </w:rPr>
        <w:t>2.投诉人若委托代理人进行投诉的，投诉书应按照要求列明“授权代表”的有关内容，并在附件中提交由</w:t>
      </w:r>
      <w:r>
        <w:rPr>
          <w:rFonts w:hint="eastAsia" w:ascii="仿宋_GB2312" w:hAnsi="仿宋" w:eastAsia="仿宋_GB2312"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highlight w:val="none"/>
        </w:rPr>
      </w:pPr>
      <w:r>
        <w:rPr>
          <w:rFonts w:ascii="仿宋_GB2312" w:hAnsi="仿宋" w:eastAsia="仿宋_GB2312"/>
          <w:color w:val="auto"/>
          <w:sz w:val="24"/>
          <w:highlight w:val="none"/>
        </w:rPr>
        <w:t>6.投诉书的投诉请求应与投诉事项相关。</w:t>
      </w:r>
    </w:p>
    <w:p>
      <w:pPr>
        <w:widowControl/>
        <w:spacing w:line="360" w:lineRule="auto"/>
        <w:ind w:firstLine="480" w:firstLineChars="200"/>
        <w:jc w:val="left"/>
        <w:rPr>
          <w:rFonts w:ascii="仿宋_GB2312" w:hAnsi="仿宋" w:eastAsia="仿宋_GB2312"/>
          <w:b/>
          <w:color w:val="auto"/>
          <w:spacing w:val="6"/>
          <w:sz w:val="32"/>
          <w:szCs w:val="32"/>
          <w:highlight w:val="none"/>
        </w:rPr>
      </w:pPr>
      <w:r>
        <w:rPr>
          <w:rFonts w:ascii="仿宋_GB2312" w:hAnsi="仿宋"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r>
        <w:rPr>
          <w:rFonts w:ascii="仿宋_GB2312" w:hAnsi="仿宋" w:eastAsia="仿宋_GB2312"/>
          <w:color w:val="auto"/>
          <w:sz w:val="24"/>
          <w:highlight w:val="none"/>
        </w:rPr>
        <w:br w:type="page"/>
      </w:r>
      <w:r>
        <w:rPr>
          <w:rFonts w:hint="eastAsia" w:ascii="仿宋_GB2312" w:hAnsi="仿宋" w:eastAsia="仿宋_GB2312" w:cs="Times New Roman"/>
          <w:b/>
          <w:color w:val="auto"/>
          <w:spacing w:val="6"/>
          <w:kern w:val="44"/>
          <w:sz w:val="32"/>
          <w:szCs w:val="32"/>
          <w:highlight w:val="none"/>
          <w:lang w:val="en-US" w:eastAsia="zh-CN" w:bidi="ar-SA"/>
        </w:rPr>
        <w:t>附件3：</w:t>
      </w:r>
    </w:p>
    <w:p>
      <w:pPr>
        <w:widowControl/>
        <w:spacing w:line="360" w:lineRule="auto"/>
        <w:ind w:firstLine="643" w:firstLineChars="200"/>
        <w:jc w:val="center"/>
        <w:rPr>
          <w:rFonts w:hint="eastAsia" w:cs="宋体"/>
          <w:b/>
          <w:bCs/>
          <w:color w:val="auto"/>
          <w:sz w:val="32"/>
          <w:szCs w:val="28"/>
          <w:highlight w:val="none"/>
          <w:lang w:val="en-US" w:eastAsia="zh-CN"/>
        </w:rPr>
      </w:pPr>
      <w:r>
        <w:rPr>
          <w:rFonts w:hint="eastAsia" w:cs="宋体"/>
          <w:b/>
          <w:bCs/>
          <w:color w:val="auto"/>
          <w:sz w:val="32"/>
          <w:szCs w:val="28"/>
          <w:highlight w:val="none"/>
          <w:lang w:val="en-US" w:eastAsia="zh-CN"/>
        </w:rPr>
        <w:t>政府采购活动现场确认声明书</w:t>
      </w:r>
    </w:p>
    <w:p>
      <w:pPr>
        <w:pStyle w:val="18"/>
        <w:snapToGrid w:val="0"/>
        <w:spacing w:beforeLines="0" w:afterLines="0" w:line="420" w:lineRule="exact"/>
        <w:rPr>
          <w:rFonts w:hint="eastAsia" w:ascii="仿宋" w:hAnsi="仿宋" w:eastAsia="仿宋" w:cs="仿宋"/>
          <w:b/>
          <w:color w:val="auto"/>
          <w:sz w:val="24"/>
          <w:szCs w:val="24"/>
          <w:highlight w:val="none"/>
        </w:rPr>
      </w:pP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4"/>
          <w:szCs w:val="24"/>
          <w:highlight w:val="none"/>
          <w:u w:val="single"/>
          <w:lang w:val="en-US" w:eastAsia="zh-CN"/>
        </w:rPr>
        <w:t xml:space="preserve">采购人、采购代理机构   </w:t>
      </w:r>
      <w:r>
        <w:rPr>
          <w:rFonts w:hint="eastAsia" w:ascii="仿宋" w:hAnsi="仿宋" w:eastAsia="仿宋" w:cs="仿宋"/>
          <w:color w:val="auto"/>
          <w:sz w:val="24"/>
          <w:szCs w:val="24"/>
          <w:highlight w:val="none"/>
        </w:rPr>
        <w:t>：</w:t>
      </w:r>
    </w:p>
    <w:p>
      <w:pPr>
        <w:pStyle w:val="18"/>
        <w:snapToGrid w:val="0"/>
        <w:spacing w:before="0" w:beforeLines="0" w:after="0" w:afterLines="0" w:line="420" w:lineRule="exact"/>
        <w:ind w:firstLine="504"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rPr>
        <w:t>本人</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（授权代表姓名），经由</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（单位）</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（法定代表人姓名）合法授权参加</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项目（编号：</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rPr>
        <w:t>）政府采购活动，经与本单位法人代表（负责人）联系确认，现就有关公平竞争事项郑重声明如下：</w:t>
      </w:r>
    </w:p>
    <w:p>
      <w:pPr>
        <w:pStyle w:val="18"/>
        <w:snapToGrid w:val="0"/>
        <w:spacing w:before="0" w:beforeLines="0" w:after="0" w:afterLines="0"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一、本单位与采购人之间□不存在利害关系□存在下列利害关系：</w:t>
      </w:r>
    </w:p>
    <w:p>
      <w:pPr>
        <w:pStyle w:val="18"/>
        <w:snapToGrid w:val="0"/>
        <w:spacing w:before="0" w:beforeLines="0" w:after="0" w:afterLines="0" w:line="420" w:lineRule="exact"/>
        <w:ind w:firstLine="480" w:firstLineChars="200"/>
        <w:rPr>
          <w:rFonts w:hint="eastAsia" w:ascii="仿宋" w:hAnsi="仿宋" w:eastAsia="仿宋" w:cs="仿宋"/>
          <w:b/>
          <w:bCs/>
          <w:color w:val="auto"/>
          <w:sz w:val="24"/>
          <w:szCs w:val="24"/>
          <w:highlight w:val="none"/>
        </w:rPr>
      </w:pPr>
      <w:bookmarkStart w:id="835" w:name="_Toc27231"/>
      <w:bookmarkStart w:id="836" w:name="_Toc12112"/>
      <w:bookmarkStart w:id="837" w:name="_Toc17468"/>
      <w:bookmarkStart w:id="838" w:name="_Toc15373"/>
      <w:bookmarkStart w:id="839" w:name="_Toc6003"/>
      <w:r>
        <w:rPr>
          <w:rFonts w:hint="eastAsia" w:ascii="仿宋" w:hAnsi="仿宋" w:eastAsia="仿宋" w:cs="仿宋"/>
          <w:color w:val="auto"/>
          <w:sz w:val="24"/>
          <w:szCs w:val="24"/>
          <w:highlight w:val="none"/>
        </w:rPr>
        <w:t>A.投资关系    B.行政隶属关系    C.业务指导关系</w:t>
      </w:r>
      <w:bookmarkEnd w:id="835"/>
      <w:bookmarkEnd w:id="836"/>
      <w:bookmarkEnd w:id="837"/>
      <w:bookmarkEnd w:id="838"/>
      <w:bookmarkEnd w:id="839"/>
    </w:p>
    <w:p>
      <w:pPr>
        <w:snapToGrid w:val="0"/>
        <w:spacing w:beforeLines="0" w:afterLines="0" w:line="420" w:lineRule="exact"/>
        <w:ind w:firstLine="480" w:firstLineChars="200"/>
        <w:rPr>
          <w:rFonts w:hint="eastAsia" w:ascii="仿宋" w:hAnsi="仿宋" w:eastAsia="仿宋" w:cs="仿宋"/>
          <w:color w:val="auto"/>
          <w:sz w:val="24"/>
          <w:szCs w:val="24"/>
          <w:highlight w:val="none"/>
        </w:rPr>
      </w:pPr>
      <w:bookmarkStart w:id="840" w:name="_Toc24424"/>
      <w:bookmarkStart w:id="841" w:name="_Toc4044"/>
      <w:bookmarkStart w:id="842" w:name="_Toc19012"/>
      <w:bookmarkStart w:id="843" w:name="_Toc9171"/>
      <w:bookmarkStart w:id="844" w:name="_Toc28394"/>
      <w:r>
        <w:rPr>
          <w:rFonts w:hint="eastAsia" w:ascii="仿宋" w:hAnsi="仿宋" w:eastAsia="仿宋" w:cs="仿宋"/>
          <w:color w:val="auto"/>
          <w:sz w:val="24"/>
          <w:szCs w:val="24"/>
          <w:highlight w:val="none"/>
        </w:rPr>
        <w:t>D.其他可能影响采购公正的利害关系</w:t>
      </w:r>
      <w:r>
        <w:rPr>
          <w:rFonts w:hint="eastAsia" w:ascii="仿宋" w:hAnsi="仿宋" w:eastAsia="仿宋" w:cs="仿宋"/>
          <w:color w:val="auto"/>
          <w:sz w:val="24"/>
          <w:szCs w:val="24"/>
          <w:highlight w:val="none"/>
          <w:u w:val="single"/>
        </w:rPr>
        <w:t xml:space="preserve">（如有，请如实说明）              </w:t>
      </w:r>
      <w:r>
        <w:rPr>
          <w:rFonts w:hint="eastAsia" w:ascii="仿宋" w:hAnsi="仿宋" w:eastAsia="仿宋" w:cs="仿宋"/>
          <w:color w:val="auto"/>
          <w:sz w:val="24"/>
          <w:szCs w:val="24"/>
          <w:highlight w:val="none"/>
        </w:rPr>
        <w:t>。</w:t>
      </w:r>
      <w:bookmarkEnd w:id="840"/>
      <w:bookmarkEnd w:id="841"/>
      <w:bookmarkEnd w:id="842"/>
      <w:bookmarkEnd w:id="843"/>
      <w:bookmarkEnd w:id="844"/>
    </w:p>
    <w:p>
      <w:pPr>
        <w:snapToGrid w:val="0"/>
        <w:spacing w:beforeLines="0" w:afterLines="0" w:line="420" w:lineRule="exact"/>
        <w:ind w:firstLine="504" w:firstLineChars="200"/>
        <w:rPr>
          <w:rFonts w:hint="eastAsia" w:ascii="仿宋" w:hAnsi="仿宋" w:eastAsia="仿宋" w:cs="仿宋"/>
          <w:color w:val="auto"/>
          <w:sz w:val="24"/>
          <w:szCs w:val="24"/>
          <w:highlight w:val="none"/>
        </w:rPr>
      </w:pPr>
      <w:r>
        <w:rPr>
          <w:rFonts w:hint="eastAsia" w:ascii="仿宋" w:hAnsi="仿宋" w:eastAsia="仿宋" w:cs="仿宋"/>
          <w:color w:val="auto"/>
          <w:spacing w:val="6"/>
          <w:sz w:val="24"/>
          <w:szCs w:val="24"/>
          <w:highlight w:val="none"/>
        </w:rPr>
        <w:t>二、</w:t>
      </w:r>
      <w:r>
        <w:rPr>
          <w:rFonts w:hint="eastAsia" w:ascii="仿宋" w:hAnsi="仿宋" w:eastAsia="仿宋" w:cs="仿宋"/>
          <w:color w:val="auto"/>
          <w:sz w:val="24"/>
          <w:szCs w:val="24"/>
          <w:highlight w:val="none"/>
        </w:rPr>
        <w:t>现已清楚知道参加本项目采购活动的其他所有投标人名称，本单位□与其他所有投标人之间均不存在利害关系  □与</w:t>
      </w:r>
      <w:r>
        <w:rPr>
          <w:rFonts w:hint="eastAsia" w:ascii="仿宋" w:hAnsi="仿宋" w:eastAsia="仿宋" w:cs="仿宋"/>
          <w:color w:val="auto"/>
          <w:sz w:val="24"/>
          <w:szCs w:val="24"/>
          <w:highlight w:val="none"/>
          <w:u w:val="single"/>
        </w:rPr>
        <w:t xml:space="preserve">            （投标人名称）</w:t>
      </w:r>
      <w:r>
        <w:rPr>
          <w:rFonts w:hint="eastAsia" w:ascii="仿宋" w:hAnsi="仿宋" w:eastAsia="仿宋" w:cs="仿宋"/>
          <w:color w:val="auto"/>
          <w:sz w:val="24"/>
          <w:szCs w:val="24"/>
          <w:highlight w:val="none"/>
        </w:rPr>
        <w:t>之间存在下列利害关系：</w:t>
      </w:r>
    </w:p>
    <w:p>
      <w:pPr>
        <w:snapToGrid w:val="0"/>
        <w:spacing w:beforeLines="0" w:afterLines="0" w:line="4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A.法定代表人或负责人或实际控制人是同一人</w:t>
      </w:r>
    </w:p>
    <w:p>
      <w:pPr>
        <w:pStyle w:val="18"/>
        <w:snapToGrid w:val="0"/>
        <w:spacing w:before="0" w:beforeLines="0" w:after="0" w:afterLines="0" w:line="420" w:lineRule="exact"/>
        <w:ind w:firstLine="480"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B.法定代表人或负责人或实际控制人是夫妻关系</w:t>
      </w:r>
    </w:p>
    <w:p>
      <w:pPr>
        <w:pStyle w:val="18"/>
        <w:snapToGrid w:val="0"/>
        <w:spacing w:before="0" w:beforeLines="0" w:after="0" w:afterLines="0" w:line="420" w:lineRule="exact"/>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C.法定代表人或负责人或实际控制人是直系血亲关系</w:t>
      </w:r>
    </w:p>
    <w:p>
      <w:pPr>
        <w:pStyle w:val="18"/>
        <w:snapToGrid w:val="0"/>
        <w:spacing w:before="0" w:beforeLines="0" w:after="0" w:afterLines="0" w:line="420" w:lineRule="exact"/>
        <w:ind w:firstLine="480" w:firstLineChars="200"/>
        <w:rPr>
          <w:rFonts w:hint="eastAsia" w:ascii="仿宋" w:hAnsi="仿宋" w:eastAsia="仿宋" w:cs="仿宋"/>
          <w:color w:val="auto"/>
          <w:spacing w:val="6"/>
          <w:sz w:val="24"/>
          <w:szCs w:val="24"/>
          <w:highlight w:val="none"/>
        </w:rPr>
      </w:pPr>
      <w:r>
        <w:rPr>
          <w:rFonts w:hint="eastAsia" w:ascii="仿宋" w:hAnsi="仿宋" w:eastAsia="仿宋" w:cs="仿宋"/>
          <w:color w:val="auto"/>
          <w:kern w:val="0"/>
          <w:sz w:val="24"/>
          <w:szCs w:val="24"/>
          <w:highlight w:val="none"/>
        </w:rPr>
        <w:t xml:space="preserve"> D.法定代表人或负责人或实际控制人存在三代以内旁系血亲关系</w:t>
      </w:r>
    </w:p>
    <w:p>
      <w:pPr>
        <w:pStyle w:val="18"/>
        <w:snapToGrid w:val="0"/>
        <w:spacing w:before="0" w:beforeLines="0" w:after="0" w:afterLines="0" w:line="42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E.法定代表人或负责人或实际控制人存在近姻亲关系</w:t>
      </w:r>
    </w:p>
    <w:p>
      <w:pPr>
        <w:pStyle w:val="18"/>
        <w:snapToGrid w:val="0"/>
        <w:spacing w:before="0" w:beforeLines="0" w:after="0" w:afterLines="0" w:line="42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F.法定代表人或负责人或实际控制人存在股份控制或实际控制关系</w:t>
      </w:r>
    </w:p>
    <w:p>
      <w:pPr>
        <w:pStyle w:val="18"/>
        <w:snapToGrid w:val="0"/>
        <w:spacing w:before="0" w:beforeLines="0" w:after="0" w:afterLines="0" w:line="42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G.存在共同直接或间接投资设立子公司、联营企业和合营企业情况</w:t>
      </w:r>
    </w:p>
    <w:p>
      <w:pPr>
        <w:pStyle w:val="18"/>
        <w:snapToGrid w:val="0"/>
        <w:spacing w:before="0" w:beforeLines="0" w:after="0" w:afterLines="0"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 H.存在分级代理或代销关系、同一生产制造商关系、管理关系、重要业务（占</w:t>
      </w:r>
      <w:r>
        <w:rPr>
          <w:rFonts w:hint="eastAsia" w:ascii="仿宋" w:hAnsi="仿宋" w:eastAsia="仿宋" w:cs="仿宋"/>
          <w:color w:val="auto"/>
          <w:sz w:val="24"/>
          <w:szCs w:val="24"/>
          <w:highlight w:val="none"/>
        </w:rPr>
        <w:t>主营业务收入50%以上）或重要财务往来关系（如融资）等其他实质性控制关系</w:t>
      </w:r>
    </w:p>
    <w:p>
      <w:pPr>
        <w:pStyle w:val="18"/>
        <w:snapToGrid w:val="0"/>
        <w:spacing w:before="0" w:beforeLines="0" w:after="0" w:afterLines="0" w:line="420" w:lineRule="exact"/>
        <w:ind w:left="-190" w:firstLine="691" w:firstLineChars="288"/>
        <w:rPr>
          <w:rFonts w:hint="eastAsia" w:ascii="仿宋" w:hAnsi="仿宋" w:eastAsia="仿宋" w:cs="仿宋"/>
          <w:color w:val="auto"/>
          <w:kern w:val="0"/>
          <w:sz w:val="24"/>
          <w:szCs w:val="24"/>
          <w:highlight w:val="none"/>
        </w:rPr>
      </w:pPr>
      <w:bookmarkStart w:id="845" w:name="_Toc24972"/>
      <w:bookmarkStart w:id="846" w:name="_Toc23144"/>
      <w:bookmarkStart w:id="847" w:name="_Toc21051"/>
      <w:bookmarkStart w:id="848" w:name="_Toc19277"/>
      <w:bookmarkStart w:id="849" w:name="_Toc3905"/>
      <w:r>
        <w:rPr>
          <w:rFonts w:hint="eastAsia" w:ascii="仿宋" w:hAnsi="仿宋" w:eastAsia="仿宋" w:cs="仿宋"/>
          <w:color w:val="auto"/>
          <w:sz w:val="24"/>
          <w:szCs w:val="24"/>
          <w:highlight w:val="none"/>
        </w:rPr>
        <w:t>I</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其他利害关系情况</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bookmarkEnd w:id="845"/>
      <w:bookmarkEnd w:id="846"/>
      <w:bookmarkEnd w:id="847"/>
      <w:bookmarkEnd w:id="848"/>
      <w:bookmarkEnd w:id="849"/>
    </w:p>
    <w:p>
      <w:pPr>
        <w:pStyle w:val="18"/>
        <w:numPr>
          <w:ilvl w:val="0"/>
          <w:numId w:val="0"/>
        </w:numPr>
        <w:tabs>
          <w:tab w:val="left" w:pos="210"/>
          <w:tab w:val="left" w:pos="420"/>
        </w:tabs>
        <w:snapToGrid w:val="0"/>
        <w:spacing w:beforeLines="0" w:afterLines="0" w:line="420" w:lineRule="exact"/>
        <w:ind w:lef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现已清楚知道并严格遵守政府采购法律法规和现场纪律。</w:t>
      </w:r>
    </w:p>
    <w:p>
      <w:pPr>
        <w:numPr>
          <w:ilvl w:val="0"/>
          <w:numId w:val="0"/>
        </w:numPr>
        <w:tabs>
          <w:tab w:val="left" w:pos="420"/>
        </w:tabs>
        <w:snapToGrid w:val="0"/>
        <w:spacing w:beforeLines="0" w:afterLines="0" w:line="420" w:lineRule="exact"/>
        <w:ind w:lef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我发现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投标人之间存在或可能存在上述第二条第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项利害关系。</w:t>
      </w:r>
    </w:p>
    <w:p>
      <w:pPr>
        <w:pStyle w:val="17"/>
        <w:spacing w:beforeLines="0" w:afterLines="0" w:line="360" w:lineRule="auto"/>
        <w:ind w:left="0" w:right="-252" w:firstLine="480" w:firstLineChars="200"/>
        <w:jc w:val="center"/>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en-US" w:eastAsia="zh-CN" w:bidi="ar"/>
        </w:rPr>
        <w:t xml:space="preserve"> </w:t>
      </w:r>
    </w:p>
    <w:p>
      <w:pPr>
        <w:pStyle w:val="17"/>
        <w:spacing w:beforeLines="0" w:afterLines="0" w:line="360" w:lineRule="auto"/>
        <w:ind w:left="0" w:right="-252" w:firstLine="0" w:firstLineChars="0"/>
        <w:jc w:val="both"/>
        <w:rPr>
          <w:rFonts w:hint="eastAsia" w:ascii="仿宋" w:hAnsi="仿宋" w:eastAsia="仿宋" w:cs="仿宋"/>
          <w:color w:val="auto"/>
          <w:sz w:val="24"/>
          <w:szCs w:val="24"/>
          <w:highlight w:val="none"/>
          <w:u w:val="single"/>
          <w:lang w:val="en-US" w:eastAsia="zh-CN" w:bidi="ar"/>
        </w:rPr>
      </w:pPr>
      <w:r>
        <w:rPr>
          <w:rFonts w:hint="eastAsia" w:ascii="仿宋" w:hAnsi="仿宋" w:eastAsia="仿宋" w:cs="仿宋"/>
          <w:color w:val="auto"/>
          <w:sz w:val="24"/>
          <w:szCs w:val="24"/>
          <w:highlight w:val="none"/>
          <w:lang w:val="en-US" w:eastAsia="zh-CN" w:bidi="ar"/>
        </w:rPr>
        <w:t xml:space="preserve">                 </w:t>
      </w:r>
      <w:r>
        <w:rPr>
          <w:rFonts w:hint="eastAsia" w:ascii="仿宋" w:hAnsi="仿宋" w:eastAsia="仿宋" w:cs="仿宋"/>
          <w:color w:val="auto"/>
          <w:sz w:val="24"/>
          <w:szCs w:val="24"/>
          <w:highlight w:val="none"/>
          <w:lang w:eastAsia="zh-CN" w:bidi="ar"/>
        </w:rPr>
        <w:t>投标人</w:t>
      </w:r>
      <w:r>
        <w:rPr>
          <w:rFonts w:hint="eastAsia" w:ascii="仿宋" w:hAnsi="仿宋" w:eastAsia="仿宋" w:cs="仿宋"/>
          <w:color w:val="auto"/>
          <w:sz w:val="24"/>
          <w:szCs w:val="24"/>
          <w:highlight w:val="none"/>
          <w:lang w:bidi="ar"/>
        </w:rPr>
        <w:t>全称：</w:t>
      </w:r>
      <w:r>
        <w:rPr>
          <w:rFonts w:hint="eastAsia" w:ascii="仿宋" w:hAnsi="仿宋" w:eastAsia="仿宋" w:cs="仿宋"/>
          <w:color w:val="auto"/>
          <w:sz w:val="24"/>
          <w:szCs w:val="24"/>
          <w:highlight w:val="none"/>
          <w:u w:val="single"/>
          <w:lang w:val="en-US" w:eastAsia="zh-CN" w:bidi="ar"/>
        </w:rPr>
        <w:t xml:space="preserve">             </w:t>
      </w:r>
      <w:r>
        <w:rPr>
          <w:rFonts w:hint="eastAsia" w:ascii="仿宋" w:hAnsi="仿宋" w:eastAsia="仿宋" w:cs="仿宋"/>
          <w:color w:val="auto"/>
          <w:sz w:val="24"/>
          <w:szCs w:val="24"/>
          <w:highlight w:val="none"/>
          <w:u w:val="single"/>
          <w:lang w:bidi="ar"/>
        </w:rPr>
        <w:t>（盖公章</w:t>
      </w:r>
      <w:r>
        <w:rPr>
          <w:rFonts w:hint="eastAsia" w:ascii="仿宋" w:hAnsi="仿宋" w:eastAsia="仿宋" w:cs="仿宋"/>
          <w:color w:val="auto"/>
          <w:sz w:val="24"/>
          <w:szCs w:val="24"/>
          <w:highlight w:val="none"/>
          <w:u w:val="single"/>
          <w:lang w:eastAsia="zh-CN" w:bidi="ar"/>
        </w:rPr>
        <w:t>）</w:t>
      </w:r>
      <w:r>
        <w:rPr>
          <w:rFonts w:hint="eastAsia" w:ascii="仿宋" w:hAnsi="仿宋" w:eastAsia="仿宋" w:cs="仿宋"/>
          <w:color w:val="auto"/>
          <w:sz w:val="24"/>
          <w:szCs w:val="24"/>
          <w:highlight w:val="none"/>
          <w:u w:val="single"/>
          <w:lang w:val="en-US" w:eastAsia="zh-CN" w:bidi="ar"/>
        </w:rPr>
        <w:t xml:space="preserve"> </w:t>
      </w:r>
    </w:p>
    <w:p>
      <w:pPr>
        <w:pStyle w:val="17"/>
        <w:spacing w:beforeLines="0" w:afterLines="0" w:line="360" w:lineRule="auto"/>
        <w:ind w:right="-252" w:firstLine="3120" w:firstLineChars="1300"/>
        <w:jc w:val="both"/>
        <w:rPr>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bidi="ar"/>
        </w:rPr>
        <w:t>投标人代表签名：</w:t>
      </w:r>
      <w:r>
        <w:rPr>
          <w:rFonts w:hint="eastAsia" w:ascii="仿宋" w:hAnsi="仿宋" w:eastAsia="仿宋" w:cs="仿宋"/>
          <w:color w:val="auto"/>
          <w:sz w:val="24"/>
          <w:szCs w:val="24"/>
          <w:highlight w:val="none"/>
          <w:u w:val="single"/>
          <w:lang w:val="en-US" w:eastAsia="zh-CN" w:bidi="ar"/>
        </w:rPr>
        <w:t xml:space="preserve">                        </w:t>
      </w:r>
      <w:r>
        <w:rPr>
          <w:rFonts w:hint="eastAsia" w:ascii="仿宋" w:hAnsi="仿宋" w:eastAsia="仿宋" w:cs="仿宋"/>
          <w:color w:val="auto"/>
          <w:sz w:val="24"/>
          <w:szCs w:val="24"/>
          <w:highlight w:val="none"/>
          <w:lang w:val="en-US" w:eastAsia="zh-CN" w:bidi="ar"/>
        </w:rPr>
        <w:t xml:space="preserve">            </w:t>
      </w:r>
    </w:p>
    <w:p>
      <w:pPr>
        <w:pStyle w:val="17"/>
        <w:spacing w:beforeLines="0" w:afterLines="0" w:line="240" w:lineRule="auto"/>
        <w:ind w:firstLine="2160" w:firstLineChars="900"/>
        <w:jc w:val="both"/>
        <w:rPr>
          <w:rFonts w:hint="eastAsia" w:hAnsi="宋体" w:cs="宋体"/>
          <w:bCs/>
          <w:color w:val="auto"/>
          <w:sz w:val="24"/>
          <w:szCs w:val="24"/>
          <w:highlight w:val="none"/>
        </w:rPr>
      </w:pPr>
      <w:r>
        <w:rPr>
          <w:rFonts w:hint="eastAsia" w:ascii="仿宋" w:hAnsi="仿宋" w:eastAsia="仿宋" w:cs="仿宋"/>
          <w:color w:val="auto"/>
          <w:sz w:val="24"/>
          <w:szCs w:val="24"/>
          <w:highlight w:val="none"/>
          <w:lang w:eastAsia="zh-CN" w:bidi="ar"/>
        </w:rPr>
        <w:t>日期：</w:t>
      </w:r>
      <w:r>
        <w:rPr>
          <w:rFonts w:hint="eastAsia" w:ascii="仿宋" w:hAnsi="仿宋" w:eastAsia="仿宋" w:cs="仿宋"/>
          <w:color w:val="auto"/>
          <w:sz w:val="24"/>
          <w:szCs w:val="24"/>
          <w:highlight w:val="none"/>
          <w:u w:val="single"/>
          <w:lang w:eastAsia="zh-CN" w:bidi="ar"/>
        </w:rPr>
        <w:t xml:space="preserve">        </w:t>
      </w:r>
      <w:r>
        <w:rPr>
          <w:rFonts w:hint="eastAsia" w:ascii="仿宋" w:hAnsi="仿宋" w:eastAsia="仿宋" w:cs="仿宋"/>
          <w:color w:val="auto"/>
          <w:sz w:val="24"/>
          <w:szCs w:val="24"/>
          <w:highlight w:val="none"/>
          <w:lang w:eastAsia="zh-CN" w:bidi="ar"/>
        </w:rPr>
        <w:t>年</w:t>
      </w:r>
      <w:r>
        <w:rPr>
          <w:rFonts w:hint="eastAsia" w:ascii="仿宋" w:hAnsi="仿宋" w:eastAsia="仿宋" w:cs="仿宋"/>
          <w:color w:val="auto"/>
          <w:sz w:val="24"/>
          <w:szCs w:val="24"/>
          <w:highlight w:val="none"/>
          <w:u w:val="single"/>
          <w:lang w:eastAsia="zh-CN" w:bidi="ar"/>
        </w:rPr>
        <w:t xml:space="preserve">   </w:t>
      </w:r>
      <w:r>
        <w:rPr>
          <w:rFonts w:hint="eastAsia" w:ascii="仿宋" w:hAnsi="仿宋" w:eastAsia="仿宋" w:cs="仿宋"/>
          <w:color w:val="auto"/>
          <w:sz w:val="24"/>
          <w:szCs w:val="24"/>
          <w:highlight w:val="none"/>
          <w:u w:val="single"/>
          <w:lang w:val="en-US" w:eastAsia="zh-CN" w:bidi="ar"/>
        </w:rPr>
        <w:t xml:space="preserve">   </w:t>
      </w:r>
      <w:r>
        <w:rPr>
          <w:rFonts w:hint="eastAsia" w:ascii="仿宋" w:hAnsi="仿宋" w:eastAsia="仿宋" w:cs="仿宋"/>
          <w:color w:val="auto"/>
          <w:sz w:val="24"/>
          <w:szCs w:val="24"/>
          <w:highlight w:val="none"/>
          <w:u w:val="single"/>
          <w:lang w:eastAsia="zh-CN" w:bidi="ar"/>
        </w:rPr>
        <w:t xml:space="preserve"> </w:t>
      </w:r>
      <w:r>
        <w:rPr>
          <w:rFonts w:hint="eastAsia" w:ascii="仿宋" w:hAnsi="仿宋" w:eastAsia="仿宋" w:cs="仿宋"/>
          <w:color w:val="auto"/>
          <w:sz w:val="24"/>
          <w:szCs w:val="24"/>
          <w:highlight w:val="none"/>
          <w:lang w:eastAsia="zh-CN" w:bidi="ar"/>
        </w:rPr>
        <w:t>月</w:t>
      </w:r>
      <w:r>
        <w:rPr>
          <w:rFonts w:hint="eastAsia" w:ascii="仿宋" w:hAnsi="仿宋" w:eastAsia="仿宋" w:cs="仿宋"/>
          <w:color w:val="auto"/>
          <w:sz w:val="24"/>
          <w:szCs w:val="24"/>
          <w:highlight w:val="none"/>
          <w:u w:val="single"/>
          <w:lang w:eastAsia="zh-CN" w:bidi="ar"/>
        </w:rPr>
        <w:t xml:space="preserve">   </w:t>
      </w:r>
      <w:r>
        <w:rPr>
          <w:rFonts w:hint="eastAsia" w:ascii="仿宋" w:hAnsi="仿宋" w:eastAsia="仿宋" w:cs="仿宋"/>
          <w:color w:val="auto"/>
          <w:sz w:val="24"/>
          <w:szCs w:val="24"/>
          <w:highlight w:val="none"/>
          <w:u w:val="single"/>
          <w:lang w:val="en-US" w:eastAsia="zh-CN" w:bidi="ar"/>
        </w:rPr>
        <w:t xml:space="preserve">  </w:t>
      </w:r>
      <w:r>
        <w:rPr>
          <w:rFonts w:hint="eastAsia" w:ascii="仿宋" w:hAnsi="仿宋" w:eastAsia="仿宋" w:cs="仿宋"/>
          <w:color w:val="auto"/>
          <w:sz w:val="24"/>
          <w:szCs w:val="24"/>
          <w:highlight w:val="none"/>
          <w:u w:val="single"/>
          <w:lang w:eastAsia="zh-CN" w:bidi="ar"/>
        </w:rPr>
        <w:t xml:space="preserve"> </w:t>
      </w:r>
      <w:r>
        <w:rPr>
          <w:rFonts w:hint="eastAsia" w:ascii="仿宋" w:hAnsi="仿宋" w:eastAsia="仿宋" w:cs="仿宋"/>
          <w:color w:val="auto"/>
          <w:sz w:val="24"/>
          <w:szCs w:val="24"/>
          <w:highlight w:val="none"/>
          <w:lang w:eastAsia="zh-CN" w:bidi="ar"/>
        </w:rPr>
        <w:t>日</w:t>
      </w:r>
      <w:r>
        <w:rPr>
          <w:rFonts w:hint="eastAsia" w:hAnsi="宋体" w:cs="宋体"/>
          <w:bCs/>
          <w:color w:val="auto"/>
          <w:sz w:val="24"/>
          <w:szCs w:val="24"/>
          <w:highlight w:val="none"/>
        </w:rPr>
        <w:t xml:space="preserve"> </w:t>
      </w:r>
    </w:p>
    <w:p>
      <w:pPr>
        <w:keepNext/>
        <w:keepLines/>
        <w:pageBreakBefore/>
        <w:widowControl w:val="0"/>
        <w:tabs>
          <w:tab w:val="left" w:pos="432"/>
        </w:tabs>
        <w:kinsoku/>
        <w:wordWrap/>
        <w:overflowPunct/>
        <w:topLinePunct w:val="0"/>
        <w:autoSpaceDE/>
        <w:autoSpaceDN/>
        <w:bidi w:val="0"/>
        <w:adjustRightInd/>
        <w:snapToGrid/>
        <w:spacing w:before="78" w:beforeLines="25" w:after="0" w:line="360" w:lineRule="auto"/>
        <w:ind w:left="0" w:firstLine="0"/>
        <w:jc w:val="left"/>
        <w:textAlignment w:val="auto"/>
        <w:outlineLvl w:val="9"/>
        <w:rPr>
          <w:rFonts w:hint="eastAsia" w:cs="宋体"/>
          <w:b/>
          <w:bCs/>
          <w:color w:val="auto"/>
          <w:highlight w:val="none"/>
          <w:lang w:val="en-US" w:eastAsia="zh-CN"/>
        </w:rPr>
      </w:pPr>
      <w:r>
        <w:rPr>
          <w:rFonts w:hint="eastAsia" w:ascii="仿宋_GB2312" w:hAnsi="仿宋" w:eastAsia="仿宋_GB2312"/>
          <w:b/>
          <w:color w:val="auto"/>
          <w:spacing w:val="6"/>
          <w:sz w:val="32"/>
          <w:szCs w:val="32"/>
          <w:highlight w:val="none"/>
        </w:rPr>
        <w:t>附件</w:t>
      </w:r>
      <w:r>
        <w:rPr>
          <w:rFonts w:hint="eastAsia" w:ascii="仿宋_GB2312" w:hAnsi="仿宋" w:eastAsia="仿宋_GB2312"/>
          <w:b/>
          <w:color w:val="auto"/>
          <w:spacing w:val="6"/>
          <w:sz w:val="32"/>
          <w:szCs w:val="32"/>
          <w:highlight w:val="none"/>
          <w:lang w:val="en-US" w:eastAsia="zh-CN"/>
        </w:rPr>
        <w:t>4</w:t>
      </w:r>
      <w:r>
        <w:rPr>
          <w:rFonts w:ascii="仿宋_GB2312" w:hAnsi="仿宋" w:eastAsia="仿宋_GB2312"/>
          <w:b/>
          <w:color w:val="auto"/>
          <w:spacing w:val="6"/>
          <w:sz w:val="32"/>
          <w:szCs w:val="32"/>
          <w:highlight w:val="none"/>
        </w:rPr>
        <w:t>：</w:t>
      </w:r>
    </w:p>
    <w:bookmarkEnd w:id="24"/>
    <w:bookmarkEnd w:id="25"/>
    <w:bookmarkEnd w:id="26"/>
    <w:bookmarkEnd w:id="27"/>
    <w:bookmarkEnd w:id="28"/>
    <w:bookmarkEnd w:id="770"/>
    <w:bookmarkEnd w:id="771"/>
    <w:bookmarkEnd w:id="774"/>
    <w:bookmarkEnd w:id="775"/>
    <w:bookmarkEnd w:id="776"/>
    <w:bookmarkEnd w:id="792"/>
    <w:bookmarkEnd w:id="793"/>
    <w:bookmarkEnd w:id="794"/>
    <w:bookmarkEnd w:id="795"/>
    <w:bookmarkEnd w:id="796"/>
    <w:bookmarkEnd w:id="797"/>
    <w:bookmarkEnd w:id="798"/>
    <w:bookmarkEnd w:id="799"/>
    <w:bookmarkEnd w:id="800"/>
    <w:bookmarkEnd w:id="801"/>
    <w:p>
      <w:pPr>
        <w:keepNext/>
        <w:keepLines/>
        <w:pageBreakBefore w:val="0"/>
        <w:widowControl/>
        <w:numPr>
          <w:ilvl w:val="1"/>
          <w:numId w:val="0"/>
        </w:numPr>
        <w:tabs>
          <w:tab w:val="left" w:pos="840"/>
        </w:tabs>
        <w:kinsoku/>
        <w:wordWrap/>
        <w:overflowPunct/>
        <w:topLinePunct w:val="0"/>
        <w:autoSpaceDE/>
        <w:autoSpaceDN/>
        <w:bidi w:val="0"/>
        <w:adjustRightInd/>
        <w:snapToGrid/>
        <w:spacing w:before="0" w:afterLines="50" w:line="400" w:lineRule="exact"/>
        <w:jc w:val="center"/>
        <w:textAlignment w:val="auto"/>
        <w:outlineLvl w:val="9"/>
        <w:rPr>
          <w:rFonts w:hint="eastAsia" w:ascii="Cambria" w:hAnsi="Cambria" w:eastAsia="宋体" w:cs="Times New Roman"/>
          <w:b/>
          <w:bCs/>
          <w:color w:val="auto"/>
          <w:sz w:val="28"/>
          <w:szCs w:val="32"/>
          <w:highlight w:val="none"/>
          <w:lang w:val="en-US" w:eastAsia="zh-CN" w:bidi="ar-SA"/>
        </w:rPr>
      </w:pPr>
      <w:r>
        <w:rPr>
          <w:rFonts w:hint="eastAsia" w:hAnsi="宋体" w:eastAsia="宋体" w:cs="Times New Roman"/>
          <w:b/>
          <w:bCs w:val="0"/>
          <w:color w:val="auto"/>
          <w:sz w:val="28"/>
          <w:szCs w:val="36"/>
          <w:highlight w:val="none"/>
          <w:lang w:val="en-US" w:eastAsia="zh-CN"/>
        </w:rPr>
        <w:t>政府采购履约验收书</w:t>
      </w:r>
      <w:r>
        <w:rPr>
          <w:rFonts w:hint="eastAsia" w:ascii="Cambria" w:hAnsi="Cambria" w:eastAsia="宋体" w:cs="Times New Roman"/>
          <w:b/>
          <w:bCs/>
          <w:color w:val="auto"/>
          <w:sz w:val="28"/>
          <w:szCs w:val="32"/>
          <w:highlight w:val="none"/>
          <w:lang w:val="en-US" w:eastAsia="zh-CN" w:bidi="ar-SA"/>
        </w:rPr>
        <w:t>（参考模板）</w:t>
      </w:r>
    </w:p>
    <w:p>
      <w:pPr>
        <w:keepNext w:val="0"/>
        <w:keepLines w:val="0"/>
        <w:pageBreakBefore w:val="0"/>
        <w:widowControl w:val="0"/>
        <w:kinsoku/>
        <w:wordWrap/>
        <w:overflowPunct/>
        <w:topLinePunct w:val="0"/>
        <w:autoSpaceDE/>
        <w:autoSpaceDN/>
        <w:bidi w:val="0"/>
        <w:adjustRightInd/>
        <w:snapToGrid w:val="0"/>
        <w:spacing w:beforeAutospacing="0" w:afterAutospacing="0" w:line="480" w:lineRule="exact"/>
        <w:ind w:left="0" w:leftChars="0" w:firstLine="455" w:firstLineChars="207"/>
        <w:jc w:val="left"/>
        <w:textAlignment w:val="auto"/>
        <w:rPr>
          <w:rFonts w:hint="eastAsia" w:ascii="Cambria" w:hAnsi="Cambria" w:eastAsia="宋体" w:cs="Times New Roman"/>
          <w:b/>
          <w:bCs/>
          <w:color w:val="auto"/>
          <w:sz w:val="28"/>
          <w:szCs w:val="32"/>
          <w:highlight w:val="none"/>
          <w:lang w:val="en-US" w:eastAsia="zh-CN" w:bidi="ar-SA"/>
        </w:rPr>
      </w:pPr>
      <w:r>
        <w:rPr>
          <w:rFonts w:hint="eastAsia" w:ascii="宋体" w:hAnsi="宋体" w:eastAsia="宋体" w:cs="宋体"/>
          <w:color w:val="auto"/>
          <w:kern w:val="0"/>
          <w:sz w:val="22"/>
          <w:szCs w:val="22"/>
          <w:highlight w:val="none"/>
        </w:rPr>
        <w:t>根据政府采购项目（</w:t>
      </w:r>
      <w:r>
        <w:rPr>
          <w:rFonts w:hint="eastAsia" w:ascii="宋体" w:hAnsi="宋体" w:eastAsia="宋体" w:cs="宋体"/>
          <w:color w:val="auto"/>
          <w:kern w:val="0"/>
          <w:sz w:val="22"/>
          <w:szCs w:val="22"/>
          <w:highlight w:val="none"/>
          <w:u w:val="single"/>
        </w:rPr>
        <w:t>采购合同编号：</w:t>
      </w:r>
      <w:r>
        <w:rPr>
          <w:rFonts w:hint="eastAsia" w:ascii="宋体" w:hAnsi="宋体" w:eastAsia="宋体" w:cs="宋体"/>
          <w:color w:val="auto"/>
          <w:kern w:val="0"/>
          <w:sz w:val="22"/>
          <w:szCs w:val="22"/>
          <w:highlight w:val="none"/>
          <w:u w:val="single"/>
        </w:rPr>
        <w:softHyphen/>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）的约定，我单位对（</w:t>
      </w:r>
      <w:r>
        <w:rPr>
          <w:rFonts w:hint="eastAsia" w:ascii="宋体" w:hAnsi="宋体" w:eastAsia="宋体" w:cs="宋体"/>
          <w:color w:val="auto"/>
          <w:kern w:val="0"/>
          <w:sz w:val="22"/>
          <w:szCs w:val="22"/>
          <w:highlight w:val="none"/>
          <w:u w:val="single"/>
        </w:rPr>
        <w:t xml:space="preserve">  项目名称   </w:t>
      </w:r>
      <w:r>
        <w:rPr>
          <w:rFonts w:hint="eastAsia" w:ascii="宋体" w:hAnsi="宋体" w:eastAsia="宋体" w:cs="宋体"/>
          <w:color w:val="auto"/>
          <w:kern w:val="0"/>
          <w:sz w:val="22"/>
          <w:szCs w:val="22"/>
          <w:highlight w:val="none"/>
        </w:rPr>
        <w:t>）政府采购项目中标（或成交）供应商（</w:t>
      </w:r>
      <w:r>
        <w:rPr>
          <w:rFonts w:hint="eastAsia" w:ascii="宋体" w:hAnsi="宋体" w:eastAsia="宋体" w:cs="宋体"/>
          <w:color w:val="auto"/>
          <w:kern w:val="0"/>
          <w:sz w:val="22"/>
          <w:szCs w:val="22"/>
          <w:highlight w:val="none"/>
          <w:u w:val="single"/>
        </w:rPr>
        <w:t xml:space="preserve">            公司名称              </w:t>
      </w:r>
      <w:r>
        <w:rPr>
          <w:rFonts w:hint="eastAsia" w:ascii="宋体" w:hAnsi="宋体" w:eastAsia="宋体" w:cs="宋体"/>
          <w:color w:val="auto"/>
          <w:kern w:val="0"/>
          <w:sz w:val="22"/>
          <w:szCs w:val="22"/>
          <w:highlight w:val="none"/>
        </w:rPr>
        <w:t>）提供的货物、服务（或政府采购工程）进行了验收，验收情况如下：</w:t>
      </w:r>
    </w:p>
    <w:tbl>
      <w:tblPr>
        <w:tblStyle w:val="3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30"/>
        <w:gridCol w:w="826"/>
        <w:gridCol w:w="995"/>
        <w:gridCol w:w="33"/>
        <w:gridCol w:w="891"/>
        <w:gridCol w:w="118"/>
        <w:gridCol w:w="661"/>
        <w:gridCol w:w="341"/>
        <w:gridCol w:w="63"/>
        <w:gridCol w:w="1321"/>
        <w:gridCol w:w="973"/>
        <w:gridCol w:w="1001"/>
        <w:gridCol w:w="9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4" w:hRule="atLeast"/>
          <w:jc w:val="center"/>
        </w:trPr>
        <w:tc>
          <w:tcPr>
            <w:tcW w:w="9011" w:type="dxa"/>
            <w:gridSpan w:val="1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一、验收方案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5" w:hRule="atLeast"/>
          <w:jc w:val="center"/>
        </w:trPr>
        <w:tc>
          <w:tcPr>
            <w:tcW w:w="9011" w:type="dxa"/>
            <w:gridSpan w:val="1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（一）项目基本情况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1"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采购人名称</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9"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合同编号</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合同签订时间</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合同规定验收时间</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5"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项目类型</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□货物/□服务</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合同金额</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0" w:hRule="atLeast"/>
          <w:jc w:val="center"/>
        </w:trPr>
        <w:tc>
          <w:tcPr>
            <w:tcW w:w="9011" w:type="dxa"/>
            <w:gridSpan w:val="1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（二）验收方式与方法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9"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验收组织方式</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□自行组织/□委托代理</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代理机构名称</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验收方式</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□一般验收程序/□简易验收程序</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选择简易验收理由</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5"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验收方法</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□一次性验收/□分段验收/□分期验收</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选择非一次性验收理由</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8" w:hRule="atLeast"/>
          <w:jc w:val="center"/>
        </w:trPr>
        <w:tc>
          <w:tcPr>
            <w:tcW w:w="1656"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大型或复杂项目</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w:t>
            </w:r>
          </w:p>
        </w:tc>
        <w:tc>
          <w:tcPr>
            <w:tcW w:w="1321" w:type="dxa"/>
            <w:vMerge w:val="restart"/>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邀请本项目其他供应商</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73"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参与验收检测机构名称</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p>
        </w:tc>
        <w:tc>
          <w:tcPr>
            <w:tcW w:w="132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参与验收供应商名称</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656"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向社会公众提供的公共服务项目方式</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w:t>
            </w:r>
          </w:p>
        </w:tc>
        <w:tc>
          <w:tcPr>
            <w:tcW w:w="1321" w:type="dxa"/>
            <w:vMerge w:val="restart"/>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采购人、使用人分离项目</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20"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参与验收服务对象</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32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使用单位名称</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9" w:hRule="atLeast"/>
          <w:jc w:val="center"/>
        </w:trPr>
        <w:tc>
          <w:tcPr>
            <w:tcW w:w="9011" w:type="dxa"/>
            <w:gridSpan w:val="1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（三）验收人员组成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1"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验收小组总人数</w:t>
            </w:r>
          </w:p>
        </w:tc>
        <w:tc>
          <w:tcPr>
            <w:tcW w:w="1028"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c>
          <w:tcPr>
            <w:tcW w:w="100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专业技术人员人数</w:t>
            </w:r>
          </w:p>
        </w:tc>
        <w:tc>
          <w:tcPr>
            <w:tcW w:w="1002"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c>
          <w:tcPr>
            <w:tcW w:w="138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实际使用人人数（如有）</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00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其他验收人员数量</w:t>
            </w:r>
          </w:p>
        </w:tc>
        <w:tc>
          <w:tcPr>
            <w:tcW w:w="958"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验收人员姓名</w:t>
            </w:r>
          </w:p>
        </w:tc>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工作单位</w:t>
            </w:r>
          </w:p>
        </w:tc>
        <w:tc>
          <w:tcPr>
            <w:tcW w:w="2386"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315" w:firstLineChars="1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称（专业）</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c>
          <w:tcPr>
            <w:tcW w:w="2386"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c>
          <w:tcPr>
            <w:tcW w:w="2386"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c>
          <w:tcPr>
            <w:tcW w:w="2037"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jc w:val="center"/>
              <w:rPr>
                <w:rFonts w:hint="eastAsia" w:ascii="宋体" w:hAnsi="宋体" w:eastAsia="宋体" w:cs="宋体"/>
                <w:color w:val="auto"/>
                <w:sz w:val="21"/>
                <w:szCs w:val="21"/>
                <w:highlight w:val="none"/>
              </w:rPr>
            </w:pPr>
          </w:p>
        </w:tc>
        <w:tc>
          <w:tcPr>
            <w:tcW w:w="2386"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9011" w:type="dxa"/>
            <w:gridSpan w:val="1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（四）验收主要指标和标准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0" w:hRule="atLeast"/>
          <w:jc w:val="center"/>
        </w:trPr>
        <w:tc>
          <w:tcPr>
            <w:tcW w:w="83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826"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合同履约时间、地点、方式</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货物型号规格、标准及配置等（或服务内容、标准）</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2" w:firstLineChars="20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3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p>
        </w:tc>
        <w:tc>
          <w:tcPr>
            <w:tcW w:w="826"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 w:firstLineChars="2"/>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420" w:firstLineChars="200"/>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3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826"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420" w:firstLineChars="200"/>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3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826"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420" w:firstLineChars="200"/>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830"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826"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left="-3" w:firstLine="420" w:firstLineChars="200"/>
              <w:jc w:val="center"/>
              <w:rPr>
                <w:rFonts w:hint="eastAsia" w:ascii="宋体" w:hAnsi="宋体" w:eastAsia="宋体" w:cs="宋体"/>
                <w:color w:val="auto"/>
                <w:sz w:val="21"/>
                <w:szCs w:val="21"/>
                <w:highlight w:val="none"/>
              </w:rPr>
            </w:pP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420" w:firstLineChars="200"/>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8" w:hRule="atLeast"/>
          <w:jc w:val="center"/>
        </w:trPr>
        <w:tc>
          <w:tcPr>
            <w:tcW w:w="9011" w:type="dxa"/>
            <w:gridSpan w:val="1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二、验收情况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3"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分期情况</w:t>
            </w:r>
          </w:p>
        </w:tc>
        <w:tc>
          <w:tcPr>
            <w:tcW w:w="3102"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共分   期，此为第   期验收</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分段情况</w:t>
            </w:r>
          </w:p>
        </w:tc>
        <w:tc>
          <w:tcPr>
            <w:tcW w:w="2932"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共分  段，此为      阶段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1656"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第三方参考情况说明</w:t>
            </w: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评价对象</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评价结果</w:t>
            </w:r>
          </w:p>
        </w:tc>
        <w:tc>
          <w:tcPr>
            <w:tcW w:w="229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理由</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检测机构</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□合格□不合格</w:t>
            </w:r>
          </w:p>
        </w:tc>
        <w:tc>
          <w:tcPr>
            <w:tcW w:w="229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其他供应商</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□合格□不合格</w:t>
            </w:r>
          </w:p>
        </w:tc>
        <w:tc>
          <w:tcPr>
            <w:tcW w:w="229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服务对象</w:t>
            </w:r>
          </w:p>
        </w:tc>
        <w:tc>
          <w:tcPr>
            <w:tcW w:w="2107"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□合格□不合格</w:t>
            </w:r>
          </w:p>
        </w:tc>
        <w:tc>
          <w:tcPr>
            <w:tcW w:w="229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1656"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货物类验收内容及验收情况</w:t>
            </w: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评价内容</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评价情况</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理由</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评价内容</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评价情况</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0"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货物清单</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品牌、型号、规格、数量及外观质量</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不合格</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技术、性能指标</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运行状况及安装调试</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w:t>
            </w:r>
          </w:p>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□不合格</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2"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质量证明文件</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售后服务承诺</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不合格</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3"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安全标准</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合同履约时间、地点、方式</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不合格</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6" w:hRule="atLeast"/>
          <w:jc w:val="center"/>
        </w:trPr>
        <w:tc>
          <w:tcPr>
            <w:tcW w:w="1656"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服务类验收内容及结果</w:t>
            </w: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评价内容</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评价情况</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理由</w:t>
            </w: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评价内容</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评价情况</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2" w:firstLineChars="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3"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服务质量</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服务进度</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w:t>
            </w: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□不合格</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6"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人员、设备配备情况</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安全标准</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w:t>
            </w: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□不合格</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3"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995" w:type="dxa"/>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服务承诺实现</w:t>
            </w:r>
          </w:p>
        </w:tc>
        <w:tc>
          <w:tcPr>
            <w:tcW w:w="924"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 □不合格</w:t>
            </w:r>
          </w:p>
        </w:tc>
        <w:tc>
          <w:tcPr>
            <w:tcW w:w="1183" w:type="dxa"/>
            <w:gridSpan w:val="4"/>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jc w:val="center"/>
              <w:rPr>
                <w:rFonts w:hint="eastAsia" w:ascii="宋体" w:hAnsi="宋体" w:eastAsia="宋体" w:cs="宋体"/>
                <w:color w:val="auto"/>
                <w:sz w:val="21"/>
                <w:szCs w:val="21"/>
                <w:highlight w:val="none"/>
              </w:rPr>
            </w:pPr>
          </w:p>
        </w:tc>
        <w:tc>
          <w:tcPr>
            <w:tcW w:w="1321"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合同履约时间、地点、方式</w:t>
            </w:r>
          </w:p>
        </w:tc>
        <w:tc>
          <w:tcPr>
            <w:tcW w:w="973"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  格</w:t>
            </w:r>
          </w:p>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□不合格</w:t>
            </w:r>
          </w:p>
        </w:tc>
        <w:tc>
          <w:tcPr>
            <w:tcW w:w="19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240" w:lineRule="auto"/>
              <w:ind w:firstLine="420" w:firstLineChars="200"/>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4" w:hRule="atLeast"/>
          <w:jc w:val="center"/>
        </w:trPr>
        <w:tc>
          <w:tcPr>
            <w:tcW w:w="9011" w:type="dxa"/>
            <w:gridSpan w:val="13"/>
            <w:tcBorders>
              <w:top w:val="single" w:color="auto" w:sz="8" w:space="0"/>
              <w:left w:val="single" w:color="auto" w:sz="8" w:space="0"/>
              <w:bottom w:val="single" w:color="auto" w:sz="8" w:space="0"/>
              <w:right w:val="single" w:color="auto" w:sz="8" w:space="0"/>
            </w:tcBorders>
            <w:noWrap w:val="0"/>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三、验收结论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5" w:hRule="atLeast"/>
          <w:jc w:val="center"/>
        </w:trPr>
        <w:tc>
          <w:tcPr>
            <w:tcW w:w="165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存在问题和改进意见</w:t>
            </w:r>
          </w:p>
        </w:tc>
        <w:tc>
          <w:tcPr>
            <w:tcW w:w="7355" w:type="dxa"/>
            <w:gridSpan w:val="11"/>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napToGrid w:val="0"/>
              <w:spacing w:before="100" w:beforeAutospacing="1" w:after="100" w:afterAutospacing="1" w:line="360" w:lineRule="exact"/>
              <w:jc w:val="both"/>
              <w:rPr>
                <w:rFonts w:hint="eastAsia" w:ascii="宋体" w:hAnsi="宋体" w:eastAsia="宋体" w:cs="宋体"/>
                <w:color w:val="auto"/>
                <w:sz w:val="21"/>
                <w:szCs w:val="21"/>
                <w:highlight w:val="none"/>
              </w:rPr>
            </w:pPr>
          </w:p>
          <w:p>
            <w:pPr>
              <w:snapToGrid w:val="0"/>
              <w:spacing w:before="100" w:beforeAutospacing="1" w:after="100" w:afterAutospacing="1" w:line="360" w:lineRule="exact"/>
              <w:jc w:val="center"/>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7" w:hRule="atLeast"/>
          <w:jc w:val="center"/>
        </w:trPr>
        <w:tc>
          <w:tcPr>
            <w:tcW w:w="1656"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验收小组</w:t>
            </w:r>
          </w:p>
          <w:p>
            <w:pPr>
              <w:spacing w:before="100" w:beforeAutospacing="1" w:after="100" w:afterAutospacing="1" w:line="3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意见</w:t>
            </w:r>
          </w:p>
        </w:tc>
        <w:tc>
          <w:tcPr>
            <w:tcW w:w="7355" w:type="dxa"/>
            <w:gridSpan w:val="11"/>
            <w:tcBorders>
              <w:top w:val="single" w:color="auto" w:sz="8" w:space="0"/>
              <w:left w:val="single" w:color="auto" w:sz="8" w:space="0"/>
              <w:bottom w:val="single" w:color="auto" w:sz="4" w:space="0"/>
              <w:right w:val="single" w:color="auto" w:sz="8" w:space="0"/>
            </w:tcBorders>
            <w:noWrap w:val="0"/>
            <w:vAlign w:val="center"/>
          </w:tcPr>
          <w:p>
            <w:pPr>
              <w:spacing w:before="100" w:beforeAutospacing="1" w:after="100" w:afterAutospacing="1"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验收结论性意见：  □合  格        □不合格</w:t>
            </w:r>
          </w:p>
          <w:p>
            <w:pPr>
              <w:spacing w:before="100" w:beforeAutospacing="1" w:after="100" w:afterAutospacing="1"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其他需要说明的事项：</w:t>
            </w:r>
          </w:p>
          <w:p>
            <w:pPr>
              <w:spacing w:before="100" w:beforeAutospacing="1" w:after="100" w:afterAutospacing="1" w:line="360" w:lineRule="exact"/>
              <w:jc w:val="left"/>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63" w:hRule="atLeast"/>
          <w:jc w:val="center"/>
        </w:trPr>
        <w:tc>
          <w:tcPr>
            <w:tcW w:w="165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hint="eastAsia" w:ascii="宋体" w:hAnsi="宋体" w:eastAsia="宋体" w:cs="宋体"/>
                <w:color w:val="auto"/>
                <w:sz w:val="21"/>
                <w:szCs w:val="21"/>
                <w:highlight w:val="none"/>
              </w:rPr>
            </w:pPr>
          </w:p>
        </w:tc>
        <w:tc>
          <w:tcPr>
            <w:tcW w:w="7355" w:type="dxa"/>
            <w:gridSpan w:val="11"/>
            <w:tcBorders>
              <w:top w:val="single" w:color="auto" w:sz="4" w:space="0"/>
              <w:left w:val="single" w:color="auto" w:sz="8" w:space="0"/>
              <w:bottom w:val="single" w:color="auto" w:sz="8" w:space="0"/>
              <w:right w:val="single" w:color="auto" w:sz="8" w:space="0"/>
            </w:tcBorders>
            <w:noWrap w:val="0"/>
            <w:vAlign w:val="center"/>
          </w:tcPr>
          <w:p>
            <w:pPr>
              <w:spacing w:before="100" w:beforeAutospacing="1" w:after="100" w:afterAutospacing="1"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有异议的意见和说明理由：</w:t>
            </w:r>
          </w:p>
          <w:p>
            <w:pPr>
              <w:spacing w:before="100" w:beforeAutospacing="1" w:after="100" w:afterAutospacing="1" w:line="360" w:lineRule="exact"/>
              <w:ind w:firstLine="4515" w:firstLineChars="21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9" w:hRule="atLeast"/>
          <w:jc w:val="center"/>
        </w:trPr>
        <w:tc>
          <w:tcPr>
            <w:tcW w:w="9011" w:type="dxa"/>
            <w:gridSpan w:val="13"/>
            <w:tcBorders>
              <w:top w:val="single" w:color="auto" w:sz="8" w:space="0"/>
              <w:left w:val="single" w:color="auto" w:sz="8" w:space="0"/>
              <w:bottom w:val="single" w:color="auto" w:sz="8" w:space="0"/>
              <w:right w:val="single" w:color="auto" w:sz="8" w:space="0"/>
            </w:tcBorders>
            <w:noWrap w:val="0"/>
            <w:vAlign w:val="center"/>
          </w:tcPr>
          <w:p>
            <w:pPr>
              <w:spacing w:before="100" w:beforeAutospacing="1" w:after="100" w:afterAutospacing="1"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验收小组成员签字：</w:t>
            </w:r>
          </w:p>
          <w:p>
            <w:pPr>
              <w:spacing w:before="100" w:beforeAutospacing="1" w:after="100" w:afterAutospacing="1" w:line="360" w:lineRule="exact"/>
              <w:jc w:val="both"/>
              <w:rPr>
                <w:rFonts w:hint="eastAsia" w:ascii="宋体" w:hAnsi="宋体" w:eastAsia="宋体" w:cs="宋体"/>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41" w:hRule="atLeast"/>
          <w:jc w:val="center"/>
        </w:trPr>
        <w:tc>
          <w:tcPr>
            <w:tcW w:w="4354" w:type="dxa"/>
            <w:gridSpan w:val="7"/>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采购人意见：</w:t>
            </w:r>
          </w:p>
          <w:p>
            <w:pPr>
              <w:spacing w:before="100" w:beforeAutospacing="1" w:after="100" w:afterAutospacing="1" w:line="360" w:lineRule="exact"/>
              <w:jc w:val="left"/>
              <w:rPr>
                <w:rFonts w:hint="eastAsia" w:ascii="宋体" w:hAnsi="宋体" w:eastAsia="宋体" w:cs="宋体"/>
                <w:color w:val="auto"/>
                <w:sz w:val="21"/>
                <w:szCs w:val="21"/>
                <w:highlight w:val="none"/>
              </w:rPr>
            </w:pPr>
          </w:p>
          <w:p>
            <w:pPr>
              <w:spacing w:before="100" w:beforeAutospacing="1" w:after="100" w:afterAutospacing="1" w:line="360" w:lineRule="exact"/>
              <w:jc w:val="left"/>
              <w:rPr>
                <w:rFonts w:hint="eastAsia" w:ascii="宋体" w:hAnsi="宋体" w:eastAsia="宋体" w:cs="宋体"/>
                <w:color w:val="auto"/>
                <w:sz w:val="21"/>
                <w:szCs w:val="21"/>
                <w:highlight w:val="none"/>
              </w:rPr>
            </w:pPr>
          </w:p>
          <w:p>
            <w:pPr>
              <w:spacing w:before="100" w:beforeAutospacing="1" w:after="100" w:afterAutospacing="1" w:line="360" w:lineRule="exact"/>
              <w:jc w:val="left"/>
              <w:rPr>
                <w:rFonts w:hint="eastAsia" w:ascii="宋体" w:hAnsi="宋体" w:eastAsia="宋体" w:cs="宋体"/>
                <w:color w:val="auto"/>
                <w:sz w:val="21"/>
                <w:szCs w:val="21"/>
                <w:highlight w:val="none"/>
              </w:rPr>
            </w:pPr>
          </w:p>
          <w:p>
            <w:pPr>
              <w:spacing w:before="100" w:beforeAutospacing="1" w:after="100" w:afterAutospacing="1"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经办人：     负责人：      （盖章）</w:t>
            </w:r>
          </w:p>
          <w:p>
            <w:pPr>
              <w:spacing w:before="100" w:beforeAutospacing="1" w:after="100" w:afterAutospacing="1"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tc>
        <w:tc>
          <w:tcPr>
            <w:tcW w:w="4657" w:type="dxa"/>
            <w:gridSpan w:val="6"/>
            <w:tcBorders>
              <w:top w:val="single" w:color="auto" w:sz="8" w:space="0"/>
              <w:left w:val="single" w:color="auto" w:sz="8" w:space="0"/>
              <w:bottom w:val="single" w:color="auto" w:sz="8" w:space="0"/>
              <w:right w:val="single" w:color="auto" w:sz="8" w:space="0"/>
            </w:tcBorders>
            <w:noWrap w:val="0"/>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供应商确认：</w:t>
            </w:r>
          </w:p>
          <w:p>
            <w:pPr>
              <w:spacing w:before="100" w:beforeAutospacing="1" w:after="100" w:afterAutospacing="1" w:line="360" w:lineRule="exact"/>
              <w:jc w:val="left"/>
              <w:rPr>
                <w:rFonts w:hint="eastAsia" w:ascii="宋体" w:hAnsi="宋体" w:eastAsia="宋体" w:cs="宋体"/>
                <w:color w:val="auto"/>
                <w:sz w:val="21"/>
                <w:szCs w:val="21"/>
                <w:highlight w:val="none"/>
              </w:rPr>
            </w:pPr>
          </w:p>
          <w:p>
            <w:pPr>
              <w:spacing w:before="100" w:beforeAutospacing="1" w:after="100" w:afterAutospacing="1" w:line="360" w:lineRule="exact"/>
              <w:jc w:val="left"/>
              <w:rPr>
                <w:rFonts w:hint="eastAsia" w:ascii="宋体" w:hAnsi="宋体" w:eastAsia="宋体" w:cs="宋体"/>
                <w:color w:val="auto"/>
                <w:sz w:val="21"/>
                <w:szCs w:val="21"/>
                <w:highlight w:val="none"/>
              </w:rPr>
            </w:pPr>
          </w:p>
          <w:p>
            <w:pPr>
              <w:spacing w:before="100" w:beforeAutospacing="1" w:after="100" w:afterAutospacing="1" w:line="360" w:lineRule="exact"/>
              <w:jc w:val="left"/>
              <w:rPr>
                <w:rFonts w:hint="eastAsia" w:ascii="宋体" w:hAnsi="宋体" w:eastAsia="宋体" w:cs="宋体"/>
                <w:color w:val="auto"/>
                <w:sz w:val="21"/>
                <w:szCs w:val="21"/>
                <w:highlight w:val="none"/>
              </w:rPr>
            </w:pPr>
          </w:p>
          <w:p>
            <w:pPr>
              <w:spacing w:before="100" w:beforeAutospacing="1" w:after="100" w:afterAutospacing="1" w:line="360" w:lineRule="exact"/>
              <w:ind w:left="1920" w:hanging="1680" w:hangingChars="8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供应商盖章或授权代表签字：</w:t>
            </w:r>
          </w:p>
          <w:p>
            <w:pPr>
              <w:spacing w:before="100" w:beforeAutospacing="1" w:after="100" w:afterAutospacing="1" w:line="360" w:lineRule="exact"/>
              <w:ind w:left="1920" w:hanging="1680" w:hangingChars="8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联系电话：                 </w:t>
            </w:r>
          </w:p>
          <w:p>
            <w:pPr>
              <w:spacing w:before="100" w:beforeAutospacing="1" w:after="100" w:afterAutospacing="1" w:line="360" w:lineRule="exact"/>
              <w:ind w:left="1920" w:hanging="1680" w:hangingChars="8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tc>
      </w:tr>
    </w:tbl>
    <w:p>
      <w:pPr>
        <w:ind w:firstLine="105" w:firstLineChars="50"/>
        <w:rPr>
          <w:rFonts w:hint="eastAsia" w:ascii="宋体" w:hAnsi="宋体" w:eastAsia="宋体" w:cs="宋体"/>
          <w:color w:val="auto"/>
          <w:sz w:val="21"/>
          <w:szCs w:val="21"/>
          <w:highlight w:val="none"/>
        </w:rPr>
      </w:pPr>
    </w:p>
    <w:p>
      <w:pPr>
        <w:spacing w:line="240" w:lineRule="auto"/>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22"/>
        </w:numPr>
        <w:spacing w:line="240" w:lineRule="auto"/>
        <w:ind w:left="0" w:leftChars="0" w:firstLine="42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该表为履约验收书的综合性参考模板，</w:t>
      </w:r>
      <w:r>
        <w:rPr>
          <w:rFonts w:hint="eastAsia" w:ascii="宋体" w:hAnsi="宋体" w:eastAsia="宋体" w:cs="宋体"/>
          <w:b w:val="0"/>
          <w:bCs w:val="0"/>
          <w:color w:val="auto"/>
          <w:sz w:val="21"/>
          <w:szCs w:val="21"/>
          <w:highlight w:val="none"/>
          <w:lang w:val="en-US" w:eastAsia="zh-CN"/>
        </w:rPr>
        <w:t>采购人</w:t>
      </w:r>
      <w:r>
        <w:rPr>
          <w:rFonts w:hint="eastAsia" w:ascii="宋体" w:hAnsi="宋体" w:eastAsia="宋体" w:cs="宋体"/>
          <w:b w:val="0"/>
          <w:bCs w:val="0"/>
          <w:color w:val="auto"/>
          <w:sz w:val="21"/>
          <w:szCs w:val="21"/>
          <w:highlight w:val="none"/>
        </w:rPr>
        <w:t>可以根据工作实际进行调整。</w:t>
      </w:r>
    </w:p>
    <w:p>
      <w:pPr>
        <w:numPr>
          <w:ilvl w:val="0"/>
          <w:numId w:val="22"/>
        </w:numPr>
        <w:spacing w:line="240" w:lineRule="auto"/>
        <w:ind w:left="0" w:leftChars="0" w:firstLine="420" w:firstLineChars="0"/>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采购人按照合同规定的技术、服务、安全标准，组织对供应商履约情况进行验收，并出具验收书。验收报告应当包括每一项技术、服务、安全标准履约情况。</w:t>
      </w:r>
    </w:p>
    <w:p>
      <w:pPr>
        <w:numPr>
          <w:ilvl w:val="0"/>
          <w:numId w:val="22"/>
        </w:numPr>
        <w:tabs>
          <w:tab w:val="left" w:pos="360"/>
        </w:tabs>
        <w:spacing w:line="240" w:lineRule="auto"/>
        <w:ind w:left="0" w:leftChars="0" w:firstLine="420" w:firstLineChars="0"/>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向社会公众提供的公共服务项目，验收时应当邀请服务对象参与并出具意见，验收结果应当向社会公告。</w:t>
      </w:r>
    </w:p>
    <w:p>
      <w:pPr>
        <w:autoSpaceDE w:val="0"/>
        <w:autoSpaceDN w:val="0"/>
        <w:jc w:val="center"/>
        <w:rPr>
          <w:rFonts w:hint="eastAsia" w:ascii="仿宋" w:hAnsi="仿宋" w:eastAsia="仿宋"/>
          <w:b/>
          <w:color w:val="auto"/>
          <w:spacing w:val="6"/>
          <w:sz w:val="32"/>
          <w:szCs w:val="32"/>
          <w:highlight w:val="none"/>
        </w:rPr>
      </w:pPr>
    </w:p>
    <w:sectPr>
      <w:pgSz w:w="11906" w:h="16838"/>
      <w:pgMar w:top="1134" w:right="1274" w:bottom="1020" w:left="1575" w:header="680" w:footer="68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Narrow">
    <w:altName w:val="Arial"/>
    <w:panose1 w:val="020B0606020202030204"/>
    <w:charset w:val="00"/>
    <w:family w:val="swiss"/>
    <w:pitch w:val="default"/>
    <w:sig w:usb0="00000000" w:usb1="00000000" w:usb2="00000000" w:usb3="00000000" w:csb0="0000009F" w:csb1="00000000"/>
  </w:font>
  <w:font w:name="Kaiti SC">
    <w:altName w:val="等线"/>
    <w:panose1 w:val="02010600040101010101"/>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- 69 -</w:t>
                          </w:r>
                          <w:r>
                            <w:fldChar w:fldCharType="end"/>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04hiY98BAAC/AwAADgAAAAAA&#10;AAABACAAAAAeAQAAZHJzL2Uyb0RvYy54bWxQSwUGAAAAAAYABgBZAQAAbw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- 69 -</w:t>
                    </w:r>
                    <w:r>
                      <w:fldChar w:fldCharType="end"/>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- 67 -</w:t>
                          </w:r>
                          <w: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MVRE3gEAAL8DAAAOAAAAAAAA&#10;AAEAIAAAAB4BAABkcnMvZTJvRG9jLnhtbFBLBQYAAAAABgAGAFkBAABu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- 67 -</w:t>
                    </w:r>
                    <w:r>
                      <w:fldChar w:fldCharType="end"/>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- 12 -</w:t>
                          </w:r>
                          <w: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P9Qvk3gEAAL8DAAAOAAAAAAAA&#10;AAEAIAAAAB4BAABkcnMvZTJvRG9jLnhtbFBLBQYAAAAABgAGAFkBAABu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41"/>
      </w:rPr>
    </w:pPr>
    <w:r>
      <w:fldChar w:fldCharType="begin"/>
    </w:r>
    <w:r>
      <w:rPr>
        <w:rStyle w:val="41"/>
      </w:rPr>
      <w:instrText xml:space="preserve">PAGE  </w:instrText>
    </w:r>
    <w:r>
      <w:fldChar w:fldCharType="end"/>
    </w:r>
  </w:p>
  <w:p>
    <w:pPr>
      <w:pStyle w:val="2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- 11 -</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IExCD3gEAAL8DAAAOAAAAAAAA&#10;AAEAIAAAAB4BAABkcnMvZTJvRG9jLnhtbFBLBQYAAAAABgAGAFkBAABu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71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- 42 -</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5MOzf4QEAAM4DAAAOAAAA&#10;AAAAAAEAIAAAAB4BAABkcnMvZTJvRG9jLnhtbFBLBQYAAAAABgAGAFkBAABx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- 42 -</w:t>
                    </w:r>
                    <w:r>
                      <w:fldChar w:fldCharType="end"/>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- 41 -</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WAvsk4QEAAM4DAAAOAAAA&#10;AAAAAAEAIAAAAB4BAABkcnMvZTJvRG9jLnhtbFBLBQYAAAAABgAGAFkBAABx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- 41 -</w:t>
                    </w:r>
                    <w:r>
                      <w:fldChar w:fldCharType="end"/>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- 42 -</w:t>
                          </w:r>
                          <w: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cRat4BAAC/AwAADgAAAGRycy9lMm9Eb2MueG1srVNNrtMwEN4jcQfL&#10;e5q0E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j/nzAlLA798/3b58evy8ytb&#10;rpI+fYCK0u4CJeLwyg+0NbMfyJloD2206U+EGMVJ3fNVXTUgk+nSerVelxSSFJsPhF/cXw8R8I3y&#10;liWj5pHGl1UVp3eAY+qckqo5f6uNySM07i8HYSZPkXofe0wWDvthIrT3zZn40DugOp2PXzjraQtq&#10;7mjpOTNvHYmcFmY24mzsZ0M4SRdrjpyN5mscF+sYoj50edVSUxBeHpE6zQRSG2PtqTuaa5Zg2sG0&#10;OH+ec9b9u9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ZxFq3gEAAL8DAAAOAAAAAAAA&#10;AAEAIAAAAB4BAABkcnMvZTJvRG9jLnhtbFBLBQYAAAAABgAGAFkBAABu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- 42 -</w:t>
                    </w:r>
                    <w:r>
                      <w:fldChar w:fldCharType="end"/>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- 41 -</w:t>
                          </w:r>
                          <w:r>
                            <w:fldChar w:fldCharType="end"/>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xq2kwN8BAAC/AwAADgAAAAAA&#10;AAABACAAAAAeAQAAZHJzL2Uyb0RvYy54bWxQSwUGAAAAAAYABgBZAQAAbw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- 41 -</w:t>
                    </w:r>
                    <w:r>
                      <w:fldChar w:fldCharType="end"/>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535"/>
        <w:tab w:val="right" w:pos="9070"/>
      </w:tabs>
      <w:ind w:firstLine="241" w:firstLineChars="100"/>
      <w:jc w:val="both"/>
      <w:rPr>
        <w:rFonts w:ascii="仿宋_GB2312" w:eastAsia="仿宋_GB2312"/>
        <w:b w:val="0"/>
        <w:i/>
        <w:sz w:val="18"/>
        <w:u w:val="single"/>
        <w:lang w:val="en-US"/>
      </w:rPr>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0B12F"/>
    <w:multiLevelType w:val="singleLevel"/>
    <w:tmpl w:val="B3C0B12F"/>
    <w:lvl w:ilvl="0" w:tentative="0">
      <w:start w:val="1"/>
      <w:numFmt w:val="decimal"/>
      <w:suff w:val="nothing"/>
      <w:lvlText w:val="（%1）"/>
      <w:lvlJc w:val="left"/>
      <w:pPr>
        <w:ind w:left="0" w:firstLine="403"/>
      </w:pPr>
      <w:rPr>
        <w:rFonts w:hint="default"/>
      </w:rPr>
    </w:lvl>
  </w:abstractNum>
  <w:abstractNum w:abstractNumId="1">
    <w:nsid w:val="C13CECAE"/>
    <w:multiLevelType w:val="singleLevel"/>
    <w:tmpl w:val="C13CECAE"/>
    <w:lvl w:ilvl="0" w:tentative="0">
      <w:start w:val="1"/>
      <w:numFmt w:val="chineseCounting"/>
      <w:suff w:val="nothing"/>
      <w:lvlText w:val="%1、"/>
      <w:lvlJc w:val="left"/>
      <w:pPr>
        <w:ind w:left="0" w:firstLine="420"/>
      </w:pPr>
      <w:rPr>
        <w:rFonts w:hint="eastAsia"/>
      </w:rPr>
    </w:lvl>
  </w:abstractNum>
  <w:abstractNum w:abstractNumId="2">
    <w:nsid w:val="C8BE59BF"/>
    <w:multiLevelType w:val="multilevel"/>
    <w:tmpl w:val="C8BE59BF"/>
    <w:lvl w:ilvl="0" w:tentative="0">
      <w:start w:val="1"/>
      <w:numFmt w:val="decimal"/>
      <w:lvlText w:val="%1．"/>
      <w:lvlJc w:val="left"/>
      <w:pPr>
        <w:tabs>
          <w:tab w:val="left" w:pos="680"/>
        </w:tabs>
        <w:ind w:left="680" w:hanging="680"/>
      </w:pPr>
      <w:rPr>
        <w:rFonts w:hint="default"/>
        <w:b w:val="0"/>
        <w:i w:val="0"/>
        <w:sz w:val="21"/>
        <w:szCs w:val="21"/>
        <w:lang w:val="en-US"/>
      </w:rPr>
    </w:lvl>
    <w:lvl w:ilvl="1" w:tentative="0">
      <w:start w:val="1"/>
      <w:numFmt w:val="decimal"/>
      <w:lvlText w:val="%1.%2"/>
      <w:lvlJc w:val="left"/>
      <w:pPr>
        <w:tabs>
          <w:tab w:val="left" w:pos="680"/>
        </w:tabs>
        <w:ind w:left="680" w:hanging="680"/>
      </w:pPr>
      <w:rPr>
        <w:rFonts w:hint="default" w:ascii="Arial" w:hAnsi="Arial" w:eastAsia="宋体"/>
        <w:b/>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
    <w:nsid w:val="CC96E82E"/>
    <w:multiLevelType w:val="singleLevel"/>
    <w:tmpl w:val="CC96E82E"/>
    <w:lvl w:ilvl="0" w:tentative="0">
      <w:start w:val="1"/>
      <w:numFmt w:val="decimal"/>
      <w:lvlText w:val="(%1)"/>
      <w:lvlJc w:val="left"/>
      <w:pPr>
        <w:ind w:left="425" w:hanging="425"/>
      </w:pPr>
      <w:rPr>
        <w:rFonts w:hint="default"/>
      </w:rPr>
    </w:lvl>
  </w:abstractNum>
  <w:abstractNum w:abstractNumId="4">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0"/>
    <w:multiLevelType w:val="multilevel"/>
    <w:tmpl w:val="00000010"/>
    <w:lvl w:ilvl="0" w:tentative="0">
      <w:start w:val="1"/>
      <w:numFmt w:val="decimal"/>
      <w:lvlText w:val="%1."/>
      <w:lvlJc w:val="left"/>
      <w:pPr>
        <w:tabs>
          <w:tab w:val="left" w:pos="956"/>
        </w:tabs>
        <w:ind w:left="956"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default" w:ascii="宋体" w:hAnsi="宋体" w:eastAsia="宋体" w:cs="宋体"/>
        <w:sz w:val="21"/>
        <w:szCs w:val="21"/>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6">
    <w:nsid w:val="00000016"/>
    <w:multiLevelType w:val="multilevel"/>
    <w:tmpl w:val="00000016"/>
    <w:lvl w:ilvl="0" w:tentative="0">
      <w:start w:val="1"/>
      <w:numFmt w:val="chineseCountingThousand"/>
      <w:pStyle w:val="112"/>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pStyle w:val="103"/>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21B387"/>
    <w:multiLevelType w:val="singleLevel"/>
    <w:tmpl w:val="0D21B387"/>
    <w:lvl w:ilvl="0" w:tentative="0">
      <w:start w:val="1"/>
      <w:numFmt w:val="chineseCounting"/>
      <w:suff w:val="nothing"/>
      <w:lvlText w:val="（%1）"/>
      <w:lvlJc w:val="left"/>
      <w:pPr>
        <w:ind w:left="0" w:firstLine="420"/>
      </w:pPr>
      <w:rPr>
        <w:rFonts w:hint="eastAsia"/>
      </w:rPr>
    </w:lvl>
  </w:abstractNum>
  <w:abstractNum w:abstractNumId="8">
    <w:nsid w:val="0E9032FA"/>
    <w:multiLevelType w:val="singleLevel"/>
    <w:tmpl w:val="0E9032FA"/>
    <w:lvl w:ilvl="0" w:tentative="0">
      <w:start w:val="1"/>
      <w:numFmt w:val="decimal"/>
      <w:lvlText w:val="(%1)"/>
      <w:lvlJc w:val="left"/>
      <w:pPr>
        <w:ind w:left="425" w:hanging="425"/>
      </w:pPr>
      <w:rPr>
        <w:rFonts w:hint="default"/>
      </w:rPr>
    </w:lvl>
  </w:abstractNum>
  <w:abstractNum w:abstractNumId="9">
    <w:nsid w:val="13219772"/>
    <w:multiLevelType w:val="singleLevel"/>
    <w:tmpl w:val="13219772"/>
    <w:lvl w:ilvl="0" w:tentative="0">
      <w:start w:val="1"/>
      <w:numFmt w:val="chineseCounting"/>
      <w:suff w:val="space"/>
      <w:lvlText w:val="第%1部分"/>
      <w:lvlJc w:val="left"/>
      <w:rPr>
        <w:rFonts w:hint="eastAsia"/>
      </w:rPr>
    </w:lvl>
  </w:abstractNum>
  <w:abstractNum w:abstractNumId="10">
    <w:nsid w:val="165B6239"/>
    <w:multiLevelType w:val="singleLevel"/>
    <w:tmpl w:val="165B6239"/>
    <w:lvl w:ilvl="0" w:tentative="0">
      <w:start w:val="1"/>
      <w:numFmt w:val="decimal"/>
      <w:lvlText w:val="(%1)"/>
      <w:lvlJc w:val="left"/>
      <w:pPr>
        <w:ind w:left="425" w:hanging="425"/>
      </w:pPr>
      <w:rPr>
        <w:rFonts w:hint="default"/>
      </w:rPr>
    </w:lvl>
  </w:abstractNum>
  <w:abstractNum w:abstractNumId="11">
    <w:nsid w:val="1E437745"/>
    <w:multiLevelType w:val="singleLevel"/>
    <w:tmpl w:val="1E437745"/>
    <w:lvl w:ilvl="0" w:tentative="0">
      <w:start w:val="1"/>
      <w:numFmt w:val="chineseCounting"/>
      <w:suff w:val="nothing"/>
      <w:lvlText w:val="%1、"/>
      <w:lvlJc w:val="left"/>
      <w:pPr>
        <w:ind w:left="0" w:firstLine="420"/>
      </w:pPr>
      <w:rPr>
        <w:rFonts w:hint="eastAsia"/>
      </w:rPr>
    </w:lvl>
  </w:abstractNum>
  <w:abstractNum w:abstractNumId="12">
    <w:nsid w:val="2072BF9F"/>
    <w:multiLevelType w:val="singleLevel"/>
    <w:tmpl w:val="2072BF9F"/>
    <w:lvl w:ilvl="0" w:tentative="0">
      <w:start w:val="1"/>
      <w:numFmt w:val="decimal"/>
      <w:lvlText w:val="%1."/>
      <w:lvlJc w:val="left"/>
      <w:pPr>
        <w:ind w:left="425" w:hanging="425"/>
      </w:pPr>
      <w:rPr>
        <w:rFonts w:hint="default"/>
      </w:rPr>
    </w:lvl>
  </w:abstractNum>
  <w:abstractNum w:abstractNumId="13">
    <w:nsid w:val="4D0E38F0"/>
    <w:multiLevelType w:val="singleLevel"/>
    <w:tmpl w:val="4D0E38F0"/>
    <w:lvl w:ilvl="0" w:tentative="0">
      <w:start w:val="1"/>
      <w:numFmt w:val="decimal"/>
      <w:lvlText w:val="(%1)"/>
      <w:lvlJc w:val="left"/>
      <w:pPr>
        <w:ind w:left="425" w:hanging="425"/>
      </w:pPr>
      <w:rPr>
        <w:rFonts w:hint="default"/>
      </w:rPr>
    </w:lvl>
  </w:abstractNum>
  <w:abstractNum w:abstractNumId="14">
    <w:nsid w:val="568A3746"/>
    <w:multiLevelType w:val="multilevel"/>
    <w:tmpl w:val="568A3746"/>
    <w:lvl w:ilvl="0" w:tentative="0">
      <w:start w:val="1"/>
      <w:numFmt w:val="decimal"/>
      <w:lvlText w:val="%1)"/>
      <w:lvlJc w:val="left"/>
      <w:pPr>
        <w:tabs>
          <w:tab w:val="left" w:pos="530"/>
        </w:tabs>
        <w:ind w:left="530" w:hanging="420"/>
      </w:pPr>
      <w:rPr>
        <w:rFonts w:hint="default" w:ascii="Arial" w:hAnsi="Arial" w:cs="Arial"/>
      </w:rPr>
    </w:lvl>
    <w:lvl w:ilvl="1" w:tentative="0">
      <w:start w:val="1"/>
      <w:numFmt w:val="decimal"/>
      <w:lvlText w:val="%2."/>
      <w:lvlJc w:val="left"/>
      <w:pPr>
        <w:tabs>
          <w:tab w:val="left" w:pos="950"/>
        </w:tabs>
        <w:ind w:left="950" w:hanging="420"/>
      </w:pPr>
      <w:rPr>
        <w:rFonts w:hint="eastAsia"/>
      </w:rPr>
    </w:lvl>
    <w:lvl w:ilvl="2" w:tentative="0">
      <w:start w:val="1"/>
      <w:numFmt w:val="lowerRoman"/>
      <w:lvlText w:val="%3."/>
      <w:lvlJc w:val="right"/>
      <w:pPr>
        <w:tabs>
          <w:tab w:val="left" w:pos="1370"/>
        </w:tabs>
        <w:ind w:left="1370" w:hanging="420"/>
      </w:pPr>
    </w:lvl>
    <w:lvl w:ilvl="3" w:tentative="0">
      <w:start w:val="1"/>
      <w:numFmt w:val="decimal"/>
      <w:lvlText w:val="%4."/>
      <w:lvlJc w:val="left"/>
      <w:pPr>
        <w:tabs>
          <w:tab w:val="left" w:pos="1790"/>
        </w:tabs>
        <w:ind w:left="1790" w:hanging="420"/>
      </w:pPr>
    </w:lvl>
    <w:lvl w:ilvl="4" w:tentative="0">
      <w:start w:val="1"/>
      <w:numFmt w:val="lowerLetter"/>
      <w:lvlText w:val="%5)"/>
      <w:lvlJc w:val="left"/>
      <w:pPr>
        <w:tabs>
          <w:tab w:val="left" w:pos="2210"/>
        </w:tabs>
        <w:ind w:left="2210" w:hanging="420"/>
      </w:pPr>
    </w:lvl>
    <w:lvl w:ilvl="5" w:tentative="0">
      <w:start w:val="1"/>
      <w:numFmt w:val="lowerRoman"/>
      <w:lvlText w:val="%6."/>
      <w:lvlJc w:val="right"/>
      <w:pPr>
        <w:tabs>
          <w:tab w:val="left" w:pos="2630"/>
        </w:tabs>
        <w:ind w:left="2630" w:hanging="420"/>
      </w:pPr>
    </w:lvl>
    <w:lvl w:ilvl="6" w:tentative="0">
      <w:start w:val="1"/>
      <w:numFmt w:val="decimal"/>
      <w:lvlText w:val="%7."/>
      <w:lvlJc w:val="left"/>
      <w:pPr>
        <w:tabs>
          <w:tab w:val="left" w:pos="3050"/>
        </w:tabs>
        <w:ind w:left="3050" w:hanging="420"/>
      </w:pPr>
    </w:lvl>
    <w:lvl w:ilvl="7" w:tentative="0">
      <w:start w:val="1"/>
      <w:numFmt w:val="lowerLetter"/>
      <w:lvlText w:val="%8)"/>
      <w:lvlJc w:val="left"/>
      <w:pPr>
        <w:tabs>
          <w:tab w:val="left" w:pos="3470"/>
        </w:tabs>
        <w:ind w:left="3470" w:hanging="420"/>
      </w:pPr>
    </w:lvl>
    <w:lvl w:ilvl="8" w:tentative="0">
      <w:start w:val="1"/>
      <w:numFmt w:val="lowerRoman"/>
      <w:lvlText w:val="%9."/>
      <w:lvlJc w:val="right"/>
      <w:pPr>
        <w:tabs>
          <w:tab w:val="left" w:pos="3890"/>
        </w:tabs>
        <w:ind w:left="3890" w:hanging="420"/>
      </w:pPr>
    </w:lvl>
  </w:abstractNum>
  <w:abstractNum w:abstractNumId="15">
    <w:nsid w:val="5F2C2F1B"/>
    <w:multiLevelType w:val="singleLevel"/>
    <w:tmpl w:val="5F2C2F1B"/>
    <w:lvl w:ilvl="0" w:tentative="0">
      <w:start w:val="1"/>
      <w:numFmt w:val="chineseCounting"/>
      <w:suff w:val="nothing"/>
      <w:lvlText w:val="%1、"/>
      <w:lvlJc w:val="left"/>
      <w:pPr>
        <w:ind w:left="0" w:firstLine="420"/>
      </w:pPr>
      <w:rPr>
        <w:rFonts w:hint="eastAsia"/>
        <w:sz w:val="24"/>
        <w:szCs w:val="24"/>
      </w:rPr>
    </w:lvl>
  </w:abstractNum>
  <w:abstractNum w:abstractNumId="16">
    <w:nsid w:val="6DDC6220"/>
    <w:multiLevelType w:val="multilevel"/>
    <w:tmpl w:val="6DDC6220"/>
    <w:lvl w:ilvl="0" w:tentative="0">
      <w:start w:val="1"/>
      <w:numFmt w:val="bullet"/>
      <w:lvlText w:val=""/>
      <w:lvlJc w:val="left"/>
      <w:pPr>
        <w:tabs>
          <w:tab w:val="left" w:pos="1200"/>
        </w:tabs>
        <w:ind w:left="1200" w:hanging="420"/>
      </w:pPr>
      <w:rPr>
        <w:rFonts w:hint="default" w:ascii="Wingdings" w:hAnsi="Wingdings"/>
      </w:rPr>
    </w:lvl>
    <w:lvl w:ilvl="1" w:tentative="0">
      <w:start w:val="1"/>
      <w:numFmt w:val="bullet"/>
      <w:lvlText w:val=""/>
      <w:lvlJc w:val="left"/>
      <w:pPr>
        <w:tabs>
          <w:tab w:val="left" w:pos="1620"/>
        </w:tabs>
        <w:ind w:left="1620" w:hanging="420"/>
      </w:pPr>
      <w:rPr>
        <w:rFonts w:hint="default" w:ascii="Wingdings" w:hAnsi="Wingdings"/>
      </w:rPr>
    </w:lvl>
    <w:lvl w:ilvl="2" w:tentative="0">
      <w:start w:val="1"/>
      <w:numFmt w:val="bullet"/>
      <w:lvlText w:val=""/>
      <w:lvlJc w:val="left"/>
      <w:pPr>
        <w:tabs>
          <w:tab w:val="left" w:pos="2040"/>
        </w:tabs>
        <w:ind w:left="2040" w:hanging="420"/>
      </w:pPr>
      <w:rPr>
        <w:rFonts w:hint="default" w:ascii="Wingdings" w:hAnsi="Wingdings"/>
      </w:rPr>
    </w:lvl>
    <w:lvl w:ilvl="3" w:tentative="0">
      <w:start w:val="1"/>
      <w:numFmt w:val="bullet"/>
      <w:lvlText w:val=""/>
      <w:lvlJc w:val="left"/>
      <w:pPr>
        <w:tabs>
          <w:tab w:val="left" w:pos="2460"/>
        </w:tabs>
        <w:ind w:left="2460" w:hanging="420"/>
      </w:pPr>
      <w:rPr>
        <w:rFonts w:hint="default" w:ascii="Wingdings" w:hAnsi="Wingdings"/>
      </w:rPr>
    </w:lvl>
    <w:lvl w:ilvl="4" w:tentative="0">
      <w:start w:val="1"/>
      <w:numFmt w:val="bullet"/>
      <w:lvlText w:val=""/>
      <w:lvlJc w:val="left"/>
      <w:pPr>
        <w:tabs>
          <w:tab w:val="left" w:pos="2880"/>
        </w:tabs>
        <w:ind w:left="2880" w:hanging="420"/>
      </w:pPr>
      <w:rPr>
        <w:rFonts w:hint="default" w:ascii="Wingdings" w:hAnsi="Wingdings"/>
      </w:rPr>
    </w:lvl>
    <w:lvl w:ilvl="5" w:tentative="0">
      <w:start w:val="1"/>
      <w:numFmt w:val="bullet"/>
      <w:lvlText w:val=""/>
      <w:lvlJc w:val="left"/>
      <w:pPr>
        <w:tabs>
          <w:tab w:val="left" w:pos="3300"/>
        </w:tabs>
        <w:ind w:left="3300" w:hanging="420"/>
      </w:pPr>
      <w:rPr>
        <w:rFonts w:hint="default" w:ascii="Wingdings" w:hAnsi="Wingdings"/>
      </w:rPr>
    </w:lvl>
    <w:lvl w:ilvl="6" w:tentative="0">
      <w:start w:val="1"/>
      <w:numFmt w:val="bullet"/>
      <w:lvlText w:val=""/>
      <w:lvlJc w:val="left"/>
      <w:pPr>
        <w:tabs>
          <w:tab w:val="left" w:pos="3720"/>
        </w:tabs>
        <w:ind w:left="3720" w:hanging="420"/>
      </w:pPr>
      <w:rPr>
        <w:rFonts w:hint="default" w:ascii="Wingdings" w:hAnsi="Wingdings"/>
      </w:rPr>
    </w:lvl>
    <w:lvl w:ilvl="7" w:tentative="0">
      <w:start w:val="1"/>
      <w:numFmt w:val="bullet"/>
      <w:lvlText w:val=""/>
      <w:lvlJc w:val="left"/>
      <w:pPr>
        <w:tabs>
          <w:tab w:val="left" w:pos="4140"/>
        </w:tabs>
        <w:ind w:left="4140" w:hanging="420"/>
      </w:pPr>
      <w:rPr>
        <w:rFonts w:hint="default" w:ascii="Wingdings" w:hAnsi="Wingdings"/>
      </w:rPr>
    </w:lvl>
    <w:lvl w:ilvl="8" w:tentative="0">
      <w:start w:val="1"/>
      <w:numFmt w:val="bullet"/>
      <w:lvlText w:val=""/>
      <w:lvlJc w:val="left"/>
      <w:pPr>
        <w:tabs>
          <w:tab w:val="left" w:pos="4560"/>
        </w:tabs>
        <w:ind w:left="4560" w:hanging="420"/>
      </w:pPr>
      <w:rPr>
        <w:rFonts w:hint="default" w:ascii="Wingdings" w:hAnsi="Wingdings"/>
      </w:rPr>
    </w:lvl>
  </w:abstractNum>
  <w:abstractNum w:abstractNumId="17">
    <w:nsid w:val="6EDB71BF"/>
    <w:multiLevelType w:val="singleLevel"/>
    <w:tmpl w:val="6EDB71BF"/>
    <w:lvl w:ilvl="0" w:tentative="0">
      <w:start w:val="1"/>
      <w:numFmt w:val="decimal"/>
      <w:suff w:val="nothing"/>
      <w:lvlText w:val="（%1）"/>
      <w:lvlJc w:val="left"/>
    </w:lvl>
  </w:abstractNum>
  <w:abstractNum w:abstractNumId="18">
    <w:nsid w:val="74AAD70C"/>
    <w:multiLevelType w:val="singleLevel"/>
    <w:tmpl w:val="74AAD70C"/>
    <w:lvl w:ilvl="0" w:tentative="0">
      <w:start w:val="1"/>
      <w:numFmt w:val="decimal"/>
      <w:lvlText w:val="(%1)"/>
      <w:lvlJc w:val="left"/>
      <w:pPr>
        <w:ind w:left="425" w:hanging="425"/>
      </w:pPr>
      <w:rPr>
        <w:rFonts w:hint="default"/>
      </w:rPr>
    </w:lvl>
  </w:abstractNum>
  <w:abstractNum w:abstractNumId="19">
    <w:nsid w:val="78FF2526"/>
    <w:multiLevelType w:val="singleLevel"/>
    <w:tmpl w:val="78FF2526"/>
    <w:lvl w:ilvl="0" w:tentative="0">
      <w:start w:val="1"/>
      <w:numFmt w:val="chineseCounting"/>
      <w:suff w:val="nothing"/>
      <w:lvlText w:val="%1、"/>
      <w:lvlJc w:val="left"/>
      <w:pPr>
        <w:ind w:left="-420" w:firstLine="420"/>
      </w:pPr>
      <w:rPr>
        <w:rFonts w:hint="eastAsia"/>
      </w:rPr>
    </w:lvl>
  </w:abstractNum>
  <w:abstractNum w:abstractNumId="20">
    <w:nsid w:val="7E41D911"/>
    <w:multiLevelType w:val="singleLevel"/>
    <w:tmpl w:val="7E41D911"/>
    <w:lvl w:ilvl="0" w:tentative="0">
      <w:start w:val="1"/>
      <w:numFmt w:val="decimal"/>
      <w:lvlText w:val="%1."/>
      <w:lvlJc w:val="left"/>
      <w:pPr>
        <w:ind w:left="425" w:hanging="425"/>
      </w:pPr>
      <w:rPr>
        <w:rFonts w:hint="default"/>
      </w:rPr>
    </w:lvl>
  </w:abstractNum>
  <w:abstractNum w:abstractNumId="21">
    <w:nsid w:val="7E58107C"/>
    <w:multiLevelType w:val="singleLevel"/>
    <w:tmpl w:val="7E58107C"/>
    <w:lvl w:ilvl="0" w:tentative="0">
      <w:start w:val="1"/>
      <w:numFmt w:val="chineseCounting"/>
      <w:suff w:val="nothing"/>
      <w:lvlText w:val="（%1）"/>
      <w:lvlJc w:val="left"/>
      <w:rPr>
        <w:rFonts w:hint="eastAsia"/>
      </w:rPr>
    </w:lvl>
  </w:abstractNum>
  <w:num w:numId="1">
    <w:abstractNumId w:val="6"/>
  </w:num>
  <w:num w:numId="2">
    <w:abstractNumId w:val="9"/>
  </w:num>
  <w:num w:numId="3">
    <w:abstractNumId w:val="4"/>
  </w:num>
  <w:num w:numId="4">
    <w:abstractNumId w:val="5"/>
  </w:num>
  <w:num w:numId="5">
    <w:abstractNumId w:val="17"/>
  </w:num>
  <w:num w:numId="6">
    <w:abstractNumId w:val="15"/>
  </w:num>
  <w:num w:numId="7">
    <w:abstractNumId w:val="14"/>
  </w:num>
  <w:num w:numId="8">
    <w:abstractNumId w:val="19"/>
  </w:num>
  <w:num w:numId="9">
    <w:abstractNumId w:val="2"/>
  </w:num>
  <w:num w:numId="10">
    <w:abstractNumId w:val="0"/>
  </w:num>
  <w:num w:numId="11">
    <w:abstractNumId w:val="12"/>
  </w:num>
  <w:num w:numId="12">
    <w:abstractNumId w:val="3"/>
  </w:num>
  <w:num w:numId="13">
    <w:abstractNumId w:val="8"/>
  </w:num>
  <w:num w:numId="14">
    <w:abstractNumId w:val="11"/>
  </w:num>
  <w:num w:numId="15">
    <w:abstractNumId w:val="13"/>
  </w:num>
  <w:num w:numId="16">
    <w:abstractNumId w:val="21"/>
  </w:num>
  <w:num w:numId="17">
    <w:abstractNumId w:val="16"/>
  </w:num>
  <w:num w:numId="18">
    <w:abstractNumId w:val="1"/>
  </w:num>
  <w:num w:numId="19">
    <w:abstractNumId w:val="7"/>
  </w:num>
  <w:num w:numId="20">
    <w:abstractNumId w:val="10"/>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ZjhjYTBlMDczYzRkMjEwOWExZmM1NWJmOGM0ZTgifQ=="/>
  </w:docVars>
  <w:rsids>
    <w:rsidRoot w:val="00172A27"/>
    <w:rsid w:val="00004BB9"/>
    <w:rsid w:val="00004F3F"/>
    <w:rsid w:val="00005431"/>
    <w:rsid w:val="0000677B"/>
    <w:rsid w:val="00011B76"/>
    <w:rsid w:val="000127CE"/>
    <w:rsid w:val="00013F21"/>
    <w:rsid w:val="000230C3"/>
    <w:rsid w:val="000267DB"/>
    <w:rsid w:val="0002682A"/>
    <w:rsid w:val="00031055"/>
    <w:rsid w:val="00032884"/>
    <w:rsid w:val="00032CB5"/>
    <w:rsid w:val="000330DF"/>
    <w:rsid w:val="000330E8"/>
    <w:rsid w:val="0003523E"/>
    <w:rsid w:val="00040451"/>
    <w:rsid w:val="0004066D"/>
    <w:rsid w:val="00042DED"/>
    <w:rsid w:val="00042E44"/>
    <w:rsid w:val="00043713"/>
    <w:rsid w:val="0004389F"/>
    <w:rsid w:val="00052255"/>
    <w:rsid w:val="0005366B"/>
    <w:rsid w:val="00054A05"/>
    <w:rsid w:val="0005582C"/>
    <w:rsid w:val="00063154"/>
    <w:rsid w:val="000643CC"/>
    <w:rsid w:val="00064414"/>
    <w:rsid w:val="00064560"/>
    <w:rsid w:val="00064E72"/>
    <w:rsid w:val="00073270"/>
    <w:rsid w:val="0007411A"/>
    <w:rsid w:val="00075585"/>
    <w:rsid w:val="00080A1A"/>
    <w:rsid w:val="00080AC8"/>
    <w:rsid w:val="00082416"/>
    <w:rsid w:val="00085363"/>
    <w:rsid w:val="000860B2"/>
    <w:rsid w:val="000876BD"/>
    <w:rsid w:val="00091421"/>
    <w:rsid w:val="00091FC4"/>
    <w:rsid w:val="00093565"/>
    <w:rsid w:val="000A2CED"/>
    <w:rsid w:val="000A5AFD"/>
    <w:rsid w:val="000B5857"/>
    <w:rsid w:val="000C3DE9"/>
    <w:rsid w:val="000C5549"/>
    <w:rsid w:val="000C582C"/>
    <w:rsid w:val="000C72DB"/>
    <w:rsid w:val="000D053E"/>
    <w:rsid w:val="000D113E"/>
    <w:rsid w:val="000D2C4A"/>
    <w:rsid w:val="000D4C1B"/>
    <w:rsid w:val="000D5205"/>
    <w:rsid w:val="000D5218"/>
    <w:rsid w:val="000D5F16"/>
    <w:rsid w:val="000E1104"/>
    <w:rsid w:val="000E229C"/>
    <w:rsid w:val="000E3176"/>
    <w:rsid w:val="000E4A8F"/>
    <w:rsid w:val="000E6865"/>
    <w:rsid w:val="000E6CBD"/>
    <w:rsid w:val="000E71FF"/>
    <w:rsid w:val="000F5932"/>
    <w:rsid w:val="000F6E4A"/>
    <w:rsid w:val="000F74E6"/>
    <w:rsid w:val="00100528"/>
    <w:rsid w:val="00101B83"/>
    <w:rsid w:val="00101E4F"/>
    <w:rsid w:val="00104903"/>
    <w:rsid w:val="00106459"/>
    <w:rsid w:val="001066C2"/>
    <w:rsid w:val="0011084D"/>
    <w:rsid w:val="001112F9"/>
    <w:rsid w:val="00111D9D"/>
    <w:rsid w:val="00113B6B"/>
    <w:rsid w:val="001173CB"/>
    <w:rsid w:val="001175CE"/>
    <w:rsid w:val="001224FC"/>
    <w:rsid w:val="0012785E"/>
    <w:rsid w:val="001347C0"/>
    <w:rsid w:val="001376BD"/>
    <w:rsid w:val="00141B3C"/>
    <w:rsid w:val="0014402A"/>
    <w:rsid w:val="00145580"/>
    <w:rsid w:val="001477B0"/>
    <w:rsid w:val="00147CDA"/>
    <w:rsid w:val="00150384"/>
    <w:rsid w:val="00151EED"/>
    <w:rsid w:val="00152D83"/>
    <w:rsid w:val="001609CC"/>
    <w:rsid w:val="00162049"/>
    <w:rsid w:val="001639F5"/>
    <w:rsid w:val="00165F95"/>
    <w:rsid w:val="0016720A"/>
    <w:rsid w:val="0017227A"/>
    <w:rsid w:val="00176382"/>
    <w:rsid w:val="00181D6C"/>
    <w:rsid w:val="00186D4B"/>
    <w:rsid w:val="00190F0A"/>
    <w:rsid w:val="001975B0"/>
    <w:rsid w:val="001A1B4D"/>
    <w:rsid w:val="001A33D7"/>
    <w:rsid w:val="001A5CB6"/>
    <w:rsid w:val="001A7CD9"/>
    <w:rsid w:val="001B3A28"/>
    <w:rsid w:val="001B4246"/>
    <w:rsid w:val="001B42D8"/>
    <w:rsid w:val="001B6B2E"/>
    <w:rsid w:val="001B7059"/>
    <w:rsid w:val="001B77FB"/>
    <w:rsid w:val="001C1209"/>
    <w:rsid w:val="001C1289"/>
    <w:rsid w:val="001C3536"/>
    <w:rsid w:val="001C6111"/>
    <w:rsid w:val="001D0596"/>
    <w:rsid w:val="001D0732"/>
    <w:rsid w:val="001D1365"/>
    <w:rsid w:val="001D1BFD"/>
    <w:rsid w:val="001D2C6B"/>
    <w:rsid w:val="001D4091"/>
    <w:rsid w:val="001D7269"/>
    <w:rsid w:val="001E0970"/>
    <w:rsid w:val="001E1D0C"/>
    <w:rsid w:val="001E2664"/>
    <w:rsid w:val="001E2E10"/>
    <w:rsid w:val="001E566B"/>
    <w:rsid w:val="001F6E9C"/>
    <w:rsid w:val="002004B4"/>
    <w:rsid w:val="00201425"/>
    <w:rsid w:val="00203C4C"/>
    <w:rsid w:val="00205D9B"/>
    <w:rsid w:val="00205EE5"/>
    <w:rsid w:val="00211805"/>
    <w:rsid w:val="00211A2A"/>
    <w:rsid w:val="002138C8"/>
    <w:rsid w:val="00222441"/>
    <w:rsid w:val="002258BB"/>
    <w:rsid w:val="00226567"/>
    <w:rsid w:val="002305EE"/>
    <w:rsid w:val="00230D29"/>
    <w:rsid w:val="00232385"/>
    <w:rsid w:val="00232B4B"/>
    <w:rsid w:val="00233211"/>
    <w:rsid w:val="0023631F"/>
    <w:rsid w:val="00237ACC"/>
    <w:rsid w:val="00241ACA"/>
    <w:rsid w:val="00252106"/>
    <w:rsid w:val="0025442E"/>
    <w:rsid w:val="0026671F"/>
    <w:rsid w:val="00270467"/>
    <w:rsid w:val="002712CC"/>
    <w:rsid w:val="002734DD"/>
    <w:rsid w:val="00274C1D"/>
    <w:rsid w:val="002843E4"/>
    <w:rsid w:val="0028707F"/>
    <w:rsid w:val="00293F66"/>
    <w:rsid w:val="002A5AA8"/>
    <w:rsid w:val="002A686A"/>
    <w:rsid w:val="002B1CE8"/>
    <w:rsid w:val="002B2E12"/>
    <w:rsid w:val="002B37B3"/>
    <w:rsid w:val="002B440B"/>
    <w:rsid w:val="002B52FE"/>
    <w:rsid w:val="002C216F"/>
    <w:rsid w:val="002C4652"/>
    <w:rsid w:val="002C54B3"/>
    <w:rsid w:val="002D2785"/>
    <w:rsid w:val="002D3A14"/>
    <w:rsid w:val="002D6E85"/>
    <w:rsid w:val="002D7E92"/>
    <w:rsid w:val="002E01B0"/>
    <w:rsid w:val="002E46AA"/>
    <w:rsid w:val="002E578F"/>
    <w:rsid w:val="002E6171"/>
    <w:rsid w:val="002F1317"/>
    <w:rsid w:val="002F1E3D"/>
    <w:rsid w:val="002F224C"/>
    <w:rsid w:val="002F36E9"/>
    <w:rsid w:val="002F413E"/>
    <w:rsid w:val="002F500C"/>
    <w:rsid w:val="002F74B1"/>
    <w:rsid w:val="002F7E12"/>
    <w:rsid w:val="00306D0A"/>
    <w:rsid w:val="003075AC"/>
    <w:rsid w:val="00311356"/>
    <w:rsid w:val="00311E84"/>
    <w:rsid w:val="00312D99"/>
    <w:rsid w:val="003152CA"/>
    <w:rsid w:val="0032150A"/>
    <w:rsid w:val="00321BD2"/>
    <w:rsid w:val="003234D7"/>
    <w:rsid w:val="00323BAC"/>
    <w:rsid w:val="00324100"/>
    <w:rsid w:val="003249C8"/>
    <w:rsid w:val="0033242F"/>
    <w:rsid w:val="00333181"/>
    <w:rsid w:val="00340369"/>
    <w:rsid w:val="00340A9E"/>
    <w:rsid w:val="003435EE"/>
    <w:rsid w:val="003437D7"/>
    <w:rsid w:val="00345D2E"/>
    <w:rsid w:val="00346AEE"/>
    <w:rsid w:val="00350AE5"/>
    <w:rsid w:val="00352E2D"/>
    <w:rsid w:val="00353887"/>
    <w:rsid w:val="00353C75"/>
    <w:rsid w:val="00355095"/>
    <w:rsid w:val="003564FB"/>
    <w:rsid w:val="003624CE"/>
    <w:rsid w:val="0036410F"/>
    <w:rsid w:val="0036527B"/>
    <w:rsid w:val="00370870"/>
    <w:rsid w:val="0037101F"/>
    <w:rsid w:val="00371285"/>
    <w:rsid w:val="0037187D"/>
    <w:rsid w:val="00373D0F"/>
    <w:rsid w:val="00374231"/>
    <w:rsid w:val="00375DB4"/>
    <w:rsid w:val="003812AA"/>
    <w:rsid w:val="00381381"/>
    <w:rsid w:val="00382065"/>
    <w:rsid w:val="00387963"/>
    <w:rsid w:val="00390802"/>
    <w:rsid w:val="003943D6"/>
    <w:rsid w:val="00394ACA"/>
    <w:rsid w:val="003A0C91"/>
    <w:rsid w:val="003A22B5"/>
    <w:rsid w:val="003A2AE9"/>
    <w:rsid w:val="003A546D"/>
    <w:rsid w:val="003A72BB"/>
    <w:rsid w:val="003A74FC"/>
    <w:rsid w:val="003B15D1"/>
    <w:rsid w:val="003B3621"/>
    <w:rsid w:val="003B3CC9"/>
    <w:rsid w:val="003B5BE0"/>
    <w:rsid w:val="003B5D0D"/>
    <w:rsid w:val="003C79D4"/>
    <w:rsid w:val="003C7D1D"/>
    <w:rsid w:val="003D1F04"/>
    <w:rsid w:val="003D2913"/>
    <w:rsid w:val="003D2A01"/>
    <w:rsid w:val="003D7A23"/>
    <w:rsid w:val="003D7A47"/>
    <w:rsid w:val="003E0A64"/>
    <w:rsid w:val="003E251F"/>
    <w:rsid w:val="003E3B82"/>
    <w:rsid w:val="003F26D8"/>
    <w:rsid w:val="003F42AA"/>
    <w:rsid w:val="003F6A6A"/>
    <w:rsid w:val="004019C3"/>
    <w:rsid w:val="0040579C"/>
    <w:rsid w:val="00406E31"/>
    <w:rsid w:val="004078E6"/>
    <w:rsid w:val="0041030B"/>
    <w:rsid w:val="00412ACF"/>
    <w:rsid w:val="0041364E"/>
    <w:rsid w:val="00413888"/>
    <w:rsid w:val="004138D1"/>
    <w:rsid w:val="004173CD"/>
    <w:rsid w:val="004176E3"/>
    <w:rsid w:val="00424070"/>
    <w:rsid w:val="00425104"/>
    <w:rsid w:val="0043118C"/>
    <w:rsid w:val="0043188B"/>
    <w:rsid w:val="00432154"/>
    <w:rsid w:val="00433345"/>
    <w:rsid w:val="00435D8A"/>
    <w:rsid w:val="00437F32"/>
    <w:rsid w:val="00440502"/>
    <w:rsid w:val="0044266E"/>
    <w:rsid w:val="004469C2"/>
    <w:rsid w:val="00446B63"/>
    <w:rsid w:val="00446FC4"/>
    <w:rsid w:val="00450B0D"/>
    <w:rsid w:val="00453833"/>
    <w:rsid w:val="00454FEA"/>
    <w:rsid w:val="00457B0D"/>
    <w:rsid w:val="00457DB7"/>
    <w:rsid w:val="0046395F"/>
    <w:rsid w:val="00463D33"/>
    <w:rsid w:val="00465486"/>
    <w:rsid w:val="00466AC3"/>
    <w:rsid w:val="004738D1"/>
    <w:rsid w:val="0047450A"/>
    <w:rsid w:val="004751BE"/>
    <w:rsid w:val="00477419"/>
    <w:rsid w:val="004927F4"/>
    <w:rsid w:val="004928C2"/>
    <w:rsid w:val="004965D0"/>
    <w:rsid w:val="004968A0"/>
    <w:rsid w:val="00496958"/>
    <w:rsid w:val="004A1489"/>
    <w:rsid w:val="004A1FB9"/>
    <w:rsid w:val="004A2CA9"/>
    <w:rsid w:val="004A402C"/>
    <w:rsid w:val="004B0AEA"/>
    <w:rsid w:val="004B5A91"/>
    <w:rsid w:val="004B5D3E"/>
    <w:rsid w:val="004B6021"/>
    <w:rsid w:val="004B76A0"/>
    <w:rsid w:val="004B7CAB"/>
    <w:rsid w:val="004C5F95"/>
    <w:rsid w:val="004D0283"/>
    <w:rsid w:val="004D438C"/>
    <w:rsid w:val="004D5AFD"/>
    <w:rsid w:val="004E669C"/>
    <w:rsid w:val="004F170B"/>
    <w:rsid w:val="004F2CC7"/>
    <w:rsid w:val="004F2F96"/>
    <w:rsid w:val="004F30BE"/>
    <w:rsid w:val="004F34A4"/>
    <w:rsid w:val="004F7B3B"/>
    <w:rsid w:val="00501E5F"/>
    <w:rsid w:val="00503BE5"/>
    <w:rsid w:val="005067B0"/>
    <w:rsid w:val="00507389"/>
    <w:rsid w:val="00510053"/>
    <w:rsid w:val="00511D9C"/>
    <w:rsid w:val="005122D3"/>
    <w:rsid w:val="00512A31"/>
    <w:rsid w:val="00512C3E"/>
    <w:rsid w:val="0051408C"/>
    <w:rsid w:val="00514D80"/>
    <w:rsid w:val="00516F4B"/>
    <w:rsid w:val="00525B1C"/>
    <w:rsid w:val="00527AB3"/>
    <w:rsid w:val="0053206D"/>
    <w:rsid w:val="005322DC"/>
    <w:rsid w:val="00532A51"/>
    <w:rsid w:val="00532B8B"/>
    <w:rsid w:val="005353EE"/>
    <w:rsid w:val="00536EAA"/>
    <w:rsid w:val="00537439"/>
    <w:rsid w:val="0054272F"/>
    <w:rsid w:val="00544301"/>
    <w:rsid w:val="00544519"/>
    <w:rsid w:val="0055046C"/>
    <w:rsid w:val="005515D2"/>
    <w:rsid w:val="00554BC3"/>
    <w:rsid w:val="005602EF"/>
    <w:rsid w:val="00565079"/>
    <w:rsid w:val="00566FC5"/>
    <w:rsid w:val="005710D0"/>
    <w:rsid w:val="00572300"/>
    <w:rsid w:val="00572EA8"/>
    <w:rsid w:val="00574517"/>
    <w:rsid w:val="00574A2D"/>
    <w:rsid w:val="00576C01"/>
    <w:rsid w:val="00580D54"/>
    <w:rsid w:val="00581205"/>
    <w:rsid w:val="005828ED"/>
    <w:rsid w:val="0058585D"/>
    <w:rsid w:val="005858DA"/>
    <w:rsid w:val="00587678"/>
    <w:rsid w:val="005956B3"/>
    <w:rsid w:val="005957B2"/>
    <w:rsid w:val="005976CC"/>
    <w:rsid w:val="005977B2"/>
    <w:rsid w:val="005A1243"/>
    <w:rsid w:val="005A752C"/>
    <w:rsid w:val="005B187C"/>
    <w:rsid w:val="005B64B8"/>
    <w:rsid w:val="005B65D7"/>
    <w:rsid w:val="005B76F0"/>
    <w:rsid w:val="005C2A2E"/>
    <w:rsid w:val="005D5666"/>
    <w:rsid w:val="005D758A"/>
    <w:rsid w:val="005E4205"/>
    <w:rsid w:val="005F3E69"/>
    <w:rsid w:val="005F4B57"/>
    <w:rsid w:val="005F5B82"/>
    <w:rsid w:val="005F65FB"/>
    <w:rsid w:val="005F6D6A"/>
    <w:rsid w:val="00602227"/>
    <w:rsid w:val="00604A6D"/>
    <w:rsid w:val="00610452"/>
    <w:rsid w:val="00612540"/>
    <w:rsid w:val="00612B0B"/>
    <w:rsid w:val="00616267"/>
    <w:rsid w:val="006166EE"/>
    <w:rsid w:val="00616DC1"/>
    <w:rsid w:val="00620618"/>
    <w:rsid w:val="00620F02"/>
    <w:rsid w:val="00620F53"/>
    <w:rsid w:val="00622262"/>
    <w:rsid w:val="0062319C"/>
    <w:rsid w:val="0062630D"/>
    <w:rsid w:val="006278B9"/>
    <w:rsid w:val="006332F5"/>
    <w:rsid w:val="0063338A"/>
    <w:rsid w:val="006375D1"/>
    <w:rsid w:val="006400F5"/>
    <w:rsid w:val="006406CA"/>
    <w:rsid w:val="00640EDE"/>
    <w:rsid w:val="00647E54"/>
    <w:rsid w:val="00650AA9"/>
    <w:rsid w:val="0065117A"/>
    <w:rsid w:val="006511E9"/>
    <w:rsid w:val="0065402E"/>
    <w:rsid w:val="0065513A"/>
    <w:rsid w:val="00657793"/>
    <w:rsid w:val="006631F2"/>
    <w:rsid w:val="0066328A"/>
    <w:rsid w:val="00664865"/>
    <w:rsid w:val="00667B76"/>
    <w:rsid w:val="00667CD1"/>
    <w:rsid w:val="00672322"/>
    <w:rsid w:val="006745B2"/>
    <w:rsid w:val="0067485A"/>
    <w:rsid w:val="00675B9A"/>
    <w:rsid w:val="00676359"/>
    <w:rsid w:val="006767CE"/>
    <w:rsid w:val="0067702D"/>
    <w:rsid w:val="00686EE0"/>
    <w:rsid w:val="00692C60"/>
    <w:rsid w:val="006940B1"/>
    <w:rsid w:val="006949D6"/>
    <w:rsid w:val="006A02A8"/>
    <w:rsid w:val="006A3564"/>
    <w:rsid w:val="006A48A7"/>
    <w:rsid w:val="006A58F2"/>
    <w:rsid w:val="006A6054"/>
    <w:rsid w:val="006A63C6"/>
    <w:rsid w:val="006A6BFE"/>
    <w:rsid w:val="006A7370"/>
    <w:rsid w:val="006B1AC5"/>
    <w:rsid w:val="006B1C08"/>
    <w:rsid w:val="006B3EF1"/>
    <w:rsid w:val="006B520C"/>
    <w:rsid w:val="006C0294"/>
    <w:rsid w:val="006C3DC7"/>
    <w:rsid w:val="006C4A0A"/>
    <w:rsid w:val="006C7237"/>
    <w:rsid w:val="006D23CE"/>
    <w:rsid w:val="006D4BB3"/>
    <w:rsid w:val="006D6F29"/>
    <w:rsid w:val="006D7B11"/>
    <w:rsid w:val="006E23FC"/>
    <w:rsid w:val="006E4BD4"/>
    <w:rsid w:val="006E5FA4"/>
    <w:rsid w:val="006F1568"/>
    <w:rsid w:val="006F4505"/>
    <w:rsid w:val="006F5F43"/>
    <w:rsid w:val="007001EA"/>
    <w:rsid w:val="00705001"/>
    <w:rsid w:val="00707FAC"/>
    <w:rsid w:val="0071069D"/>
    <w:rsid w:val="00711660"/>
    <w:rsid w:val="00711854"/>
    <w:rsid w:val="00712113"/>
    <w:rsid w:val="00715ED0"/>
    <w:rsid w:val="00720EFB"/>
    <w:rsid w:val="00726E0F"/>
    <w:rsid w:val="0072728A"/>
    <w:rsid w:val="007276C0"/>
    <w:rsid w:val="00730E07"/>
    <w:rsid w:val="0073212A"/>
    <w:rsid w:val="00734BC8"/>
    <w:rsid w:val="0073554B"/>
    <w:rsid w:val="00736029"/>
    <w:rsid w:val="007366EC"/>
    <w:rsid w:val="0074652B"/>
    <w:rsid w:val="007505F8"/>
    <w:rsid w:val="007529A1"/>
    <w:rsid w:val="00756005"/>
    <w:rsid w:val="007576FB"/>
    <w:rsid w:val="007627B7"/>
    <w:rsid w:val="00763A8F"/>
    <w:rsid w:val="00766FC9"/>
    <w:rsid w:val="00775338"/>
    <w:rsid w:val="0078032A"/>
    <w:rsid w:val="0078143C"/>
    <w:rsid w:val="00787025"/>
    <w:rsid w:val="007874D3"/>
    <w:rsid w:val="00787845"/>
    <w:rsid w:val="00793346"/>
    <w:rsid w:val="00793F3A"/>
    <w:rsid w:val="007A1205"/>
    <w:rsid w:val="007A218C"/>
    <w:rsid w:val="007A41ED"/>
    <w:rsid w:val="007A4920"/>
    <w:rsid w:val="007A7FC0"/>
    <w:rsid w:val="007B41EE"/>
    <w:rsid w:val="007B4380"/>
    <w:rsid w:val="007C1030"/>
    <w:rsid w:val="007C28DD"/>
    <w:rsid w:val="007C6262"/>
    <w:rsid w:val="007C6CE2"/>
    <w:rsid w:val="007D1A34"/>
    <w:rsid w:val="007D1FAB"/>
    <w:rsid w:val="007D3C73"/>
    <w:rsid w:val="007D7F50"/>
    <w:rsid w:val="007E18AC"/>
    <w:rsid w:val="007E1A3D"/>
    <w:rsid w:val="007E2C1D"/>
    <w:rsid w:val="007E3163"/>
    <w:rsid w:val="007E3660"/>
    <w:rsid w:val="007E4688"/>
    <w:rsid w:val="007E5744"/>
    <w:rsid w:val="007E76F5"/>
    <w:rsid w:val="007E7891"/>
    <w:rsid w:val="007F35A8"/>
    <w:rsid w:val="007F71C0"/>
    <w:rsid w:val="007F72F4"/>
    <w:rsid w:val="007F7C17"/>
    <w:rsid w:val="008026F8"/>
    <w:rsid w:val="008039B9"/>
    <w:rsid w:val="0080618A"/>
    <w:rsid w:val="00806AAD"/>
    <w:rsid w:val="00806AE7"/>
    <w:rsid w:val="00807053"/>
    <w:rsid w:val="0081260C"/>
    <w:rsid w:val="00813FBB"/>
    <w:rsid w:val="00814A54"/>
    <w:rsid w:val="00815A06"/>
    <w:rsid w:val="00815C47"/>
    <w:rsid w:val="008179DE"/>
    <w:rsid w:val="00817B2A"/>
    <w:rsid w:val="00822452"/>
    <w:rsid w:val="0082623B"/>
    <w:rsid w:val="0082638C"/>
    <w:rsid w:val="00826A9D"/>
    <w:rsid w:val="008271DF"/>
    <w:rsid w:val="008314C7"/>
    <w:rsid w:val="00833174"/>
    <w:rsid w:val="00836CDC"/>
    <w:rsid w:val="008400A5"/>
    <w:rsid w:val="00844201"/>
    <w:rsid w:val="0085284F"/>
    <w:rsid w:val="008639AF"/>
    <w:rsid w:val="00863B8D"/>
    <w:rsid w:val="00866074"/>
    <w:rsid w:val="008707F5"/>
    <w:rsid w:val="00874D5E"/>
    <w:rsid w:val="00877030"/>
    <w:rsid w:val="008779EF"/>
    <w:rsid w:val="008825AF"/>
    <w:rsid w:val="008837AE"/>
    <w:rsid w:val="00883851"/>
    <w:rsid w:val="00883B65"/>
    <w:rsid w:val="008A06C2"/>
    <w:rsid w:val="008A59E2"/>
    <w:rsid w:val="008A607D"/>
    <w:rsid w:val="008A7087"/>
    <w:rsid w:val="008A75B7"/>
    <w:rsid w:val="008B1EA3"/>
    <w:rsid w:val="008B230E"/>
    <w:rsid w:val="008B2E08"/>
    <w:rsid w:val="008B37F7"/>
    <w:rsid w:val="008B3E27"/>
    <w:rsid w:val="008B6DE7"/>
    <w:rsid w:val="008C0BD1"/>
    <w:rsid w:val="008D0B7D"/>
    <w:rsid w:val="008D0F42"/>
    <w:rsid w:val="008D1F19"/>
    <w:rsid w:val="008D2476"/>
    <w:rsid w:val="008D25C5"/>
    <w:rsid w:val="008E0676"/>
    <w:rsid w:val="008E1704"/>
    <w:rsid w:val="008E3EFF"/>
    <w:rsid w:val="008E41F8"/>
    <w:rsid w:val="008F0D88"/>
    <w:rsid w:val="008F191D"/>
    <w:rsid w:val="008F236A"/>
    <w:rsid w:val="008F2673"/>
    <w:rsid w:val="008F67D5"/>
    <w:rsid w:val="00900ACA"/>
    <w:rsid w:val="00901B2B"/>
    <w:rsid w:val="00901C35"/>
    <w:rsid w:val="00903A70"/>
    <w:rsid w:val="00903ACD"/>
    <w:rsid w:val="00906035"/>
    <w:rsid w:val="009107D2"/>
    <w:rsid w:val="00916BA8"/>
    <w:rsid w:val="00916DD6"/>
    <w:rsid w:val="00922A93"/>
    <w:rsid w:val="00922C27"/>
    <w:rsid w:val="0092331C"/>
    <w:rsid w:val="009274FB"/>
    <w:rsid w:val="00932BCC"/>
    <w:rsid w:val="00933D60"/>
    <w:rsid w:val="00934602"/>
    <w:rsid w:val="00940124"/>
    <w:rsid w:val="00944A7F"/>
    <w:rsid w:val="00946B9A"/>
    <w:rsid w:val="00946FB2"/>
    <w:rsid w:val="009516E8"/>
    <w:rsid w:val="00952334"/>
    <w:rsid w:val="00954497"/>
    <w:rsid w:val="00954C20"/>
    <w:rsid w:val="0095502A"/>
    <w:rsid w:val="0095567E"/>
    <w:rsid w:val="00955A59"/>
    <w:rsid w:val="009639E4"/>
    <w:rsid w:val="00965EB8"/>
    <w:rsid w:val="00970043"/>
    <w:rsid w:val="00977370"/>
    <w:rsid w:val="00977CD0"/>
    <w:rsid w:val="0098332F"/>
    <w:rsid w:val="009837A3"/>
    <w:rsid w:val="00984E81"/>
    <w:rsid w:val="00985CFC"/>
    <w:rsid w:val="00991E38"/>
    <w:rsid w:val="00992EB9"/>
    <w:rsid w:val="0099439B"/>
    <w:rsid w:val="009953A4"/>
    <w:rsid w:val="00995D64"/>
    <w:rsid w:val="00996EB7"/>
    <w:rsid w:val="009A10DB"/>
    <w:rsid w:val="009A2BED"/>
    <w:rsid w:val="009B4DA3"/>
    <w:rsid w:val="009B72F4"/>
    <w:rsid w:val="009C1333"/>
    <w:rsid w:val="009C219C"/>
    <w:rsid w:val="009C2BF4"/>
    <w:rsid w:val="009C2E64"/>
    <w:rsid w:val="009C488E"/>
    <w:rsid w:val="009D14B4"/>
    <w:rsid w:val="009D44BC"/>
    <w:rsid w:val="009D5078"/>
    <w:rsid w:val="009D74BA"/>
    <w:rsid w:val="009E00D6"/>
    <w:rsid w:val="009E4440"/>
    <w:rsid w:val="009F1057"/>
    <w:rsid w:val="009F11B1"/>
    <w:rsid w:val="009F420F"/>
    <w:rsid w:val="009F52E0"/>
    <w:rsid w:val="00A030D1"/>
    <w:rsid w:val="00A03937"/>
    <w:rsid w:val="00A04298"/>
    <w:rsid w:val="00A108B6"/>
    <w:rsid w:val="00A1607B"/>
    <w:rsid w:val="00A2419E"/>
    <w:rsid w:val="00A26D0B"/>
    <w:rsid w:val="00A318CC"/>
    <w:rsid w:val="00A32A6C"/>
    <w:rsid w:val="00A331D9"/>
    <w:rsid w:val="00A40483"/>
    <w:rsid w:val="00A43BF5"/>
    <w:rsid w:val="00A45208"/>
    <w:rsid w:val="00A467EF"/>
    <w:rsid w:val="00A53B1A"/>
    <w:rsid w:val="00A550BF"/>
    <w:rsid w:val="00A60DDE"/>
    <w:rsid w:val="00A622FB"/>
    <w:rsid w:val="00A65369"/>
    <w:rsid w:val="00A66B2F"/>
    <w:rsid w:val="00A676E3"/>
    <w:rsid w:val="00A67DF3"/>
    <w:rsid w:val="00A722E7"/>
    <w:rsid w:val="00A73208"/>
    <w:rsid w:val="00A82E4B"/>
    <w:rsid w:val="00A84086"/>
    <w:rsid w:val="00A841D9"/>
    <w:rsid w:val="00A85B68"/>
    <w:rsid w:val="00A85EB1"/>
    <w:rsid w:val="00A87BAF"/>
    <w:rsid w:val="00A917C3"/>
    <w:rsid w:val="00A93315"/>
    <w:rsid w:val="00A97988"/>
    <w:rsid w:val="00AA30C4"/>
    <w:rsid w:val="00AA4BDD"/>
    <w:rsid w:val="00AB08A8"/>
    <w:rsid w:val="00AB56A7"/>
    <w:rsid w:val="00AB647C"/>
    <w:rsid w:val="00AC3693"/>
    <w:rsid w:val="00AC76A9"/>
    <w:rsid w:val="00AD18E1"/>
    <w:rsid w:val="00AD3513"/>
    <w:rsid w:val="00AE6C00"/>
    <w:rsid w:val="00AF23D0"/>
    <w:rsid w:val="00AF24E5"/>
    <w:rsid w:val="00AF2A3F"/>
    <w:rsid w:val="00AF4C9A"/>
    <w:rsid w:val="00AF5894"/>
    <w:rsid w:val="00AF7A85"/>
    <w:rsid w:val="00B00308"/>
    <w:rsid w:val="00B00D95"/>
    <w:rsid w:val="00B012AB"/>
    <w:rsid w:val="00B04226"/>
    <w:rsid w:val="00B045A8"/>
    <w:rsid w:val="00B106FC"/>
    <w:rsid w:val="00B10AE5"/>
    <w:rsid w:val="00B10CBC"/>
    <w:rsid w:val="00B1599A"/>
    <w:rsid w:val="00B16E0A"/>
    <w:rsid w:val="00B172BC"/>
    <w:rsid w:val="00B2029E"/>
    <w:rsid w:val="00B20F4E"/>
    <w:rsid w:val="00B21294"/>
    <w:rsid w:val="00B23CE1"/>
    <w:rsid w:val="00B33FCF"/>
    <w:rsid w:val="00B348D0"/>
    <w:rsid w:val="00B363E2"/>
    <w:rsid w:val="00B4187B"/>
    <w:rsid w:val="00B44B24"/>
    <w:rsid w:val="00B52E41"/>
    <w:rsid w:val="00B56DD8"/>
    <w:rsid w:val="00B572BA"/>
    <w:rsid w:val="00B601A5"/>
    <w:rsid w:val="00B61FE2"/>
    <w:rsid w:val="00B624DE"/>
    <w:rsid w:val="00B707D8"/>
    <w:rsid w:val="00B718E0"/>
    <w:rsid w:val="00B731CE"/>
    <w:rsid w:val="00B75244"/>
    <w:rsid w:val="00B76DC0"/>
    <w:rsid w:val="00B80ECD"/>
    <w:rsid w:val="00B840C7"/>
    <w:rsid w:val="00B9176C"/>
    <w:rsid w:val="00B96216"/>
    <w:rsid w:val="00BA1867"/>
    <w:rsid w:val="00BB3A9F"/>
    <w:rsid w:val="00BB4316"/>
    <w:rsid w:val="00BB7979"/>
    <w:rsid w:val="00BC07F3"/>
    <w:rsid w:val="00BC0D20"/>
    <w:rsid w:val="00BC3601"/>
    <w:rsid w:val="00BC54DC"/>
    <w:rsid w:val="00BD0117"/>
    <w:rsid w:val="00BD46A1"/>
    <w:rsid w:val="00BD6759"/>
    <w:rsid w:val="00BD759A"/>
    <w:rsid w:val="00BD7840"/>
    <w:rsid w:val="00BE0827"/>
    <w:rsid w:val="00BE1E2F"/>
    <w:rsid w:val="00BE4256"/>
    <w:rsid w:val="00BE6C7B"/>
    <w:rsid w:val="00BE6C83"/>
    <w:rsid w:val="00BF1B0F"/>
    <w:rsid w:val="00BF461A"/>
    <w:rsid w:val="00BF57EB"/>
    <w:rsid w:val="00C01935"/>
    <w:rsid w:val="00C049B7"/>
    <w:rsid w:val="00C10A62"/>
    <w:rsid w:val="00C115FF"/>
    <w:rsid w:val="00C128E1"/>
    <w:rsid w:val="00C14FD7"/>
    <w:rsid w:val="00C23D91"/>
    <w:rsid w:val="00C24AD0"/>
    <w:rsid w:val="00C26D2D"/>
    <w:rsid w:val="00C2730B"/>
    <w:rsid w:val="00C27A5C"/>
    <w:rsid w:val="00C30A9F"/>
    <w:rsid w:val="00C31F8B"/>
    <w:rsid w:val="00C32235"/>
    <w:rsid w:val="00C34CEF"/>
    <w:rsid w:val="00C37D70"/>
    <w:rsid w:val="00C42ED5"/>
    <w:rsid w:val="00C437D4"/>
    <w:rsid w:val="00C4630C"/>
    <w:rsid w:val="00C46B7E"/>
    <w:rsid w:val="00C56881"/>
    <w:rsid w:val="00C56EC5"/>
    <w:rsid w:val="00C5750F"/>
    <w:rsid w:val="00C575D0"/>
    <w:rsid w:val="00C613F0"/>
    <w:rsid w:val="00C63328"/>
    <w:rsid w:val="00C638B5"/>
    <w:rsid w:val="00C64A39"/>
    <w:rsid w:val="00C64BB9"/>
    <w:rsid w:val="00C65E3E"/>
    <w:rsid w:val="00C70469"/>
    <w:rsid w:val="00C7054B"/>
    <w:rsid w:val="00C70801"/>
    <w:rsid w:val="00C70CF0"/>
    <w:rsid w:val="00C70FA5"/>
    <w:rsid w:val="00C74615"/>
    <w:rsid w:val="00C76891"/>
    <w:rsid w:val="00C76F83"/>
    <w:rsid w:val="00C77FD8"/>
    <w:rsid w:val="00C80522"/>
    <w:rsid w:val="00C80D16"/>
    <w:rsid w:val="00C905E4"/>
    <w:rsid w:val="00C93F16"/>
    <w:rsid w:val="00C94A1F"/>
    <w:rsid w:val="00C953DD"/>
    <w:rsid w:val="00C95B37"/>
    <w:rsid w:val="00CA2178"/>
    <w:rsid w:val="00CA31E5"/>
    <w:rsid w:val="00CA345F"/>
    <w:rsid w:val="00CA501F"/>
    <w:rsid w:val="00CB05CA"/>
    <w:rsid w:val="00CB4B35"/>
    <w:rsid w:val="00CB5AEB"/>
    <w:rsid w:val="00CB6B52"/>
    <w:rsid w:val="00CC5525"/>
    <w:rsid w:val="00CC734E"/>
    <w:rsid w:val="00CD22CC"/>
    <w:rsid w:val="00CD46B0"/>
    <w:rsid w:val="00CD5A2C"/>
    <w:rsid w:val="00CD6F14"/>
    <w:rsid w:val="00CE12EF"/>
    <w:rsid w:val="00CE1FAD"/>
    <w:rsid w:val="00CE2979"/>
    <w:rsid w:val="00CE4D3D"/>
    <w:rsid w:val="00CE5C18"/>
    <w:rsid w:val="00CE78C9"/>
    <w:rsid w:val="00CF06C9"/>
    <w:rsid w:val="00CF21DE"/>
    <w:rsid w:val="00CF2FC0"/>
    <w:rsid w:val="00CF3A4F"/>
    <w:rsid w:val="00CF3B2E"/>
    <w:rsid w:val="00CF4E9E"/>
    <w:rsid w:val="00D0431F"/>
    <w:rsid w:val="00D04C4F"/>
    <w:rsid w:val="00D04F5C"/>
    <w:rsid w:val="00D06897"/>
    <w:rsid w:val="00D07D87"/>
    <w:rsid w:val="00D134F1"/>
    <w:rsid w:val="00D2105D"/>
    <w:rsid w:val="00D24687"/>
    <w:rsid w:val="00D25AF6"/>
    <w:rsid w:val="00D26CA4"/>
    <w:rsid w:val="00D279E8"/>
    <w:rsid w:val="00D31BE9"/>
    <w:rsid w:val="00D3783A"/>
    <w:rsid w:val="00D4235C"/>
    <w:rsid w:val="00D439AD"/>
    <w:rsid w:val="00D444B3"/>
    <w:rsid w:val="00D44F02"/>
    <w:rsid w:val="00D467D9"/>
    <w:rsid w:val="00D51900"/>
    <w:rsid w:val="00D54293"/>
    <w:rsid w:val="00D54EB5"/>
    <w:rsid w:val="00D601D6"/>
    <w:rsid w:val="00D603F5"/>
    <w:rsid w:val="00D60D14"/>
    <w:rsid w:val="00D62DF9"/>
    <w:rsid w:val="00D64CCC"/>
    <w:rsid w:val="00D7240A"/>
    <w:rsid w:val="00D732D9"/>
    <w:rsid w:val="00D75C89"/>
    <w:rsid w:val="00D8049D"/>
    <w:rsid w:val="00D84094"/>
    <w:rsid w:val="00D90695"/>
    <w:rsid w:val="00D960E6"/>
    <w:rsid w:val="00D963CB"/>
    <w:rsid w:val="00D977C1"/>
    <w:rsid w:val="00DA0982"/>
    <w:rsid w:val="00DA1E35"/>
    <w:rsid w:val="00DA5162"/>
    <w:rsid w:val="00DA5C23"/>
    <w:rsid w:val="00DA6265"/>
    <w:rsid w:val="00DA6B1F"/>
    <w:rsid w:val="00DB0F73"/>
    <w:rsid w:val="00DB367E"/>
    <w:rsid w:val="00DB5434"/>
    <w:rsid w:val="00DB75EC"/>
    <w:rsid w:val="00DC00FF"/>
    <w:rsid w:val="00DC440C"/>
    <w:rsid w:val="00DC5A04"/>
    <w:rsid w:val="00DC789B"/>
    <w:rsid w:val="00DD08A3"/>
    <w:rsid w:val="00DD364A"/>
    <w:rsid w:val="00DD445C"/>
    <w:rsid w:val="00DD50B8"/>
    <w:rsid w:val="00DD58D9"/>
    <w:rsid w:val="00DD77A8"/>
    <w:rsid w:val="00DE3A63"/>
    <w:rsid w:val="00DE4E8F"/>
    <w:rsid w:val="00DE574A"/>
    <w:rsid w:val="00DE772A"/>
    <w:rsid w:val="00DF4AB1"/>
    <w:rsid w:val="00DF5665"/>
    <w:rsid w:val="00DF6B4A"/>
    <w:rsid w:val="00E004B9"/>
    <w:rsid w:val="00E053CC"/>
    <w:rsid w:val="00E05E23"/>
    <w:rsid w:val="00E0627E"/>
    <w:rsid w:val="00E10261"/>
    <w:rsid w:val="00E142DC"/>
    <w:rsid w:val="00E15DD5"/>
    <w:rsid w:val="00E1609E"/>
    <w:rsid w:val="00E24695"/>
    <w:rsid w:val="00E26090"/>
    <w:rsid w:val="00E33297"/>
    <w:rsid w:val="00E34285"/>
    <w:rsid w:val="00E35067"/>
    <w:rsid w:val="00E37167"/>
    <w:rsid w:val="00E376F7"/>
    <w:rsid w:val="00E40219"/>
    <w:rsid w:val="00E41714"/>
    <w:rsid w:val="00E5192A"/>
    <w:rsid w:val="00E57F60"/>
    <w:rsid w:val="00E61D2A"/>
    <w:rsid w:val="00E62B9C"/>
    <w:rsid w:val="00E65B86"/>
    <w:rsid w:val="00E73C3B"/>
    <w:rsid w:val="00E75623"/>
    <w:rsid w:val="00E8077B"/>
    <w:rsid w:val="00E858BE"/>
    <w:rsid w:val="00E86732"/>
    <w:rsid w:val="00E8688F"/>
    <w:rsid w:val="00E91D40"/>
    <w:rsid w:val="00EA1A8B"/>
    <w:rsid w:val="00EA1DDD"/>
    <w:rsid w:val="00EA4D04"/>
    <w:rsid w:val="00EB5E95"/>
    <w:rsid w:val="00EB605A"/>
    <w:rsid w:val="00EB7724"/>
    <w:rsid w:val="00EC2552"/>
    <w:rsid w:val="00EC2841"/>
    <w:rsid w:val="00EC4624"/>
    <w:rsid w:val="00EC7D41"/>
    <w:rsid w:val="00ED1B4E"/>
    <w:rsid w:val="00ED2A15"/>
    <w:rsid w:val="00ED32E2"/>
    <w:rsid w:val="00ED4DBC"/>
    <w:rsid w:val="00ED6AD2"/>
    <w:rsid w:val="00ED7E2E"/>
    <w:rsid w:val="00EE183A"/>
    <w:rsid w:val="00EE19F1"/>
    <w:rsid w:val="00EE24CF"/>
    <w:rsid w:val="00EE6429"/>
    <w:rsid w:val="00EE7053"/>
    <w:rsid w:val="00EE785C"/>
    <w:rsid w:val="00EF0139"/>
    <w:rsid w:val="00EF3D91"/>
    <w:rsid w:val="00EF3F78"/>
    <w:rsid w:val="00EF7AC8"/>
    <w:rsid w:val="00F00336"/>
    <w:rsid w:val="00F048DC"/>
    <w:rsid w:val="00F064BC"/>
    <w:rsid w:val="00F0754E"/>
    <w:rsid w:val="00F12418"/>
    <w:rsid w:val="00F24B70"/>
    <w:rsid w:val="00F2660D"/>
    <w:rsid w:val="00F30344"/>
    <w:rsid w:val="00F30588"/>
    <w:rsid w:val="00F32076"/>
    <w:rsid w:val="00F36687"/>
    <w:rsid w:val="00F36A2F"/>
    <w:rsid w:val="00F41507"/>
    <w:rsid w:val="00F46C90"/>
    <w:rsid w:val="00F476D0"/>
    <w:rsid w:val="00F52A87"/>
    <w:rsid w:val="00F55E0A"/>
    <w:rsid w:val="00F57A2C"/>
    <w:rsid w:val="00F57D3E"/>
    <w:rsid w:val="00F6012D"/>
    <w:rsid w:val="00F651E4"/>
    <w:rsid w:val="00F67F04"/>
    <w:rsid w:val="00F71206"/>
    <w:rsid w:val="00F71A82"/>
    <w:rsid w:val="00F71BE7"/>
    <w:rsid w:val="00F7462A"/>
    <w:rsid w:val="00F7683E"/>
    <w:rsid w:val="00F85BC6"/>
    <w:rsid w:val="00F931E2"/>
    <w:rsid w:val="00F95643"/>
    <w:rsid w:val="00F9777D"/>
    <w:rsid w:val="00FA081C"/>
    <w:rsid w:val="00FA17E1"/>
    <w:rsid w:val="00FA3262"/>
    <w:rsid w:val="00FA3B15"/>
    <w:rsid w:val="00FB00B3"/>
    <w:rsid w:val="00FB2AD6"/>
    <w:rsid w:val="00FB390A"/>
    <w:rsid w:val="00FB59F7"/>
    <w:rsid w:val="00FC1B21"/>
    <w:rsid w:val="00FD0C03"/>
    <w:rsid w:val="00FD12A7"/>
    <w:rsid w:val="00FD3FDD"/>
    <w:rsid w:val="00FD6D3B"/>
    <w:rsid w:val="00FD7674"/>
    <w:rsid w:val="00FE6028"/>
    <w:rsid w:val="00FE6897"/>
    <w:rsid w:val="00FE7940"/>
    <w:rsid w:val="00FF054D"/>
    <w:rsid w:val="00FF5196"/>
    <w:rsid w:val="01106134"/>
    <w:rsid w:val="01113887"/>
    <w:rsid w:val="01301099"/>
    <w:rsid w:val="01453CA8"/>
    <w:rsid w:val="01457570"/>
    <w:rsid w:val="01962088"/>
    <w:rsid w:val="01A32EE1"/>
    <w:rsid w:val="01E55EBE"/>
    <w:rsid w:val="02303DD4"/>
    <w:rsid w:val="02313F99"/>
    <w:rsid w:val="02510B1D"/>
    <w:rsid w:val="0256549D"/>
    <w:rsid w:val="02655444"/>
    <w:rsid w:val="02A1111E"/>
    <w:rsid w:val="02C44E0D"/>
    <w:rsid w:val="02D03BE6"/>
    <w:rsid w:val="02E00618"/>
    <w:rsid w:val="02E7397E"/>
    <w:rsid w:val="02F648F7"/>
    <w:rsid w:val="030C0485"/>
    <w:rsid w:val="03235C63"/>
    <w:rsid w:val="032A1114"/>
    <w:rsid w:val="032E6180"/>
    <w:rsid w:val="036E13BB"/>
    <w:rsid w:val="036F4380"/>
    <w:rsid w:val="037D571B"/>
    <w:rsid w:val="03903EDC"/>
    <w:rsid w:val="03913917"/>
    <w:rsid w:val="03951A9E"/>
    <w:rsid w:val="03AE6866"/>
    <w:rsid w:val="03B2599D"/>
    <w:rsid w:val="03D942D2"/>
    <w:rsid w:val="03E04F58"/>
    <w:rsid w:val="03E77CC4"/>
    <w:rsid w:val="03FE4301"/>
    <w:rsid w:val="0417685A"/>
    <w:rsid w:val="042C1D21"/>
    <w:rsid w:val="04650CDD"/>
    <w:rsid w:val="04820ADC"/>
    <w:rsid w:val="04883B4D"/>
    <w:rsid w:val="0496221C"/>
    <w:rsid w:val="04B138EF"/>
    <w:rsid w:val="04DB7FBA"/>
    <w:rsid w:val="04F17744"/>
    <w:rsid w:val="051E0912"/>
    <w:rsid w:val="05335B13"/>
    <w:rsid w:val="055F0D17"/>
    <w:rsid w:val="05654685"/>
    <w:rsid w:val="0582268A"/>
    <w:rsid w:val="059A1A89"/>
    <w:rsid w:val="05A476BE"/>
    <w:rsid w:val="05C11576"/>
    <w:rsid w:val="05E65A92"/>
    <w:rsid w:val="05EC0902"/>
    <w:rsid w:val="05F91E7B"/>
    <w:rsid w:val="06130C3F"/>
    <w:rsid w:val="06184D91"/>
    <w:rsid w:val="06222576"/>
    <w:rsid w:val="063514CB"/>
    <w:rsid w:val="063B3638"/>
    <w:rsid w:val="06426774"/>
    <w:rsid w:val="064F0D02"/>
    <w:rsid w:val="065E7ECD"/>
    <w:rsid w:val="06726E5D"/>
    <w:rsid w:val="067E01C3"/>
    <w:rsid w:val="067F238A"/>
    <w:rsid w:val="06957B95"/>
    <w:rsid w:val="06A60CFB"/>
    <w:rsid w:val="06B3627B"/>
    <w:rsid w:val="06B9371C"/>
    <w:rsid w:val="06DA4BFF"/>
    <w:rsid w:val="06E60D29"/>
    <w:rsid w:val="072429E9"/>
    <w:rsid w:val="0728596A"/>
    <w:rsid w:val="074327A4"/>
    <w:rsid w:val="074827F6"/>
    <w:rsid w:val="07B12193"/>
    <w:rsid w:val="07F95421"/>
    <w:rsid w:val="07FD0529"/>
    <w:rsid w:val="07FD5ED5"/>
    <w:rsid w:val="07FF198E"/>
    <w:rsid w:val="082B276F"/>
    <w:rsid w:val="08684AAB"/>
    <w:rsid w:val="08687FE8"/>
    <w:rsid w:val="086A7264"/>
    <w:rsid w:val="087150EF"/>
    <w:rsid w:val="08757B43"/>
    <w:rsid w:val="0882289C"/>
    <w:rsid w:val="089F1C5C"/>
    <w:rsid w:val="08B732BE"/>
    <w:rsid w:val="08D4685B"/>
    <w:rsid w:val="08D54357"/>
    <w:rsid w:val="09030D18"/>
    <w:rsid w:val="090455E8"/>
    <w:rsid w:val="0922463B"/>
    <w:rsid w:val="09562AEB"/>
    <w:rsid w:val="09823246"/>
    <w:rsid w:val="09950D67"/>
    <w:rsid w:val="09AD448B"/>
    <w:rsid w:val="09B14AFE"/>
    <w:rsid w:val="09ED4C49"/>
    <w:rsid w:val="0A0A511E"/>
    <w:rsid w:val="0A0E224A"/>
    <w:rsid w:val="0A125063"/>
    <w:rsid w:val="0A136643"/>
    <w:rsid w:val="0A1714E9"/>
    <w:rsid w:val="0A2F65CA"/>
    <w:rsid w:val="0A334D52"/>
    <w:rsid w:val="0A4B5B40"/>
    <w:rsid w:val="0A5C6C69"/>
    <w:rsid w:val="0A8E28B4"/>
    <w:rsid w:val="0A913FEA"/>
    <w:rsid w:val="0AA947AE"/>
    <w:rsid w:val="0ABE1E9B"/>
    <w:rsid w:val="0AC0422D"/>
    <w:rsid w:val="0AC1245F"/>
    <w:rsid w:val="0AC30D18"/>
    <w:rsid w:val="0AE30145"/>
    <w:rsid w:val="0B113201"/>
    <w:rsid w:val="0B1426D4"/>
    <w:rsid w:val="0B1A674F"/>
    <w:rsid w:val="0B290995"/>
    <w:rsid w:val="0B453357"/>
    <w:rsid w:val="0B792935"/>
    <w:rsid w:val="0B7E587A"/>
    <w:rsid w:val="0B844D07"/>
    <w:rsid w:val="0B850E65"/>
    <w:rsid w:val="0B967D90"/>
    <w:rsid w:val="0BA94FA9"/>
    <w:rsid w:val="0BAB1EDE"/>
    <w:rsid w:val="0BC55AF4"/>
    <w:rsid w:val="0BEB658A"/>
    <w:rsid w:val="0C017411"/>
    <w:rsid w:val="0C200F9B"/>
    <w:rsid w:val="0C201FA6"/>
    <w:rsid w:val="0C3628D7"/>
    <w:rsid w:val="0C3C3C66"/>
    <w:rsid w:val="0C53442A"/>
    <w:rsid w:val="0C542D5E"/>
    <w:rsid w:val="0C6E11BF"/>
    <w:rsid w:val="0C8B5128"/>
    <w:rsid w:val="0C8E2713"/>
    <w:rsid w:val="0CAA0BCF"/>
    <w:rsid w:val="0CB15C56"/>
    <w:rsid w:val="0D0A10FA"/>
    <w:rsid w:val="0D3F5DD3"/>
    <w:rsid w:val="0D491978"/>
    <w:rsid w:val="0D4A5EC1"/>
    <w:rsid w:val="0D6A253D"/>
    <w:rsid w:val="0D705AB7"/>
    <w:rsid w:val="0D75118E"/>
    <w:rsid w:val="0DBE2B84"/>
    <w:rsid w:val="0DD137AA"/>
    <w:rsid w:val="0E0B445B"/>
    <w:rsid w:val="0E1A1C17"/>
    <w:rsid w:val="0E1E1875"/>
    <w:rsid w:val="0E680D42"/>
    <w:rsid w:val="0E6A2847"/>
    <w:rsid w:val="0E770F85"/>
    <w:rsid w:val="0E7B0020"/>
    <w:rsid w:val="0E84662C"/>
    <w:rsid w:val="0ECA14D0"/>
    <w:rsid w:val="0EDA7F1C"/>
    <w:rsid w:val="0EE76DB1"/>
    <w:rsid w:val="0F094F01"/>
    <w:rsid w:val="0F140D90"/>
    <w:rsid w:val="0F156F3A"/>
    <w:rsid w:val="0F340B72"/>
    <w:rsid w:val="0F3C00EC"/>
    <w:rsid w:val="0F5F2145"/>
    <w:rsid w:val="0F672951"/>
    <w:rsid w:val="0FB81D67"/>
    <w:rsid w:val="0FD95A7E"/>
    <w:rsid w:val="0FFC27C9"/>
    <w:rsid w:val="0FFF6CB9"/>
    <w:rsid w:val="10142E25"/>
    <w:rsid w:val="101E1A48"/>
    <w:rsid w:val="10262C63"/>
    <w:rsid w:val="10433D9A"/>
    <w:rsid w:val="1063131E"/>
    <w:rsid w:val="107240E4"/>
    <w:rsid w:val="107B1F8D"/>
    <w:rsid w:val="10812002"/>
    <w:rsid w:val="10A00B82"/>
    <w:rsid w:val="10AD47A5"/>
    <w:rsid w:val="10B27F7D"/>
    <w:rsid w:val="10F6076A"/>
    <w:rsid w:val="11183182"/>
    <w:rsid w:val="11294AF9"/>
    <w:rsid w:val="11344C55"/>
    <w:rsid w:val="113963C1"/>
    <w:rsid w:val="1140629B"/>
    <w:rsid w:val="11673533"/>
    <w:rsid w:val="116E48C1"/>
    <w:rsid w:val="117B5716"/>
    <w:rsid w:val="119E16C4"/>
    <w:rsid w:val="11DE1AE7"/>
    <w:rsid w:val="120649EE"/>
    <w:rsid w:val="12333628"/>
    <w:rsid w:val="12614426"/>
    <w:rsid w:val="12780033"/>
    <w:rsid w:val="1290609D"/>
    <w:rsid w:val="12BB6237"/>
    <w:rsid w:val="12F4646A"/>
    <w:rsid w:val="13041294"/>
    <w:rsid w:val="13096BD1"/>
    <w:rsid w:val="13160981"/>
    <w:rsid w:val="132210DB"/>
    <w:rsid w:val="1324691C"/>
    <w:rsid w:val="133332BC"/>
    <w:rsid w:val="1347361C"/>
    <w:rsid w:val="13AF4AC8"/>
    <w:rsid w:val="13B83F2D"/>
    <w:rsid w:val="13CE6E01"/>
    <w:rsid w:val="13D00878"/>
    <w:rsid w:val="13DF6E78"/>
    <w:rsid w:val="13F15336"/>
    <w:rsid w:val="13F34ACE"/>
    <w:rsid w:val="13FE089B"/>
    <w:rsid w:val="141838B7"/>
    <w:rsid w:val="14183B51"/>
    <w:rsid w:val="14282B60"/>
    <w:rsid w:val="14363F8E"/>
    <w:rsid w:val="14590CB6"/>
    <w:rsid w:val="14631473"/>
    <w:rsid w:val="14B70CBA"/>
    <w:rsid w:val="14C316C0"/>
    <w:rsid w:val="14C8253B"/>
    <w:rsid w:val="14CF7C0D"/>
    <w:rsid w:val="14E7711E"/>
    <w:rsid w:val="150C5BD4"/>
    <w:rsid w:val="1515249B"/>
    <w:rsid w:val="15392D4C"/>
    <w:rsid w:val="15441299"/>
    <w:rsid w:val="15542020"/>
    <w:rsid w:val="155D5602"/>
    <w:rsid w:val="1565422D"/>
    <w:rsid w:val="156C2F98"/>
    <w:rsid w:val="15881E4F"/>
    <w:rsid w:val="15A66514"/>
    <w:rsid w:val="15A95174"/>
    <w:rsid w:val="15B6423E"/>
    <w:rsid w:val="15D37812"/>
    <w:rsid w:val="15D8055B"/>
    <w:rsid w:val="15F3685F"/>
    <w:rsid w:val="160957B4"/>
    <w:rsid w:val="1621314C"/>
    <w:rsid w:val="164C3CEE"/>
    <w:rsid w:val="16595BBB"/>
    <w:rsid w:val="169105EB"/>
    <w:rsid w:val="169200DE"/>
    <w:rsid w:val="1697623B"/>
    <w:rsid w:val="16C8615D"/>
    <w:rsid w:val="16D743E7"/>
    <w:rsid w:val="16D82B9C"/>
    <w:rsid w:val="16E7284B"/>
    <w:rsid w:val="16EA2DC4"/>
    <w:rsid w:val="16F2564D"/>
    <w:rsid w:val="16FD6AE2"/>
    <w:rsid w:val="16FE2965"/>
    <w:rsid w:val="171F7FDE"/>
    <w:rsid w:val="173363A9"/>
    <w:rsid w:val="174A5489"/>
    <w:rsid w:val="17542066"/>
    <w:rsid w:val="17792AAB"/>
    <w:rsid w:val="17795EF4"/>
    <w:rsid w:val="17914E66"/>
    <w:rsid w:val="17970D28"/>
    <w:rsid w:val="17A1081D"/>
    <w:rsid w:val="17A7338F"/>
    <w:rsid w:val="17AA4FB3"/>
    <w:rsid w:val="17AF0F58"/>
    <w:rsid w:val="17B2781B"/>
    <w:rsid w:val="17FB16F2"/>
    <w:rsid w:val="17FE1BE4"/>
    <w:rsid w:val="181B22BC"/>
    <w:rsid w:val="18B20B16"/>
    <w:rsid w:val="18DD0C37"/>
    <w:rsid w:val="18F2402A"/>
    <w:rsid w:val="19380B8A"/>
    <w:rsid w:val="193E0D50"/>
    <w:rsid w:val="195200A1"/>
    <w:rsid w:val="19792055"/>
    <w:rsid w:val="19853477"/>
    <w:rsid w:val="199A3E11"/>
    <w:rsid w:val="199A64A6"/>
    <w:rsid w:val="19CE05F3"/>
    <w:rsid w:val="19E472DF"/>
    <w:rsid w:val="19FB2F01"/>
    <w:rsid w:val="1A6044A4"/>
    <w:rsid w:val="1A8567D8"/>
    <w:rsid w:val="1A89451A"/>
    <w:rsid w:val="1AA247A1"/>
    <w:rsid w:val="1AE23C2A"/>
    <w:rsid w:val="1B140288"/>
    <w:rsid w:val="1B1A43C9"/>
    <w:rsid w:val="1B1C2A85"/>
    <w:rsid w:val="1B4D379A"/>
    <w:rsid w:val="1B505BC7"/>
    <w:rsid w:val="1B530478"/>
    <w:rsid w:val="1B6B4C57"/>
    <w:rsid w:val="1B993715"/>
    <w:rsid w:val="1BD253FB"/>
    <w:rsid w:val="1BDE21FB"/>
    <w:rsid w:val="1BE17F4F"/>
    <w:rsid w:val="1BE24C9A"/>
    <w:rsid w:val="1C1D58AF"/>
    <w:rsid w:val="1C302C53"/>
    <w:rsid w:val="1C4E6F52"/>
    <w:rsid w:val="1C5A3E63"/>
    <w:rsid w:val="1C6F7EA9"/>
    <w:rsid w:val="1CC52ED3"/>
    <w:rsid w:val="1CD22DC8"/>
    <w:rsid w:val="1CD53A47"/>
    <w:rsid w:val="1CF274A1"/>
    <w:rsid w:val="1D1851D8"/>
    <w:rsid w:val="1D3C37FB"/>
    <w:rsid w:val="1D570900"/>
    <w:rsid w:val="1D6E1C30"/>
    <w:rsid w:val="1DC314DE"/>
    <w:rsid w:val="1DE772AF"/>
    <w:rsid w:val="1DF24321"/>
    <w:rsid w:val="1E0E5411"/>
    <w:rsid w:val="1E4372AE"/>
    <w:rsid w:val="1E484EFD"/>
    <w:rsid w:val="1E660ECA"/>
    <w:rsid w:val="1E7B0933"/>
    <w:rsid w:val="1ED65854"/>
    <w:rsid w:val="1EEC35EA"/>
    <w:rsid w:val="1EF67EAD"/>
    <w:rsid w:val="1EFB2E9E"/>
    <w:rsid w:val="1F21385A"/>
    <w:rsid w:val="1F3D4215"/>
    <w:rsid w:val="1F585CFC"/>
    <w:rsid w:val="1F7E265A"/>
    <w:rsid w:val="1F9D6DB0"/>
    <w:rsid w:val="1FBA2980"/>
    <w:rsid w:val="200B53BD"/>
    <w:rsid w:val="2010025C"/>
    <w:rsid w:val="20184C9C"/>
    <w:rsid w:val="20200788"/>
    <w:rsid w:val="203007C9"/>
    <w:rsid w:val="203E6C63"/>
    <w:rsid w:val="204F4CE6"/>
    <w:rsid w:val="208204C4"/>
    <w:rsid w:val="20A04CC4"/>
    <w:rsid w:val="20A3724D"/>
    <w:rsid w:val="20D023B2"/>
    <w:rsid w:val="20D46F2B"/>
    <w:rsid w:val="20EE4EAA"/>
    <w:rsid w:val="210E6E8C"/>
    <w:rsid w:val="211C54DD"/>
    <w:rsid w:val="21274A8D"/>
    <w:rsid w:val="21366A7E"/>
    <w:rsid w:val="21436DF2"/>
    <w:rsid w:val="215265FB"/>
    <w:rsid w:val="21616CBA"/>
    <w:rsid w:val="21A15D0C"/>
    <w:rsid w:val="22087577"/>
    <w:rsid w:val="222F3BF9"/>
    <w:rsid w:val="22595868"/>
    <w:rsid w:val="225D45BC"/>
    <w:rsid w:val="225E21B1"/>
    <w:rsid w:val="22620B1A"/>
    <w:rsid w:val="226351CD"/>
    <w:rsid w:val="226A57B8"/>
    <w:rsid w:val="2280289F"/>
    <w:rsid w:val="228617E4"/>
    <w:rsid w:val="229B7723"/>
    <w:rsid w:val="229E4D2B"/>
    <w:rsid w:val="22AB7CC8"/>
    <w:rsid w:val="22B452E7"/>
    <w:rsid w:val="22BD2FB3"/>
    <w:rsid w:val="22DF6447"/>
    <w:rsid w:val="22F10EAE"/>
    <w:rsid w:val="22FA4207"/>
    <w:rsid w:val="23031FBE"/>
    <w:rsid w:val="230C7A96"/>
    <w:rsid w:val="2315555B"/>
    <w:rsid w:val="23203D54"/>
    <w:rsid w:val="232F51CC"/>
    <w:rsid w:val="233732E7"/>
    <w:rsid w:val="23377874"/>
    <w:rsid w:val="236F7322"/>
    <w:rsid w:val="23727B8C"/>
    <w:rsid w:val="23D926A5"/>
    <w:rsid w:val="23DD2B94"/>
    <w:rsid w:val="23DD796E"/>
    <w:rsid w:val="23F04AB6"/>
    <w:rsid w:val="2426552C"/>
    <w:rsid w:val="24333740"/>
    <w:rsid w:val="244220F1"/>
    <w:rsid w:val="24455956"/>
    <w:rsid w:val="245165E7"/>
    <w:rsid w:val="24525BA6"/>
    <w:rsid w:val="245A309F"/>
    <w:rsid w:val="24690641"/>
    <w:rsid w:val="247F7FED"/>
    <w:rsid w:val="24A718BD"/>
    <w:rsid w:val="24AB4C4C"/>
    <w:rsid w:val="24F05453"/>
    <w:rsid w:val="251B66B7"/>
    <w:rsid w:val="254029EC"/>
    <w:rsid w:val="254161FF"/>
    <w:rsid w:val="256A68D4"/>
    <w:rsid w:val="256E4219"/>
    <w:rsid w:val="25805181"/>
    <w:rsid w:val="25812FE1"/>
    <w:rsid w:val="25832249"/>
    <w:rsid w:val="25B3069D"/>
    <w:rsid w:val="25B37DF9"/>
    <w:rsid w:val="25B763DF"/>
    <w:rsid w:val="25CA4B1C"/>
    <w:rsid w:val="25DE7BE8"/>
    <w:rsid w:val="25E0350F"/>
    <w:rsid w:val="25E8502A"/>
    <w:rsid w:val="25EF7A30"/>
    <w:rsid w:val="25F969F8"/>
    <w:rsid w:val="25FB0048"/>
    <w:rsid w:val="25FE5881"/>
    <w:rsid w:val="26216F07"/>
    <w:rsid w:val="262B2929"/>
    <w:rsid w:val="262E7455"/>
    <w:rsid w:val="26487037"/>
    <w:rsid w:val="26495DFE"/>
    <w:rsid w:val="26793695"/>
    <w:rsid w:val="268B0304"/>
    <w:rsid w:val="269B4DE3"/>
    <w:rsid w:val="26A85D28"/>
    <w:rsid w:val="26B30B61"/>
    <w:rsid w:val="26B80F25"/>
    <w:rsid w:val="26C4140B"/>
    <w:rsid w:val="26E20A34"/>
    <w:rsid w:val="26F56226"/>
    <w:rsid w:val="270E64D3"/>
    <w:rsid w:val="272C71BF"/>
    <w:rsid w:val="276B56D3"/>
    <w:rsid w:val="278236C4"/>
    <w:rsid w:val="27A12DBA"/>
    <w:rsid w:val="281C5214"/>
    <w:rsid w:val="2826007F"/>
    <w:rsid w:val="28360266"/>
    <w:rsid w:val="288353A8"/>
    <w:rsid w:val="289A760A"/>
    <w:rsid w:val="28D144E3"/>
    <w:rsid w:val="28D177B8"/>
    <w:rsid w:val="28F00CFD"/>
    <w:rsid w:val="29057462"/>
    <w:rsid w:val="2916677C"/>
    <w:rsid w:val="291F5CEE"/>
    <w:rsid w:val="29286663"/>
    <w:rsid w:val="29693D53"/>
    <w:rsid w:val="29AF6133"/>
    <w:rsid w:val="29B267D7"/>
    <w:rsid w:val="29BC34FD"/>
    <w:rsid w:val="29C4731D"/>
    <w:rsid w:val="29F80D74"/>
    <w:rsid w:val="2A1536D4"/>
    <w:rsid w:val="2A1A7AE0"/>
    <w:rsid w:val="2A2917C3"/>
    <w:rsid w:val="2A3F4BF5"/>
    <w:rsid w:val="2A8354A3"/>
    <w:rsid w:val="2AB20F52"/>
    <w:rsid w:val="2AB47391"/>
    <w:rsid w:val="2ABC1DA2"/>
    <w:rsid w:val="2AC46EA9"/>
    <w:rsid w:val="2AF50F82"/>
    <w:rsid w:val="2B043FDB"/>
    <w:rsid w:val="2B1C5C3D"/>
    <w:rsid w:val="2B446695"/>
    <w:rsid w:val="2B451B38"/>
    <w:rsid w:val="2B457143"/>
    <w:rsid w:val="2B5873FA"/>
    <w:rsid w:val="2B5F17B8"/>
    <w:rsid w:val="2B640CE9"/>
    <w:rsid w:val="2B6F3D65"/>
    <w:rsid w:val="2B826A15"/>
    <w:rsid w:val="2B994E9D"/>
    <w:rsid w:val="2B9F440E"/>
    <w:rsid w:val="2BCA7A15"/>
    <w:rsid w:val="2BFC75FE"/>
    <w:rsid w:val="2C225973"/>
    <w:rsid w:val="2C303448"/>
    <w:rsid w:val="2C655690"/>
    <w:rsid w:val="2CA3146B"/>
    <w:rsid w:val="2CAB4A1A"/>
    <w:rsid w:val="2CC50F8D"/>
    <w:rsid w:val="2CC62BE5"/>
    <w:rsid w:val="2CD85913"/>
    <w:rsid w:val="2CEC427A"/>
    <w:rsid w:val="2CF1337F"/>
    <w:rsid w:val="2CF6422C"/>
    <w:rsid w:val="2D315F55"/>
    <w:rsid w:val="2D3856DC"/>
    <w:rsid w:val="2D4676B1"/>
    <w:rsid w:val="2D595506"/>
    <w:rsid w:val="2D8A380B"/>
    <w:rsid w:val="2DDC0B5C"/>
    <w:rsid w:val="2DFA1131"/>
    <w:rsid w:val="2E201964"/>
    <w:rsid w:val="2E551C75"/>
    <w:rsid w:val="2E575FBA"/>
    <w:rsid w:val="2E794BD9"/>
    <w:rsid w:val="2E8542D6"/>
    <w:rsid w:val="2E884DBD"/>
    <w:rsid w:val="2E964E2A"/>
    <w:rsid w:val="2EA10E3B"/>
    <w:rsid w:val="2EB5368F"/>
    <w:rsid w:val="2EC504F9"/>
    <w:rsid w:val="2ED22B1D"/>
    <w:rsid w:val="2F6839AF"/>
    <w:rsid w:val="2F7C7CF1"/>
    <w:rsid w:val="2F936379"/>
    <w:rsid w:val="2FD1009E"/>
    <w:rsid w:val="2FD2680B"/>
    <w:rsid w:val="2FE73D65"/>
    <w:rsid w:val="2FF6508B"/>
    <w:rsid w:val="301B0D63"/>
    <w:rsid w:val="3071271E"/>
    <w:rsid w:val="30A43435"/>
    <w:rsid w:val="30CA6CB2"/>
    <w:rsid w:val="30E06041"/>
    <w:rsid w:val="30EA36A2"/>
    <w:rsid w:val="30F71CFB"/>
    <w:rsid w:val="31132938"/>
    <w:rsid w:val="31291E9E"/>
    <w:rsid w:val="314E63C6"/>
    <w:rsid w:val="315216B2"/>
    <w:rsid w:val="31523460"/>
    <w:rsid w:val="31561DC2"/>
    <w:rsid w:val="315B1458"/>
    <w:rsid w:val="31942449"/>
    <w:rsid w:val="31957F08"/>
    <w:rsid w:val="31A77BC5"/>
    <w:rsid w:val="31A97905"/>
    <w:rsid w:val="31B67C89"/>
    <w:rsid w:val="31EA67E6"/>
    <w:rsid w:val="320335ED"/>
    <w:rsid w:val="32042895"/>
    <w:rsid w:val="32281B2C"/>
    <w:rsid w:val="323D1E85"/>
    <w:rsid w:val="32462B1E"/>
    <w:rsid w:val="326E0133"/>
    <w:rsid w:val="32745A66"/>
    <w:rsid w:val="32755172"/>
    <w:rsid w:val="32915BD5"/>
    <w:rsid w:val="329C1745"/>
    <w:rsid w:val="32B14E64"/>
    <w:rsid w:val="32B90D5E"/>
    <w:rsid w:val="32C4038E"/>
    <w:rsid w:val="32C438A6"/>
    <w:rsid w:val="32CA1D0A"/>
    <w:rsid w:val="32D63C1D"/>
    <w:rsid w:val="32E465AD"/>
    <w:rsid w:val="33022C64"/>
    <w:rsid w:val="33105381"/>
    <w:rsid w:val="33146F93"/>
    <w:rsid w:val="33247AF3"/>
    <w:rsid w:val="333B5E40"/>
    <w:rsid w:val="333E01D9"/>
    <w:rsid w:val="337F42B4"/>
    <w:rsid w:val="33925D96"/>
    <w:rsid w:val="33C628C7"/>
    <w:rsid w:val="33EA226B"/>
    <w:rsid w:val="33FD6DAC"/>
    <w:rsid w:val="34140E66"/>
    <w:rsid w:val="341F4793"/>
    <w:rsid w:val="34485E1F"/>
    <w:rsid w:val="344F012B"/>
    <w:rsid w:val="345D03FA"/>
    <w:rsid w:val="34650274"/>
    <w:rsid w:val="346C34B7"/>
    <w:rsid w:val="347B2445"/>
    <w:rsid w:val="34832594"/>
    <w:rsid w:val="34BB13EA"/>
    <w:rsid w:val="34D2328A"/>
    <w:rsid w:val="34E02D8C"/>
    <w:rsid w:val="34E5796A"/>
    <w:rsid w:val="35036FEC"/>
    <w:rsid w:val="350659BC"/>
    <w:rsid w:val="35337E55"/>
    <w:rsid w:val="35414088"/>
    <w:rsid w:val="3555309B"/>
    <w:rsid w:val="35566473"/>
    <w:rsid w:val="35671D42"/>
    <w:rsid w:val="35773163"/>
    <w:rsid w:val="357946BD"/>
    <w:rsid w:val="35831336"/>
    <w:rsid w:val="35AF0E81"/>
    <w:rsid w:val="35C35997"/>
    <w:rsid w:val="35E0371C"/>
    <w:rsid w:val="360464C0"/>
    <w:rsid w:val="361240AE"/>
    <w:rsid w:val="36295795"/>
    <w:rsid w:val="3665425F"/>
    <w:rsid w:val="368D43A2"/>
    <w:rsid w:val="36997495"/>
    <w:rsid w:val="369C25AC"/>
    <w:rsid w:val="369D7DA3"/>
    <w:rsid w:val="36B424C7"/>
    <w:rsid w:val="36BB514C"/>
    <w:rsid w:val="36C4095C"/>
    <w:rsid w:val="36DC2357"/>
    <w:rsid w:val="37310A0F"/>
    <w:rsid w:val="37562E82"/>
    <w:rsid w:val="38001FB3"/>
    <w:rsid w:val="380265EC"/>
    <w:rsid w:val="38161688"/>
    <w:rsid w:val="382172F9"/>
    <w:rsid w:val="38231D43"/>
    <w:rsid w:val="38310A62"/>
    <w:rsid w:val="3832617D"/>
    <w:rsid w:val="386D5023"/>
    <w:rsid w:val="3875059D"/>
    <w:rsid w:val="3891486E"/>
    <w:rsid w:val="389F6445"/>
    <w:rsid w:val="38B42740"/>
    <w:rsid w:val="38C442CC"/>
    <w:rsid w:val="38DF7323"/>
    <w:rsid w:val="38E35AD8"/>
    <w:rsid w:val="38E946AA"/>
    <w:rsid w:val="390F1C37"/>
    <w:rsid w:val="390F7DD7"/>
    <w:rsid w:val="391140D6"/>
    <w:rsid w:val="392258C9"/>
    <w:rsid w:val="3942293E"/>
    <w:rsid w:val="39671A73"/>
    <w:rsid w:val="397C30BF"/>
    <w:rsid w:val="397E5EB3"/>
    <w:rsid w:val="3989221B"/>
    <w:rsid w:val="39AC56D7"/>
    <w:rsid w:val="39CF3290"/>
    <w:rsid w:val="39EF7065"/>
    <w:rsid w:val="39F85EFD"/>
    <w:rsid w:val="3A103EB8"/>
    <w:rsid w:val="3A192D6D"/>
    <w:rsid w:val="3A3301DF"/>
    <w:rsid w:val="3A5A62AC"/>
    <w:rsid w:val="3A5B6A7A"/>
    <w:rsid w:val="3A695377"/>
    <w:rsid w:val="3A6B5017"/>
    <w:rsid w:val="3A7E2DA9"/>
    <w:rsid w:val="3AE570F3"/>
    <w:rsid w:val="3AF256A5"/>
    <w:rsid w:val="3AF70BD4"/>
    <w:rsid w:val="3B077069"/>
    <w:rsid w:val="3B0C0B24"/>
    <w:rsid w:val="3B4B7D33"/>
    <w:rsid w:val="3B6504A6"/>
    <w:rsid w:val="3B6735A2"/>
    <w:rsid w:val="3B8C4BE8"/>
    <w:rsid w:val="3B976916"/>
    <w:rsid w:val="3BCB4B07"/>
    <w:rsid w:val="3BF515B8"/>
    <w:rsid w:val="3BFA6BCE"/>
    <w:rsid w:val="3BFB5C8F"/>
    <w:rsid w:val="3C221BAD"/>
    <w:rsid w:val="3C406CD7"/>
    <w:rsid w:val="3C4170EE"/>
    <w:rsid w:val="3C4720F4"/>
    <w:rsid w:val="3C4B2F73"/>
    <w:rsid w:val="3C4C6491"/>
    <w:rsid w:val="3C5C33E5"/>
    <w:rsid w:val="3C660FD1"/>
    <w:rsid w:val="3C9E1074"/>
    <w:rsid w:val="3CB20C11"/>
    <w:rsid w:val="3CB21D9B"/>
    <w:rsid w:val="3CC6540F"/>
    <w:rsid w:val="3CD25455"/>
    <w:rsid w:val="3D053A7C"/>
    <w:rsid w:val="3D271C45"/>
    <w:rsid w:val="3D454380"/>
    <w:rsid w:val="3D670293"/>
    <w:rsid w:val="3D8522C5"/>
    <w:rsid w:val="3D8D5EA2"/>
    <w:rsid w:val="3DA22203"/>
    <w:rsid w:val="3DC6320C"/>
    <w:rsid w:val="3DD60EA2"/>
    <w:rsid w:val="3E0A6674"/>
    <w:rsid w:val="3E1D012E"/>
    <w:rsid w:val="3E2D3326"/>
    <w:rsid w:val="3E385776"/>
    <w:rsid w:val="3E591EB2"/>
    <w:rsid w:val="3E5E5BF8"/>
    <w:rsid w:val="3E823E10"/>
    <w:rsid w:val="3E9F0F73"/>
    <w:rsid w:val="3EA64DEB"/>
    <w:rsid w:val="3EAB5934"/>
    <w:rsid w:val="3EC741D8"/>
    <w:rsid w:val="3ED23E32"/>
    <w:rsid w:val="3ED31B2C"/>
    <w:rsid w:val="3EEE43E3"/>
    <w:rsid w:val="3EF50C07"/>
    <w:rsid w:val="3EF54076"/>
    <w:rsid w:val="3F200799"/>
    <w:rsid w:val="3F2C1CED"/>
    <w:rsid w:val="3F2C3CB0"/>
    <w:rsid w:val="3F475088"/>
    <w:rsid w:val="3F7B44BC"/>
    <w:rsid w:val="3FC457F7"/>
    <w:rsid w:val="3FD71C33"/>
    <w:rsid w:val="3FDE65F3"/>
    <w:rsid w:val="3FE34C01"/>
    <w:rsid w:val="3FE67B95"/>
    <w:rsid w:val="401006BD"/>
    <w:rsid w:val="401A346B"/>
    <w:rsid w:val="402661E4"/>
    <w:rsid w:val="40503261"/>
    <w:rsid w:val="405834AE"/>
    <w:rsid w:val="40C86820"/>
    <w:rsid w:val="40C94DC1"/>
    <w:rsid w:val="40DF03D6"/>
    <w:rsid w:val="410152A9"/>
    <w:rsid w:val="41256E84"/>
    <w:rsid w:val="419533E1"/>
    <w:rsid w:val="41A43864"/>
    <w:rsid w:val="41C96AF1"/>
    <w:rsid w:val="41D07866"/>
    <w:rsid w:val="41EA6630"/>
    <w:rsid w:val="41F9434B"/>
    <w:rsid w:val="420D1579"/>
    <w:rsid w:val="42172D86"/>
    <w:rsid w:val="4262727B"/>
    <w:rsid w:val="42725710"/>
    <w:rsid w:val="429F7DEE"/>
    <w:rsid w:val="42EA0614"/>
    <w:rsid w:val="431C567C"/>
    <w:rsid w:val="432127FA"/>
    <w:rsid w:val="432B7EEE"/>
    <w:rsid w:val="435729D0"/>
    <w:rsid w:val="435B55A5"/>
    <w:rsid w:val="43653127"/>
    <w:rsid w:val="43995203"/>
    <w:rsid w:val="43A47C59"/>
    <w:rsid w:val="43C95E9E"/>
    <w:rsid w:val="43CC2629"/>
    <w:rsid w:val="43CE088A"/>
    <w:rsid w:val="43DE6DD5"/>
    <w:rsid w:val="43FF401D"/>
    <w:rsid w:val="44291F4D"/>
    <w:rsid w:val="443E4443"/>
    <w:rsid w:val="4467255E"/>
    <w:rsid w:val="44833725"/>
    <w:rsid w:val="44A95BD0"/>
    <w:rsid w:val="44B73DBB"/>
    <w:rsid w:val="44C67F95"/>
    <w:rsid w:val="44D53D34"/>
    <w:rsid w:val="44D86389"/>
    <w:rsid w:val="44DA39D7"/>
    <w:rsid w:val="44EA5F13"/>
    <w:rsid w:val="4508490B"/>
    <w:rsid w:val="45125F7E"/>
    <w:rsid w:val="451A1E03"/>
    <w:rsid w:val="4557344D"/>
    <w:rsid w:val="45682DFA"/>
    <w:rsid w:val="45740414"/>
    <w:rsid w:val="45792B73"/>
    <w:rsid w:val="45806396"/>
    <w:rsid w:val="45AC0555"/>
    <w:rsid w:val="45CB2940"/>
    <w:rsid w:val="45CF6D6F"/>
    <w:rsid w:val="45D97854"/>
    <w:rsid w:val="45DE58BD"/>
    <w:rsid w:val="4637777E"/>
    <w:rsid w:val="463D744C"/>
    <w:rsid w:val="464306AC"/>
    <w:rsid w:val="467001B9"/>
    <w:rsid w:val="467438E1"/>
    <w:rsid w:val="468A1328"/>
    <w:rsid w:val="46A078EC"/>
    <w:rsid w:val="46C62EF8"/>
    <w:rsid w:val="46FC7967"/>
    <w:rsid w:val="46FE2242"/>
    <w:rsid w:val="470D5FE6"/>
    <w:rsid w:val="471A5365"/>
    <w:rsid w:val="472C6263"/>
    <w:rsid w:val="473E2141"/>
    <w:rsid w:val="477E5CB2"/>
    <w:rsid w:val="47A345BE"/>
    <w:rsid w:val="47BD2ED0"/>
    <w:rsid w:val="47C66890"/>
    <w:rsid w:val="47C81235"/>
    <w:rsid w:val="480212E4"/>
    <w:rsid w:val="482D5AAD"/>
    <w:rsid w:val="483005FB"/>
    <w:rsid w:val="4847001C"/>
    <w:rsid w:val="48480A7F"/>
    <w:rsid w:val="484823EC"/>
    <w:rsid w:val="485E04E5"/>
    <w:rsid w:val="486D71FE"/>
    <w:rsid w:val="4876750A"/>
    <w:rsid w:val="487D7E8B"/>
    <w:rsid w:val="48B147F9"/>
    <w:rsid w:val="48BA0136"/>
    <w:rsid w:val="48C670FE"/>
    <w:rsid w:val="48C72D96"/>
    <w:rsid w:val="48F9496F"/>
    <w:rsid w:val="48FB7FBD"/>
    <w:rsid w:val="493043B6"/>
    <w:rsid w:val="49387C84"/>
    <w:rsid w:val="494E0C48"/>
    <w:rsid w:val="4989333F"/>
    <w:rsid w:val="49926016"/>
    <w:rsid w:val="49B05584"/>
    <w:rsid w:val="49C1485A"/>
    <w:rsid w:val="49E012F6"/>
    <w:rsid w:val="49EA2E70"/>
    <w:rsid w:val="49EF45A5"/>
    <w:rsid w:val="4A27211E"/>
    <w:rsid w:val="4A384B9D"/>
    <w:rsid w:val="4A6A203C"/>
    <w:rsid w:val="4AA9233E"/>
    <w:rsid w:val="4AB93625"/>
    <w:rsid w:val="4ACE1952"/>
    <w:rsid w:val="4AF528F5"/>
    <w:rsid w:val="4B062BD9"/>
    <w:rsid w:val="4B945695"/>
    <w:rsid w:val="4B975CC9"/>
    <w:rsid w:val="4BAC58F5"/>
    <w:rsid w:val="4BCF57F6"/>
    <w:rsid w:val="4BF21DCC"/>
    <w:rsid w:val="4BFF6805"/>
    <w:rsid w:val="4C191EC0"/>
    <w:rsid w:val="4C201416"/>
    <w:rsid w:val="4C5C7548"/>
    <w:rsid w:val="4C6D0D8A"/>
    <w:rsid w:val="4C765087"/>
    <w:rsid w:val="4C852728"/>
    <w:rsid w:val="4C8E1FF9"/>
    <w:rsid w:val="4C9E4B73"/>
    <w:rsid w:val="4CAC2B07"/>
    <w:rsid w:val="4CBE5954"/>
    <w:rsid w:val="4CE27DB3"/>
    <w:rsid w:val="4CE879BE"/>
    <w:rsid w:val="4CF66F3E"/>
    <w:rsid w:val="4CFD651E"/>
    <w:rsid w:val="4D0640BC"/>
    <w:rsid w:val="4D0D4C45"/>
    <w:rsid w:val="4D267A05"/>
    <w:rsid w:val="4D584BE5"/>
    <w:rsid w:val="4D6455CC"/>
    <w:rsid w:val="4D6550F2"/>
    <w:rsid w:val="4D693BB4"/>
    <w:rsid w:val="4DA65320"/>
    <w:rsid w:val="4DDD2235"/>
    <w:rsid w:val="4DEB632E"/>
    <w:rsid w:val="4DF74D1B"/>
    <w:rsid w:val="4DFA2A5E"/>
    <w:rsid w:val="4E386E2C"/>
    <w:rsid w:val="4E74636C"/>
    <w:rsid w:val="4EB41A09"/>
    <w:rsid w:val="4EBC120C"/>
    <w:rsid w:val="4EF70D4B"/>
    <w:rsid w:val="4F0022F6"/>
    <w:rsid w:val="4F084EF3"/>
    <w:rsid w:val="4F186465"/>
    <w:rsid w:val="4F2012E2"/>
    <w:rsid w:val="4F351F9F"/>
    <w:rsid w:val="4F3B6582"/>
    <w:rsid w:val="4F5151E2"/>
    <w:rsid w:val="4F692CA4"/>
    <w:rsid w:val="4F6F5570"/>
    <w:rsid w:val="4F73455F"/>
    <w:rsid w:val="4FA75F1F"/>
    <w:rsid w:val="4FB96FCF"/>
    <w:rsid w:val="4FC63203"/>
    <w:rsid w:val="4FEC2968"/>
    <w:rsid w:val="4FF16428"/>
    <w:rsid w:val="50034F5C"/>
    <w:rsid w:val="502413B8"/>
    <w:rsid w:val="502678B2"/>
    <w:rsid w:val="50285660"/>
    <w:rsid w:val="503009B9"/>
    <w:rsid w:val="504C1BD9"/>
    <w:rsid w:val="50CC392A"/>
    <w:rsid w:val="50D26AC9"/>
    <w:rsid w:val="50DC451C"/>
    <w:rsid w:val="50E31AE7"/>
    <w:rsid w:val="51057A2C"/>
    <w:rsid w:val="51200A2D"/>
    <w:rsid w:val="514B234A"/>
    <w:rsid w:val="514D0C2B"/>
    <w:rsid w:val="51532A3C"/>
    <w:rsid w:val="51583D23"/>
    <w:rsid w:val="517D1ED4"/>
    <w:rsid w:val="51837EC7"/>
    <w:rsid w:val="5185002C"/>
    <w:rsid w:val="51894824"/>
    <w:rsid w:val="51BB51A1"/>
    <w:rsid w:val="523D45B7"/>
    <w:rsid w:val="52841617"/>
    <w:rsid w:val="52867BAB"/>
    <w:rsid w:val="52954080"/>
    <w:rsid w:val="52A927F6"/>
    <w:rsid w:val="52AD2A47"/>
    <w:rsid w:val="52CC6B65"/>
    <w:rsid w:val="52EB1306"/>
    <w:rsid w:val="52F02E14"/>
    <w:rsid w:val="52F41756"/>
    <w:rsid w:val="52F83F00"/>
    <w:rsid w:val="530E5A37"/>
    <w:rsid w:val="5314011E"/>
    <w:rsid w:val="533B35CB"/>
    <w:rsid w:val="5353635F"/>
    <w:rsid w:val="53547279"/>
    <w:rsid w:val="5357181E"/>
    <w:rsid w:val="53652D12"/>
    <w:rsid w:val="53781A4F"/>
    <w:rsid w:val="53931DB1"/>
    <w:rsid w:val="5408103C"/>
    <w:rsid w:val="5415732F"/>
    <w:rsid w:val="54422183"/>
    <w:rsid w:val="545C6BAD"/>
    <w:rsid w:val="54BB7C55"/>
    <w:rsid w:val="54C27F3E"/>
    <w:rsid w:val="54D42486"/>
    <w:rsid w:val="54E91B4E"/>
    <w:rsid w:val="54FB77E7"/>
    <w:rsid w:val="54FD6C6C"/>
    <w:rsid w:val="55064260"/>
    <w:rsid w:val="552C7DA5"/>
    <w:rsid w:val="5533062F"/>
    <w:rsid w:val="554F18E1"/>
    <w:rsid w:val="555D3FFE"/>
    <w:rsid w:val="555D5CBB"/>
    <w:rsid w:val="555F2020"/>
    <w:rsid w:val="555F3C3B"/>
    <w:rsid w:val="556E72A6"/>
    <w:rsid w:val="558477DD"/>
    <w:rsid w:val="55AE6607"/>
    <w:rsid w:val="55B029DF"/>
    <w:rsid w:val="55C63648"/>
    <w:rsid w:val="55EB27B8"/>
    <w:rsid w:val="55EE1809"/>
    <w:rsid w:val="55F2338B"/>
    <w:rsid w:val="5633546E"/>
    <w:rsid w:val="563805C7"/>
    <w:rsid w:val="56553606"/>
    <w:rsid w:val="56691E70"/>
    <w:rsid w:val="569E48CE"/>
    <w:rsid w:val="56C105BC"/>
    <w:rsid w:val="57001653"/>
    <w:rsid w:val="5716575C"/>
    <w:rsid w:val="572C012C"/>
    <w:rsid w:val="57402DDC"/>
    <w:rsid w:val="575933F7"/>
    <w:rsid w:val="57686659"/>
    <w:rsid w:val="578E7280"/>
    <w:rsid w:val="57AC35FC"/>
    <w:rsid w:val="57B109EE"/>
    <w:rsid w:val="57CA524F"/>
    <w:rsid w:val="58390987"/>
    <w:rsid w:val="584F7C0B"/>
    <w:rsid w:val="585711D8"/>
    <w:rsid w:val="585A1CCA"/>
    <w:rsid w:val="58691B3A"/>
    <w:rsid w:val="586D424A"/>
    <w:rsid w:val="58983878"/>
    <w:rsid w:val="589A61DC"/>
    <w:rsid w:val="58A555FA"/>
    <w:rsid w:val="58BB6822"/>
    <w:rsid w:val="58DC6528"/>
    <w:rsid w:val="58E249F3"/>
    <w:rsid w:val="58F55924"/>
    <w:rsid w:val="590A2744"/>
    <w:rsid w:val="590F4AB5"/>
    <w:rsid w:val="59155674"/>
    <w:rsid w:val="59442009"/>
    <w:rsid w:val="594635F3"/>
    <w:rsid w:val="598717BE"/>
    <w:rsid w:val="59A410B3"/>
    <w:rsid w:val="59AE16B5"/>
    <w:rsid w:val="59AF1288"/>
    <w:rsid w:val="59BB7545"/>
    <w:rsid w:val="59D46310"/>
    <w:rsid w:val="5A0507C0"/>
    <w:rsid w:val="5A0D2E6E"/>
    <w:rsid w:val="5A10328C"/>
    <w:rsid w:val="5A144C06"/>
    <w:rsid w:val="5A2541BF"/>
    <w:rsid w:val="5A4007D5"/>
    <w:rsid w:val="5A5131B6"/>
    <w:rsid w:val="5A6F545C"/>
    <w:rsid w:val="5A707AB2"/>
    <w:rsid w:val="5A737CC6"/>
    <w:rsid w:val="5A76346C"/>
    <w:rsid w:val="5A7871E4"/>
    <w:rsid w:val="5A9E7AA3"/>
    <w:rsid w:val="5AA36965"/>
    <w:rsid w:val="5AAB0730"/>
    <w:rsid w:val="5AFA0EE0"/>
    <w:rsid w:val="5B0A6FB9"/>
    <w:rsid w:val="5B1D332B"/>
    <w:rsid w:val="5B3853D1"/>
    <w:rsid w:val="5B454FDE"/>
    <w:rsid w:val="5B6C3F69"/>
    <w:rsid w:val="5B9B5880"/>
    <w:rsid w:val="5BE81379"/>
    <w:rsid w:val="5BEC7E8A"/>
    <w:rsid w:val="5BF86250"/>
    <w:rsid w:val="5C5D3550"/>
    <w:rsid w:val="5C5E46C6"/>
    <w:rsid w:val="5C6701AE"/>
    <w:rsid w:val="5C7526A3"/>
    <w:rsid w:val="5C7712DE"/>
    <w:rsid w:val="5CBF1327"/>
    <w:rsid w:val="5CCE7E9F"/>
    <w:rsid w:val="5CE15879"/>
    <w:rsid w:val="5CEB635F"/>
    <w:rsid w:val="5D07210E"/>
    <w:rsid w:val="5D290C69"/>
    <w:rsid w:val="5D584DCA"/>
    <w:rsid w:val="5D7B70EA"/>
    <w:rsid w:val="5DA122E2"/>
    <w:rsid w:val="5DA82D1C"/>
    <w:rsid w:val="5DAE1D87"/>
    <w:rsid w:val="5DD408AA"/>
    <w:rsid w:val="5DDF0493"/>
    <w:rsid w:val="5E437FD7"/>
    <w:rsid w:val="5E60690D"/>
    <w:rsid w:val="5E65576F"/>
    <w:rsid w:val="5E8E16BD"/>
    <w:rsid w:val="5E8E47AC"/>
    <w:rsid w:val="5EC228D7"/>
    <w:rsid w:val="5ED807BE"/>
    <w:rsid w:val="5EFE0CF5"/>
    <w:rsid w:val="5EFF99E4"/>
    <w:rsid w:val="5F0C439F"/>
    <w:rsid w:val="5F36775C"/>
    <w:rsid w:val="5F5971F7"/>
    <w:rsid w:val="5FA016B7"/>
    <w:rsid w:val="5FA80263"/>
    <w:rsid w:val="5FAC0DA3"/>
    <w:rsid w:val="5FBB3444"/>
    <w:rsid w:val="5FD03B77"/>
    <w:rsid w:val="5FF7CC1C"/>
    <w:rsid w:val="5FF84E2C"/>
    <w:rsid w:val="5FF947B7"/>
    <w:rsid w:val="6006482D"/>
    <w:rsid w:val="600719BE"/>
    <w:rsid w:val="600772B4"/>
    <w:rsid w:val="600F3D49"/>
    <w:rsid w:val="603D2BB7"/>
    <w:rsid w:val="607B2985"/>
    <w:rsid w:val="607C63CF"/>
    <w:rsid w:val="60F11893"/>
    <w:rsid w:val="60F91A18"/>
    <w:rsid w:val="61263537"/>
    <w:rsid w:val="612A5DE1"/>
    <w:rsid w:val="61373658"/>
    <w:rsid w:val="61433767"/>
    <w:rsid w:val="617961BF"/>
    <w:rsid w:val="61B0262B"/>
    <w:rsid w:val="61B96B9A"/>
    <w:rsid w:val="61BD2E8E"/>
    <w:rsid w:val="61CF3C7B"/>
    <w:rsid w:val="61E47638"/>
    <w:rsid w:val="61F372A9"/>
    <w:rsid w:val="61F41846"/>
    <w:rsid w:val="622A23E9"/>
    <w:rsid w:val="62332990"/>
    <w:rsid w:val="624A57FB"/>
    <w:rsid w:val="63414F5F"/>
    <w:rsid w:val="634E4F86"/>
    <w:rsid w:val="63714F2B"/>
    <w:rsid w:val="637204E5"/>
    <w:rsid w:val="63965585"/>
    <w:rsid w:val="63AF814B"/>
    <w:rsid w:val="63B70D7D"/>
    <w:rsid w:val="63C6299D"/>
    <w:rsid w:val="63D644BB"/>
    <w:rsid w:val="63E545B0"/>
    <w:rsid w:val="63F024E1"/>
    <w:rsid w:val="63F45CCF"/>
    <w:rsid w:val="6424693C"/>
    <w:rsid w:val="6428605E"/>
    <w:rsid w:val="642D54E3"/>
    <w:rsid w:val="643A1B71"/>
    <w:rsid w:val="644761FE"/>
    <w:rsid w:val="644840CB"/>
    <w:rsid w:val="646942C4"/>
    <w:rsid w:val="64970BAF"/>
    <w:rsid w:val="64B1428D"/>
    <w:rsid w:val="64B17EC2"/>
    <w:rsid w:val="64E536C8"/>
    <w:rsid w:val="64F97173"/>
    <w:rsid w:val="65035062"/>
    <w:rsid w:val="65193CBC"/>
    <w:rsid w:val="6559640D"/>
    <w:rsid w:val="65767F29"/>
    <w:rsid w:val="658E6A5E"/>
    <w:rsid w:val="65A34254"/>
    <w:rsid w:val="65A90B99"/>
    <w:rsid w:val="65B05875"/>
    <w:rsid w:val="65EC30B3"/>
    <w:rsid w:val="65FF1F7F"/>
    <w:rsid w:val="66077077"/>
    <w:rsid w:val="66135468"/>
    <w:rsid w:val="66252BC6"/>
    <w:rsid w:val="66470B3E"/>
    <w:rsid w:val="665D4880"/>
    <w:rsid w:val="66734B1E"/>
    <w:rsid w:val="668138C4"/>
    <w:rsid w:val="66DF7D3A"/>
    <w:rsid w:val="66E30C45"/>
    <w:rsid w:val="66EA15B1"/>
    <w:rsid w:val="6700679F"/>
    <w:rsid w:val="67022B97"/>
    <w:rsid w:val="6706337E"/>
    <w:rsid w:val="673E0EA0"/>
    <w:rsid w:val="675E48F7"/>
    <w:rsid w:val="676344BB"/>
    <w:rsid w:val="677D4A26"/>
    <w:rsid w:val="67B669F5"/>
    <w:rsid w:val="67E62186"/>
    <w:rsid w:val="67E976AE"/>
    <w:rsid w:val="67EC23EE"/>
    <w:rsid w:val="6817303B"/>
    <w:rsid w:val="681D2FD1"/>
    <w:rsid w:val="682A411B"/>
    <w:rsid w:val="6848412E"/>
    <w:rsid w:val="686231A1"/>
    <w:rsid w:val="68646FFA"/>
    <w:rsid w:val="686537EF"/>
    <w:rsid w:val="68727C97"/>
    <w:rsid w:val="6875754E"/>
    <w:rsid w:val="687D775B"/>
    <w:rsid w:val="687E630D"/>
    <w:rsid w:val="68883139"/>
    <w:rsid w:val="68884972"/>
    <w:rsid w:val="689E7012"/>
    <w:rsid w:val="68E629BE"/>
    <w:rsid w:val="697B284D"/>
    <w:rsid w:val="698D3C91"/>
    <w:rsid w:val="699317DE"/>
    <w:rsid w:val="69BA394D"/>
    <w:rsid w:val="69D33D27"/>
    <w:rsid w:val="69E001F6"/>
    <w:rsid w:val="69F8687A"/>
    <w:rsid w:val="6A1E4AB4"/>
    <w:rsid w:val="6A3045DE"/>
    <w:rsid w:val="6A4E644F"/>
    <w:rsid w:val="6A552C99"/>
    <w:rsid w:val="6A6652AB"/>
    <w:rsid w:val="6A6D3518"/>
    <w:rsid w:val="6A794FDE"/>
    <w:rsid w:val="6A8063A9"/>
    <w:rsid w:val="6AEA7C8A"/>
    <w:rsid w:val="6AF02DC7"/>
    <w:rsid w:val="6AF176E7"/>
    <w:rsid w:val="6AF3512F"/>
    <w:rsid w:val="6B1E3978"/>
    <w:rsid w:val="6B296741"/>
    <w:rsid w:val="6B493496"/>
    <w:rsid w:val="6B5C6413"/>
    <w:rsid w:val="6BAC3191"/>
    <w:rsid w:val="6BB12556"/>
    <w:rsid w:val="6BD37DB0"/>
    <w:rsid w:val="6BE27C5A"/>
    <w:rsid w:val="6BEA5986"/>
    <w:rsid w:val="6BF077B0"/>
    <w:rsid w:val="6C2B4A9E"/>
    <w:rsid w:val="6C532CBE"/>
    <w:rsid w:val="6C705E48"/>
    <w:rsid w:val="6C7376C7"/>
    <w:rsid w:val="6C9932E8"/>
    <w:rsid w:val="6C9B7BDA"/>
    <w:rsid w:val="6CA74DD8"/>
    <w:rsid w:val="6CCC5F89"/>
    <w:rsid w:val="6CE13663"/>
    <w:rsid w:val="6D1056EB"/>
    <w:rsid w:val="6D2E35BE"/>
    <w:rsid w:val="6D651BD3"/>
    <w:rsid w:val="6D7A1FBF"/>
    <w:rsid w:val="6D9BFF4E"/>
    <w:rsid w:val="6DAF51BB"/>
    <w:rsid w:val="6DB42D87"/>
    <w:rsid w:val="6DDF237B"/>
    <w:rsid w:val="6E091EF8"/>
    <w:rsid w:val="6E42274C"/>
    <w:rsid w:val="6E495C23"/>
    <w:rsid w:val="6E4C249A"/>
    <w:rsid w:val="6E5C33F3"/>
    <w:rsid w:val="6E6E472E"/>
    <w:rsid w:val="6E745B74"/>
    <w:rsid w:val="6E76333D"/>
    <w:rsid w:val="6E8D1A24"/>
    <w:rsid w:val="6E8E0116"/>
    <w:rsid w:val="6E9E70C4"/>
    <w:rsid w:val="6EA62362"/>
    <w:rsid w:val="6EA77DDD"/>
    <w:rsid w:val="6EB6414C"/>
    <w:rsid w:val="6EC32CCC"/>
    <w:rsid w:val="6ECF3F66"/>
    <w:rsid w:val="6EDA5FE8"/>
    <w:rsid w:val="6EF94940"/>
    <w:rsid w:val="6EFDE14C"/>
    <w:rsid w:val="6F070F85"/>
    <w:rsid w:val="6F2503A8"/>
    <w:rsid w:val="6F2A387D"/>
    <w:rsid w:val="6F2E3EBD"/>
    <w:rsid w:val="6F2F0F33"/>
    <w:rsid w:val="6F4A41E8"/>
    <w:rsid w:val="6F63317A"/>
    <w:rsid w:val="6F71365A"/>
    <w:rsid w:val="6F792DE5"/>
    <w:rsid w:val="6F8B1310"/>
    <w:rsid w:val="6F936635"/>
    <w:rsid w:val="6FC23C43"/>
    <w:rsid w:val="6FD34A02"/>
    <w:rsid w:val="6FDA5736"/>
    <w:rsid w:val="6FEB5C49"/>
    <w:rsid w:val="6FEF5CE3"/>
    <w:rsid w:val="6FF173C5"/>
    <w:rsid w:val="700A40C4"/>
    <w:rsid w:val="70110B8B"/>
    <w:rsid w:val="701E3F32"/>
    <w:rsid w:val="703D5BD5"/>
    <w:rsid w:val="70545BA6"/>
    <w:rsid w:val="70562664"/>
    <w:rsid w:val="705900A7"/>
    <w:rsid w:val="706A7307"/>
    <w:rsid w:val="708B6DC7"/>
    <w:rsid w:val="70C527E2"/>
    <w:rsid w:val="70DA60AB"/>
    <w:rsid w:val="70DF7B65"/>
    <w:rsid w:val="70E3734D"/>
    <w:rsid w:val="70E67ED5"/>
    <w:rsid w:val="70EA7E39"/>
    <w:rsid w:val="711F6FC8"/>
    <w:rsid w:val="714E0847"/>
    <w:rsid w:val="716B31A7"/>
    <w:rsid w:val="717C7162"/>
    <w:rsid w:val="719F5B9E"/>
    <w:rsid w:val="71A55152"/>
    <w:rsid w:val="71B72890"/>
    <w:rsid w:val="71E85286"/>
    <w:rsid w:val="71FD17B7"/>
    <w:rsid w:val="72181581"/>
    <w:rsid w:val="721F290F"/>
    <w:rsid w:val="723B1493"/>
    <w:rsid w:val="72546944"/>
    <w:rsid w:val="726A3FFD"/>
    <w:rsid w:val="72A17AE4"/>
    <w:rsid w:val="7374056D"/>
    <w:rsid w:val="73750244"/>
    <w:rsid w:val="738D7DDD"/>
    <w:rsid w:val="7398695F"/>
    <w:rsid w:val="73A33CF9"/>
    <w:rsid w:val="73B24097"/>
    <w:rsid w:val="73B4814A"/>
    <w:rsid w:val="742C457A"/>
    <w:rsid w:val="742E1E17"/>
    <w:rsid w:val="746F1759"/>
    <w:rsid w:val="74730CF0"/>
    <w:rsid w:val="74854CC0"/>
    <w:rsid w:val="749C01D6"/>
    <w:rsid w:val="749D1FAC"/>
    <w:rsid w:val="74A4511D"/>
    <w:rsid w:val="74C45573"/>
    <w:rsid w:val="74C460BA"/>
    <w:rsid w:val="74DA04F1"/>
    <w:rsid w:val="75012AA8"/>
    <w:rsid w:val="75063912"/>
    <w:rsid w:val="75520ECD"/>
    <w:rsid w:val="75544AAE"/>
    <w:rsid w:val="75575F1C"/>
    <w:rsid w:val="75634122"/>
    <w:rsid w:val="756D4B01"/>
    <w:rsid w:val="75784828"/>
    <w:rsid w:val="758F65B0"/>
    <w:rsid w:val="75952D23"/>
    <w:rsid w:val="75A01CBF"/>
    <w:rsid w:val="75D50637"/>
    <w:rsid w:val="75FE00A6"/>
    <w:rsid w:val="761402B1"/>
    <w:rsid w:val="762C69D1"/>
    <w:rsid w:val="76497846"/>
    <w:rsid w:val="76515061"/>
    <w:rsid w:val="765A141E"/>
    <w:rsid w:val="76692BE6"/>
    <w:rsid w:val="767E0527"/>
    <w:rsid w:val="76907181"/>
    <w:rsid w:val="769764F4"/>
    <w:rsid w:val="76A07D97"/>
    <w:rsid w:val="76B420BF"/>
    <w:rsid w:val="76B90343"/>
    <w:rsid w:val="76C87EF8"/>
    <w:rsid w:val="76E102E1"/>
    <w:rsid w:val="77090004"/>
    <w:rsid w:val="77112A42"/>
    <w:rsid w:val="772E0EFE"/>
    <w:rsid w:val="77387FCF"/>
    <w:rsid w:val="77467145"/>
    <w:rsid w:val="77756B2D"/>
    <w:rsid w:val="77A835E0"/>
    <w:rsid w:val="77B21CDD"/>
    <w:rsid w:val="77BA4E88"/>
    <w:rsid w:val="77BC5643"/>
    <w:rsid w:val="78067B96"/>
    <w:rsid w:val="782B2265"/>
    <w:rsid w:val="782F1766"/>
    <w:rsid w:val="78456A33"/>
    <w:rsid w:val="785D6523"/>
    <w:rsid w:val="7865656C"/>
    <w:rsid w:val="78986696"/>
    <w:rsid w:val="78AE1FE3"/>
    <w:rsid w:val="78B92662"/>
    <w:rsid w:val="78D2049C"/>
    <w:rsid w:val="78DA7590"/>
    <w:rsid w:val="78ED1419"/>
    <w:rsid w:val="78F33069"/>
    <w:rsid w:val="78FB01D9"/>
    <w:rsid w:val="793333D2"/>
    <w:rsid w:val="79334EF2"/>
    <w:rsid w:val="793A002E"/>
    <w:rsid w:val="793B2530"/>
    <w:rsid w:val="793D7432"/>
    <w:rsid w:val="793E4DD6"/>
    <w:rsid w:val="794D51C6"/>
    <w:rsid w:val="795C780D"/>
    <w:rsid w:val="79980BAE"/>
    <w:rsid w:val="799E2C15"/>
    <w:rsid w:val="79A90718"/>
    <w:rsid w:val="79DB0A4C"/>
    <w:rsid w:val="79E01886"/>
    <w:rsid w:val="79F03C79"/>
    <w:rsid w:val="79F521A7"/>
    <w:rsid w:val="79FC52E4"/>
    <w:rsid w:val="79FD0C94"/>
    <w:rsid w:val="7A055A2D"/>
    <w:rsid w:val="7A4A2E87"/>
    <w:rsid w:val="7A4E3666"/>
    <w:rsid w:val="7A54483F"/>
    <w:rsid w:val="7A54598A"/>
    <w:rsid w:val="7A68041A"/>
    <w:rsid w:val="7A6B4218"/>
    <w:rsid w:val="7A7C306E"/>
    <w:rsid w:val="7BD007D6"/>
    <w:rsid w:val="7BD664AB"/>
    <w:rsid w:val="7BDA78A7"/>
    <w:rsid w:val="7BE477A1"/>
    <w:rsid w:val="7BF02C26"/>
    <w:rsid w:val="7C422D11"/>
    <w:rsid w:val="7C483E93"/>
    <w:rsid w:val="7C490589"/>
    <w:rsid w:val="7C490611"/>
    <w:rsid w:val="7C742E90"/>
    <w:rsid w:val="7C7C43DF"/>
    <w:rsid w:val="7CB379E1"/>
    <w:rsid w:val="7CB77E6C"/>
    <w:rsid w:val="7D052831"/>
    <w:rsid w:val="7D1B6A69"/>
    <w:rsid w:val="7D20522C"/>
    <w:rsid w:val="7D22118B"/>
    <w:rsid w:val="7D4A55AC"/>
    <w:rsid w:val="7D9C2B51"/>
    <w:rsid w:val="7D9E2B5F"/>
    <w:rsid w:val="7DA05D3C"/>
    <w:rsid w:val="7DAB45AF"/>
    <w:rsid w:val="7DEA6834"/>
    <w:rsid w:val="7DEE7639"/>
    <w:rsid w:val="7DF7BE28"/>
    <w:rsid w:val="7DFB7ACD"/>
    <w:rsid w:val="7DFDF8D7"/>
    <w:rsid w:val="7E142CC9"/>
    <w:rsid w:val="7E171E94"/>
    <w:rsid w:val="7E2369FE"/>
    <w:rsid w:val="7E350B4F"/>
    <w:rsid w:val="7E483CE7"/>
    <w:rsid w:val="7E4B6D69"/>
    <w:rsid w:val="7E601D35"/>
    <w:rsid w:val="7E641A1E"/>
    <w:rsid w:val="7E8458A8"/>
    <w:rsid w:val="7E92710D"/>
    <w:rsid w:val="7ECF746B"/>
    <w:rsid w:val="7ED76320"/>
    <w:rsid w:val="7EE958EE"/>
    <w:rsid w:val="7EF235F4"/>
    <w:rsid w:val="7EF42A2E"/>
    <w:rsid w:val="7EF61764"/>
    <w:rsid w:val="7F0D4B2A"/>
    <w:rsid w:val="7F3B22C0"/>
    <w:rsid w:val="7F3B8211"/>
    <w:rsid w:val="7F40620A"/>
    <w:rsid w:val="7F48345D"/>
    <w:rsid w:val="7F4D7B77"/>
    <w:rsid w:val="7F51047A"/>
    <w:rsid w:val="7F6BF903"/>
    <w:rsid w:val="7F71407E"/>
    <w:rsid w:val="7F7D4830"/>
    <w:rsid w:val="7F80313B"/>
    <w:rsid w:val="7F975A70"/>
    <w:rsid w:val="7FA2093D"/>
    <w:rsid w:val="7FA41B35"/>
    <w:rsid w:val="7FBF0A92"/>
    <w:rsid w:val="7FCF6FF7"/>
    <w:rsid w:val="ACE534A2"/>
    <w:rsid w:val="B3DD7480"/>
    <w:rsid w:val="BDCF601B"/>
    <w:rsid w:val="CFFF66BC"/>
    <w:rsid w:val="D6FFE1E2"/>
    <w:rsid w:val="DB7B9D4F"/>
    <w:rsid w:val="DB7F4FEF"/>
    <w:rsid w:val="DD751FC0"/>
    <w:rsid w:val="DDD60D17"/>
    <w:rsid w:val="DF7F74E1"/>
    <w:rsid w:val="EEBD27A5"/>
    <w:rsid w:val="EED7149E"/>
    <w:rsid w:val="EF6F7BB2"/>
    <w:rsid w:val="F5FEC8DF"/>
    <w:rsid w:val="F70ED57B"/>
    <w:rsid w:val="F7BFED95"/>
    <w:rsid w:val="FA7E0622"/>
    <w:rsid w:val="FB7F2FD2"/>
    <w:rsid w:val="FBA51DE4"/>
    <w:rsid w:val="FCBF617E"/>
    <w:rsid w:val="FDDFED8D"/>
    <w:rsid w:val="FDFB4887"/>
    <w:rsid w:val="FDFF30A8"/>
    <w:rsid w:val="FEFC4D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48"/>
    <w:autoRedefine/>
    <w:qFormat/>
    <w:uiPriority w:val="0"/>
    <w:pPr>
      <w:keepNext/>
      <w:keepLines/>
      <w:spacing w:before="340" w:after="330" w:line="576" w:lineRule="auto"/>
      <w:outlineLvl w:val="0"/>
    </w:pPr>
    <w:rPr>
      <w:rFonts w:ascii="Calibri" w:hAnsi="Calibri"/>
      <w:b/>
      <w:kern w:val="44"/>
      <w:sz w:val="44"/>
    </w:rPr>
  </w:style>
  <w:style w:type="paragraph" w:styleId="3">
    <w:name w:val="heading 2"/>
    <w:basedOn w:val="1"/>
    <w:next w:val="1"/>
    <w:link w:val="49"/>
    <w:autoRedefine/>
    <w:qFormat/>
    <w:uiPriority w:val="0"/>
    <w:pPr>
      <w:keepNext/>
      <w:keepLines/>
      <w:spacing w:before="260" w:after="260" w:line="416" w:lineRule="auto"/>
      <w:outlineLvl w:val="1"/>
    </w:pPr>
    <w:rPr>
      <w:rFonts w:ascii="Cambria" w:hAnsi="Cambria"/>
      <w:bCs/>
      <w:kern w:val="2"/>
      <w:sz w:val="32"/>
      <w:szCs w:val="32"/>
    </w:rPr>
  </w:style>
  <w:style w:type="paragraph" w:styleId="4">
    <w:name w:val="heading 3"/>
    <w:basedOn w:val="1"/>
    <w:next w:val="1"/>
    <w:link w:val="50"/>
    <w:autoRedefine/>
    <w:qFormat/>
    <w:uiPriority w:val="0"/>
    <w:pPr>
      <w:keepNext/>
      <w:keepLines/>
      <w:spacing w:before="260" w:after="260" w:line="416" w:lineRule="auto"/>
      <w:outlineLvl w:val="2"/>
    </w:pPr>
    <w:rPr>
      <w:rFonts w:ascii="Calibri" w:hAnsi="Calibri"/>
      <w:b/>
      <w:bCs/>
      <w:sz w:val="32"/>
      <w:szCs w:val="32"/>
    </w:rPr>
  </w:style>
  <w:style w:type="paragraph" w:styleId="5">
    <w:name w:val="heading 4"/>
    <w:basedOn w:val="1"/>
    <w:next w:val="6"/>
    <w:link w:val="51"/>
    <w:autoRedefine/>
    <w:qFormat/>
    <w:uiPriority w:val="0"/>
    <w:pPr>
      <w:autoSpaceDE w:val="0"/>
      <w:autoSpaceDN w:val="0"/>
      <w:adjustRightInd w:val="0"/>
      <w:snapToGrid w:val="0"/>
      <w:spacing w:line="360" w:lineRule="auto"/>
      <w:outlineLvl w:val="3"/>
    </w:pPr>
    <w:rPr>
      <w:rFonts w:ascii="宋体" w:hAnsi="Arial"/>
      <w:color w:val="000000"/>
      <w:kern w:val="0"/>
      <w:szCs w:val="20"/>
    </w:rPr>
  </w:style>
  <w:style w:type="paragraph" w:styleId="7">
    <w:name w:val="heading 5"/>
    <w:basedOn w:val="1"/>
    <w:next w:val="1"/>
    <w:link w:val="53"/>
    <w:autoRedefine/>
    <w:qFormat/>
    <w:uiPriority w:val="0"/>
    <w:pPr>
      <w:keepNext/>
      <w:autoSpaceDE w:val="0"/>
      <w:autoSpaceDN w:val="0"/>
      <w:adjustRightInd w:val="0"/>
      <w:snapToGrid w:val="0"/>
      <w:spacing w:before="280" w:after="290" w:line="376" w:lineRule="auto"/>
      <w:outlineLvl w:val="4"/>
    </w:pPr>
    <w:rPr>
      <w:rFonts w:ascii="宋体"/>
      <w:b/>
      <w:color w:val="000000"/>
      <w:kern w:val="0"/>
      <w:sz w:val="28"/>
      <w:szCs w:val="20"/>
    </w:rPr>
  </w:style>
  <w:style w:type="paragraph" w:styleId="8">
    <w:name w:val="heading 6"/>
    <w:basedOn w:val="1"/>
    <w:next w:val="1"/>
    <w:link w:val="54"/>
    <w:autoRedefine/>
    <w:qFormat/>
    <w:uiPriority w:val="0"/>
    <w:pPr>
      <w:keepNext/>
      <w:autoSpaceDE w:val="0"/>
      <w:autoSpaceDN w:val="0"/>
      <w:adjustRightInd w:val="0"/>
      <w:snapToGrid w:val="0"/>
      <w:spacing w:before="240" w:after="64" w:line="320" w:lineRule="auto"/>
      <w:outlineLvl w:val="5"/>
    </w:pPr>
    <w:rPr>
      <w:rFonts w:ascii="Arial" w:hAnsi="Arial" w:eastAsia="黑体"/>
      <w:b/>
      <w:color w:val="000000"/>
      <w:kern w:val="0"/>
      <w:sz w:val="24"/>
      <w:szCs w:val="20"/>
    </w:rPr>
  </w:style>
  <w:style w:type="paragraph" w:styleId="9">
    <w:name w:val="heading 7"/>
    <w:basedOn w:val="1"/>
    <w:next w:val="6"/>
    <w:link w:val="55"/>
    <w:autoRedefine/>
    <w:qFormat/>
    <w:uiPriority w:val="0"/>
    <w:pPr>
      <w:keepNext/>
      <w:autoSpaceDE w:val="0"/>
      <w:autoSpaceDN w:val="0"/>
      <w:adjustRightInd w:val="0"/>
      <w:snapToGrid w:val="0"/>
      <w:spacing w:before="240" w:after="64" w:line="320" w:lineRule="auto"/>
      <w:outlineLvl w:val="6"/>
    </w:pPr>
    <w:rPr>
      <w:rFonts w:ascii="宋体"/>
      <w:b/>
      <w:color w:val="000000"/>
      <w:kern w:val="0"/>
      <w:sz w:val="24"/>
      <w:szCs w:val="20"/>
    </w:rPr>
  </w:style>
  <w:style w:type="paragraph" w:styleId="10">
    <w:name w:val="heading 8"/>
    <w:basedOn w:val="1"/>
    <w:next w:val="6"/>
    <w:link w:val="56"/>
    <w:autoRedefine/>
    <w:qFormat/>
    <w:uiPriority w:val="0"/>
    <w:pPr>
      <w:keepNext/>
      <w:autoSpaceDE w:val="0"/>
      <w:autoSpaceDN w:val="0"/>
      <w:adjustRightInd w:val="0"/>
      <w:snapToGrid w:val="0"/>
      <w:spacing w:before="240" w:after="64" w:line="320" w:lineRule="auto"/>
      <w:outlineLvl w:val="7"/>
    </w:pPr>
    <w:rPr>
      <w:rFonts w:ascii="Arial" w:hAnsi="Arial" w:eastAsia="黑体"/>
      <w:color w:val="000000"/>
      <w:kern w:val="0"/>
      <w:sz w:val="24"/>
      <w:szCs w:val="20"/>
    </w:rPr>
  </w:style>
  <w:style w:type="paragraph" w:styleId="11">
    <w:name w:val="heading 9"/>
    <w:basedOn w:val="1"/>
    <w:next w:val="6"/>
    <w:link w:val="57"/>
    <w:autoRedefine/>
    <w:qFormat/>
    <w:uiPriority w:val="0"/>
    <w:pPr>
      <w:keepNext/>
      <w:autoSpaceDE w:val="0"/>
      <w:autoSpaceDN w:val="0"/>
      <w:adjustRightInd w:val="0"/>
      <w:snapToGrid w:val="0"/>
      <w:spacing w:before="240" w:after="64" w:line="320" w:lineRule="auto"/>
      <w:outlineLvl w:val="8"/>
    </w:pPr>
    <w:rPr>
      <w:rFonts w:ascii="Arial" w:hAnsi="Arial" w:eastAsia="黑体"/>
      <w:color w:val="000000"/>
      <w:kern w:val="0"/>
      <w:szCs w:val="20"/>
    </w:rPr>
  </w:style>
  <w:style w:type="character" w:default="1" w:styleId="39">
    <w:name w:val="Default Paragraph Font"/>
    <w:autoRedefine/>
    <w:qFormat/>
    <w:uiPriority w:val="0"/>
    <w:rPr>
      <w:rFonts w:ascii="Calibri" w:hAnsi="Calibri" w:eastAsia="宋体" w:cs="Times New Roman"/>
    </w:rPr>
  </w:style>
  <w:style w:type="table" w:default="1" w:styleId="37">
    <w:name w:val="Normal Table"/>
    <w:autoRedefine/>
    <w:qFormat/>
    <w:uiPriority w:val="0"/>
    <w:rPr>
      <w:rFonts w:ascii="Calibri" w:hAnsi="Calibri" w:eastAsia="宋体" w:cs="Times New Roman"/>
    </w:rPr>
    <w:tblPr>
      <w:tblCellMar>
        <w:top w:w="0" w:type="dxa"/>
        <w:left w:w="108" w:type="dxa"/>
        <w:bottom w:w="0" w:type="dxa"/>
        <w:right w:w="108" w:type="dxa"/>
      </w:tblCellMar>
    </w:tblPr>
  </w:style>
  <w:style w:type="paragraph" w:styleId="6">
    <w:name w:val="Normal Indent"/>
    <w:basedOn w:val="1"/>
    <w:next w:val="1"/>
    <w:link w:val="52"/>
    <w:autoRedefine/>
    <w:qFormat/>
    <w:uiPriority w:val="0"/>
    <w:pPr>
      <w:ind w:firstLine="420"/>
    </w:pPr>
    <w:rPr>
      <w:rFonts w:ascii="Calibri" w:hAnsi="Calibri"/>
    </w:rPr>
  </w:style>
  <w:style w:type="paragraph" w:styleId="12">
    <w:name w:val="table of authorities"/>
    <w:basedOn w:val="1"/>
    <w:next w:val="1"/>
    <w:autoRedefine/>
    <w:unhideWhenUsed/>
    <w:qFormat/>
    <w:uiPriority w:val="99"/>
    <w:pPr>
      <w:ind w:left="420" w:leftChars="200" w:firstLine="0"/>
    </w:pPr>
  </w:style>
  <w:style w:type="paragraph" w:styleId="13">
    <w:name w:val="Document Map"/>
    <w:basedOn w:val="1"/>
    <w:link w:val="58"/>
    <w:autoRedefine/>
    <w:qFormat/>
    <w:uiPriority w:val="0"/>
    <w:pPr>
      <w:widowControl/>
      <w:shd w:val="clear" w:color="auto" w:fill="000080"/>
      <w:jc w:val="left"/>
    </w:pPr>
    <w:rPr>
      <w:kern w:val="0"/>
      <w:szCs w:val="20"/>
    </w:rPr>
  </w:style>
  <w:style w:type="paragraph" w:styleId="14">
    <w:name w:val="annotation text"/>
    <w:basedOn w:val="1"/>
    <w:link w:val="59"/>
    <w:autoRedefine/>
    <w:qFormat/>
    <w:uiPriority w:val="0"/>
    <w:pPr>
      <w:widowControl/>
      <w:jc w:val="left"/>
    </w:pPr>
    <w:rPr>
      <w:kern w:val="0"/>
      <w:szCs w:val="20"/>
    </w:rPr>
  </w:style>
  <w:style w:type="paragraph" w:styleId="15">
    <w:name w:val="Body Text"/>
    <w:basedOn w:val="1"/>
    <w:link w:val="47"/>
    <w:autoRedefine/>
    <w:qFormat/>
    <w:uiPriority w:val="0"/>
    <w:pPr>
      <w:spacing w:line="360" w:lineRule="auto"/>
    </w:pPr>
    <w:rPr>
      <w:rFonts w:ascii="楷体_GB2312" w:hAnsi="Calibri" w:eastAsia="楷体_GB2312"/>
      <w:sz w:val="32"/>
    </w:rPr>
  </w:style>
  <w:style w:type="paragraph" w:styleId="16">
    <w:name w:val="Body Text Indent"/>
    <w:basedOn w:val="1"/>
    <w:link w:val="60"/>
    <w:autoRedefine/>
    <w:qFormat/>
    <w:uiPriority w:val="0"/>
    <w:pPr>
      <w:spacing w:after="120"/>
      <w:ind w:left="420" w:leftChars="200"/>
    </w:pPr>
    <w:rPr>
      <w:rFonts w:ascii="Calibri" w:hAnsi="Calibri"/>
    </w:rPr>
  </w:style>
  <w:style w:type="paragraph" w:styleId="17">
    <w:name w:val="Block Text"/>
    <w:basedOn w:val="1"/>
    <w:autoRedefine/>
    <w:qFormat/>
    <w:uiPriority w:val="99"/>
    <w:pPr>
      <w:spacing w:after="120"/>
      <w:ind w:left="1440" w:leftChars="700" w:right="1440" w:rightChars="700"/>
    </w:pPr>
    <w:rPr>
      <w:rFonts w:ascii="Calibri" w:hAnsi="Calibri"/>
    </w:rPr>
  </w:style>
  <w:style w:type="paragraph" w:styleId="18">
    <w:name w:val="Plain Text"/>
    <w:basedOn w:val="1"/>
    <w:next w:val="1"/>
    <w:link w:val="61"/>
    <w:autoRedefine/>
    <w:qFormat/>
    <w:uiPriority w:val="0"/>
    <w:rPr>
      <w:rFonts w:ascii="宋体" w:hAnsi="Courier New"/>
    </w:rPr>
  </w:style>
  <w:style w:type="paragraph" w:styleId="19">
    <w:name w:val="Date"/>
    <w:basedOn w:val="1"/>
    <w:next w:val="1"/>
    <w:link w:val="62"/>
    <w:autoRedefine/>
    <w:qFormat/>
    <w:uiPriority w:val="0"/>
    <w:rPr>
      <w:rFonts w:ascii="宋体" w:hAnsi="Calibri"/>
      <w:sz w:val="24"/>
    </w:rPr>
  </w:style>
  <w:style w:type="paragraph" w:styleId="20">
    <w:name w:val="Body Text Indent 2"/>
    <w:basedOn w:val="1"/>
    <w:link w:val="63"/>
    <w:autoRedefine/>
    <w:qFormat/>
    <w:uiPriority w:val="0"/>
    <w:pPr>
      <w:widowControl/>
      <w:spacing w:line="360" w:lineRule="auto"/>
      <w:ind w:left="784"/>
      <w:jc w:val="left"/>
    </w:pPr>
    <w:rPr>
      <w:kern w:val="0"/>
      <w:szCs w:val="20"/>
    </w:rPr>
  </w:style>
  <w:style w:type="paragraph" w:styleId="21">
    <w:name w:val="Balloon Text"/>
    <w:basedOn w:val="1"/>
    <w:link w:val="64"/>
    <w:autoRedefine/>
    <w:qFormat/>
    <w:uiPriority w:val="0"/>
    <w:pPr>
      <w:widowControl/>
      <w:jc w:val="left"/>
    </w:pPr>
    <w:rPr>
      <w:kern w:val="0"/>
      <w:sz w:val="18"/>
      <w:szCs w:val="18"/>
    </w:rPr>
  </w:style>
  <w:style w:type="paragraph" w:styleId="22">
    <w:name w:val="footer"/>
    <w:basedOn w:val="1"/>
    <w:link w:val="65"/>
    <w:autoRedefine/>
    <w:qFormat/>
    <w:uiPriority w:val="99"/>
    <w:pPr>
      <w:tabs>
        <w:tab w:val="center" w:pos="4153"/>
        <w:tab w:val="right" w:pos="8306"/>
      </w:tabs>
      <w:snapToGrid w:val="0"/>
      <w:jc w:val="left"/>
    </w:pPr>
    <w:rPr>
      <w:rFonts w:ascii="Calibri" w:hAnsi="Calibri"/>
      <w:sz w:val="18"/>
    </w:rPr>
  </w:style>
  <w:style w:type="paragraph" w:styleId="23">
    <w:name w:val="header"/>
    <w:basedOn w:val="1"/>
    <w:link w:val="66"/>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toc 1"/>
    <w:basedOn w:val="1"/>
    <w:next w:val="1"/>
    <w:autoRedefine/>
    <w:qFormat/>
    <w:uiPriority w:val="39"/>
    <w:pPr>
      <w:tabs>
        <w:tab w:val="left" w:pos="945"/>
        <w:tab w:val="right" w:leader="middleDot" w:pos="8948"/>
      </w:tabs>
      <w:spacing w:before="120" w:after="120"/>
    </w:pPr>
    <w:rPr>
      <w:rFonts w:ascii="Calibri" w:hAnsi="Calibri" w:eastAsia="宋体" w:cs="Times New Roman"/>
      <w:b/>
      <w:bCs/>
      <w:caps/>
      <w:szCs w:val="21"/>
    </w:rPr>
  </w:style>
  <w:style w:type="paragraph" w:styleId="25">
    <w:name w:val="List"/>
    <w:basedOn w:val="1"/>
    <w:autoRedefine/>
    <w:qFormat/>
    <w:uiPriority w:val="0"/>
    <w:pPr>
      <w:ind w:left="200" w:hanging="200" w:hangingChars="200"/>
    </w:pPr>
    <w:rPr>
      <w:rFonts w:ascii="Calibri" w:hAnsi="Calibri"/>
      <w:sz w:val="28"/>
      <w:szCs w:val="24"/>
    </w:rPr>
  </w:style>
  <w:style w:type="paragraph" w:styleId="26">
    <w:name w:val="toc 6"/>
    <w:basedOn w:val="1"/>
    <w:next w:val="1"/>
    <w:autoRedefine/>
    <w:qFormat/>
    <w:uiPriority w:val="0"/>
    <w:pPr>
      <w:autoSpaceDE w:val="0"/>
      <w:autoSpaceDN w:val="0"/>
      <w:adjustRightInd w:val="0"/>
      <w:ind w:left="2100" w:leftChars="1000"/>
      <w:jc w:val="left"/>
    </w:pPr>
    <w:rPr>
      <w:sz w:val="20"/>
    </w:rPr>
  </w:style>
  <w:style w:type="paragraph" w:styleId="27">
    <w:name w:val="Body Text Indent 3"/>
    <w:basedOn w:val="1"/>
    <w:link w:val="67"/>
    <w:autoRedefine/>
    <w:qFormat/>
    <w:uiPriority w:val="0"/>
    <w:pPr>
      <w:widowControl/>
      <w:spacing w:after="120"/>
      <w:ind w:left="420" w:leftChars="200"/>
      <w:jc w:val="left"/>
    </w:pPr>
    <w:rPr>
      <w:kern w:val="0"/>
      <w:sz w:val="16"/>
      <w:szCs w:val="16"/>
    </w:rPr>
  </w:style>
  <w:style w:type="paragraph" w:styleId="28">
    <w:name w:val="table of figures"/>
    <w:basedOn w:val="1"/>
    <w:next w:val="1"/>
    <w:autoRedefine/>
    <w:qFormat/>
    <w:uiPriority w:val="0"/>
    <w:pPr>
      <w:ind w:left="840" w:leftChars="200" w:hanging="420" w:hangingChars="200"/>
    </w:pPr>
    <w:rPr>
      <w:rFonts w:ascii="Calibri" w:hAnsi="Calibri" w:eastAsia="宋体" w:cs="Times New Roman"/>
    </w:rPr>
  </w:style>
  <w:style w:type="paragraph" w:styleId="29">
    <w:name w:val="toc 2"/>
    <w:basedOn w:val="1"/>
    <w:next w:val="1"/>
    <w:autoRedefine/>
    <w:qFormat/>
    <w:uiPriority w:val="39"/>
    <w:pPr>
      <w:tabs>
        <w:tab w:val="right" w:leader="middleDot" w:pos="8948"/>
      </w:tabs>
      <w:spacing w:before="60" w:after="60"/>
      <w:ind w:left="210"/>
    </w:pPr>
    <w:rPr>
      <w:rFonts w:ascii="Calibri" w:hAnsi="Calibri" w:eastAsia="宋体" w:cs="Times New Roman"/>
      <w:smallCaps/>
    </w:rPr>
  </w:style>
  <w:style w:type="paragraph" w:styleId="30">
    <w:name w:val="Body Text 2"/>
    <w:basedOn w:val="1"/>
    <w:link w:val="68"/>
    <w:autoRedefine/>
    <w:qFormat/>
    <w:uiPriority w:val="0"/>
    <w:pPr>
      <w:jc w:val="center"/>
    </w:pPr>
    <w:rPr>
      <w:rFonts w:ascii="宋体" w:hAnsi="宋体"/>
      <w:sz w:val="44"/>
      <w:szCs w:val="24"/>
    </w:rPr>
  </w:style>
  <w:style w:type="paragraph" w:styleId="31">
    <w:name w:val="Normal (Web)"/>
    <w:basedOn w:val="1"/>
    <w:autoRedefine/>
    <w:qFormat/>
    <w:uiPriority w:val="99"/>
    <w:pPr>
      <w:widowControl/>
      <w:spacing w:before="100" w:beforeAutospacing="1" w:after="100" w:afterAutospacing="1"/>
      <w:jc w:val="left"/>
    </w:pPr>
    <w:rPr>
      <w:rFonts w:ascii="Arial Unicode MS" w:hAnsi="Arial Unicode MS" w:eastAsia="Times New Roman" w:cs="Times New Roman"/>
      <w:color w:val="000000"/>
      <w:kern w:val="0"/>
      <w:sz w:val="24"/>
      <w:szCs w:val="24"/>
    </w:rPr>
  </w:style>
  <w:style w:type="paragraph" w:styleId="32">
    <w:name w:val="Title"/>
    <w:basedOn w:val="1"/>
    <w:autoRedefine/>
    <w:qFormat/>
    <w:uiPriority w:val="10"/>
    <w:pPr>
      <w:widowControl/>
      <w:overflowPunct w:val="0"/>
      <w:autoSpaceDE w:val="0"/>
      <w:autoSpaceDN w:val="0"/>
      <w:jc w:val="center"/>
      <w:textAlignment w:val="baseline"/>
    </w:pPr>
    <w:rPr>
      <w:b/>
      <w:kern w:val="0"/>
      <w:sz w:val="24"/>
      <w:szCs w:val="20"/>
      <w:lang w:val="en-GB"/>
    </w:rPr>
  </w:style>
  <w:style w:type="paragraph" w:styleId="33">
    <w:name w:val="annotation subject"/>
    <w:basedOn w:val="14"/>
    <w:next w:val="14"/>
    <w:link w:val="69"/>
    <w:autoRedefine/>
    <w:qFormat/>
    <w:uiPriority w:val="0"/>
    <w:rPr>
      <w:b/>
      <w:bCs/>
    </w:rPr>
  </w:style>
  <w:style w:type="paragraph" w:styleId="34">
    <w:name w:val="Body Text First Indent"/>
    <w:basedOn w:val="15"/>
    <w:next w:val="26"/>
    <w:autoRedefine/>
    <w:unhideWhenUsed/>
    <w:qFormat/>
    <w:uiPriority w:val="99"/>
    <w:pPr>
      <w:adjustRightInd/>
      <w:spacing w:after="120" w:line="240" w:lineRule="auto"/>
      <w:ind w:firstLine="420" w:firstLineChars="100"/>
      <w:jc w:val="both"/>
    </w:pPr>
    <w:rPr>
      <w:rFonts w:ascii="Times New Roman"/>
      <w:kern w:val="2"/>
      <w:sz w:val="21"/>
      <w:szCs w:val="24"/>
    </w:rPr>
  </w:style>
  <w:style w:type="paragraph" w:styleId="35">
    <w:name w:val="Body Text First Indent 2"/>
    <w:basedOn w:val="16"/>
    <w:next w:val="36"/>
    <w:link w:val="70"/>
    <w:autoRedefine/>
    <w:unhideWhenUsed/>
    <w:qFormat/>
    <w:uiPriority w:val="99"/>
    <w:pPr>
      <w:ind w:firstLine="420" w:firstLineChars="200"/>
    </w:pPr>
    <w:rPr>
      <w:rFonts w:ascii="Times New Roman" w:hAnsi="Times New Roman"/>
    </w:rPr>
  </w:style>
  <w:style w:type="paragraph" w:customStyle="1" w:styleId="36">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38">
    <w:name w:val="Table Grid"/>
    <w:basedOn w:val="37"/>
    <w:autoRedefine/>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autoRedefine/>
    <w:qFormat/>
    <w:uiPriority w:val="0"/>
    <w:rPr>
      <w:rFonts w:ascii="Calibri" w:hAnsi="Calibri" w:eastAsia="宋体" w:cs="Times New Roman"/>
      <w:b/>
      <w:bCs/>
    </w:rPr>
  </w:style>
  <w:style w:type="character" w:styleId="41">
    <w:name w:val="page number"/>
    <w:basedOn w:val="39"/>
    <w:autoRedefine/>
    <w:qFormat/>
    <w:uiPriority w:val="0"/>
    <w:rPr>
      <w:rFonts w:ascii="Calibri" w:hAnsi="Calibri" w:eastAsia="宋体" w:cs="Times New Roman"/>
    </w:rPr>
  </w:style>
  <w:style w:type="character" w:styleId="42">
    <w:name w:val="FollowedHyperlink"/>
    <w:autoRedefine/>
    <w:qFormat/>
    <w:uiPriority w:val="99"/>
    <w:rPr>
      <w:rFonts w:ascii="Calibri" w:hAnsi="Calibri" w:eastAsia="宋体" w:cs="Times New Roman"/>
      <w:color w:val="800080"/>
      <w:u w:val="single"/>
    </w:rPr>
  </w:style>
  <w:style w:type="character" w:styleId="43">
    <w:name w:val="Emphasis"/>
    <w:autoRedefine/>
    <w:qFormat/>
    <w:uiPriority w:val="20"/>
    <w:rPr>
      <w:rFonts w:ascii="Calibri" w:hAnsi="Calibri" w:eastAsia="宋体" w:cs="Times New Roman"/>
    </w:rPr>
  </w:style>
  <w:style w:type="character" w:styleId="44">
    <w:name w:val="line number"/>
    <w:autoRedefine/>
    <w:qFormat/>
    <w:uiPriority w:val="0"/>
    <w:rPr>
      <w:rFonts w:ascii="Calibri" w:hAnsi="Calibri" w:eastAsia="宋体" w:cs="Times New Roman"/>
    </w:rPr>
  </w:style>
  <w:style w:type="character" w:styleId="45">
    <w:name w:val="Hyperlink"/>
    <w:autoRedefine/>
    <w:qFormat/>
    <w:uiPriority w:val="99"/>
    <w:rPr>
      <w:rFonts w:ascii="Calibri" w:hAnsi="Calibri" w:eastAsia="宋体" w:cs="Times New Roman"/>
      <w:color w:val="0563C1"/>
      <w:u w:val="single"/>
    </w:rPr>
  </w:style>
  <w:style w:type="character" w:styleId="46">
    <w:name w:val="annotation reference"/>
    <w:autoRedefine/>
    <w:qFormat/>
    <w:uiPriority w:val="0"/>
    <w:rPr>
      <w:rFonts w:ascii="Calibri" w:hAnsi="Calibri" w:eastAsia="宋体" w:cs="Times New Roman"/>
      <w:sz w:val="21"/>
      <w:szCs w:val="21"/>
    </w:rPr>
  </w:style>
  <w:style w:type="character" w:customStyle="1" w:styleId="47">
    <w:name w:val="正文文本 字符"/>
    <w:link w:val="15"/>
    <w:autoRedefine/>
    <w:qFormat/>
    <w:uiPriority w:val="0"/>
    <w:rPr>
      <w:rFonts w:ascii="楷体_GB2312" w:hAnsi="Calibri" w:eastAsia="楷体_GB2312" w:cs="Times New Roman"/>
      <w:kern w:val="2"/>
      <w:sz w:val="32"/>
      <w:szCs w:val="22"/>
    </w:rPr>
  </w:style>
  <w:style w:type="character" w:customStyle="1" w:styleId="48">
    <w:name w:val="标题 1 字符"/>
    <w:link w:val="2"/>
    <w:autoRedefine/>
    <w:qFormat/>
    <w:uiPriority w:val="0"/>
    <w:rPr>
      <w:rFonts w:ascii="Calibri" w:hAnsi="Calibri" w:eastAsia="宋体" w:cs="Times New Roman"/>
      <w:b/>
      <w:kern w:val="44"/>
      <w:sz w:val="44"/>
      <w:szCs w:val="22"/>
    </w:rPr>
  </w:style>
  <w:style w:type="character" w:customStyle="1" w:styleId="49">
    <w:name w:val="标题 2 字符"/>
    <w:link w:val="3"/>
    <w:autoRedefine/>
    <w:qFormat/>
    <w:uiPriority w:val="0"/>
    <w:rPr>
      <w:rFonts w:ascii="Cambria" w:hAnsi="Cambria" w:eastAsia="宋体" w:cs="Times New Roman"/>
      <w:b/>
      <w:bCs/>
      <w:kern w:val="2"/>
      <w:sz w:val="32"/>
      <w:szCs w:val="32"/>
    </w:rPr>
  </w:style>
  <w:style w:type="character" w:customStyle="1" w:styleId="50">
    <w:name w:val="标题 3 字符"/>
    <w:link w:val="4"/>
    <w:autoRedefine/>
    <w:qFormat/>
    <w:uiPriority w:val="0"/>
    <w:rPr>
      <w:rFonts w:ascii="Calibri" w:hAnsi="Calibri" w:eastAsia="宋体" w:cs="Times New Roman"/>
      <w:b/>
      <w:bCs/>
      <w:kern w:val="2"/>
      <w:sz w:val="32"/>
      <w:szCs w:val="32"/>
    </w:rPr>
  </w:style>
  <w:style w:type="character" w:customStyle="1" w:styleId="51">
    <w:name w:val="标题 4 字符"/>
    <w:link w:val="5"/>
    <w:autoRedefine/>
    <w:qFormat/>
    <w:uiPriority w:val="0"/>
    <w:rPr>
      <w:rFonts w:ascii="宋体" w:hAnsi="Arial" w:eastAsia="宋体" w:cs="Times New Roman"/>
      <w:snapToGrid/>
      <w:color w:val="000000"/>
      <w:sz w:val="21"/>
    </w:rPr>
  </w:style>
  <w:style w:type="character" w:customStyle="1" w:styleId="52">
    <w:name w:val="正文缩进 字符"/>
    <w:link w:val="6"/>
    <w:autoRedefine/>
    <w:qFormat/>
    <w:uiPriority w:val="0"/>
    <w:rPr>
      <w:rFonts w:ascii="Calibri" w:hAnsi="Calibri" w:eastAsia="宋体" w:cs="Times New Roman"/>
      <w:kern w:val="2"/>
      <w:sz w:val="21"/>
      <w:szCs w:val="22"/>
    </w:rPr>
  </w:style>
  <w:style w:type="character" w:customStyle="1" w:styleId="53">
    <w:name w:val="标题 5 字符"/>
    <w:link w:val="7"/>
    <w:autoRedefine/>
    <w:qFormat/>
    <w:uiPriority w:val="0"/>
    <w:rPr>
      <w:rFonts w:ascii="宋体" w:hAnsi="Times New Roman" w:eastAsia="宋体" w:cs="Times New Roman"/>
      <w:b/>
      <w:snapToGrid/>
      <w:color w:val="000000"/>
      <w:sz w:val="28"/>
    </w:rPr>
  </w:style>
  <w:style w:type="character" w:customStyle="1" w:styleId="54">
    <w:name w:val="标题 6 字符"/>
    <w:link w:val="8"/>
    <w:autoRedefine/>
    <w:qFormat/>
    <w:uiPriority w:val="0"/>
    <w:rPr>
      <w:rFonts w:ascii="Arial" w:hAnsi="Arial" w:eastAsia="黑体" w:cs="Times New Roman"/>
      <w:b/>
      <w:snapToGrid/>
      <w:color w:val="000000"/>
      <w:sz w:val="24"/>
    </w:rPr>
  </w:style>
  <w:style w:type="character" w:customStyle="1" w:styleId="55">
    <w:name w:val="标题 7 字符"/>
    <w:link w:val="9"/>
    <w:autoRedefine/>
    <w:qFormat/>
    <w:uiPriority w:val="0"/>
    <w:rPr>
      <w:rFonts w:ascii="宋体" w:hAnsi="Times New Roman" w:eastAsia="宋体" w:cs="Times New Roman"/>
      <w:b/>
      <w:snapToGrid/>
      <w:color w:val="000000"/>
      <w:sz w:val="24"/>
    </w:rPr>
  </w:style>
  <w:style w:type="character" w:customStyle="1" w:styleId="56">
    <w:name w:val="标题 8 字符"/>
    <w:link w:val="10"/>
    <w:autoRedefine/>
    <w:qFormat/>
    <w:uiPriority w:val="0"/>
    <w:rPr>
      <w:rFonts w:ascii="Arial" w:hAnsi="Arial" w:eastAsia="黑体" w:cs="Times New Roman"/>
      <w:snapToGrid/>
      <w:color w:val="000000"/>
      <w:sz w:val="24"/>
    </w:rPr>
  </w:style>
  <w:style w:type="character" w:customStyle="1" w:styleId="57">
    <w:name w:val="标题 9 字符"/>
    <w:link w:val="11"/>
    <w:autoRedefine/>
    <w:qFormat/>
    <w:uiPriority w:val="0"/>
    <w:rPr>
      <w:rFonts w:ascii="Arial" w:hAnsi="Arial" w:eastAsia="黑体" w:cs="Times New Roman"/>
      <w:snapToGrid/>
      <w:color w:val="000000"/>
      <w:sz w:val="21"/>
    </w:rPr>
  </w:style>
  <w:style w:type="character" w:customStyle="1" w:styleId="58">
    <w:name w:val="文档结构图 字符"/>
    <w:link w:val="13"/>
    <w:autoRedefine/>
    <w:qFormat/>
    <w:uiPriority w:val="0"/>
    <w:rPr>
      <w:rFonts w:ascii="Times New Roman" w:hAnsi="Times New Roman" w:eastAsia="宋体" w:cs="Times New Roman"/>
      <w:sz w:val="21"/>
      <w:shd w:val="clear" w:color="auto" w:fill="000080"/>
    </w:rPr>
  </w:style>
  <w:style w:type="character" w:customStyle="1" w:styleId="59">
    <w:name w:val="批注文字 字符"/>
    <w:link w:val="14"/>
    <w:autoRedefine/>
    <w:qFormat/>
    <w:uiPriority w:val="0"/>
    <w:rPr>
      <w:rFonts w:ascii="Times New Roman" w:hAnsi="Times New Roman" w:eastAsia="宋体" w:cs="Times New Roman"/>
      <w:sz w:val="21"/>
    </w:rPr>
  </w:style>
  <w:style w:type="character" w:customStyle="1" w:styleId="60">
    <w:name w:val="正文文本缩进 字符"/>
    <w:link w:val="16"/>
    <w:autoRedefine/>
    <w:qFormat/>
    <w:uiPriority w:val="0"/>
    <w:rPr>
      <w:rFonts w:ascii="Calibri" w:hAnsi="Calibri" w:eastAsia="宋体" w:cs="Times New Roman"/>
      <w:kern w:val="2"/>
      <w:sz w:val="21"/>
      <w:szCs w:val="22"/>
    </w:rPr>
  </w:style>
  <w:style w:type="character" w:customStyle="1" w:styleId="61">
    <w:name w:val="纯文本 字符"/>
    <w:link w:val="18"/>
    <w:autoRedefine/>
    <w:qFormat/>
    <w:uiPriority w:val="0"/>
    <w:rPr>
      <w:rFonts w:ascii="宋体" w:hAnsi="Courier New" w:eastAsia="宋体" w:cs="Times New Roman"/>
      <w:kern w:val="2"/>
      <w:sz w:val="21"/>
      <w:szCs w:val="22"/>
    </w:rPr>
  </w:style>
  <w:style w:type="character" w:customStyle="1" w:styleId="62">
    <w:name w:val="日期 字符"/>
    <w:link w:val="19"/>
    <w:autoRedefine/>
    <w:qFormat/>
    <w:uiPriority w:val="0"/>
    <w:rPr>
      <w:rFonts w:ascii="宋体" w:hAnsi="Calibri" w:eastAsia="宋体" w:cs="Times New Roman"/>
      <w:kern w:val="2"/>
      <w:sz w:val="24"/>
      <w:szCs w:val="22"/>
    </w:rPr>
  </w:style>
  <w:style w:type="character" w:customStyle="1" w:styleId="63">
    <w:name w:val="正文文本缩进 2 字符"/>
    <w:link w:val="20"/>
    <w:autoRedefine/>
    <w:qFormat/>
    <w:uiPriority w:val="0"/>
    <w:rPr>
      <w:rFonts w:ascii="Times New Roman" w:hAnsi="Times New Roman" w:eastAsia="宋体" w:cs="Times New Roman"/>
      <w:sz w:val="21"/>
    </w:rPr>
  </w:style>
  <w:style w:type="character" w:customStyle="1" w:styleId="64">
    <w:name w:val="批注框文本 字符"/>
    <w:link w:val="21"/>
    <w:autoRedefine/>
    <w:qFormat/>
    <w:uiPriority w:val="0"/>
    <w:rPr>
      <w:rFonts w:ascii="Times New Roman" w:hAnsi="Times New Roman" w:eastAsia="宋体" w:cs="Times New Roman"/>
      <w:sz w:val="18"/>
      <w:szCs w:val="18"/>
    </w:rPr>
  </w:style>
  <w:style w:type="character" w:customStyle="1" w:styleId="65">
    <w:name w:val="页脚 字符"/>
    <w:link w:val="22"/>
    <w:autoRedefine/>
    <w:qFormat/>
    <w:uiPriority w:val="99"/>
    <w:rPr>
      <w:rFonts w:ascii="Calibri" w:hAnsi="Calibri" w:eastAsia="宋体" w:cs="Times New Roman"/>
      <w:kern w:val="2"/>
      <w:sz w:val="18"/>
      <w:szCs w:val="22"/>
    </w:rPr>
  </w:style>
  <w:style w:type="character" w:customStyle="1" w:styleId="66">
    <w:name w:val="页眉 字符"/>
    <w:link w:val="23"/>
    <w:autoRedefine/>
    <w:qFormat/>
    <w:uiPriority w:val="99"/>
    <w:rPr>
      <w:rFonts w:ascii="Times New Roman" w:hAnsi="Times New Roman" w:eastAsia="宋体" w:cs="Times New Roman"/>
      <w:kern w:val="2"/>
      <w:sz w:val="18"/>
      <w:szCs w:val="22"/>
    </w:rPr>
  </w:style>
  <w:style w:type="character" w:customStyle="1" w:styleId="67">
    <w:name w:val="正文文本缩进 3 字符"/>
    <w:link w:val="27"/>
    <w:autoRedefine/>
    <w:qFormat/>
    <w:uiPriority w:val="0"/>
    <w:rPr>
      <w:rFonts w:ascii="Times New Roman" w:hAnsi="Times New Roman" w:eastAsia="宋体" w:cs="Times New Roman"/>
      <w:sz w:val="16"/>
      <w:szCs w:val="16"/>
    </w:rPr>
  </w:style>
  <w:style w:type="character" w:customStyle="1" w:styleId="68">
    <w:name w:val="正文文本 2 字符"/>
    <w:link w:val="30"/>
    <w:autoRedefine/>
    <w:qFormat/>
    <w:uiPriority w:val="0"/>
    <w:rPr>
      <w:rFonts w:ascii="宋体" w:hAnsi="宋体" w:eastAsia="宋体" w:cs="Times New Roman"/>
      <w:kern w:val="2"/>
      <w:sz w:val="44"/>
      <w:szCs w:val="24"/>
    </w:rPr>
  </w:style>
  <w:style w:type="character" w:customStyle="1" w:styleId="69">
    <w:name w:val="批注主题 字符"/>
    <w:link w:val="33"/>
    <w:autoRedefine/>
    <w:qFormat/>
    <w:uiPriority w:val="0"/>
    <w:rPr>
      <w:rFonts w:ascii="Times New Roman" w:hAnsi="Times New Roman" w:eastAsia="宋体" w:cs="Times New Roman"/>
      <w:b/>
      <w:bCs/>
      <w:sz w:val="21"/>
    </w:rPr>
  </w:style>
  <w:style w:type="character" w:customStyle="1" w:styleId="70">
    <w:name w:val="正文文本首行缩进 2 字符"/>
    <w:basedOn w:val="60"/>
    <w:link w:val="35"/>
    <w:autoRedefine/>
    <w:semiHidden/>
    <w:qFormat/>
    <w:uiPriority w:val="99"/>
  </w:style>
  <w:style w:type="paragraph" w:customStyle="1" w:styleId="71">
    <w:name w:val="自定义标题2"/>
    <w:basedOn w:val="72"/>
    <w:next w:val="1"/>
    <w:autoRedefine/>
    <w:qFormat/>
    <w:uiPriority w:val="0"/>
    <w:pPr>
      <w:widowControl/>
      <w:spacing w:before="240" w:after="60" w:line="360" w:lineRule="auto"/>
      <w:ind w:left="420" w:hanging="420"/>
    </w:pPr>
    <w:rPr>
      <w:rFonts w:ascii="宋体" w:hAnsi="宋体" w:cs="Arial"/>
      <w:bCs/>
      <w:sz w:val="24"/>
    </w:rPr>
  </w:style>
  <w:style w:type="paragraph" w:customStyle="1" w:styleId="72">
    <w:name w:val="标题 21"/>
    <w:basedOn w:val="1"/>
    <w:next w:val="1"/>
    <w:autoRedefine/>
    <w:qFormat/>
    <w:uiPriority w:val="0"/>
    <w:pPr>
      <w:keepNext/>
      <w:keepLines/>
      <w:spacing w:before="100" w:after="100" w:line="415" w:lineRule="auto"/>
      <w:ind w:left="576" w:hanging="576"/>
      <w:outlineLvl w:val="1"/>
    </w:pPr>
    <w:rPr>
      <w:rFonts w:ascii="Times New Roman" w:hAnsi="Times New Roman" w:eastAsia="宋体" w:cs="Times New Roman"/>
      <w:b/>
      <w:iCs/>
      <w:kern w:val="0"/>
      <w:sz w:val="32"/>
      <w:szCs w:val="28"/>
    </w:rPr>
  </w:style>
  <w:style w:type="character" w:customStyle="1" w:styleId="73">
    <w:name w:val="_Style 72"/>
    <w:autoRedefine/>
    <w:unhideWhenUsed/>
    <w:qFormat/>
    <w:uiPriority w:val="99"/>
    <w:rPr>
      <w:rFonts w:ascii="Calibri" w:hAnsi="Calibri" w:eastAsia="宋体" w:cs="Times New Roman"/>
      <w:color w:val="605E5C"/>
      <w:shd w:val="clear" w:color="auto" w:fill="E1DFDD"/>
    </w:rPr>
  </w:style>
  <w:style w:type="character" w:customStyle="1" w:styleId="74">
    <w:name w:val="unnamed51"/>
    <w:autoRedefine/>
    <w:qFormat/>
    <w:uiPriority w:val="0"/>
    <w:rPr>
      <w:rFonts w:ascii="Calibri" w:hAnsi="Calibri" w:eastAsia="宋体" w:cs="Times New Roman"/>
      <w:sz w:val="22"/>
      <w:szCs w:val="22"/>
    </w:rPr>
  </w:style>
  <w:style w:type="character" w:customStyle="1" w:styleId="75">
    <w:name w:val="font11"/>
    <w:autoRedefine/>
    <w:qFormat/>
    <w:uiPriority w:val="0"/>
    <w:rPr>
      <w:rFonts w:hint="eastAsia" w:ascii="宋体" w:hAnsi="宋体" w:eastAsia="宋体" w:cs="宋体"/>
      <w:color w:val="000000"/>
      <w:sz w:val="21"/>
      <w:szCs w:val="21"/>
      <w:u w:val="none"/>
    </w:rPr>
  </w:style>
  <w:style w:type="character" w:customStyle="1" w:styleId="76">
    <w:name w:val="Normal Indent Char Char"/>
    <w:autoRedefine/>
    <w:qFormat/>
    <w:uiPriority w:val="0"/>
    <w:rPr>
      <w:rFonts w:ascii="Calibri" w:hAnsi="Calibri" w:eastAsia="宋体" w:cs="Times New Roman"/>
      <w:sz w:val="21"/>
      <w:lang w:val="en-US" w:eastAsia="zh-CN" w:bidi="ar-SA"/>
    </w:rPr>
  </w:style>
  <w:style w:type="character" w:customStyle="1" w:styleId="77">
    <w:name w:val="font21"/>
    <w:autoRedefine/>
    <w:qFormat/>
    <w:uiPriority w:val="0"/>
    <w:rPr>
      <w:rFonts w:hint="default" w:ascii="Arial" w:hAnsi="Arial" w:eastAsia="宋体" w:cs="Arial"/>
      <w:color w:val="000000"/>
      <w:sz w:val="21"/>
      <w:szCs w:val="21"/>
      <w:u w:val="none"/>
    </w:rPr>
  </w:style>
  <w:style w:type="character" w:customStyle="1" w:styleId="78">
    <w:name w:val="正文1 Char"/>
    <w:link w:val="79"/>
    <w:autoRedefine/>
    <w:qFormat/>
    <w:uiPriority w:val="0"/>
    <w:rPr>
      <w:rFonts w:ascii="宋体"/>
      <w:sz w:val="34"/>
      <w:lang w:val="en-US" w:eastAsia="zh-CN" w:bidi="ar-SA"/>
    </w:rPr>
  </w:style>
  <w:style w:type="paragraph" w:customStyle="1" w:styleId="79">
    <w:name w:val="正文1"/>
    <w:link w:val="78"/>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80">
    <w:name w:val="Para head"/>
    <w:autoRedefine/>
    <w:qFormat/>
    <w:uiPriority w:val="0"/>
    <w:rPr>
      <w:rFonts w:ascii="Arial" w:hAnsi="Arial" w:eastAsia="Times New Roman" w:cs="Times New Roman"/>
      <w:sz w:val="20"/>
    </w:rPr>
  </w:style>
  <w:style w:type="character" w:customStyle="1" w:styleId="81">
    <w:name w:val="表正文 Char"/>
    <w:autoRedefine/>
    <w:qFormat/>
    <w:uiPriority w:val="0"/>
    <w:rPr>
      <w:rFonts w:ascii="Times New Roman" w:hAnsi="Times New Roman" w:eastAsia="宋体" w:cs="Times New Roman"/>
      <w:sz w:val="21"/>
    </w:rPr>
  </w:style>
  <w:style w:type="character" w:customStyle="1" w:styleId="82">
    <w:name w:val="h Char"/>
    <w:autoRedefine/>
    <w:qFormat/>
    <w:uiPriority w:val="0"/>
    <w:rPr>
      <w:sz w:val="18"/>
    </w:rPr>
  </w:style>
  <w:style w:type="character" w:customStyle="1" w:styleId="83">
    <w:name w:val="批注框文本 Char1"/>
    <w:autoRedefine/>
    <w:qFormat/>
    <w:uiPriority w:val="0"/>
    <w:rPr>
      <w:rFonts w:ascii="Calibri" w:hAnsi="Calibri" w:eastAsia="宋体" w:cs="Times New Roman"/>
      <w:kern w:val="2"/>
      <w:sz w:val="18"/>
      <w:szCs w:val="18"/>
    </w:rPr>
  </w:style>
  <w:style w:type="character" w:customStyle="1" w:styleId="84">
    <w:name w:val="正文缩进 Char"/>
    <w:autoRedefine/>
    <w:qFormat/>
    <w:uiPriority w:val="0"/>
    <w:rPr>
      <w:rFonts w:ascii="Times New Roman" w:hAnsi="Times New Roman"/>
      <w:sz w:val="21"/>
    </w:rPr>
  </w:style>
  <w:style w:type="character" w:customStyle="1" w:styleId="85">
    <w:name w:val="纯文本 Char1"/>
    <w:autoRedefine/>
    <w:qFormat/>
    <w:uiPriority w:val="0"/>
    <w:rPr>
      <w:rFonts w:ascii="宋体" w:hAnsi="Courier New" w:eastAsia="宋体"/>
      <w:kern w:val="2"/>
      <w:sz w:val="21"/>
      <w:lang w:val="en-US" w:eastAsia="zh-CN" w:bidi="ar-SA"/>
    </w:rPr>
  </w:style>
  <w:style w:type="paragraph" w:customStyle="1" w:styleId="86">
    <w:name w:val="Char Char Char Char Char Char Char Char Char Char Char Char Char Char Char Char Char Char Char"/>
    <w:basedOn w:val="1"/>
    <w:autoRedefine/>
    <w:qFormat/>
    <w:uiPriority w:val="0"/>
    <w:rPr>
      <w:rFonts w:ascii="Times New Roman" w:hAnsi="Times New Roman" w:eastAsia="宋体" w:cs="Times New Roman"/>
      <w:kern w:val="0"/>
      <w:szCs w:val="20"/>
    </w:rPr>
  </w:style>
  <w:style w:type="paragraph" w:customStyle="1" w:styleId="87">
    <w:name w:val="Char3"/>
    <w:basedOn w:val="1"/>
    <w:autoRedefine/>
    <w:qFormat/>
    <w:uiPriority w:val="0"/>
    <w:rPr>
      <w:rFonts w:ascii="Times New Roman" w:hAnsi="Times New Roman" w:eastAsia="宋体" w:cs="Times New Roman"/>
      <w:szCs w:val="24"/>
    </w:rPr>
  </w:style>
  <w:style w:type="paragraph" w:customStyle="1" w:styleId="88">
    <w:name w:val="Plain Text"/>
    <w:basedOn w:val="89"/>
    <w:autoRedefine/>
    <w:qFormat/>
    <w:uiPriority w:val="0"/>
    <w:pPr>
      <w:widowControl/>
      <w:jc w:val="left"/>
    </w:pPr>
    <w:rPr>
      <w:rFonts w:ascii="宋体" w:hAnsi="Courier New"/>
    </w:rPr>
  </w:style>
  <w:style w:type="paragraph" w:customStyle="1" w:styleId="89">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0">
    <w:name w:val="xl55"/>
    <w:basedOn w:val="1"/>
    <w:autoRedefine/>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91">
    <w:name w:val="列出段落1"/>
    <w:basedOn w:val="1"/>
    <w:autoRedefine/>
    <w:qFormat/>
    <w:uiPriority w:val="0"/>
    <w:pPr>
      <w:ind w:firstLine="420" w:firstLineChars="200"/>
    </w:pPr>
    <w:rPr>
      <w:rFonts w:ascii="Calibri" w:hAnsi="Calibri" w:eastAsia="宋体" w:cs="Times New Roman"/>
    </w:rPr>
  </w:style>
  <w:style w:type="paragraph" w:customStyle="1" w:styleId="92">
    <w:name w:val=" Char Char18"/>
    <w:basedOn w:val="1"/>
    <w:autoRedefine/>
    <w:qFormat/>
    <w:uiPriority w:val="0"/>
    <w:rPr>
      <w:szCs w:val="24"/>
    </w:rPr>
  </w:style>
  <w:style w:type="paragraph" w:customStyle="1" w:styleId="93">
    <w:name w:val="列出段落2"/>
    <w:basedOn w:val="1"/>
    <w:autoRedefine/>
    <w:qFormat/>
    <w:uiPriority w:val="0"/>
    <w:pPr>
      <w:ind w:firstLine="420" w:firstLineChars="200"/>
    </w:pPr>
    <w:rPr>
      <w:rFonts w:ascii="Calibri" w:hAnsi="Calibri" w:eastAsia="宋体" w:cs="Times New Roman"/>
    </w:rPr>
  </w:style>
  <w:style w:type="paragraph" w:customStyle="1" w:styleId="9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paragraph" w:customStyle="1" w:styleId="95">
    <w:name w:val="Char Char Char"/>
    <w:basedOn w:val="1"/>
    <w:autoRedefine/>
    <w:qFormat/>
    <w:uiPriority w:val="0"/>
    <w:rPr>
      <w:rFonts w:ascii="Times New Roman" w:hAnsi="Times New Roman" w:eastAsia="宋体" w:cs="Times New Roman"/>
      <w:szCs w:val="20"/>
    </w:rPr>
  </w:style>
  <w:style w:type="paragraph" w:customStyle="1" w:styleId="96">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97">
    <w:name w:val="列出段落3"/>
    <w:basedOn w:val="1"/>
    <w:autoRedefine/>
    <w:qFormat/>
    <w:uiPriority w:val="99"/>
    <w:pPr>
      <w:ind w:firstLine="420" w:firstLineChars="200"/>
    </w:pPr>
    <w:rPr>
      <w:rFonts w:ascii="Calibri" w:hAnsi="Calibri" w:eastAsia="宋体" w:cs="Times New Roman"/>
    </w:rPr>
  </w:style>
  <w:style w:type="paragraph" w:customStyle="1" w:styleId="9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Cs w:val="21"/>
      <w:lang w:eastAsia="en-US"/>
    </w:rPr>
  </w:style>
  <w:style w:type="paragraph" w:customStyle="1" w:styleId="99">
    <w:name w:val="font8"/>
    <w:basedOn w:val="1"/>
    <w:autoRedefine/>
    <w:qFormat/>
    <w:uiPriority w:val="0"/>
    <w:pPr>
      <w:widowControl/>
      <w:spacing w:before="100" w:beforeAutospacing="1" w:after="100" w:afterAutospacing="1"/>
      <w:jc w:val="left"/>
    </w:pPr>
    <w:rPr>
      <w:rFonts w:ascii="Times New Roman" w:hAnsi="Times New Roman" w:eastAsia="Arial Unicode MS" w:cs="Times New Roman"/>
      <w:kern w:val="0"/>
      <w:sz w:val="24"/>
      <w:szCs w:val="24"/>
      <w:lang w:eastAsia="en-US"/>
    </w:rPr>
  </w:style>
  <w:style w:type="paragraph" w:customStyle="1" w:styleId="100">
    <w:name w:val="表格文字"/>
    <w:basedOn w:val="1"/>
    <w:next w:val="15"/>
    <w:autoRedefine/>
    <w:qFormat/>
    <w:uiPriority w:val="0"/>
    <w:pPr>
      <w:adjustRightInd w:val="0"/>
      <w:spacing w:line="420" w:lineRule="atLeast"/>
      <w:textAlignment w:val="baseline"/>
    </w:pPr>
    <w:rPr>
      <w:szCs w:val="24"/>
    </w:rPr>
  </w:style>
  <w:style w:type="paragraph" w:customStyle="1" w:styleId="101">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16"/>
      <w:szCs w:val="16"/>
      <w:lang w:eastAsia="en-US"/>
    </w:rPr>
  </w:style>
  <w:style w:type="paragraph" w:customStyle="1" w:styleId="102">
    <w:name w:val="Char Char Char Char Char Char Char1"/>
    <w:basedOn w:val="1"/>
    <w:autoRedefine/>
    <w:qFormat/>
    <w:uiPriority w:val="0"/>
    <w:rPr>
      <w:rFonts w:ascii="宋体" w:hAnsi="宋体" w:eastAsia="宋体" w:cs="宋体"/>
      <w:color w:val="FF0000"/>
      <w:kern w:val="0"/>
      <w:szCs w:val="21"/>
    </w:rPr>
  </w:style>
  <w:style w:type="paragraph" w:customStyle="1" w:styleId="103">
    <w:name w:val="菲页2"/>
    <w:basedOn w:val="4"/>
    <w:autoRedefine/>
    <w:qFormat/>
    <w:uiPriority w:val="0"/>
    <w:pPr>
      <w:widowControl/>
      <w:numPr>
        <w:ilvl w:val="2"/>
        <w:numId w:val="1"/>
      </w:numPr>
      <w:tabs>
        <w:tab w:val="left" w:pos="2040"/>
      </w:tabs>
      <w:spacing w:before="120" w:after="120" w:line="360" w:lineRule="auto"/>
      <w:jc w:val="center"/>
    </w:pPr>
    <w:rPr>
      <w:rFonts w:ascii="黑体" w:hAnsi="宋体" w:eastAsia="黑体" w:cs="Times New Roman"/>
      <w:b w:val="0"/>
      <w:bCs w:val="0"/>
      <w:kern w:val="0"/>
      <w:sz w:val="44"/>
      <w:szCs w:val="20"/>
    </w:rPr>
  </w:style>
  <w:style w:type="paragraph" w:customStyle="1" w:styleId="104">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szCs w:val="24"/>
      <w:lang w:eastAsia="en-US"/>
    </w:rPr>
  </w:style>
  <w:style w:type="paragraph" w:customStyle="1" w:styleId="105">
    <w:name w:val="font5"/>
    <w:basedOn w:val="1"/>
    <w:autoRedefine/>
    <w:qFormat/>
    <w:uiPriority w:val="0"/>
    <w:pPr>
      <w:widowControl/>
      <w:spacing w:before="100" w:beforeAutospacing="1" w:after="100" w:afterAutospacing="1"/>
      <w:jc w:val="left"/>
    </w:pPr>
    <w:rPr>
      <w:rFonts w:hint="eastAsia" w:ascii="宋体" w:hAnsi="宋体" w:eastAsia="宋体" w:cs="Courier New"/>
      <w:kern w:val="0"/>
      <w:sz w:val="18"/>
      <w:szCs w:val="18"/>
      <w:lang w:eastAsia="en-US"/>
    </w:rPr>
  </w:style>
  <w:style w:type="paragraph" w:customStyle="1" w:styleId="106">
    <w:name w:val="正文2"/>
    <w:basedOn w:val="1"/>
    <w:autoRedefine/>
    <w:qFormat/>
    <w:uiPriority w:val="0"/>
    <w:pPr>
      <w:spacing w:before="156" w:line="360" w:lineRule="auto"/>
      <w:ind w:firstLine="510" w:firstLineChars="200"/>
    </w:pPr>
    <w:rPr>
      <w:rFonts w:ascii="Calibri" w:hAnsi="Calibri" w:eastAsia="宋体" w:cs="Times New Roman"/>
      <w:sz w:val="24"/>
    </w:rPr>
  </w:style>
  <w:style w:type="paragraph" w:customStyle="1" w:styleId="107">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22"/>
    </w:rPr>
  </w:style>
  <w:style w:type="paragraph" w:customStyle="1" w:styleId="108">
    <w:name w:val="正文－恩普"/>
    <w:basedOn w:val="6"/>
    <w:autoRedefine/>
    <w:qFormat/>
    <w:uiPriority w:val="0"/>
    <w:pPr>
      <w:spacing w:line="360" w:lineRule="auto"/>
      <w:ind w:firstLine="200" w:firstLineChars="200"/>
    </w:pPr>
    <w:rPr>
      <w:rFonts w:ascii="Times New Roman" w:hAnsi="Times New Roman" w:eastAsia="宋体" w:cs="Times New Roman"/>
      <w:sz w:val="24"/>
      <w:szCs w:val="24"/>
    </w:rPr>
  </w:style>
  <w:style w:type="paragraph" w:styleId="109">
    <w:name w:val="List Paragraph"/>
    <w:basedOn w:val="1"/>
    <w:autoRedefine/>
    <w:qFormat/>
    <w:uiPriority w:val="99"/>
    <w:pPr>
      <w:ind w:firstLine="420" w:firstLineChars="200"/>
    </w:pPr>
  </w:style>
  <w:style w:type="paragraph" w:customStyle="1" w:styleId="1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szCs w:val="24"/>
      <w:lang w:eastAsia="en-US"/>
    </w:rPr>
  </w:style>
  <w:style w:type="paragraph" w:customStyle="1" w:styleId="111">
    <w:name w:val="Date"/>
    <w:basedOn w:val="1"/>
    <w:next w:val="1"/>
    <w:autoRedefine/>
    <w:qFormat/>
    <w:uiPriority w:val="0"/>
    <w:pPr>
      <w:ind w:leftChars="2500"/>
    </w:pPr>
    <w:rPr>
      <w:szCs w:val="20"/>
    </w:rPr>
  </w:style>
  <w:style w:type="paragraph" w:customStyle="1" w:styleId="112">
    <w:name w:val="菲页(卷)"/>
    <w:basedOn w:val="2"/>
    <w:next w:val="79"/>
    <w:autoRedefine/>
    <w:qFormat/>
    <w:uiPriority w:val="0"/>
    <w:pPr>
      <w:keepLines w:val="0"/>
      <w:widowControl/>
      <w:numPr>
        <w:ilvl w:val="0"/>
        <w:numId w:val="1"/>
      </w:numPr>
      <w:tabs>
        <w:tab w:val="left" w:pos="1200"/>
      </w:tabs>
      <w:spacing w:before="0" w:after="0" w:line="240" w:lineRule="auto"/>
      <w:jc w:val="center"/>
      <w:outlineLvl w:val="1"/>
    </w:pPr>
    <w:rPr>
      <w:rFonts w:ascii="黑体" w:hAnsi="Times New Roman" w:eastAsia="黑体" w:cs="Times New Roman"/>
      <w:b w:val="0"/>
      <w:kern w:val="0"/>
      <w:sz w:val="52"/>
      <w:szCs w:val="20"/>
    </w:rPr>
  </w:style>
  <w:style w:type="paragraph" w:customStyle="1" w:styleId="11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Cs w:val="21"/>
      <w:lang w:eastAsia="en-US"/>
    </w:rPr>
  </w:style>
  <w:style w:type="paragraph" w:customStyle="1" w:styleId="114">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24"/>
      <w:szCs w:val="24"/>
      <w:lang w:eastAsia="en-US"/>
    </w:rPr>
  </w:style>
  <w:style w:type="paragraph" w:customStyle="1" w:styleId="115">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Arial Unicode MS" w:cs="Times New Roman"/>
      <w:kern w:val="0"/>
      <w:sz w:val="14"/>
      <w:szCs w:val="14"/>
      <w:lang w:eastAsia="en-US"/>
    </w:rPr>
  </w:style>
  <w:style w:type="paragraph" w:customStyle="1" w:styleId="116">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table_1stline"/>
    <w:basedOn w:val="1"/>
    <w:autoRedefine/>
    <w:qFormat/>
    <w:uiPriority w:val="0"/>
    <w:pPr>
      <w:widowControl/>
      <w:spacing w:before="120"/>
      <w:jc w:val="left"/>
    </w:pPr>
    <w:rPr>
      <w:rFonts w:ascii="Times New Roman" w:hAnsi="Times New Roman" w:eastAsia="宋体" w:cs="Times New Roman"/>
      <w:bCs/>
      <w:kern w:val="0"/>
      <w:sz w:val="20"/>
      <w:szCs w:val="20"/>
      <w:lang w:val="de-DE" w:eastAsia="de-DE"/>
    </w:rPr>
  </w:style>
  <w:style w:type="paragraph" w:customStyle="1" w:styleId="118">
    <w:name w:val="表文字"/>
    <w:basedOn w:val="6"/>
    <w:autoRedefine/>
    <w:qFormat/>
    <w:uiPriority w:val="0"/>
    <w:pPr>
      <w:overflowPunct w:val="0"/>
      <w:autoSpaceDE w:val="0"/>
      <w:autoSpaceDN w:val="0"/>
      <w:adjustRightInd w:val="0"/>
      <w:snapToGrid w:val="0"/>
      <w:spacing w:line="360" w:lineRule="auto"/>
      <w:ind w:firstLine="0"/>
    </w:pPr>
    <w:rPr>
      <w:rFonts w:ascii="Calibri" w:hAnsi="Calibri" w:eastAsia="幼圆" w:cs="Times New Roman"/>
      <w:kern w:val="28"/>
    </w:rPr>
  </w:style>
  <w:style w:type="paragraph" w:customStyle="1" w:styleId="119">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宋体" w:cs="Times New Roman"/>
      <w:kern w:val="0"/>
      <w:sz w:val="18"/>
      <w:szCs w:val="18"/>
    </w:rPr>
  </w:style>
  <w:style w:type="paragraph" w:customStyle="1" w:styleId="120">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Times New Roman"/>
      <w:kern w:val="0"/>
      <w:sz w:val="24"/>
      <w:szCs w:val="24"/>
    </w:rPr>
  </w:style>
  <w:style w:type="paragraph" w:customStyle="1" w:styleId="121">
    <w:name w:val="Char1"/>
    <w:basedOn w:val="1"/>
    <w:autoRedefine/>
    <w:qFormat/>
    <w:uiPriority w:val="0"/>
    <w:pPr>
      <w:widowControl/>
      <w:jc w:val="left"/>
    </w:pPr>
    <w:rPr>
      <w:rFonts w:ascii="Times New Roman" w:hAnsi="Times New Roman" w:eastAsia="宋体" w:cs="Times New Roman"/>
      <w:kern w:val="0"/>
      <w:szCs w:val="20"/>
    </w:rPr>
  </w:style>
  <w:style w:type="paragraph" w:customStyle="1" w:styleId="122">
    <w:name w:val=" Char2"/>
    <w:basedOn w:val="1"/>
    <w:autoRedefine/>
    <w:qFormat/>
    <w:uiPriority w:val="0"/>
    <w:rPr>
      <w:rFonts w:ascii="仿宋_GB2312" w:hAnsi="Times New Roman" w:eastAsia="仿宋_GB2312"/>
      <w:b/>
      <w:sz w:val="32"/>
      <w:szCs w:val="32"/>
    </w:rPr>
  </w:style>
  <w:style w:type="paragraph" w:customStyle="1" w:styleId="123">
    <w:name w:val="Char2"/>
    <w:basedOn w:val="1"/>
    <w:autoRedefine/>
    <w:qFormat/>
    <w:uiPriority w:val="0"/>
    <w:rPr>
      <w:rFonts w:ascii="仿宋_GB2312" w:eastAsia="仿宋_GB2312"/>
      <w:b/>
      <w:sz w:val="32"/>
      <w:szCs w:val="32"/>
    </w:rPr>
  </w:style>
  <w:style w:type="paragraph" w:customStyle="1" w:styleId="124">
    <w:name w:val="菲页1"/>
    <w:basedOn w:val="3"/>
    <w:autoRedefine/>
    <w:qFormat/>
    <w:uiPriority w:val="0"/>
    <w:pPr>
      <w:widowControl/>
      <w:jc w:val="center"/>
    </w:pPr>
    <w:rPr>
      <w:rFonts w:ascii="黑体" w:hAnsi="宋体" w:eastAsia="黑体" w:cs="Times New Roman"/>
      <w:color w:val="000000"/>
      <w:kern w:val="0"/>
      <w:sz w:val="52"/>
    </w:rPr>
  </w:style>
  <w:style w:type="paragraph" w:customStyle="1" w:styleId="125">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24"/>
      <w:szCs w:val="24"/>
      <w:lang w:eastAsia="en-US"/>
    </w:rPr>
  </w:style>
  <w:style w:type="paragraph" w:customStyle="1" w:styleId="126">
    <w:name w:val="表内文字"/>
    <w:basedOn w:val="1"/>
    <w:autoRedefine/>
    <w:qFormat/>
    <w:uiPriority w:val="0"/>
    <w:pPr>
      <w:spacing w:line="500" w:lineRule="atLeast"/>
      <w:jc w:val="center"/>
    </w:pPr>
    <w:rPr>
      <w:rFonts w:ascii="Arial" w:hAnsi="Arial" w:eastAsia="楷体_GB2312" w:cs="Times New Roman"/>
      <w:sz w:val="28"/>
    </w:rPr>
  </w:style>
  <w:style w:type="paragraph" w:customStyle="1" w:styleId="127">
    <w:name w:val="font6"/>
    <w:basedOn w:val="1"/>
    <w:autoRedefine/>
    <w:qFormat/>
    <w:uiPriority w:val="0"/>
    <w:pPr>
      <w:widowControl/>
      <w:spacing w:before="100" w:beforeAutospacing="1" w:after="100" w:afterAutospacing="1"/>
      <w:jc w:val="left"/>
    </w:pPr>
    <w:rPr>
      <w:rFonts w:ascii="Times New Roman" w:hAnsi="Times New Roman" w:eastAsia="Arial Unicode MS" w:cs="Times New Roman"/>
      <w:kern w:val="0"/>
      <w:szCs w:val="21"/>
      <w:lang w:eastAsia="en-US"/>
    </w:rPr>
  </w:style>
  <w:style w:type="paragraph" w:customStyle="1" w:styleId="128">
    <w:name w:val="附件"/>
    <w:basedOn w:val="2"/>
    <w:autoRedefine/>
    <w:qFormat/>
    <w:uiPriority w:val="0"/>
    <w:pPr>
      <w:keepNext w:val="0"/>
      <w:keepLines w:val="0"/>
      <w:pageBreakBefore/>
      <w:tabs>
        <w:tab w:val="left" w:pos="840"/>
      </w:tabs>
      <w:adjustRightInd w:val="0"/>
      <w:snapToGrid w:val="0"/>
      <w:spacing w:before="312" w:beforeLines="100" w:after="312" w:afterLines="100" w:line="240" w:lineRule="auto"/>
      <w:jc w:val="center"/>
    </w:pPr>
    <w:rPr>
      <w:rFonts w:ascii="宋体" w:hAnsi="宋体" w:eastAsia="宋体" w:cs="Times New Roman"/>
      <w:sz w:val="28"/>
      <w:szCs w:val="36"/>
    </w:rPr>
  </w:style>
  <w:style w:type="paragraph" w:customStyle="1" w:styleId="129">
    <w:name w:val="目录"/>
    <w:basedOn w:val="1"/>
    <w:autoRedefine/>
    <w:qFormat/>
    <w:uiPriority w:val="0"/>
    <w:pPr>
      <w:widowControl/>
      <w:jc w:val="center"/>
    </w:pPr>
    <w:rPr>
      <w:rFonts w:hint="eastAsia" w:ascii="宋体" w:hAnsi="Times New Roman" w:eastAsia="宋体" w:cs="Times New Roman"/>
      <w:b/>
      <w:kern w:val="0"/>
      <w:sz w:val="36"/>
      <w:szCs w:val="20"/>
    </w:rPr>
  </w:style>
  <w:style w:type="paragraph" w:customStyle="1" w:styleId="130">
    <w:name w:val="_Style 1"/>
    <w:basedOn w:val="1"/>
    <w:autoRedefine/>
    <w:qFormat/>
    <w:uiPriority w:val="34"/>
    <w:pPr>
      <w:widowControl/>
      <w:ind w:firstLine="420" w:firstLineChars="200"/>
      <w:jc w:val="left"/>
    </w:pPr>
    <w:rPr>
      <w:rFonts w:ascii="Calibri" w:hAnsi="Calibri"/>
      <w:kern w:val="0"/>
    </w:rPr>
  </w:style>
  <w:style w:type="paragraph" w:customStyle="1" w:styleId="131">
    <w:name w:val="样式1"/>
    <w:basedOn w:val="1"/>
    <w:autoRedefine/>
    <w:qFormat/>
    <w:uiPriority w:val="0"/>
    <w:pPr>
      <w:spacing w:before="120" w:after="120" w:line="300" w:lineRule="auto"/>
    </w:pPr>
    <w:rPr>
      <w:rFonts w:ascii="宋体" w:hAnsi="宋体" w:eastAsia="宋体" w:cs="Times New Roman"/>
      <w:b/>
      <w:sz w:val="24"/>
      <w:szCs w:val="20"/>
    </w:rPr>
  </w:style>
  <w:style w:type="paragraph" w:customStyle="1" w:styleId="13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133">
    <w:name w:val="保留正文"/>
    <w:basedOn w:val="15"/>
    <w:autoRedefine/>
    <w:qFormat/>
    <w:uiPriority w:val="0"/>
    <w:pPr>
      <w:keepNext/>
      <w:spacing w:after="160" w:line="240" w:lineRule="auto"/>
    </w:pPr>
    <w:rPr>
      <w:rFonts w:ascii="Times New Roman" w:hAnsi="Times New Roman" w:eastAsia="宋体" w:cs="Times New Roman"/>
      <w:sz w:val="21"/>
      <w:szCs w:val="24"/>
    </w:rPr>
  </w:style>
  <w:style w:type="paragraph" w:customStyle="1" w:styleId="134">
    <w:name w:val="Char Char Char Char Char Char Char"/>
    <w:basedOn w:val="1"/>
    <w:autoRedefine/>
    <w:qFormat/>
    <w:uiPriority w:val="0"/>
    <w:rPr>
      <w:rFonts w:ascii="仿宋_GB2312" w:hAnsi="Times New Roman" w:eastAsia="仿宋_GB2312" w:cs="Times New Roman"/>
      <w:b/>
      <w:sz w:val="32"/>
      <w:szCs w:val="32"/>
    </w:rPr>
  </w:style>
  <w:style w:type="paragraph" w:customStyle="1" w:styleId="13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136">
    <w:name w:val="Indent a)"/>
    <w:basedOn w:val="1"/>
    <w:autoRedefine/>
    <w:qFormat/>
    <w:uiPriority w:val="0"/>
    <w:pPr>
      <w:widowControl/>
      <w:tabs>
        <w:tab w:val="left" w:pos="1843"/>
        <w:tab w:val="right" w:pos="9072"/>
      </w:tabs>
      <w:suppressAutoHyphens/>
      <w:spacing w:line="360" w:lineRule="auto"/>
      <w:ind w:right="-21" w:rightChars="-10" w:firstLine="420" w:firstLineChars="200"/>
    </w:pPr>
    <w:rPr>
      <w:rFonts w:ascii="宋体" w:hAnsi="宋体" w:eastAsia="宋体" w:cs="Times New Roman"/>
      <w:color w:val="000000"/>
      <w:szCs w:val="20"/>
    </w:rPr>
  </w:style>
  <w:style w:type="paragraph" w:customStyle="1" w:styleId="137">
    <w:name w:val="段"/>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38">
    <w:name w:val="_Style 3"/>
    <w:basedOn w:val="1"/>
    <w:autoRedefine/>
    <w:qFormat/>
    <w:uiPriority w:val="0"/>
    <w:pPr>
      <w:ind w:firstLine="420" w:firstLineChars="200"/>
    </w:pPr>
    <w:rPr>
      <w:rFonts w:ascii="Calibri" w:hAnsi="Calibri" w:eastAsia="宋体" w:cs="Times New Roman"/>
    </w:rPr>
  </w:style>
  <w:style w:type="paragraph" w:customStyle="1" w:styleId="139">
    <w:name w:val="font0"/>
    <w:basedOn w:val="1"/>
    <w:autoRedefine/>
    <w:qFormat/>
    <w:uiPriority w:val="0"/>
    <w:pPr>
      <w:widowControl/>
      <w:spacing w:before="100" w:beforeAutospacing="1" w:after="100" w:afterAutospacing="1"/>
      <w:jc w:val="left"/>
    </w:pPr>
    <w:rPr>
      <w:rFonts w:hint="eastAsia" w:ascii="宋体" w:hAnsi="宋体" w:eastAsia="宋体" w:cs="Courier New"/>
      <w:kern w:val="0"/>
      <w:sz w:val="24"/>
      <w:szCs w:val="24"/>
      <w:lang w:eastAsia="en-US"/>
    </w:rPr>
  </w:style>
  <w:style w:type="paragraph" w:customStyle="1" w:styleId="140">
    <w:name w:val="目录文字"/>
    <w:basedOn w:val="1"/>
    <w:autoRedefine/>
    <w:qFormat/>
    <w:uiPriority w:val="0"/>
    <w:pPr>
      <w:widowControl/>
      <w:spacing w:line="480" w:lineRule="auto"/>
      <w:jc w:val="left"/>
    </w:pPr>
    <w:rPr>
      <w:rFonts w:ascii="宋体" w:hAnsi="宋体" w:eastAsia="宋体" w:cs="Times New Roman"/>
      <w:kern w:val="0"/>
      <w:sz w:val="24"/>
      <w:szCs w:val="20"/>
    </w:rPr>
  </w:style>
  <w:style w:type="paragraph" w:customStyle="1" w:styleId="141">
    <w:name w:val="font7"/>
    <w:basedOn w:val="1"/>
    <w:autoRedefine/>
    <w:qFormat/>
    <w:uiPriority w:val="0"/>
    <w:pPr>
      <w:widowControl/>
      <w:spacing w:before="100" w:beforeAutospacing="1" w:after="100" w:afterAutospacing="1"/>
      <w:jc w:val="left"/>
    </w:pPr>
    <w:rPr>
      <w:rFonts w:hint="eastAsia" w:ascii="宋体" w:hAnsi="宋体" w:eastAsia="宋体" w:cs="Courier New"/>
      <w:kern w:val="0"/>
      <w:szCs w:val="21"/>
      <w:lang w:eastAsia="en-US"/>
    </w:rPr>
  </w:style>
  <w:style w:type="character" w:customStyle="1" w:styleId="142">
    <w:name w:val="NormalCharacter"/>
    <w:autoRedefine/>
    <w:semiHidden/>
    <w:qFormat/>
    <w:uiPriority w:val="0"/>
    <w:rPr>
      <w:kern w:val="2"/>
      <w:sz w:val="21"/>
      <w:szCs w:val="24"/>
      <w:lang w:val="en-US" w:eastAsia="zh-CN" w:bidi="ar-SA"/>
    </w:rPr>
  </w:style>
  <w:style w:type="paragraph" w:customStyle="1" w:styleId="143">
    <w:name w:val="l正文"/>
    <w:autoRedefine/>
    <w:qFormat/>
    <w:uiPriority w:val="0"/>
    <w:pPr>
      <w:widowControl w:val="0"/>
      <w:spacing w:line="300" w:lineRule="auto"/>
      <w:ind w:firstLine="200" w:firstLineChars="200"/>
      <w:jc w:val="left"/>
    </w:pPr>
    <w:rPr>
      <w:rFonts w:ascii="楷体_GB2312" w:hAnsi="Times" w:eastAsia="楷体_GB2312" w:cs="等线"/>
      <w:kern w:val="2"/>
      <w:sz w:val="24"/>
      <w:szCs w:val="24"/>
      <w:lang w:val="en-US" w:eastAsia="zh-CN" w:bidi="ar-SA"/>
    </w:rPr>
  </w:style>
  <w:style w:type="paragraph" w:customStyle="1" w:styleId="144">
    <w:name w:val="列出段落11"/>
    <w:autoRedefine/>
    <w:qFormat/>
    <w:uiPriority w:val="34"/>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customStyle="1" w:styleId="145">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4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4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4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49">
    <w:name w:val="Other|1"/>
    <w:basedOn w:val="1"/>
    <w:autoRedefine/>
    <w:qFormat/>
    <w:uiPriority w:val="0"/>
    <w:pPr>
      <w:widowControl w:val="0"/>
      <w:spacing w:line="281" w:lineRule="exact"/>
      <w:jc w:val="both"/>
    </w:pPr>
    <w:rPr>
      <w:rFonts w:ascii="宋体" w:hAnsi="宋体" w:cs="宋体"/>
      <w:kern w:val="2"/>
      <w:sz w:val="19"/>
      <w:szCs w:val="19"/>
      <w:lang w:val="zh-TW" w:eastAsia="zh-TW" w:bidi="zh-TW"/>
    </w:rPr>
  </w:style>
  <w:style w:type="paragraph" w:customStyle="1" w:styleId="150">
    <w:name w:val="Table Paragraph"/>
    <w:basedOn w:val="1"/>
    <w:autoRedefine/>
    <w:qFormat/>
    <w:uiPriority w:val="0"/>
    <w:pPr>
      <w:adjustRightInd/>
      <w:jc w:val="left"/>
    </w:pPr>
    <w:rPr>
      <w:rFonts w:ascii="Calibri" w:hAnsi="Calibri"/>
      <w:kern w:val="0"/>
      <w:sz w:val="22"/>
      <w:szCs w:val="22"/>
      <w:lang w:eastAsia="en-US"/>
    </w:rPr>
  </w:style>
  <w:style w:type="paragraph" w:customStyle="1" w:styleId="151">
    <w:name w:val="彩色列表 - 强调文字颜色 11"/>
    <w:basedOn w:val="1"/>
    <w:autoRedefine/>
    <w:qFormat/>
    <w:uiPriority w:val="99"/>
    <w:pPr>
      <w:ind w:firstLine="420" w:firstLineChars="200"/>
    </w:pPr>
  </w:style>
  <w:style w:type="paragraph" w:customStyle="1" w:styleId="152">
    <w:name w:val="正文缩进1"/>
    <w:basedOn w:val="1"/>
    <w:next w:val="1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53">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154">
    <w:name w:val="纯文本1"/>
    <w:basedOn w:val="1"/>
    <w:autoRedefine/>
    <w:qFormat/>
    <w:uiPriority w:val="0"/>
    <w:pPr>
      <w:adjustRightInd/>
    </w:pPr>
    <w:rPr>
      <w:rFonts w:ascii="宋体" w:hAnsi="Courier New"/>
      <w:kern w:val="0"/>
      <w:sz w:val="20"/>
      <w:szCs w:val="20"/>
    </w:rPr>
  </w:style>
  <w:style w:type="paragraph" w:customStyle="1" w:styleId="155">
    <w:name w:val="AbsatzTableFormat"/>
    <w:basedOn w:val="1"/>
    <w:autoRedefine/>
    <w:qFormat/>
    <w:uiPriority w:val="0"/>
    <w:pPr>
      <w:widowControl/>
      <w:jc w:val="left"/>
    </w:pPr>
    <w:rPr>
      <w:rFonts w:ascii="Arial Narrow" w:hAnsi="Arial Narrow"/>
      <w:bCs/>
      <w:kern w:val="0"/>
      <w:sz w:val="22"/>
      <w:szCs w:val="21"/>
      <w:lang w:val="de-DE"/>
    </w:rPr>
  </w:style>
  <w:style w:type="character" w:customStyle="1" w:styleId="156">
    <w:name w:val="Anrede1IhrZeichen"/>
    <w:autoRedefine/>
    <w:qFormat/>
    <w:uiPriority w:val="0"/>
    <w:rPr>
      <w:rFonts w:hint="default" w:ascii="Arial" w:hAnsi="Arial"/>
      <w:sz w:val="20"/>
    </w:rPr>
  </w:style>
  <w:style w:type="character" w:customStyle="1" w:styleId="157">
    <w:name w:val="font31"/>
    <w:autoRedefine/>
    <w:qFormat/>
    <w:uiPriority w:val="0"/>
    <w:rPr>
      <w:rFonts w:ascii="宋体" w:hAnsi="宋体" w:eastAsia="宋体" w:cs="宋体"/>
      <w:color w:val="000000"/>
      <w:sz w:val="21"/>
      <w:szCs w:val="21"/>
      <w:u w:val="none"/>
    </w:rPr>
  </w:style>
  <w:style w:type="character" w:customStyle="1" w:styleId="158">
    <w:name w:val="font41"/>
    <w:basedOn w:val="39"/>
    <w:autoRedefine/>
    <w:qFormat/>
    <w:uiPriority w:val="0"/>
    <w:rPr>
      <w:rFonts w:hint="default" w:ascii="Kaiti SC" w:hAnsi="Kaiti SC" w:eastAsia="Kaiti SC" w:cs="Kaiti SC"/>
      <w:color w:val="000000"/>
      <w:sz w:val="24"/>
      <w:szCs w:val="24"/>
      <w:u w:val="none"/>
    </w:rPr>
  </w:style>
  <w:style w:type="character" w:customStyle="1" w:styleId="159">
    <w:name w:val="font71"/>
    <w:basedOn w:val="39"/>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83</Pages>
  <Words>37913</Words>
  <Characters>39204</Characters>
  <Lines>260</Lines>
  <Paragraphs>73</Paragraphs>
  <TotalTime>26</TotalTime>
  <ScaleCrop>false</ScaleCrop>
  <LinksUpToDate>false</LinksUpToDate>
  <CharactersWithSpaces>44459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2020-03-19T05:44:00Z</dcterms:created>
  <dc:creator>ry12</dc:creator>
  <cp:lastModifiedBy>吉</cp:lastModifiedBy>
  <cp:lastPrinted>2024-03-13T06:38:00Z</cp:lastPrinted>
  <dcterms:modified xsi:type="dcterms:W3CDTF">2024-04-18T06:47:31Z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38844AE411434CE39653733345879C81_13</vt:lpwstr>
  </property>
</Properties>
</file>