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52"/>
          <w:szCs w:val="52"/>
        </w:rPr>
      </w:pPr>
      <w:bookmarkStart w:id="0" w:name="_Toc2776"/>
      <w:bookmarkStart w:id="1" w:name="_Toc19157"/>
    </w:p>
    <w:bookmarkEnd w:id="0"/>
    <w:bookmarkEnd w:id="1"/>
    <w:p>
      <w:pPr>
        <w:jc w:val="center"/>
        <w:outlineLvl w:val="0"/>
        <w:rPr>
          <w:rFonts w:hint="eastAsia" w:eastAsiaTheme="minorEastAsia"/>
          <w:lang w:eastAsia="zh-CN"/>
        </w:rPr>
      </w:pPr>
      <w:bookmarkStart w:id="2" w:name="_Toc2169"/>
      <w:r>
        <w:rPr>
          <w:rFonts w:hint="eastAsia"/>
          <w:b/>
          <w:bCs/>
          <w:sz w:val="52"/>
          <w:szCs w:val="52"/>
          <w:lang w:eastAsia="zh-CN"/>
        </w:rPr>
        <w:t>瑞安市公安局便携式无人机防御反制设备采购项目</w:t>
      </w:r>
      <w:bookmarkEnd w:id="2"/>
    </w:p>
    <w:p/>
    <w:p/>
    <w:p/>
    <w:p/>
    <w:p>
      <w:pPr>
        <w:pStyle w:val="2"/>
      </w:pPr>
    </w:p>
    <w:p/>
    <w:p/>
    <w:p/>
    <w:p>
      <w:pPr>
        <w:jc w:val="center"/>
        <w:rPr>
          <w:rFonts w:ascii="宋体" w:hAnsi="宋体" w:eastAsia="宋体" w:cs="宋体"/>
          <w:b/>
          <w:bCs/>
          <w:sz w:val="72"/>
        </w:rPr>
      </w:pPr>
      <w:r>
        <w:rPr>
          <w:rFonts w:hint="eastAsia" w:ascii="宋体" w:hAnsi="宋体" w:eastAsia="宋体" w:cs="宋体"/>
          <w:b/>
          <w:bCs/>
          <w:sz w:val="72"/>
        </w:rPr>
        <w:t>磋 商 文 件</w:t>
      </w:r>
    </w:p>
    <w:p>
      <w:pPr>
        <w:jc w:val="center"/>
      </w:pPr>
      <w:r>
        <w:rPr>
          <w:rFonts w:hint="eastAsia" w:ascii="宋体" w:hAnsi="宋体" w:eastAsia="宋体" w:cs="宋体"/>
          <w:b/>
          <w:bCs/>
          <w:sz w:val="36"/>
          <w:szCs w:val="36"/>
        </w:rPr>
        <w:t>（线上电子招投标）</w:t>
      </w:r>
    </w:p>
    <w:p/>
    <w:p/>
    <w:p/>
    <w:p/>
    <w:p/>
    <w:p/>
    <w:p/>
    <w:p/>
    <w:p/>
    <w:p>
      <w:pPr>
        <w:spacing w:line="360" w:lineRule="auto"/>
        <w:ind w:firstLine="640" w:firstLineChars="200"/>
        <w:rPr>
          <w:sz w:val="32"/>
          <w:szCs w:val="40"/>
        </w:rPr>
      </w:pPr>
      <w:r>
        <w:rPr>
          <w:rFonts w:hint="eastAsia"/>
          <w:sz w:val="32"/>
          <w:szCs w:val="40"/>
        </w:rPr>
        <w:t>项 目  编 号：</w:t>
      </w:r>
      <w:r>
        <w:rPr>
          <w:rFonts w:hint="eastAsia"/>
          <w:sz w:val="32"/>
          <w:szCs w:val="40"/>
          <w:lang w:eastAsia="zh-CN"/>
        </w:rPr>
        <w:t>zjzs202306029</w:t>
      </w:r>
      <w:r>
        <w:rPr>
          <w:rFonts w:hint="eastAsia"/>
          <w:sz w:val="32"/>
          <w:szCs w:val="40"/>
        </w:rPr>
        <w:t xml:space="preserve"> </w:t>
      </w:r>
    </w:p>
    <w:p>
      <w:pPr>
        <w:spacing w:line="360" w:lineRule="auto"/>
        <w:ind w:firstLine="640" w:firstLineChars="200"/>
        <w:rPr>
          <w:sz w:val="32"/>
          <w:szCs w:val="40"/>
        </w:rPr>
      </w:pPr>
      <w:r>
        <w:rPr>
          <w:rFonts w:hint="eastAsia"/>
          <w:sz w:val="32"/>
          <w:szCs w:val="40"/>
        </w:rPr>
        <w:t>采 购  方 式：竞争性磋商</w:t>
      </w:r>
    </w:p>
    <w:p>
      <w:pPr>
        <w:spacing w:line="360" w:lineRule="auto"/>
        <w:ind w:firstLine="640" w:firstLineChars="200"/>
        <w:rPr>
          <w:rFonts w:hint="default" w:eastAsiaTheme="minorEastAsia"/>
          <w:sz w:val="32"/>
          <w:szCs w:val="40"/>
          <w:lang w:val="en-US" w:eastAsia="zh-CN"/>
        </w:rPr>
      </w:pPr>
      <w:r>
        <w:rPr>
          <w:rFonts w:hint="eastAsia"/>
          <w:sz w:val="32"/>
          <w:szCs w:val="40"/>
        </w:rPr>
        <w:t>采   购   人：</w:t>
      </w:r>
      <w:r>
        <w:rPr>
          <w:rFonts w:hint="eastAsia"/>
          <w:sz w:val="32"/>
          <w:szCs w:val="40"/>
          <w:lang w:val="en-US" w:eastAsia="zh-CN"/>
        </w:rPr>
        <w:t>瑞安市公安局</w:t>
      </w:r>
    </w:p>
    <w:p>
      <w:pPr>
        <w:ind w:firstLine="640" w:firstLineChars="200"/>
        <w:rPr>
          <w:sz w:val="32"/>
          <w:szCs w:val="40"/>
        </w:rPr>
      </w:pPr>
      <w:r>
        <w:rPr>
          <w:rFonts w:hint="eastAsia"/>
          <w:sz w:val="32"/>
          <w:szCs w:val="40"/>
        </w:rPr>
        <w:t>采购代理机构：浙江综盛项目管理有限公司</w:t>
      </w:r>
    </w:p>
    <w:p>
      <w:pPr>
        <w:rPr>
          <w:sz w:val="32"/>
          <w:szCs w:val="40"/>
        </w:rPr>
      </w:pPr>
    </w:p>
    <w:p>
      <w:pPr>
        <w:pStyle w:val="2"/>
      </w:pPr>
    </w:p>
    <w:p>
      <w:pPr>
        <w:jc w:val="center"/>
        <w:rPr>
          <w:b/>
          <w:bCs/>
          <w:sz w:val="52"/>
          <w:szCs w:val="52"/>
        </w:rPr>
      </w:pPr>
      <w:r>
        <w:rPr>
          <w:rFonts w:hint="eastAsia"/>
          <w:sz w:val="32"/>
          <w:szCs w:val="40"/>
        </w:rPr>
        <w:t>二○二三年</w:t>
      </w:r>
      <w:r>
        <w:rPr>
          <w:rFonts w:hint="eastAsia"/>
          <w:sz w:val="32"/>
          <w:szCs w:val="40"/>
          <w:lang w:val="en-US" w:eastAsia="zh-CN"/>
        </w:rPr>
        <w:t>七</w:t>
      </w:r>
      <w:r>
        <w:rPr>
          <w:rFonts w:hint="eastAsia"/>
          <w:sz w:val="32"/>
          <w:szCs w:val="40"/>
        </w:rPr>
        <w:t>月</w:t>
      </w:r>
    </w:p>
    <w:sdt>
      <w:sdtPr>
        <w:id w:val="147474826"/>
        <w:docPartObj>
          <w:docPartGallery w:val="Table of Contents"/>
          <w:docPartUnique/>
        </w:docPartObj>
      </w:sdtPr>
      <w:sdtEndPr>
        <w:rPr>
          <w:rFonts w:ascii="宋体" w:hAnsi="宋体" w:eastAsia="宋体"/>
        </w:rPr>
      </w:sdtEndPr>
      <w:sdtContent>
        <w:p>
          <w:pPr>
            <w:spacing w:line="360" w:lineRule="auto"/>
            <w:jc w:val="center"/>
            <w:rPr>
              <w:rFonts w:asciiTheme="minorHAnsi" w:hAnsiTheme="minorHAnsi" w:eastAsiaTheme="minorEastAsia" w:cstheme="minorBidi"/>
              <w:kern w:val="2"/>
              <w:sz w:val="21"/>
              <w:szCs w:val="24"/>
              <w:lang w:val="en-US" w:eastAsia="zh-CN" w:bidi="ar-SA"/>
            </w:rPr>
          </w:pPr>
          <w:r>
            <w:rPr>
              <w:rFonts w:ascii="宋体" w:hAnsi="宋体" w:eastAsia="宋体"/>
              <w:b/>
              <w:bCs/>
              <w:sz w:val="40"/>
              <w:szCs w:val="48"/>
            </w:rPr>
            <w:t>目</w:t>
          </w:r>
          <w:r>
            <w:rPr>
              <w:rFonts w:hint="eastAsia" w:ascii="宋体" w:hAnsi="宋体" w:eastAsia="宋体"/>
              <w:b/>
              <w:bCs/>
              <w:sz w:val="40"/>
              <w:szCs w:val="48"/>
            </w:rPr>
            <w:t xml:space="preserve"> </w:t>
          </w:r>
          <w:r>
            <w:rPr>
              <w:rFonts w:ascii="宋体" w:hAnsi="宋体" w:eastAsia="宋体"/>
              <w:b/>
              <w:bCs/>
              <w:sz w:val="40"/>
              <w:szCs w:val="48"/>
            </w:rPr>
            <w:t>录</w:t>
          </w:r>
          <w:r>
            <w:fldChar w:fldCharType="begin"/>
          </w:r>
          <w:r>
            <w:instrText xml:space="preserve">TOC \o "1-3" \h \u </w:instrText>
          </w:r>
          <w:r>
            <w:fldChar w:fldCharType="separate"/>
          </w:r>
        </w:p>
        <w:p>
          <w:pPr>
            <w:pStyle w:val="18"/>
            <w:tabs>
              <w:tab w:val="right" w:leader="dot" w:pos="8306"/>
              <w:tab w:val="clear" w:pos="8948"/>
            </w:tabs>
            <w:spacing w:line="360" w:lineRule="auto"/>
            <w:rPr>
              <w:sz w:val="21"/>
              <w:szCs w:val="21"/>
            </w:rPr>
          </w:pPr>
          <w:r>
            <w:rPr>
              <w:sz w:val="21"/>
              <w:szCs w:val="21"/>
            </w:rPr>
            <w:fldChar w:fldCharType="begin"/>
          </w:r>
          <w:r>
            <w:rPr>
              <w:sz w:val="21"/>
              <w:szCs w:val="21"/>
            </w:rPr>
            <w:instrText xml:space="preserve"> HYPERLINK \l _Toc10754 </w:instrText>
          </w:r>
          <w:r>
            <w:rPr>
              <w:sz w:val="21"/>
              <w:szCs w:val="21"/>
            </w:rPr>
            <w:fldChar w:fldCharType="separate"/>
          </w:r>
          <w:r>
            <w:rPr>
              <w:rFonts w:hint="eastAsia" w:hAnsi="宋体" w:eastAsia="宋体" w:cs="宋体"/>
              <w:sz w:val="21"/>
              <w:szCs w:val="36"/>
            </w:rPr>
            <w:t>第一部分  竞争性磋商公告</w:t>
          </w:r>
          <w:r>
            <w:rPr>
              <w:sz w:val="21"/>
              <w:szCs w:val="21"/>
            </w:rPr>
            <w:tab/>
          </w:r>
          <w:r>
            <w:rPr>
              <w:sz w:val="21"/>
              <w:szCs w:val="21"/>
            </w:rPr>
            <w:fldChar w:fldCharType="begin"/>
          </w:r>
          <w:r>
            <w:rPr>
              <w:sz w:val="21"/>
              <w:szCs w:val="21"/>
            </w:rPr>
            <w:instrText xml:space="preserve"> PAGEREF _Toc10754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8"/>
            <w:tabs>
              <w:tab w:val="right" w:leader="dot" w:pos="8306"/>
              <w:tab w:val="clear" w:pos="8948"/>
            </w:tabs>
            <w:spacing w:line="360" w:lineRule="auto"/>
            <w:rPr>
              <w:sz w:val="21"/>
              <w:szCs w:val="21"/>
            </w:rPr>
          </w:pPr>
          <w:r>
            <w:rPr>
              <w:sz w:val="21"/>
              <w:szCs w:val="21"/>
            </w:rPr>
            <w:fldChar w:fldCharType="begin"/>
          </w:r>
          <w:r>
            <w:rPr>
              <w:sz w:val="21"/>
              <w:szCs w:val="21"/>
            </w:rPr>
            <w:instrText xml:space="preserve"> HYPERLINK \l _Toc44 </w:instrText>
          </w:r>
          <w:r>
            <w:rPr>
              <w:sz w:val="21"/>
              <w:szCs w:val="21"/>
            </w:rPr>
            <w:fldChar w:fldCharType="separate"/>
          </w:r>
          <w:r>
            <w:rPr>
              <w:rFonts w:hint="eastAsia" w:hAnsi="宋体" w:eastAsia="宋体" w:cs="宋体"/>
              <w:sz w:val="21"/>
              <w:szCs w:val="36"/>
            </w:rPr>
            <w:t>第二部分  磋商供应商须知</w:t>
          </w:r>
          <w:r>
            <w:rPr>
              <w:sz w:val="21"/>
              <w:szCs w:val="21"/>
            </w:rPr>
            <w:tab/>
          </w:r>
          <w:r>
            <w:rPr>
              <w:sz w:val="21"/>
              <w:szCs w:val="21"/>
            </w:rPr>
            <w:fldChar w:fldCharType="begin"/>
          </w:r>
          <w:r>
            <w:rPr>
              <w:sz w:val="21"/>
              <w:szCs w:val="21"/>
            </w:rPr>
            <w:instrText xml:space="preserve"> PAGEREF _Toc44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_Toc8269 </w:instrText>
          </w:r>
          <w:r>
            <w:rPr>
              <w:sz w:val="21"/>
              <w:szCs w:val="24"/>
            </w:rPr>
            <w:fldChar w:fldCharType="separate"/>
          </w:r>
          <w:r>
            <w:rPr>
              <w:rFonts w:hint="eastAsia" w:ascii="宋体" w:hAnsi="宋体" w:eastAsia="宋体" w:cs="宋体"/>
              <w:sz w:val="21"/>
              <w:szCs w:val="24"/>
            </w:rPr>
            <w:t>（一）</w:t>
          </w:r>
          <w:r>
            <w:rPr>
              <w:rFonts w:hint="eastAsia" w:ascii="宋体" w:hAnsi="宋体" w:eastAsia="宋体" w:cs="宋体"/>
              <w:bCs w:val="0"/>
              <w:sz w:val="21"/>
              <w:szCs w:val="24"/>
            </w:rPr>
            <w:t>磋商须知前附表</w:t>
          </w:r>
          <w:r>
            <w:rPr>
              <w:sz w:val="21"/>
              <w:szCs w:val="24"/>
            </w:rPr>
            <w:tab/>
          </w:r>
          <w:r>
            <w:rPr>
              <w:sz w:val="21"/>
              <w:szCs w:val="24"/>
            </w:rPr>
            <w:fldChar w:fldCharType="begin"/>
          </w:r>
          <w:r>
            <w:rPr>
              <w:sz w:val="21"/>
              <w:szCs w:val="24"/>
            </w:rPr>
            <w:instrText xml:space="preserve"> PAGEREF _Toc8269 \h </w:instrText>
          </w:r>
          <w:r>
            <w:rPr>
              <w:sz w:val="21"/>
              <w:szCs w:val="24"/>
            </w:rPr>
            <w:fldChar w:fldCharType="separate"/>
          </w:r>
          <w:r>
            <w:rPr>
              <w:sz w:val="21"/>
              <w:szCs w:val="24"/>
            </w:rPr>
            <w:t>5</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_Toc30133 </w:instrText>
          </w:r>
          <w:r>
            <w:rPr>
              <w:sz w:val="21"/>
              <w:szCs w:val="24"/>
            </w:rPr>
            <w:fldChar w:fldCharType="separate"/>
          </w:r>
          <w:r>
            <w:rPr>
              <w:rFonts w:hint="eastAsia" w:ascii="宋体" w:hAnsi="宋体" w:eastAsia="宋体" w:cs="宋体"/>
              <w:bCs w:val="0"/>
              <w:sz w:val="21"/>
              <w:szCs w:val="24"/>
            </w:rPr>
            <w:t>（二）总   则</w:t>
          </w:r>
          <w:r>
            <w:rPr>
              <w:sz w:val="21"/>
              <w:szCs w:val="24"/>
            </w:rPr>
            <w:tab/>
          </w:r>
          <w:r>
            <w:rPr>
              <w:sz w:val="21"/>
              <w:szCs w:val="24"/>
            </w:rPr>
            <w:fldChar w:fldCharType="begin"/>
          </w:r>
          <w:r>
            <w:rPr>
              <w:sz w:val="21"/>
              <w:szCs w:val="24"/>
            </w:rPr>
            <w:instrText xml:space="preserve"> PAGEREF _Toc30133 \h </w:instrText>
          </w:r>
          <w:r>
            <w:rPr>
              <w:sz w:val="21"/>
              <w:szCs w:val="24"/>
            </w:rPr>
            <w:fldChar w:fldCharType="separate"/>
          </w:r>
          <w:r>
            <w:rPr>
              <w:sz w:val="21"/>
              <w:szCs w:val="24"/>
            </w:rPr>
            <w:t>14</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_Toc12190 </w:instrText>
          </w:r>
          <w:r>
            <w:rPr>
              <w:sz w:val="21"/>
              <w:szCs w:val="24"/>
            </w:rPr>
            <w:fldChar w:fldCharType="separate"/>
          </w:r>
          <w:r>
            <w:rPr>
              <w:rFonts w:hint="eastAsia" w:ascii="宋体" w:hAnsi="宋体" w:eastAsia="宋体" w:cs="宋体"/>
              <w:bCs w:val="0"/>
              <w:sz w:val="21"/>
              <w:szCs w:val="24"/>
            </w:rPr>
            <w:t>（三）磋商文件说明</w:t>
          </w:r>
          <w:r>
            <w:rPr>
              <w:sz w:val="21"/>
              <w:szCs w:val="24"/>
            </w:rPr>
            <w:tab/>
          </w:r>
          <w:r>
            <w:rPr>
              <w:sz w:val="21"/>
              <w:szCs w:val="24"/>
            </w:rPr>
            <w:fldChar w:fldCharType="begin"/>
          </w:r>
          <w:r>
            <w:rPr>
              <w:sz w:val="21"/>
              <w:szCs w:val="24"/>
            </w:rPr>
            <w:instrText xml:space="preserve"> PAGEREF _Toc12190 \h </w:instrText>
          </w:r>
          <w:r>
            <w:rPr>
              <w:sz w:val="21"/>
              <w:szCs w:val="24"/>
            </w:rPr>
            <w:fldChar w:fldCharType="separate"/>
          </w:r>
          <w:r>
            <w:rPr>
              <w:sz w:val="21"/>
              <w:szCs w:val="24"/>
            </w:rPr>
            <w:t>16</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_Toc27184 </w:instrText>
          </w:r>
          <w:r>
            <w:rPr>
              <w:sz w:val="21"/>
              <w:szCs w:val="24"/>
            </w:rPr>
            <w:fldChar w:fldCharType="separate"/>
          </w:r>
          <w:r>
            <w:rPr>
              <w:rFonts w:hint="eastAsia" w:ascii="宋体" w:hAnsi="宋体" w:eastAsia="宋体" w:cs="宋体"/>
              <w:bCs w:val="0"/>
              <w:sz w:val="21"/>
              <w:szCs w:val="24"/>
            </w:rPr>
            <w:t>（四）磋商响应文件的编制</w:t>
          </w:r>
          <w:r>
            <w:rPr>
              <w:sz w:val="21"/>
              <w:szCs w:val="24"/>
            </w:rPr>
            <w:tab/>
          </w:r>
          <w:r>
            <w:rPr>
              <w:sz w:val="21"/>
              <w:szCs w:val="24"/>
            </w:rPr>
            <w:fldChar w:fldCharType="begin"/>
          </w:r>
          <w:r>
            <w:rPr>
              <w:sz w:val="21"/>
              <w:szCs w:val="24"/>
            </w:rPr>
            <w:instrText xml:space="preserve"> PAGEREF _Toc27184 \h </w:instrText>
          </w:r>
          <w:r>
            <w:rPr>
              <w:sz w:val="21"/>
              <w:szCs w:val="24"/>
            </w:rPr>
            <w:fldChar w:fldCharType="separate"/>
          </w:r>
          <w:r>
            <w:rPr>
              <w:sz w:val="21"/>
              <w:szCs w:val="24"/>
            </w:rPr>
            <w:t>17</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_Toc32565 </w:instrText>
          </w:r>
          <w:r>
            <w:rPr>
              <w:sz w:val="21"/>
              <w:szCs w:val="24"/>
            </w:rPr>
            <w:fldChar w:fldCharType="separate"/>
          </w:r>
          <w:r>
            <w:rPr>
              <w:rFonts w:hint="eastAsia" w:ascii="宋体" w:hAnsi="宋体" w:eastAsia="宋体" w:cs="宋体"/>
              <w:bCs w:val="0"/>
              <w:sz w:val="21"/>
              <w:szCs w:val="24"/>
            </w:rPr>
            <w:t>（五）磋商响应文件的递交</w:t>
          </w:r>
          <w:r>
            <w:rPr>
              <w:sz w:val="21"/>
              <w:szCs w:val="24"/>
            </w:rPr>
            <w:tab/>
          </w:r>
          <w:r>
            <w:rPr>
              <w:sz w:val="21"/>
              <w:szCs w:val="24"/>
            </w:rPr>
            <w:fldChar w:fldCharType="begin"/>
          </w:r>
          <w:r>
            <w:rPr>
              <w:sz w:val="21"/>
              <w:szCs w:val="24"/>
            </w:rPr>
            <w:instrText xml:space="preserve"> PAGEREF _Toc32565 \h </w:instrText>
          </w:r>
          <w:r>
            <w:rPr>
              <w:sz w:val="21"/>
              <w:szCs w:val="24"/>
            </w:rPr>
            <w:fldChar w:fldCharType="separate"/>
          </w:r>
          <w:r>
            <w:rPr>
              <w:sz w:val="21"/>
              <w:szCs w:val="24"/>
            </w:rPr>
            <w:t>22</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_Toc4167 </w:instrText>
          </w:r>
          <w:r>
            <w:rPr>
              <w:sz w:val="21"/>
              <w:szCs w:val="24"/>
            </w:rPr>
            <w:fldChar w:fldCharType="separate"/>
          </w:r>
          <w:r>
            <w:rPr>
              <w:rFonts w:hint="eastAsia" w:ascii="宋体" w:hAnsi="宋体" w:eastAsia="宋体" w:cs="宋体"/>
              <w:bCs w:val="0"/>
              <w:sz w:val="21"/>
              <w:szCs w:val="24"/>
            </w:rPr>
            <w:t>（六）磋商与评审</w:t>
          </w:r>
          <w:r>
            <w:rPr>
              <w:sz w:val="21"/>
              <w:szCs w:val="24"/>
            </w:rPr>
            <w:tab/>
          </w:r>
          <w:r>
            <w:rPr>
              <w:sz w:val="21"/>
              <w:szCs w:val="24"/>
            </w:rPr>
            <w:fldChar w:fldCharType="begin"/>
          </w:r>
          <w:r>
            <w:rPr>
              <w:sz w:val="21"/>
              <w:szCs w:val="24"/>
            </w:rPr>
            <w:instrText xml:space="preserve"> PAGEREF _Toc4167 \h </w:instrText>
          </w:r>
          <w:r>
            <w:rPr>
              <w:sz w:val="21"/>
              <w:szCs w:val="24"/>
            </w:rPr>
            <w:fldChar w:fldCharType="separate"/>
          </w:r>
          <w:r>
            <w:rPr>
              <w:sz w:val="21"/>
              <w:szCs w:val="24"/>
            </w:rPr>
            <w:t>23</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_Toc14225 </w:instrText>
          </w:r>
          <w:r>
            <w:rPr>
              <w:sz w:val="21"/>
              <w:szCs w:val="24"/>
            </w:rPr>
            <w:fldChar w:fldCharType="separate"/>
          </w:r>
          <w:r>
            <w:rPr>
              <w:rFonts w:hint="eastAsia" w:ascii="宋体" w:hAnsi="宋体" w:eastAsia="宋体" w:cs="宋体"/>
              <w:bCs w:val="0"/>
              <w:sz w:val="21"/>
              <w:szCs w:val="24"/>
            </w:rPr>
            <w:t>（七）授予合同</w:t>
          </w:r>
          <w:r>
            <w:rPr>
              <w:sz w:val="21"/>
              <w:szCs w:val="24"/>
            </w:rPr>
            <w:tab/>
          </w:r>
          <w:r>
            <w:rPr>
              <w:sz w:val="21"/>
              <w:szCs w:val="24"/>
            </w:rPr>
            <w:fldChar w:fldCharType="begin"/>
          </w:r>
          <w:r>
            <w:rPr>
              <w:sz w:val="21"/>
              <w:szCs w:val="24"/>
            </w:rPr>
            <w:instrText xml:space="preserve"> PAGEREF _Toc14225 \h </w:instrText>
          </w:r>
          <w:r>
            <w:rPr>
              <w:sz w:val="21"/>
              <w:szCs w:val="24"/>
            </w:rPr>
            <w:fldChar w:fldCharType="separate"/>
          </w:r>
          <w:r>
            <w:rPr>
              <w:sz w:val="21"/>
              <w:szCs w:val="24"/>
            </w:rPr>
            <w:t>28</w:t>
          </w:r>
          <w:r>
            <w:rPr>
              <w:sz w:val="21"/>
              <w:szCs w:val="24"/>
            </w:rPr>
            <w:fldChar w:fldCharType="end"/>
          </w:r>
          <w:r>
            <w:rPr>
              <w:sz w:val="21"/>
              <w:szCs w:val="24"/>
            </w:rPr>
            <w:fldChar w:fldCharType="end"/>
          </w:r>
        </w:p>
        <w:p>
          <w:pPr>
            <w:pStyle w:val="18"/>
            <w:tabs>
              <w:tab w:val="right" w:leader="dot" w:pos="8306"/>
              <w:tab w:val="clear" w:pos="8948"/>
            </w:tabs>
            <w:spacing w:line="360" w:lineRule="auto"/>
            <w:rPr>
              <w:sz w:val="21"/>
              <w:szCs w:val="21"/>
            </w:rPr>
          </w:pPr>
          <w:r>
            <w:rPr>
              <w:sz w:val="21"/>
              <w:szCs w:val="21"/>
            </w:rPr>
            <w:fldChar w:fldCharType="begin"/>
          </w:r>
          <w:r>
            <w:rPr>
              <w:sz w:val="21"/>
              <w:szCs w:val="21"/>
            </w:rPr>
            <w:instrText xml:space="preserve"> HYPERLINK \l _Toc10899 </w:instrText>
          </w:r>
          <w:r>
            <w:rPr>
              <w:sz w:val="21"/>
              <w:szCs w:val="21"/>
            </w:rPr>
            <w:fldChar w:fldCharType="separate"/>
          </w:r>
          <w:r>
            <w:rPr>
              <w:rFonts w:hint="eastAsia" w:hAnsi="宋体" w:eastAsia="宋体" w:cs="宋体"/>
              <w:sz w:val="21"/>
              <w:szCs w:val="36"/>
            </w:rPr>
            <w:t>第三部分  竞争性磋商内容及要求</w:t>
          </w:r>
          <w:r>
            <w:rPr>
              <w:sz w:val="21"/>
              <w:szCs w:val="21"/>
            </w:rPr>
            <w:tab/>
          </w:r>
          <w:r>
            <w:rPr>
              <w:sz w:val="21"/>
              <w:szCs w:val="21"/>
            </w:rPr>
            <w:fldChar w:fldCharType="begin"/>
          </w:r>
          <w:r>
            <w:rPr>
              <w:sz w:val="21"/>
              <w:szCs w:val="21"/>
            </w:rPr>
            <w:instrText xml:space="preserve"> PAGEREF _Toc10899 \h </w:instrText>
          </w:r>
          <w:r>
            <w:rPr>
              <w:sz w:val="21"/>
              <w:szCs w:val="21"/>
            </w:rPr>
            <w:fldChar w:fldCharType="separate"/>
          </w:r>
          <w:r>
            <w:rPr>
              <w:sz w:val="21"/>
              <w:szCs w:val="21"/>
            </w:rPr>
            <w:t>29</w:t>
          </w:r>
          <w:r>
            <w:rPr>
              <w:sz w:val="21"/>
              <w:szCs w:val="21"/>
            </w:rPr>
            <w:fldChar w:fldCharType="end"/>
          </w:r>
          <w:r>
            <w:rPr>
              <w:sz w:val="21"/>
              <w:szCs w:val="21"/>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_Toc18243 </w:instrText>
          </w:r>
          <w:r>
            <w:rPr>
              <w:sz w:val="21"/>
              <w:szCs w:val="24"/>
            </w:rPr>
            <w:fldChar w:fldCharType="separate"/>
          </w:r>
          <w:r>
            <w:rPr>
              <w:rFonts w:hint="eastAsia" w:ascii="宋体" w:hAnsi="宋体" w:eastAsia="宋体" w:cs="宋体"/>
              <w:bCs/>
              <w:sz w:val="21"/>
              <w:szCs w:val="24"/>
            </w:rPr>
            <w:t>（一）概述</w:t>
          </w:r>
          <w:r>
            <w:rPr>
              <w:sz w:val="21"/>
              <w:szCs w:val="24"/>
            </w:rPr>
            <w:tab/>
          </w:r>
          <w:r>
            <w:rPr>
              <w:sz w:val="21"/>
              <w:szCs w:val="24"/>
            </w:rPr>
            <w:fldChar w:fldCharType="begin"/>
          </w:r>
          <w:r>
            <w:rPr>
              <w:sz w:val="21"/>
              <w:szCs w:val="24"/>
            </w:rPr>
            <w:instrText xml:space="preserve"> PAGEREF _Toc18243 \h </w:instrText>
          </w:r>
          <w:r>
            <w:rPr>
              <w:sz w:val="21"/>
              <w:szCs w:val="24"/>
            </w:rPr>
            <w:fldChar w:fldCharType="separate"/>
          </w:r>
          <w:r>
            <w:rPr>
              <w:sz w:val="21"/>
              <w:szCs w:val="24"/>
            </w:rPr>
            <w:t>29</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_Toc21578 </w:instrText>
          </w:r>
          <w:r>
            <w:rPr>
              <w:sz w:val="21"/>
              <w:szCs w:val="24"/>
            </w:rPr>
            <w:fldChar w:fldCharType="separate"/>
          </w:r>
          <w:r>
            <w:rPr>
              <w:rFonts w:hint="eastAsia" w:ascii="宋体"/>
              <w:bCs/>
              <w:sz w:val="21"/>
              <w:szCs w:val="24"/>
            </w:rPr>
            <w:t>（二）</w:t>
          </w:r>
          <w:r>
            <w:rPr>
              <w:rFonts w:hint="eastAsia"/>
              <w:bCs/>
              <w:sz w:val="21"/>
              <w:szCs w:val="24"/>
            </w:rPr>
            <w:t>采购内容及要求</w:t>
          </w:r>
          <w:r>
            <w:rPr>
              <w:sz w:val="21"/>
              <w:szCs w:val="24"/>
            </w:rPr>
            <w:tab/>
          </w:r>
          <w:r>
            <w:rPr>
              <w:sz w:val="21"/>
              <w:szCs w:val="24"/>
            </w:rPr>
            <w:fldChar w:fldCharType="begin"/>
          </w:r>
          <w:r>
            <w:rPr>
              <w:sz w:val="21"/>
              <w:szCs w:val="24"/>
            </w:rPr>
            <w:instrText xml:space="preserve"> PAGEREF _Toc21578 \h </w:instrText>
          </w:r>
          <w:r>
            <w:rPr>
              <w:sz w:val="21"/>
              <w:szCs w:val="24"/>
            </w:rPr>
            <w:fldChar w:fldCharType="separate"/>
          </w:r>
          <w:r>
            <w:rPr>
              <w:sz w:val="21"/>
              <w:szCs w:val="24"/>
            </w:rPr>
            <w:t>30</w:t>
          </w:r>
          <w:r>
            <w:rPr>
              <w:sz w:val="21"/>
              <w:szCs w:val="24"/>
            </w:rPr>
            <w:fldChar w:fldCharType="end"/>
          </w:r>
          <w:r>
            <w:rPr>
              <w:sz w:val="21"/>
              <w:szCs w:val="24"/>
            </w:rPr>
            <w:fldChar w:fldCharType="end"/>
          </w:r>
        </w:p>
        <w:p>
          <w:pPr>
            <w:pStyle w:val="18"/>
            <w:tabs>
              <w:tab w:val="right" w:leader="dot" w:pos="8306"/>
              <w:tab w:val="clear" w:pos="8948"/>
            </w:tabs>
            <w:spacing w:line="360" w:lineRule="auto"/>
            <w:rPr>
              <w:sz w:val="21"/>
              <w:szCs w:val="21"/>
            </w:rPr>
          </w:pPr>
          <w:r>
            <w:rPr>
              <w:sz w:val="21"/>
              <w:szCs w:val="21"/>
            </w:rPr>
            <w:fldChar w:fldCharType="begin"/>
          </w:r>
          <w:r>
            <w:rPr>
              <w:sz w:val="21"/>
              <w:szCs w:val="21"/>
            </w:rPr>
            <w:instrText xml:space="preserve"> HYPERLINK \l _Toc28198 </w:instrText>
          </w:r>
          <w:r>
            <w:rPr>
              <w:sz w:val="21"/>
              <w:szCs w:val="21"/>
            </w:rPr>
            <w:fldChar w:fldCharType="separate"/>
          </w:r>
          <w:r>
            <w:rPr>
              <w:rFonts w:hint="eastAsia" w:hAnsi="宋体" w:cs="宋体"/>
              <w:sz w:val="21"/>
              <w:szCs w:val="36"/>
            </w:rPr>
            <w:t>第四部分   合同条款</w:t>
          </w:r>
          <w:r>
            <w:rPr>
              <w:sz w:val="21"/>
              <w:szCs w:val="21"/>
            </w:rPr>
            <w:tab/>
          </w:r>
          <w:r>
            <w:rPr>
              <w:sz w:val="21"/>
              <w:szCs w:val="21"/>
            </w:rPr>
            <w:fldChar w:fldCharType="begin"/>
          </w:r>
          <w:r>
            <w:rPr>
              <w:sz w:val="21"/>
              <w:szCs w:val="21"/>
            </w:rPr>
            <w:instrText xml:space="preserve"> PAGEREF _Toc28198 \h </w:instrText>
          </w:r>
          <w:r>
            <w:rPr>
              <w:sz w:val="21"/>
              <w:szCs w:val="21"/>
            </w:rPr>
            <w:fldChar w:fldCharType="separate"/>
          </w:r>
          <w:r>
            <w:rPr>
              <w:sz w:val="21"/>
              <w:szCs w:val="21"/>
            </w:rPr>
            <w:t>60</w:t>
          </w:r>
          <w:r>
            <w:rPr>
              <w:sz w:val="21"/>
              <w:szCs w:val="21"/>
            </w:rPr>
            <w:fldChar w:fldCharType="end"/>
          </w:r>
          <w:r>
            <w:rPr>
              <w:sz w:val="21"/>
              <w:szCs w:val="21"/>
            </w:rPr>
            <w:fldChar w:fldCharType="end"/>
          </w:r>
        </w:p>
        <w:p>
          <w:pPr>
            <w:pStyle w:val="18"/>
            <w:tabs>
              <w:tab w:val="right" w:leader="dot" w:pos="8306"/>
              <w:tab w:val="clear" w:pos="8948"/>
            </w:tabs>
            <w:spacing w:line="360" w:lineRule="auto"/>
            <w:rPr>
              <w:sz w:val="21"/>
              <w:szCs w:val="21"/>
            </w:rPr>
          </w:pPr>
          <w:r>
            <w:rPr>
              <w:sz w:val="21"/>
              <w:szCs w:val="21"/>
            </w:rPr>
            <w:fldChar w:fldCharType="begin"/>
          </w:r>
          <w:r>
            <w:rPr>
              <w:sz w:val="21"/>
              <w:szCs w:val="21"/>
            </w:rPr>
            <w:instrText xml:space="preserve"> HYPERLINK \l _Toc24363 </w:instrText>
          </w:r>
          <w:r>
            <w:rPr>
              <w:sz w:val="21"/>
              <w:szCs w:val="21"/>
            </w:rPr>
            <w:fldChar w:fldCharType="separate"/>
          </w:r>
          <w:r>
            <w:rPr>
              <w:rFonts w:hint="eastAsia" w:hAnsi="宋体" w:eastAsia="宋体" w:cs="宋体"/>
              <w:sz w:val="21"/>
              <w:szCs w:val="36"/>
            </w:rPr>
            <w:t>第五部分  磋商响应文件格式</w:t>
          </w:r>
          <w:r>
            <w:rPr>
              <w:sz w:val="21"/>
              <w:szCs w:val="21"/>
            </w:rPr>
            <w:tab/>
          </w:r>
          <w:r>
            <w:rPr>
              <w:sz w:val="21"/>
              <w:szCs w:val="21"/>
            </w:rPr>
            <w:fldChar w:fldCharType="begin"/>
          </w:r>
          <w:r>
            <w:rPr>
              <w:sz w:val="21"/>
              <w:szCs w:val="21"/>
            </w:rPr>
            <w:instrText xml:space="preserve"> PAGEREF _Toc24363 \h </w:instrText>
          </w:r>
          <w:r>
            <w:rPr>
              <w:sz w:val="21"/>
              <w:szCs w:val="21"/>
            </w:rPr>
            <w:fldChar w:fldCharType="separate"/>
          </w:r>
          <w:r>
            <w:rPr>
              <w:sz w:val="21"/>
              <w:szCs w:val="21"/>
            </w:rPr>
            <w:t>68</w:t>
          </w:r>
          <w:r>
            <w:rPr>
              <w:sz w:val="21"/>
              <w:szCs w:val="21"/>
            </w:rPr>
            <w:fldChar w:fldCharType="end"/>
          </w:r>
          <w:r>
            <w:rPr>
              <w:sz w:val="21"/>
              <w:szCs w:val="21"/>
            </w:rPr>
            <w:fldChar w:fldCharType="end"/>
          </w:r>
        </w:p>
        <w:p>
          <w:pPr>
            <w:pStyle w:val="12"/>
            <w:tabs>
              <w:tab w:val="right" w:leader="dot" w:pos="8306"/>
            </w:tabs>
            <w:spacing w:line="360" w:lineRule="auto"/>
            <w:ind w:left="0" w:leftChars="0" w:firstLine="420" w:firstLineChars="200"/>
            <w:rPr>
              <w:sz w:val="21"/>
              <w:szCs w:val="24"/>
            </w:rPr>
          </w:pPr>
          <w:r>
            <w:rPr>
              <w:sz w:val="21"/>
              <w:szCs w:val="24"/>
            </w:rPr>
            <w:fldChar w:fldCharType="begin"/>
          </w:r>
          <w:r>
            <w:rPr>
              <w:sz w:val="21"/>
              <w:szCs w:val="24"/>
            </w:rPr>
            <w:instrText xml:space="preserve"> HYPERLINK \l _Toc28512 </w:instrText>
          </w:r>
          <w:r>
            <w:rPr>
              <w:sz w:val="21"/>
              <w:szCs w:val="24"/>
            </w:rPr>
            <w:fldChar w:fldCharType="separate"/>
          </w:r>
          <w:r>
            <w:rPr>
              <w:rFonts w:hint="eastAsia" w:ascii="宋体" w:hAnsi="宋体" w:eastAsia="宋体" w:cs="宋体"/>
              <w:bCs/>
              <w:sz w:val="21"/>
              <w:szCs w:val="28"/>
            </w:rPr>
            <w:t xml:space="preserve">附件一  </w:t>
          </w:r>
          <w:r>
            <w:rPr>
              <w:rFonts w:hint="eastAsia" w:ascii="宋体" w:hAnsi="宋体" w:eastAsia="宋体" w:cs="宋体"/>
              <w:bCs/>
              <w:sz w:val="21"/>
              <w:szCs w:val="28"/>
              <w:lang w:val="en-US" w:eastAsia="zh-CN"/>
            </w:rPr>
            <w:t xml:space="preserve">  </w:t>
          </w:r>
          <w:r>
            <w:rPr>
              <w:rFonts w:hint="eastAsia" w:ascii="宋体" w:hAnsi="宋体" w:eastAsia="宋体" w:cs="宋体"/>
              <w:bCs/>
              <w:sz w:val="21"/>
              <w:szCs w:val="28"/>
            </w:rPr>
            <w:t>资格、资质证明文件</w:t>
          </w:r>
          <w:r>
            <w:rPr>
              <w:sz w:val="21"/>
              <w:szCs w:val="24"/>
            </w:rPr>
            <w:tab/>
          </w:r>
          <w:r>
            <w:rPr>
              <w:sz w:val="21"/>
              <w:szCs w:val="24"/>
            </w:rPr>
            <w:fldChar w:fldCharType="begin"/>
          </w:r>
          <w:r>
            <w:rPr>
              <w:sz w:val="21"/>
              <w:szCs w:val="24"/>
            </w:rPr>
            <w:instrText xml:space="preserve"> PAGEREF _Toc28512 \h </w:instrText>
          </w:r>
          <w:r>
            <w:rPr>
              <w:sz w:val="21"/>
              <w:szCs w:val="24"/>
            </w:rPr>
            <w:fldChar w:fldCharType="separate"/>
          </w:r>
          <w:r>
            <w:rPr>
              <w:sz w:val="21"/>
              <w:szCs w:val="24"/>
            </w:rPr>
            <w:t>69</w:t>
          </w:r>
          <w:r>
            <w:rPr>
              <w:sz w:val="21"/>
              <w:szCs w:val="24"/>
            </w:rPr>
            <w:fldChar w:fldCharType="end"/>
          </w:r>
          <w:r>
            <w:rPr>
              <w:sz w:val="21"/>
              <w:szCs w:val="24"/>
            </w:rPr>
            <w:fldChar w:fldCharType="end"/>
          </w:r>
        </w:p>
        <w:p>
          <w:pPr>
            <w:pStyle w:val="12"/>
            <w:tabs>
              <w:tab w:val="right" w:leader="dot" w:pos="8306"/>
            </w:tabs>
            <w:spacing w:line="360" w:lineRule="auto"/>
            <w:ind w:left="0" w:leftChars="0" w:firstLine="420" w:firstLineChars="200"/>
            <w:rPr>
              <w:sz w:val="21"/>
              <w:szCs w:val="24"/>
            </w:rPr>
          </w:pPr>
          <w:r>
            <w:rPr>
              <w:sz w:val="21"/>
              <w:szCs w:val="24"/>
            </w:rPr>
            <w:fldChar w:fldCharType="begin"/>
          </w:r>
          <w:r>
            <w:rPr>
              <w:sz w:val="21"/>
              <w:szCs w:val="24"/>
            </w:rPr>
            <w:instrText xml:space="preserve"> HYPERLINK \l _Toc4048 </w:instrText>
          </w:r>
          <w:r>
            <w:rPr>
              <w:sz w:val="21"/>
              <w:szCs w:val="24"/>
            </w:rPr>
            <w:fldChar w:fldCharType="separate"/>
          </w:r>
          <w:r>
            <w:rPr>
              <w:rFonts w:hint="eastAsia" w:ascii="宋体" w:hAnsi="宋体" w:eastAsia="宋体" w:cs="宋体"/>
              <w:bCs/>
              <w:sz w:val="21"/>
              <w:szCs w:val="28"/>
            </w:rPr>
            <w:t xml:space="preserve">附件二  </w:t>
          </w:r>
          <w:r>
            <w:rPr>
              <w:rFonts w:hint="eastAsia" w:ascii="宋体" w:hAnsi="宋体" w:eastAsia="宋体" w:cs="宋体"/>
              <w:bCs/>
              <w:sz w:val="21"/>
              <w:szCs w:val="28"/>
              <w:lang w:val="en-US" w:eastAsia="zh-CN"/>
            </w:rPr>
            <w:t xml:space="preserve">  </w:t>
          </w:r>
          <w:r>
            <w:rPr>
              <w:rFonts w:hint="eastAsia" w:ascii="宋体" w:hAnsi="宋体" w:eastAsia="宋体" w:cs="宋体"/>
              <w:bCs/>
              <w:sz w:val="21"/>
              <w:szCs w:val="28"/>
            </w:rPr>
            <w:t>关于满足《中华人民共和国政府采购法》第二十二条规定的承诺函</w:t>
          </w:r>
          <w:r>
            <w:rPr>
              <w:sz w:val="21"/>
              <w:szCs w:val="24"/>
            </w:rPr>
            <w:tab/>
          </w:r>
          <w:r>
            <w:rPr>
              <w:sz w:val="21"/>
              <w:szCs w:val="24"/>
            </w:rPr>
            <w:fldChar w:fldCharType="begin"/>
          </w:r>
          <w:r>
            <w:rPr>
              <w:sz w:val="21"/>
              <w:szCs w:val="24"/>
            </w:rPr>
            <w:instrText xml:space="preserve"> PAGEREF _Toc4048 \h </w:instrText>
          </w:r>
          <w:r>
            <w:rPr>
              <w:sz w:val="21"/>
              <w:szCs w:val="24"/>
            </w:rPr>
            <w:fldChar w:fldCharType="separate"/>
          </w:r>
          <w:r>
            <w:rPr>
              <w:sz w:val="21"/>
              <w:szCs w:val="24"/>
            </w:rPr>
            <w:t>70</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_Toc31579 </w:instrText>
          </w:r>
          <w:r>
            <w:rPr>
              <w:sz w:val="21"/>
              <w:szCs w:val="24"/>
            </w:rPr>
            <w:fldChar w:fldCharType="separate"/>
          </w:r>
          <w:r>
            <w:rPr>
              <w:rFonts w:hint="eastAsia" w:ascii="宋体" w:hAnsi="宋体" w:eastAsia="宋体" w:cs="宋体"/>
              <w:bCs/>
              <w:sz w:val="21"/>
              <w:szCs w:val="28"/>
            </w:rPr>
            <w:t>附件三-1  法定代表人授权委托书</w:t>
          </w:r>
          <w:r>
            <w:rPr>
              <w:sz w:val="21"/>
              <w:szCs w:val="24"/>
            </w:rPr>
            <w:tab/>
          </w:r>
          <w:r>
            <w:rPr>
              <w:sz w:val="21"/>
              <w:szCs w:val="24"/>
            </w:rPr>
            <w:fldChar w:fldCharType="begin"/>
          </w:r>
          <w:r>
            <w:rPr>
              <w:sz w:val="21"/>
              <w:szCs w:val="24"/>
            </w:rPr>
            <w:instrText xml:space="preserve"> PAGEREF _Toc31579 \h </w:instrText>
          </w:r>
          <w:r>
            <w:rPr>
              <w:sz w:val="21"/>
              <w:szCs w:val="24"/>
            </w:rPr>
            <w:fldChar w:fldCharType="separate"/>
          </w:r>
          <w:r>
            <w:rPr>
              <w:sz w:val="21"/>
              <w:szCs w:val="24"/>
            </w:rPr>
            <w:t>71</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_Toc25995 </w:instrText>
          </w:r>
          <w:r>
            <w:rPr>
              <w:sz w:val="21"/>
              <w:szCs w:val="24"/>
            </w:rPr>
            <w:fldChar w:fldCharType="separate"/>
          </w:r>
          <w:r>
            <w:rPr>
              <w:rFonts w:hint="eastAsia" w:ascii="宋体" w:hAnsi="宋体" w:eastAsia="宋体" w:cs="宋体"/>
              <w:bCs/>
              <w:sz w:val="21"/>
              <w:szCs w:val="28"/>
            </w:rPr>
            <w:t>附件三-2  法定代表人身份证明</w:t>
          </w:r>
          <w:r>
            <w:rPr>
              <w:sz w:val="21"/>
              <w:szCs w:val="24"/>
            </w:rPr>
            <w:tab/>
          </w:r>
          <w:r>
            <w:rPr>
              <w:sz w:val="21"/>
              <w:szCs w:val="24"/>
            </w:rPr>
            <w:fldChar w:fldCharType="begin"/>
          </w:r>
          <w:r>
            <w:rPr>
              <w:sz w:val="21"/>
              <w:szCs w:val="24"/>
            </w:rPr>
            <w:instrText xml:space="preserve"> PAGEREF _Toc25995 \h </w:instrText>
          </w:r>
          <w:r>
            <w:rPr>
              <w:sz w:val="21"/>
              <w:szCs w:val="24"/>
            </w:rPr>
            <w:fldChar w:fldCharType="separate"/>
          </w:r>
          <w:r>
            <w:rPr>
              <w:sz w:val="21"/>
              <w:szCs w:val="24"/>
            </w:rPr>
            <w:t>72</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_Toc20980 </w:instrText>
          </w:r>
          <w:r>
            <w:rPr>
              <w:sz w:val="21"/>
              <w:szCs w:val="24"/>
            </w:rPr>
            <w:fldChar w:fldCharType="separate"/>
          </w:r>
          <w:r>
            <w:rPr>
              <w:rFonts w:hint="eastAsia" w:ascii="宋体" w:hAnsi="宋体" w:eastAsia="宋体" w:cs="宋体"/>
              <w:bCs/>
              <w:kern w:val="0"/>
              <w:sz w:val="21"/>
              <w:szCs w:val="28"/>
            </w:rPr>
            <w:t>附件四    中小企业声明函（货物）</w:t>
          </w:r>
          <w:r>
            <w:rPr>
              <w:sz w:val="21"/>
              <w:szCs w:val="24"/>
            </w:rPr>
            <w:tab/>
          </w:r>
          <w:r>
            <w:rPr>
              <w:sz w:val="21"/>
              <w:szCs w:val="24"/>
            </w:rPr>
            <w:fldChar w:fldCharType="begin"/>
          </w:r>
          <w:r>
            <w:rPr>
              <w:sz w:val="21"/>
              <w:szCs w:val="24"/>
            </w:rPr>
            <w:instrText xml:space="preserve"> PAGEREF _Toc20980 \h </w:instrText>
          </w:r>
          <w:r>
            <w:rPr>
              <w:sz w:val="21"/>
              <w:szCs w:val="24"/>
            </w:rPr>
            <w:fldChar w:fldCharType="separate"/>
          </w:r>
          <w:r>
            <w:rPr>
              <w:sz w:val="21"/>
              <w:szCs w:val="24"/>
            </w:rPr>
            <w:t>73</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_Toc19583 </w:instrText>
          </w:r>
          <w:r>
            <w:rPr>
              <w:sz w:val="21"/>
              <w:szCs w:val="24"/>
            </w:rPr>
            <w:fldChar w:fldCharType="separate"/>
          </w:r>
          <w:r>
            <w:rPr>
              <w:rFonts w:hint="eastAsia" w:ascii="宋体" w:hAnsi="宋体" w:eastAsia="宋体" w:cs="宋体"/>
              <w:bCs/>
              <w:kern w:val="0"/>
              <w:sz w:val="21"/>
              <w:szCs w:val="28"/>
            </w:rPr>
            <w:t>附件五    残疾人福利性单位声明函</w:t>
          </w:r>
          <w:r>
            <w:rPr>
              <w:sz w:val="21"/>
              <w:szCs w:val="24"/>
            </w:rPr>
            <w:tab/>
          </w:r>
          <w:r>
            <w:rPr>
              <w:sz w:val="21"/>
              <w:szCs w:val="24"/>
            </w:rPr>
            <w:fldChar w:fldCharType="begin"/>
          </w:r>
          <w:r>
            <w:rPr>
              <w:sz w:val="21"/>
              <w:szCs w:val="24"/>
            </w:rPr>
            <w:instrText xml:space="preserve"> PAGEREF _Toc19583 \h </w:instrText>
          </w:r>
          <w:r>
            <w:rPr>
              <w:sz w:val="21"/>
              <w:szCs w:val="24"/>
            </w:rPr>
            <w:fldChar w:fldCharType="separate"/>
          </w:r>
          <w:r>
            <w:rPr>
              <w:sz w:val="21"/>
              <w:szCs w:val="24"/>
            </w:rPr>
            <w:t>74</w:t>
          </w:r>
          <w:r>
            <w:rPr>
              <w:sz w:val="21"/>
              <w:szCs w:val="24"/>
            </w:rPr>
            <w:fldChar w:fldCharType="end"/>
          </w:r>
          <w:r>
            <w:rPr>
              <w:sz w:val="21"/>
              <w:szCs w:val="24"/>
            </w:rPr>
            <w:fldChar w:fldCharType="end"/>
          </w:r>
        </w:p>
        <w:p>
          <w:pPr>
            <w:pStyle w:val="12"/>
            <w:tabs>
              <w:tab w:val="right" w:leader="dot" w:pos="8306"/>
            </w:tabs>
            <w:spacing w:line="360" w:lineRule="auto"/>
            <w:ind w:left="0" w:leftChars="0" w:firstLine="420" w:firstLineChars="200"/>
            <w:rPr>
              <w:sz w:val="21"/>
              <w:szCs w:val="24"/>
            </w:rPr>
          </w:pPr>
          <w:r>
            <w:rPr>
              <w:sz w:val="21"/>
              <w:szCs w:val="24"/>
            </w:rPr>
            <w:fldChar w:fldCharType="begin"/>
          </w:r>
          <w:r>
            <w:rPr>
              <w:sz w:val="21"/>
              <w:szCs w:val="24"/>
            </w:rPr>
            <w:instrText xml:space="preserve"> HYPERLINK \l _Toc14563 </w:instrText>
          </w:r>
          <w:r>
            <w:rPr>
              <w:sz w:val="21"/>
              <w:szCs w:val="24"/>
            </w:rPr>
            <w:fldChar w:fldCharType="separate"/>
          </w:r>
          <w:r>
            <w:rPr>
              <w:rFonts w:hint="eastAsia" w:ascii="宋体" w:hAnsi="宋体" w:eastAsia="宋体" w:cs="宋体"/>
              <w:bCs/>
              <w:sz w:val="21"/>
              <w:szCs w:val="28"/>
            </w:rPr>
            <w:t>附件</w:t>
          </w:r>
          <w:r>
            <w:rPr>
              <w:rFonts w:hint="eastAsia" w:ascii="宋体" w:hAnsi="宋体" w:eastAsia="宋体" w:cs="宋体"/>
              <w:bCs/>
              <w:sz w:val="21"/>
              <w:szCs w:val="28"/>
              <w:lang w:val="en-US" w:eastAsia="zh-CN"/>
            </w:rPr>
            <w:t>六</w:t>
          </w:r>
          <w:r>
            <w:rPr>
              <w:rFonts w:hint="eastAsia" w:ascii="宋体" w:hAnsi="宋体" w:eastAsia="宋体" w:cs="宋体"/>
              <w:bCs/>
              <w:sz w:val="21"/>
              <w:szCs w:val="28"/>
            </w:rPr>
            <w:t xml:space="preserve">    磋商响应函</w:t>
          </w:r>
          <w:r>
            <w:rPr>
              <w:sz w:val="21"/>
              <w:szCs w:val="24"/>
            </w:rPr>
            <w:tab/>
          </w:r>
          <w:r>
            <w:rPr>
              <w:sz w:val="21"/>
              <w:szCs w:val="24"/>
            </w:rPr>
            <w:fldChar w:fldCharType="begin"/>
          </w:r>
          <w:r>
            <w:rPr>
              <w:sz w:val="21"/>
              <w:szCs w:val="24"/>
            </w:rPr>
            <w:instrText xml:space="preserve"> PAGEREF _Toc14563 \h </w:instrText>
          </w:r>
          <w:r>
            <w:rPr>
              <w:sz w:val="21"/>
              <w:szCs w:val="24"/>
            </w:rPr>
            <w:fldChar w:fldCharType="separate"/>
          </w:r>
          <w:r>
            <w:rPr>
              <w:sz w:val="21"/>
              <w:szCs w:val="24"/>
            </w:rPr>
            <w:t>75</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_Toc12038 </w:instrText>
          </w:r>
          <w:r>
            <w:rPr>
              <w:sz w:val="21"/>
              <w:szCs w:val="24"/>
            </w:rPr>
            <w:fldChar w:fldCharType="separate"/>
          </w:r>
          <w:r>
            <w:rPr>
              <w:rFonts w:hint="eastAsia" w:ascii="宋体" w:hAnsi="宋体" w:eastAsia="宋体" w:cs="宋体"/>
              <w:sz w:val="21"/>
              <w:szCs w:val="28"/>
            </w:rPr>
            <w:t>附件</w:t>
          </w:r>
          <w:r>
            <w:rPr>
              <w:rFonts w:hint="eastAsia" w:ascii="宋体" w:hAnsi="宋体" w:eastAsia="宋体" w:cs="宋体"/>
              <w:sz w:val="21"/>
              <w:szCs w:val="28"/>
              <w:lang w:val="en-US" w:eastAsia="zh-CN"/>
            </w:rPr>
            <w:t>七</w:t>
          </w:r>
          <w:r>
            <w:rPr>
              <w:rFonts w:hint="eastAsia" w:ascii="宋体" w:hAnsi="宋体" w:eastAsia="宋体" w:cs="宋体"/>
              <w:sz w:val="21"/>
              <w:szCs w:val="28"/>
            </w:rPr>
            <w:t xml:space="preserve">    磋商供应商情况一览表</w:t>
          </w:r>
          <w:r>
            <w:rPr>
              <w:sz w:val="21"/>
              <w:szCs w:val="24"/>
            </w:rPr>
            <w:tab/>
          </w:r>
          <w:r>
            <w:rPr>
              <w:sz w:val="21"/>
              <w:szCs w:val="24"/>
            </w:rPr>
            <w:fldChar w:fldCharType="begin"/>
          </w:r>
          <w:r>
            <w:rPr>
              <w:sz w:val="21"/>
              <w:szCs w:val="24"/>
            </w:rPr>
            <w:instrText xml:space="preserve"> PAGEREF _Toc12038 \h </w:instrText>
          </w:r>
          <w:r>
            <w:rPr>
              <w:sz w:val="21"/>
              <w:szCs w:val="24"/>
            </w:rPr>
            <w:fldChar w:fldCharType="separate"/>
          </w:r>
          <w:r>
            <w:rPr>
              <w:sz w:val="21"/>
              <w:szCs w:val="24"/>
            </w:rPr>
            <w:t>76</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_Toc22845 </w:instrText>
          </w:r>
          <w:r>
            <w:rPr>
              <w:sz w:val="21"/>
              <w:szCs w:val="24"/>
            </w:rPr>
            <w:fldChar w:fldCharType="separate"/>
          </w:r>
          <w:r>
            <w:rPr>
              <w:rFonts w:hint="eastAsia" w:ascii="宋体" w:hAnsi="宋体" w:eastAsia="宋体" w:cs="宋体"/>
              <w:bCs/>
              <w:sz w:val="21"/>
              <w:szCs w:val="28"/>
            </w:rPr>
            <w:t>附件</w:t>
          </w:r>
          <w:r>
            <w:rPr>
              <w:rFonts w:hint="eastAsia" w:ascii="宋体" w:hAnsi="宋体" w:eastAsia="宋体" w:cs="宋体"/>
              <w:bCs/>
              <w:sz w:val="21"/>
              <w:szCs w:val="28"/>
              <w:lang w:val="en-US" w:eastAsia="zh-CN"/>
            </w:rPr>
            <w:t>八</w:t>
          </w:r>
          <w:r>
            <w:rPr>
              <w:rFonts w:hint="eastAsia" w:ascii="宋体" w:hAnsi="宋体" w:eastAsia="宋体" w:cs="宋体"/>
              <w:bCs/>
              <w:sz w:val="21"/>
              <w:szCs w:val="28"/>
            </w:rPr>
            <w:t xml:space="preserve">    少量偏离表</w:t>
          </w:r>
          <w:r>
            <w:rPr>
              <w:sz w:val="21"/>
              <w:szCs w:val="24"/>
            </w:rPr>
            <w:tab/>
          </w:r>
          <w:r>
            <w:rPr>
              <w:sz w:val="21"/>
              <w:szCs w:val="24"/>
            </w:rPr>
            <w:fldChar w:fldCharType="begin"/>
          </w:r>
          <w:r>
            <w:rPr>
              <w:sz w:val="21"/>
              <w:szCs w:val="24"/>
            </w:rPr>
            <w:instrText xml:space="preserve"> PAGEREF _Toc22845 \h </w:instrText>
          </w:r>
          <w:r>
            <w:rPr>
              <w:sz w:val="21"/>
              <w:szCs w:val="24"/>
            </w:rPr>
            <w:fldChar w:fldCharType="separate"/>
          </w:r>
          <w:r>
            <w:rPr>
              <w:sz w:val="21"/>
              <w:szCs w:val="24"/>
            </w:rPr>
            <w:t>77</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_Toc3491 </w:instrText>
          </w:r>
          <w:r>
            <w:rPr>
              <w:sz w:val="21"/>
              <w:szCs w:val="24"/>
            </w:rPr>
            <w:fldChar w:fldCharType="separate"/>
          </w:r>
          <w:r>
            <w:rPr>
              <w:rFonts w:hint="eastAsia"/>
              <w:bCs/>
              <w:sz w:val="21"/>
              <w:szCs w:val="28"/>
            </w:rPr>
            <w:t>附件</w:t>
          </w:r>
          <w:r>
            <w:rPr>
              <w:rFonts w:hint="eastAsia"/>
              <w:bCs/>
              <w:sz w:val="21"/>
              <w:szCs w:val="28"/>
              <w:lang w:val="en-US" w:eastAsia="zh-CN"/>
            </w:rPr>
            <w:t>九</w:t>
          </w:r>
          <w:r>
            <w:rPr>
              <w:rFonts w:hint="eastAsia"/>
              <w:bCs/>
              <w:sz w:val="21"/>
              <w:szCs w:val="28"/>
            </w:rPr>
            <w:t xml:space="preserve">    随机备品、备件、专用工具清单</w:t>
          </w:r>
          <w:r>
            <w:rPr>
              <w:sz w:val="21"/>
              <w:szCs w:val="24"/>
            </w:rPr>
            <w:tab/>
          </w:r>
          <w:r>
            <w:rPr>
              <w:sz w:val="21"/>
              <w:szCs w:val="24"/>
            </w:rPr>
            <w:fldChar w:fldCharType="begin"/>
          </w:r>
          <w:r>
            <w:rPr>
              <w:sz w:val="21"/>
              <w:szCs w:val="24"/>
            </w:rPr>
            <w:instrText xml:space="preserve"> PAGEREF _Toc3491 \h </w:instrText>
          </w:r>
          <w:r>
            <w:rPr>
              <w:sz w:val="21"/>
              <w:szCs w:val="24"/>
            </w:rPr>
            <w:fldChar w:fldCharType="separate"/>
          </w:r>
          <w:r>
            <w:rPr>
              <w:sz w:val="21"/>
              <w:szCs w:val="24"/>
            </w:rPr>
            <w:t>78</w:t>
          </w:r>
          <w:r>
            <w:rPr>
              <w:sz w:val="21"/>
              <w:szCs w:val="24"/>
            </w:rPr>
            <w:fldChar w:fldCharType="end"/>
          </w:r>
          <w:r>
            <w:rPr>
              <w:sz w:val="21"/>
              <w:szCs w:val="24"/>
            </w:rPr>
            <w:fldChar w:fldCharType="end"/>
          </w:r>
        </w:p>
        <w:p>
          <w:pPr>
            <w:pStyle w:val="18"/>
            <w:tabs>
              <w:tab w:val="right" w:leader="dot" w:pos="8306"/>
              <w:tab w:val="clear" w:pos="8948"/>
            </w:tabs>
            <w:spacing w:line="360" w:lineRule="auto"/>
            <w:ind w:firstLine="422" w:firstLineChars="200"/>
            <w:rPr>
              <w:sz w:val="21"/>
              <w:szCs w:val="21"/>
            </w:rPr>
          </w:pPr>
          <w:r>
            <w:rPr>
              <w:sz w:val="21"/>
              <w:szCs w:val="21"/>
            </w:rPr>
            <w:fldChar w:fldCharType="begin"/>
          </w:r>
          <w:r>
            <w:rPr>
              <w:sz w:val="21"/>
              <w:szCs w:val="21"/>
            </w:rPr>
            <w:instrText xml:space="preserve"> HYPERLINK \l _Toc3200 </w:instrText>
          </w:r>
          <w:r>
            <w:rPr>
              <w:sz w:val="21"/>
              <w:szCs w:val="21"/>
            </w:rPr>
            <w:fldChar w:fldCharType="separate"/>
          </w:r>
          <w:r>
            <w:rPr>
              <w:rFonts w:ascii="Arial" w:hAnsi="Arial" w:cs="Arial"/>
              <w:b w:val="0"/>
              <w:bCs w:val="0"/>
              <w:sz w:val="21"/>
              <w:szCs w:val="21"/>
            </w:rPr>
            <w:t>附件</w:t>
          </w:r>
          <w:r>
            <w:rPr>
              <w:rFonts w:hint="eastAsia" w:ascii="Arial" w:hAnsi="Arial" w:cs="Arial"/>
              <w:b w:val="0"/>
              <w:bCs w:val="0"/>
              <w:sz w:val="21"/>
              <w:szCs w:val="21"/>
              <w:lang w:val="en-US" w:eastAsia="zh-CN"/>
            </w:rPr>
            <w:t>十</w:t>
          </w:r>
          <w:r>
            <w:rPr>
              <w:rFonts w:hint="eastAsia" w:ascii="Arial" w:hAnsi="Arial" w:cs="Arial"/>
              <w:b w:val="0"/>
              <w:bCs w:val="0"/>
              <w:sz w:val="21"/>
              <w:szCs w:val="21"/>
            </w:rPr>
            <w:t xml:space="preserve">    详细产品供货清单</w:t>
          </w:r>
          <w:r>
            <w:rPr>
              <w:sz w:val="21"/>
              <w:szCs w:val="21"/>
            </w:rPr>
            <w:tab/>
          </w:r>
          <w:r>
            <w:rPr>
              <w:sz w:val="21"/>
              <w:szCs w:val="21"/>
            </w:rPr>
            <w:fldChar w:fldCharType="begin"/>
          </w:r>
          <w:r>
            <w:rPr>
              <w:sz w:val="21"/>
              <w:szCs w:val="21"/>
            </w:rPr>
            <w:instrText xml:space="preserve"> PAGEREF _Toc3200 \h </w:instrText>
          </w:r>
          <w:r>
            <w:rPr>
              <w:sz w:val="21"/>
              <w:szCs w:val="21"/>
            </w:rPr>
            <w:fldChar w:fldCharType="separate"/>
          </w:r>
          <w:r>
            <w:rPr>
              <w:sz w:val="21"/>
              <w:szCs w:val="21"/>
            </w:rPr>
            <w:t>79</w:t>
          </w:r>
          <w:r>
            <w:rPr>
              <w:sz w:val="21"/>
              <w:szCs w:val="21"/>
            </w:rPr>
            <w:fldChar w:fldCharType="end"/>
          </w:r>
          <w:r>
            <w:rPr>
              <w:sz w:val="21"/>
              <w:szCs w:val="21"/>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_Toc26356 </w:instrText>
          </w:r>
          <w:r>
            <w:rPr>
              <w:sz w:val="21"/>
              <w:szCs w:val="24"/>
            </w:rPr>
            <w:fldChar w:fldCharType="separate"/>
          </w:r>
          <w:r>
            <w:rPr>
              <w:rFonts w:ascii="Arial" w:hAnsi="Arial" w:cs="Arial"/>
              <w:bCs w:val="0"/>
              <w:sz w:val="21"/>
              <w:szCs w:val="24"/>
            </w:rPr>
            <w:t>附件</w:t>
          </w:r>
          <w:r>
            <w:rPr>
              <w:rFonts w:hint="eastAsia" w:ascii="Arial" w:hAnsi="Arial" w:cs="Arial"/>
              <w:bCs w:val="0"/>
              <w:sz w:val="21"/>
              <w:szCs w:val="24"/>
              <w:lang w:val="en-US" w:eastAsia="zh-CN"/>
            </w:rPr>
            <w:t xml:space="preserve">十一 </w:t>
          </w:r>
          <w:r>
            <w:rPr>
              <w:rFonts w:hint="eastAsia" w:ascii="Arial" w:hAnsi="Arial" w:cs="Arial"/>
              <w:bCs w:val="0"/>
              <w:sz w:val="21"/>
              <w:szCs w:val="24"/>
            </w:rPr>
            <w:t xml:space="preserve"> 磋商供应商自</w:t>
          </w:r>
          <w:r>
            <w:rPr>
              <w:rFonts w:hint="eastAsia" w:ascii="Arial" w:hAnsi="Arial" w:cs="Arial"/>
              <w:bCs w:val="0"/>
              <w:kern w:val="28"/>
              <w:sz w:val="21"/>
              <w:szCs w:val="28"/>
            </w:rPr>
            <w:t>2020年1</w:t>
          </w:r>
          <w:r>
            <w:rPr>
              <w:rFonts w:ascii="Arial" w:hAnsi="Arial" w:cs="Arial"/>
              <w:bCs w:val="0"/>
              <w:kern w:val="28"/>
              <w:sz w:val="21"/>
              <w:szCs w:val="28"/>
            </w:rPr>
            <w:t>月</w:t>
          </w:r>
          <w:r>
            <w:rPr>
              <w:rFonts w:hint="eastAsia" w:ascii="Arial" w:hAnsi="Arial" w:cs="Arial"/>
              <w:bCs w:val="0"/>
              <w:kern w:val="28"/>
              <w:sz w:val="21"/>
              <w:szCs w:val="28"/>
            </w:rPr>
            <w:t>1日</w:t>
          </w:r>
          <w:r>
            <w:rPr>
              <w:rFonts w:ascii="Arial" w:hAnsi="Arial" w:cs="Arial"/>
              <w:bCs w:val="0"/>
              <w:sz w:val="21"/>
              <w:szCs w:val="24"/>
            </w:rPr>
            <w:t>以来同类业绩一览表</w:t>
          </w:r>
          <w:r>
            <w:rPr>
              <w:sz w:val="21"/>
              <w:szCs w:val="24"/>
            </w:rPr>
            <w:tab/>
          </w:r>
          <w:r>
            <w:rPr>
              <w:sz w:val="21"/>
              <w:szCs w:val="24"/>
            </w:rPr>
            <w:fldChar w:fldCharType="begin"/>
          </w:r>
          <w:r>
            <w:rPr>
              <w:sz w:val="21"/>
              <w:szCs w:val="24"/>
            </w:rPr>
            <w:instrText xml:space="preserve"> PAGEREF _Toc26356 \h </w:instrText>
          </w:r>
          <w:r>
            <w:rPr>
              <w:sz w:val="21"/>
              <w:szCs w:val="24"/>
            </w:rPr>
            <w:fldChar w:fldCharType="separate"/>
          </w:r>
          <w:r>
            <w:rPr>
              <w:sz w:val="21"/>
              <w:szCs w:val="24"/>
            </w:rPr>
            <w:t>80</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_Toc32019 </w:instrText>
          </w:r>
          <w:r>
            <w:rPr>
              <w:sz w:val="21"/>
              <w:szCs w:val="24"/>
            </w:rPr>
            <w:fldChar w:fldCharType="separate"/>
          </w:r>
          <w:r>
            <w:rPr>
              <w:rFonts w:hint="eastAsia" w:ascii="宋体" w:hAnsi="宋体" w:cs="宋体"/>
              <w:bCs/>
              <w:sz w:val="21"/>
              <w:szCs w:val="28"/>
            </w:rPr>
            <w:t>附件十二  报价一览表</w:t>
          </w:r>
          <w:r>
            <w:rPr>
              <w:sz w:val="21"/>
              <w:szCs w:val="24"/>
            </w:rPr>
            <w:tab/>
          </w:r>
          <w:r>
            <w:rPr>
              <w:sz w:val="21"/>
              <w:szCs w:val="24"/>
            </w:rPr>
            <w:fldChar w:fldCharType="begin"/>
          </w:r>
          <w:r>
            <w:rPr>
              <w:sz w:val="21"/>
              <w:szCs w:val="24"/>
            </w:rPr>
            <w:instrText xml:space="preserve"> PAGEREF _Toc32019 \h </w:instrText>
          </w:r>
          <w:r>
            <w:rPr>
              <w:sz w:val="21"/>
              <w:szCs w:val="24"/>
            </w:rPr>
            <w:fldChar w:fldCharType="separate"/>
          </w:r>
          <w:r>
            <w:rPr>
              <w:sz w:val="21"/>
              <w:szCs w:val="24"/>
            </w:rPr>
            <w:t>81</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_Toc27570 </w:instrText>
          </w:r>
          <w:r>
            <w:rPr>
              <w:sz w:val="21"/>
              <w:szCs w:val="24"/>
            </w:rPr>
            <w:fldChar w:fldCharType="separate"/>
          </w:r>
          <w:r>
            <w:rPr>
              <w:rFonts w:ascii="Arial" w:hAnsi="Arial" w:cs="Arial"/>
              <w:bCs w:val="0"/>
              <w:sz w:val="21"/>
              <w:szCs w:val="24"/>
            </w:rPr>
            <w:t>附件</w:t>
          </w:r>
          <w:r>
            <w:rPr>
              <w:rFonts w:hint="eastAsia" w:ascii="Arial" w:hAnsi="Arial" w:cs="Arial"/>
              <w:bCs w:val="0"/>
              <w:sz w:val="21"/>
              <w:szCs w:val="24"/>
            </w:rPr>
            <w:t xml:space="preserve">十三  </w:t>
          </w:r>
          <w:r>
            <w:rPr>
              <w:rFonts w:ascii="Arial" w:hAnsi="Arial" w:cs="Arial"/>
              <w:bCs w:val="0"/>
              <w:sz w:val="21"/>
              <w:szCs w:val="24"/>
            </w:rPr>
            <w:t>投标分项报价表</w:t>
          </w:r>
          <w:r>
            <w:rPr>
              <w:sz w:val="21"/>
              <w:szCs w:val="24"/>
            </w:rPr>
            <w:tab/>
          </w:r>
          <w:r>
            <w:rPr>
              <w:sz w:val="21"/>
              <w:szCs w:val="24"/>
            </w:rPr>
            <w:fldChar w:fldCharType="begin"/>
          </w:r>
          <w:r>
            <w:rPr>
              <w:sz w:val="21"/>
              <w:szCs w:val="24"/>
            </w:rPr>
            <w:instrText xml:space="preserve"> PAGEREF _Toc27570 \h </w:instrText>
          </w:r>
          <w:r>
            <w:rPr>
              <w:sz w:val="21"/>
              <w:szCs w:val="24"/>
            </w:rPr>
            <w:fldChar w:fldCharType="separate"/>
          </w:r>
          <w:r>
            <w:rPr>
              <w:sz w:val="21"/>
              <w:szCs w:val="24"/>
            </w:rPr>
            <w:t>82</w:t>
          </w:r>
          <w:r>
            <w:rPr>
              <w:sz w:val="21"/>
              <w:szCs w:val="24"/>
            </w:rPr>
            <w:fldChar w:fldCharType="end"/>
          </w:r>
          <w:r>
            <w:rPr>
              <w:sz w:val="21"/>
              <w:szCs w:val="24"/>
            </w:rPr>
            <w:fldChar w:fldCharType="end"/>
          </w:r>
        </w:p>
        <w:p>
          <w:pPr>
            <w:pStyle w:val="18"/>
            <w:tabs>
              <w:tab w:val="right" w:leader="dot" w:pos="8306"/>
              <w:tab w:val="clear" w:pos="8948"/>
            </w:tabs>
            <w:spacing w:line="360" w:lineRule="auto"/>
            <w:rPr>
              <w:sz w:val="21"/>
              <w:szCs w:val="21"/>
            </w:rPr>
          </w:pPr>
          <w:r>
            <w:rPr>
              <w:sz w:val="21"/>
              <w:szCs w:val="21"/>
            </w:rPr>
            <w:fldChar w:fldCharType="begin"/>
          </w:r>
          <w:r>
            <w:rPr>
              <w:sz w:val="21"/>
              <w:szCs w:val="21"/>
            </w:rPr>
            <w:instrText xml:space="preserve"> HYPERLINK \l _Toc1683 </w:instrText>
          </w:r>
          <w:r>
            <w:rPr>
              <w:sz w:val="21"/>
              <w:szCs w:val="21"/>
            </w:rPr>
            <w:fldChar w:fldCharType="separate"/>
          </w:r>
          <w:r>
            <w:rPr>
              <w:rFonts w:hint="eastAsia" w:hAnsi="宋体" w:eastAsia="宋体" w:cs="宋体"/>
              <w:sz w:val="21"/>
              <w:szCs w:val="36"/>
            </w:rPr>
            <w:t>第六部</w:t>
          </w:r>
          <w:r>
            <w:rPr>
              <w:rFonts w:hint="eastAsia" w:eastAsia="宋体" w:cs="宋体"/>
              <w:sz w:val="21"/>
              <w:szCs w:val="36"/>
              <w:lang w:val="en-US" w:eastAsia="zh-CN"/>
            </w:rPr>
            <w:t>分</w:t>
          </w:r>
          <w:r>
            <w:rPr>
              <w:rFonts w:hint="eastAsia" w:hAnsi="宋体" w:eastAsia="宋体" w:cs="宋体"/>
              <w:sz w:val="21"/>
              <w:szCs w:val="36"/>
            </w:rPr>
            <w:t xml:space="preserve">  评定办法</w:t>
          </w:r>
          <w:r>
            <w:rPr>
              <w:sz w:val="21"/>
              <w:szCs w:val="21"/>
            </w:rPr>
            <w:tab/>
          </w:r>
          <w:r>
            <w:rPr>
              <w:sz w:val="21"/>
              <w:szCs w:val="21"/>
            </w:rPr>
            <w:fldChar w:fldCharType="begin"/>
          </w:r>
          <w:r>
            <w:rPr>
              <w:sz w:val="21"/>
              <w:szCs w:val="21"/>
            </w:rPr>
            <w:instrText xml:space="preserve"> PAGEREF _Toc1683 \h </w:instrText>
          </w:r>
          <w:r>
            <w:rPr>
              <w:sz w:val="21"/>
              <w:szCs w:val="21"/>
            </w:rPr>
            <w:fldChar w:fldCharType="separate"/>
          </w:r>
          <w:r>
            <w:rPr>
              <w:sz w:val="21"/>
              <w:szCs w:val="21"/>
            </w:rPr>
            <w:t>85</w:t>
          </w:r>
          <w:r>
            <w:rPr>
              <w:sz w:val="21"/>
              <w:szCs w:val="21"/>
            </w:rPr>
            <w:fldChar w:fldCharType="end"/>
          </w:r>
          <w:r>
            <w:rPr>
              <w:sz w:val="21"/>
              <w:szCs w:val="21"/>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_Toc5708 </w:instrText>
          </w:r>
          <w:r>
            <w:rPr>
              <w:sz w:val="21"/>
              <w:szCs w:val="24"/>
            </w:rPr>
            <w:fldChar w:fldCharType="separate"/>
          </w:r>
          <w:r>
            <w:rPr>
              <w:rFonts w:hint="eastAsia" w:ascii="宋体" w:hAnsi="宋体" w:eastAsia="宋体" w:cs="宋体"/>
              <w:bCs/>
              <w:kern w:val="28"/>
              <w:sz w:val="21"/>
              <w:szCs w:val="24"/>
            </w:rPr>
            <w:t>一、评定原则</w:t>
          </w:r>
          <w:r>
            <w:rPr>
              <w:sz w:val="21"/>
              <w:szCs w:val="24"/>
            </w:rPr>
            <w:tab/>
          </w:r>
          <w:r>
            <w:rPr>
              <w:sz w:val="21"/>
              <w:szCs w:val="24"/>
            </w:rPr>
            <w:fldChar w:fldCharType="begin"/>
          </w:r>
          <w:r>
            <w:rPr>
              <w:sz w:val="21"/>
              <w:szCs w:val="24"/>
            </w:rPr>
            <w:instrText xml:space="preserve"> PAGEREF _Toc5708 \h </w:instrText>
          </w:r>
          <w:r>
            <w:rPr>
              <w:sz w:val="21"/>
              <w:szCs w:val="24"/>
            </w:rPr>
            <w:fldChar w:fldCharType="separate"/>
          </w:r>
          <w:r>
            <w:rPr>
              <w:sz w:val="21"/>
              <w:szCs w:val="24"/>
            </w:rPr>
            <w:t>85</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_Toc29445 </w:instrText>
          </w:r>
          <w:r>
            <w:rPr>
              <w:sz w:val="21"/>
              <w:szCs w:val="24"/>
            </w:rPr>
            <w:fldChar w:fldCharType="separate"/>
          </w:r>
          <w:r>
            <w:rPr>
              <w:rFonts w:hint="eastAsia" w:ascii="宋体" w:hAnsi="宋体" w:eastAsia="宋体" w:cs="宋体"/>
              <w:bCs/>
              <w:kern w:val="28"/>
              <w:sz w:val="21"/>
              <w:szCs w:val="24"/>
            </w:rPr>
            <w:t>二、评标组织</w:t>
          </w:r>
          <w:r>
            <w:rPr>
              <w:sz w:val="21"/>
              <w:szCs w:val="24"/>
            </w:rPr>
            <w:tab/>
          </w:r>
          <w:r>
            <w:rPr>
              <w:sz w:val="21"/>
              <w:szCs w:val="24"/>
            </w:rPr>
            <w:fldChar w:fldCharType="begin"/>
          </w:r>
          <w:r>
            <w:rPr>
              <w:sz w:val="21"/>
              <w:szCs w:val="24"/>
            </w:rPr>
            <w:instrText xml:space="preserve"> PAGEREF _Toc29445 \h </w:instrText>
          </w:r>
          <w:r>
            <w:rPr>
              <w:sz w:val="21"/>
              <w:szCs w:val="24"/>
            </w:rPr>
            <w:fldChar w:fldCharType="separate"/>
          </w:r>
          <w:r>
            <w:rPr>
              <w:sz w:val="21"/>
              <w:szCs w:val="24"/>
            </w:rPr>
            <w:t>85</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_Toc4000 </w:instrText>
          </w:r>
          <w:r>
            <w:rPr>
              <w:sz w:val="21"/>
              <w:szCs w:val="24"/>
            </w:rPr>
            <w:fldChar w:fldCharType="separate"/>
          </w:r>
          <w:r>
            <w:rPr>
              <w:rFonts w:hint="eastAsia" w:ascii="宋体" w:hAnsi="宋体" w:eastAsia="宋体" w:cs="宋体"/>
              <w:bCs/>
              <w:kern w:val="28"/>
              <w:sz w:val="21"/>
              <w:szCs w:val="24"/>
            </w:rPr>
            <w:t>三、评定办法</w:t>
          </w:r>
          <w:r>
            <w:rPr>
              <w:sz w:val="21"/>
              <w:szCs w:val="24"/>
            </w:rPr>
            <w:tab/>
          </w:r>
          <w:r>
            <w:rPr>
              <w:sz w:val="21"/>
              <w:szCs w:val="24"/>
            </w:rPr>
            <w:fldChar w:fldCharType="begin"/>
          </w:r>
          <w:r>
            <w:rPr>
              <w:sz w:val="21"/>
              <w:szCs w:val="24"/>
            </w:rPr>
            <w:instrText xml:space="preserve"> PAGEREF _Toc4000 \h </w:instrText>
          </w:r>
          <w:r>
            <w:rPr>
              <w:sz w:val="21"/>
              <w:szCs w:val="24"/>
            </w:rPr>
            <w:fldChar w:fldCharType="separate"/>
          </w:r>
          <w:r>
            <w:rPr>
              <w:sz w:val="21"/>
              <w:szCs w:val="24"/>
            </w:rPr>
            <w:t>85</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_Toc24104 </w:instrText>
          </w:r>
          <w:r>
            <w:rPr>
              <w:sz w:val="21"/>
              <w:szCs w:val="24"/>
            </w:rPr>
            <w:fldChar w:fldCharType="separate"/>
          </w:r>
          <w:r>
            <w:rPr>
              <w:rFonts w:hint="eastAsia" w:ascii="宋体" w:hAnsi="宋体" w:eastAsia="宋体" w:cs="宋体"/>
              <w:bCs/>
              <w:kern w:val="28"/>
              <w:sz w:val="21"/>
              <w:szCs w:val="24"/>
            </w:rPr>
            <w:t>四、评定结果</w:t>
          </w:r>
          <w:r>
            <w:rPr>
              <w:sz w:val="21"/>
              <w:szCs w:val="24"/>
            </w:rPr>
            <w:tab/>
          </w:r>
          <w:r>
            <w:rPr>
              <w:sz w:val="21"/>
              <w:szCs w:val="24"/>
            </w:rPr>
            <w:fldChar w:fldCharType="begin"/>
          </w:r>
          <w:r>
            <w:rPr>
              <w:sz w:val="21"/>
              <w:szCs w:val="24"/>
            </w:rPr>
            <w:instrText xml:space="preserve"> PAGEREF _Toc24104 \h </w:instrText>
          </w:r>
          <w:r>
            <w:rPr>
              <w:sz w:val="21"/>
              <w:szCs w:val="24"/>
            </w:rPr>
            <w:fldChar w:fldCharType="separate"/>
          </w:r>
          <w:r>
            <w:rPr>
              <w:sz w:val="21"/>
              <w:szCs w:val="24"/>
            </w:rPr>
            <w:t>93</w:t>
          </w:r>
          <w:r>
            <w:rPr>
              <w:sz w:val="21"/>
              <w:szCs w:val="24"/>
            </w:rPr>
            <w:fldChar w:fldCharType="end"/>
          </w:r>
          <w:r>
            <w:rPr>
              <w:sz w:val="21"/>
              <w:szCs w:val="24"/>
            </w:rPr>
            <w:fldChar w:fldCharType="end"/>
          </w:r>
        </w:p>
        <w:p>
          <w:pPr>
            <w:pStyle w:val="14"/>
            <w:tabs>
              <w:tab w:val="right" w:leader="dot" w:pos="8306"/>
            </w:tabs>
            <w:spacing w:line="360" w:lineRule="auto"/>
            <w:rPr>
              <w:sz w:val="21"/>
              <w:szCs w:val="24"/>
            </w:rPr>
          </w:pPr>
          <w:r>
            <w:rPr>
              <w:sz w:val="21"/>
              <w:szCs w:val="24"/>
            </w:rPr>
            <w:fldChar w:fldCharType="begin"/>
          </w:r>
          <w:r>
            <w:rPr>
              <w:sz w:val="21"/>
              <w:szCs w:val="24"/>
            </w:rPr>
            <w:instrText xml:space="preserve"> HYPERLINK \l _Toc3956 </w:instrText>
          </w:r>
          <w:r>
            <w:rPr>
              <w:sz w:val="21"/>
              <w:szCs w:val="24"/>
            </w:rPr>
            <w:fldChar w:fldCharType="separate"/>
          </w:r>
          <w:r>
            <w:rPr>
              <w:rFonts w:hint="eastAsia" w:ascii="宋体" w:hAnsi="宋体" w:eastAsia="宋体" w:cs="宋体"/>
              <w:bCs/>
              <w:kern w:val="28"/>
              <w:sz w:val="21"/>
              <w:szCs w:val="24"/>
            </w:rPr>
            <w:t>五、磋商供应商的义务</w:t>
          </w:r>
          <w:r>
            <w:rPr>
              <w:sz w:val="21"/>
              <w:szCs w:val="24"/>
            </w:rPr>
            <w:tab/>
          </w:r>
          <w:r>
            <w:rPr>
              <w:sz w:val="21"/>
              <w:szCs w:val="24"/>
            </w:rPr>
            <w:fldChar w:fldCharType="begin"/>
          </w:r>
          <w:r>
            <w:rPr>
              <w:sz w:val="21"/>
              <w:szCs w:val="24"/>
            </w:rPr>
            <w:instrText xml:space="preserve"> PAGEREF _Toc3956 \h </w:instrText>
          </w:r>
          <w:r>
            <w:rPr>
              <w:sz w:val="21"/>
              <w:szCs w:val="24"/>
            </w:rPr>
            <w:fldChar w:fldCharType="separate"/>
          </w:r>
          <w:r>
            <w:rPr>
              <w:sz w:val="21"/>
              <w:szCs w:val="24"/>
            </w:rPr>
            <w:t>93</w:t>
          </w:r>
          <w:r>
            <w:rPr>
              <w:sz w:val="21"/>
              <w:szCs w:val="24"/>
            </w:rPr>
            <w:fldChar w:fldCharType="end"/>
          </w:r>
          <w:r>
            <w:rPr>
              <w:sz w:val="21"/>
              <w:szCs w:val="24"/>
            </w:rPr>
            <w:fldChar w:fldCharType="end"/>
          </w:r>
        </w:p>
        <w:p>
          <w:pPr>
            <w:pStyle w:val="18"/>
            <w:tabs>
              <w:tab w:val="right" w:leader="dot" w:pos="8306"/>
              <w:tab w:val="clear" w:pos="8948"/>
            </w:tabs>
            <w:spacing w:line="360" w:lineRule="auto"/>
            <w:rPr>
              <w:sz w:val="21"/>
              <w:szCs w:val="21"/>
            </w:rPr>
          </w:pPr>
          <w:r>
            <w:rPr>
              <w:sz w:val="21"/>
              <w:szCs w:val="21"/>
            </w:rPr>
            <w:fldChar w:fldCharType="begin"/>
          </w:r>
          <w:r>
            <w:rPr>
              <w:sz w:val="21"/>
              <w:szCs w:val="21"/>
            </w:rPr>
            <w:instrText xml:space="preserve"> HYPERLINK \l _Toc18198 </w:instrText>
          </w:r>
          <w:r>
            <w:rPr>
              <w:sz w:val="21"/>
              <w:szCs w:val="21"/>
            </w:rPr>
            <w:fldChar w:fldCharType="separate"/>
          </w:r>
          <w:r>
            <w:rPr>
              <w:rFonts w:hint="eastAsia" w:hAnsi="宋体"/>
              <w:bCs/>
              <w:sz w:val="21"/>
              <w:szCs w:val="36"/>
            </w:rPr>
            <w:t>第七部分  信贷政策</w:t>
          </w:r>
          <w:r>
            <w:rPr>
              <w:sz w:val="21"/>
              <w:szCs w:val="21"/>
            </w:rPr>
            <w:tab/>
          </w:r>
          <w:r>
            <w:rPr>
              <w:sz w:val="21"/>
              <w:szCs w:val="21"/>
            </w:rPr>
            <w:fldChar w:fldCharType="begin"/>
          </w:r>
          <w:r>
            <w:rPr>
              <w:sz w:val="21"/>
              <w:szCs w:val="21"/>
            </w:rPr>
            <w:instrText xml:space="preserve"> PAGEREF _Toc18198 \h </w:instrText>
          </w:r>
          <w:r>
            <w:rPr>
              <w:sz w:val="21"/>
              <w:szCs w:val="21"/>
            </w:rPr>
            <w:fldChar w:fldCharType="separate"/>
          </w:r>
          <w:r>
            <w:rPr>
              <w:sz w:val="21"/>
              <w:szCs w:val="21"/>
            </w:rPr>
            <w:t>94</w:t>
          </w:r>
          <w:r>
            <w:rPr>
              <w:sz w:val="21"/>
              <w:szCs w:val="21"/>
            </w:rPr>
            <w:fldChar w:fldCharType="end"/>
          </w:r>
          <w:r>
            <w:rPr>
              <w:sz w:val="21"/>
              <w:szCs w:val="21"/>
            </w:rPr>
            <w:fldChar w:fldCharType="end"/>
          </w:r>
        </w:p>
        <w:p>
          <w:pPr>
            <w:spacing w:line="360" w:lineRule="auto"/>
            <w:jc w:val="center"/>
            <w:rPr>
              <w:rFonts w:ascii="宋体" w:hAnsi="宋体" w:eastAsia="宋体"/>
              <w:b/>
              <w:bCs/>
              <w:sz w:val="36"/>
              <w:szCs w:val="44"/>
            </w:rPr>
            <w:sectPr>
              <w:headerReference r:id="rId3" w:type="default"/>
              <w:pgSz w:w="11906" w:h="16838"/>
              <w:pgMar w:top="1440" w:right="1800" w:bottom="1440" w:left="1800" w:header="851" w:footer="992" w:gutter="0"/>
              <w:cols w:space="425" w:num="1"/>
              <w:docGrid w:type="lines" w:linePitch="312" w:charSpace="0"/>
            </w:sectPr>
          </w:pPr>
          <w:r>
            <w:fldChar w:fldCharType="end"/>
          </w:r>
        </w:p>
      </w:sdtContent>
    </w:sdt>
    <w:p>
      <w:pPr>
        <w:pStyle w:val="3"/>
        <w:keepNext w:val="0"/>
        <w:keepLines w:val="0"/>
        <w:spacing w:before="240" w:beforeLines="100" w:after="120" w:afterLines="50" w:line="400" w:lineRule="exact"/>
        <w:jc w:val="center"/>
        <w:rPr>
          <w:rFonts w:hAnsi="宋体" w:eastAsia="宋体" w:cs="宋体"/>
          <w:color w:val="000000"/>
          <w:sz w:val="28"/>
          <w:szCs w:val="36"/>
        </w:rPr>
      </w:pPr>
      <w:bookmarkStart w:id="3" w:name="_Toc30735"/>
      <w:bookmarkStart w:id="4" w:name="_Toc11008"/>
      <w:bookmarkStart w:id="5" w:name="_Toc10754"/>
      <w:r>
        <w:rPr>
          <w:rFonts w:hint="eastAsia" w:hAnsi="宋体" w:eastAsia="宋体" w:cs="宋体"/>
          <w:sz w:val="28"/>
          <w:szCs w:val="36"/>
        </w:rPr>
        <w:t>第一部分  竞</w:t>
      </w:r>
      <w:r>
        <w:rPr>
          <w:rFonts w:hint="eastAsia" w:hAnsi="宋体" w:eastAsia="宋体" w:cs="宋体"/>
          <w:color w:val="000000"/>
          <w:sz w:val="28"/>
          <w:szCs w:val="36"/>
        </w:rPr>
        <w:t>争性磋商公告</w:t>
      </w:r>
      <w:bookmarkEnd w:id="3"/>
      <w:bookmarkEnd w:id="4"/>
      <w:bookmarkEnd w:id="5"/>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pPr>
              <w:pStyle w:val="2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项目概况</w:t>
            </w:r>
          </w:p>
          <w:p>
            <w:pPr>
              <w:pStyle w:val="20"/>
              <w:spacing w:beforeAutospacing="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lang w:eastAsia="zh-CN"/>
              </w:rPr>
              <w:t>瑞安市公安局便携式无人机防御反制设备采购项目</w:t>
            </w:r>
            <w:r>
              <w:rPr>
                <w:rFonts w:hint="eastAsia" w:ascii="宋体" w:hAnsi="宋体" w:eastAsia="宋体" w:cs="宋体"/>
                <w:color w:val="auto"/>
                <w:sz w:val="21"/>
                <w:szCs w:val="21"/>
              </w:rPr>
              <w:t>的潜在供应商应在政采云平台</w:t>
            </w:r>
            <w:r>
              <w:rPr>
                <w:rFonts w:hint="eastAsia" w:ascii="宋体" w:hAnsi="宋体" w:eastAsia="宋体" w:cs="宋体"/>
                <w:color w:val="auto"/>
                <w:sz w:val="21"/>
                <w:szCs w:val="21"/>
                <w:u w:val="single"/>
              </w:rPr>
              <w:t>https://www.zcygov.cn/</w:t>
            </w:r>
            <w:r>
              <w:rPr>
                <w:rFonts w:hint="eastAsia" w:ascii="宋体" w:hAnsi="宋体" w:eastAsia="宋体" w:cs="宋体"/>
                <w:color w:val="auto"/>
                <w:sz w:val="21"/>
                <w:szCs w:val="21"/>
              </w:rPr>
              <w:t>获取（下载）采购文件，并于</w:t>
            </w:r>
            <w:r>
              <w:rPr>
                <w:rFonts w:hint="eastAsia" w:ascii="宋体" w:hAnsi="宋体" w:eastAsia="宋体" w:cs="宋体"/>
                <w:color w:val="auto"/>
                <w:sz w:val="21"/>
                <w:szCs w:val="21"/>
                <w:u w:val="single"/>
                <w:lang w:eastAsia="zh-CN"/>
              </w:rPr>
              <w:t>2023年07月17日09:00</w:t>
            </w:r>
            <w:r>
              <w:rPr>
                <w:rFonts w:hint="eastAsia" w:ascii="宋体" w:hAnsi="宋体" w:eastAsia="宋体" w:cs="宋体"/>
                <w:color w:val="auto"/>
                <w:sz w:val="21"/>
                <w:szCs w:val="21"/>
              </w:rPr>
              <w:t>（北京时间）前提交（上传）响应文件。</w:t>
            </w:r>
          </w:p>
        </w:tc>
      </w:tr>
    </w:tbl>
    <w:p>
      <w:pPr>
        <w:pStyle w:val="20"/>
        <w:spacing w:before="0" w:beforeAutospacing="0" w:after="0" w:afterAutospacing="0" w:line="360" w:lineRule="auto"/>
        <w:outlineLvl w:val="1"/>
        <w:rPr>
          <w:rFonts w:ascii="宋体" w:hAnsi="宋体" w:eastAsia="宋体" w:cs="宋体"/>
          <w:color w:val="auto"/>
          <w:sz w:val="21"/>
          <w:szCs w:val="21"/>
        </w:rPr>
      </w:pPr>
      <w:bookmarkStart w:id="6" w:name="_Toc17513"/>
      <w:bookmarkStart w:id="7" w:name="_Toc22378"/>
      <w:bookmarkStart w:id="8" w:name="_Toc11858"/>
      <w:r>
        <w:rPr>
          <w:rStyle w:val="25"/>
          <w:rFonts w:hint="eastAsia" w:ascii="宋体" w:hAnsi="宋体" w:eastAsia="宋体" w:cs="宋体"/>
          <w:color w:val="auto"/>
          <w:sz w:val="21"/>
          <w:szCs w:val="21"/>
        </w:rPr>
        <w:t>一、项目基本情况</w:t>
      </w:r>
      <w:bookmarkEnd w:id="6"/>
      <w:bookmarkEnd w:id="7"/>
      <w:bookmarkEnd w:id="8"/>
    </w:p>
    <w:p>
      <w:pPr>
        <w:pStyle w:val="20"/>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zjzs202306029</w:t>
      </w:r>
      <w:r>
        <w:rPr>
          <w:rFonts w:hint="eastAsia" w:ascii="宋体" w:hAnsi="宋体" w:eastAsia="宋体" w:cs="宋体"/>
          <w:color w:val="auto"/>
          <w:sz w:val="21"/>
          <w:szCs w:val="21"/>
        </w:rPr>
        <w:t> </w:t>
      </w:r>
    </w:p>
    <w:p>
      <w:pPr>
        <w:pStyle w:val="20"/>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项目名称：</w:t>
      </w:r>
      <w:r>
        <w:rPr>
          <w:rFonts w:hint="eastAsia" w:ascii="宋体" w:hAnsi="宋体" w:eastAsia="宋体" w:cs="宋体"/>
          <w:color w:val="auto"/>
          <w:sz w:val="21"/>
          <w:szCs w:val="21"/>
          <w:lang w:eastAsia="zh-CN"/>
        </w:rPr>
        <w:t>瑞安市公安局便携式无人机防御反制设备采购项目</w:t>
      </w:r>
      <w:r>
        <w:rPr>
          <w:rFonts w:hint="eastAsia" w:ascii="宋体" w:hAnsi="宋体" w:eastAsia="宋体" w:cs="宋体"/>
          <w:color w:val="auto"/>
          <w:sz w:val="21"/>
          <w:szCs w:val="21"/>
        </w:rPr>
        <w:t> </w:t>
      </w:r>
    </w:p>
    <w:p>
      <w:pPr>
        <w:pStyle w:val="20"/>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采购方式：竞争性磋商</w:t>
      </w:r>
    </w:p>
    <w:p>
      <w:pPr>
        <w:pStyle w:val="20"/>
        <w:spacing w:before="0" w:beforeAutospacing="0" w:after="0" w:afterAutospacing="0" w:line="360" w:lineRule="auto"/>
        <w:rPr>
          <w:rFonts w:ascii="宋体" w:hAnsi="宋体" w:eastAsia="宋体" w:cs="宋体"/>
          <w:sz w:val="21"/>
          <w:szCs w:val="21"/>
          <w:highlight w:val="yellow"/>
        </w:rPr>
      </w:pPr>
      <w:r>
        <w:rPr>
          <w:rFonts w:hint="eastAsia" w:ascii="宋体" w:hAnsi="宋体" w:eastAsia="宋体" w:cs="宋体"/>
          <w:sz w:val="21"/>
          <w:szCs w:val="21"/>
        </w:rPr>
        <w:t>   预算金额（元）：</w:t>
      </w:r>
      <w:r>
        <w:rPr>
          <w:rFonts w:hint="eastAsia" w:ascii="宋体" w:hAnsi="宋体" w:eastAsia="宋体" w:cs="宋体"/>
          <w:sz w:val="21"/>
          <w:szCs w:val="21"/>
          <w:lang w:val="en-US" w:eastAsia="zh-CN"/>
        </w:rPr>
        <w:t>1030000</w:t>
      </w:r>
    </w:p>
    <w:p>
      <w:pPr>
        <w:pStyle w:val="20"/>
        <w:spacing w:before="0" w:beforeAutospacing="0" w:after="0" w:afterAutospacing="0" w:line="360" w:lineRule="auto"/>
        <w:rPr>
          <w:rFonts w:ascii="宋体" w:hAnsi="宋体" w:eastAsia="宋体" w:cs="宋体"/>
          <w:color w:val="FF0000"/>
          <w:sz w:val="21"/>
          <w:szCs w:val="21"/>
        </w:rPr>
      </w:pPr>
      <w:r>
        <w:rPr>
          <w:rFonts w:hint="eastAsia" w:ascii="宋体" w:hAnsi="宋体" w:eastAsia="宋体" w:cs="宋体"/>
          <w:sz w:val="21"/>
          <w:szCs w:val="21"/>
        </w:rPr>
        <w:t>   最高限价（元）：</w:t>
      </w:r>
      <w:r>
        <w:rPr>
          <w:rFonts w:hint="eastAsia" w:ascii="宋体" w:hAnsi="宋体" w:eastAsia="宋体" w:cs="宋体"/>
          <w:sz w:val="21"/>
          <w:szCs w:val="21"/>
          <w:lang w:val="en-US" w:eastAsia="zh-CN"/>
        </w:rPr>
        <w:t>1030000</w:t>
      </w:r>
    </w:p>
    <w:p>
      <w:pPr>
        <w:pStyle w:val="20"/>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采购需求：</w:t>
      </w:r>
    </w:p>
    <w:p>
      <w:pPr>
        <w:pStyle w:val="20"/>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    </w:t>
      </w:r>
    </w:p>
    <w:p>
      <w:pPr>
        <w:pStyle w:val="20"/>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数量：1 </w:t>
      </w:r>
    </w:p>
    <w:p>
      <w:pPr>
        <w:pStyle w:val="20"/>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    预算金额（元）：</w:t>
      </w:r>
      <w:r>
        <w:rPr>
          <w:rFonts w:hint="eastAsia" w:ascii="宋体" w:hAnsi="宋体" w:eastAsia="宋体" w:cs="宋体"/>
          <w:sz w:val="21"/>
          <w:szCs w:val="21"/>
          <w:lang w:val="en-US" w:eastAsia="zh-CN"/>
        </w:rPr>
        <w:t>1030000</w:t>
      </w:r>
    </w:p>
    <w:p>
      <w:pPr>
        <w:pStyle w:val="20"/>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    单位：项</w:t>
      </w:r>
    </w:p>
    <w:p>
      <w:pPr>
        <w:pStyle w:val="20"/>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简要规格描述：详见磋商文件相关部分。</w:t>
      </w:r>
    </w:p>
    <w:p>
      <w:pPr>
        <w:pStyle w:val="20"/>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备注：无</w:t>
      </w:r>
    </w:p>
    <w:p>
      <w:pPr>
        <w:pStyle w:val="20"/>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合同履约期限：详见磋商文件相关部分。</w:t>
      </w:r>
    </w:p>
    <w:p>
      <w:pPr>
        <w:pStyle w:val="20"/>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本项目（否）接受联合体投标。</w:t>
      </w:r>
    </w:p>
    <w:p>
      <w:pPr>
        <w:pStyle w:val="20"/>
        <w:spacing w:before="0" w:beforeAutospacing="0" w:after="0" w:afterAutospacing="0" w:line="360" w:lineRule="auto"/>
        <w:outlineLvl w:val="1"/>
        <w:rPr>
          <w:rFonts w:ascii="宋体" w:hAnsi="宋体" w:eastAsia="宋体" w:cs="宋体"/>
          <w:sz w:val="21"/>
          <w:szCs w:val="21"/>
        </w:rPr>
      </w:pPr>
      <w:bookmarkStart w:id="9" w:name="_Toc24601"/>
      <w:bookmarkStart w:id="10" w:name="_Toc9129"/>
      <w:bookmarkStart w:id="11" w:name="_Toc16537"/>
      <w:r>
        <w:rPr>
          <w:rStyle w:val="25"/>
          <w:rFonts w:hint="eastAsia" w:ascii="宋体" w:hAnsi="宋体" w:eastAsia="宋体" w:cs="宋体"/>
          <w:sz w:val="21"/>
          <w:szCs w:val="21"/>
        </w:rPr>
        <w:t>二、申请人的资格要求：</w:t>
      </w:r>
      <w:bookmarkEnd w:id="9"/>
      <w:bookmarkEnd w:id="10"/>
      <w:bookmarkEnd w:id="11"/>
    </w:p>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color w:val="auto"/>
          <w:sz w:val="21"/>
          <w:szCs w:val="21"/>
        </w:rPr>
        <w:t>满足《中华人民共和国政府采购法》第二十二条规定：未被“信用中国”、“中国政府采购网”列入失信被执行人、重大违法案件当事人名单、政府采购严重违法失信行为记录名单。</w:t>
      </w:r>
    </w:p>
    <w:p>
      <w:pPr>
        <w:pStyle w:val="20"/>
        <w:spacing w:before="0" w:beforeAutospacing="0" w:after="0" w:afterAutospacing="0" w:line="360" w:lineRule="auto"/>
        <w:rPr>
          <w:rFonts w:hint="eastAsia" w:ascii="宋体" w:hAnsi="宋体" w:eastAsia="宋体" w:cs="宋体"/>
          <w:sz w:val="21"/>
          <w:szCs w:val="21"/>
          <w:lang w:eastAsia="zh-CN"/>
        </w:rPr>
      </w:pPr>
      <w:r>
        <w:rPr>
          <w:rFonts w:hint="eastAsia" w:ascii="宋体" w:hAnsi="宋体" w:eastAsia="宋体" w:cs="宋体"/>
          <w:sz w:val="21"/>
          <w:szCs w:val="21"/>
        </w:rPr>
        <w:t>   2.</w:t>
      </w:r>
      <w:r>
        <w:rPr>
          <w:rFonts w:hint="eastAsia" w:ascii="宋体" w:hAnsi="宋体" w:eastAsia="宋体" w:cs="宋体"/>
          <w:sz w:val="21"/>
          <w:szCs w:val="21"/>
          <w:lang w:eastAsia="zh-CN"/>
        </w:rPr>
        <w:t>落实政府采购政策需满足的资格要求：本项目整体专门面向中小企业采购（残疾人福利性单位和监狱企业视同小微企业）。</w:t>
      </w:r>
    </w:p>
    <w:p>
      <w:pPr>
        <w:pStyle w:val="20"/>
        <w:spacing w:before="0" w:beforeAutospacing="0" w:after="0" w:afterAutospacing="0" w:line="360" w:lineRule="auto"/>
        <w:ind w:firstLine="420" w:firstLineChars="200"/>
        <w:outlineLvl w:val="3"/>
        <w:rPr>
          <w:rFonts w:ascii="宋体" w:hAnsi="宋体" w:eastAsia="宋体" w:cs="宋体"/>
          <w:sz w:val="21"/>
          <w:szCs w:val="21"/>
        </w:rPr>
      </w:pPr>
      <w:bookmarkStart w:id="12" w:name="_Toc21691"/>
      <w:bookmarkStart w:id="13" w:name="_Toc6595"/>
      <w:bookmarkStart w:id="14" w:name="_Toc10129"/>
      <w:bookmarkStart w:id="15" w:name="_Toc17581"/>
      <w:r>
        <w:rPr>
          <w:rFonts w:hint="eastAsia" w:ascii="宋体" w:hAnsi="宋体" w:eastAsia="宋体" w:cs="宋体"/>
          <w:sz w:val="21"/>
          <w:szCs w:val="21"/>
        </w:rPr>
        <w:t>3.特定资格条件：</w:t>
      </w:r>
      <w:bookmarkEnd w:id="12"/>
      <w:bookmarkEnd w:id="13"/>
      <w:bookmarkEnd w:id="14"/>
      <w:bookmarkEnd w:id="15"/>
      <w:r>
        <w:rPr>
          <w:rFonts w:hint="eastAsia" w:eastAsia="宋体" w:cs="Times New Roman"/>
          <w:color w:val="auto"/>
          <w:sz w:val="21"/>
          <w:szCs w:val="21"/>
        </w:rPr>
        <w:t>无</w:t>
      </w:r>
      <w:r>
        <w:rPr>
          <w:rFonts w:hint="eastAsia" w:ascii="宋体" w:hAnsi="宋体" w:eastAsia="宋体" w:cs="宋体"/>
          <w:sz w:val="21"/>
          <w:szCs w:val="21"/>
        </w:rPr>
        <w:t>。</w:t>
      </w:r>
    </w:p>
    <w:p>
      <w:pPr>
        <w:pStyle w:val="20"/>
        <w:spacing w:before="0" w:beforeAutospacing="0" w:after="0" w:afterAutospacing="0" w:line="360" w:lineRule="auto"/>
        <w:outlineLvl w:val="1"/>
        <w:rPr>
          <w:rFonts w:ascii="宋体" w:hAnsi="宋体" w:eastAsia="宋体" w:cs="宋体"/>
          <w:sz w:val="21"/>
          <w:szCs w:val="21"/>
        </w:rPr>
      </w:pPr>
      <w:bookmarkStart w:id="16" w:name="_Toc31368"/>
      <w:bookmarkStart w:id="17" w:name="_Toc21587"/>
      <w:bookmarkStart w:id="18" w:name="_Toc4871"/>
      <w:r>
        <w:rPr>
          <w:rStyle w:val="25"/>
          <w:rFonts w:hint="eastAsia" w:ascii="宋体" w:hAnsi="宋体" w:eastAsia="宋体" w:cs="宋体"/>
          <w:sz w:val="21"/>
          <w:szCs w:val="21"/>
        </w:rPr>
        <w:t>三、获取（下载）采购文件</w:t>
      </w:r>
      <w:bookmarkEnd w:id="16"/>
      <w:bookmarkEnd w:id="17"/>
      <w:bookmarkEnd w:id="18"/>
    </w:p>
    <w:p>
      <w:pPr>
        <w:pStyle w:val="28"/>
        <w:spacing w:line="360" w:lineRule="auto"/>
        <w:ind w:firstLine="0" w:firstLineChars="0"/>
        <w:rPr>
          <w:rFonts w:ascii="宋体" w:hAnsi="宋体" w:eastAsia="宋体" w:cs="宋体"/>
          <w:szCs w:val="21"/>
        </w:rPr>
      </w:pPr>
      <w:r>
        <w:rPr>
          <w:rFonts w:hint="eastAsia" w:ascii="宋体" w:hAnsi="宋体" w:eastAsia="宋体" w:cs="宋体"/>
          <w:color w:val="000000"/>
          <w:szCs w:val="21"/>
        </w:rPr>
        <w:t> </w:t>
      </w:r>
      <w:r>
        <w:rPr>
          <w:rFonts w:hint="eastAsia" w:ascii="宋体" w:hAnsi="宋体" w:eastAsia="宋体" w:cs="宋体"/>
          <w:szCs w:val="21"/>
        </w:rPr>
        <w:t xml:space="preserve">  时间：/至</w:t>
      </w:r>
      <w:r>
        <w:rPr>
          <w:rFonts w:hint="eastAsia" w:ascii="宋体" w:hAnsi="宋体" w:eastAsia="宋体" w:cs="宋体"/>
          <w:szCs w:val="21"/>
          <w:lang w:eastAsia="zh-CN"/>
        </w:rPr>
        <w:t>2023年07月17日09:00</w:t>
      </w:r>
      <w:r>
        <w:rPr>
          <w:rFonts w:hint="eastAsia" w:ascii="宋体" w:hAnsi="宋体" w:eastAsia="宋体" w:cs="宋体"/>
          <w:szCs w:val="21"/>
        </w:rPr>
        <w:t>（北京时间），每天上午00:00至12:00，下午12:00至23:59（北京时间，线上获取法定节假日均可，线下获取文件法定节假日除外）</w:t>
      </w:r>
      <w:r>
        <w:rPr>
          <w:rFonts w:hint="eastAsia" w:ascii="宋体" w:hAnsi="宋体" w:eastAsia="宋体" w:cs="宋体"/>
          <w:color w:val="000000"/>
          <w:szCs w:val="21"/>
        </w:rPr>
        <w:t>。</w:t>
      </w:r>
    </w:p>
    <w:p>
      <w:pPr>
        <w:pStyle w:val="20"/>
        <w:spacing w:before="0" w:beforeAutospacing="0" w:after="0" w:afterAutospacing="0"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地点（网址）：</w:t>
      </w:r>
      <w:r>
        <w:rPr>
          <w:rFonts w:hint="eastAsia" w:ascii="宋体" w:hAnsi="宋体" w:eastAsia="宋体" w:cs="宋体"/>
          <w:color w:val="auto"/>
          <w:sz w:val="21"/>
          <w:szCs w:val="21"/>
        </w:rPr>
        <w:t>政采云平台https://www.zcygov.cn/</w:t>
      </w:r>
    </w:p>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方式：供应商登录政采云平台https://www.zcygov.cn/在线申请获取采购文件（进入“项目采购”应用，在获取采购文件菜单中选择项目，申请获取采购文件）  </w:t>
      </w:r>
    </w:p>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售价（元）：0  </w:t>
      </w:r>
    </w:p>
    <w:p>
      <w:pPr>
        <w:pStyle w:val="20"/>
        <w:spacing w:before="0" w:beforeAutospacing="0" w:after="0" w:afterAutospacing="0" w:line="360" w:lineRule="auto"/>
        <w:outlineLvl w:val="1"/>
        <w:rPr>
          <w:rFonts w:ascii="宋体" w:hAnsi="宋体" w:eastAsia="宋体" w:cs="宋体"/>
          <w:sz w:val="21"/>
          <w:szCs w:val="21"/>
        </w:rPr>
      </w:pPr>
      <w:bookmarkStart w:id="19" w:name="_Toc14658"/>
      <w:bookmarkStart w:id="20" w:name="_Toc20278"/>
      <w:bookmarkStart w:id="21" w:name="_Toc21190"/>
      <w:r>
        <w:rPr>
          <w:rStyle w:val="25"/>
          <w:rFonts w:hint="eastAsia" w:ascii="宋体" w:hAnsi="宋体" w:eastAsia="宋体" w:cs="宋体"/>
          <w:sz w:val="21"/>
          <w:szCs w:val="21"/>
        </w:rPr>
        <w:t>四、响应文件提交（上传）</w:t>
      </w:r>
      <w:bookmarkEnd w:id="19"/>
      <w:bookmarkEnd w:id="20"/>
      <w:bookmarkEnd w:id="21"/>
    </w:p>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截止时间：</w:t>
      </w:r>
      <w:r>
        <w:rPr>
          <w:rFonts w:hint="eastAsia" w:ascii="宋体" w:hAnsi="宋体" w:eastAsia="宋体" w:cs="宋体"/>
          <w:color w:val="auto"/>
          <w:sz w:val="21"/>
          <w:szCs w:val="21"/>
          <w:u w:val="single"/>
          <w:lang w:eastAsia="zh-CN"/>
        </w:rPr>
        <w:t>2023年07月17日09:00</w:t>
      </w:r>
      <w:r>
        <w:rPr>
          <w:rFonts w:hint="eastAsia" w:ascii="宋体" w:hAnsi="宋体" w:eastAsia="宋体" w:cs="宋体"/>
          <w:sz w:val="21"/>
          <w:szCs w:val="21"/>
        </w:rPr>
        <w:t>（北京时间）</w:t>
      </w:r>
    </w:p>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地点（网址）：</w:t>
      </w:r>
      <w:r>
        <w:rPr>
          <w:rFonts w:hint="eastAsia" w:ascii="宋体" w:hAnsi="宋体" w:eastAsia="宋体" w:cs="宋体"/>
          <w:sz w:val="21"/>
          <w:szCs w:val="21"/>
          <w:u w:val="single"/>
        </w:rPr>
        <w:t>（1）电子加密响应文件：应按政采云平台项目采购-电子交易操作指南及本招磋商文件要求进行编制、加密并递交，供应商应于投标截止时间前将电子加密响应文件上传到政采云系统中（不准时上传视为不参加）。（2）备份响应文件：</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Fonts w:hint="eastAsia" w:ascii="宋体" w:hAnsi="宋体" w:eastAsia="宋体" w:cs="宋体"/>
          <w:sz w:val="21"/>
          <w:szCs w:val="21"/>
          <w:u w:val="single"/>
        </w:rPr>
        <w:t>投标截止时间前以压缩文件形式加密发送至采购代理机构邮箱</w:t>
      </w:r>
      <w:r>
        <w:rPr>
          <w:rFonts w:hint="eastAsia" w:ascii="宋体" w:hAnsi="宋体" w:eastAsia="宋体" w:cs="宋体"/>
          <w:sz w:val="21"/>
          <w:szCs w:val="21"/>
          <w:u w:val="single"/>
        </w:rPr>
        <w:fldChar w:fldCharType="end"/>
      </w:r>
      <w:r>
        <w:rPr>
          <w:rFonts w:hint="eastAsia" w:ascii="宋体" w:hAnsi="宋体" w:eastAsia="宋体" w:cs="宋体"/>
          <w:sz w:val="21"/>
          <w:szCs w:val="21"/>
          <w:u w:val="single"/>
        </w:rPr>
        <w:t>，并在接到在线解密通知后30分钟内发送压缩文件密码至采购代理机构邮箱。（邮箱号码：</w:t>
      </w:r>
      <w:r>
        <w:fldChar w:fldCharType="begin"/>
      </w:r>
      <w:r>
        <w:instrText xml:space="preserve"> HYPERLINK "mailto:103874679@qq.com）。" </w:instrText>
      </w:r>
      <w:r>
        <w:fldChar w:fldCharType="separate"/>
      </w:r>
      <w:r>
        <w:rPr>
          <w:rFonts w:hint="eastAsia" w:ascii="宋体" w:hAnsi="宋体" w:eastAsia="宋体" w:cs="宋体"/>
          <w:sz w:val="21"/>
          <w:szCs w:val="21"/>
          <w:u w:val="single"/>
        </w:rPr>
        <w:t>984865308@qq.com）。</w:t>
      </w:r>
      <w:r>
        <w:rPr>
          <w:rFonts w:hint="eastAsia" w:ascii="宋体" w:hAnsi="宋体" w:eastAsia="宋体" w:cs="宋体"/>
          <w:sz w:val="21"/>
          <w:szCs w:val="21"/>
          <w:u w:val="single"/>
        </w:rPr>
        <w:fldChar w:fldCharType="end"/>
      </w:r>
    </w:p>
    <w:p>
      <w:pPr>
        <w:pStyle w:val="20"/>
        <w:spacing w:before="0" w:beforeAutospacing="0" w:after="0" w:afterAutospacing="0" w:line="360" w:lineRule="auto"/>
        <w:outlineLvl w:val="1"/>
        <w:rPr>
          <w:rFonts w:ascii="宋体" w:hAnsi="宋体" w:eastAsia="宋体" w:cs="宋体"/>
          <w:sz w:val="21"/>
          <w:szCs w:val="21"/>
        </w:rPr>
      </w:pPr>
      <w:bookmarkStart w:id="22" w:name="_Toc10271"/>
      <w:bookmarkStart w:id="23" w:name="_Toc4691"/>
      <w:bookmarkStart w:id="24" w:name="_Toc24809"/>
      <w:r>
        <w:rPr>
          <w:rStyle w:val="25"/>
          <w:rFonts w:hint="eastAsia" w:ascii="宋体" w:hAnsi="宋体" w:eastAsia="宋体" w:cs="宋体"/>
          <w:sz w:val="21"/>
          <w:szCs w:val="21"/>
        </w:rPr>
        <w:t>五、响应文件开启</w:t>
      </w:r>
      <w:bookmarkEnd w:id="22"/>
      <w:bookmarkEnd w:id="23"/>
      <w:bookmarkEnd w:id="24"/>
    </w:p>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开启时间：</w:t>
      </w:r>
      <w:r>
        <w:rPr>
          <w:rFonts w:hint="eastAsia" w:ascii="宋体" w:hAnsi="宋体" w:eastAsia="宋体" w:cs="宋体"/>
          <w:color w:val="auto"/>
          <w:sz w:val="21"/>
          <w:szCs w:val="21"/>
          <w:u w:val="single"/>
          <w:lang w:eastAsia="zh-CN"/>
        </w:rPr>
        <w:t>2023年07月17日09:00</w:t>
      </w:r>
      <w:r>
        <w:rPr>
          <w:rFonts w:hint="eastAsia" w:ascii="宋体" w:hAnsi="宋体" w:eastAsia="宋体" w:cs="宋体"/>
          <w:sz w:val="21"/>
          <w:szCs w:val="21"/>
        </w:rPr>
        <w:t>（北京时间）</w:t>
      </w:r>
    </w:p>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地点（网址）：</w:t>
      </w:r>
      <w:r>
        <w:rPr>
          <w:rFonts w:hint="eastAsia" w:ascii="宋体" w:hAnsi="宋体" w:eastAsia="宋体" w:cs="宋体"/>
          <w:sz w:val="21"/>
          <w:szCs w:val="21"/>
          <w:u w:val="single"/>
        </w:rPr>
        <w:t>政府采购云平台（www.zcygov.cn）</w:t>
      </w:r>
    </w:p>
    <w:p>
      <w:pPr>
        <w:pStyle w:val="20"/>
        <w:spacing w:before="0" w:beforeAutospacing="0" w:after="0" w:afterAutospacing="0" w:line="360" w:lineRule="auto"/>
        <w:outlineLvl w:val="1"/>
        <w:rPr>
          <w:rFonts w:ascii="宋体" w:hAnsi="宋体" w:eastAsia="宋体" w:cs="宋体"/>
          <w:sz w:val="21"/>
          <w:szCs w:val="21"/>
        </w:rPr>
      </w:pPr>
      <w:bookmarkStart w:id="25" w:name="_Toc16450"/>
      <w:bookmarkStart w:id="26" w:name="_Toc29068"/>
      <w:bookmarkStart w:id="27" w:name="_Toc30477"/>
      <w:r>
        <w:rPr>
          <w:rStyle w:val="25"/>
          <w:rFonts w:hint="eastAsia" w:ascii="宋体" w:hAnsi="宋体" w:eastAsia="宋体" w:cs="宋体"/>
          <w:sz w:val="21"/>
          <w:szCs w:val="21"/>
        </w:rPr>
        <w:t>六、公告期限</w:t>
      </w:r>
      <w:bookmarkEnd w:id="25"/>
      <w:bookmarkEnd w:id="26"/>
      <w:bookmarkEnd w:id="27"/>
    </w:p>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自本公告发布之日起3个工作日。</w:t>
      </w:r>
    </w:p>
    <w:p>
      <w:pPr>
        <w:pStyle w:val="20"/>
        <w:spacing w:before="0" w:beforeAutospacing="0" w:after="0" w:afterAutospacing="0" w:line="360" w:lineRule="auto"/>
        <w:outlineLvl w:val="1"/>
        <w:rPr>
          <w:rFonts w:ascii="宋体" w:hAnsi="宋体" w:eastAsia="宋体" w:cs="宋体"/>
          <w:sz w:val="21"/>
          <w:szCs w:val="21"/>
        </w:rPr>
      </w:pPr>
      <w:bookmarkStart w:id="28" w:name="_Toc9013"/>
      <w:bookmarkStart w:id="29" w:name="_Toc25388"/>
      <w:bookmarkStart w:id="30" w:name="_Toc9116"/>
      <w:r>
        <w:rPr>
          <w:rStyle w:val="25"/>
          <w:rFonts w:hint="eastAsia" w:ascii="宋体" w:hAnsi="宋体" w:eastAsia="宋体" w:cs="宋体"/>
          <w:sz w:val="21"/>
          <w:szCs w:val="21"/>
        </w:rPr>
        <w:t>七、其他补充事宜</w:t>
      </w:r>
      <w:bookmarkEnd w:id="28"/>
      <w:bookmarkEnd w:id="29"/>
      <w:bookmarkEnd w:id="30"/>
    </w:p>
    <w:p>
      <w:pPr>
        <w:pStyle w:val="20"/>
        <w:widowControl/>
        <w:numPr>
          <w:ilvl w:val="0"/>
          <w:numId w:val="2"/>
        </w:numPr>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0"/>
        <w:widowControl/>
        <w:numPr>
          <w:ilvl w:val="0"/>
          <w:numId w:val="2"/>
        </w:numPr>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numPr>
          <w:ilvl w:val="0"/>
          <w:numId w:val="2"/>
        </w:numPr>
        <w:spacing w:line="360" w:lineRule="auto"/>
      </w:pPr>
      <w:r>
        <w:rPr>
          <w:rFonts w:hint="eastAsia" w:ascii="宋体" w:hAnsi="宋体" w:eastAsia="宋体" w:cs="宋体"/>
          <w:szCs w:val="21"/>
        </w:rPr>
        <w:t>其他事项：</w:t>
      </w:r>
    </w:p>
    <w:p>
      <w:pPr>
        <w:numPr>
          <w:ilvl w:val="0"/>
          <w:numId w:val="3"/>
        </w:numPr>
        <w:spacing w:line="360" w:lineRule="auto"/>
        <w:ind w:left="420" w:leftChars="200"/>
        <w:rPr>
          <w:rFonts w:ascii="宋体" w:hAnsi="宋体" w:eastAsia="宋体" w:cs="宋体"/>
          <w:szCs w:val="21"/>
        </w:rPr>
      </w:pPr>
      <w:r>
        <w:rPr>
          <w:rFonts w:hint="eastAsia" w:ascii="宋体" w:hAnsi="宋体" w:eastAsia="宋体" w:cs="宋体"/>
          <w:b/>
          <w:bCs/>
          <w:szCs w:val="21"/>
        </w:rPr>
        <w:t>本项目为专门面向中小企业采购项目</w:t>
      </w:r>
      <w:r>
        <w:rPr>
          <w:rFonts w:hint="eastAsia" w:ascii="宋体" w:hAnsi="宋体" w:eastAsia="宋体" w:cs="宋体"/>
          <w:szCs w:val="21"/>
        </w:rPr>
        <w:t>。根据《政府采购促进中小企业发展管理办法》（财库〔2020〕46号）（以下简称《管理办法》）规定的要求并符合国家统计局印发的《统计上大中小微型企业划分办法（2017）规定条件的，在参加本项目投标活动时可享受《管理办法》规定的优惠政策。</w:t>
      </w:r>
    </w:p>
    <w:p>
      <w:pPr>
        <w:numPr>
          <w:ilvl w:val="0"/>
          <w:numId w:val="3"/>
        </w:numPr>
        <w:spacing w:line="360" w:lineRule="auto"/>
        <w:ind w:left="420" w:leftChars="200"/>
        <w:rPr>
          <w:rFonts w:ascii="宋体" w:hAnsi="宋体" w:eastAsia="宋体" w:cs="宋体"/>
          <w:szCs w:val="21"/>
        </w:rPr>
      </w:pPr>
      <w:r>
        <w:rPr>
          <w:rFonts w:hint="eastAsia" w:ascii="宋体" w:hAnsi="宋体" w:eastAsia="宋体" w:cs="宋体"/>
          <w:szCs w:val="21"/>
        </w:rPr>
        <w:t>潜在供应商应当按照规定方式获取磋商文件，未按照规定方式获取磋商文件的，不得对磋商文件提起质疑投诉。</w:t>
      </w:r>
    </w:p>
    <w:p>
      <w:pPr>
        <w:numPr>
          <w:ilvl w:val="0"/>
          <w:numId w:val="3"/>
        </w:numPr>
        <w:spacing w:line="360" w:lineRule="auto"/>
        <w:ind w:left="420" w:leftChars="200"/>
        <w:rPr>
          <w:rFonts w:ascii="宋体" w:hAnsi="宋体" w:eastAsia="宋体" w:cs="宋体"/>
          <w:szCs w:val="21"/>
        </w:rPr>
      </w:pPr>
      <w:r>
        <w:rPr>
          <w:rFonts w:hint="eastAsia" w:ascii="宋体" w:hAnsi="宋体" w:eastAsia="宋体" w:cs="宋体"/>
          <w:szCs w:val="21"/>
        </w:rPr>
        <w:t>本项目优先采购本国货物和服务，必须进行的技术引进和转让需符合国家政策和有利于国内行业的发展。项目中涉及到的设备、材料属于政府采购节能产品、环境标志产品的，要求符合相关规定。</w:t>
      </w:r>
    </w:p>
    <w:p>
      <w:pPr>
        <w:numPr>
          <w:ilvl w:val="0"/>
          <w:numId w:val="3"/>
        </w:numPr>
        <w:spacing w:line="360" w:lineRule="auto"/>
        <w:ind w:left="420" w:leftChars="200"/>
        <w:rPr>
          <w:rFonts w:ascii="宋体" w:hAnsi="宋体" w:eastAsia="宋体" w:cs="宋体"/>
          <w:szCs w:val="21"/>
        </w:rPr>
      </w:pPr>
      <w:r>
        <w:rPr>
          <w:rFonts w:hint="eastAsia" w:ascii="宋体" w:hAnsi="宋体" w:eastAsia="宋体" w:cs="宋体"/>
          <w:szCs w:val="21"/>
        </w:rPr>
        <w:t>投标说明：</w:t>
      </w:r>
    </w:p>
    <w:p>
      <w:pPr>
        <w:numPr>
          <w:ilvl w:val="0"/>
          <w:numId w:val="0"/>
        </w:numPr>
        <w:spacing w:line="360" w:lineRule="auto"/>
        <w:ind w:left="630" w:leftChars="300" w:firstLine="0" w:firstLineChars="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xml:space="preserve">本项目通过“政府采购云平台（www.zcygov.cn）”实行在线投标响应（电子投标），供应商应先安装“政采云电子交易客户端”，并按照本磋商文件和“政府采购云平台”的要求，通过“政采云电子交易客户端”编制并加密响应文件。供应商未按规定加密的响应文件，“政府采购云平台”将予以拒收。 </w:t>
      </w:r>
    </w:p>
    <w:p>
      <w:pPr>
        <w:numPr>
          <w:ilvl w:val="0"/>
          <w:numId w:val="0"/>
        </w:numPr>
        <w:spacing w:line="360" w:lineRule="auto"/>
        <w:ind w:left="630" w:leftChars="300" w:firstLine="0" w:firstLineChars="0"/>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 xml:space="preserve">“政采云电子交易客户端”请自行前往“浙江政府采购网-下载专区-电子交易客户端”进行下载；通过“政府采购云平台”参与在线投标时如遇平台技术问题详询400-881-7190。 </w:t>
      </w:r>
    </w:p>
    <w:p>
      <w:pPr>
        <w:numPr>
          <w:ilvl w:val="0"/>
          <w:numId w:val="0"/>
        </w:numPr>
        <w:spacing w:line="360" w:lineRule="auto"/>
        <w:ind w:left="630" w:leftChars="300" w:firstLine="0" w:firstLineChars="0"/>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因未注册入库、未办理CA数字证书等原因造成无法投标或投标失败等后果由供应商自行承担。</w:t>
      </w:r>
    </w:p>
    <w:p>
      <w:pPr>
        <w:numPr>
          <w:ilvl w:val="0"/>
          <w:numId w:val="0"/>
        </w:numPr>
        <w:spacing w:line="360" w:lineRule="auto"/>
        <w:ind w:left="630" w:leftChars="300" w:firstLine="0" w:firstLineChars="0"/>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 xml:space="preserve">供应商应当在投标截止时间前，将生成的“电子加密响应文件”上传递交至“政府采购云平台”。投标截止时间后上传递交的响应文件将被“政府采购云平台”拒收。 </w:t>
      </w:r>
    </w:p>
    <w:p>
      <w:pPr>
        <w:spacing w:line="360" w:lineRule="auto"/>
        <w:ind w:left="630" w:leftChars="300" w:firstLine="0" w:firstLineChars="0"/>
      </w:pPr>
      <w:r>
        <w:rPr>
          <w:rFonts w:hint="eastAsia" w:ascii="宋体" w:hAnsi="宋体" w:eastAsia="宋体" w:cs="宋体"/>
          <w:szCs w:val="21"/>
          <w:lang w:val="en-US" w:eastAsia="zh-CN"/>
        </w:rPr>
        <w:t>5）</w:t>
      </w:r>
      <w:r>
        <w:rPr>
          <w:rFonts w:hint="eastAsia" w:ascii="宋体" w:hAnsi="宋体" w:eastAsia="宋体" w:cs="宋体"/>
          <w:szCs w:val="21"/>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pPr>
        <w:pStyle w:val="20"/>
        <w:spacing w:before="0" w:beforeAutospacing="0" w:after="0" w:afterAutospacing="0" w:line="360" w:lineRule="auto"/>
        <w:rPr>
          <w:rFonts w:ascii="宋体" w:hAnsi="宋体" w:eastAsia="宋体" w:cs="宋体"/>
          <w:sz w:val="21"/>
          <w:szCs w:val="21"/>
        </w:rPr>
      </w:pPr>
      <w:r>
        <w:rPr>
          <w:rStyle w:val="25"/>
          <w:rFonts w:hint="eastAsia" w:ascii="宋体" w:hAnsi="宋体" w:eastAsia="宋体" w:cs="宋体"/>
          <w:sz w:val="21"/>
          <w:szCs w:val="21"/>
        </w:rPr>
        <w:t>八、对本次采购提出询问、质疑、投诉，请按以下方式联系。</w:t>
      </w:r>
      <w:r>
        <w:rPr>
          <w:rFonts w:hint="eastAsia" w:ascii="宋体" w:hAnsi="宋体" w:eastAsia="宋体" w:cs="宋体"/>
          <w:sz w:val="21"/>
          <w:szCs w:val="21"/>
        </w:rPr>
        <w:t>　　　　　　　　　　　　</w:t>
      </w:r>
    </w:p>
    <w:p>
      <w:pPr>
        <w:pStyle w:val="20"/>
        <w:widowControl/>
        <w:spacing w:before="0" w:beforeAutospacing="0" w:after="0" w:afterAutospacing="0" w:line="360" w:lineRule="auto"/>
        <w:outlineLvl w:val="3"/>
        <w:rPr>
          <w:rFonts w:ascii="宋体" w:hAnsi="宋体" w:eastAsia="宋体" w:cs="宋体"/>
          <w:sz w:val="21"/>
          <w:szCs w:val="21"/>
        </w:rPr>
      </w:pPr>
      <w:bookmarkStart w:id="31" w:name="_Toc13513"/>
      <w:bookmarkStart w:id="32" w:name="_Toc20220"/>
      <w:bookmarkStart w:id="33" w:name="_Toc13993"/>
      <w:bookmarkStart w:id="34" w:name="_Toc31328"/>
      <w:r>
        <w:rPr>
          <w:rFonts w:hint="eastAsia" w:ascii="宋体" w:hAnsi="宋体" w:eastAsia="宋体" w:cs="宋体"/>
          <w:sz w:val="21"/>
          <w:szCs w:val="21"/>
        </w:rPr>
        <w:t>1.采购人信息</w:t>
      </w:r>
      <w:bookmarkEnd w:id="31"/>
      <w:bookmarkEnd w:id="32"/>
      <w:bookmarkEnd w:id="33"/>
      <w:bookmarkEnd w:id="34"/>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名    称：</w:t>
      </w:r>
      <w:r>
        <w:rPr>
          <w:rFonts w:hint="eastAsia" w:ascii="宋体" w:hAnsi="宋体" w:eastAsia="宋体" w:cs="宋体"/>
          <w:sz w:val="21"/>
          <w:szCs w:val="21"/>
          <w:u w:val="single"/>
          <w:lang w:eastAsia="zh-CN"/>
        </w:rPr>
        <w:t>瑞安市公安局</w:t>
      </w:r>
      <w:r>
        <w:rPr>
          <w:rFonts w:hint="eastAsia" w:ascii="宋体" w:hAnsi="宋体" w:eastAsia="宋体" w:cs="宋体"/>
          <w:sz w:val="21"/>
          <w:szCs w:val="21"/>
        </w:rPr>
        <w:t>　　　　　　　　</w:t>
      </w:r>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    址：</w:t>
      </w:r>
      <w:r>
        <w:rPr>
          <w:rFonts w:hint="eastAsia" w:ascii="宋体" w:hAnsi="宋体" w:eastAsia="宋体" w:cs="宋体"/>
          <w:sz w:val="21"/>
          <w:szCs w:val="21"/>
          <w:u w:val="single"/>
        </w:rPr>
        <w:t>温州市瑞安市安阳街道隆山东路525号</w:t>
      </w:r>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项目联系人（询问）：</w:t>
      </w:r>
      <w:r>
        <w:rPr>
          <w:rFonts w:hint="eastAsia" w:ascii="宋体" w:hAnsi="宋体" w:eastAsia="宋体" w:cs="宋体"/>
          <w:color w:val="auto"/>
          <w:sz w:val="21"/>
          <w:szCs w:val="21"/>
          <w:u w:val="single"/>
          <w:lang w:val="en-US" w:eastAsia="zh-CN"/>
        </w:rPr>
        <w:t>许警官</w:t>
      </w:r>
      <w:r>
        <w:rPr>
          <w:rFonts w:hint="eastAsia" w:ascii="宋体" w:hAnsi="宋体" w:eastAsia="宋体" w:cs="宋体"/>
          <w:sz w:val="21"/>
          <w:szCs w:val="21"/>
        </w:rPr>
        <w:t>　　　　　　　　　</w:t>
      </w:r>
    </w:p>
    <w:p>
      <w:pPr>
        <w:pStyle w:val="20"/>
        <w:widowControl/>
        <w:spacing w:before="0" w:beforeAutospacing="0" w:after="0" w:afterAutospacing="0" w:line="360" w:lineRule="auto"/>
        <w:rPr>
          <w:rFonts w:hint="default" w:ascii="宋体" w:hAnsi="宋体" w:eastAsia="宋体" w:cs="宋体"/>
          <w:sz w:val="21"/>
          <w:szCs w:val="21"/>
          <w:lang w:val="en-US" w:eastAsia="zh-CN"/>
        </w:rPr>
      </w:pPr>
      <w:r>
        <w:rPr>
          <w:rFonts w:hint="eastAsia" w:ascii="宋体" w:hAnsi="宋体" w:eastAsia="宋体" w:cs="宋体"/>
          <w:sz w:val="21"/>
          <w:szCs w:val="21"/>
        </w:rPr>
        <w:t>   项目联系方式（询问）：</w:t>
      </w:r>
      <w:r>
        <w:rPr>
          <w:rFonts w:hint="eastAsia" w:ascii="宋体" w:hAnsi="宋体" w:eastAsia="宋体" w:cs="宋体"/>
          <w:sz w:val="21"/>
          <w:szCs w:val="21"/>
          <w:u w:val="single"/>
          <w:lang w:val="en-US" w:eastAsia="zh-CN"/>
        </w:rPr>
        <w:t>13758785666</w:t>
      </w:r>
    </w:p>
    <w:p>
      <w:pPr>
        <w:pStyle w:val="20"/>
        <w:widowControl/>
        <w:spacing w:before="0" w:beforeAutospacing="0" w:after="0" w:afterAutospacing="0" w:line="360" w:lineRule="auto"/>
        <w:rPr>
          <w:rFonts w:ascii="宋体" w:hAnsi="宋体" w:eastAsia="宋体" w:cs="宋体"/>
          <w:color w:val="auto"/>
          <w:sz w:val="21"/>
          <w:szCs w:val="21"/>
          <w:u w:val="single"/>
        </w:rPr>
      </w:pPr>
      <w:r>
        <w:rPr>
          <w:rFonts w:hint="eastAsia" w:ascii="宋体" w:hAnsi="宋体" w:eastAsia="宋体" w:cs="宋体"/>
          <w:color w:val="FF0000"/>
          <w:sz w:val="21"/>
          <w:szCs w:val="21"/>
        </w:rPr>
        <w:t xml:space="preserve">  </w:t>
      </w:r>
      <w:r>
        <w:rPr>
          <w:rFonts w:hint="eastAsia" w:ascii="宋体" w:hAnsi="宋体" w:eastAsia="宋体" w:cs="宋体"/>
          <w:color w:val="auto"/>
          <w:sz w:val="21"/>
          <w:szCs w:val="21"/>
        </w:rPr>
        <w:t> 质疑联系人：</w:t>
      </w:r>
      <w:r>
        <w:rPr>
          <w:rFonts w:hint="eastAsia" w:ascii="宋体" w:hAnsi="宋体" w:eastAsia="宋体" w:cs="宋体"/>
          <w:color w:val="auto"/>
          <w:sz w:val="21"/>
          <w:szCs w:val="21"/>
          <w:u w:val="single"/>
          <w:lang w:val="en-US" w:eastAsia="zh-CN"/>
        </w:rPr>
        <w:t>季</w:t>
      </w:r>
      <w:r>
        <w:rPr>
          <w:rFonts w:hint="eastAsia" w:ascii="宋体" w:hAnsi="宋体" w:eastAsia="宋体" w:cs="宋体"/>
          <w:color w:val="auto"/>
          <w:sz w:val="21"/>
          <w:szCs w:val="21"/>
          <w:u w:val="single"/>
        </w:rPr>
        <w:t>先生</w:t>
      </w:r>
    </w:p>
    <w:p>
      <w:pPr>
        <w:pStyle w:val="20"/>
        <w:widowControl/>
        <w:spacing w:before="0" w:beforeAutospacing="0" w:after="0" w:afterAutospacing="0" w:line="360" w:lineRule="auto"/>
        <w:ind w:left="315" w:hanging="315" w:hangingChars="150"/>
        <w:rPr>
          <w:rFonts w:ascii="宋体" w:hAnsi="宋体" w:eastAsia="宋体" w:cs="宋体"/>
          <w:sz w:val="21"/>
          <w:szCs w:val="21"/>
        </w:rPr>
      </w:pPr>
      <w:r>
        <w:rPr>
          <w:rFonts w:hint="eastAsia" w:ascii="宋体" w:hAnsi="宋体" w:eastAsia="宋体" w:cs="宋体"/>
          <w:color w:val="auto"/>
          <w:sz w:val="21"/>
          <w:szCs w:val="21"/>
        </w:rPr>
        <w:t>   质疑联系方式：</w:t>
      </w:r>
      <w:r>
        <w:rPr>
          <w:rFonts w:hint="eastAsia" w:ascii="宋体" w:hAnsi="宋体" w:eastAsia="宋体" w:cs="宋体"/>
          <w:color w:val="auto"/>
          <w:sz w:val="21"/>
          <w:szCs w:val="21"/>
          <w:u w:val="single"/>
        </w:rPr>
        <w:t>13967769001</w:t>
      </w:r>
      <w:r>
        <w:rPr>
          <w:rFonts w:hint="eastAsia" w:ascii="宋体" w:hAnsi="宋体" w:eastAsia="宋体" w:cs="宋体"/>
          <w:color w:val="auto"/>
          <w:sz w:val="21"/>
          <w:szCs w:val="21"/>
        </w:rPr>
        <w:t>　</w:t>
      </w:r>
      <w:r>
        <w:rPr>
          <w:rFonts w:hint="eastAsia" w:ascii="宋体" w:hAnsi="宋体" w:eastAsia="宋体" w:cs="宋体"/>
          <w:color w:val="FF0000"/>
          <w:sz w:val="21"/>
          <w:szCs w:val="21"/>
        </w:rPr>
        <w:t>　</w:t>
      </w:r>
      <w:r>
        <w:rPr>
          <w:rFonts w:hint="eastAsia" w:ascii="宋体" w:hAnsi="宋体" w:eastAsia="宋体" w:cs="宋体"/>
          <w:sz w:val="21"/>
          <w:szCs w:val="21"/>
        </w:rPr>
        <w:t>　　　</w:t>
      </w:r>
    </w:p>
    <w:p>
      <w:pPr>
        <w:pStyle w:val="20"/>
        <w:widowControl/>
        <w:spacing w:before="0" w:beforeAutospacing="0" w:after="0" w:afterAutospacing="0" w:line="360" w:lineRule="auto"/>
        <w:outlineLvl w:val="3"/>
        <w:rPr>
          <w:rFonts w:ascii="宋体" w:hAnsi="宋体" w:eastAsia="宋体" w:cs="宋体"/>
          <w:sz w:val="21"/>
          <w:szCs w:val="21"/>
        </w:rPr>
      </w:pPr>
      <w:bookmarkStart w:id="35" w:name="_Toc14922"/>
      <w:bookmarkStart w:id="36" w:name="_Toc23529"/>
      <w:bookmarkStart w:id="37" w:name="_Toc18646"/>
      <w:bookmarkStart w:id="38" w:name="_Toc20487"/>
      <w:r>
        <w:rPr>
          <w:rFonts w:hint="eastAsia" w:ascii="宋体" w:hAnsi="宋体" w:eastAsia="宋体" w:cs="宋体"/>
          <w:sz w:val="21"/>
          <w:szCs w:val="21"/>
        </w:rPr>
        <w:t>2.采购代理机构信息</w:t>
      </w:r>
      <w:bookmarkEnd w:id="35"/>
      <w:bookmarkEnd w:id="36"/>
      <w:bookmarkEnd w:id="37"/>
      <w:bookmarkEnd w:id="38"/>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名    称：</w:t>
      </w:r>
      <w:r>
        <w:rPr>
          <w:rFonts w:hint="eastAsia" w:ascii="宋体" w:hAnsi="宋体" w:eastAsia="宋体" w:cs="宋体"/>
          <w:sz w:val="21"/>
          <w:szCs w:val="21"/>
          <w:u w:val="single"/>
        </w:rPr>
        <w:t>浙江综盛项目管理有限公司</w:t>
      </w:r>
      <w:r>
        <w:rPr>
          <w:rFonts w:hint="eastAsia" w:ascii="宋体" w:hAnsi="宋体" w:eastAsia="宋体" w:cs="宋体"/>
          <w:sz w:val="21"/>
          <w:szCs w:val="21"/>
        </w:rPr>
        <w:t>　　　　　　　　　　　</w:t>
      </w:r>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    址：</w:t>
      </w:r>
      <w:r>
        <w:rPr>
          <w:rFonts w:hint="eastAsia" w:ascii="宋体" w:hAnsi="宋体" w:eastAsia="宋体" w:cs="宋体"/>
          <w:sz w:val="21"/>
          <w:szCs w:val="21"/>
          <w:u w:val="single"/>
        </w:rPr>
        <w:t>瑞安经济开发区朝阳路555号</w:t>
      </w:r>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项目联系人（询问）：</w:t>
      </w:r>
      <w:r>
        <w:rPr>
          <w:rFonts w:hint="eastAsia" w:ascii="宋体" w:hAnsi="宋体" w:eastAsia="宋体" w:cs="宋体"/>
          <w:sz w:val="21"/>
          <w:szCs w:val="21"/>
          <w:u w:val="single"/>
        </w:rPr>
        <w:t>赵女士</w:t>
      </w:r>
      <w:r>
        <w:rPr>
          <w:rFonts w:hint="eastAsia" w:ascii="宋体" w:hAnsi="宋体" w:eastAsia="宋体" w:cs="宋体"/>
          <w:sz w:val="21"/>
          <w:szCs w:val="21"/>
        </w:rPr>
        <w:t>  　　　　　　　　　　　</w:t>
      </w:r>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项目联系方式（询问）：</w:t>
      </w:r>
      <w:r>
        <w:rPr>
          <w:rFonts w:hint="eastAsia" w:ascii="宋体" w:hAnsi="宋体" w:eastAsia="宋体" w:cs="宋体"/>
          <w:sz w:val="21"/>
          <w:szCs w:val="21"/>
          <w:u w:val="single"/>
        </w:rPr>
        <w:t>17826851140</w:t>
      </w:r>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质疑联系人：</w:t>
      </w:r>
      <w:r>
        <w:rPr>
          <w:rFonts w:hint="eastAsia" w:ascii="宋体" w:hAnsi="宋体" w:eastAsia="宋体" w:cs="宋体"/>
          <w:sz w:val="21"/>
          <w:szCs w:val="21"/>
          <w:u w:val="single"/>
        </w:rPr>
        <w:t>陈昌林</w:t>
      </w:r>
    </w:p>
    <w:p>
      <w:pPr>
        <w:pStyle w:val="20"/>
        <w:widowControl/>
        <w:spacing w:before="0" w:beforeAutospacing="0" w:after="0" w:afterAutospacing="0" w:line="360" w:lineRule="auto"/>
        <w:ind w:left="420" w:hanging="420" w:hangingChars="200"/>
        <w:rPr>
          <w:rFonts w:ascii="宋体" w:hAnsi="宋体" w:eastAsia="宋体" w:cs="宋体"/>
          <w:sz w:val="21"/>
          <w:szCs w:val="21"/>
        </w:rPr>
      </w:pPr>
      <w:r>
        <w:rPr>
          <w:rFonts w:hint="eastAsia" w:ascii="宋体" w:hAnsi="宋体" w:eastAsia="宋体" w:cs="宋体"/>
          <w:sz w:val="21"/>
          <w:szCs w:val="21"/>
        </w:rPr>
        <w:t>   质疑联系方式：</w:t>
      </w:r>
      <w:r>
        <w:rPr>
          <w:rFonts w:hint="eastAsia" w:ascii="宋体" w:hAnsi="宋体" w:eastAsia="宋体" w:cs="宋体"/>
          <w:sz w:val="21"/>
          <w:szCs w:val="21"/>
          <w:u w:val="single"/>
        </w:rPr>
        <w:t>15867759709</w:t>
      </w:r>
      <w:r>
        <w:rPr>
          <w:rFonts w:hint="eastAsia" w:ascii="宋体" w:hAnsi="宋体" w:eastAsia="宋体" w:cs="宋体"/>
          <w:sz w:val="21"/>
          <w:szCs w:val="21"/>
        </w:rPr>
        <w:t>　　　　　　　　　　　　　　　　　　　　</w:t>
      </w:r>
    </w:p>
    <w:p>
      <w:pPr>
        <w:pStyle w:val="20"/>
        <w:widowControl/>
        <w:spacing w:before="0" w:beforeAutospacing="0" w:after="0" w:afterAutospacing="0" w:line="360" w:lineRule="auto"/>
        <w:outlineLvl w:val="3"/>
        <w:rPr>
          <w:rFonts w:ascii="宋体" w:hAnsi="宋体" w:eastAsia="宋体" w:cs="宋体"/>
          <w:sz w:val="21"/>
          <w:szCs w:val="21"/>
        </w:rPr>
      </w:pPr>
      <w:bookmarkStart w:id="39" w:name="_Toc9294"/>
      <w:bookmarkStart w:id="40" w:name="_Toc15097"/>
      <w:bookmarkStart w:id="41" w:name="_Toc5751"/>
      <w:bookmarkStart w:id="42" w:name="_Toc32544"/>
      <w:r>
        <w:rPr>
          <w:rFonts w:hint="eastAsia" w:ascii="宋体" w:hAnsi="宋体" w:eastAsia="宋体" w:cs="宋体"/>
          <w:sz w:val="21"/>
          <w:szCs w:val="21"/>
        </w:rPr>
        <w:t>3.政府采购监督管理部门</w:t>
      </w:r>
      <w:bookmarkEnd w:id="39"/>
      <w:bookmarkEnd w:id="40"/>
      <w:bookmarkEnd w:id="41"/>
      <w:bookmarkEnd w:id="42"/>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名     称：</w:t>
      </w:r>
      <w:r>
        <w:rPr>
          <w:rFonts w:hint="eastAsia" w:ascii="宋体" w:hAnsi="宋体" w:eastAsia="宋体" w:cs="宋体"/>
          <w:sz w:val="21"/>
          <w:szCs w:val="21"/>
          <w:u w:val="single"/>
        </w:rPr>
        <w:t>瑞安市财政局政府采购监管科</w:t>
      </w:r>
      <w:r>
        <w:rPr>
          <w:rFonts w:hint="eastAsia" w:ascii="宋体" w:hAnsi="宋体" w:eastAsia="宋体" w:cs="宋体"/>
          <w:sz w:val="21"/>
          <w:szCs w:val="21"/>
        </w:rPr>
        <w:t>　　　　　　　　</w:t>
      </w:r>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     址：</w:t>
      </w:r>
      <w:r>
        <w:rPr>
          <w:rFonts w:hint="eastAsia" w:ascii="宋体" w:hAnsi="宋体" w:eastAsia="宋体" w:cs="宋体"/>
          <w:sz w:val="21"/>
          <w:szCs w:val="21"/>
          <w:u w:val="single"/>
        </w:rPr>
        <w:t>瑞安市财税大楼1505室</w:t>
      </w:r>
      <w:r>
        <w:rPr>
          <w:rFonts w:hint="eastAsia" w:ascii="宋体" w:hAnsi="宋体" w:eastAsia="宋体" w:cs="宋体"/>
          <w:sz w:val="21"/>
          <w:szCs w:val="21"/>
        </w:rPr>
        <w:t>　　　　　　　　　</w:t>
      </w:r>
    </w:p>
    <w:p>
      <w:pPr>
        <w:pStyle w:val="20"/>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传      真：</w:t>
      </w:r>
      <w:r>
        <w:rPr>
          <w:rFonts w:hint="eastAsia" w:ascii="宋体" w:hAnsi="宋体" w:eastAsia="宋体" w:cs="宋体"/>
          <w:sz w:val="21"/>
          <w:szCs w:val="21"/>
          <w:u w:val="single"/>
        </w:rPr>
        <w:t>0577-65822153</w:t>
      </w:r>
    </w:p>
    <w:p>
      <w:pPr>
        <w:widowControl/>
        <w:spacing w:line="360" w:lineRule="auto"/>
        <w:ind w:firstLine="315" w:firstLineChars="150"/>
        <w:rPr>
          <w:rFonts w:ascii="宋体" w:hAnsi="宋体" w:eastAsia="宋体" w:cs="宋体"/>
          <w:color w:val="000000"/>
          <w:szCs w:val="21"/>
          <w:u w:val="single"/>
        </w:rPr>
      </w:pPr>
      <w:r>
        <w:rPr>
          <w:rFonts w:hint="eastAsia" w:ascii="宋体" w:hAnsi="宋体" w:eastAsia="宋体" w:cs="宋体"/>
          <w:color w:val="000000"/>
          <w:szCs w:val="21"/>
        </w:rPr>
        <w:t> 联   系   人：</w:t>
      </w:r>
      <w:r>
        <w:rPr>
          <w:rFonts w:hint="eastAsia" w:ascii="宋体" w:hAnsi="宋体" w:eastAsia="宋体" w:cs="宋体"/>
          <w:color w:val="000000"/>
          <w:szCs w:val="21"/>
          <w:u w:val="single"/>
        </w:rPr>
        <w:t>蔡先生</w:t>
      </w:r>
    </w:p>
    <w:p>
      <w:pPr>
        <w:widowControl/>
        <w:spacing w:line="360" w:lineRule="auto"/>
        <w:ind w:firstLine="315" w:firstLineChars="150"/>
        <w:outlineLvl w:val="1"/>
        <w:rPr>
          <w:rFonts w:ascii="宋体" w:hAnsi="宋体" w:eastAsia="宋体" w:cs="宋体"/>
          <w:color w:val="000000"/>
          <w:szCs w:val="21"/>
          <w:u w:val="single"/>
        </w:rPr>
      </w:pPr>
      <w:r>
        <w:rPr>
          <w:rFonts w:hint="eastAsia" w:ascii="宋体" w:hAnsi="宋体" w:eastAsia="宋体" w:cs="宋体"/>
          <w:color w:val="000000"/>
          <w:szCs w:val="21"/>
        </w:rPr>
        <w:t xml:space="preserve">  </w:t>
      </w:r>
      <w:bookmarkStart w:id="43" w:name="_Toc27492"/>
      <w:bookmarkStart w:id="44" w:name="_Toc7917"/>
      <w:bookmarkStart w:id="45" w:name="_Toc6406"/>
      <w:bookmarkStart w:id="46" w:name="_Toc9895"/>
      <w:r>
        <w:rPr>
          <w:rFonts w:hint="eastAsia" w:ascii="宋体" w:hAnsi="宋体" w:eastAsia="宋体" w:cs="宋体"/>
          <w:szCs w:val="21"/>
        </w:rPr>
        <w:t>监督投诉电话：</w:t>
      </w:r>
      <w:r>
        <w:rPr>
          <w:rFonts w:hint="eastAsia" w:ascii="宋体" w:hAnsi="宋体" w:eastAsia="宋体" w:cs="宋体"/>
          <w:szCs w:val="21"/>
          <w:u w:val="single"/>
        </w:rPr>
        <w:t>0577-65827567</w:t>
      </w:r>
      <w:bookmarkEnd w:id="43"/>
      <w:bookmarkEnd w:id="44"/>
      <w:bookmarkEnd w:id="45"/>
      <w:bookmarkEnd w:id="46"/>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firstLine="422" w:firstLineChars="200"/>
      </w:pPr>
      <w:r>
        <w:rPr>
          <w:b/>
          <w:bCs/>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
    <w:p/>
    <w:p/>
    <w:p/>
    <w:p/>
    <w:p/>
    <w:p/>
    <w:p/>
    <w:p/>
    <w:p/>
    <w:p/>
    <w:p/>
    <w:p/>
    <w:p/>
    <w:p/>
    <w:p>
      <w:pPr>
        <w:pStyle w:val="3"/>
        <w:keepNext w:val="0"/>
        <w:keepLines w:val="0"/>
        <w:spacing w:after="120" w:afterLines="50" w:line="400" w:lineRule="exact"/>
        <w:jc w:val="center"/>
        <w:rPr>
          <w:rFonts w:hAnsi="宋体" w:eastAsia="宋体" w:cs="宋体"/>
          <w:sz w:val="28"/>
          <w:szCs w:val="36"/>
        </w:rPr>
      </w:pPr>
      <w:bookmarkStart w:id="47" w:name="_Toc32150"/>
      <w:bookmarkStart w:id="48" w:name="_Toc1436"/>
      <w:bookmarkStart w:id="49" w:name="_Toc12804"/>
      <w:bookmarkStart w:id="50" w:name="_Toc27837"/>
      <w:bookmarkStart w:id="51" w:name="_Toc7358"/>
    </w:p>
    <w:p>
      <w:pPr>
        <w:pStyle w:val="3"/>
        <w:keepNext w:val="0"/>
        <w:keepLines w:val="0"/>
        <w:spacing w:after="120" w:afterLines="50" w:line="400" w:lineRule="exact"/>
        <w:jc w:val="center"/>
        <w:rPr>
          <w:rFonts w:hAnsi="宋体" w:eastAsia="宋体" w:cs="宋体"/>
          <w:sz w:val="28"/>
          <w:szCs w:val="36"/>
        </w:rPr>
      </w:pPr>
    </w:p>
    <w:p>
      <w:pPr>
        <w:pStyle w:val="3"/>
        <w:keepNext w:val="0"/>
        <w:keepLines w:val="0"/>
        <w:spacing w:after="120" w:afterLines="50" w:line="400" w:lineRule="exact"/>
        <w:jc w:val="center"/>
        <w:rPr>
          <w:rFonts w:hAnsi="宋体" w:eastAsia="宋体" w:cs="宋体"/>
          <w:sz w:val="28"/>
          <w:szCs w:val="36"/>
        </w:rPr>
      </w:pPr>
    </w:p>
    <w:p>
      <w:pPr>
        <w:pStyle w:val="4"/>
        <w:rPr>
          <w:rFonts w:hAnsi="宋体" w:eastAsia="宋体" w:cs="宋体"/>
          <w:sz w:val="28"/>
          <w:szCs w:val="36"/>
        </w:rPr>
      </w:pPr>
    </w:p>
    <w:p/>
    <w:p>
      <w:pPr>
        <w:pStyle w:val="3"/>
        <w:keepNext w:val="0"/>
        <w:keepLines w:val="0"/>
        <w:spacing w:after="120" w:afterLines="50" w:line="400" w:lineRule="exact"/>
        <w:jc w:val="both"/>
        <w:rPr>
          <w:rFonts w:hAnsi="宋体" w:eastAsia="宋体" w:cs="宋体"/>
          <w:sz w:val="28"/>
          <w:szCs w:val="36"/>
        </w:rPr>
      </w:pPr>
    </w:p>
    <w:p>
      <w:pPr>
        <w:pStyle w:val="3"/>
        <w:keepNext w:val="0"/>
        <w:keepLines w:val="0"/>
        <w:spacing w:after="120" w:afterLines="50" w:line="400" w:lineRule="exact"/>
        <w:jc w:val="center"/>
        <w:rPr>
          <w:rFonts w:hAnsi="宋体" w:eastAsia="宋体" w:cs="宋体"/>
          <w:sz w:val="28"/>
          <w:szCs w:val="36"/>
        </w:rPr>
      </w:pPr>
      <w:bookmarkStart w:id="52" w:name="_Toc44"/>
      <w:r>
        <w:rPr>
          <w:rFonts w:hint="eastAsia" w:hAnsi="宋体" w:eastAsia="宋体" w:cs="宋体"/>
          <w:sz w:val="28"/>
          <w:szCs w:val="36"/>
        </w:rPr>
        <w:t>第二部分  磋商供应商须知</w:t>
      </w:r>
      <w:bookmarkEnd w:id="47"/>
      <w:bookmarkEnd w:id="48"/>
      <w:bookmarkEnd w:id="49"/>
      <w:bookmarkEnd w:id="50"/>
      <w:bookmarkEnd w:id="51"/>
      <w:bookmarkEnd w:id="52"/>
    </w:p>
    <w:p>
      <w:pPr>
        <w:pStyle w:val="5"/>
        <w:spacing w:before="120" w:beforeLines="50" w:after="120" w:afterLines="50" w:line="380" w:lineRule="exact"/>
        <w:jc w:val="center"/>
        <w:rPr>
          <w:rFonts w:ascii="宋体" w:hAnsi="宋体" w:eastAsia="宋体" w:cs="宋体"/>
          <w:bCs w:val="0"/>
          <w:sz w:val="24"/>
          <w:szCs w:val="24"/>
        </w:rPr>
      </w:pPr>
      <w:bookmarkStart w:id="53" w:name="_Toc32711"/>
      <w:bookmarkStart w:id="54" w:name="_Toc18225"/>
      <w:bookmarkStart w:id="55" w:name="_Toc24005"/>
      <w:bookmarkStart w:id="56" w:name="_Toc19616"/>
      <w:bookmarkStart w:id="57" w:name="_Toc21971"/>
      <w:bookmarkStart w:id="58" w:name="_Toc19423"/>
      <w:bookmarkStart w:id="59" w:name="_Toc8269"/>
      <w:bookmarkStart w:id="60" w:name="_Toc3844"/>
      <w:r>
        <w:rPr>
          <w:rFonts w:hint="eastAsia" w:ascii="宋体" w:hAnsi="宋体" w:eastAsia="宋体" w:cs="宋体"/>
          <w:sz w:val="24"/>
          <w:szCs w:val="24"/>
        </w:rPr>
        <w:t>（一）</w:t>
      </w:r>
      <w:r>
        <w:rPr>
          <w:rFonts w:hint="eastAsia" w:ascii="宋体" w:hAnsi="宋体" w:eastAsia="宋体" w:cs="宋体"/>
          <w:bCs w:val="0"/>
          <w:sz w:val="24"/>
          <w:szCs w:val="24"/>
        </w:rPr>
        <w:t>磋商须知前附表</w:t>
      </w:r>
      <w:bookmarkEnd w:id="53"/>
      <w:bookmarkEnd w:id="54"/>
      <w:bookmarkEnd w:id="55"/>
      <w:bookmarkEnd w:id="56"/>
      <w:bookmarkEnd w:id="57"/>
      <w:bookmarkEnd w:id="58"/>
      <w:bookmarkEnd w:id="59"/>
      <w:bookmarkEnd w:id="60"/>
    </w:p>
    <w:tbl>
      <w:tblPr>
        <w:tblStyle w:val="22"/>
        <w:tblW w:w="9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7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6" w:hRule="atLeast"/>
          <w:jc w:val="center"/>
        </w:trPr>
        <w:tc>
          <w:tcPr>
            <w:tcW w:w="645" w:type="dxa"/>
            <w:vAlign w:val="center"/>
          </w:tcPr>
          <w:p>
            <w:pPr>
              <w:spacing w:line="276" w:lineRule="auto"/>
              <w:jc w:val="center"/>
              <w:rPr>
                <w:rFonts w:ascii="宋体" w:hAnsi="宋体" w:eastAsia="宋体" w:cs="宋体"/>
                <w:b/>
                <w:szCs w:val="21"/>
              </w:rPr>
            </w:pPr>
            <w:r>
              <w:rPr>
                <w:rFonts w:hint="eastAsia" w:ascii="宋体" w:hAnsi="宋体" w:eastAsia="宋体" w:cs="宋体"/>
                <w:b/>
                <w:szCs w:val="21"/>
              </w:rPr>
              <w:t>项号</w:t>
            </w:r>
          </w:p>
        </w:tc>
        <w:tc>
          <w:tcPr>
            <w:tcW w:w="1920" w:type="dxa"/>
            <w:vAlign w:val="center"/>
          </w:tcPr>
          <w:p>
            <w:pPr>
              <w:spacing w:line="276" w:lineRule="auto"/>
              <w:jc w:val="center"/>
              <w:rPr>
                <w:rFonts w:ascii="宋体" w:hAnsi="宋体" w:eastAsia="宋体" w:cs="宋体"/>
                <w:b/>
                <w:szCs w:val="21"/>
              </w:rPr>
            </w:pPr>
            <w:r>
              <w:rPr>
                <w:rFonts w:hint="eastAsia" w:ascii="宋体" w:hAnsi="宋体" w:eastAsia="宋体" w:cs="宋体"/>
                <w:b/>
                <w:szCs w:val="21"/>
              </w:rPr>
              <w:t>内容</w:t>
            </w:r>
          </w:p>
        </w:tc>
        <w:tc>
          <w:tcPr>
            <w:tcW w:w="7190" w:type="dxa"/>
            <w:vAlign w:val="center"/>
          </w:tcPr>
          <w:p>
            <w:pPr>
              <w:spacing w:line="276"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pPr>
              <w:bidi w:val="0"/>
              <w:jc w:val="center"/>
            </w:pPr>
            <w:r>
              <w:rPr>
                <w:rFonts w:hint="eastAsia"/>
              </w:rPr>
              <w:t>1</w:t>
            </w:r>
          </w:p>
        </w:tc>
        <w:tc>
          <w:tcPr>
            <w:tcW w:w="1920" w:type="dxa"/>
            <w:vAlign w:val="center"/>
          </w:tcPr>
          <w:p>
            <w:pPr>
              <w:bidi w:val="0"/>
              <w:jc w:val="center"/>
            </w:pPr>
            <w:r>
              <w:rPr>
                <w:rFonts w:hint="eastAsia"/>
              </w:rPr>
              <w:t>项目名称</w:t>
            </w:r>
          </w:p>
        </w:tc>
        <w:tc>
          <w:tcPr>
            <w:tcW w:w="7190" w:type="dxa"/>
            <w:vAlign w:val="center"/>
          </w:tcPr>
          <w:p>
            <w:pPr>
              <w:bidi w:val="0"/>
              <w:rPr>
                <w:rFonts w:hint="eastAsia"/>
                <w:lang w:eastAsia="zh-CN"/>
              </w:rPr>
            </w:pPr>
            <w:r>
              <w:rPr>
                <w:rFonts w:hint="eastAsia"/>
                <w:lang w:eastAsia="zh-CN"/>
              </w:rPr>
              <w:t>瑞安市公安局便携式无人机防御反制设备采购项目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62" w:hRule="atLeast"/>
          <w:jc w:val="center"/>
        </w:trPr>
        <w:tc>
          <w:tcPr>
            <w:tcW w:w="645" w:type="dxa"/>
            <w:vAlign w:val="center"/>
          </w:tcPr>
          <w:p>
            <w:pPr>
              <w:bidi w:val="0"/>
              <w:jc w:val="center"/>
            </w:pPr>
            <w:r>
              <w:rPr>
                <w:rFonts w:hint="eastAsia"/>
              </w:rPr>
              <w:t>2</w:t>
            </w:r>
          </w:p>
        </w:tc>
        <w:tc>
          <w:tcPr>
            <w:tcW w:w="1920" w:type="dxa"/>
            <w:vAlign w:val="center"/>
          </w:tcPr>
          <w:p>
            <w:pPr>
              <w:bidi w:val="0"/>
              <w:jc w:val="center"/>
            </w:pPr>
            <w:r>
              <w:rPr>
                <w:rFonts w:hint="eastAsia"/>
              </w:rPr>
              <w:t>项目编号</w:t>
            </w:r>
          </w:p>
        </w:tc>
        <w:tc>
          <w:tcPr>
            <w:tcW w:w="7190" w:type="dxa"/>
            <w:vAlign w:val="center"/>
          </w:tcPr>
          <w:p>
            <w:pPr>
              <w:bidi w:val="0"/>
              <w:rPr>
                <w:rFonts w:hint="eastAsia"/>
                <w:lang w:eastAsia="zh-CN"/>
              </w:rPr>
            </w:pPr>
            <w:r>
              <w:rPr>
                <w:rFonts w:hint="eastAsia"/>
                <w:lang w:eastAsia="zh-CN"/>
              </w:rPr>
              <w:t>zjzs202306029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7" w:hRule="atLeast"/>
          <w:jc w:val="center"/>
        </w:trPr>
        <w:tc>
          <w:tcPr>
            <w:tcW w:w="645" w:type="dxa"/>
            <w:vAlign w:val="center"/>
          </w:tcPr>
          <w:p>
            <w:pPr>
              <w:bidi w:val="0"/>
              <w:jc w:val="center"/>
            </w:pPr>
            <w:r>
              <w:rPr>
                <w:rFonts w:hint="eastAsia"/>
              </w:rPr>
              <w:t>3</w:t>
            </w:r>
          </w:p>
        </w:tc>
        <w:tc>
          <w:tcPr>
            <w:tcW w:w="1920" w:type="dxa"/>
            <w:vAlign w:val="center"/>
          </w:tcPr>
          <w:p>
            <w:pPr>
              <w:bidi w:val="0"/>
              <w:jc w:val="center"/>
            </w:pPr>
            <w:r>
              <w:rPr>
                <w:rFonts w:hint="eastAsia"/>
              </w:rPr>
              <w:t>资金来源</w:t>
            </w:r>
          </w:p>
        </w:tc>
        <w:tc>
          <w:tcPr>
            <w:tcW w:w="7190" w:type="dxa"/>
            <w:vAlign w:val="center"/>
          </w:tcPr>
          <w:p>
            <w:pPr>
              <w:bidi w:val="0"/>
            </w:pPr>
            <w:r>
              <w:rPr>
                <w:rFonts w:hint="eastAsia"/>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1920"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采购人</w:t>
            </w:r>
          </w:p>
        </w:tc>
        <w:tc>
          <w:tcPr>
            <w:tcW w:w="7190" w:type="dxa"/>
            <w:vAlign w:val="center"/>
          </w:tcPr>
          <w:p>
            <w:pPr>
              <w:spacing w:line="360" w:lineRule="auto"/>
              <w:jc w:val="left"/>
              <w:rPr>
                <w:rFonts w:hint="eastAsia" w:ascii="宋体" w:hAnsi="宋体" w:eastAsia="宋体" w:cs="宋体"/>
                <w:color w:val="000000"/>
                <w:szCs w:val="21"/>
                <w:lang w:eastAsia="zh-CN"/>
              </w:rPr>
            </w:pPr>
            <w:r>
              <w:rPr>
                <w:rFonts w:hint="eastAsia" w:ascii="宋体" w:hAnsi="宋体" w:eastAsia="宋体" w:cs="宋体"/>
                <w:szCs w:val="21"/>
              </w:rPr>
              <w:t>名      称</w:t>
            </w:r>
            <w:r>
              <w:rPr>
                <w:rFonts w:hint="eastAsia" w:ascii="宋体" w:hAnsi="宋体" w:eastAsia="宋体" w:cs="宋体"/>
                <w:color w:val="000000"/>
                <w:szCs w:val="21"/>
              </w:rPr>
              <w:t>：</w:t>
            </w:r>
            <w:r>
              <w:rPr>
                <w:rFonts w:hint="eastAsia" w:ascii="宋体" w:hAnsi="宋体" w:eastAsia="宋体" w:cs="宋体"/>
                <w:color w:val="000000"/>
                <w:szCs w:val="21"/>
                <w:lang w:eastAsia="zh-CN"/>
              </w:rPr>
              <w:t>瑞安市公安局</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地      址：温州市瑞安市安阳街道隆山东路525号</w:t>
            </w:r>
          </w:p>
          <w:p>
            <w:pPr>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rPr>
              <w:t>项目联系人：</w:t>
            </w:r>
            <w:r>
              <w:rPr>
                <w:rFonts w:hint="eastAsia" w:ascii="宋体" w:hAnsi="宋体" w:eastAsia="宋体" w:cs="宋体"/>
                <w:color w:val="000000"/>
                <w:szCs w:val="21"/>
                <w:lang w:val="en-US" w:eastAsia="zh-CN"/>
              </w:rPr>
              <w:t>许警官　　　　　　　　　</w:t>
            </w:r>
          </w:p>
          <w:p>
            <w:pPr>
              <w:spacing w:line="360" w:lineRule="auto"/>
              <w:jc w:val="left"/>
              <w:rPr>
                <w:rFonts w:ascii="宋体" w:hAnsi="宋体" w:eastAsia="宋体" w:cs="宋体"/>
                <w:szCs w:val="21"/>
              </w:rPr>
            </w:pPr>
            <w:r>
              <w:rPr>
                <w:rFonts w:hint="eastAsia" w:ascii="宋体" w:hAnsi="宋体" w:eastAsia="宋体" w:cs="宋体"/>
                <w:color w:val="000000"/>
                <w:szCs w:val="21"/>
                <w:lang w:val="en-US" w:eastAsia="zh-CN"/>
              </w:rPr>
              <w:t>联系方式（询问）：13758785666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9"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1920"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采购代理机构</w:t>
            </w:r>
          </w:p>
        </w:tc>
        <w:tc>
          <w:tcPr>
            <w:tcW w:w="7190" w:type="dxa"/>
            <w:vAlign w:val="center"/>
          </w:tcPr>
          <w:p>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名      称：浙江综盛项目管理有限公司</w:t>
            </w:r>
          </w:p>
          <w:p>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bCs/>
                <w:color w:val="000000"/>
                <w:szCs w:val="21"/>
              </w:rPr>
              <w:t>瑞安经济开发区朝阳路555号</w:t>
            </w:r>
          </w:p>
          <w:p>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 xml:space="preserve">项目负责人：赵女士 </w:t>
            </w:r>
          </w:p>
          <w:p>
            <w:pPr>
              <w:spacing w:line="360" w:lineRule="auto"/>
              <w:rPr>
                <w:rFonts w:ascii="宋体" w:hAnsi="宋体" w:eastAsia="宋体" w:cs="宋体"/>
                <w:color w:val="000000"/>
                <w:szCs w:val="21"/>
              </w:rPr>
            </w:pPr>
            <w:r>
              <w:rPr>
                <w:rFonts w:hint="eastAsia" w:ascii="宋体" w:hAnsi="宋体" w:eastAsia="宋体" w:cs="宋体"/>
                <w:color w:val="000000"/>
                <w:szCs w:val="21"/>
              </w:rPr>
              <w:t>联系  电话：17826851140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4" w:hRule="atLeast"/>
          <w:jc w:val="center"/>
        </w:trPr>
        <w:tc>
          <w:tcPr>
            <w:tcW w:w="645" w:type="dxa"/>
            <w:vAlign w:val="center"/>
          </w:tcPr>
          <w:p>
            <w:pPr>
              <w:bidi w:val="0"/>
              <w:jc w:val="center"/>
            </w:pPr>
            <w:r>
              <w:rPr>
                <w:rFonts w:hint="eastAsia"/>
              </w:rPr>
              <w:t>6</w:t>
            </w:r>
          </w:p>
        </w:tc>
        <w:tc>
          <w:tcPr>
            <w:tcW w:w="1920" w:type="dxa"/>
            <w:vAlign w:val="center"/>
          </w:tcPr>
          <w:p>
            <w:pPr>
              <w:bidi w:val="0"/>
              <w:jc w:val="center"/>
            </w:pPr>
            <w:r>
              <w:rPr>
                <w:rFonts w:hint="eastAsia"/>
              </w:rPr>
              <w:t>采购内容</w:t>
            </w:r>
          </w:p>
        </w:tc>
        <w:tc>
          <w:tcPr>
            <w:tcW w:w="7190" w:type="dxa"/>
            <w:vAlign w:val="center"/>
          </w:tcPr>
          <w:p>
            <w:pPr>
              <w:bidi w:val="0"/>
              <w:jc w:val="left"/>
            </w:pPr>
            <w:r>
              <w:rPr>
                <w:rFonts w:hint="eastAsia"/>
              </w:rPr>
              <w:t>详见磋商文件相关部分。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17"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磋商供应商</w:t>
            </w:r>
          </w:p>
          <w:p>
            <w:pPr>
              <w:spacing w:line="360" w:lineRule="auto"/>
              <w:jc w:val="center"/>
              <w:rPr>
                <w:rFonts w:ascii="宋体" w:hAnsi="宋体" w:eastAsia="宋体" w:cs="宋体"/>
                <w:szCs w:val="21"/>
              </w:rPr>
            </w:pPr>
            <w:r>
              <w:rPr>
                <w:rFonts w:hint="eastAsia" w:ascii="宋体" w:hAnsi="宋体" w:eastAsia="宋体" w:cs="宋体"/>
                <w:szCs w:val="21"/>
              </w:rPr>
              <w:t>资格要求</w:t>
            </w:r>
          </w:p>
        </w:tc>
        <w:tc>
          <w:tcPr>
            <w:tcW w:w="7190" w:type="dxa"/>
            <w:vAlign w:val="center"/>
          </w:tcPr>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1.满足《中华人民共和国政府采购法》第二十二条规定；未被“信用中国”、“中国政府采购网”列入失信被执行人、重大违法案件当事人名单、政府采购严重违法失信行为记录名单。</w:t>
            </w:r>
          </w:p>
          <w:p>
            <w:pPr>
              <w:pStyle w:val="20"/>
              <w:spacing w:before="0" w:beforeAutospacing="0" w:after="0" w:afterAutospacing="0" w:line="360" w:lineRule="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落实政府采购政策需满足的资格要求：本项目整体专门面向中小企业采购（残疾人福利性单位和监狱企业视同小微企业）。</w:t>
            </w:r>
          </w:p>
          <w:p>
            <w:pPr>
              <w:pStyle w:val="20"/>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3.特定资格条件：</w:t>
            </w:r>
            <w:r>
              <w:rPr>
                <w:rFonts w:hint="eastAsia" w:eastAsia="宋体" w:cs="Times New Roman"/>
                <w:color w:val="auto"/>
                <w:sz w:val="21"/>
                <w:szCs w:val="21"/>
              </w:rPr>
              <w:t>无</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8</w:t>
            </w:r>
          </w:p>
        </w:tc>
        <w:tc>
          <w:tcPr>
            <w:tcW w:w="1920"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是否接受联合体</w:t>
            </w:r>
          </w:p>
          <w:p>
            <w:pPr>
              <w:bidi w:val="0"/>
              <w:jc w:val="center"/>
            </w:pPr>
            <w:r>
              <w:rPr>
                <w:rFonts w:hint="eastAsia"/>
              </w:rPr>
              <w:t>投标</w:t>
            </w:r>
          </w:p>
        </w:tc>
        <w:tc>
          <w:tcPr>
            <w:tcW w:w="7190"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 不接受</w:t>
            </w:r>
          </w:p>
          <w:p>
            <w:pPr>
              <w:adjustRightInd w:val="0"/>
              <w:spacing w:line="360" w:lineRule="auto"/>
              <w:rPr>
                <w:rFonts w:ascii="宋体" w:hAnsi="宋体" w:eastAsia="宋体" w:cs="宋体"/>
                <w:i/>
                <w:szCs w:val="21"/>
              </w:rPr>
            </w:pPr>
            <w:r>
              <w:rPr>
                <w:rFonts w:hint="eastAsia" w:ascii="宋体" w:hAnsi="宋体" w:eastAsia="宋体" w:cs="宋体"/>
                <w:szCs w:val="21"/>
              </w:rPr>
              <w:t>□ 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9</w:t>
            </w:r>
          </w:p>
        </w:tc>
        <w:tc>
          <w:tcPr>
            <w:tcW w:w="1920"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踏勘现场</w:t>
            </w:r>
          </w:p>
        </w:tc>
        <w:tc>
          <w:tcPr>
            <w:tcW w:w="7190"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 不组织</w:t>
            </w:r>
          </w:p>
          <w:p>
            <w:pPr>
              <w:adjustRightInd w:val="0"/>
              <w:spacing w:line="360" w:lineRule="auto"/>
              <w:rPr>
                <w:rFonts w:ascii="宋体" w:hAnsi="宋体" w:eastAsia="宋体" w:cs="宋体"/>
                <w:i/>
                <w:szCs w:val="21"/>
              </w:rPr>
            </w:pPr>
            <w:r>
              <w:rPr>
                <w:rFonts w:hint="eastAsia" w:ascii="宋体" w:hAnsi="宋体" w:eastAsia="宋体" w:cs="宋体"/>
                <w:szCs w:val="21"/>
              </w:rPr>
              <w:t>□ 组织    踏勘时间：</w:t>
            </w:r>
            <w:r>
              <w:rPr>
                <w:rFonts w:hint="eastAsia" w:ascii="宋体" w:hAnsi="宋体" w:eastAsia="宋体" w:cs="宋体"/>
                <w:i/>
                <w:szCs w:val="21"/>
              </w:rPr>
              <w:t xml:space="preserve">             </w:t>
            </w:r>
            <w:r>
              <w:rPr>
                <w:rFonts w:hint="eastAsia" w:ascii="宋体" w:hAnsi="宋体" w:eastAsia="宋体" w:cs="宋体"/>
                <w:szCs w:val="21"/>
              </w:rPr>
              <w:t xml:space="preserve">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10</w:t>
            </w:r>
          </w:p>
        </w:tc>
        <w:tc>
          <w:tcPr>
            <w:tcW w:w="1920" w:type="dxa"/>
            <w:vAlign w:val="center"/>
          </w:tcPr>
          <w:p>
            <w:pPr>
              <w:adjustRightInd w:val="0"/>
              <w:spacing w:line="360" w:lineRule="auto"/>
              <w:jc w:val="center"/>
              <w:rPr>
                <w:rFonts w:ascii="宋体" w:hAnsi="宋体" w:eastAsia="宋体" w:cs="宋体"/>
                <w:szCs w:val="21"/>
              </w:rPr>
            </w:pPr>
          </w:p>
          <w:p>
            <w:pPr>
              <w:adjustRightInd w:val="0"/>
              <w:spacing w:line="360" w:lineRule="auto"/>
              <w:jc w:val="center"/>
              <w:rPr>
                <w:rFonts w:ascii="宋体" w:hAnsi="宋体" w:eastAsia="宋体" w:cs="宋体"/>
                <w:szCs w:val="21"/>
              </w:rPr>
            </w:pPr>
            <w:r>
              <w:rPr>
                <w:rFonts w:hint="eastAsia" w:ascii="宋体" w:hAnsi="宋体" w:eastAsia="宋体" w:cs="宋体"/>
                <w:szCs w:val="21"/>
              </w:rPr>
              <w:t>是否允许递交备选投标方案</w:t>
            </w:r>
          </w:p>
        </w:tc>
        <w:tc>
          <w:tcPr>
            <w:tcW w:w="7190"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 不允许：磋商供应商不得递交任何的投标备选（替代）方案，否则其磋商响应文件将作无效标处理。与“电子加密磋商响应文件”同时生成的“备份磋商响应文件”不是投标备选（替代）方案。</w:t>
            </w:r>
          </w:p>
          <w:p>
            <w:pPr>
              <w:adjustRightInd w:val="0"/>
              <w:spacing w:line="360" w:lineRule="auto"/>
              <w:rPr>
                <w:rFonts w:ascii="宋体" w:hAnsi="宋体" w:eastAsia="宋体" w:cs="宋体"/>
                <w:szCs w:val="21"/>
              </w:rPr>
            </w:pPr>
            <w:r>
              <w:rPr>
                <w:rFonts w:hint="eastAsia" w:ascii="宋体" w:hAnsi="宋体" w:eastAsia="宋体" w:cs="宋体"/>
                <w:szCs w:val="21"/>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11</w:t>
            </w:r>
          </w:p>
        </w:tc>
        <w:tc>
          <w:tcPr>
            <w:tcW w:w="1920"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是否允许分包</w:t>
            </w:r>
          </w:p>
        </w:tc>
        <w:tc>
          <w:tcPr>
            <w:tcW w:w="7190"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 不允许</w:t>
            </w:r>
          </w:p>
          <w:p>
            <w:pPr>
              <w:adjustRightInd w:val="0"/>
              <w:spacing w:line="360" w:lineRule="auto"/>
              <w:rPr>
                <w:rFonts w:ascii="宋体" w:hAnsi="宋体" w:eastAsia="宋体" w:cs="宋体"/>
                <w:szCs w:val="21"/>
              </w:rPr>
            </w:pPr>
            <w:r>
              <w:rPr>
                <w:rFonts w:hint="eastAsia" w:ascii="宋体" w:hAnsi="宋体" w:eastAsia="宋体" w:cs="宋体"/>
                <w:szCs w:val="21"/>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12</w:t>
            </w:r>
          </w:p>
        </w:tc>
        <w:tc>
          <w:tcPr>
            <w:tcW w:w="1920"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报价货币</w:t>
            </w:r>
          </w:p>
        </w:tc>
        <w:tc>
          <w:tcPr>
            <w:tcW w:w="7190"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5"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13</w:t>
            </w:r>
          </w:p>
        </w:tc>
        <w:tc>
          <w:tcPr>
            <w:tcW w:w="1920"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报价语言</w:t>
            </w:r>
          </w:p>
        </w:tc>
        <w:tc>
          <w:tcPr>
            <w:tcW w:w="7190"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3" w:hRule="atLeast"/>
          <w:jc w:val="center"/>
        </w:trPr>
        <w:tc>
          <w:tcPr>
            <w:tcW w:w="6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14</w:t>
            </w:r>
          </w:p>
        </w:tc>
        <w:tc>
          <w:tcPr>
            <w:tcW w:w="1920" w:type="dxa"/>
            <w:vAlign w:val="center"/>
          </w:tcPr>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r>
              <w:rPr>
                <w:rFonts w:hint="eastAsia" w:ascii="宋体" w:hAnsi="宋体" w:eastAsia="宋体" w:cs="宋体"/>
                <w:szCs w:val="21"/>
              </w:rPr>
              <w:t>磋商响应文件形式、组成及制作</w:t>
            </w:r>
          </w:p>
        </w:tc>
        <w:tc>
          <w:tcPr>
            <w:tcW w:w="7190" w:type="dxa"/>
            <w:vAlign w:val="center"/>
          </w:tcPr>
          <w:p>
            <w:pPr>
              <w:pStyle w:val="20"/>
              <w:numPr>
                <w:ilvl w:val="0"/>
                <w:numId w:val="4"/>
              </w:numPr>
              <w:tabs>
                <w:tab w:val="left" w:pos="6930"/>
              </w:tabs>
              <w:spacing w:before="0" w:beforeAutospacing="0" w:after="0" w:afterAutospacing="0" w:line="360" w:lineRule="auto"/>
              <w:rPr>
                <w:rFonts w:ascii="宋体" w:hAnsi="宋体" w:eastAsia="宋体" w:cs="宋体"/>
                <w:color w:val="auto"/>
                <w:sz w:val="21"/>
                <w:szCs w:val="21"/>
                <w:lang w:val="zh-CN"/>
              </w:rPr>
            </w:pP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的形式：电子</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（包括“电子加密</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”和“备份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”以及“演示视频文件（如有），在</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编制完成后同时生成）；</w:t>
            </w:r>
          </w:p>
          <w:p>
            <w:pPr>
              <w:pStyle w:val="20"/>
              <w:numPr>
                <w:ilvl w:val="0"/>
                <w:numId w:val="4"/>
              </w:numPr>
              <w:tabs>
                <w:tab w:val="left" w:pos="6930"/>
              </w:tabs>
              <w:spacing w:before="0" w:beforeAutospacing="0" w:after="0" w:afterAutospacing="0"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本项目实行在线投标响应（电子投标）。</w:t>
            </w:r>
          </w:p>
          <w:p>
            <w:pPr>
              <w:pStyle w:val="20"/>
              <w:tabs>
                <w:tab w:val="left" w:pos="6930"/>
              </w:tabs>
              <w:spacing w:before="0" w:beforeAutospacing="0" w:after="0" w:afterAutospacing="0" w:line="360" w:lineRule="auto"/>
              <w:rPr>
                <w:rFonts w:ascii="宋体" w:hAnsi="宋体" w:eastAsia="宋体" w:cs="宋体"/>
                <w:b/>
                <w:bCs/>
                <w:color w:val="auto"/>
                <w:sz w:val="21"/>
                <w:szCs w:val="21"/>
                <w:u w:val="wave"/>
                <w:lang w:val="zh-CN"/>
              </w:rPr>
            </w:pPr>
            <w:r>
              <w:rPr>
                <w:rFonts w:hint="eastAsia" w:ascii="宋体" w:hAnsi="宋体" w:eastAsia="宋体" w:cs="宋体"/>
                <w:color w:val="auto"/>
                <w:sz w:val="21"/>
                <w:szCs w:val="21"/>
                <w:lang w:val="zh-CN"/>
              </w:rPr>
              <w:t>（1）“电子加密</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”是指通过“政采云电子交易客户端”完成</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编制后生成并加密的数据电文形式的</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wave"/>
                <w:lang w:val="zh-CN"/>
              </w:rPr>
              <w:t>“电子加密</w:t>
            </w:r>
            <w:r>
              <w:rPr>
                <w:rFonts w:hint="eastAsia" w:ascii="宋体" w:hAnsi="宋体" w:eastAsia="宋体" w:cs="宋体"/>
                <w:b/>
                <w:bCs/>
                <w:color w:val="auto"/>
                <w:sz w:val="21"/>
                <w:szCs w:val="21"/>
                <w:u w:val="wave"/>
              </w:rPr>
              <w:t>响应文件</w:t>
            </w:r>
            <w:r>
              <w:rPr>
                <w:rFonts w:hint="eastAsia" w:ascii="宋体" w:hAnsi="宋体" w:eastAsia="宋体" w:cs="宋体"/>
                <w:b/>
                <w:bCs/>
                <w:color w:val="auto"/>
                <w:sz w:val="21"/>
                <w:szCs w:val="21"/>
                <w:u w:val="wave"/>
                <w:lang w:val="zh-CN"/>
              </w:rPr>
              <w:t>”</w:t>
            </w:r>
            <w:r>
              <w:rPr>
                <w:rFonts w:hint="eastAsia" w:ascii="宋体" w:hAnsi="宋体" w:eastAsia="宋体" w:cs="宋体"/>
                <w:b/>
                <w:bCs/>
                <w:color w:val="auto"/>
                <w:sz w:val="21"/>
                <w:szCs w:val="21"/>
                <w:u w:val="wave"/>
              </w:rPr>
              <w:t>文件格式为（.jmbs）。</w:t>
            </w:r>
          </w:p>
          <w:p>
            <w:pPr>
              <w:pStyle w:val="20"/>
              <w:tabs>
                <w:tab w:val="left" w:pos="6930"/>
              </w:tabs>
              <w:spacing w:before="0" w:beforeAutospacing="0" w:after="0" w:afterAutospacing="0" w:line="360" w:lineRule="auto"/>
              <w:rPr>
                <w:rFonts w:ascii="宋体" w:hAnsi="宋体" w:eastAsia="宋体" w:cs="宋体"/>
                <w:b/>
                <w:bCs/>
                <w:color w:val="auto"/>
                <w:sz w:val="21"/>
                <w:szCs w:val="21"/>
                <w:u w:val="wave"/>
              </w:rPr>
            </w:pPr>
            <w:r>
              <w:rPr>
                <w:rFonts w:hint="eastAsia" w:ascii="宋体" w:hAnsi="宋体" w:eastAsia="宋体" w:cs="宋体"/>
                <w:color w:val="auto"/>
                <w:sz w:val="21"/>
                <w:szCs w:val="21"/>
                <w:lang w:val="zh-CN"/>
              </w:rPr>
              <w:t>（2）“备份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”是指与“电子加密</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”同时生成的数据电文形式的电子文件（备份标书），其他方式编制的备份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视为无效备份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wave"/>
                <w:lang w:val="zh-CN"/>
              </w:rPr>
              <w:t>“备份</w:t>
            </w:r>
            <w:r>
              <w:rPr>
                <w:rFonts w:hint="eastAsia" w:ascii="宋体" w:hAnsi="宋体" w:eastAsia="宋体" w:cs="宋体"/>
                <w:b/>
                <w:bCs/>
                <w:color w:val="auto"/>
                <w:sz w:val="21"/>
                <w:szCs w:val="21"/>
                <w:u w:val="wave"/>
              </w:rPr>
              <w:t>响应文件</w:t>
            </w:r>
            <w:r>
              <w:rPr>
                <w:rFonts w:hint="eastAsia" w:ascii="宋体" w:hAnsi="宋体" w:eastAsia="宋体" w:cs="宋体"/>
                <w:b/>
                <w:bCs/>
                <w:color w:val="auto"/>
                <w:sz w:val="21"/>
                <w:szCs w:val="21"/>
                <w:u w:val="wave"/>
                <w:lang w:val="zh-CN"/>
              </w:rPr>
              <w:t>”</w:t>
            </w:r>
            <w:r>
              <w:rPr>
                <w:rFonts w:hint="eastAsia" w:ascii="宋体" w:hAnsi="宋体" w:eastAsia="宋体" w:cs="宋体"/>
                <w:b/>
                <w:bCs/>
                <w:color w:val="auto"/>
                <w:sz w:val="21"/>
                <w:szCs w:val="21"/>
                <w:u w:val="wave"/>
              </w:rPr>
              <w:t>文件格式为（.bfbs）。</w:t>
            </w:r>
          </w:p>
          <w:p>
            <w:pPr>
              <w:pStyle w:val="20"/>
              <w:tabs>
                <w:tab w:val="left" w:pos="6930"/>
              </w:tabs>
              <w:spacing w:before="0" w:beforeAutospacing="0" w:after="0" w:afterAutospacing="0"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以上两类投标文件均由资格审查资料、商务技术文件、报价文件三部分组成。</w:t>
            </w:r>
          </w:p>
          <w:p>
            <w:pPr>
              <w:pStyle w:val="20"/>
              <w:tabs>
                <w:tab w:val="left" w:pos="6930"/>
              </w:tabs>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（3）投标人根据本项目采购内容和需求以及商务技术文件评审细则制作的演示视频文件（如有）。</w:t>
            </w:r>
          </w:p>
          <w:p>
            <w:pPr>
              <w:pStyle w:val="20"/>
              <w:tabs>
                <w:tab w:val="left" w:pos="6930"/>
              </w:tabs>
              <w:spacing w:before="0" w:beforeAutospacing="0" w:after="0" w:afterAutospacing="0"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3. 电子加密响应文件制作：应按政采云平台供应商项目采购-电子招投标操作指南、加密并递交。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6" w:hRule="atLeast"/>
          <w:jc w:val="center"/>
        </w:trPr>
        <w:tc>
          <w:tcPr>
            <w:tcW w:w="64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15</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响应文件有效期</w:t>
            </w:r>
          </w:p>
        </w:tc>
        <w:tc>
          <w:tcPr>
            <w:tcW w:w="7190" w:type="dxa"/>
            <w:vAlign w:val="center"/>
          </w:tcPr>
          <w:p>
            <w:pPr>
              <w:spacing w:line="360" w:lineRule="auto"/>
              <w:rPr>
                <w:rFonts w:ascii="宋体" w:hAnsi="宋体" w:eastAsia="宋体" w:cs="宋体"/>
                <w:szCs w:val="21"/>
              </w:rPr>
            </w:pPr>
            <w:r>
              <w:rPr>
                <w:rFonts w:hint="eastAsia" w:ascii="宋体" w:hAnsi="宋体" w:eastAsia="宋体" w:cs="宋体"/>
                <w:szCs w:val="21"/>
              </w:rPr>
              <w:t>磋商响应文件截止时间起90日历天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16</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签字或盖章要求</w:t>
            </w:r>
          </w:p>
        </w:tc>
        <w:tc>
          <w:tcPr>
            <w:tcW w:w="7190" w:type="dxa"/>
            <w:vAlign w:val="center"/>
          </w:tcPr>
          <w:p>
            <w:pPr>
              <w:numPr>
                <w:ilvl w:val="0"/>
                <w:numId w:val="5"/>
              </w:numPr>
              <w:spacing w:line="360" w:lineRule="auto"/>
              <w:rPr>
                <w:rStyle w:val="30"/>
                <w:rFonts w:ascii="宋体" w:hAnsi="宋体" w:eastAsia="宋体" w:cs="宋体"/>
                <w:szCs w:val="21"/>
              </w:rPr>
            </w:pPr>
            <w:r>
              <w:rPr>
                <w:rStyle w:val="30"/>
                <w:rFonts w:hint="eastAsia" w:ascii="宋体" w:hAnsi="宋体" w:eastAsia="宋体" w:cs="宋体"/>
                <w:szCs w:val="21"/>
              </w:rPr>
              <w:t>响应文件中所须加盖供应商公章部分均采用CA电子签章，法定代表人和授权代表签字或盖章可书面签字或盖章后扫描至电子加密响应文件中上传。</w:t>
            </w:r>
          </w:p>
          <w:p>
            <w:pPr>
              <w:numPr>
                <w:ilvl w:val="0"/>
                <w:numId w:val="5"/>
              </w:numPr>
              <w:spacing w:line="360" w:lineRule="auto"/>
              <w:rPr>
                <w:rStyle w:val="30"/>
                <w:rFonts w:ascii="宋体" w:hAnsi="宋体" w:eastAsia="宋体" w:cs="宋体"/>
                <w:szCs w:val="21"/>
              </w:rPr>
            </w:pPr>
            <w:r>
              <w:rPr>
                <w:rStyle w:val="30"/>
                <w:rFonts w:hint="eastAsia" w:ascii="宋体" w:hAnsi="宋体" w:eastAsia="宋体" w:cs="宋体"/>
                <w:szCs w:val="21"/>
              </w:rPr>
              <w:t>政采云系统平台有新的操作流程的，按其规定进行。</w:t>
            </w:r>
          </w:p>
          <w:p>
            <w:pPr>
              <w:numPr>
                <w:ilvl w:val="0"/>
                <w:numId w:val="5"/>
              </w:numPr>
              <w:spacing w:line="360" w:lineRule="auto"/>
              <w:rPr>
                <w:rStyle w:val="30"/>
                <w:rFonts w:ascii="宋体" w:hAnsi="宋体" w:eastAsia="宋体" w:cs="宋体"/>
                <w:szCs w:val="21"/>
              </w:rPr>
            </w:pPr>
            <w:r>
              <w:rPr>
                <w:rStyle w:val="30"/>
                <w:rFonts w:hint="eastAsia" w:ascii="宋体" w:hAnsi="宋体" w:eastAsia="宋体" w:cs="宋体"/>
                <w:szCs w:val="21"/>
              </w:rPr>
              <w:t>中标后的纸质磋商响应文件中所涉及的公章必须是磋商供应商全称的公章，不得使用投标专用章、合同章等类似图章代替，所涉及法定代表人或授权代表的签字由法定代表人或授权代表本人签字或盖章。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3" w:hRule="atLeast"/>
          <w:jc w:val="center"/>
        </w:trPr>
        <w:tc>
          <w:tcPr>
            <w:tcW w:w="64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17</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磋商样品</w:t>
            </w:r>
          </w:p>
        </w:tc>
        <w:tc>
          <w:tcPr>
            <w:tcW w:w="7190" w:type="dxa"/>
            <w:vAlign w:val="center"/>
          </w:tcPr>
          <w:p>
            <w:pPr>
              <w:spacing w:line="360" w:lineRule="auto"/>
              <w:rPr>
                <w:rFonts w:ascii="宋体" w:hAnsi="宋体" w:eastAsia="宋体" w:cs="宋体"/>
                <w:szCs w:val="21"/>
              </w:rPr>
            </w:pPr>
            <w:r>
              <w:rPr>
                <w:rFonts w:hint="eastAsia" w:ascii="宋体" w:hAnsi="宋体" w:eastAsia="宋体" w:cs="宋体"/>
                <w:szCs w:val="21"/>
              </w:rPr>
              <w:t>☑ 不需要</w:t>
            </w:r>
          </w:p>
          <w:p>
            <w:pPr>
              <w:spacing w:line="360" w:lineRule="auto"/>
              <w:rPr>
                <w:rFonts w:ascii="宋体" w:hAnsi="宋体" w:eastAsia="宋体" w:cs="宋体"/>
                <w:szCs w:val="21"/>
              </w:rPr>
            </w:pPr>
            <w:r>
              <w:rPr>
                <w:rFonts w:hint="eastAsia" w:ascii="宋体" w:hAnsi="宋体" w:eastAsia="宋体" w:cs="宋体"/>
                <w:szCs w:val="21"/>
              </w:rPr>
              <w:t>□ 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9" w:hRule="atLeast"/>
          <w:jc w:val="center"/>
        </w:trPr>
        <w:tc>
          <w:tcPr>
            <w:tcW w:w="645" w:type="dxa"/>
            <w:vAlign w:val="center"/>
          </w:tcPr>
          <w:p>
            <w:pPr>
              <w:jc w:val="center"/>
              <w:rPr>
                <w:rFonts w:ascii="宋体" w:hAnsi="宋体" w:eastAsia="宋体" w:cs="宋体"/>
                <w:szCs w:val="21"/>
              </w:rPr>
            </w:pPr>
            <w:r>
              <w:rPr>
                <w:rFonts w:hint="eastAsia" w:ascii="宋体" w:hAnsi="宋体" w:eastAsia="宋体" w:cs="宋体"/>
                <w:szCs w:val="21"/>
              </w:rPr>
              <w:t>18</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磋商保证金</w:t>
            </w:r>
          </w:p>
        </w:tc>
        <w:tc>
          <w:tcPr>
            <w:tcW w:w="7190" w:type="dxa"/>
            <w:vAlign w:val="center"/>
          </w:tcPr>
          <w:p>
            <w:pPr>
              <w:spacing w:before="120" w:after="120" w:line="360" w:lineRule="auto"/>
              <w:rPr>
                <w:rFonts w:ascii="宋体" w:hAnsi="宋体" w:eastAsia="宋体" w:cs="宋体"/>
                <w:szCs w:val="21"/>
              </w:rPr>
            </w:pPr>
            <w:r>
              <w:rPr>
                <w:rFonts w:hint="eastAsia" w:ascii="宋体" w:hAnsi="宋体" w:eastAsia="宋体" w:cs="宋体"/>
                <w:szCs w:val="21"/>
              </w:rPr>
              <w:t xml:space="preserve">□ 需要 </w:t>
            </w:r>
            <w:r>
              <w:rPr>
                <w:rFonts w:hint="eastAsia" w:ascii="宋体" w:hAnsi="宋体" w:eastAsia="宋体" w:cs="宋体"/>
                <w:b/>
                <w:szCs w:val="21"/>
              </w:rPr>
              <w:t xml:space="preserve"> </w:t>
            </w:r>
          </w:p>
          <w:p>
            <w:pPr>
              <w:spacing w:before="120" w:after="120" w:line="360" w:lineRule="auto"/>
              <w:rPr>
                <w:rFonts w:ascii="宋体" w:hAnsi="宋体" w:eastAsia="宋体" w:cs="宋体"/>
                <w:szCs w:val="21"/>
              </w:rPr>
            </w:pPr>
            <w:r>
              <w:rPr>
                <w:rFonts w:hint="eastAsia" w:ascii="宋体" w:hAnsi="宋体" w:eastAsia="宋体" w:cs="宋体"/>
                <w:szCs w:val="21"/>
              </w:rPr>
              <w:t>☑ 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19</w:t>
            </w:r>
          </w:p>
        </w:tc>
        <w:tc>
          <w:tcPr>
            <w:tcW w:w="1920"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履约担保</w:t>
            </w:r>
          </w:p>
        </w:tc>
        <w:tc>
          <w:tcPr>
            <w:tcW w:w="7190" w:type="dxa"/>
            <w:vAlign w:val="center"/>
          </w:tcPr>
          <w:p>
            <w:pPr>
              <w:spacing w:line="360" w:lineRule="auto"/>
              <w:ind w:left="1058" w:hanging="1058" w:hangingChars="504"/>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 xml:space="preserve"> 不需要</w:t>
            </w:r>
          </w:p>
          <w:p>
            <w:pPr>
              <w:spacing w:line="360" w:lineRule="auto"/>
              <w:ind w:left="1058" w:hanging="1058" w:hangingChars="504"/>
              <w:rPr>
                <w:rFonts w:ascii="宋体" w:hAnsi="宋体" w:eastAsia="宋体" w:cs="宋体"/>
                <w:b/>
                <w:bCs/>
                <w:szCs w:val="21"/>
                <w:u w:val="single"/>
              </w:rPr>
            </w:pPr>
            <w:r>
              <w:rPr>
                <w:rFonts w:hint="eastAsia" w:ascii="宋体" w:hAnsi="宋体" w:eastAsia="宋体" w:cs="宋体"/>
                <w:szCs w:val="21"/>
                <w:lang w:eastAsia="zh-CN"/>
              </w:rPr>
              <w:t>□</w:t>
            </w:r>
            <w:r>
              <w:rPr>
                <w:rFonts w:hint="eastAsia" w:ascii="宋体" w:hAnsi="宋体" w:eastAsia="宋体" w:cs="宋体"/>
                <w:szCs w:val="21"/>
              </w:rPr>
              <w:t xml:space="preserve"> 需要：</w:t>
            </w:r>
            <w:r>
              <w:rPr>
                <w:rFonts w:hint="eastAsia" w:ascii="宋体" w:hAnsi="宋体" w:eastAsia="宋体" w:cs="宋体"/>
                <w:b/>
                <w:bCs/>
                <w:szCs w:val="21"/>
                <w:u w:val="single"/>
              </w:rPr>
              <w:t>成交供应商需向采购人缴纳合同金额的1%的履约保证金。</w:t>
            </w:r>
          </w:p>
          <w:p>
            <w:pPr>
              <w:spacing w:line="360" w:lineRule="auto"/>
              <w:ind w:left="988" w:leftChars="179" w:hanging="612" w:hangingChars="303"/>
              <w:rPr>
                <w:rFonts w:ascii="宋体" w:hAnsi="宋体" w:eastAsia="宋体" w:cs="宋体"/>
                <w:szCs w:val="21"/>
              </w:rPr>
            </w:pPr>
            <w:r>
              <w:rPr>
                <w:rFonts w:hint="eastAsia" w:ascii="宋体" w:hAnsi="宋体" w:eastAsia="宋体" w:cs="宋体"/>
                <w:spacing w:val="-4"/>
                <w:szCs w:val="21"/>
              </w:rPr>
              <w:t>(</w:t>
            </w:r>
            <w:r>
              <w:rPr>
                <w:rFonts w:hint="eastAsia" w:ascii="宋体" w:hAnsi="宋体" w:eastAsia="宋体" w:cs="宋体"/>
              </w:rPr>
              <w:t>银行转账、转帐支票、银行汇票、保险或金融机构出具的保函等</w:t>
            </w:r>
            <w:r>
              <w:rPr>
                <w:rFonts w:hint="eastAsia" w:ascii="宋体" w:hAnsi="宋体" w:eastAsia="宋体" w:cs="宋体"/>
                <w:spacing w:val="-4"/>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20</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磋商文件发售时间及获取方式</w:t>
            </w:r>
          </w:p>
        </w:tc>
        <w:tc>
          <w:tcPr>
            <w:tcW w:w="7190" w:type="dxa"/>
            <w:vAlign w:val="center"/>
          </w:tcPr>
          <w:p>
            <w:pPr>
              <w:pStyle w:val="5"/>
              <w:spacing w:before="0" w:after="0" w:line="360" w:lineRule="auto"/>
              <w:rPr>
                <w:rFonts w:ascii="宋体" w:hAnsi="宋体" w:eastAsia="宋体" w:cs="宋体"/>
                <w:sz w:val="21"/>
                <w:szCs w:val="21"/>
              </w:rPr>
            </w:pPr>
            <w:bookmarkStart w:id="61" w:name="_Toc31756"/>
            <w:bookmarkStart w:id="62" w:name="_Toc18019"/>
            <w:bookmarkStart w:id="63" w:name="_Toc21050"/>
            <w:bookmarkStart w:id="64" w:name="_Toc12411"/>
            <w:bookmarkStart w:id="65" w:name="_Toc15475"/>
            <w:bookmarkStart w:id="66" w:name="_Toc31744"/>
            <w:bookmarkStart w:id="67" w:name="_Toc10914"/>
            <w:bookmarkStart w:id="68" w:name="_Toc13087"/>
            <w:bookmarkStart w:id="69" w:name="_Toc11736"/>
            <w:bookmarkStart w:id="70" w:name="_Toc29775"/>
            <w:bookmarkStart w:id="71" w:name="_Toc30382"/>
            <w:bookmarkStart w:id="72" w:name="_Toc19437"/>
            <w:bookmarkStart w:id="73" w:name="_Toc12557"/>
            <w:bookmarkStart w:id="74" w:name="_Toc3692"/>
            <w:bookmarkStart w:id="75" w:name="_Toc31016"/>
            <w:bookmarkStart w:id="76" w:name="_Toc32286"/>
            <w:r>
              <w:rPr>
                <w:rFonts w:hint="eastAsia" w:ascii="宋体" w:hAnsi="宋体" w:eastAsia="宋体" w:cs="宋体"/>
                <w:sz w:val="21"/>
                <w:szCs w:val="21"/>
              </w:rPr>
              <w:t>时间：/</w:t>
            </w:r>
            <w:r>
              <w:rPr>
                <w:rFonts w:hint="eastAsia" w:ascii="宋体" w:hAnsi="宋体" w:eastAsia="宋体" w:cs="宋体"/>
                <w:bCs w:val="0"/>
                <w:sz w:val="21"/>
                <w:szCs w:val="21"/>
                <w:lang w:eastAsia="zh-CN"/>
              </w:rPr>
              <w:t>2023年07月17日09:00</w:t>
            </w:r>
            <w:r>
              <w:rPr>
                <w:rFonts w:hint="eastAsia" w:ascii="宋体" w:hAnsi="宋体" w:eastAsia="宋体" w:cs="宋体"/>
                <w:sz w:val="21"/>
                <w:szCs w:val="21"/>
              </w:rPr>
              <w:t>，每天上午00:00至12:00，下午12:00至23:59（北京时间，线上获取法定节假日均可，线下获取文件法定节假日除外）</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5"/>
              <w:spacing w:before="0" w:after="0" w:line="360" w:lineRule="auto"/>
              <w:rPr>
                <w:rFonts w:ascii="宋体" w:hAnsi="宋体" w:eastAsia="宋体" w:cs="宋体"/>
                <w:sz w:val="21"/>
                <w:szCs w:val="21"/>
              </w:rPr>
            </w:pPr>
            <w:bookmarkStart w:id="77" w:name="_Toc9556"/>
            <w:bookmarkStart w:id="78" w:name="_Toc3482"/>
            <w:bookmarkStart w:id="79" w:name="_Toc12314"/>
            <w:bookmarkStart w:id="80" w:name="_Toc2937"/>
            <w:bookmarkStart w:id="81" w:name="_Toc28054"/>
            <w:bookmarkStart w:id="82" w:name="_Toc24755"/>
            <w:bookmarkStart w:id="83" w:name="_Toc23947"/>
            <w:bookmarkStart w:id="84" w:name="_Toc6967"/>
            <w:bookmarkStart w:id="85" w:name="_Toc28843"/>
            <w:bookmarkStart w:id="86" w:name="_Toc2430"/>
            <w:bookmarkStart w:id="87" w:name="_Toc32556"/>
            <w:bookmarkStart w:id="88" w:name="_Toc25979"/>
            <w:bookmarkStart w:id="89" w:name="_Toc23957"/>
            <w:bookmarkStart w:id="90" w:name="_Toc2669"/>
            <w:bookmarkStart w:id="91" w:name="_Toc11493"/>
            <w:bookmarkStart w:id="92" w:name="_Toc27784"/>
            <w:r>
              <w:rPr>
                <w:rFonts w:hint="eastAsia" w:ascii="宋体" w:hAnsi="宋体" w:eastAsia="宋体" w:cs="宋体"/>
                <w:sz w:val="21"/>
                <w:szCs w:val="21"/>
              </w:rPr>
              <w:t>地点（网址）：</w:t>
            </w:r>
            <w:bookmarkEnd w:id="77"/>
            <w:bookmarkEnd w:id="78"/>
            <w:bookmarkEnd w:id="79"/>
            <w:r>
              <w:rPr>
                <w:rFonts w:hint="eastAsia" w:ascii="宋体" w:hAnsi="宋体" w:eastAsia="宋体" w:cs="宋体"/>
                <w:sz w:val="21"/>
                <w:szCs w:val="21"/>
              </w:rPr>
              <w:t>政采云平台https://www.zcygov.cn/</w:t>
            </w:r>
            <w:bookmarkEnd w:id="80"/>
            <w:bookmarkEnd w:id="81"/>
            <w:bookmarkEnd w:id="82"/>
            <w:bookmarkEnd w:id="83"/>
            <w:bookmarkEnd w:id="84"/>
            <w:bookmarkEnd w:id="85"/>
            <w:bookmarkEnd w:id="86"/>
            <w:bookmarkEnd w:id="87"/>
            <w:bookmarkEnd w:id="88"/>
            <w:bookmarkEnd w:id="89"/>
            <w:bookmarkEnd w:id="90"/>
            <w:bookmarkEnd w:id="91"/>
            <w:bookmarkEnd w:id="92"/>
          </w:p>
          <w:p>
            <w:pPr>
              <w:spacing w:line="360" w:lineRule="auto"/>
              <w:rPr>
                <w:rFonts w:ascii="宋体" w:hAnsi="宋体" w:eastAsia="宋体" w:cs="宋体"/>
                <w:szCs w:val="21"/>
              </w:rPr>
            </w:pPr>
            <w:bookmarkStart w:id="93" w:name="_Toc31345"/>
            <w:bookmarkStart w:id="94" w:name="_Toc6088"/>
            <w:bookmarkStart w:id="95" w:name="_Toc6094"/>
            <w:r>
              <w:rPr>
                <w:rFonts w:hint="eastAsia" w:ascii="宋体" w:hAnsi="宋体" w:eastAsia="宋体" w:cs="宋体"/>
                <w:szCs w:val="21"/>
              </w:rPr>
              <w:t>方式：供应商登录政采云平台https://www.zcygov.cn/在线申请获取采购文件（进入“项目采购”应用，在获取采购文件菜单中选择项目，申请获取采购文件）。</w:t>
            </w:r>
            <w:bookmarkEnd w:id="93"/>
            <w:bookmarkEnd w:id="94"/>
            <w:bookmarkEnd w:id="95"/>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21</w:t>
            </w:r>
          </w:p>
        </w:tc>
        <w:tc>
          <w:tcPr>
            <w:tcW w:w="1920"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磋商截止时间</w:t>
            </w:r>
          </w:p>
        </w:tc>
        <w:tc>
          <w:tcPr>
            <w:tcW w:w="7190" w:type="dxa"/>
            <w:vAlign w:val="center"/>
          </w:tcPr>
          <w:p>
            <w:pPr>
              <w:spacing w:line="360" w:lineRule="exact"/>
              <w:rPr>
                <w:rFonts w:ascii="宋体" w:hAnsi="宋体" w:eastAsia="宋体" w:cs="宋体"/>
                <w:szCs w:val="21"/>
              </w:rPr>
            </w:pPr>
            <w:r>
              <w:rPr>
                <w:rFonts w:hint="eastAsia" w:ascii="宋体" w:hAnsi="宋体" w:eastAsia="宋体" w:cs="宋体"/>
                <w:szCs w:val="21"/>
                <w:lang w:eastAsia="zh-CN"/>
              </w:rPr>
              <w:t>2023年07月17日09:00</w:t>
            </w:r>
            <w:r>
              <w:rPr>
                <w:rFonts w:hint="eastAsia" w:ascii="宋体" w:hAnsi="宋体" w:eastAsia="宋体" w:cs="宋体"/>
                <w:szCs w:val="21"/>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22</w:t>
            </w:r>
          </w:p>
        </w:tc>
        <w:tc>
          <w:tcPr>
            <w:tcW w:w="1920"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响应文件递交方式</w:t>
            </w:r>
          </w:p>
        </w:tc>
        <w:tc>
          <w:tcPr>
            <w:tcW w:w="7190" w:type="dxa"/>
            <w:vAlign w:val="center"/>
          </w:tcPr>
          <w:p>
            <w:pPr>
              <w:numPr>
                <w:ilvl w:val="0"/>
                <w:numId w:val="6"/>
              </w:numPr>
              <w:spacing w:line="360" w:lineRule="auto"/>
            </w:pPr>
            <w:r>
              <w:rPr>
                <w:rFonts w:hint="eastAsia"/>
              </w:rPr>
              <w:t>“电子加密响应文件”的上传、递交：</w:t>
            </w:r>
          </w:p>
          <w:p>
            <w:pPr>
              <w:spacing w:line="360" w:lineRule="auto"/>
            </w:pPr>
            <w:r>
              <w:rPr>
                <w:rFonts w:hint="eastAsia"/>
              </w:rPr>
              <w:t>a.投标人应在投标文件递交截止时间前将“电子加密响应文件”成功上传递交至“政采云平台”，否则投标无效。</w:t>
            </w:r>
          </w:p>
          <w:p>
            <w:pPr>
              <w:spacing w:line="360" w:lineRule="auto"/>
            </w:pPr>
            <w:r>
              <w:rPr>
                <w:rFonts w:hint="eastAsia"/>
              </w:rPr>
              <w:t>b.“电子加密响应文件”成功上传递交后，供应商可自行打印响应文件接收回执。</w:t>
            </w:r>
          </w:p>
          <w:p>
            <w:pPr>
              <w:spacing w:line="360" w:lineRule="auto"/>
            </w:pPr>
            <w:r>
              <w:rPr>
                <w:rFonts w:hint="eastAsia"/>
              </w:rPr>
              <w:t>（2）“备份响应文件”的密封包装、递交：</w:t>
            </w:r>
          </w:p>
          <w:p>
            <w:pPr>
              <w:spacing w:line="360" w:lineRule="auto"/>
              <w:ind w:firstLine="420" w:firstLineChars="200"/>
              <w:rPr>
                <w:rFonts w:hint="eastAsia"/>
              </w:rPr>
            </w:pPr>
            <w:r>
              <w:rPr>
                <w:rFonts w:hint="eastAsia"/>
              </w:rPr>
              <w:t>建议供应商在磋商响应文件提交截止时间之前将备份响应文件以电子邮件方式提交至采购代理机构指定邮箱，邮件标题注明项目名称及供应商名称。提交的备份响应文件需打包压缩并加密，加密密码由供应商自行保管。如供应商多次提交文件，以采购代理机构指定邮箱收到的最近时间（磋商响应文件提交截止时间之前）的备份响应文件为准。供应商未在磋商响应文件提交截止时间之前将备份响应文件提交至采购代理机构指定邮箱的，视为无效备份响应文件。</w:t>
            </w:r>
          </w:p>
          <w:p>
            <w:pPr>
              <w:spacing w:line="360" w:lineRule="auto"/>
              <w:rPr>
                <w:rFonts w:ascii="宋体" w:hAnsi="宋体" w:eastAsia="宋体" w:cs="宋体"/>
                <w:szCs w:val="21"/>
              </w:rPr>
            </w:pPr>
            <w:r>
              <w:rPr>
                <w:rFonts w:hint="eastAsia" w:ascii="宋体" w:hAnsi="宋体" w:eastAsia="宋体" w:cs="宋体"/>
                <w:szCs w:val="21"/>
              </w:rPr>
              <w:t>（3）“演示视频文件（如有）”的密封包装、递交：</w:t>
            </w:r>
          </w:p>
          <w:p>
            <w:pPr>
              <w:spacing w:line="360" w:lineRule="auto"/>
              <w:rPr>
                <w:rFonts w:ascii="宋体" w:hAnsi="宋体" w:eastAsia="宋体" w:cs="宋体"/>
                <w:szCs w:val="21"/>
              </w:rPr>
            </w:pPr>
            <w:r>
              <w:rPr>
                <w:rFonts w:hint="eastAsia" w:ascii="宋体" w:hAnsi="宋体" w:eastAsia="宋体" w:cs="宋体"/>
                <w:szCs w:val="21"/>
              </w:rPr>
              <w:t>a.投标人制作“演示视频文件”后，将文件存储于U盘内，以顺丰快递形式</w:t>
            </w:r>
            <w:r>
              <w:rPr>
                <w:rFonts w:hint="eastAsia" w:ascii="宋体" w:hAnsi="宋体" w:eastAsia="宋体" w:cs="宋体"/>
                <w:szCs w:val="21"/>
                <w:highlight w:val="none"/>
              </w:rPr>
              <w:t>在202</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07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17</w:t>
            </w:r>
            <w:r>
              <w:rPr>
                <w:rFonts w:hint="eastAsia" w:ascii="宋体" w:hAnsi="宋体" w:eastAsia="宋体" w:cs="宋体"/>
                <w:szCs w:val="21"/>
                <w:highlight w:val="none"/>
              </w:rPr>
              <w:t>:00前</w:t>
            </w:r>
            <w:r>
              <w:rPr>
                <w:rFonts w:hint="eastAsia" w:ascii="宋体" w:hAnsi="宋体" w:eastAsia="宋体" w:cs="宋体"/>
                <w:szCs w:val="21"/>
              </w:rPr>
              <w:t>快递至采购代理机构地址（地址详见采购文件，防疫期间不建议供应商代表送达接收地点）。</w:t>
            </w:r>
          </w:p>
          <w:p>
            <w:pPr>
              <w:spacing w:line="360" w:lineRule="auto"/>
            </w:pPr>
            <w:r>
              <w:rPr>
                <w:rFonts w:hint="eastAsia"/>
              </w:rPr>
              <w:t>b.“演示视频文件”应当密封包装，并在包装上标注投标项目名称、投标单位名称并加盖公章。没有密封包装或者逾期邮寄送达至投标地点的“演示视频文件”将不予接收，由此造成的责任由投标人自负。</w:t>
            </w:r>
          </w:p>
          <w:p>
            <w:pPr>
              <w:bidi w:val="0"/>
              <w:spacing w:line="360" w:lineRule="auto"/>
            </w:pPr>
            <w:r>
              <w:rPr>
                <w:rFonts w:hint="eastAsia"/>
              </w:rPr>
              <w:t>c. 投标人应加强U盘的包装与保护，因包装不当而造成“演示视频文件” 损坏或不能在开评标现场设备上正确读取的责任由投标人自负。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7" w:hRule="atLeast"/>
          <w:jc w:val="center"/>
        </w:trPr>
        <w:tc>
          <w:tcPr>
            <w:tcW w:w="645"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23</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磋商开始时间</w:t>
            </w:r>
          </w:p>
          <w:p>
            <w:pPr>
              <w:spacing w:line="360" w:lineRule="auto"/>
              <w:jc w:val="center"/>
              <w:rPr>
                <w:rFonts w:ascii="宋体" w:hAnsi="宋体" w:eastAsia="宋体" w:cs="宋体"/>
                <w:szCs w:val="21"/>
              </w:rPr>
            </w:pPr>
            <w:r>
              <w:rPr>
                <w:rFonts w:hint="eastAsia" w:ascii="宋体" w:hAnsi="宋体" w:eastAsia="宋体" w:cs="宋体"/>
                <w:szCs w:val="21"/>
              </w:rPr>
              <w:t>磋商地点</w:t>
            </w:r>
          </w:p>
        </w:tc>
        <w:tc>
          <w:tcPr>
            <w:tcW w:w="7190" w:type="dxa"/>
            <w:vAlign w:val="center"/>
          </w:tcPr>
          <w:p>
            <w:pPr>
              <w:spacing w:line="360" w:lineRule="auto"/>
              <w:rPr>
                <w:rFonts w:ascii="宋体" w:hAnsi="宋体" w:eastAsia="宋体" w:cs="宋体"/>
                <w:szCs w:val="21"/>
              </w:rPr>
            </w:pPr>
            <w:r>
              <w:rPr>
                <w:rFonts w:hint="eastAsia" w:ascii="宋体" w:hAnsi="宋体" w:eastAsia="宋体" w:cs="宋体"/>
                <w:szCs w:val="21"/>
              </w:rPr>
              <w:t>磋商开始时间：</w:t>
            </w:r>
            <w:r>
              <w:rPr>
                <w:rFonts w:hint="eastAsia" w:ascii="宋体" w:hAnsi="宋体" w:eastAsia="宋体" w:cs="宋体"/>
                <w:szCs w:val="21"/>
                <w:u w:val="single"/>
                <w:lang w:eastAsia="zh-CN"/>
              </w:rPr>
              <w:t>2023年07月17日09:00</w:t>
            </w:r>
            <w:r>
              <w:rPr>
                <w:rFonts w:hint="eastAsia" w:ascii="宋体" w:hAnsi="宋体" w:eastAsia="宋体" w:cs="宋体"/>
                <w:szCs w:val="21"/>
              </w:rPr>
              <w:t>正(北京时间)</w:t>
            </w:r>
          </w:p>
          <w:p>
            <w:pPr>
              <w:spacing w:line="360" w:lineRule="auto"/>
              <w:rPr>
                <w:rFonts w:ascii="宋体" w:hAnsi="宋体" w:eastAsia="宋体" w:cs="宋体"/>
                <w:szCs w:val="21"/>
              </w:rPr>
            </w:pPr>
            <w:r>
              <w:rPr>
                <w:rFonts w:hint="eastAsia" w:ascii="宋体" w:hAnsi="宋体" w:eastAsia="宋体" w:cs="宋体"/>
                <w:szCs w:val="21"/>
              </w:rPr>
              <w:t>磋商地点：政府采购云平台（www.zcygov.cn）。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1" w:hRule="atLeast"/>
          <w:jc w:val="center"/>
        </w:trPr>
        <w:tc>
          <w:tcPr>
            <w:tcW w:w="645"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24</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电子加密响应文件的解密和异常情况处理</w:t>
            </w:r>
          </w:p>
        </w:tc>
        <w:tc>
          <w:tcPr>
            <w:tcW w:w="7190" w:type="dxa"/>
            <w:vAlign w:val="center"/>
          </w:tcPr>
          <w:p>
            <w:pPr>
              <w:spacing w:line="360" w:lineRule="auto"/>
              <w:rPr>
                <w:rFonts w:ascii="宋体" w:hAnsi="宋体" w:eastAsia="宋体" w:cs="宋体"/>
                <w:szCs w:val="21"/>
              </w:rPr>
            </w:pPr>
            <w:r>
              <w:rPr>
                <w:rFonts w:hint="eastAsia" w:ascii="宋体" w:hAnsi="宋体" w:eastAsia="宋体" w:cs="宋体"/>
                <w:szCs w:val="21"/>
              </w:rPr>
              <w:t>（1）开标后，采购组织机构将向各供应商发出“电子加密响应文件”的解密通知，各供应商代表应当在接到解密通知后</w:t>
            </w:r>
            <w:r>
              <w:rPr>
                <w:rFonts w:hint="eastAsia" w:ascii="宋体" w:hAnsi="宋体" w:eastAsia="宋体" w:cs="宋体"/>
                <w:szCs w:val="21"/>
                <w:u w:val="single"/>
              </w:rPr>
              <w:t>30分钟内</w:t>
            </w:r>
            <w:r>
              <w:rPr>
                <w:rFonts w:hint="eastAsia" w:ascii="宋体" w:hAnsi="宋体" w:eastAsia="宋体" w:cs="宋体"/>
                <w:szCs w:val="21"/>
              </w:rPr>
              <w:t>自行完成“电子加密响应文件”的在线解密。</w:t>
            </w:r>
          </w:p>
          <w:p>
            <w:pPr>
              <w:spacing w:line="360" w:lineRule="auto"/>
              <w:rPr>
                <w:rFonts w:ascii="宋体" w:hAnsi="宋体" w:eastAsia="宋体" w:cs="宋体"/>
                <w:szCs w:val="21"/>
              </w:rPr>
            </w:pPr>
            <w:r>
              <w:rPr>
                <w:rFonts w:hint="eastAsia" w:ascii="宋体" w:hAnsi="宋体" w:eastAsia="宋体" w:cs="宋体"/>
                <w:szCs w:val="21"/>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360" w:lineRule="auto"/>
              <w:rPr>
                <w:rFonts w:ascii="宋体" w:hAnsi="宋体" w:eastAsia="宋体" w:cs="宋体"/>
                <w:szCs w:val="21"/>
              </w:rPr>
            </w:pPr>
            <w:r>
              <w:rPr>
                <w:rFonts w:hint="eastAsia" w:ascii="宋体" w:hAnsi="宋体" w:eastAsia="宋体" w:cs="宋体"/>
                <w:szCs w:val="21"/>
              </w:rPr>
              <w:t>（3）投标截止时间止，供应商仅递交了“备份响应文件”而未将电子加密响应文件上传至“政府采购云平台”的，投标无效。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1" w:hRule="atLeast"/>
          <w:jc w:val="center"/>
        </w:trPr>
        <w:tc>
          <w:tcPr>
            <w:tcW w:w="645"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25</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磋商程序</w:t>
            </w:r>
          </w:p>
        </w:tc>
        <w:tc>
          <w:tcPr>
            <w:tcW w:w="7190" w:type="dxa"/>
            <w:vAlign w:val="center"/>
          </w:tcPr>
          <w:p>
            <w:pPr>
              <w:numPr>
                <w:ilvl w:val="0"/>
                <w:numId w:val="7"/>
              </w:numPr>
              <w:spacing w:line="360" w:lineRule="auto"/>
              <w:ind w:firstLine="0"/>
            </w:pPr>
            <w:r>
              <w:rPr>
                <w:rFonts w:hint="eastAsia"/>
              </w:rPr>
              <w:t>采购代理机构按照磋商文件规定的时间通过政采云平台组织开标，所有磋商供应商准时在线参加。</w:t>
            </w:r>
          </w:p>
          <w:p>
            <w:pPr>
              <w:numPr>
                <w:ilvl w:val="0"/>
                <w:numId w:val="7"/>
              </w:numPr>
              <w:tabs>
                <w:tab w:val="left" w:pos="-6"/>
              </w:tabs>
              <w:spacing w:line="360" w:lineRule="auto"/>
              <w:ind w:firstLine="0"/>
            </w:pPr>
            <w:r>
              <w:rPr>
                <w:rFonts w:hint="eastAsia"/>
              </w:rPr>
              <w:t>开标时，政采云平台自动提取所有磋商响应文件，提示采购代理机构和磋商供应商按磋商文件规定的方式和时间在线解密。磋商供应商在线解密的时间为磋商截止时间起30分钟。</w:t>
            </w:r>
          </w:p>
          <w:p>
            <w:pPr>
              <w:numPr>
                <w:ilvl w:val="0"/>
                <w:numId w:val="7"/>
              </w:numPr>
              <w:tabs>
                <w:tab w:val="left" w:pos="-6"/>
              </w:tabs>
              <w:spacing w:line="360" w:lineRule="auto"/>
              <w:ind w:firstLine="0"/>
            </w:pPr>
            <w:r>
              <w:rPr>
                <w:rFonts w:hint="eastAsia"/>
              </w:rPr>
              <w:t>磋商供应商的电子磋商响应文件未在规定时间内成功解密的，供应商按要求提交了备份响应文件和解压缩密码的，由采购代理机构按政采云平台操作规范将备份响应文件上传。</w:t>
            </w:r>
          </w:p>
          <w:p>
            <w:pPr>
              <w:numPr>
                <w:ilvl w:val="0"/>
                <w:numId w:val="7"/>
              </w:numPr>
              <w:spacing w:line="360" w:lineRule="auto"/>
              <w:ind w:firstLine="0"/>
            </w:pPr>
            <w:r>
              <w:rPr>
                <w:rFonts w:hint="eastAsia"/>
              </w:rPr>
              <w:t>解密结束后，各供应商授权代表完整填写《政府采购活动现场确认声明书》并签字后扫描，以电子邮件方式传送至采购代理机构指定电子邮箱。</w:t>
            </w:r>
          </w:p>
          <w:p>
            <w:pPr>
              <w:numPr>
                <w:ilvl w:val="0"/>
                <w:numId w:val="7"/>
              </w:numPr>
              <w:spacing w:line="360" w:lineRule="auto"/>
              <w:ind w:firstLine="0"/>
            </w:pPr>
            <w:r>
              <w:rPr>
                <w:rFonts w:hint="eastAsia"/>
              </w:rPr>
              <w:t>磋商小组审阅响应文件。</w:t>
            </w:r>
          </w:p>
          <w:p>
            <w:pPr>
              <w:numPr>
                <w:ilvl w:val="0"/>
                <w:numId w:val="7"/>
              </w:numPr>
              <w:spacing w:line="360" w:lineRule="auto"/>
              <w:ind w:firstLine="0"/>
            </w:pPr>
            <w:r>
              <w:rPr>
                <w:rFonts w:hint="eastAsia"/>
              </w:rPr>
              <w:t>磋商小组分别与各供应商在线磋商并确定最终方案。</w:t>
            </w:r>
          </w:p>
          <w:p>
            <w:pPr>
              <w:numPr>
                <w:ilvl w:val="0"/>
                <w:numId w:val="7"/>
              </w:numPr>
              <w:spacing w:line="360" w:lineRule="auto"/>
              <w:ind w:firstLine="0"/>
            </w:pPr>
            <w:r>
              <w:rPr>
                <w:rFonts w:hint="eastAsia"/>
              </w:rPr>
              <w:t>供应商按照磋商文件的变动情况和磋商小组的要求重新提交响应文件。</w:t>
            </w:r>
          </w:p>
          <w:p>
            <w:pPr>
              <w:numPr>
                <w:ilvl w:val="0"/>
                <w:numId w:val="7"/>
              </w:numPr>
              <w:spacing w:line="360" w:lineRule="auto"/>
              <w:ind w:firstLine="0"/>
            </w:pPr>
            <w:r>
              <w:rPr>
                <w:rFonts w:hint="eastAsia"/>
              </w:rPr>
              <w:t>磋商小组对资格文件进行评审。</w:t>
            </w:r>
          </w:p>
          <w:p>
            <w:pPr>
              <w:numPr>
                <w:ilvl w:val="0"/>
                <w:numId w:val="7"/>
              </w:numPr>
              <w:spacing w:line="360" w:lineRule="auto"/>
              <w:ind w:firstLine="0"/>
            </w:pPr>
            <w:r>
              <w:rPr>
                <w:rFonts w:hint="eastAsia"/>
              </w:rPr>
              <w:t>磋商小组对商务技术响应文件进行评审。</w:t>
            </w:r>
          </w:p>
          <w:p>
            <w:pPr>
              <w:numPr>
                <w:ilvl w:val="0"/>
                <w:numId w:val="7"/>
              </w:numPr>
              <w:spacing w:line="360" w:lineRule="auto"/>
              <w:ind w:firstLine="0"/>
            </w:pPr>
            <w:r>
              <w:rPr>
                <w:rFonts w:hint="eastAsia"/>
              </w:rPr>
              <w:t>磋商小组在磋商结束后，要求所有继续参加磋商的供应商在规定时间内在线提交最后报价，超过规定时间提交的报价作无效处理。已提交响应文件的供应商，在提交最后报价之前，可以根据磋商情况退出磋商。</w:t>
            </w:r>
          </w:p>
          <w:p>
            <w:pPr>
              <w:numPr>
                <w:ilvl w:val="0"/>
                <w:numId w:val="7"/>
              </w:numPr>
              <w:spacing w:line="360" w:lineRule="auto"/>
              <w:ind w:firstLine="0"/>
            </w:pPr>
            <w:r>
              <w:rPr>
                <w:rFonts w:hint="eastAsia"/>
              </w:rPr>
              <w:t>由磋商小组采用综合评分法对提交最后报价的供应商的响应文件和最后报价进行综合评分。</w:t>
            </w:r>
          </w:p>
          <w:p>
            <w:pPr>
              <w:numPr>
                <w:ilvl w:val="0"/>
                <w:numId w:val="7"/>
              </w:numPr>
              <w:spacing w:line="360" w:lineRule="auto"/>
              <w:ind w:firstLine="0"/>
            </w:pPr>
            <w:r>
              <w:rPr>
                <w:rFonts w:hint="eastAsia"/>
              </w:rPr>
              <w:t>磋商小组根据综合评分情况，按照评审得分由高到低顺序推荐成交候选供应商。</w:t>
            </w:r>
          </w:p>
          <w:p>
            <w:pPr>
              <w:numPr>
                <w:ilvl w:val="0"/>
                <w:numId w:val="7"/>
              </w:numPr>
              <w:spacing w:line="360" w:lineRule="auto"/>
              <w:ind w:firstLine="0"/>
            </w:pPr>
            <w:r>
              <w:rPr>
                <w:rFonts w:hint="eastAsia"/>
              </w:rPr>
              <w:t>在系统上公布评审结果。</w:t>
            </w:r>
          </w:p>
          <w:p>
            <w:pPr>
              <w:spacing w:line="360" w:lineRule="auto"/>
            </w:pPr>
            <w:r>
              <w:rPr>
                <w:rFonts w:hint="eastAsia"/>
                <w:b/>
                <w:bCs/>
              </w:rPr>
              <w:t>特别说明：政采云平台如对电子化开标及评审程序有调整的，按调整后的程序操作。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71" w:hRule="atLeast"/>
          <w:jc w:val="center"/>
        </w:trPr>
        <w:tc>
          <w:tcPr>
            <w:tcW w:w="645"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26</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磋商小组的组建</w:t>
            </w:r>
          </w:p>
        </w:tc>
        <w:tc>
          <w:tcPr>
            <w:tcW w:w="7190" w:type="dxa"/>
            <w:vAlign w:val="center"/>
          </w:tcPr>
          <w:p>
            <w:pPr>
              <w:spacing w:line="360" w:lineRule="auto"/>
              <w:rPr>
                <w:rFonts w:ascii="宋体" w:hAnsi="宋体" w:eastAsia="宋体" w:cs="宋体"/>
                <w:szCs w:val="21"/>
              </w:rPr>
            </w:pPr>
            <w:r>
              <w:rPr>
                <w:rFonts w:hint="eastAsia" w:ascii="宋体" w:hAnsi="宋体" w:eastAsia="宋体" w:cs="宋体"/>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2" w:hRule="atLeast"/>
          <w:jc w:val="center"/>
        </w:trPr>
        <w:tc>
          <w:tcPr>
            <w:tcW w:w="645"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27</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落实政府采购支持中小企业、监狱企业及残疾人福利性单位发展政策</w:t>
            </w:r>
          </w:p>
        </w:tc>
        <w:tc>
          <w:tcPr>
            <w:tcW w:w="7190" w:type="dxa"/>
            <w:vAlign w:val="center"/>
          </w:tcPr>
          <w:p>
            <w:pPr>
              <w:spacing w:line="360" w:lineRule="auto"/>
              <w:ind w:left="199" w:hanging="199" w:hangingChars="95"/>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 xml:space="preserve"> 专门面向中小企业采购项目。</w:t>
            </w:r>
          </w:p>
          <w:p>
            <w:pPr>
              <w:numPr>
                <w:ilvl w:val="0"/>
                <w:numId w:val="8"/>
              </w:numPr>
              <w:spacing w:line="360" w:lineRule="auto"/>
              <w:ind w:left="200" w:hanging="200" w:hangingChars="95"/>
              <w:rPr>
                <w:rFonts w:ascii="宋体" w:hAnsi="宋体" w:eastAsia="宋体" w:cs="宋体"/>
                <w:b/>
                <w:bCs/>
                <w:szCs w:val="21"/>
              </w:rPr>
            </w:pPr>
            <w:r>
              <w:rPr>
                <w:rFonts w:hint="eastAsia" w:ascii="宋体" w:hAnsi="宋体" w:eastAsia="宋体" w:cs="宋体"/>
                <w:b/>
                <w:bCs/>
                <w:szCs w:val="21"/>
              </w:rPr>
              <w:t>本项目所属行业：</w:t>
            </w:r>
            <w:r>
              <w:rPr>
                <w:rFonts w:hint="eastAsia" w:ascii="宋体" w:hAnsi="宋体" w:eastAsia="宋体" w:cs="宋体"/>
                <w:b/>
                <w:bCs/>
                <w:szCs w:val="21"/>
                <w:u w:val="single"/>
              </w:rPr>
              <w:t>工业</w:t>
            </w:r>
            <w:r>
              <w:rPr>
                <w:rFonts w:hint="eastAsia" w:ascii="宋体" w:hAnsi="宋体" w:eastAsia="宋体" w:cs="宋体"/>
                <w:b/>
                <w:bCs/>
                <w:szCs w:val="21"/>
              </w:rPr>
              <w:t>，磋商供应商属于磋商文件中明确的行业所对应的</w:t>
            </w:r>
          </w:p>
          <w:p>
            <w:pPr>
              <w:spacing w:line="360" w:lineRule="auto"/>
              <w:ind w:left="-199" w:leftChars="-95" w:firstLine="211" w:firstLineChars="100"/>
              <w:rPr>
                <w:rFonts w:ascii="宋体" w:hAnsi="宋体" w:eastAsia="宋体" w:cs="宋体"/>
                <w:b/>
                <w:bCs/>
                <w:szCs w:val="21"/>
              </w:rPr>
            </w:pPr>
            <w:r>
              <w:rPr>
                <w:rFonts w:hint="eastAsia" w:ascii="宋体" w:hAnsi="宋体" w:eastAsia="宋体" w:cs="宋体"/>
                <w:b/>
                <w:bCs/>
                <w:szCs w:val="21"/>
              </w:rPr>
              <w:t>小微企业享受价格优惠折扣。</w:t>
            </w:r>
          </w:p>
          <w:p>
            <w:pPr>
              <w:numPr>
                <w:ilvl w:val="0"/>
                <w:numId w:val="8"/>
              </w:numPr>
              <w:spacing w:line="360" w:lineRule="auto"/>
              <w:ind w:left="199" w:hanging="199" w:hangingChars="95"/>
              <w:rPr>
                <w:rFonts w:ascii="宋体" w:hAnsi="宋体" w:eastAsia="宋体" w:cs="宋体"/>
                <w:szCs w:val="21"/>
              </w:rPr>
            </w:pPr>
            <w:r>
              <w:rPr>
                <w:rFonts w:hint="eastAsia" w:ascii="宋体" w:hAnsi="宋体" w:eastAsia="宋体" w:cs="宋体"/>
                <w:szCs w:val="21"/>
              </w:rPr>
              <w:t>中小企业：是指在中华人民共和国境内依法设立，磋商响应文件中提供中</w:t>
            </w:r>
          </w:p>
          <w:p>
            <w:pPr>
              <w:spacing w:line="360" w:lineRule="auto"/>
              <w:rPr>
                <w:rFonts w:ascii="宋体" w:hAnsi="宋体" w:eastAsia="宋体" w:cs="宋体"/>
                <w:szCs w:val="21"/>
              </w:rPr>
            </w:pPr>
            <w:r>
              <w:rPr>
                <w:rFonts w:hint="eastAsia" w:ascii="宋体" w:hAnsi="宋体" w:eastAsia="宋体" w:cs="宋体"/>
                <w:szCs w:val="21"/>
              </w:rPr>
              <w:t>小企业声明函且符合《政府采购促进中小企业发展管理办法》（财库〔2020〕46号）规定的要求，符合中小企业划分标准的个体工商户，在政府采购活动中视同中小企业.</w:t>
            </w:r>
          </w:p>
          <w:p>
            <w:pPr>
              <w:numPr>
                <w:ilvl w:val="0"/>
                <w:numId w:val="8"/>
              </w:numPr>
              <w:spacing w:line="360" w:lineRule="auto"/>
              <w:ind w:left="199" w:hanging="199" w:hangingChars="95"/>
              <w:rPr>
                <w:rFonts w:ascii="宋体" w:hAnsi="宋体" w:eastAsia="宋体" w:cs="宋体"/>
                <w:szCs w:val="21"/>
              </w:rPr>
            </w:pPr>
            <w:r>
              <w:rPr>
                <w:rFonts w:hint="eastAsia" w:ascii="宋体" w:hAnsi="宋体" w:eastAsia="宋体" w:cs="宋体"/>
                <w:szCs w:val="21"/>
              </w:rPr>
              <w:t>残疾人福利性单位是指磋商响应文件中提供残疾人福利性单位声明函且</w:t>
            </w:r>
          </w:p>
          <w:p>
            <w:pPr>
              <w:spacing w:line="360" w:lineRule="auto"/>
              <w:rPr>
                <w:rFonts w:ascii="宋体" w:hAnsi="宋体" w:eastAsia="宋体" w:cs="宋体"/>
                <w:szCs w:val="21"/>
              </w:rPr>
            </w:pPr>
            <w:r>
              <w:rPr>
                <w:rFonts w:hint="eastAsia" w:ascii="宋体" w:hAnsi="宋体" w:eastAsia="宋体" w:cs="宋体"/>
                <w:szCs w:val="21"/>
              </w:rPr>
              <w:t>符合《财政部 民政部 中国残疾人联合会关于促进残疾人就业政府采购政策的通知》（财库〔2017〕141号）的规定。</w:t>
            </w:r>
          </w:p>
          <w:p>
            <w:pPr>
              <w:numPr>
                <w:ilvl w:val="0"/>
                <w:numId w:val="8"/>
              </w:numPr>
              <w:spacing w:line="360" w:lineRule="auto"/>
              <w:ind w:left="199" w:hanging="199" w:hangingChars="95"/>
              <w:rPr>
                <w:rFonts w:ascii="宋体" w:hAnsi="宋体" w:eastAsia="宋体" w:cs="宋体"/>
                <w:szCs w:val="21"/>
              </w:rPr>
            </w:pPr>
            <w:r>
              <w:rPr>
                <w:rFonts w:hint="eastAsia" w:ascii="宋体" w:hAnsi="宋体" w:eastAsia="宋体" w:cs="宋体"/>
                <w:szCs w:val="21"/>
              </w:rPr>
              <w:t>监狱企业参加政府采购活动时，应当提供由省级以上监狱管理局、戒毒管</w:t>
            </w:r>
          </w:p>
          <w:p>
            <w:pPr>
              <w:spacing w:line="360" w:lineRule="auto"/>
              <w:rPr>
                <w:rFonts w:ascii="宋体" w:hAnsi="宋体" w:eastAsia="宋体" w:cs="宋体"/>
                <w:szCs w:val="21"/>
              </w:rPr>
            </w:pPr>
            <w:r>
              <w:rPr>
                <w:rFonts w:hint="eastAsia" w:ascii="宋体" w:hAnsi="宋体" w:eastAsia="宋体" w:cs="宋体"/>
                <w:szCs w:val="21"/>
              </w:rPr>
              <w:t>理局（含新疆生产建设兵团）出具的属于监狱企业的证明文件。</w:t>
            </w:r>
          </w:p>
          <w:p>
            <w:pPr>
              <w:spacing w:line="360" w:lineRule="auto"/>
              <w:ind w:left="17" w:hanging="16" w:hangingChars="8"/>
              <w:rPr>
                <w:rFonts w:ascii="宋体" w:hAnsi="宋体" w:eastAsia="宋体" w:cs="宋体"/>
                <w:szCs w:val="21"/>
              </w:rPr>
            </w:pPr>
            <w:r>
              <w:rPr>
                <w:rFonts w:hint="eastAsia" w:ascii="宋体" w:hAnsi="宋体" w:eastAsia="宋体" w:cs="宋体"/>
                <w:szCs w:val="21"/>
                <w:lang w:eastAsia="zh-CN"/>
              </w:rPr>
              <w:t>□</w:t>
            </w:r>
            <w:r>
              <w:rPr>
                <w:rFonts w:hint="eastAsia" w:ascii="宋体" w:hAnsi="宋体" w:cs="宋体"/>
                <w:szCs w:val="21"/>
              </w:rPr>
              <w:t xml:space="preserve"> </w:t>
            </w:r>
            <w:r>
              <w:rPr>
                <w:rFonts w:hint="eastAsia" w:ascii="宋体" w:hAnsi="宋体" w:eastAsia="宋体" w:cs="宋体"/>
                <w:szCs w:val="21"/>
              </w:rPr>
              <w:t>非专门面向中小企业采购项目。</w:t>
            </w:r>
          </w:p>
          <w:p>
            <w:pPr>
              <w:spacing w:line="360" w:lineRule="auto"/>
              <w:rPr>
                <w:rFonts w:ascii="宋体" w:hAnsi="宋体" w:eastAsia="宋体" w:cs="宋体"/>
                <w:szCs w:val="21"/>
              </w:rPr>
            </w:pPr>
            <w:r>
              <w:rPr>
                <w:rFonts w:hint="eastAsia" w:ascii="宋体" w:hAnsi="宋体" w:eastAsia="宋体" w:cs="宋体"/>
                <w:szCs w:val="21"/>
              </w:rPr>
              <w:t>注：对于未预留份额专门面向中小企业采购的采购项目，以及预留份额项目中的非预留部分采购包，对小微企业报价给予</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的扣除，用扣除后的价格参加评审。</w:t>
            </w:r>
          </w:p>
          <w:p>
            <w:pPr>
              <w:spacing w:line="360" w:lineRule="auto"/>
              <w:rPr>
                <w:rFonts w:ascii="宋体" w:hAnsi="宋体" w:eastAsia="宋体" w:cs="宋体"/>
                <w:b/>
                <w:bCs/>
                <w:szCs w:val="21"/>
              </w:rPr>
            </w:pPr>
            <w:r>
              <w:rPr>
                <w:rFonts w:hint="eastAsia" w:ascii="宋体" w:hAnsi="宋体" w:eastAsia="宋体" w:cs="宋体"/>
                <w:b/>
                <w:bCs/>
                <w:szCs w:val="21"/>
              </w:rPr>
              <w:t>监狱企业、残疾人福利性单位视同小型、微型企业，享受价格扣除。</w:t>
            </w:r>
          </w:p>
          <w:p>
            <w:pPr>
              <w:pStyle w:val="27"/>
              <w:spacing w:line="360" w:lineRule="auto"/>
              <w:rPr>
                <w:rFonts w:hAnsi="宋体" w:eastAsia="宋体" w:cs="宋体"/>
              </w:rPr>
            </w:pPr>
            <w:r>
              <w:rPr>
                <w:rFonts w:hint="eastAsia" w:hAnsi="宋体" w:eastAsia="宋体" w:cs="宋体"/>
                <w:b/>
                <w:bCs/>
                <w:szCs w:val="21"/>
              </w:rPr>
              <w:t>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4" w:hRule="atLeast"/>
          <w:jc w:val="center"/>
        </w:trPr>
        <w:tc>
          <w:tcPr>
            <w:tcW w:w="645"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28</w:t>
            </w:r>
          </w:p>
        </w:tc>
        <w:tc>
          <w:tcPr>
            <w:tcW w:w="1920"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szCs w:val="21"/>
              </w:rPr>
              <w:t>信用记录</w:t>
            </w:r>
          </w:p>
        </w:tc>
        <w:tc>
          <w:tcPr>
            <w:tcW w:w="7190" w:type="dxa"/>
            <w:vAlign w:val="center"/>
          </w:tcPr>
          <w:p>
            <w:pPr>
              <w:widowControl/>
              <w:spacing w:line="360" w:lineRule="auto"/>
              <w:rPr>
                <w:rFonts w:ascii="宋体" w:hAnsi="宋体" w:eastAsia="宋体" w:cs="宋体"/>
                <w:szCs w:val="21"/>
              </w:rPr>
            </w:pPr>
            <w:r>
              <w:rPr>
                <w:rFonts w:hint="eastAsia" w:ascii="宋体" w:hAnsi="宋体" w:eastAsia="宋体" w:cs="宋体"/>
                <w:szCs w:val="21"/>
              </w:rPr>
              <w:t>根据《关于在政府采购活动中查询及使用信用记录有关问题的通知》财库[2016]125号的规定：</w:t>
            </w:r>
          </w:p>
          <w:p>
            <w:pPr>
              <w:widowControl/>
              <w:spacing w:line="360" w:lineRule="auto"/>
              <w:rPr>
                <w:rFonts w:ascii="宋体" w:hAnsi="宋体" w:eastAsia="宋体" w:cs="宋体"/>
                <w:szCs w:val="21"/>
              </w:rPr>
            </w:pPr>
            <w:r>
              <w:rPr>
                <w:rFonts w:hint="eastAsia" w:ascii="宋体" w:hAnsi="宋体" w:eastAsia="宋体" w:cs="宋体"/>
                <w:szCs w:val="21"/>
              </w:rPr>
              <w:t>1）采购人或采购代理机构将对本项目供应商的信用记录进行查询。查询渠道与留存方式：招标采购单位登录“信用中国”（www.creditchina.gov.cn）、“中国政府采购网”（www.ccgp.gov.cn）网站查询各磋商供应商信用记录，网页截图并打印存档。</w:t>
            </w:r>
          </w:p>
          <w:p>
            <w:pPr>
              <w:widowControl/>
              <w:spacing w:line="360" w:lineRule="auto"/>
              <w:rPr>
                <w:rFonts w:ascii="宋体" w:hAnsi="宋体" w:eastAsia="宋体" w:cs="宋体"/>
                <w:szCs w:val="21"/>
              </w:rPr>
            </w:pPr>
            <w:r>
              <w:rPr>
                <w:rFonts w:hint="eastAsia" w:ascii="宋体" w:hAnsi="宋体" w:eastAsia="宋体" w:cs="宋体"/>
                <w:szCs w:val="21"/>
              </w:rPr>
              <w:t>2）截止时点：提交响应文件（响应文件）截止时间前3年内；</w:t>
            </w:r>
          </w:p>
          <w:p>
            <w:pPr>
              <w:widowControl/>
              <w:spacing w:line="360" w:lineRule="auto"/>
              <w:rPr>
                <w:rFonts w:ascii="宋体" w:hAnsi="宋体" w:eastAsia="宋体" w:cs="宋体"/>
                <w:szCs w:val="21"/>
              </w:rPr>
            </w:pPr>
            <w:r>
              <w:rPr>
                <w:rFonts w:hint="eastAsia" w:ascii="宋体" w:hAnsi="宋体" w:eastAsia="宋体" w:cs="宋体"/>
                <w:szCs w:val="21"/>
              </w:rPr>
              <w:t>3）查询记录和证据的留存：信用信息查询记录和证据以网页截图等方式留存。</w:t>
            </w:r>
          </w:p>
          <w:p>
            <w:pPr>
              <w:widowControl/>
              <w:spacing w:line="360" w:lineRule="auto"/>
              <w:rPr>
                <w:rFonts w:ascii="宋体" w:hAnsi="宋体" w:eastAsia="宋体" w:cs="宋体"/>
                <w:szCs w:val="21"/>
              </w:rPr>
            </w:pPr>
            <w:r>
              <w:rPr>
                <w:rFonts w:hint="eastAsia" w:ascii="宋体" w:hAnsi="宋体" w:eastAsia="宋体" w:cs="宋体"/>
                <w:szCs w:val="21"/>
              </w:rPr>
              <w:t>4）使用规则：被列入失信被执行人、重大税收违法案件当事人名单、政府采购严重违法失信行为记录名单及其它不符合《中华人民共和国政府采购法》第二十二条规定条件的，其投标将被拒绝。</w:t>
            </w:r>
          </w:p>
          <w:p>
            <w:pPr>
              <w:widowControl/>
              <w:spacing w:line="360" w:lineRule="auto"/>
              <w:rPr>
                <w:rFonts w:ascii="宋体" w:hAnsi="宋体" w:eastAsia="宋体" w:cs="宋体"/>
                <w:szCs w:val="21"/>
              </w:rPr>
            </w:pPr>
            <w:r>
              <w:rPr>
                <w:rFonts w:hint="eastAsia" w:ascii="宋体" w:hAnsi="宋体" w:eastAsia="宋体" w:cs="宋体"/>
                <w:szCs w:val="21"/>
              </w:rPr>
              <w:t>5）联合体成员任意一方存在不良信用记录的，视同联合体存在不良信用记录。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64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29</w:t>
            </w:r>
          </w:p>
        </w:tc>
        <w:tc>
          <w:tcPr>
            <w:tcW w:w="1920" w:type="dxa"/>
            <w:vAlign w:val="center"/>
          </w:tcPr>
          <w:p>
            <w:pPr>
              <w:bidi w:val="0"/>
              <w:jc w:val="center"/>
            </w:pPr>
            <w:r>
              <w:rPr>
                <w:rFonts w:hint="eastAsia"/>
              </w:rPr>
              <w:t>诚信履约管理</w:t>
            </w:r>
          </w:p>
        </w:tc>
        <w:tc>
          <w:tcPr>
            <w:tcW w:w="7190" w:type="dxa"/>
            <w:vAlign w:val="center"/>
          </w:tcPr>
          <w:p>
            <w:pPr>
              <w:bidi w:val="0"/>
            </w:pPr>
            <w:r>
              <w:rPr>
                <w:rFonts w:hint="eastAsia"/>
              </w:rPr>
              <w:t>合同签订后，采购人依法加强对合同履约进行管理。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8" w:hRule="atLeast"/>
          <w:jc w:val="center"/>
        </w:trPr>
        <w:tc>
          <w:tcPr>
            <w:tcW w:w="64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30</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解释权</w:t>
            </w:r>
          </w:p>
        </w:tc>
        <w:tc>
          <w:tcPr>
            <w:tcW w:w="7190" w:type="dxa"/>
            <w:vAlign w:val="center"/>
          </w:tcPr>
          <w:p>
            <w:pPr>
              <w:spacing w:line="360" w:lineRule="auto"/>
              <w:rPr>
                <w:rFonts w:ascii="宋体" w:hAnsi="宋体" w:eastAsia="宋体" w:cs="宋体"/>
                <w:szCs w:val="21"/>
              </w:rPr>
            </w:pPr>
            <w:r>
              <w:rPr>
                <w:rFonts w:hint="eastAsia" w:ascii="宋体" w:hAnsi="宋体" w:eastAsia="宋体" w:cs="宋体"/>
                <w:szCs w:val="21"/>
              </w:rPr>
              <w:t>构成本磋商文件的各个组成文件应互为解释，互为说明；如有不明确或不一致，构成合同文件组成内容的，以合同文件约定内容为准；仅适用于磋商阶段的约定，按竞争性磋商公告、磋商供应商须知、评定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31</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 xml:space="preserve">合同管理                                                                                                                                                                                                                                                                                                                                                                                                                                                                                                                                                                                                                                                                                                                                                                                                                                                                                                                                                                                                                                                                                                                                                                                                                                                                                                                                                                                                                                                                                                                                                                                                                                                                                                                                                                                                                                                                                                                                                                                                                                                                                                                                                                                                                                                                                                                                                                                                                                                                                                                                                                                                                                      </w:t>
            </w:r>
          </w:p>
        </w:tc>
        <w:tc>
          <w:tcPr>
            <w:tcW w:w="7190" w:type="dxa"/>
            <w:vAlign w:val="center"/>
          </w:tcPr>
          <w:p>
            <w:pPr>
              <w:spacing w:line="360" w:lineRule="auto"/>
              <w:rPr>
                <w:rFonts w:ascii="宋体" w:hAnsi="宋体" w:cs="宋体"/>
                <w:szCs w:val="21"/>
              </w:rPr>
            </w:pPr>
            <w:r>
              <w:rPr>
                <w:rFonts w:hint="eastAsia" w:ascii="宋体" w:hAnsi="宋体" w:cs="宋体"/>
                <w:szCs w:val="21"/>
              </w:rPr>
              <w:t>1.成交供应商与采购人签订合同后,两个工作日内将合同原件交给浙江综盛项目管理有限公司备案。</w:t>
            </w:r>
          </w:p>
          <w:p>
            <w:pPr>
              <w:spacing w:line="360" w:lineRule="auto"/>
              <w:rPr>
                <w:rFonts w:ascii="宋体" w:hAnsi="宋体" w:eastAsia="宋体" w:cs="宋体"/>
                <w:b/>
                <w:szCs w:val="21"/>
              </w:rPr>
            </w:pPr>
            <w:r>
              <w:rPr>
                <w:rFonts w:hint="eastAsia" w:ascii="宋体" w:hAnsi="宋体" w:cs="宋体"/>
                <w:szCs w:val="21"/>
              </w:rPr>
              <w:t>2.采购人在合同签订后两个工作日内要及时向财政监督管理部门申请备案。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32</w:t>
            </w:r>
          </w:p>
        </w:tc>
        <w:tc>
          <w:tcPr>
            <w:tcW w:w="1920" w:type="dxa"/>
            <w:vAlign w:val="center"/>
          </w:tcPr>
          <w:p>
            <w:pPr>
              <w:bidi w:val="0"/>
              <w:jc w:val="center"/>
              <w:rPr>
                <w:rFonts w:ascii="宋体" w:hAnsi="宋体" w:eastAsia="宋体" w:cs="宋体"/>
                <w:szCs w:val="21"/>
              </w:rPr>
            </w:pPr>
            <w:r>
              <w:rPr>
                <w:rFonts w:hint="eastAsia"/>
              </w:rPr>
              <w:t>邮箱</w:t>
            </w:r>
          </w:p>
        </w:tc>
        <w:tc>
          <w:tcPr>
            <w:tcW w:w="7190" w:type="dxa"/>
            <w:vAlign w:val="center"/>
          </w:tcPr>
          <w:p>
            <w:pPr>
              <w:bidi w:val="0"/>
              <w:jc w:val="left"/>
              <w:rPr>
                <w:rFonts w:ascii="宋体" w:hAnsi="宋体" w:cs="宋体"/>
                <w:szCs w:val="21"/>
              </w:rPr>
            </w:pPr>
            <w:r>
              <w:rPr>
                <w:rFonts w:hint="eastAsia"/>
              </w:rPr>
              <w:t>本磋商文件所提到的代理机构邮箱皆为984865308@qq.com。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33</w:t>
            </w:r>
          </w:p>
        </w:tc>
        <w:tc>
          <w:tcPr>
            <w:tcW w:w="19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c>
          <w:tcPr>
            <w:tcW w:w="7190" w:type="dxa"/>
            <w:vAlign w:val="center"/>
          </w:tcPr>
          <w:p>
            <w:pPr>
              <w:numPr>
                <w:ilvl w:val="0"/>
                <w:numId w:val="9"/>
              </w:numPr>
              <w:spacing w:line="360" w:lineRule="auto"/>
              <w:rPr>
                <w:rFonts w:ascii="宋体" w:hAnsi="宋体" w:cs="宋体"/>
                <w:szCs w:val="21"/>
              </w:rPr>
            </w:pPr>
            <w:r>
              <w:rPr>
                <w:rFonts w:hint="eastAsia" w:ascii="宋体" w:hAnsi="宋体" w:cs="宋体"/>
                <w:szCs w:val="21"/>
              </w:rPr>
              <w:t>请务必确保投标文件制作客户端为最新版本，旧版本可能导致磋商响应文件解密失败。</w:t>
            </w:r>
          </w:p>
          <w:p>
            <w:pPr>
              <w:numPr>
                <w:ilvl w:val="0"/>
                <w:numId w:val="9"/>
              </w:numPr>
              <w:spacing w:line="360" w:lineRule="auto"/>
              <w:rPr>
                <w:rFonts w:ascii="宋体" w:hAnsi="宋体" w:cs="宋体"/>
                <w:szCs w:val="21"/>
              </w:rPr>
            </w:pPr>
            <w:r>
              <w:rPr>
                <w:rFonts w:hint="eastAsia" w:ascii="宋体" w:hAnsi="宋体" w:cs="宋体"/>
                <w:szCs w:val="21"/>
              </w:rPr>
              <w:t>请务必确保响应文件制作时所用的 CA 锁与响应文件解密时的 CA 锁为同一把，否则可能导致响应文件解密失败。</w:t>
            </w:r>
          </w:p>
          <w:p>
            <w:pPr>
              <w:numPr>
                <w:ilvl w:val="0"/>
                <w:numId w:val="9"/>
              </w:numPr>
              <w:spacing w:line="360" w:lineRule="auto"/>
              <w:rPr>
                <w:rFonts w:ascii="宋体" w:hAnsi="宋体" w:cs="宋体"/>
                <w:szCs w:val="21"/>
              </w:rPr>
            </w:pPr>
            <w:r>
              <w:rPr>
                <w:rFonts w:hint="eastAsia" w:ascii="宋体" w:hAnsi="宋体" w:cs="宋体"/>
                <w:szCs w:val="21"/>
              </w:rPr>
              <w:t>在磋商响应文件解密前，请务必检验 CA 锁与所用电脑的兼容性，部分电脑因 CA 驱动未正常安装、USB 接口兼容性差等原因可能造成响应文件解密失败。</w:t>
            </w:r>
          </w:p>
          <w:p>
            <w:pPr>
              <w:numPr>
                <w:ilvl w:val="0"/>
                <w:numId w:val="9"/>
              </w:numPr>
              <w:spacing w:line="360" w:lineRule="auto"/>
              <w:rPr>
                <w:rFonts w:ascii="宋体" w:hAnsi="宋体" w:cs="宋体"/>
                <w:szCs w:val="21"/>
              </w:rPr>
            </w:pPr>
            <w:r>
              <w:rPr>
                <w:rFonts w:hint="eastAsia" w:ascii="宋体" w:hAnsi="宋体" w:cs="宋体"/>
                <w:szCs w:val="21"/>
              </w:rPr>
              <w:t>供应商未按照采购文件规定及提醒操作的，引起一切后果由供应商自行负责。</w:t>
            </w:r>
          </w:p>
          <w:p>
            <w:pPr>
              <w:numPr>
                <w:ilvl w:val="0"/>
                <w:numId w:val="9"/>
              </w:numPr>
              <w:spacing w:line="360" w:lineRule="auto"/>
              <w:rPr>
                <w:rFonts w:ascii="宋体" w:hAnsi="宋体" w:cs="宋体"/>
                <w:szCs w:val="21"/>
              </w:rPr>
            </w:pPr>
            <w:r>
              <w:rPr>
                <w:rFonts w:hint="eastAsia" w:ascii="宋体" w:hAnsi="宋体" w:cs="宋体"/>
                <w:szCs w:val="21"/>
              </w:rPr>
              <w:t>成交供应商在领取成交通知书时需提供全套纸质磋商响应文件一正三副共4份。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34</w:t>
            </w:r>
          </w:p>
        </w:tc>
        <w:tc>
          <w:tcPr>
            <w:tcW w:w="1920" w:type="dxa"/>
            <w:vAlign w:val="center"/>
          </w:tcPr>
          <w:p>
            <w:pPr>
              <w:bidi w:val="0"/>
              <w:jc w:val="center"/>
            </w:pPr>
            <w:r>
              <w:rPr>
                <w:rFonts w:hint="eastAsia"/>
              </w:rPr>
              <w:t>环保节能政策</w:t>
            </w:r>
          </w:p>
        </w:tc>
        <w:tc>
          <w:tcPr>
            <w:tcW w:w="7190" w:type="dxa"/>
            <w:vAlign w:val="center"/>
          </w:tcPr>
          <w:p>
            <w:pPr>
              <w:spacing w:line="360" w:lineRule="auto"/>
            </w:pPr>
            <w:r>
              <w:rPr>
                <w:rFonts w:hint="eastAsia"/>
              </w:rPr>
              <w:t>☑ 适用</w:t>
            </w:r>
          </w:p>
          <w:p>
            <w:pPr>
              <w:spacing w:line="360" w:lineRule="auto"/>
            </w:pPr>
            <w:r>
              <w:rPr>
                <w:rFonts w:hint="eastAsia"/>
              </w:rPr>
              <w:t>□ 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bidi w:val="0"/>
              <w:jc w:val="center"/>
              <w:rPr>
                <w:rFonts w:hint="default"/>
                <w:lang w:val="en-US" w:eastAsia="zh-CN"/>
              </w:rPr>
            </w:pPr>
            <w:bookmarkStart w:id="96" w:name="_Toc28"/>
            <w:bookmarkStart w:id="97" w:name="_Toc51335243"/>
            <w:bookmarkStart w:id="98" w:name="_Toc65250512"/>
            <w:bookmarkStart w:id="99" w:name="_Toc38808094"/>
            <w:r>
              <w:rPr>
                <w:rFonts w:hint="eastAsia"/>
                <w:lang w:val="en-US" w:eastAsia="zh-CN"/>
              </w:rPr>
              <w:t>35</w:t>
            </w:r>
          </w:p>
        </w:tc>
        <w:tc>
          <w:tcPr>
            <w:tcW w:w="1920" w:type="dxa"/>
            <w:vAlign w:val="center"/>
          </w:tcPr>
          <w:p>
            <w:pPr>
              <w:bidi w:val="0"/>
              <w:jc w:val="center"/>
              <w:rPr>
                <w:rFonts w:hint="eastAsia"/>
                <w:lang w:val="en-US" w:eastAsia="zh-CN"/>
              </w:rPr>
            </w:pPr>
            <w:r>
              <w:rPr>
                <w:rFonts w:hint="eastAsia"/>
                <w:lang w:val="en-US" w:eastAsia="zh-CN"/>
              </w:rPr>
              <w:t>核心产品</w:t>
            </w:r>
          </w:p>
        </w:tc>
        <w:tc>
          <w:tcPr>
            <w:tcW w:w="7190" w:type="dxa"/>
            <w:vAlign w:val="center"/>
          </w:tcPr>
          <w:p>
            <w:pPr>
              <w:bidi w:val="0"/>
              <w:spacing w:line="360" w:lineRule="auto"/>
              <w:jc w:val="left"/>
              <w:rPr>
                <w:rFonts w:hint="default"/>
                <w:lang w:val="en-US" w:eastAsia="zh-CN"/>
              </w:rPr>
            </w:pPr>
            <w:r>
              <w:rPr>
                <w:rFonts w:hint="eastAsia"/>
                <w:lang w:val="en-US" w:eastAsia="zh-CN"/>
              </w:rPr>
              <w:t>本次货物采购核心产品为：手提式无人机侦测定位设备、多用途大功率无人机反制设备、穿越机反制设备、便携式无人机侦测反制设备、无人机侦测反制设备管控平台、网络（4G/5G专网卡）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bidi w:val="0"/>
              <w:jc w:val="center"/>
              <w:rPr>
                <w:rFonts w:hint="default"/>
                <w:lang w:val="en-US" w:eastAsia="zh-CN"/>
              </w:rPr>
            </w:pPr>
            <w:r>
              <w:rPr>
                <w:rFonts w:hint="eastAsia"/>
                <w:lang w:val="en-US" w:eastAsia="zh-CN"/>
              </w:rPr>
              <w:t>36</w:t>
            </w:r>
          </w:p>
        </w:tc>
        <w:tc>
          <w:tcPr>
            <w:tcW w:w="1920" w:type="dxa"/>
            <w:vAlign w:val="center"/>
          </w:tcPr>
          <w:p>
            <w:pPr>
              <w:bidi w:val="0"/>
              <w:jc w:val="center"/>
              <w:rPr>
                <w:rFonts w:hint="default"/>
                <w:lang w:val="en-US" w:eastAsia="zh-CN"/>
              </w:rPr>
            </w:pPr>
            <w:r>
              <w:rPr>
                <w:rFonts w:hint="eastAsia"/>
                <w:lang w:val="en-US" w:eastAsia="zh-CN"/>
              </w:rPr>
              <w:t>视频演示</w:t>
            </w:r>
          </w:p>
        </w:tc>
        <w:tc>
          <w:tcPr>
            <w:tcW w:w="7190" w:type="dxa"/>
            <w:vAlign w:val="center"/>
          </w:tcPr>
          <w:p>
            <w:pPr>
              <w:spacing w:line="360" w:lineRule="auto"/>
              <w:rPr>
                <w:rFonts w:hint="default" w:eastAsiaTheme="minorEastAsia"/>
                <w:b/>
                <w:bCs/>
                <w:lang w:val="en-US" w:eastAsia="zh-CN"/>
              </w:rPr>
            </w:pPr>
            <w:r>
              <w:rPr>
                <w:rFonts w:hint="eastAsia"/>
                <w:lang w:eastAsia="zh-CN"/>
              </w:rPr>
              <w:t>☑</w:t>
            </w:r>
            <w:r>
              <w:rPr>
                <w:rFonts w:hint="eastAsia"/>
              </w:rPr>
              <w:t xml:space="preserve"> </w:t>
            </w:r>
            <w:r>
              <w:rPr>
                <w:rFonts w:hint="eastAsia"/>
                <w:lang w:val="en-US" w:eastAsia="zh-CN"/>
              </w:rPr>
              <w:t>需要：</w:t>
            </w:r>
            <w:r>
              <w:rPr>
                <w:rFonts w:hint="eastAsia"/>
                <w:b/>
                <w:bCs/>
                <w:lang w:val="en-US" w:eastAsia="zh-CN"/>
              </w:rPr>
              <w:t>演示要求详见第三部分竞争性磋商内容及要求。</w:t>
            </w:r>
          </w:p>
          <w:p>
            <w:pPr>
              <w:bidi w:val="0"/>
              <w:spacing w:line="360" w:lineRule="auto"/>
              <w:jc w:val="left"/>
              <w:rPr>
                <w:rFonts w:hint="eastAsia" w:eastAsiaTheme="minorEastAsia"/>
                <w:lang w:val="en-US" w:eastAsia="zh-CN"/>
              </w:rPr>
            </w:pPr>
            <w:r>
              <w:rPr>
                <w:rFonts w:hint="eastAsia"/>
              </w:rPr>
              <w:t>□ 不</w:t>
            </w:r>
            <w:r>
              <w:rPr>
                <w:rFonts w:hint="eastAsia"/>
                <w:lang w:val="en-US" w:eastAsia="zh-CN"/>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bidi w:val="0"/>
              <w:jc w:val="center"/>
              <w:rPr>
                <w:rFonts w:hint="default"/>
                <w:lang w:val="en-US" w:eastAsia="zh-CN"/>
              </w:rPr>
            </w:pPr>
            <w:r>
              <w:rPr>
                <w:rFonts w:hint="eastAsia"/>
                <w:lang w:val="en-US" w:eastAsia="zh-CN"/>
              </w:rPr>
              <w:t>37</w:t>
            </w:r>
          </w:p>
        </w:tc>
        <w:tc>
          <w:tcPr>
            <w:tcW w:w="1920" w:type="dxa"/>
            <w:vAlign w:val="center"/>
          </w:tcPr>
          <w:p>
            <w:pPr>
              <w:bidi w:val="0"/>
              <w:jc w:val="center"/>
              <w:rPr>
                <w:rFonts w:hint="default"/>
                <w:lang w:val="en-US" w:eastAsia="zh-CN"/>
              </w:rPr>
            </w:pPr>
            <w:r>
              <w:rPr>
                <w:rFonts w:hint="eastAsia"/>
                <w:lang w:val="en-US" w:eastAsia="zh-CN"/>
              </w:rPr>
              <w:t>进口产品</w:t>
            </w:r>
          </w:p>
        </w:tc>
        <w:tc>
          <w:tcPr>
            <w:tcW w:w="7190" w:type="dxa"/>
            <w:vAlign w:val="center"/>
          </w:tcPr>
          <w:p>
            <w:pPr>
              <w:spacing w:line="360" w:lineRule="auto"/>
              <w:rPr>
                <w:rFonts w:hint="default" w:eastAsiaTheme="minorEastAsia"/>
                <w:lang w:val="en-US" w:eastAsia="zh-CN"/>
              </w:rPr>
            </w:pPr>
            <w:r>
              <w:rPr>
                <w:rFonts w:hint="eastAsia"/>
                <w:lang w:eastAsia="zh-CN"/>
              </w:rPr>
              <w:t>□</w:t>
            </w:r>
            <w:r>
              <w:rPr>
                <w:rFonts w:hint="eastAsia"/>
              </w:rPr>
              <w:t xml:space="preserve"> </w:t>
            </w:r>
            <w:r>
              <w:rPr>
                <w:rFonts w:hint="eastAsia"/>
                <w:lang w:val="en-US" w:eastAsia="zh-CN"/>
              </w:rPr>
              <w:t>核心产品可采购进口产品</w:t>
            </w:r>
          </w:p>
          <w:p>
            <w:pPr>
              <w:bidi w:val="0"/>
              <w:spacing w:line="360" w:lineRule="auto"/>
              <w:jc w:val="left"/>
              <w:rPr>
                <w:rFonts w:hint="default" w:eastAsiaTheme="minorEastAsia"/>
                <w:lang w:val="en-US" w:eastAsia="zh-CN"/>
              </w:rPr>
            </w:pPr>
            <w:r>
              <w:rPr>
                <w:rFonts w:hint="eastAsia"/>
                <w:lang w:eastAsia="zh-CN"/>
              </w:rPr>
              <w:t>☑</w:t>
            </w:r>
            <w:r>
              <w:rPr>
                <w:rFonts w:hint="eastAsia"/>
              </w:rPr>
              <w:t xml:space="preserve"> </w:t>
            </w:r>
            <w:r>
              <w:rPr>
                <w:rFonts w:hint="eastAsia"/>
                <w:lang w:val="en-US" w:eastAsia="zh-CN"/>
              </w:rPr>
              <w:t>不可采购进口产品</w:t>
            </w:r>
          </w:p>
        </w:tc>
      </w:tr>
    </w:tbl>
    <w:p>
      <w:pPr>
        <w:pageBreakBefore/>
        <w:tabs>
          <w:tab w:val="left" w:pos="840"/>
        </w:tabs>
        <w:spacing w:before="240" w:beforeLines="100" w:after="240" w:afterLines="100"/>
        <w:jc w:val="center"/>
        <w:outlineLvl w:val="3"/>
        <w:rPr>
          <w:rFonts w:hAnsi="宋体"/>
          <w:sz w:val="28"/>
          <w:szCs w:val="36"/>
        </w:rPr>
      </w:pPr>
      <w:r>
        <w:rPr>
          <w:rFonts w:hint="eastAsia" w:hAnsi="宋体"/>
          <w:b/>
          <w:bCs/>
          <w:sz w:val="28"/>
          <w:szCs w:val="36"/>
        </w:rPr>
        <w:t>政府采购活动现场确认声明书</w:t>
      </w:r>
      <w:bookmarkEnd w:id="96"/>
      <w:bookmarkEnd w:id="97"/>
      <w:bookmarkEnd w:id="98"/>
      <w:bookmarkEnd w:id="99"/>
    </w:p>
    <w:p>
      <w:pPr>
        <w:pStyle w:val="31"/>
        <w:snapToGrid w:val="0"/>
        <w:spacing w:line="500" w:lineRule="exact"/>
        <w:rPr>
          <w:rFonts w:hint="default" w:hAnsi="宋体" w:cs="宋体"/>
          <w:b/>
          <w:szCs w:val="21"/>
        </w:rPr>
      </w:pPr>
      <w:r>
        <w:rPr>
          <w:rFonts w:hAnsi="宋体" w:cs="宋体"/>
          <w:kern w:val="0"/>
          <w:szCs w:val="21"/>
          <w:u w:val="single"/>
        </w:rPr>
        <w:t>浙江综盛项目管理有限公司</w:t>
      </w:r>
      <w:r>
        <w:rPr>
          <w:rFonts w:hAnsi="宋体" w:cs="宋体"/>
          <w:kern w:val="0"/>
          <w:szCs w:val="21"/>
        </w:rPr>
        <w:t>（采购组织机构名称）：</w:t>
      </w:r>
    </w:p>
    <w:p>
      <w:pPr>
        <w:pStyle w:val="31"/>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w:t>
      </w:r>
      <w:r>
        <w:rPr>
          <w:rFonts w:hAnsi="宋体" w:cs="宋体"/>
          <w:spacing w:val="6"/>
          <w:szCs w:val="21"/>
        </w:rPr>
        <w:t>（授权代表姓名），经由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w:t>
      </w:r>
      <w:r>
        <w:rPr>
          <w:rFonts w:hAnsi="宋体" w:cs="宋体"/>
          <w:spacing w:val="6"/>
          <w:szCs w:val="21"/>
        </w:rPr>
        <w:t>（法定代表人）合法授权参加</w:t>
      </w:r>
      <w:r>
        <w:rPr>
          <w:rFonts w:hAnsi="宋体" w:cs="宋体"/>
          <w:spacing w:val="6"/>
          <w:szCs w:val="21"/>
          <w:u w:val="single"/>
        </w:rPr>
        <w:t xml:space="preserve">          </w:t>
      </w:r>
      <w:r>
        <w:rPr>
          <w:rFonts w:hAnsi="宋体" w:cs="宋体"/>
          <w:spacing w:val="6"/>
          <w:szCs w:val="21"/>
        </w:rPr>
        <w:t>（编号：</w:t>
      </w:r>
      <w:r>
        <w:rPr>
          <w:rFonts w:hAnsi="宋体" w:cs="宋体"/>
          <w:spacing w:val="6"/>
          <w:szCs w:val="21"/>
          <w:u w:val="single"/>
        </w:rPr>
        <w:t xml:space="preserve">      </w:t>
      </w:r>
      <w:r>
        <w:rPr>
          <w:rFonts w:hAnsi="宋体" w:cs="宋体"/>
          <w:spacing w:val="6"/>
          <w:szCs w:val="21"/>
        </w:rPr>
        <w:t xml:space="preserve">）政府采购活动，经与本单位法人代表（负责人）联系确认，现就有关公平竞争事项郑重声明如下： </w:t>
      </w:r>
    </w:p>
    <w:p>
      <w:pPr>
        <w:pStyle w:val="32"/>
        <w:widowControl/>
        <w:snapToGrid w:val="0"/>
        <w:spacing w:line="460" w:lineRule="exact"/>
        <w:ind w:firstLine="420" w:firstLineChars="200"/>
        <w:rPr>
          <w:rFonts w:hint="default" w:ascii="宋体" w:hAnsi="宋体" w:cs="宋体"/>
          <w:kern w:val="0"/>
          <w:szCs w:val="21"/>
        </w:rPr>
      </w:pPr>
      <w:r>
        <w:rPr>
          <w:rFonts w:ascii="宋体" w:hAnsi="宋体" w:cs="宋体"/>
          <w:kern w:val="0"/>
          <w:szCs w:val="21"/>
        </w:rPr>
        <w:t>一、本单位与采购人之间 □不存在利害关系□存在下列利害关系</w:t>
      </w:r>
      <w:r>
        <w:rPr>
          <w:rFonts w:ascii="宋体" w:hAnsi="宋体" w:cs="宋体"/>
          <w:kern w:val="0"/>
          <w:szCs w:val="21"/>
          <w:u w:val="single"/>
        </w:rPr>
        <w:t xml:space="preserve">           </w:t>
      </w:r>
      <w:r>
        <w:rPr>
          <w:rFonts w:ascii="宋体" w:hAnsi="宋体" w:cs="宋体"/>
          <w:kern w:val="0"/>
          <w:szCs w:val="21"/>
        </w:rPr>
        <w:t>：</w:t>
      </w:r>
    </w:p>
    <w:p>
      <w:pPr>
        <w:pStyle w:val="32"/>
        <w:widowControl/>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32"/>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32"/>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31"/>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pPr>
        <w:pStyle w:val="31"/>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pPr>
        <w:pStyle w:val="31"/>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pPr>
        <w:pStyle w:val="31"/>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pPr>
        <w:pStyle w:val="31"/>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pPr>
        <w:pStyle w:val="31"/>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pPr>
        <w:pStyle w:val="31"/>
        <w:snapToGrid w:val="0"/>
        <w:spacing w:line="460" w:lineRule="exact"/>
        <w:rPr>
          <w:rFonts w:hint="default" w:hAnsi="宋体" w:cs="宋体"/>
          <w:kern w:val="0"/>
          <w:szCs w:val="21"/>
        </w:rPr>
      </w:pPr>
      <w:r>
        <w:rPr>
          <w:rFonts w:hAnsi="宋体" w:cs="宋体"/>
          <w:kern w:val="0"/>
          <w:szCs w:val="21"/>
        </w:rPr>
        <w:t xml:space="preserve">  </w:t>
      </w:r>
      <w:bookmarkStart w:id="100" w:name="_Toc15012"/>
      <w:bookmarkStart w:id="101" w:name="_Toc12033"/>
      <w:bookmarkStart w:id="102" w:name="_Toc9069"/>
      <w:bookmarkStart w:id="103" w:name="_Toc5689"/>
      <w:bookmarkStart w:id="104" w:name="_Toc25645"/>
      <w:r>
        <w:rPr>
          <w:rFonts w:hAnsi="宋体" w:cs="宋体"/>
          <w:kern w:val="0"/>
          <w:szCs w:val="21"/>
        </w:rPr>
        <w:t>G.存在共同直接或间接投资设立子公司、联营企业和合营企业情况</w:t>
      </w:r>
      <w:bookmarkEnd w:id="100"/>
      <w:bookmarkEnd w:id="101"/>
      <w:bookmarkEnd w:id="102"/>
      <w:bookmarkEnd w:id="103"/>
      <w:bookmarkEnd w:id="104"/>
    </w:p>
    <w:p>
      <w:pPr>
        <w:pStyle w:val="31"/>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pPr>
        <w:pStyle w:val="31"/>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pPr>
        <w:pStyle w:val="32"/>
        <w:widowControl/>
        <w:numPr>
          <w:ilvl w:val="0"/>
          <w:numId w:val="10"/>
        </w:numPr>
        <w:snapToGrid w:val="0"/>
        <w:spacing w:line="460" w:lineRule="exact"/>
        <w:ind w:firstLine="396" w:firstLineChars="189"/>
        <w:outlineLvl w:val="2"/>
        <w:rPr>
          <w:rFonts w:hint="default" w:ascii="宋体" w:hAnsi="宋体" w:cs="宋体"/>
          <w:kern w:val="0"/>
          <w:szCs w:val="21"/>
        </w:rPr>
      </w:pPr>
      <w:bookmarkStart w:id="105" w:name="_Toc11145"/>
      <w:bookmarkStart w:id="106" w:name="_Toc8183"/>
      <w:bookmarkStart w:id="107" w:name="_Toc20581"/>
      <w:bookmarkStart w:id="108" w:name="_Toc5562"/>
      <w:r>
        <w:rPr>
          <w:rFonts w:ascii="宋体" w:hAnsi="宋体" w:cs="宋体"/>
          <w:szCs w:val="21"/>
        </w:rPr>
        <w:t>现已清楚知道并</w:t>
      </w:r>
      <w:r>
        <w:rPr>
          <w:rFonts w:ascii="宋体" w:hAnsi="宋体" w:cs="宋体"/>
          <w:kern w:val="0"/>
          <w:szCs w:val="21"/>
        </w:rPr>
        <w:t>严格遵守政府采购法律法规和现场纪律。</w:t>
      </w:r>
      <w:bookmarkEnd w:id="105"/>
      <w:bookmarkEnd w:id="106"/>
      <w:bookmarkEnd w:id="107"/>
      <w:bookmarkEnd w:id="108"/>
    </w:p>
    <w:p>
      <w:pPr>
        <w:pStyle w:val="32"/>
        <w:widowControl/>
        <w:numPr>
          <w:ilvl w:val="0"/>
          <w:numId w:val="10"/>
        </w:numPr>
        <w:snapToGrid w:val="0"/>
        <w:spacing w:line="460" w:lineRule="exact"/>
        <w:ind w:firstLine="396" w:firstLineChars="189"/>
        <w:rPr>
          <w:rFonts w:hint="default" w:ascii="宋体" w:hAnsi="宋体" w:cs="宋体"/>
          <w:kern w:val="0"/>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31"/>
        <w:snapToGrid w:val="0"/>
        <w:spacing w:line="500" w:lineRule="exact"/>
        <w:ind w:firstLine="420" w:firstLineChars="200"/>
        <w:rPr>
          <w:rFonts w:hint="default" w:hAnsi="宋体" w:cs="宋体"/>
          <w:szCs w:val="21"/>
        </w:rPr>
      </w:pPr>
      <w:r>
        <w:rPr>
          <w:rFonts w:hAnsi="宋体" w:cs="宋体"/>
          <w:szCs w:val="21"/>
        </w:rPr>
        <w:t xml:space="preserve">                                          </w:t>
      </w:r>
    </w:p>
    <w:p>
      <w:pPr>
        <w:pStyle w:val="31"/>
        <w:wordWrap w:val="0"/>
        <w:snapToGrid w:val="0"/>
        <w:spacing w:line="500" w:lineRule="exact"/>
        <w:ind w:firstLine="420" w:firstLineChars="200"/>
        <w:jc w:val="right"/>
        <w:rPr>
          <w:rFonts w:hint="default" w:hAnsi="宋体" w:cs="宋体"/>
          <w:szCs w:val="21"/>
        </w:rPr>
      </w:pPr>
      <w:r>
        <w:rPr>
          <w:rFonts w:hAnsi="宋体" w:cs="宋体"/>
          <w:szCs w:val="21"/>
        </w:rPr>
        <w:t xml:space="preserve">  供应商代表签名：</w:t>
      </w:r>
    </w:p>
    <w:p>
      <w:pPr>
        <w:pStyle w:val="31"/>
        <w:snapToGrid w:val="0"/>
        <w:spacing w:line="500" w:lineRule="exact"/>
        <w:ind w:firstLine="4830" w:firstLineChars="2300"/>
        <w:jc w:val="right"/>
        <w:rPr>
          <w:rFonts w:hint="default" w:hAnsi="宋体" w:cs="宋体"/>
          <w:szCs w:val="21"/>
        </w:rPr>
      </w:pPr>
      <w:r>
        <w:rPr>
          <w:rFonts w:hAnsi="宋体" w:cs="宋体"/>
          <w:szCs w:val="21"/>
        </w:rPr>
        <w:t>2023年   月   日</w:t>
      </w:r>
    </w:p>
    <w:p>
      <w:pPr>
        <w:pStyle w:val="31"/>
        <w:snapToGrid w:val="0"/>
        <w:spacing w:line="500" w:lineRule="exact"/>
        <w:rPr>
          <w:rFonts w:hint="default" w:hAnsi="宋体" w:cs="宋体"/>
          <w:szCs w:val="21"/>
        </w:rPr>
        <w:sectPr>
          <w:headerReference r:id="rId4" w:type="default"/>
          <w:footerReference r:id="rId5" w:type="default"/>
          <w:pgSz w:w="11906" w:h="16838"/>
          <w:pgMar w:top="1588" w:right="1701" w:bottom="1418" w:left="1701" w:header="851" w:footer="737" w:gutter="0"/>
          <w:pgNumType w:start="1"/>
          <w:cols w:space="720" w:num="1"/>
          <w:docGrid w:linePitch="312" w:charSpace="0"/>
        </w:sectPr>
      </w:pPr>
      <w:r>
        <w:rPr>
          <w:rFonts w:hAnsi="宋体" w:cs="宋体"/>
          <w:b/>
          <w:bCs/>
          <w:szCs w:val="21"/>
          <w:u w:val="wave"/>
        </w:rPr>
        <w:t>注：响应文件解密结束后，各供应商组织签署《政府采购活动现场确认声明书》，并在15分钟内以扫描件方式发送至代理机构邮箱：</w:t>
      </w:r>
      <w:r>
        <w:fldChar w:fldCharType="begin"/>
      </w:r>
      <w:r>
        <w:instrText xml:space="preserve"> HYPERLINK "mailto:470273984@qq.com。" </w:instrText>
      </w:r>
      <w:r>
        <w:fldChar w:fldCharType="separate"/>
      </w:r>
      <w:r>
        <w:rPr>
          <w:rFonts w:hAnsi="宋体" w:cs="宋体"/>
          <w:b/>
          <w:bCs/>
          <w:szCs w:val="21"/>
        </w:rPr>
        <w:t>984865308@qq.com</w:t>
      </w:r>
      <w:r>
        <w:rPr>
          <w:rStyle w:val="26"/>
          <w:rFonts w:hint="default"/>
          <w:b/>
          <w:bCs/>
          <w:szCs w:val="21"/>
        </w:rPr>
        <w:t>。</w:t>
      </w:r>
      <w:r>
        <w:rPr>
          <w:rStyle w:val="26"/>
          <w:rFonts w:hint="default"/>
          <w:b/>
          <w:bCs/>
          <w:szCs w:val="21"/>
        </w:rPr>
        <w:fldChar w:fldCharType="end"/>
      </w:r>
    </w:p>
    <w:p>
      <w:pPr>
        <w:pageBreakBefore/>
        <w:tabs>
          <w:tab w:val="left" w:pos="840"/>
        </w:tabs>
        <w:spacing w:before="312" w:beforeLines="100" w:after="312" w:afterLines="100"/>
        <w:jc w:val="center"/>
        <w:outlineLvl w:val="1"/>
        <w:rPr>
          <w:rFonts w:hAnsi="宋体"/>
          <w:sz w:val="28"/>
          <w:szCs w:val="36"/>
        </w:rPr>
      </w:pPr>
      <w:bookmarkStart w:id="109" w:name="_Toc51335244"/>
      <w:bookmarkStart w:id="110" w:name="_Toc29168"/>
      <w:bookmarkStart w:id="111" w:name="_Toc5086"/>
      <w:bookmarkStart w:id="112" w:name="_Toc18365"/>
      <w:bookmarkStart w:id="113" w:name="_Toc65250513"/>
      <w:bookmarkStart w:id="114" w:name="_Toc8118"/>
      <w:bookmarkStart w:id="115" w:name="_Toc10251"/>
      <w:r>
        <w:rPr>
          <w:rFonts w:hint="eastAsia" w:hAnsi="宋体"/>
          <w:b/>
          <w:bCs/>
          <w:sz w:val="28"/>
          <w:szCs w:val="36"/>
        </w:rPr>
        <w:t>启用备份响应文件申请书</w:t>
      </w:r>
      <w:bookmarkEnd w:id="109"/>
      <w:bookmarkEnd w:id="110"/>
      <w:bookmarkEnd w:id="111"/>
      <w:bookmarkEnd w:id="112"/>
      <w:bookmarkEnd w:id="113"/>
      <w:bookmarkEnd w:id="114"/>
      <w:bookmarkEnd w:id="115"/>
    </w:p>
    <w:p>
      <w:pPr>
        <w:spacing w:line="360" w:lineRule="auto"/>
        <w:rPr>
          <w:rFonts w:ascii="宋体" w:hAnsi="宋体"/>
          <w:szCs w:val="21"/>
        </w:rPr>
      </w:pPr>
      <w:r>
        <w:rPr>
          <w:rFonts w:hint="eastAsia" w:ascii="宋体" w:hAnsi="宋体"/>
          <w:szCs w:val="21"/>
        </w:rPr>
        <w:t>浙江综盛项目管理有限公司：</w:t>
      </w:r>
    </w:p>
    <w:p>
      <w:pPr>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（采购人名称） </w:t>
      </w:r>
      <w:r>
        <w:rPr>
          <w:rFonts w:ascii="宋体" w:hAnsi="宋体"/>
          <w:bCs/>
          <w:szCs w:val="21"/>
          <w:u w:val="single"/>
        </w:rPr>
        <w:t xml:space="preserve">    </w:t>
      </w:r>
      <w:r>
        <w:rPr>
          <w:rFonts w:hint="eastAsia" w:ascii="宋体" w:hAnsi="宋体"/>
          <w:szCs w:val="21"/>
        </w:rPr>
        <w:t>：</w:t>
      </w:r>
    </w:p>
    <w:p>
      <w:pPr>
        <w:spacing w:line="360" w:lineRule="auto"/>
        <w:ind w:firstLine="420"/>
        <w:rPr>
          <w:rFonts w:ascii="宋体" w:hAnsi="宋体"/>
          <w:bCs/>
          <w:szCs w:val="21"/>
          <w:u w:val="single"/>
        </w:rPr>
      </w:pPr>
      <w:r>
        <w:rPr>
          <w:rFonts w:hint="eastAsia" w:ascii="宋体" w:hAnsi="宋体"/>
          <w:bCs/>
          <w:szCs w:val="21"/>
        </w:rPr>
        <w:t>我公司参与</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szCs w:val="21"/>
          <w:u w:val="single"/>
        </w:rPr>
        <w:t xml:space="preserve">（项目名称） </w:t>
      </w:r>
      <w:r>
        <w:rPr>
          <w:rFonts w:ascii="宋体" w:hAnsi="宋体"/>
          <w:szCs w:val="21"/>
          <w:u w:val="single"/>
        </w:rPr>
        <w:t xml:space="preserve">  </w:t>
      </w:r>
      <w:r>
        <w:rPr>
          <w:rFonts w:hint="eastAsia" w:ascii="宋体" w:hAnsi="宋体"/>
          <w:bCs/>
          <w:szCs w:val="21"/>
          <w:u w:val="single"/>
        </w:rPr>
        <w:t xml:space="preserve">   </w:t>
      </w:r>
      <w:r>
        <w:rPr>
          <w:rFonts w:hint="eastAsia" w:ascii="宋体" w:hAnsi="宋体"/>
          <w:bCs/>
          <w:szCs w:val="21"/>
        </w:rPr>
        <w:t>（项目编号：</w:t>
      </w:r>
      <w:r>
        <w:rPr>
          <w:rFonts w:hAnsi="宋体" w:cs="宋体"/>
          <w:spacing w:val="6"/>
          <w:szCs w:val="21"/>
          <w:u w:val="single"/>
        </w:rPr>
        <w:t xml:space="preserve">          </w:t>
      </w:r>
      <w:r>
        <w:rPr>
          <w:rFonts w:hint="eastAsia" w:ascii="宋体" w:hAnsi="宋体"/>
          <w:bCs/>
          <w:szCs w:val="21"/>
        </w:rPr>
        <w:t xml:space="preserve"> ）投标，已按本项目磋商文件要求提供备份响应文件。我方电子加密响应文件解密失败，现申请贵方启用备份响应文件上传至政采云平台，备份响应文件解压缩密码</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p>
      <w:pPr>
        <w:spacing w:line="360" w:lineRule="auto"/>
        <w:ind w:firstLine="420"/>
        <w:rPr>
          <w:rFonts w:ascii="宋体" w:hAnsi="宋体"/>
          <w:bCs/>
          <w:szCs w:val="21"/>
        </w:rPr>
      </w:pPr>
      <w:r>
        <w:rPr>
          <w:rFonts w:hint="eastAsia" w:ascii="宋体" w:hAnsi="宋体"/>
          <w:bCs/>
          <w:szCs w:val="21"/>
        </w:rPr>
        <w:t>如备份响应文件上传失败，我方愿意承担一切风险和责任。</w:t>
      </w:r>
    </w:p>
    <w:p>
      <w:pPr>
        <w:spacing w:line="360" w:lineRule="auto"/>
        <w:ind w:firstLine="420"/>
        <w:rPr>
          <w:rFonts w:ascii="宋体" w:hAnsi="宋体"/>
          <w:bCs/>
          <w:sz w:val="24"/>
        </w:rPr>
      </w:pPr>
    </w:p>
    <w:p>
      <w:pPr>
        <w:spacing w:line="360" w:lineRule="auto"/>
        <w:ind w:firstLine="420"/>
        <w:rPr>
          <w:rFonts w:ascii="宋体" w:hAnsi="宋体"/>
          <w:bCs/>
          <w:sz w:val="24"/>
        </w:rPr>
      </w:pPr>
    </w:p>
    <w:p>
      <w:pPr>
        <w:spacing w:line="360" w:lineRule="auto"/>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spacing w:line="360" w:lineRule="auto"/>
        <w:ind w:firstLine="420"/>
        <w:rPr>
          <w:rFonts w:ascii="宋体" w:hAnsi="宋体"/>
          <w:bCs/>
          <w:szCs w:val="21"/>
        </w:rPr>
      </w:pPr>
      <w:r>
        <w:rPr>
          <w:rFonts w:hint="eastAsia" w:ascii="宋体" w:hAnsi="宋体"/>
          <w:bCs/>
          <w:sz w:val="24"/>
        </w:rPr>
        <w:t xml:space="preserve"> </w:t>
      </w:r>
      <w:r>
        <w:rPr>
          <w:rFonts w:ascii="宋体" w:hAnsi="宋体"/>
          <w:bCs/>
          <w:sz w:val="24"/>
        </w:rPr>
        <w:t xml:space="preserve">                                       </w:t>
      </w:r>
      <w:r>
        <w:rPr>
          <w:rFonts w:hint="eastAsia" w:ascii="宋体" w:hAnsi="宋体"/>
          <w:bCs/>
          <w:szCs w:val="21"/>
        </w:rPr>
        <w:t>磋商供应商全称（盖章）：</w:t>
      </w:r>
    </w:p>
    <w:p>
      <w:pPr>
        <w:spacing w:line="360" w:lineRule="auto"/>
        <w:ind w:firstLine="420"/>
        <w:rPr>
          <w:rFonts w:ascii="宋体" w:hAnsi="宋体"/>
          <w:bCs/>
          <w:szCs w:val="21"/>
        </w:rPr>
      </w:pPr>
      <w:r>
        <w:rPr>
          <w:rFonts w:hint="eastAsia" w:ascii="宋体" w:hAnsi="宋体"/>
          <w:bCs/>
          <w:szCs w:val="21"/>
        </w:rPr>
        <w:t xml:space="preserve">                                         </w:t>
      </w:r>
    </w:p>
    <w:p>
      <w:pPr>
        <w:spacing w:line="360" w:lineRule="auto"/>
        <w:ind w:firstLine="5250" w:firstLineChars="2500"/>
        <w:rPr>
          <w:rFonts w:ascii="宋体" w:hAnsi="宋体"/>
          <w:bCs/>
          <w:szCs w:val="21"/>
        </w:rPr>
      </w:pPr>
      <w:r>
        <w:rPr>
          <w:rFonts w:hint="eastAsia" w:ascii="宋体" w:hAnsi="宋体"/>
          <w:bCs/>
          <w:szCs w:val="21"/>
        </w:rPr>
        <w:t>日     期：</w:t>
      </w:r>
    </w:p>
    <w:p>
      <w:pPr>
        <w:pStyle w:val="2"/>
        <w:spacing w:line="360" w:lineRule="auto"/>
        <w:rPr>
          <w:rFonts w:ascii="宋体" w:hAnsi="宋体" w:cs="宋体"/>
          <w:b/>
          <w:szCs w:val="21"/>
        </w:rPr>
      </w:pPr>
    </w:p>
    <w:p>
      <w:pPr>
        <w:pStyle w:val="2"/>
        <w:spacing w:line="360" w:lineRule="auto"/>
        <w:rPr>
          <w:rFonts w:ascii="宋体" w:hAnsi="宋体" w:cs="宋体"/>
          <w:b/>
          <w:szCs w:val="21"/>
        </w:rPr>
      </w:pPr>
    </w:p>
    <w:p>
      <w:pPr>
        <w:pStyle w:val="2"/>
        <w:spacing w:line="360" w:lineRule="auto"/>
      </w:pPr>
    </w:p>
    <w:p>
      <w:pPr>
        <w:pStyle w:val="2"/>
      </w:pPr>
      <w:r>
        <w:rPr>
          <w:rFonts w:hint="eastAsia"/>
        </w:rPr>
        <w:br w:type="page"/>
      </w:r>
    </w:p>
    <w:p>
      <w:pPr>
        <w:pStyle w:val="5"/>
        <w:spacing w:before="156" w:beforeLines="50" w:after="156" w:afterLines="50" w:line="380" w:lineRule="exact"/>
        <w:jc w:val="center"/>
        <w:rPr>
          <w:rFonts w:ascii="宋体" w:hAnsi="宋体" w:eastAsia="宋体" w:cs="宋体"/>
          <w:b/>
          <w:bCs w:val="0"/>
          <w:sz w:val="24"/>
          <w:szCs w:val="24"/>
        </w:rPr>
      </w:pPr>
      <w:bookmarkStart w:id="116" w:name="_Toc3625"/>
      <w:bookmarkStart w:id="117" w:name="_Toc30133"/>
      <w:bookmarkStart w:id="118" w:name="_Toc8953"/>
      <w:r>
        <w:rPr>
          <w:rFonts w:hint="eastAsia" w:ascii="宋体" w:hAnsi="宋体" w:eastAsia="宋体" w:cs="宋体"/>
          <w:b/>
          <w:bCs w:val="0"/>
          <w:sz w:val="24"/>
          <w:szCs w:val="24"/>
        </w:rPr>
        <w:t>（二）总   则</w:t>
      </w:r>
      <w:bookmarkEnd w:id="116"/>
      <w:bookmarkEnd w:id="117"/>
      <w:bookmarkEnd w:id="118"/>
    </w:p>
    <w:p>
      <w:pPr>
        <w:numPr>
          <w:ilvl w:val="0"/>
          <w:numId w:val="11"/>
        </w:numPr>
        <w:snapToGrid w:val="0"/>
        <w:spacing w:line="360" w:lineRule="auto"/>
        <w:outlineLvl w:val="2"/>
        <w:rPr>
          <w:rFonts w:ascii="宋体" w:hAnsi="宋体" w:eastAsia="宋体" w:cs="宋体"/>
          <w:b/>
          <w:szCs w:val="21"/>
        </w:rPr>
      </w:pPr>
      <w:bookmarkStart w:id="119" w:name="_Toc2940"/>
      <w:bookmarkStart w:id="120" w:name="_Toc22163"/>
      <w:bookmarkStart w:id="121" w:name="_Toc25604"/>
      <w:bookmarkStart w:id="122" w:name="_Toc16281"/>
      <w:bookmarkStart w:id="123" w:name="_Toc8639"/>
      <w:r>
        <w:rPr>
          <w:rFonts w:hint="eastAsia" w:ascii="宋体" w:hAnsi="宋体" w:eastAsia="宋体" w:cs="宋体"/>
          <w:b/>
          <w:szCs w:val="21"/>
        </w:rPr>
        <w:t>说明</w:t>
      </w:r>
      <w:bookmarkEnd w:id="119"/>
      <w:bookmarkEnd w:id="120"/>
      <w:bookmarkEnd w:id="121"/>
      <w:bookmarkEnd w:id="122"/>
      <w:bookmarkEnd w:id="123"/>
    </w:p>
    <w:p>
      <w:pPr>
        <w:numPr>
          <w:ilvl w:val="1"/>
          <w:numId w:val="11"/>
        </w:numPr>
        <w:snapToGrid w:val="0"/>
        <w:spacing w:line="360" w:lineRule="auto"/>
        <w:rPr>
          <w:rFonts w:ascii="宋体" w:hAnsi="宋体" w:eastAsia="宋体" w:cs="宋体"/>
        </w:rPr>
      </w:pPr>
      <w:r>
        <w:rPr>
          <w:rFonts w:hint="eastAsia" w:ascii="宋体" w:hAnsi="宋体" w:eastAsia="宋体" w:cs="宋体"/>
        </w:rPr>
        <w:t>本次竞争性磋商工作是按照《中华人民共和国政府采购法》、</w:t>
      </w:r>
      <w:r>
        <w:rPr>
          <w:rFonts w:hint="eastAsia" w:ascii="宋体" w:hAnsi="宋体" w:eastAsia="宋体" w:cs="宋体"/>
          <w:szCs w:val="21"/>
        </w:rPr>
        <w:t>《政府采购竞争性磋商采购方式管理暂行办法》、</w:t>
      </w:r>
      <w:r>
        <w:rPr>
          <w:rFonts w:hint="eastAsia" w:ascii="宋体" w:hAnsi="宋体" w:eastAsia="宋体" w:cs="宋体"/>
        </w:rPr>
        <w:t>浙江省及项目所在地的有关政府采购规定，结合本项目的实际，组织和实施。</w:t>
      </w:r>
    </w:p>
    <w:p>
      <w:pPr>
        <w:numPr>
          <w:ilvl w:val="1"/>
          <w:numId w:val="11"/>
        </w:numPr>
        <w:snapToGrid w:val="0"/>
        <w:spacing w:line="360" w:lineRule="auto"/>
        <w:rPr>
          <w:rFonts w:ascii="宋体" w:hAnsi="宋体" w:eastAsia="宋体" w:cs="宋体"/>
        </w:rPr>
      </w:pPr>
      <w:r>
        <w:rPr>
          <w:rFonts w:hint="eastAsia" w:ascii="宋体" w:hAnsi="宋体" w:eastAsia="宋体" w:cs="宋体"/>
        </w:rPr>
        <w:t xml:space="preserve">资金来源：财政性资金。 </w:t>
      </w:r>
    </w:p>
    <w:p>
      <w:pPr>
        <w:numPr>
          <w:ilvl w:val="0"/>
          <w:numId w:val="11"/>
        </w:numPr>
        <w:snapToGrid w:val="0"/>
        <w:spacing w:line="360" w:lineRule="auto"/>
        <w:outlineLvl w:val="2"/>
        <w:rPr>
          <w:rFonts w:ascii="宋体" w:hAnsi="宋体" w:eastAsia="宋体" w:cs="宋体"/>
          <w:b/>
          <w:szCs w:val="21"/>
        </w:rPr>
      </w:pPr>
      <w:bookmarkStart w:id="124" w:name="_Toc14650"/>
      <w:bookmarkStart w:id="125" w:name="_Toc16420"/>
      <w:bookmarkStart w:id="126" w:name="_Toc31862"/>
      <w:bookmarkStart w:id="127" w:name="_Toc28195"/>
      <w:bookmarkStart w:id="128" w:name="_Toc26793"/>
      <w:r>
        <w:rPr>
          <w:rFonts w:hint="eastAsia" w:ascii="宋体" w:hAnsi="宋体" w:eastAsia="宋体" w:cs="宋体"/>
          <w:b/>
          <w:szCs w:val="21"/>
        </w:rPr>
        <w:t>定义及解释</w:t>
      </w:r>
      <w:bookmarkEnd w:id="124"/>
      <w:bookmarkEnd w:id="125"/>
      <w:bookmarkEnd w:id="126"/>
      <w:bookmarkEnd w:id="127"/>
      <w:bookmarkEnd w:id="128"/>
    </w:p>
    <w:p>
      <w:pPr>
        <w:numPr>
          <w:ilvl w:val="1"/>
          <w:numId w:val="11"/>
        </w:numPr>
        <w:snapToGrid w:val="0"/>
        <w:spacing w:line="360" w:lineRule="auto"/>
        <w:rPr>
          <w:rFonts w:ascii="宋体" w:hAnsi="宋体" w:eastAsia="宋体" w:cs="宋体"/>
        </w:rPr>
      </w:pPr>
      <w:r>
        <w:rPr>
          <w:rFonts w:hint="eastAsia" w:ascii="宋体" w:hAnsi="宋体" w:eastAsia="宋体" w:cs="宋体"/>
        </w:rPr>
        <w:t>采购人：</w:t>
      </w:r>
      <w:r>
        <w:rPr>
          <w:rFonts w:hint="eastAsia" w:ascii="宋体" w:hAnsi="宋体" w:eastAsia="宋体" w:cs="宋体"/>
          <w:szCs w:val="21"/>
          <w:lang w:eastAsia="zh-CN"/>
        </w:rPr>
        <w:t>瑞安市公安局</w:t>
      </w:r>
      <w:r>
        <w:rPr>
          <w:rFonts w:hint="eastAsia" w:ascii="宋体" w:hAnsi="宋体" w:eastAsia="宋体" w:cs="宋体"/>
        </w:rPr>
        <w:t>；</w:t>
      </w:r>
    </w:p>
    <w:p>
      <w:pPr>
        <w:numPr>
          <w:ilvl w:val="1"/>
          <w:numId w:val="11"/>
        </w:numPr>
        <w:snapToGrid w:val="0"/>
        <w:spacing w:line="360" w:lineRule="auto"/>
        <w:rPr>
          <w:rFonts w:ascii="宋体" w:hAnsi="宋体" w:eastAsia="宋体" w:cs="宋体"/>
        </w:rPr>
      </w:pPr>
      <w:r>
        <w:rPr>
          <w:rFonts w:hint="eastAsia" w:ascii="宋体" w:hAnsi="宋体" w:eastAsia="宋体" w:cs="宋体"/>
        </w:rPr>
        <w:t>采购代理机构：浙江综盛项目管理有限公司；</w:t>
      </w:r>
    </w:p>
    <w:p>
      <w:pPr>
        <w:numPr>
          <w:ilvl w:val="1"/>
          <w:numId w:val="11"/>
        </w:numPr>
        <w:snapToGrid w:val="0"/>
        <w:spacing w:line="360" w:lineRule="auto"/>
        <w:rPr>
          <w:rFonts w:ascii="宋体" w:hAnsi="宋体" w:eastAsia="宋体" w:cs="宋体"/>
        </w:rPr>
      </w:pPr>
      <w:r>
        <w:rPr>
          <w:rFonts w:hint="eastAsia" w:ascii="宋体" w:hAnsi="宋体" w:eastAsia="宋体" w:cs="宋体"/>
        </w:rPr>
        <w:t>磋商供应商：磋商供应商是响应采购、参加磋商竞争的依法成立的供应商；</w:t>
      </w:r>
    </w:p>
    <w:p>
      <w:pPr>
        <w:numPr>
          <w:ilvl w:val="1"/>
          <w:numId w:val="11"/>
        </w:numPr>
        <w:snapToGrid w:val="0"/>
        <w:spacing w:line="360" w:lineRule="auto"/>
        <w:rPr>
          <w:rFonts w:ascii="宋体" w:hAnsi="宋体" w:eastAsia="宋体" w:cs="宋体"/>
        </w:rPr>
      </w:pPr>
      <w:r>
        <w:rPr>
          <w:rFonts w:hint="eastAsia" w:ascii="宋体" w:hAnsi="宋体" w:eastAsia="宋体" w:cs="宋体"/>
        </w:rPr>
        <w:t>成交供应商：系指在本次竞争性磋商中成交的磋商供应商；</w:t>
      </w:r>
    </w:p>
    <w:p>
      <w:pPr>
        <w:numPr>
          <w:ilvl w:val="1"/>
          <w:numId w:val="11"/>
        </w:numPr>
        <w:snapToGrid w:val="0"/>
        <w:spacing w:line="360" w:lineRule="auto"/>
        <w:rPr>
          <w:rFonts w:ascii="宋体" w:hAnsi="宋体" w:eastAsia="宋体" w:cs="宋体"/>
        </w:rPr>
      </w:pPr>
      <w:r>
        <w:rPr>
          <w:rFonts w:hint="eastAsia" w:ascii="宋体" w:hAnsi="宋体" w:eastAsia="宋体" w:cs="宋体"/>
        </w:rPr>
        <w:t>磋商小组：磋商小组是依《政府采购法》、《政府采购竞争性磋商采购方式管理暂行办法》组建的专门负责采购评审工作的临时性机构；</w:t>
      </w:r>
    </w:p>
    <w:p>
      <w:pPr>
        <w:numPr>
          <w:ilvl w:val="1"/>
          <w:numId w:val="11"/>
        </w:numPr>
        <w:snapToGrid w:val="0"/>
        <w:spacing w:line="360" w:lineRule="auto"/>
        <w:rPr>
          <w:rFonts w:ascii="宋体" w:hAnsi="宋体" w:eastAsia="宋体" w:cs="宋体"/>
        </w:rPr>
      </w:pPr>
      <w:r>
        <w:rPr>
          <w:rFonts w:hint="eastAsia" w:ascii="宋体" w:hAnsi="宋体" w:eastAsia="宋体" w:cs="宋体"/>
        </w:rPr>
        <w:t>日期：指公历日；</w:t>
      </w:r>
    </w:p>
    <w:p>
      <w:pPr>
        <w:numPr>
          <w:ilvl w:val="1"/>
          <w:numId w:val="11"/>
        </w:numPr>
        <w:snapToGrid w:val="0"/>
        <w:spacing w:line="360" w:lineRule="auto"/>
        <w:rPr>
          <w:rFonts w:ascii="宋体" w:hAnsi="宋体" w:eastAsia="宋体" w:cs="宋体"/>
        </w:rPr>
      </w:pPr>
      <w:r>
        <w:rPr>
          <w:rFonts w:hint="eastAsia" w:ascii="宋体" w:hAnsi="宋体" w:eastAsia="宋体" w:cs="宋体"/>
        </w:rPr>
        <w:t>合同：指由采购所产生的合同或合约文件；</w:t>
      </w:r>
    </w:p>
    <w:p>
      <w:pPr>
        <w:numPr>
          <w:ilvl w:val="1"/>
          <w:numId w:val="11"/>
        </w:numPr>
        <w:snapToGrid w:val="0"/>
        <w:spacing w:line="360" w:lineRule="auto"/>
        <w:rPr>
          <w:rFonts w:ascii="宋体" w:hAnsi="宋体" w:eastAsia="宋体" w:cs="宋体"/>
        </w:rPr>
      </w:pPr>
      <w:r>
        <w:rPr>
          <w:rFonts w:hint="eastAsia" w:ascii="宋体" w:hAnsi="宋体" w:eastAsia="宋体" w:cs="宋体"/>
        </w:rPr>
        <w:t>“书面形式”是指任何手写的、打印的或印刷的文件，包括电报和传真发送。</w:t>
      </w:r>
    </w:p>
    <w:p>
      <w:pPr>
        <w:numPr>
          <w:ilvl w:val="0"/>
          <w:numId w:val="11"/>
        </w:numPr>
        <w:snapToGrid w:val="0"/>
        <w:spacing w:line="360" w:lineRule="auto"/>
        <w:outlineLvl w:val="2"/>
        <w:rPr>
          <w:rFonts w:ascii="宋体" w:hAnsi="宋体" w:eastAsia="宋体" w:cs="宋体"/>
          <w:b/>
          <w:szCs w:val="21"/>
        </w:rPr>
      </w:pPr>
      <w:bookmarkStart w:id="129" w:name="_Toc9741"/>
      <w:bookmarkStart w:id="130" w:name="_Toc30951"/>
      <w:bookmarkStart w:id="131" w:name="_Toc2708"/>
      <w:bookmarkStart w:id="132" w:name="_Toc31845"/>
      <w:bookmarkStart w:id="133" w:name="_Toc23612"/>
      <w:r>
        <w:rPr>
          <w:rFonts w:hint="eastAsia" w:ascii="宋体" w:hAnsi="宋体" w:eastAsia="宋体" w:cs="宋体"/>
          <w:b/>
          <w:szCs w:val="21"/>
        </w:rPr>
        <w:t>合格的磋商供应商</w:t>
      </w:r>
      <w:bookmarkEnd w:id="129"/>
      <w:bookmarkEnd w:id="130"/>
      <w:bookmarkEnd w:id="131"/>
      <w:bookmarkEnd w:id="132"/>
      <w:bookmarkEnd w:id="133"/>
    </w:p>
    <w:p>
      <w:pPr>
        <w:numPr>
          <w:ilvl w:val="1"/>
          <w:numId w:val="11"/>
        </w:numPr>
        <w:snapToGrid w:val="0"/>
        <w:spacing w:line="360" w:lineRule="auto"/>
        <w:rPr>
          <w:rFonts w:ascii="宋体" w:hAnsi="宋体" w:eastAsia="宋体" w:cs="宋体"/>
          <w:bCs/>
          <w:snapToGrid w:val="0"/>
        </w:rPr>
      </w:pPr>
      <w:r>
        <w:rPr>
          <w:rFonts w:hint="eastAsia" w:ascii="宋体" w:hAnsi="宋体" w:eastAsia="宋体" w:cs="宋体"/>
          <w:szCs w:val="21"/>
        </w:rPr>
        <w:t>满足《中华人民共和国政府采购法》第二十二条规定；未被“信用中国”、“中国政府采购网”列入失信被执行人、重大违法案件当事人名单、政府采购严重违法失信行为记录名单；</w:t>
      </w:r>
    </w:p>
    <w:p>
      <w:pPr>
        <w:numPr>
          <w:ilvl w:val="1"/>
          <w:numId w:val="11"/>
        </w:numPr>
        <w:snapToGrid w:val="0"/>
        <w:spacing w:line="360" w:lineRule="auto"/>
        <w:rPr>
          <w:rFonts w:ascii="宋体" w:hAnsi="宋体" w:eastAsia="宋体" w:cs="宋体"/>
          <w:bCs/>
          <w:snapToGrid w:val="0"/>
        </w:rPr>
      </w:pPr>
      <w:r>
        <w:rPr>
          <w:rFonts w:hint="eastAsia" w:ascii="宋体" w:hAnsi="宋体" w:eastAsia="宋体" w:cs="宋体"/>
          <w:bCs/>
          <w:snapToGrid w:val="0"/>
          <w:lang w:eastAsia="zh-CN"/>
        </w:rPr>
        <w:t>落实政府采购政策需满足的资格要求：本项目整体专门面向中小企业采购（残疾人福利性单位和监狱企业视同小微企业）。</w:t>
      </w:r>
    </w:p>
    <w:p>
      <w:pPr>
        <w:numPr>
          <w:ilvl w:val="1"/>
          <w:numId w:val="11"/>
        </w:numPr>
        <w:snapToGrid w:val="0"/>
        <w:spacing w:line="360" w:lineRule="auto"/>
        <w:rPr>
          <w:rFonts w:ascii="宋体" w:hAnsi="宋体" w:eastAsia="宋体" w:cs="宋体"/>
          <w:bCs/>
          <w:snapToGrid w:val="0"/>
        </w:rPr>
      </w:pPr>
      <w:r>
        <w:rPr>
          <w:rFonts w:hint="eastAsia" w:ascii="宋体" w:hAnsi="宋体" w:eastAsia="宋体" w:cs="宋体"/>
          <w:bCs/>
          <w:snapToGrid w:val="0"/>
        </w:rPr>
        <w:t>本项目的特定资格要求：</w:t>
      </w:r>
      <w:r>
        <w:rPr>
          <w:rFonts w:hint="eastAsia" w:eastAsia="宋体" w:cs="Times New Roman"/>
          <w:szCs w:val="21"/>
        </w:rPr>
        <w:t>无</w:t>
      </w:r>
      <w:r>
        <w:rPr>
          <w:rFonts w:hint="eastAsia" w:ascii="宋体" w:hAnsi="宋体" w:eastAsia="宋体" w:cs="宋体"/>
          <w:bCs/>
          <w:snapToGrid w:val="0"/>
        </w:rPr>
        <w:t>。</w:t>
      </w:r>
    </w:p>
    <w:p>
      <w:pPr>
        <w:numPr>
          <w:ilvl w:val="0"/>
          <w:numId w:val="11"/>
        </w:numPr>
        <w:spacing w:line="360" w:lineRule="auto"/>
        <w:outlineLvl w:val="2"/>
        <w:rPr>
          <w:rFonts w:ascii="宋体" w:hAnsi="宋体" w:eastAsia="宋体" w:cs="宋体"/>
          <w:b/>
          <w:szCs w:val="21"/>
        </w:rPr>
      </w:pPr>
      <w:bookmarkStart w:id="134" w:name="_Toc14694"/>
      <w:bookmarkStart w:id="135" w:name="_Toc19754"/>
      <w:bookmarkStart w:id="136" w:name="_Toc7345"/>
      <w:bookmarkStart w:id="137" w:name="_Toc25036"/>
      <w:bookmarkStart w:id="138" w:name="_Toc10738"/>
      <w:r>
        <w:rPr>
          <w:rFonts w:hint="eastAsia" w:ascii="宋体" w:hAnsi="宋体" w:eastAsia="宋体" w:cs="宋体"/>
          <w:b/>
          <w:szCs w:val="21"/>
        </w:rPr>
        <w:t>中小企业认定</w:t>
      </w:r>
      <w:bookmarkEnd w:id="134"/>
      <w:bookmarkEnd w:id="135"/>
      <w:bookmarkEnd w:id="136"/>
      <w:bookmarkEnd w:id="137"/>
      <w:bookmarkEnd w:id="138"/>
    </w:p>
    <w:p>
      <w:pPr>
        <w:numPr>
          <w:ilvl w:val="1"/>
          <w:numId w:val="11"/>
        </w:numPr>
        <w:snapToGrid w:val="0"/>
        <w:spacing w:line="360" w:lineRule="auto"/>
        <w:rPr>
          <w:rFonts w:ascii="宋体" w:hAnsi="宋体" w:eastAsia="宋体" w:cs="宋体"/>
          <w:szCs w:val="22"/>
        </w:rPr>
      </w:pPr>
      <w:r>
        <w:rPr>
          <w:rFonts w:hint="eastAsia" w:ascii="宋体" w:hAnsi="宋体" w:eastAsia="宋体" w:cs="宋体"/>
          <w:szCs w:val="21"/>
        </w:rPr>
        <w:t>供应</w:t>
      </w:r>
      <w:r>
        <w:rPr>
          <w:rFonts w:hint="eastAsia" w:ascii="宋体" w:hAnsi="宋体" w:eastAsia="宋体" w:cs="宋体"/>
          <w:szCs w:val="22"/>
        </w:rPr>
        <w:t>商提供的货物、工程或者服务符合下列情形的，享受《政府采购促进中小企业发展管理办法》规定的中小企业扶持政策：</w:t>
      </w:r>
    </w:p>
    <w:p>
      <w:pPr>
        <w:snapToGrid w:val="0"/>
        <w:spacing w:line="360" w:lineRule="auto"/>
        <w:ind w:left="840" w:leftChars="400"/>
        <w:rPr>
          <w:rFonts w:ascii="宋体" w:hAnsi="宋体" w:eastAsia="宋体" w:cs="宋体"/>
          <w:szCs w:val="22"/>
        </w:rPr>
      </w:pPr>
      <w:r>
        <w:rPr>
          <w:rFonts w:hint="eastAsia" w:ascii="宋体" w:hAnsi="宋体" w:eastAsia="宋体" w:cs="宋体"/>
          <w:szCs w:val="22"/>
        </w:rPr>
        <w:t>（一）在货物采购项目中，货物由中小企业制造，即货物由中小企业生产且使用该中小企业商号或者注册商标；</w:t>
      </w:r>
    </w:p>
    <w:p>
      <w:pPr>
        <w:snapToGrid w:val="0"/>
        <w:spacing w:line="360" w:lineRule="auto"/>
        <w:ind w:firstLine="840" w:firstLineChars="400"/>
        <w:rPr>
          <w:rFonts w:ascii="宋体" w:hAnsi="宋体" w:eastAsia="宋体" w:cs="宋体"/>
          <w:szCs w:val="22"/>
        </w:rPr>
      </w:pPr>
      <w:r>
        <w:rPr>
          <w:rFonts w:hint="eastAsia" w:ascii="宋体" w:hAnsi="宋体" w:eastAsia="宋体" w:cs="宋体"/>
          <w:szCs w:val="22"/>
        </w:rPr>
        <w:t>（二）在工程采购项目中，工程由中小企业承建，即工程施工单位为中小企业；</w:t>
      </w:r>
    </w:p>
    <w:p>
      <w:pPr>
        <w:snapToGrid w:val="0"/>
        <w:spacing w:line="360" w:lineRule="auto"/>
        <w:ind w:left="840" w:leftChars="400"/>
        <w:rPr>
          <w:rFonts w:ascii="宋体" w:hAnsi="宋体" w:eastAsia="宋体" w:cs="宋体"/>
          <w:szCs w:val="22"/>
        </w:rPr>
      </w:pPr>
      <w:r>
        <w:rPr>
          <w:rFonts w:hint="eastAsia" w:ascii="宋体" w:hAnsi="宋体" w:eastAsia="宋体" w:cs="宋体"/>
          <w:szCs w:val="22"/>
        </w:rPr>
        <w:t>（三）在服务采购项目中，服务由中小企业承接，即提供服务的人员为中小企业依照《中华人民共和国劳动合同法》订立劳动合同的从业人员。</w:t>
      </w:r>
    </w:p>
    <w:p>
      <w:pPr>
        <w:numPr>
          <w:ilvl w:val="1"/>
          <w:numId w:val="11"/>
        </w:numPr>
        <w:snapToGrid w:val="0"/>
        <w:spacing w:line="360" w:lineRule="auto"/>
        <w:rPr>
          <w:rFonts w:ascii="宋体" w:hAnsi="宋体" w:eastAsia="宋体" w:cs="宋体"/>
          <w:szCs w:val="22"/>
        </w:rPr>
      </w:pPr>
      <w:r>
        <w:rPr>
          <w:rFonts w:hint="eastAsia" w:ascii="宋体" w:hAnsi="宋体" w:eastAsia="宋体" w:cs="宋体"/>
          <w:szCs w:val="22"/>
        </w:rPr>
        <w:t>在货物采购项目中，供应商提供的货物既有中小企业制造货物，也有大型企业制造货物的，不享受中小企业扶持政策。</w:t>
      </w:r>
    </w:p>
    <w:p>
      <w:pPr>
        <w:numPr>
          <w:ilvl w:val="1"/>
          <w:numId w:val="11"/>
        </w:numPr>
        <w:snapToGrid w:val="0"/>
        <w:spacing w:line="360" w:lineRule="auto"/>
        <w:rPr>
          <w:rFonts w:ascii="宋体" w:hAnsi="宋体" w:eastAsia="宋体" w:cs="宋体"/>
        </w:rPr>
      </w:pPr>
      <w:r>
        <w:rPr>
          <w:rFonts w:hint="eastAsia" w:ascii="宋体" w:hAnsi="宋体" w:eastAsia="宋体" w:cs="宋体"/>
          <w:szCs w:val="22"/>
        </w:rPr>
        <w:t>以联合体形式参加政府采购活动，联合体各方均为中小企业的，联合体视同中小企业。其中，联合体各方均为小微企业的，联合体视同小微企业。</w:t>
      </w:r>
    </w:p>
    <w:p>
      <w:pPr>
        <w:numPr>
          <w:ilvl w:val="0"/>
          <w:numId w:val="11"/>
        </w:numPr>
        <w:spacing w:line="360" w:lineRule="auto"/>
        <w:outlineLvl w:val="2"/>
        <w:rPr>
          <w:rFonts w:ascii="宋体" w:hAnsi="宋体" w:eastAsia="宋体" w:cs="宋体"/>
          <w:b/>
          <w:szCs w:val="21"/>
        </w:rPr>
      </w:pPr>
      <w:bookmarkStart w:id="139" w:name="_Toc10183"/>
      <w:bookmarkStart w:id="140" w:name="_Toc5305"/>
      <w:bookmarkStart w:id="141" w:name="_Toc10573"/>
      <w:bookmarkStart w:id="142" w:name="_Toc32237"/>
      <w:bookmarkStart w:id="143" w:name="_Toc26016"/>
      <w:r>
        <w:rPr>
          <w:rFonts w:hint="eastAsia" w:ascii="宋体" w:hAnsi="宋体" w:eastAsia="宋体" w:cs="宋体"/>
          <w:b/>
          <w:szCs w:val="21"/>
        </w:rPr>
        <w:t>信用记录</w:t>
      </w:r>
      <w:bookmarkEnd w:id="139"/>
      <w:bookmarkEnd w:id="140"/>
      <w:bookmarkEnd w:id="141"/>
      <w:bookmarkEnd w:id="142"/>
      <w:bookmarkEnd w:id="143"/>
    </w:p>
    <w:p>
      <w:pPr>
        <w:snapToGrid w:val="0"/>
        <w:spacing w:line="360" w:lineRule="auto"/>
        <w:ind w:left="-840" w:leftChars="-400" w:firstLine="840" w:firstLineChars="400"/>
        <w:rPr>
          <w:rFonts w:ascii="宋体" w:hAnsi="宋体" w:eastAsia="宋体" w:cs="宋体"/>
          <w:szCs w:val="21"/>
        </w:rPr>
      </w:pPr>
      <w:r>
        <w:rPr>
          <w:rFonts w:hint="eastAsia" w:ascii="宋体" w:hAnsi="宋体" w:eastAsia="宋体" w:cs="宋体"/>
          <w:szCs w:val="21"/>
        </w:rPr>
        <w:t>5.1     信用信息查询的截止时点：投标截止时间前。</w:t>
      </w:r>
    </w:p>
    <w:p>
      <w:pPr>
        <w:snapToGrid w:val="0"/>
        <w:spacing w:line="360" w:lineRule="auto"/>
        <w:ind w:left="840" w:hanging="840" w:hangingChars="400"/>
        <w:rPr>
          <w:rFonts w:ascii="宋体" w:hAnsi="宋体" w:eastAsia="宋体" w:cs="宋体"/>
          <w:szCs w:val="21"/>
        </w:rPr>
      </w:pPr>
      <w:r>
        <w:rPr>
          <w:rFonts w:hint="eastAsia" w:ascii="宋体" w:hAnsi="宋体" w:eastAsia="宋体" w:cs="宋体"/>
          <w:szCs w:val="21"/>
        </w:rPr>
        <w:t>5.2     查询渠道与留存方式：</w:t>
      </w:r>
      <w:r>
        <w:rPr>
          <w:rFonts w:hint="eastAsia" w:ascii="宋体" w:hAnsi="宋体" w:eastAsia="宋体" w:cs="宋体"/>
        </w:rPr>
        <w:t>招标采购单位登录“信用中国”（www.creditchina.gov.cn）、“中国政府采购网”（www.ccgp.gov.cn）网站查询各磋商供应商信用记录，网页截图并打印存档。</w:t>
      </w:r>
    </w:p>
    <w:p>
      <w:pPr>
        <w:snapToGrid w:val="0"/>
        <w:spacing w:line="360" w:lineRule="auto"/>
        <w:ind w:left="840" w:hanging="840" w:hangingChars="400"/>
        <w:rPr>
          <w:rFonts w:ascii="宋体" w:hAnsi="宋体" w:eastAsia="宋体" w:cs="宋体"/>
          <w:szCs w:val="21"/>
        </w:rPr>
      </w:pPr>
      <w:r>
        <w:rPr>
          <w:rFonts w:hint="eastAsia" w:ascii="宋体" w:hAnsi="宋体" w:eastAsia="宋体" w:cs="宋体"/>
          <w:szCs w:val="21"/>
        </w:rPr>
        <w:t>5.3     不良信用记录指：被列入失信被执行人、重大税收违法案件当事人名单、政府采购严重违法失 信行为记录名单及其他</w:t>
      </w:r>
      <w:r>
        <w:rPr>
          <w:rFonts w:hint="eastAsia" w:ascii="宋体" w:hAnsi="宋体" w:eastAsia="宋体" w:cs="宋体"/>
        </w:rPr>
        <w:t>不符合《中华人民共和国政府采购法》第二十二条规定条件。存在不良信用记录的投标人，将被拒绝参与政府采购活动。</w:t>
      </w:r>
    </w:p>
    <w:p>
      <w:pPr>
        <w:snapToGrid w:val="0"/>
        <w:spacing w:line="360" w:lineRule="auto"/>
        <w:ind w:left="840" w:hanging="840" w:hangingChars="400"/>
        <w:rPr>
          <w:rFonts w:ascii="宋体" w:hAnsi="宋体" w:eastAsia="宋体" w:cs="宋体"/>
          <w:szCs w:val="21"/>
        </w:rPr>
      </w:pPr>
      <w:r>
        <w:rPr>
          <w:rFonts w:hint="eastAsia" w:ascii="宋体" w:hAnsi="宋体" w:eastAsia="宋体" w:cs="宋体"/>
          <w:szCs w:val="21"/>
        </w:rPr>
        <w:t>5.4     联合体投标时，招标采购单位将对所有联合体成员进行信用记录查询，联合体成员存在不良信用记录的，视同联合体存在不良信用记录。</w:t>
      </w:r>
    </w:p>
    <w:p>
      <w:pPr>
        <w:numPr>
          <w:ilvl w:val="0"/>
          <w:numId w:val="11"/>
        </w:numPr>
        <w:spacing w:line="360" w:lineRule="auto"/>
        <w:outlineLvl w:val="2"/>
        <w:rPr>
          <w:rFonts w:ascii="宋体" w:hAnsi="宋体" w:eastAsia="宋体" w:cs="宋体"/>
          <w:b/>
          <w:szCs w:val="21"/>
        </w:rPr>
      </w:pPr>
      <w:bookmarkStart w:id="144" w:name="_Toc2995"/>
      <w:bookmarkStart w:id="145" w:name="_Toc26577"/>
      <w:bookmarkStart w:id="146" w:name="_Toc23433"/>
      <w:bookmarkStart w:id="147" w:name="_Toc6917"/>
      <w:bookmarkStart w:id="148" w:name="_Toc32164"/>
      <w:r>
        <w:rPr>
          <w:rFonts w:hint="eastAsia" w:ascii="宋体" w:hAnsi="宋体" w:eastAsia="宋体" w:cs="宋体"/>
          <w:b/>
          <w:szCs w:val="21"/>
        </w:rPr>
        <w:t>保密与披露事项</w:t>
      </w:r>
      <w:bookmarkEnd w:id="144"/>
      <w:bookmarkEnd w:id="145"/>
      <w:bookmarkEnd w:id="146"/>
      <w:bookmarkEnd w:id="147"/>
      <w:bookmarkEnd w:id="148"/>
    </w:p>
    <w:p>
      <w:pPr>
        <w:numPr>
          <w:ilvl w:val="1"/>
          <w:numId w:val="11"/>
        </w:numPr>
        <w:spacing w:line="360" w:lineRule="auto"/>
        <w:rPr>
          <w:rFonts w:ascii="宋体" w:hAnsi="宋体" w:eastAsia="宋体" w:cs="宋体"/>
        </w:rPr>
      </w:pPr>
      <w:r>
        <w:rPr>
          <w:rFonts w:hint="eastAsia" w:ascii="宋体" w:hAnsi="宋体" w:eastAsia="宋体" w:cs="宋体"/>
        </w:rPr>
        <w:t>磋商供应商不得串通，以不正当的手段妨碍排挤其他磋商供应商，扰乱市场，破坏公平竞争原则。</w:t>
      </w:r>
    </w:p>
    <w:p>
      <w:pPr>
        <w:numPr>
          <w:ilvl w:val="1"/>
          <w:numId w:val="11"/>
        </w:numPr>
        <w:spacing w:line="360" w:lineRule="auto"/>
        <w:rPr>
          <w:rFonts w:ascii="宋体" w:hAnsi="宋体" w:eastAsia="宋体" w:cs="宋体"/>
        </w:rPr>
      </w:pPr>
      <w:r>
        <w:rPr>
          <w:rFonts w:hint="eastAsia" w:ascii="宋体" w:hAnsi="宋体" w:eastAsia="宋体" w:cs="宋体"/>
        </w:rPr>
        <w:t>磋商供应商自购买磋商文件之日起，须承诺承担本竞争性磋商项目下保密义务，不得将因本次竞争性磋商获得的信息向第三方外传。</w:t>
      </w:r>
    </w:p>
    <w:p>
      <w:pPr>
        <w:numPr>
          <w:ilvl w:val="1"/>
          <w:numId w:val="11"/>
        </w:numPr>
        <w:spacing w:line="360" w:lineRule="auto"/>
        <w:rPr>
          <w:rFonts w:ascii="宋体" w:hAnsi="宋体" w:eastAsia="宋体" w:cs="宋体"/>
        </w:rPr>
      </w:pPr>
      <w:r>
        <w:rPr>
          <w:rFonts w:hint="eastAsia" w:ascii="宋体" w:hAnsi="宋体" w:eastAsia="宋体" w:cs="宋体"/>
        </w:rPr>
        <w:t>采购机构有权将磋商供应商提供的所有资料向其他政府部门或有关的非政府机构负责评审标书的人员或与评标有关的人员披露。</w:t>
      </w:r>
    </w:p>
    <w:p>
      <w:pPr>
        <w:numPr>
          <w:ilvl w:val="1"/>
          <w:numId w:val="11"/>
        </w:numPr>
        <w:spacing w:line="360" w:lineRule="auto"/>
        <w:rPr>
          <w:rFonts w:ascii="宋体" w:hAnsi="宋体" w:eastAsia="宋体" w:cs="宋体"/>
          <w:sz w:val="24"/>
        </w:rPr>
      </w:pPr>
      <w:r>
        <w:rPr>
          <w:rFonts w:hint="eastAsia" w:ascii="宋体" w:hAnsi="宋体" w:eastAsia="宋体" w:cs="宋体"/>
        </w:rPr>
        <w:t>采购机构有权在认为适当时，或在任何第三者提出要求（书面或其他方式）时，无须事先征求成交供应商同意而披露关于已订立合约的资料、成交供应商的名称及地址、成交服务的有关信息以及合约条款等。</w:t>
      </w:r>
    </w:p>
    <w:p>
      <w:pPr>
        <w:numPr>
          <w:ilvl w:val="0"/>
          <w:numId w:val="11"/>
        </w:numPr>
        <w:spacing w:line="360" w:lineRule="auto"/>
        <w:outlineLvl w:val="2"/>
        <w:rPr>
          <w:rFonts w:ascii="宋体" w:hAnsi="宋体" w:eastAsia="宋体" w:cs="宋体"/>
          <w:b/>
          <w:szCs w:val="21"/>
        </w:rPr>
      </w:pPr>
      <w:bookmarkStart w:id="149" w:name="_Toc13647"/>
      <w:bookmarkStart w:id="150" w:name="_Toc10250"/>
      <w:bookmarkStart w:id="151" w:name="_Toc10801"/>
      <w:bookmarkStart w:id="152" w:name="_Toc31609"/>
      <w:bookmarkStart w:id="153" w:name="_Toc14977"/>
      <w:r>
        <w:rPr>
          <w:rFonts w:hint="eastAsia" w:ascii="宋体" w:hAnsi="宋体" w:eastAsia="宋体" w:cs="宋体"/>
          <w:b/>
          <w:szCs w:val="21"/>
        </w:rPr>
        <w:t>磋商费用</w:t>
      </w:r>
      <w:bookmarkEnd w:id="149"/>
      <w:bookmarkEnd w:id="150"/>
      <w:bookmarkEnd w:id="151"/>
      <w:bookmarkEnd w:id="152"/>
      <w:bookmarkEnd w:id="153"/>
    </w:p>
    <w:p>
      <w:pPr>
        <w:numPr>
          <w:ilvl w:val="1"/>
          <w:numId w:val="11"/>
        </w:numPr>
        <w:spacing w:line="360" w:lineRule="auto"/>
        <w:rPr>
          <w:rFonts w:ascii="宋体" w:hAnsi="宋体" w:eastAsia="宋体" w:cs="宋体"/>
        </w:rPr>
      </w:pPr>
      <w:r>
        <w:rPr>
          <w:rFonts w:hint="eastAsia" w:ascii="宋体" w:hAnsi="宋体" w:eastAsia="宋体" w:cs="宋体"/>
        </w:rPr>
        <w:t>磋商供应商应承担所有与编写和提交磋商响应文件有关的费用，不论磋商的结果如何，采购代理机构和采购人在任何情况下均无义务和责任承担这些费用。</w:t>
      </w:r>
    </w:p>
    <w:p>
      <w:pPr>
        <w:numPr>
          <w:ilvl w:val="0"/>
          <w:numId w:val="11"/>
        </w:numPr>
        <w:spacing w:line="360" w:lineRule="auto"/>
        <w:rPr>
          <w:rFonts w:ascii="宋体" w:hAnsi="宋体" w:eastAsia="宋体" w:cs="宋体"/>
        </w:rPr>
      </w:pPr>
      <w:r>
        <w:rPr>
          <w:rFonts w:hint="eastAsia" w:ascii="宋体" w:hAnsi="宋体" w:eastAsia="宋体" w:cs="宋体"/>
          <w:b/>
          <w:szCs w:val="21"/>
        </w:rPr>
        <w:t>现场踏勘：</w:t>
      </w:r>
      <w:r>
        <w:rPr>
          <w:rFonts w:hint="eastAsia" w:ascii="宋体" w:hAnsi="宋体" w:eastAsia="宋体" w:cs="宋体"/>
        </w:rPr>
        <w:t>自行前往</w:t>
      </w:r>
    </w:p>
    <w:p>
      <w:pPr>
        <w:numPr>
          <w:ilvl w:val="0"/>
          <w:numId w:val="11"/>
        </w:numPr>
        <w:spacing w:line="360" w:lineRule="auto"/>
        <w:rPr>
          <w:rFonts w:ascii="宋体" w:hAnsi="宋体" w:eastAsia="宋体" w:cs="宋体"/>
          <w:b/>
          <w:szCs w:val="21"/>
        </w:rPr>
      </w:pPr>
      <w:r>
        <w:rPr>
          <w:rFonts w:hint="eastAsia" w:ascii="宋体" w:hAnsi="宋体" w:eastAsia="宋体" w:cs="宋体"/>
          <w:b/>
          <w:szCs w:val="21"/>
        </w:rPr>
        <w:t>磋商委托</w:t>
      </w:r>
    </w:p>
    <w:p>
      <w:pPr>
        <w:numPr>
          <w:ilvl w:val="1"/>
          <w:numId w:val="11"/>
        </w:numPr>
        <w:spacing w:line="360" w:lineRule="auto"/>
        <w:rPr>
          <w:rFonts w:ascii="宋体" w:hAnsi="宋体"/>
        </w:rPr>
      </w:pPr>
      <w:r>
        <w:rPr>
          <w:rFonts w:hint="eastAsia" w:ascii="宋体" w:hAnsi="宋体" w:eastAsia="宋体" w:cs="宋体"/>
        </w:rPr>
        <w:t>如磋商供应商代表不是法定代表人，须持有《法定代表人授权委托书》。</w:t>
      </w:r>
    </w:p>
    <w:p>
      <w:pPr>
        <w:spacing w:line="360" w:lineRule="auto"/>
        <w:ind w:firstLine="843" w:firstLineChars="400"/>
        <w:rPr>
          <w:rFonts w:ascii="宋体" w:hAnsi="宋体"/>
        </w:rPr>
      </w:pPr>
      <w:r>
        <w:rPr>
          <w:rFonts w:hint="eastAsia" w:ascii="宋体" w:hAnsi="宋体"/>
          <w:b/>
        </w:rPr>
        <w:t>授权委托书需具备以下几项条件：</w:t>
      </w:r>
    </w:p>
    <w:p>
      <w:pPr>
        <w:spacing w:line="360" w:lineRule="auto"/>
        <w:ind w:left="840" w:leftChars="400"/>
        <w:rPr>
          <w:rFonts w:ascii="宋体" w:hAnsi="宋体"/>
        </w:rPr>
      </w:pPr>
      <w:r>
        <w:rPr>
          <w:rFonts w:hint="eastAsia" w:ascii="宋体" w:hAnsi="宋体"/>
        </w:rPr>
        <w:t>a.采用加盖公章；</w:t>
      </w:r>
    </w:p>
    <w:p>
      <w:pPr>
        <w:spacing w:line="360" w:lineRule="auto"/>
        <w:ind w:left="840" w:leftChars="400"/>
        <w:rPr>
          <w:rFonts w:ascii="宋体" w:hAnsi="宋体"/>
        </w:rPr>
      </w:pPr>
      <w:r>
        <w:rPr>
          <w:rFonts w:hint="eastAsia" w:ascii="宋体" w:hAnsi="宋体"/>
        </w:rPr>
        <w:t>b.法定代表人签字或盖章；</w:t>
      </w:r>
    </w:p>
    <w:p>
      <w:pPr>
        <w:spacing w:line="360" w:lineRule="auto"/>
        <w:ind w:left="840" w:leftChars="400"/>
      </w:pPr>
      <w:r>
        <w:rPr>
          <w:rFonts w:hint="eastAsia" w:ascii="宋体" w:hAnsi="宋体"/>
        </w:rPr>
        <w:t>C.授权代表身份证件。</w:t>
      </w:r>
      <w:bookmarkStart w:id="154" w:name="_Toc18422"/>
      <w:bookmarkStart w:id="155" w:name="_Toc5481"/>
      <w:bookmarkStart w:id="156" w:name="_Toc32491"/>
      <w:bookmarkStart w:id="157" w:name="_Toc27346"/>
      <w:bookmarkStart w:id="158" w:name="_Toc18144"/>
    </w:p>
    <w:p>
      <w:pPr>
        <w:pStyle w:val="5"/>
        <w:spacing w:before="156" w:beforeLines="50" w:after="156" w:afterLines="50" w:line="360" w:lineRule="auto"/>
        <w:jc w:val="center"/>
        <w:rPr>
          <w:rFonts w:ascii="宋体" w:hAnsi="宋体" w:eastAsia="宋体" w:cs="宋体"/>
          <w:b/>
          <w:bCs w:val="0"/>
          <w:sz w:val="24"/>
          <w:szCs w:val="24"/>
        </w:rPr>
      </w:pPr>
      <w:bookmarkStart w:id="159" w:name="_Toc12190"/>
      <w:bookmarkStart w:id="160" w:name="_Toc18413"/>
      <w:bookmarkStart w:id="161" w:name="_Toc3161"/>
      <w:r>
        <w:rPr>
          <w:rFonts w:hint="eastAsia" w:ascii="宋体" w:hAnsi="宋体" w:eastAsia="宋体" w:cs="宋体"/>
          <w:b/>
          <w:bCs w:val="0"/>
          <w:sz w:val="24"/>
          <w:szCs w:val="24"/>
        </w:rPr>
        <w:t>（三）磋商文件说明</w:t>
      </w:r>
      <w:bookmarkEnd w:id="154"/>
      <w:bookmarkEnd w:id="155"/>
      <w:bookmarkEnd w:id="156"/>
      <w:bookmarkEnd w:id="157"/>
      <w:bookmarkEnd w:id="158"/>
      <w:bookmarkEnd w:id="159"/>
      <w:bookmarkEnd w:id="160"/>
      <w:bookmarkEnd w:id="161"/>
    </w:p>
    <w:p>
      <w:pPr>
        <w:numPr>
          <w:ilvl w:val="0"/>
          <w:numId w:val="11"/>
        </w:numPr>
        <w:snapToGrid w:val="0"/>
        <w:spacing w:line="360" w:lineRule="auto"/>
        <w:outlineLvl w:val="2"/>
        <w:rPr>
          <w:rFonts w:ascii="宋体" w:hAnsi="宋体" w:eastAsia="宋体" w:cs="宋体"/>
          <w:b/>
          <w:szCs w:val="21"/>
        </w:rPr>
      </w:pPr>
      <w:bookmarkStart w:id="162" w:name="_Toc29208"/>
      <w:bookmarkStart w:id="163" w:name="_Toc10529"/>
      <w:bookmarkStart w:id="164" w:name="_Toc18351"/>
      <w:bookmarkStart w:id="165" w:name="_Toc5020"/>
      <w:bookmarkStart w:id="166" w:name="_Toc15998"/>
      <w:r>
        <w:rPr>
          <w:rFonts w:hint="eastAsia" w:ascii="宋体" w:hAnsi="宋体" w:eastAsia="宋体" w:cs="宋体"/>
          <w:b/>
          <w:szCs w:val="21"/>
        </w:rPr>
        <w:t>磋商文件构成</w:t>
      </w:r>
      <w:bookmarkEnd w:id="162"/>
      <w:bookmarkEnd w:id="163"/>
      <w:bookmarkEnd w:id="164"/>
      <w:bookmarkEnd w:id="165"/>
      <w:bookmarkEnd w:id="166"/>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磋商文件是用以阐明所需服务，以及竞争性磋商、磋商程序和相应的合同条款。</w:t>
      </w:r>
    </w:p>
    <w:p>
      <w:pPr>
        <w:snapToGrid w:val="0"/>
        <w:spacing w:line="360" w:lineRule="auto"/>
        <w:ind w:firstLine="840" w:firstLineChars="400"/>
        <w:rPr>
          <w:rFonts w:ascii="宋体" w:hAnsi="宋体" w:eastAsia="宋体" w:cs="宋体"/>
          <w:szCs w:val="21"/>
        </w:rPr>
      </w:pPr>
      <w:r>
        <w:rPr>
          <w:rFonts w:hint="eastAsia" w:ascii="宋体" w:hAnsi="宋体" w:eastAsia="宋体" w:cs="宋体"/>
          <w:szCs w:val="21"/>
        </w:rPr>
        <w:t>“磋商文件”由下述部分组成：</w:t>
      </w:r>
    </w:p>
    <w:p>
      <w:pPr>
        <w:snapToGrid w:val="0"/>
        <w:spacing w:line="360" w:lineRule="auto"/>
        <w:ind w:left="840" w:leftChars="400"/>
        <w:rPr>
          <w:rFonts w:ascii="宋体" w:hAnsi="宋体" w:eastAsia="宋体" w:cs="宋体"/>
          <w:szCs w:val="21"/>
        </w:rPr>
      </w:pPr>
      <w:r>
        <w:rPr>
          <w:rFonts w:hint="eastAsia" w:ascii="宋体" w:hAnsi="宋体" w:eastAsia="宋体" w:cs="宋体"/>
          <w:szCs w:val="21"/>
        </w:rPr>
        <w:t>第一部分  竞争性磋商公告</w:t>
      </w:r>
    </w:p>
    <w:p>
      <w:pPr>
        <w:snapToGrid w:val="0"/>
        <w:spacing w:line="360" w:lineRule="auto"/>
        <w:ind w:left="840" w:leftChars="400"/>
        <w:rPr>
          <w:rFonts w:ascii="宋体" w:hAnsi="宋体" w:eastAsia="宋体" w:cs="宋体"/>
          <w:szCs w:val="21"/>
        </w:rPr>
      </w:pPr>
      <w:r>
        <w:rPr>
          <w:rFonts w:hint="eastAsia" w:ascii="宋体" w:hAnsi="宋体" w:eastAsia="宋体" w:cs="宋体"/>
          <w:szCs w:val="21"/>
        </w:rPr>
        <w:t>第二部分  磋商供应商须知</w:t>
      </w:r>
    </w:p>
    <w:p>
      <w:pPr>
        <w:snapToGrid w:val="0"/>
        <w:spacing w:line="360" w:lineRule="auto"/>
        <w:ind w:left="840" w:leftChars="400"/>
        <w:rPr>
          <w:rFonts w:ascii="宋体" w:hAnsi="宋体" w:eastAsia="宋体" w:cs="宋体"/>
          <w:szCs w:val="21"/>
        </w:rPr>
      </w:pPr>
      <w:r>
        <w:rPr>
          <w:rFonts w:hint="eastAsia" w:ascii="宋体" w:hAnsi="宋体" w:eastAsia="宋体" w:cs="宋体"/>
          <w:szCs w:val="21"/>
        </w:rPr>
        <w:t>第三部分  竞争性磋商服务内容及要求</w:t>
      </w:r>
    </w:p>
    <w:p>
      <w:pPr>
        <w:snapToGrid w:val="0"/>
        <w:spacing w:line="360" w:lineRule="auto"/>
        <w:ind w:left="840" w:leftChars="400"/>
        <w:rPr>
          <w:rFonts w:ascii="宋体" w:hAnsi="宋体" w:eastAsia="宋体" w:cs="宋体"/>
          <w:szCs w:val="21"/>
        </w:rPr>
      </w:pPr>
      <w:r>
        <w:rPr>
          <w:rFonts w:hint="eastAsia" w:ascii="宋体" w:hAnsi="宋体" w:eastAsia="宋体" w:cs="宋体"/>
          <w:szCs w:val="21"/>
        </w:rPr>
        <w:t>第四部分  合同条款</w:t>
      </w:r>
    </w:p>
    <w:p>
      <w:pPr>
        <w:snapToGrid w:val="0"/>
        <w:spacing w:line="360" w:lineRule="auto"/>
        <w:ind w:left="840" w:leftChars="400"/>
        <w:rPr>
          <w:rFonts w:ascii="宋体" w:hAnsi="宋体" w:eastAsia="宋体" w:cs="宋体"/>
          <w:szCs w:val="21"/>
        </w:rPr>
      </w:pPr>
      <w:r>
        <w:rPr>
          <w:rFonts w:hint="eastAsia" w:ascii="宋体" w:hAnsi="宋体" w:eastAsia="宋体" w:cs="宋体"/>
          <w:szCs w:val="21"/>
        </w:rPr>
        <w:t>第五部分  磋商响应文件格式</w:t>
      </w:r>
    </w:p>
    <w:p>
      <w:pPr>
        <w:snapToGrid w:val="0"/>
        <w:spacing w:line="360" w:lineRule="auto"/>
        <w:ind w:left="840" w:leftChars="400"/>
        <w:rPr>
          <w:rFonts w:ascii="宋体" w:hAnsi="宋体" w:eastAsia="宋体" w:cs="宋体"/>
          <w:szCs w:val="21"/>
        </w:rPr>
      </w:pPr>
      <w:r>
        <w:rPr>
          <w:rFonts w:hint="eastAsia" w:ascii="宋体" w:hAnsi="宋体" w:eastAsia="宋体" w:cs="宋体"/>
          <w:szCs w:val="21"/>
        </w:rPr>
        <w:t>第六部分  评定办法</w:t>
      </w:r>
    </w:p>
    <w:p>
      <w:pPr>
        <w:pStyle w:val="2"/>
        <w:ind w:firstLine="420" w:firstLineChars="200"/>
      </w:pPr>
      <w:r>
        <w:rPr>
          <w:rFonts w:hint="eastAsia"/>
        </w:rPr>
        <w:t>第七部分  信贷政策</w:t>
      </w:r>
    </w:p>
    <w:p>
      <w:pPr>
        <w:snapToGrid w:val="0"/>
        <w:spacing w:line="360" w:lineRule="auto"/>
        <w:ind w:left="840" w:leftChars="400"/>
        <w:rPr>
          <w:rFonts w:ascii="宋体" w:hAnsi="宋体" w:eastAsia="宋体" w:cs="宋体"/>
          <w:szCs w:val="21"/>
        </w:rPr>
      </w:pPr>
      <w:r>
        <w:rPr>
          <w:rFonts w:hint="eastAsia" w:ascii="宋体" w:hAnsi="宋体" w:eastAsia="宋体" w:cs="宋体"/>
          <w:szCs w:val="21"/>
        </w:rPr>
        <w:t>第八部分  补充通知及答疑（若有）</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本磋商文件要求磋商供应商作出实质性响应的有关技术和商务条款，将在该条款前以“▲” 醒目标识。</w:t>
      </w:r>
    </w:p>
    <w:p>
      <w:pPr>
        <w:numPr>
          <w:ilvl w:val="0"/>
          <w:numId w:val="11"/>
        </w:numPr>
        <w:snapToGrid w:val="0"/>
        <w:spacing w:line="360" w:lineRule="auto"/>
        <w:outlineLvl w:val="2"/>
        <w:rPr>
          <w:rFonts w:ascii="宋体" w:hAnsi="宋体" w:eastAsia="宋体" w:cs="宋体"/>
          <w:b/>
          <w:szCs w:val="21"/>
        </w:rPr>
      </w:pPr>
      <w:bookmarkStart w:id="167" w:name="_Toc24860"/>
      <w:bookmarkStart w:id="168" w:name="_Toc4543"/>
      <w:bookmarkStart w:id="169" w:name="_Toc25802"/>
      <w:bookmarkStart w:id="170" w:name="_Toc10868"/>
      <w:bookmarkStart w:id="171" w:name="_Toc15616"/>
      <w:r>
        <w:rPr>
          <w:rFonts w:hint="eastAsia" w:ascii="宋体" w:hAnsi="宋体" w:eastAsia="宋体" w:cs="宋体"/>
          <w:b/>
          <w:szCs w:val="21"/>
        </w:rPr>
        <w:t>磋商文件的澄清</w:t>
      </w:r>
      <w:bookmarkEnd w:id="167"/>
      <w:bookmarkEnd w:id="168"/>
      <w:bookmarkEnd w:id="169"/>
      <w:bookmarkEnd w:id="170"/>
      <w:bookmarkEnd w:id="171"/>
    </w:p>
    <w:p>
      <w:pPr>
        <w:numPr>
          <w:ilvl w:val="1"/>
          <w:numId w:val="11"/>
        </w:numPr>
        <w:snapToGrid w:val="0"/>
        <w:spacing w:line="360" w:lineRule="auto"/>
        <w:rPr>
          <w:rFonts w:ascii="宋体" w:hAnsi="宋体" w:eastAsia="宋体" w:cs="宋体"/>
        </w:rPr>
      </w:pPr>
      <w:r>
        <w:rPr>
          <w:rFonts w:hint="eastAsia" w:ascii="宋体" w:hAnsi="宋体" w:eastAsia="宋体" w:cs="宋体"/>
        </w:rPr>
        <w:t>任何要求对磋商文件进行澄清的磋商供应商，均应在答疑截止期规定时间以前以书面形式寄送给采购代理机构或发送至代理机构邮箱。</w:t>
      </w:r>
    </w:p>
    <w:p>
      <w:pPr>
        <w:numPr>
          <w:ilvl w:val="1"/>
          <w:numId w:val="11"/>
        </w:numPr>
        <w:snapToGrid w:val="0"/>
        <w:spacing w:line="360" w:lineRule="auto"/>
        <w:rPr>
          <w:rFonts w:ascii="宋体" w:hAnsi="宋体" w:eastAsia="宋体" w:cs="宋体"/>
        </w:rPr>
      </w:pPr>
      <w:r>
        <w:rPr>
          <w:rFonts w:hint="eastAsia" w:ascii="宋体" w:hAnsi="宋体" w:eastAsia="宋体" w:cs="宋体"/>
        </w:rPr>
        <w:t>采购代理机构对已发出的磋商文件进行必要澄清或者修改的，将提交首次响应文件截止时间5日前在“温州市公共资源交易网—瑞安市分网”和“浙江省政府采购网”上发布更正公告。答复中包括原提出的问题，但不包括问题的来源。供应商登陆温州市公共资源交易网—瑞安市分网站会员系统从“下载答疑文件处”自行下载，该澄清和修改的内容作为磋商文件的组成部分。</w:t>
      </w:r>
    </w:p>
    <w:p>
      <w:pPr>
        <w:pStyle w:val="5"/>
        <w:spacing w:before="156" w:beforeLines="50" w:after="156" w:afterLines="50" w:line="380" w:lineRule="exact"/>
        <w:jc w:val="center"/>
        <w:rPr>
          <w:rFonts w:ascii="宋体" w:hAnsi="宋体" w:eastAsia="宋体" w:cs="宋体"/>
          <w:sz w:val="24"/>
          <w:szCs w:val="24"/>
        </w:rPr>
      </w:pPr>
      <w:bookmarkStart w:id="172" w:name="_Toc14604"/>
      <w:bookmarkStart w:id="173" w:name="_Toc1802"/>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
    <w:p>
      <w:bookmarkStart w:id="174" w:name="_Toc30260"/>
      <w:bookmarkStart w:id="175" w:name="_Toc18770"/>
      <w:bookmarkStart w:id="176" w:name="_Toc4679"/>
      <w:bookmarkStart w:id="177" w:name="_Toc14731"/>
      <w:bookmarkStart w:id="178" w:name="_Toc28125"/>
    </w:p>
    <w:p/>
    <w:p/>
    <w:p/>
    <w:p/>
    <w:p>
      <w:pPr>
        <w:pStyle w:val="5"/>
        <w:spacing w:before="156" w:beforeLines="50" w:after="156" w:afterLines="50" w:line="360" w:lineRule="auto"/>
        <w:jc w:val="center"/>
        <w:rPr>
          <w:rFonts w:ascii="宋体" w:hAnsi="宋体" w:eastAsia="宋体" w:cs="宋体"/>
          <w:b/>
          <w:bCs w:val="0"/>
          <w:sz w:val="24"/>
          <w:szCs w:val="24"/>
        </w:rPr>
      </w:pPr>
      <w:bookmarkStart w:id="179" w:name="_Toc27184"/>
      <w:r>
        <w:rPr>
          <w:rFonts w:hint="eastAsia" w:ascii="宋体" w:hAnsi="宋体" w:eastAsia="宋体" w:cs="宋体"/>
          <w:b/>
          <w:bCs w:val="0"/>
          <w:sz w:val="24"/>
          <w:szCs w:val="24"/>
        </w:rPr>
        <w:t>（四）磋商响应文件的编制</w:t>
      </w:r>
      <w:bookmarkEnd w:id="172"/>
      <w:bookmarkEnd w:id="173"/>
      <w:bookmarkEnd w:id="174"/>
      <w:bookmarkEnd w:id="175"/>
      <w:bookmarkEnd w:id="176"/>
      <w:bookmarkEnd w:id="177"/>
      <w:bookmarkEnd w:id="178"/>
      <w:bookmarkEnd w:id="179"/>
    </w:p>
    <w:p>
      <w:pPr>
        <w:numPr>
          <w:ilvl w:val="0"/>
          <w:numId w:val="11"/>
        </w:numPr>
        <w:snapToGrid w:val="0"/>
        <w:spacing w:line="360" w:lineRule="auto"/>
        <w:outlineLvl w:val="2"/>
        <w:rPr>
          <w:rFonts w:ascii="宋体" w:hAnsi="宋体" w:eastAsia="宋体" w:cs="宋体"/>
          <w:b/>
          <w:bCs/>
          <w:szCs w:val="21"/>
        </w:rPr>
      </w:pPr>
      <w:bookmarkStart w:id="180" w:name="_Toc10809"/>
      <w:bookmarkStart w:id="181" w:name="_Toc20721"/>
      <w:bookmarkStart w:id="182" w:name="_Toc7832"/>
      <w:bookmarkStart w:id="183" w:name="_Toc19220"/>
      <w:bookmarkStart w:id="184" w:name="_Toc32516"/>
      <w:r>
        <w:rPr>
          <w:rFonts w:hint="eastAsia" w:ascii="宋体" w:hAnsi="宋体" w:eastAsia="宋体" w:cs="宋体"/>
          <w:b/>
          <w:bCs/>
          <w:szCs w:val="21"/>
        </w:rPr>
        <w:t>磋商响应文件的说明</w:t>
      </w:r>
      <w:bookmarkEnd w:id="180"/>
      <w:bookmarkEnd w:id="181"/>
      <w:bookmarkEnd w:id="182"/>
      <w:bookmarkEnd w:id="183"/>
      <w:bookmarkEnd w:id="184"/>
    </w:p>
    <w:p>
      <w:pPr>
        <w:numPr>
          <w:ilvl w:val="1"/>
          <w:numId w:val="11"/>
        </w:numPr>
        <w:snapToGrid w:val="0"/>
        <w:spacing w:line="360" w:lineRule="auto"/>
        <w:rPr>
          <w:rFonts w:ascii="宋体" w:hAnsi="宋体" w:eastAsia="宋体" w:cs="宋体"/>
        </w:rPr>
      </w:pPr>
      <w:r>
        <w:rPr>
          <w:rFonts w:hint="eastAsia" w:ascii="宋体" w:hAnsi="宋体" w:eastAsia="宋体" w:cs="宋体"/>
        </w:rPr>
        <w:t>磋商响应文件应字迹清楚、内容齐全、不得涂改。如有修改，修改处须有法定代表人或其同一授权代表盖章（或签字）。</w:t>
      </w:r>
    </w:p>
    <w:p>
      <w:pPr>
        <w:numPr>
          <w:ilvl w:val="1"/>
          <w:numId w:val="11"/>
        </w:numPr>
        <w:snapToGrid w:val="0"/>
        <w:spacing w:line="360" w:lineRule="auto"/>
        <w:rPr>
          <w:rFonts w:ascii="宋体" w:hAnsi="宋体" w:eastAsia="宋体" w:cs="宋体"/>
        </w:rPr>
      </w:pPr>
      <w:r>
        <w:rPr>
          <w:rFonts w:hint="eastAsia" w:ascii="宋体" w:hAnsi="宋体" w:eastAsia="宋体" w:cs="宋体"/>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pPr>
        <w:numPr>
          <w:ilvl w:val="0"/>
          <w:numId w:val="11"/>
        </w:numPr>
        <w:snapToGrid w:val="0"/>
        <w:spacing w:line="360" w:lineRule="auto"/>
        <w:outlineLvl w:val="2"/>
        <w:rPr>
          <w:rFonts w:ascii="宋体" w:hAnsi="宋体" w:eastAsia="宋体" w:cs="宋体"/>
          <w:b/>
          <w:bCs/>
          <w:sz w:val="24"/>
        </w:rPr>
      </w:pPr>
      <w:bookmarkStart w:id="185" w:name="_Toc12351"/>
      <w:bookmarkStart w:id="186" w:name="_Toc1885"/>
      <w:bookmarkStart w:id="187" w:name="_Toc2115"/>
      <w:bookmarkStart w:id="188" w:name="_Toc10383"/>
      <w:bookmarkStart w:id="189" w:name="_Toc5698"/>
      <w:r>
        <w:rPr>
          <w:rFonts w:hint="eastAsia" w:ascii="宋体" w:hAnsi="宋体" w:eastAsia="宋体" w:cs="宋体"/>
          <w:b/>
          <w:bCs/>
          <w:szCs w:val="21"/>
        </w:rPr>
        <w:t>磋商响应文件的组成</w:t>
      </w:r>
      <w:bookmarkEnd w:id="185"/>
      <w:bookmarkEnd w:id="186"/>
      <w:bookmarkEnd w:id="187"/>
      <w:bookmarkEnd w:id="188"/>
      <w:bookmarkEnd w:id="189"/>
    </w:p>
    <w:p>
      <w:pPr>
        <w:numPr>
          <w:ilvl w:val="1"/>
          <w:numId w:val="11"/>
        </w:numPr>
        <w:snapToGrid w:val="0"/>
        <w:spacing w:line="360" w:lineRule="auto"/>
        <w:rPr>
          <w:rFonts w:ascii="宋体" w:hAnsi="宋体" w:eastAsia="宋体" w:cs="宋体"/>
          <w:sz w:val="24"/>
        </w:rPr>
      </w:pPr>
      <w:r>
        <w:rPr>
          <w:rFonts w:hint="eastAsia" w:ascii="宋体" w:hAnsi="宋体" w:eastAsia="宋体" w:cs="宋体"/>
        </w:rPr>
        <w:t>磋商供应商编写的磋商响应文件应包括下列部分：</w:t>
      </w:r>
    </w:p>
    <w:p>
      <w:pPr>
        <w:pStyle w:val="27"/>
        <w:spacing w:line="360" w:lineRule="auto"/>
        <w:outlineLvl w:val="3"/>
        <w:rPr>
          <w:rFonts w:hAnsi="宋体" w:eastAsia="宋体" w:cs="宋体"/>
          <w:b/>
          <w:bCs/>
        </w:rPr>
      </w:pPr>
      <w:r>
        <w:rPr>
          <w:rFonts w:hint="eastAsia" w:hAnsi="宋体" w:eastAsia="宋体" w:cs="宋体"/>
          <w:b/>
          <w:bCs/>
        </w:rPr>
        <w:t>一、资格响应部分</w:t>
      </w:r>
    </w:p>
    <w:p>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关于资格、资质证明文件的声明函。                         （见第五部分附件一）</w:t>
      </w:r>
    </w:p>
    <w:p>
      <w:pPr>
        <w:pStyle w:val="9"/>
        <w:numPr>
          <w:ilvl w:val="0"/>
          <w:numId w:val="13"/>
        </w:numPr>
        <w:ind w:left="1058" w:leftChars="401" w:hanging="216" w:hangingChars="103"/>
        <w:rPr>
          <w:rFonts w:ascii="宋体" w:hAnsi="宋体" w:eastAsia="宋体" w:cs="宋体"/>
          <w:kern w:val="0"/>
          <w:sz w:val="21"/>
        </w:rPr>
      </w:pPr>
      <w:r>
        <w:rPr>
          <w:rFonts w:hint="eastAsia" w:ascii="宋体" w:hAnsi="宋体" w:eastAsia="宋体" w:cs="宋体"/>
          <w:kern w:val="0"/>
          <w:sz w:val="21"/>
        </w:rPr>
        <w:t>出具符合以下情况的证明材料扫描件（五选一）</w:t>
      </w:r>
    </w:p>
    <w:p>
      <w:pPr>
        <w:pStyle w:val="9"/>
        <w:ind w:left="1256" w:leftChars="498" w:hanging="210" w:hangingChars="100"/>
        <w:rPr>
          <w:rFonts w:ascii="宋体" w:hAnsi="宋体" w:eastAsia="宋体" w:cs="宋体"/>
          <w:kern w:val="0"/>
          <w:sz w:val="21"/>
        </w:rPr>
      </w:pPr>
      <w:r>
        <w:rPr>
          <w:rFonts w:hint="eastAsia" w:ascii="宋体" w:hAnsi="宋体" w:eastAsia="宋体" w:cs="宋体"/>
          <w:kern w:val="0"/>
          <w:sz w:val="21"/>
        </w:rPr>
        <w:t>①如磋商供应商是企业（包括合伙企业），提供在工商部门注册的有效“企业法人营业执照”或“营业执照”；</w:t>
      </w:r>
    </w:p>
    <w:p>
      <w:pPr>
        <w:pStyle w:val="9"/>
        <w:ind w:left="626" w:leftChars="298" w:firstLine="420" w:firstLineChars="200"/>
        <w:rPr>
          <w:rFonts w:ascii="宋体" w:hAnsi="宋体" w:eastAsia="宋体" w:cs="宋体"/>
          <w:kern w:val="0"/>
          <w:sz w:val="21"/>
        </w:rPr>
      </w:pPr>
      <w:r>
        <w:rPr>
          <w:rFonts w:hint="eastAsia" w:ascii="宋体" w:hAnsi="宋体" w:eastAsia="宋体" w:cs="宋体"/>
          <w:kern w:val="0"/>
          <w:sz w:val="21"/>
        </w:rPr>
        <w:t>②如磋商供应商是事业单位，提供有效的“事业单位法人证书”；</w:t>
      </w:r>
    </w:p>
    <w:p>
      <w:pPr>
        <w:pStyle w:val="9"/>
        <w:ind w:left="626" w:leftChars="298" w:firstLine="420" w:firstLineChars="200"/>
        <w:rPr>
          <w:rFonts w:ascii="宋体" w:hAnsi="宋体" w:eastAsia="宋体" w:cs="宋体"/>
          <w:kern w:val="0"/>
          <w:sz w:val="21"/>
        </w:rPr>
      </w:pPr>
      <w:r>
        <w:rPr>
          <w:rFonts w:hint="eastAsia" w:ascii="宋体" w:hAnsi="宋体" w:eastAsia="宋体" w:cs="宋体"/>
          <w:kern w:val="0"/>
          <w:sz w:val="21"/>
        </w:rPr>
        <w:t>③如磋商供应商是非企业专业服务机构的，提供执业许可证等证明文件；</w:t>
      </w:r>
    </w:p>
    <w:p>
      <w:pPr>
        <w:pStyle w:val="9"/>
        <w:ind w:left="626" w:leftChars="298" w:firstLine="420" w:firstLineChars="200"/>
        <w:rPr>
          <w:rFonts w:ascii="宋体" w:hAnsi="宋体" w:eastAsia="宋体" w:cs="宋体"/>
          <w:kern w:val="0"/>
          <w:sz w:val="21"/>
        </w:rPr>
      </w:pPr>
      <w:r>
        <w:rPr>
          <w:rFonts w:hint="eastAsia" w:ascii="宋体" w:hAnsi="宋体" w:eastAsia="宋体" w:cs="宋体"/>
          <w:kern w:val="0"/>
          <w:sz w:val="21"/>
        </w:rPr>
        <w:t>④如磋商供应商是个体工商户，提供有效的“个体工商户营业执照”；</w:t>
      </w:r>
    </w:p>
    <w:p>
      <w:pPr>
        <w:pStyle w:val="9"/>
        <w:ind w:left="1256" w:leftChars="498" w:hanging="210" w:hangingChars="100"/>
        <w:rPr>
          <w:rFonts w:ascii="宋体" w:hAnsi="宋体" w:eastAsia="宋体" w:cs="宋体"/>
          <w:kern w:val="0"/>
          <w:sz w:val="21"/>
        </w:rPr>
      </w:pPr>
      <w:r>
        <w:rPr>
          <w:rFonts w:hint="eastAsia" w:ascii="宋体" w:hAnsi="宋体" w:eastAsia="宋体" w:cs="宋体"/>
          <w:kern w:val="0"/>
          <w:sz w:val="21"/>
        </w:rPr>
        <w:t>⑤如磋商供应商是自然人，提供有效的自然人身份证明（居民身份证正反面或公安机关出具的临时居民身份证正反面或港澳台胞证或证照）。</w:t>
      </w:r>
    </w:p>
    <w:p>
      <w:pPr>
        <w:pStyle w:val="9"/>
        <w:numPr>
          <w:ilvl w:val="0"/>
          <w:numId w:val="13"/>
        </w:numPr>
        <w:ind w:left="1058" w:leftChars="401" w:hanging="216" w:hangingChars="103"/>
        <w:rPr>
          <w:rFonts w:ascii="宋体" w:hAnsi="宋体" w:eastAsia="宋体" w:cs="宋体"/>
          <w:kern w:val="0"/>
          <w:sz w:val="21"/>
        </w:rPr>
      </w:pPr>
      <w:r>
        <w:rPr>
          <w:rFonts w:hint="eastAsia" w:ascii="宋体" w:hAnsi="宋体" w:eastAsia="宋体" w:cs="宋体"/>
          <w:kern w:val="0"/>
          <w:sz w:val="21"/>
        </w:rPr>
        <w:t>供应商相关资质证明文件扫描件；</w:t>
      </w:r>
    </w:p>
    <w:p>
      <w:pPr>
        <w:pStyle w:val="9"/>
        <w:numPr>
          <w:ilvl w:val="0"/>
          <w:numId w:val="13"/>
        </w:numPr>
        <w:ind w:left="1058" w:leftChars="401" w:hanging="216" w:hangingChars="103"/>
        <w:rPr>
          <w:rFonts w:ascii="宋体" w:hAnsi="宋体" w:eastAsia="宋体" w:cs="宋体"/>
          <w:kern w:val="0"/>
          <w:sz w:val="21"/>
        </w:rPr>
      </w:pPr>
      <w:r>
        <w:rPr>
          <w:rFonts w:hint="eastAsia" w:ascii="宋体" w:hAnsi="宋体" w:eastAsia="宋体" w:cs="宋体"/>
          <w:kern w:val="0"/>
          <w:sz w:val="21"/>
        </w:rPr>
        <w:t>项目负责人相关证书扫描件（如有）；</w:t>
      </w:r>
    </w:p>
    <w:p>
      <w:pPr>
        <w:pStyle w:val="9"/>
        <w:numPr>
          <w:ilvl w:val="0"/>
          <w:numId w:val="13"/>
        </w:numPr>
        <w:ind w:left="1058" w:leftChars="401" w:hanging="216" w:hangingChars="103"/>
        <w:rPr>
          <w:rFonts w:ascii="宋体" w:hAnsi="宋体" w:eastAsia="宋体" w:cs="宋体"/>
          <w:kern w:val="0"/>
          <w:sz w:val="21"/>
        </w:rPr>
      </w:pPr>
      <w:r>
        <w:rPr>
          <w:rFonts w:hint="eastAsia" w:ascii="宋体" w:hAnsi="宋体" w:eastAsia="宋体" w:cs="宋体"/>
          <w:kern w:val="0"/>
          <w:sz w:val="21"/>
        </w:rPr>
        <w:t>供应商的其他证书扫描件（如有）。</w:t>
      </w:r>
    </w:p>
    <w:p>
      <w:pPr>
        <w:pStyle w:val="9"/>
        <w:numPr>
          <w:ilvl w:val="0"/>
          <w:numId w:val="12"/>
        </w:numPr>
        <w:ind w:left="1045" w:hanging="625"/>
        <w:jc w:val="left"/>
        <w:rPr>
          <w:rFonts w:ascii="宋体" w:hAnsi="宋体" w:eastAsia="宋体" w:cs="宋体"/>
          <w:bCs/>
          <w:kern w:val="0"/>
          <w:sz w:val="21"/>
        </w:rPr>
      </w:pPr>
      <w:r>
        <w:rPr>
          <w:rFonts w:hint="eastAsia" w:ascii="宋体" w:hAnsi="宋体" w:eastAsia="宋体" w:cs="宋体"/>
          <w:bCs/>
          <w:kern w:val="0"/>
          <w:sz w:val="21"/>
        </w:rPr>
        <w:t>关于满足《中华人民共和国政府采购法》第二十二条规定的承诺函。</w:t>
      </w:r>
    </w:p>
    <w:p>
      <w:pPr>
        <w:pStyle w:val="9"/>
        <w:ind w:left="420"/>
        <w:jc w:val="right"/>
        <w:rPr>
          <w:rFonts w:ascii="宋体" w:hAnsi="宋体" w:eastAsia="宋体" w:cs="宋体"/>
          <w:bCs/>
          <w:kern w:val="0"/>
          <w:sz w:val="21"/>
        </w:rPr>
      </w:pPr>
      <w:r>
        <w:rPr>
          <w:rFonts w:hint="eastAsia" w:ascii="宋体" w:hAnsi="宋体" w:eastAsia="宋体" w:cs="宋体"/>
          <w:bCs/>
          <w:kern w:val="0"/>
          <w:sz w:val="21"/>
        </w:rPr>
        <w:t xml:space="preserve">   （见第五部分附件二）</w:t>
      </w:r>
    </w:p>
    <w:p>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未被“信用中国”、“中国政府采购网”列入失信被执行人、重大违法案件当事人名单、政府采购严重违法失信行为记录名单。（以采购组织机构在开标当日在“信用中国”（www.creditchina.gov.cn）、中国政府采购网（www.ccgp.gov.cn）网页查询记录为准。）</w:t>
      </w:r>
    </w:p>
    <w:p>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法定代表人授权委托书；                                 （见第五部分附件三-1）</w:t>
      </w:r>
    </w:p>
    <w:p>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法定代表人身份证明；                                   （见第五部分附件三-2）</w:t>
      </w:r>
    </w:p>
    <w:p>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供应商需在响应文件中出具符合以下情况的证明材料（三选一）：</w:t>
      </w:r>
    </w:p>
    <w:p>
      <w:pPr>
        <w:tabs>
          <w:tab w:val="left" w:pos="1060"/>
        </w:tabs>
        <w:snapToGrid w:val="0"/>
        <w:spacing w:line="360" w:lineRule="auto"/>
        <w:ind w:left="420" w:firstLine="630" w:firstLineChars="300"/>
        <w:rPr>
          <w:rFonts w:ascii="宋体" w:hAnsi="宋体" w:eastAsia="宋体" w:cs="宋体"/>
          <w:szCs w:val="21"/>
        </w:rPr>
      </w:pPr>
      <w:r>
        <w:rPr>
          <w:rFonts w:hint="eastAsia" w:ascii="宋体" w:hAnsi="宋体" w:eastAsia="宋体" w:cs="宋体"/>
          <w:szCs w:val="21"/>
        </w:rPr>
        <w:t xml:space="preserve">① 中小企业声明函；                              </w:t>
      </w:r>
      <w:r>
        <w:rPr>
          <w:rFonts w:hint="eastAsia" w:ascii="宋体" w:hAnsi="宋体" w:eastAsia="宋体" w:cs="宋体"/>
          <w:szCs w:val="21"/>
          <w:lang w:val="en-US" w:eastAsia="zh-CN"/>
        </w:rPr>
        <w:t xml:space="preserve">       </w:t>
      </w:r>
      <w:r>
        <w:rPr>
          <w:rFonts w:hint="eastAsia" w:ascii="宋体" w:hAnsi="宋体" w:eastAsia="宋体" w:cs="宋体"/>
          <w:szCs w:val="21"/>
        </w:rPr>
        <w:t>（见第五部分附件四）</w:t>
      </w:r>
    </w:p>
    <w:p>
      <w:pPr>
        <w:tabs>
          <w:tab w:val="left" w:pos="1060"/>
        </w:tabs>
        <w:snapToGrid w:val="0"/>
        <w:spacing w:line="360" w:lineRule="auto"/>
        <w:ind w:left="420" w:firstLine="630" w:firstLineChars="300"/>
        <w:rPr>
          <w:rFonts w:ascii="宋体" w:hAnsi="宋体" w:eastAsia="宋体" w:cs="宋体"/>
          <w:szCs w:val="21"/>
        </w:rPr>
      </w:pPr>
      <w:r>
        <w:rPr>
          <w:rFonts w:hint="eastAsia" w:ascii="宋体" w:hAnsi="宋体" w:eastAsia="宋体" w:cs="宋体"/>
          <w:szCs w:val="21"/>
        </w:rPr>
        <w:t xml:space="preserve">② 残疾人福利性单位声明函；（残疾人福利性单位投标时适用）  </w:t>
      </w:r>
    </w:p>
    <w:p>
      <w:pPr>
        <w:tabs>
          <w:tab w:val="left" w:pos="1060"/>
        </w:tabs>
        <w:snapToGrid w:val="0"/>
        <w:spacing w:line="360" w:lineRule="auto"/>
        <w:ind w:left="420" w:firstLine="630" w:firstLineChars="300"/>
        <w:jc w:val="right"/>
        <w:rPr>
          <w:rFonts w:ascii="宋体" w:hAnsi="宋体" w:eastAsia="宋体" w:cs="宋体"/>
          <w:szCs w:val="21"/>
        </w:rPr>
      </w:pPr>
      <w:r>
        <w:rPr>
          <w:rFonts w:hint="eastAsia" w:ascii="宋体" w:hAnsi="宋体" w:eastAsia="宋体" w:cs="宋体"/>
          <w:szCs w:val="21"/>
        </w:rPr>
        <w:t xml:space="preserve">    （见第五部分附件五）</w:t>
      </w:r>
    </w:p>
    <w:p>
      <w:pPr>
        <w:pStyle w:val="2"/>
        <w:spacing w:line="360" w:lineRule="auto"/>
      </w:pPr>
      <w:r>
        <w:rPr>
          <w:rFonts w:hint="eastAsia" w:ascii="宋体" w:hAnsi="宋体" w:eastAsia="宋体" w:cs="宋体"/>
          <w:szCs w:val="21"/>
        </w:rPr>
        <w:t>③ 省级以上监狱管理局、戒毒管理局（含新疆生产建设兵团）出具的属于监狱企业的证明文件；（监狱企业投标时适用）；</w:t>
      </w:r>
    </w:p>
    <w:p>
      <w:pPr>
        <w:pStyle w:val="27"/>
        <w:spacing w:before="156" w:beforeLines="50" w:line="360" w:lineRule="auto"/>
        <w:ind w:firstLine="422" w:firstLineChars="200"/>
        <w:rPr>
          <w:rFonts w:hAnsi="宋体" w:eastAsia="宋体" w:cs="宋体"/>
        </w:rPr>
      </w:pPr>
      <w:r>
        <w:rPr>
          <w:rFonts w:hint="eastAsia" w:hAnsi="宋体" w:eastAsia="宋体" w:cs="宋体"/>
          <w:b/>
          <w:bCs/>
        </w:rPr>
        <w:t>备注：以上所需的各种证书、证件、证明、执照等证明材料均须加盖供应商公章，如遇年检或换证等特殊情况须按要求提供相应的证明材料。</w:t>
      </w:r>
    </w:p>
    <w:p>
      <w:pPr>
        <w:pStyle w:val="27"/>
        <w:numPr>
          <w:ilvl w:val="0"/>
          <w:numId w:val="14"/>
        </w:numPr>
        <w:spacing w:line="360" w:lineRule="auto"/>
        <w:outlineLvl w:val="3"/>
        <w:rPr>
          <w:rFonts w:hAnsi="宋体" w:eastAsia="宋体" w:cs="宋体"/>
          <w:b/>
          <w:bCs/>
        </w:rPr>
      </w:pPr>
      <w:r>
        <w:rPr>
          <w:rFonts w:hint="eastAsia" w:hAnsi="宋体" w:eastAsia="宋体" w:cs="宋体"/>
          <w:b/>
          <w:bCs/>
        </w:rPr>
        <w:t>商务技术部分</w:t>
      </w:r>
    </w:p>
    <w:p>
      <w:pPr>
        <w:numPr>
          <w:ilvl w:val="0"/>
          <w:numId w:val="15"/>
        </w:numPr>
        <w:spacing w:line="360" w:lineRule="auto"/>
      </w:pPr>
      <w:r>
        <w:rPr>
          <w:rFonts w:hint="eastAsia"/>
        </w:rPr>
        <w:t xml:space="preserve">磋商响应函；                                    </w:t>
      </w:r>
      <w:r>
        <w:rPr>
          <w:rFonts w:hint="eastAsia"/>
          <w:lang w:val="en-US" w:eastAsia="zh-CN"/>
        </w:rPr>
        <w:t xml:space="preserve">  </w:t>
      </w:r>
      <w:r>
        <w:rPr>
          <w:rFonts w:hint="eastAsia"/>
        </w:rPr>
        <w:t xml:space="preserve">  （见第五部分附件</w:t>
      </w:r>
      <w:r>
        <w:rPr>
          <w:rFonts w:hint="eastAsia"/>
          <w:lang w:val="en-US" w:eastAsia="zh-CN"/>
        </w:rPr>
        <w:t>六</w:t>
      </w:r>
      <w:r>
        <w:rPr>
          <w:rFonts w:hint="eastAsia"/>
        </w:rPr>
        <w:t>）</w:t>
      </w:r>
    </w:p>
    <w:p>
      <w:pPr>
        <w:numPr>
          <w:ilvl w:val="0"/>
          <w:numId w:val="15"/>
        </w:numPr>
        <w:spacing w:line="360" w:lineRule="auto"/>
      </w:pPr>
      <w:r>
        <w:rPr>
          <w:rFonts w:hint="eastAsia"/>
        </w:rPr>
        <w:t xml:space="preserve">磋商供应商情况一览表；                           </w:t>
      </w:r>
      <w:r>
        <w:rPr>
          <w:rFonts w:hint="eastAsia"/>
          <w:lang w:val="en-US" w:eastAsia="zh-CN"/>
        </w:rPr>
        <w:t xml:space="preserve">  </w:t>
      </w:r>
      <w:r>
        <w:rPr>
          <w:rFonts w:hint="eastAsia"/>
        </w:rPr>
        <w:t xml:space="preserve"> （见第五部分附件</w:t>
      </w:r>
      <w:r>
        <w:rPr>
          <w:rFonts w:hint="eastAsia"/>
          <w:lang w:val="en-US" w:eastAsia="zh-CN"/>
        </w:rPr>
        <w:t>七</w:t>
      </w:r>
      <w:r>
        <w:rPr>
          <w:rFonts w:hint="eastAsia"/>
        </w:rPr>
        <w:t>）</w:t>
      </w:r>
    </w:p>
    <w:p>
      <w:pPr>
        <w:numPr>
          <w:ilvl w:val="0"/>
          <w:numId w:val="15"/>
        </w:numPr>
        <w:spacing w:line="360" w:lineRule="auto"/>
      </w:pPr>
      <w:r>
        <w:rPr>
          <w:rFonts w:hint="eastAsia"/>
        </w:rPr>
        <w:t xml:space="preserve">少量偏离表（技术与商务部分的偏离须分别填写，均放在此处，如不填写将视为对磋商文件要求无偏差）                                </w:t>
      </w:r>
      <w:r>
        <w:rPr>
          <w:rFonts w:hint="eastAsia"/>
          <w:lang w:val="en-US" w:eastAsia="zh-CN"/>
        </w:rPr>
        <w:t xml:space="preserve">  </w:t>
      </w:r>
      <w:r>
        <w:rPr>
          <w:rFonts w:hint="eastAsia"/>
        </w:rPr>
        <w:t xml:space="preserve"> （见第五部分附件</w:t>
      </w:r>
      <w:r>
        <w:rPr>
          <w:rFonts w:hint="eastAsia"/>
          <w:lang w:val="en-US" w:eastAsia="zh-CN"/>
        </w:rPr>
        <w:t>八</w:t>
      </w:r>
      <w:r>
        <w:rPr>
          <w:rFonts w:hint="eastAsia"/>
        </w:rPr>
        <w:t>）</w:t>
      </w:r>
    </w:p>
    <w:p>
      <w:pPr>
        <w:numPr>
          <w:ilvl w:val="0"/>
          <w:numId w:val="15"/>
        </w:numPr>
        <w:spacing w:line="360" w:lineRule="auto"/>
      </w:pPr>
      <w:r>
        <w:rPr>
          <w:rFonts w:hint="eastAsia"/>
        </w:rPr>
        <w:t xml:space="preserve">随机附件、备品备件及专用工具一览表；             </w:t>
      </w:r>
      <w:r>
        <w:rPr>
          <w:rFonts w:hint="eastAsia"/>
          <w:lang w:val="en-US" w:eastAsia="zh-CN"/>
        </w:rPr>
        <w:t xml:space="preserve">  </w:t>
      </w:r>
      <w:r>
        <w:rPr>
          <w:rFonts w:hint="eastAsia"/>
        </w:rPr>
        <w:t xml:space="preserve"> （见第五部分附件</w:t>
      </w:r>
      <w:r>
        <w:rPr>
          <w:rFonts w:hint="eastAsia"/>
          <w:lang w:val="en-US" w:eastAsia="zh-CN"/>
        </w:rPr>
        <w:t>九</w:t>
      </w:r>
      <w:r>
        <w:rPr>
          <w:rFonts w:hint="eastAsia"/>
        </w:rPr>
        <w:t>）</w:t>
      </w:r>
    </w:p>
    <w:p>
      <w:pPr>
        <w:numPr>
          <w:ilvl w:val="0"/>
          <w:numId w:val="15"/>
        </w:numPr>
        <w:spacing w:line="360" w:lineRule="auto"/>
      </w:pPr>
      <w:r>
        <w:rPr>
          <w:rFonts w:hint="eastAsia"/>
        </w:rPr>
        <w:t xml:space="preserve">详细产品供货清单；                                </w:t>
      </w:r>
      <w:r>
        <w:rPr>
          <w:rFonts w:hint="eastAsia"/>
          <w:lang w:val="en-US" w:eastAsia="zh-CN"/>
        </w:rPr>
        <w:t xml:space="preserve">  </w:t>
      </w:r>
      <w:r>
        <w:rPr>
          <w:rFonts w:hint="eastAsia"/>
        </w:rPr>
        <w:t>（见第五部分附件</w:t>
      </w:r>
      <w:r>
        <w:rPr>
          <w:rFonts w:hint="eastAsia"/>
          <w:lang w:val="en-US" w:eastAsia="zh-CN"/>
        </w:rPr>
        <w:t>十</w:t>
      </w:r>
      <w:r>
        <w:rPr>
          <w:rFonts w:hint="eastAsia"/>
        </w:rPr>
        <w:t>）</w:t>
      </w:r>
    </w:p>
    <w:p>
      <w:pPr>
        <w:numPr>
          <w:ilvl w:val="0"/>
          <w:numId w:val="15"/>
        </w:numPr>
        <w:spacing w:line="360" w:lineRule="auto"/>
      </w:pPr>
      <w:r>
        <w:rPr>
          <w:rFonts w:hint="eastAsia"/>
        </w:rPr>
        <w:t>磋商供应商自2020年1月1日以</w:t>
      </w:r>
      <w:r>
        <w:rPr>
          <w:rFonts w:hint="eastAsia"/>
          <w:highlight w:val="none"/>
        </w:rPr>
        <w:t>来同类项目业绩一览表</w:t>
      </w:r>
      <w:r>
        <w:rPr>
          <w:rFonts w:hint="eastAsia"/>
        </w:rPr>
        <w:t>； （见第五部分附件</w:t>
      </w:r>
      <w:r>
        <w:rPr>
          <w:rFonts w:hint="eastAsia"/>
          <w:lang w:val="en-US" w:eastAsia="zh-CN"/>
        </w:rPr>
        <w:t>十一</w:t>
      </w:r>
      <w:r>
        <w:rPr>
          <w:rFonts w:hint="eastAsia"/>
        </w:rPr>
        <w:t>）</w:t>
      </w:r>
    </w:p>
    <w:p>
      <w:pPr>
        <w:numPr>
          <w:ilvl w:val="0"/>
          <w:numId w:val="15"/>
        </w:numPr>
        <w:spacing w:line="360" w:lineRule="auto"/>
      </w:pPr>
      <w:r>
        <w:rPr>
          <w:rFonts w:hint="eastAsia"/>
        </w:rPr>
        <w:t>售后服务（产品质量保证措施、售后服务及承诺）；</w:t>
      </w:r>
    </w:p>
    <w:p>
      <w:pPr>
        <w:numPr>
          <w:ilvl w:val="0"/>
          <w:numId w:val="15"/>
        </w:numPr>
        <w:spacing w:line="360" w:lineRule="auto"/>
      </w:pPr>
      <w:r>
        <w:rPr>
          <w:rFonts w:hint="eastAsia"/>
        </w:rPr>
        <w:t xml:space="preserve">产品配置数量及主要技术参数、性能、特点和质量水平的详细描述及产品样本图册；投标产品生产制作工艺介绍；                             </w:t>
      </w:r>
    </w:p>
    <w:p>
      <w:pPr>
        <w:numPr>
          <w:ilvl w:val="0"/>
          <w:numId w:val="15"/>
        </w:numPr>
        <w:spacing w:line="360" w:lineRule="auto"/>
      </w:pPr>
      <w:r>
        <w:rPr>
          <w:rFonts w:hint="eastAsia"/>
        </w:rPr>
        <w:t>项目实施方案（包括设备的供货、调试、验收标准等）；</w:t>
      </w:r>
    </w:p>
    <w:p>
      <w:pPr>
        <w:numPr>
          <w:ilvl w:val="0"/>
          <w:numId w:val="15"/>
        </w:numPr>
        <w:spacing w:line="360" w:lineRule="auto"/>
      </w:pPr>
      <w:r>
        <w:rPr>
          <w:rFonts w:hint="eastAsia"/>
        </w:rPr>
        <w:t>质保期限承诺；</w:t>
      </w:r>
    </w:p>
    <w:p>
      <w:pPr>
        <w:numPr>
          <w:ilvl w:val="0"/>
          <w:numId w:val="15"/>
        </w:numPr>
        <w:spacing w:line="360" w:lineRule="auto"/>
      </w:pPr>
      <w:r>
        <w:rPr>
          <w:rFonts w:hint="eastAsia"/>
        </w:rPr>
        <w:t>培训方案；</w:t>
      </w:r>
    </w:p>
    <w:p>
      <w:pPr>
        <w:numPr>
          <w:ilvl w:val="0"/>
          <w:numId w:val="15"/>
        </w:numPr>
        <w:spacing w:line="360" w:lineRule="auto"/>
      </w:pPr>
      <w:r>
        <w:rPr>
          <w:rFonts w:hint="eastAsia"/>
        </w:rPr>
        <w:t xml:space="preserve">政府采购政策情况证明材料；                                   </w:t>
      </w:r>
    </w:p>
    <w:p>
      <w:pPr>
        <w:numPr>
          <w:ilvl w:val="0"/>
          <w:numId w:val="15"/>
        </w:numPr>
        <w:spacing w:line="360" w:lineRule="auto"/>
      </w:pPr>
      <w:r>
        <w:rPr>
          <w:rFonts w:hint="eastAsia"/>
        </w:rPr>
        <w:t>磋商供应商认为需要提供的其它文件和资料。</w:t>
      </w:r>
    </w:p>
    <w:p>
      <w:pPr>
        <w:spacing w:line="360" w:lineRule="auto"/>
        <w:ind w:firstLine="422" w:firstLineChars="200"/>
        <w:rPr>
          <w:rFonts w:eastAsia="宋体"/>
        </w:rPr>
      </w:pPr>
      <w:r>
        <w:rPr>
          <w:rFonts w:hint="eastAsia"/>
          <w:b/>
          <w:bCs/>
        </w:rPr>
        <w:t>备注：以上所需的各种函、清单、说明、方案、业绩、证明、措施、表等相关资料均须加盖供应商公章，如遇年检或换证等特殊情况须按要求提供相应的证明材料，（</w:t>
      </w:r>
      <w:r>
        <w:rPr>
          <w:rFonts w:hint="eastAsia"/>
          <w:b/>
          <w:bCs/>
          <w:lang w:val="en-US" w:eastAsia="zh-CN"/>
        </w:rPr>
        <w:t>7</w:t>
      </w:r>
      <w:r>
        <w:rPr>
          <w:rFonts w:hint="eastAsia"/>
          <w:b/>
          <w:bCs/>
        </w:rPr>
        <w:t>）-（1</w:t>
      </w:r>
      <w:r>
        <w:rPr>
          <w:rFonts w:hint="eastAsia"/>
          <w:b/>
          <w:bCs/>
          <w:lang w:val="en-US" w:eastAsia="zh-CN"/>
        </w:rPr>
        <w:t>3</w:t>
      </w:r>
      <w:r>
        <w:rPr>
          <w:rFonts w:hint="eastAsia"/>
          <w:b/>
          <w:bCs/>
        </w:rPr>
        <w:t>）部分格式自拟。</w:t>
      </w:r>
    </w:p>
    <w:p>
      <w:pPr>
        <w:pStyle w:val="27"/>
        <w:spacing w:line="360" w:lineRule="auto"/>
        <w:outlineLvl w:val="3"/>
        <w:rPr>
          <w:rFonts w:hAnsi="宋体" w:eastAsia="宋体" w:cs="宋体"/>
          <w:b/>
          <w:bCs/>
        </w:rPr>
      </w:pPr>
      <w:r>
        <w:rPr>
          <w:rFonts w:hint="eastAsia" w:hAnsi="宋体" w:eastAsia="宋体" w:cs="宋体"/>
          <w:b/>
          <w:bCs/>
        </w:rPr>
        <w:t>三、报价部分</w:t>
      </w:r>
    </w:p>
    <w:p>
      <w:pPr>
        <w:numPr>
          <w:ilvl w:val="0"/>
          <w:numId w:val="16"/>
        </w:numPr>
        <w:tabs>
          <w:tab w:val="left" w:pos="1260"/>
          <w:tab w:val="clear" w:pos="420"/>
        </w:tabs>
        <w:snapToGrid w:val="0"/>
        <w:spacing w:line="360" w:lineRule="auto"/>
        <w:ind w:left="1066" w:leftChars="200" w:hanging="646" w:hangingChars="308"/>
      </w:pPr>
      <w:r>
        <w:rPr>
          <w:rFonts w:hint="eastAsia" w:ascii="宋体" w:hAnsi="宋体" w:eastAsia="宋体" w:cs="宋体"/>
          <w:szCs w:val="21"/>
        </w:rPr>
        <w:t xml:space="preserve"> 报价一览表；                                      （见第五部分附件十二）</w:t>
      </w:r>
    </w:p>
    <w:p>
      <w:pPr>
        <w:numPr>
          <w:ilvl w:val="0"/>
          <w:numId w:val="16"/>
        </w:numPr>
        <w:tabs>
          <w:tab w:val="left" w:pos="1260"/>
          <w:tab w:val="clear" w:pos="420"/>
        </w:tabs>
        <w:snapToGrid w:val="0"/>
        <w:spacing w:line="360" w:lineRule="auto"/>
        <w:ind w:left="1066" w:leftChars="200" w:hanging="646" w:hangingChars="308"/>
      </w:pPr>
      <w:r>
        <w:rPr>
          <w:rFonts w:hint="eastAsia" w:ascii="宋体" w:hAnsi="宋体" w:eastAsia="宋体" w:cs="宋体"/>
          <w:szCs w:val="21"/>
        </w:rPr>
        <w:t xml:space="preserve"> </w:t>
      </w:r>
      <w:r>
        <w:rPr>
          <w:rFonts w:ascii="Arial" w:hAnsi="Arial" w:cs="Arial"/>
          <w:bCs w:val="0"/>
          <w:sz w:val="21"/>
          <w:szCs w:val="24"/>
        </w:rPr>
        <w:t>投标分项报价表</w:t>
      </w:r>
      <w:r>
        <w:rPr>
          <w:rFonts w:hint="eastAsia"/>
        </w:rPr>
        <w:t xml:space="preserve">；                                  </w:t>
      </w:r>
      <w:r>
        <w:rPr>
          <w:rFonts w:hint="eastAsia" w:ascii="宋体" w:hAnsi="宋体" w:eastAsia="宋体" w:cs="宋体"/>
          <w:szCs w:val="21"/>
        </w:rPr>
        <w:t>（见第五部分附件十三）</w:t>
      </w:r>
    </w:p>
    <w:p>
      <w:pPr>
        <w:numPr>
          <w:ilvl w:val="0"/>
          <w:numId w:val="16"/>
        </w:numPr>
        <w:tabs>
          <w:tab w:val="left" w:pos="1260"/>
          <w:tab w:val="clear" w:pos="420"/>
        </w:tabs>
        <w:snapToGrid w:val="0"/>
        <w:spacing w:line="360" w:lineRule="auto"/>
        <w:ind w:left="1066" w:leftChars="200" w:hanging="646" w:hangingChars="308"/>
        <w:outlineLvl w:val="4"/>
      </w:pPr>
      <w:r>
        <w:rPr>
          <w:rFonts w:hint="eastAsia" w:ascii="宋体" w:hAnsi="宋体" w:eastAsia="宋体" w:cs="宋体"/>
          <w:szCs w:val="21"/>
        </w:rPr>
        <w:t xml:space="preserve"> 供应商针对报价需要说明的其他文件和说明。 </w:t>
      </w:r>
    </w:p>
    <w:p>
      <w:pPr>
        <w:tabs>
          <w:tab w:val="left" w:pos="1260"/>
        </w:tabs>
        <w:snapToGrid w:val="0"/>
        <w:spacing w:line="360" w:lineRule="auto"/>
        <w:ind w:left="613" w:leftChars="-108" w:hanging="840" w:hangingChars="400"/>
        <w:rPr>
          <w:rFonts w:hint="eastAsia" w:ascii="宋体" w:hAnsi="宋体" w:eastAsia="宋体" w:cs="宋体"/>
          <w:b/>
          <w:bCs/>
        </w:rPr>
      </w:pPr>
      <w:r>
        <w:rPr>
          <w:rFonts w:hint="eastAsia" w:ascii="宋体" w:hAnsi="宋体" w:eastAsia="宋体" w:cs="宋体"/>
          <w:szCs w:val="21"/>
        </w:rPr>
        <w:t xml:space="preserve">      </w:t>
      </w:r>
      <w:r>
        <w:rPr>
          <w:rFonts w:hint="eastAsia" w:ascii="宋体" w:hAnsi="宋体" w:eastAsia="宋体" w:cs="宋体"/>
          <w:b/>
          <w:bCs/>
        </w:rPr>
        <w:t>备注：以上所需文件均须加盖供应商公章，如遇年检或换证等特殊情况须按要求提供相应的证</w:t>
      </w:r>
    </w:p>
    <w:p>
      <w:pPr>
        <w:tabs>
          <w:tab w:val="left" w:pos="1260"/>
        </w:tabs>
        <w:snapToGrid w:val="0"/>
        <w:spacing w:line="360" w:lineRule="auto"/>
        <w:ind w:left="615" w:leftChars="-8" w:hanging="632" w:hangingChars="300"/>
        <w:rPr>
          <w:rFonts w:hint="eastAsia" w:ascii="宋体" w:hAnsi="宋体" w:eastAsia="宋体" w:cs="宋体"/>
          <w:szCs w:val="21"/>
        </w:rPr>
      </w:pPr>
      <w:r>
        <w:rPr>
          <w:rFonts w:hint="eastAsia" w:ascii="宋体" w:hAnsi="宋体" w:eastAsia="宋体" w:cs="宋体"/>
          <w:b/>
          <w:bCs/>
        </w:rPr>
        <w:t>明材料。</w:t>
      </w:r>
      <w:r>
        <w:rPr>
          <w:rFonts w:hint="eastAsia" w:ascii="宋体" w:hAnsi="宋体" w:eastAsia="宋体" w:cs="宋体"/>
          <w:szCs w:val="21"/>
        </w:rPr>
        <w:t xml:space="preserve">  </w:t>
      </w:r>
    </w:p>
    <w:p>
      <w:pPr>
        <w:bidi w:val="0"/>
        <w:spacing w:line="360" w:lineRule="auto"/>
        <w:rPr>
          <w:rFonts w:hint="eastAsia"/>
          <w:b/>
          <w:bCs/>
          <w:lang w:val="en-US" w:eastAsia="zh-CN"/>
        </w:rPr>
      </w:pPr>
      <w:r>
        <w:rPr>
          <w:rFonts w:hint="eastAsia"/>
          <w:b/>
          <w:bCs/>
          <w:lang w:val="en-US" w:eastAsia="zh-CN"/>
        </w:rPr>
        <w:t>四、演示视频文件</w:t>
      </w:r>
    </w:p>
    <w:p>
      <w:pPr>
        <w:bidi w:val="0"/>
        <w:spacing w:line="360" w:lineRule="auto"/>
        <w:ind w:firstLine="420" w:firstLineChars="200"/>
        <w:rPr>
          <w:rFonts w:hint="eastAsia"/>
          <w:lang w:val="en-US" w:eastAsia="zh-CN"/>
        </w:rPr>
      </w:pPr>
      <w:r>
        <w:rPr>
          <w:rFonts w:hint="eastAsia"/>
          <w:lang w:val="en-US" w:eastAsia="zh-CN"/>
        </w:rPr>
        <w:t>（1）投标人制作的演示视频内容应结合采购内容和需求以及商务技术文件中关于“演示部分”评分细则的要求。</w:t>
      </w:r>
    </w:p>
    <w:p>
      <w:pPr>
        <w:bidi w:val="0"/>
        <w:spacing w:line="360" w:lineRule="auto"/>
        <w:ind w:firstLine="420" w:firstLineChars="200"/>
        <w:rPr>
          <w:rFonts w:hint="eastAsia"/>
          <w:lang w:val="en-US" w:eastAsia="zh-CN"/>
        </w:rPr>
      </w:pPr>
      <w:r>
        <w:rPr>
          <w:rFonts w:hint="eastAsia"/>
          <w:lang w:val="en-US" w:eastAsia="zh-CN"/>
        </w:rPr>
        <w:t>（2）演示视频文件应为常用格式的视频文件，评标现场电脑操作系统为windows10，视频文件应能由系统自带windows media player播放器播放。</w:t>
      </w:r>
    </w:p>
    <w:p>
      <w:pPr>
        <w:bidi w:val="0"/>
        <w:spacing w:line="360" w:lineRule="auto"/>
        <w:ind w:firstLine="420" w:firstLineChars="200"/>
        <w:rPr>
          <w:rFonts w:hint="eastAsia"/>
          <w:lang w:val="en-US" w:eastAsia="zh-CN"/>
        </w:rPr>
      </w:pPr>
      <w:r>
        <w:rPr>
          <w:rFonts w:hint="eastAsia"/>
          <w:lang w:val="en-US" w:eastAsia="zh-CN"/>
        </w:rPr>
        <w:t>（3）演示视频文件应由投标人拟派技术人员负责演示与讲解工作，视频文件应由不少于2个镜头组成同一画面（可理解为“画中画”或“左右/上下分屏”）:</w:t>
      </w:r>
    </w:p>
    <w:p>
      <w:pPr>
        <w:bidi w:val="0"/>
        <w:spacing w:line="360" w:lineRule="auto"/>
        <w:ind w:firstLine="420" w:firstLineChars="200"/>
        <w:rPr>
          <w:rFonts w:hint="eastAsia"/>
          <w:lang w:val="en-US" w:eastAsia="zh-CN"/>
        </w:rPr>
      </w:pPr>
      <w:r>
        <w:rPr>
          <w:rFonts w:hint="eastAsia"/>
          <w:lang w:val="en-US" w:eastAsia="zh-CN"/>
        </w:rPr>
        <w:t>①镜头1：清晰呈现演示内容，以及系统桌面右下角时间；</w:t>
      </w:r>
    </w:p>
    <w:p>
      <w:pPr>
        <w:bidi w:val="0"/>
        <w:spacing w:line="360" w:lineRule="auto"/>
        <w:ind w:firstLine="420" w:firstLineChars="200"/>
        <w:rPr>
          <w:rFonts w:hint="eastAsia"/>
          <w:lang w:val="en-US" w:eastAsia="zh-CN"/>
        </w:rPr>
      </w:pPr>
      <w:r>
        <w:rPr>
          <w:rFonts w:hint="eastAsia"/>
          <w:lang w:val="en-US" w:eastAsia="zh-CN"/>
        </w:rPr>
        <w:t>②镜头2：技术人员操作、演示、讲解的过程；</w:t>
      </w:r>
    </w:p>
    <w:p>
      <w:pPr>
        <w:bidi w:val="0"/>
        <w:spacing w:line="360" w:lineRule="auto"/>
        <w:ind w:firstLine="420" w:firstLineChars="200"/>
        <w:rPr>
          <w:rFonts w:hint="eastAsia"/>
          <w:lang w:val="en-US" w:eastAsia="zh-CN"/>
        </w:rPr>
      </w:pPr>
      <w:r>
        <w:rPr>
          <w:rFonts w:hint="eastAsia"/>
          <w:lang w:val="en-US" w:eastAsia="zh-CN"/>
        </w:rPr>
        <w:t>③多个镜头使用同一个音轨，且时间轴应同步；</w:t>
      </w:r>
    </w:p>
    <w:p>
      <w:pPr>
        <w:bidi w:val="0"/>
        <w:spacing w:line="360" w:lineRule="auto"/>
        <w:ind w:firstLine="420" w:firstLineChars="200"/>
        <w:rPr>
          <w:rFonts w:hint="eastAsia"/>
          <w:lang w:val="en-US" w:eastAsia="zh-CN"/>
        </w:rPr>
      </w:pPr>
      <w:r>
        <w:rPr>
          <w:rFonts w:hint="eastAsia"/>
          <w:lang w:val="en-US" w:eastAsia="zh-CN"/>
        </w:rPr>
        <w:t>④单个镜头的演示视频应一镜到底，即：除字幕标注外，不得对演示过程视频进行任何形式的剪辑。</w:t>
      </w:r>
    </w:p>
    <w:p>
      <w:pPr>
        <w:pStyle w:val="2"/>
        <w:rPr>
          <w:rFonts w:hint="default"/>
          <w:lang w:val="en-US" w:eastAsia="zh-CN"/>
        </w:rPr>
      </w:pPr>
      <w:r>
        <w:rPr>
          <w:rFonts w:hint="eastAsia"/>
          <w:lang w:val="en-US" w:eastAsia="zh-CN"/>
        </w:rPr>
        <w:t>⑤ 视频总时长不得超过10分钟，超出部分不进行计分。</w:t>
      </w:r>
    </w:p>
    <w:p>
      <w:pPr>
        <w:bidi w:val="0"/>
        <w:spacing w:line="360" w:lineRule="auto"/>
        <w:ind w:firstLine="420" w:firstLineChars="200"/>
      </w:pPr>
      <w:r>
        <w:rPr>
          <w:rFonts w:hint="eastAsia"/>
          <w:lang w:val="en-US" w:eastAsia="zh-CN"/>
        </w:rPr>
        <w:t>（4）演示视频文件并非强制性要求，投标人不提交演示视频文件或未能按照以上要求制作演示视频文件并非被认定为无效标的条件，仅在商务技术文件评审过程中由评标委员会评分量化。</w:t>
      </w:r>
      <w:r>
        <w:rPr>
          <w:rFonts w:hint="eastAsia" w:ascii="宋体" w:hAnsi="宋体" w:eastAsia="宋体" w:cs="宋体"/>
          <w:szCs w:val="21"/>
        </w:rPr>
        <w:t xml:space="preserve">                              </w:t>
      </w:r>
    </w:p>
    <w:p>
      <w:pPr>
        <w:numPr>
          <w:ilvl w:val="0"/>
          <w:numId w:val="11"/>
        </w:numPr>
        <w:snapToGrid w:val="0"/>
        <w:spacing w:line="360" w:lineRule="auto"/>
        <w:outlineLvl w:val="2"/>
        <w:rPr>
          <w:rFonts w:ascii="宋体" w:hAnsi="宋体" w:eastAsia="宋体" w:cs="宋体"/>
          <w:b/>
          <w:bCs/>
          <w:sz w:val="24"/>
        </w:rPr>
      </w:pPr>
      <w:bookmarkStart w:id="190" w:name="_Toc13300"/>
      <w:bookmarkStart w:id="191" w:name="_Toc4368"/>
      <w:bookmarkStart w:id="192" w:name="_Toc13448"/>
      <w:bookmarkStart w:id="193" w:name="_Toc29921"/>
      <w:bookmarkStart w:id="194" w:name="_Toc32343"/>
      <w:r>
        <w:rPr>
          <w:rFonts w:hint="eastAsia" w:ascii="宋体" w:hAnsi="宋体" w:eastAsia="宋体" w:cs="宋体"/>
          <w:b/>
          <w:bCs/>
          <w:szCs w:val="21"/>
        </w:rPr>
        <w:t>磋商响应格式填写说明</w:t>
      </w:r>
      <w:bookmarkEnd w:id="190"/>
      <w:bookmarkEnd w:id="191"/>
      <w:bookmarkEnd w:id="192"/>
      <w:bookmarkEnd w:id="193"/>
      <w:bookmarkEnd w:id="194"/>
    </w:p>
    <w:p>
      <w:pPr>
        <w:numPr>
          <w:ilvl w:val="1"/>
          <w:numId w:val="11"/>
        </w:numPr>
        <w:snapToGrid w:val="0"/>
        <w:spacing w:line="360" w:lineRule="auto"/>
        <w:rPr>
          <w:rFonts w:ascii="宋体" w:hAnsi="宋体" w:eastAsia="宋体" w:cs="宋体"/>
          <w:b w:val="0"/>
          <w:bCs w:val="0"/>
        </w:rPr>
      </w:pPr>
      <w:r>
        <w:rPr>
          <w:rFonts w:hint="eastAsia" w:ascii="宋体" w:hAnsi="宋体" w:eastAsia="宋体" w:cs="宋体"/>
          <w:b w:val="0"/>
          <w:bCs w:val="0"/>
        </w:rPr>
        <w:t>磋</w:t>
      </w:r>
      <w:r>
        <w:rPr>
          <w:rFonts w:hint="eastAsia" w:ascii="宋体" w:hAnsi="宋体" w:eastAsia="宋体" w:cs="宋体"/>
          <w:b w:val="0"/>
          <w:bCs w:val="0"/>
          <w:color w:val="000000"/>
        </w:rPr>
        <w:t>商</w:t>
      </w:r>
      <w:r>
        <w:rPr>
          <w:rFonts w:hint="eastAsia" w:ascii="宋体" w:hAnsi="宋体" w:eastAsia="宋体" w:cs="宋体"/>
          <w:b w:val="0"/>
          <w:bCs w:val="0"/>
          <w:color w:val="000000"/>
          <w:szCs w:val="22"/>
        </w:rPr>
        <w:t>供应商应在认真阅读磋商文件所有内容的基础上，按照磋商文件中规定的格式和顺序编制电子加密响应文件并进行关联定位，混乱的编排或关联导致磋商响应文件被误读或磋商小组查找不到有效文件是磋商供应商的风险。</w:t>
      </w:r>
    </w:p>
    <w:p>
      <w:pPr>
        <w:numPr>
          <w:ilvl w:val="1"/>
          <w:numId w:val="11"/>
        </w:numPr>
        <w:snapToGrid w:val="0"/>
        <w:spacing w:line="360" w:lineRule="auto"/>
        <w:rPr>
          <w:rFonts w:ascii="宋体" w:hAnsi="宋体" w:eastAsia="宋体" w:cs="宋体"/>
          <w:szCs w:val="21"/>
        </w:rPr>
      </w:pPr>
      <w:r>
        <w:rPr>
          <w:rFonts w:hint="eastAsia" w:ascii="宋体" w:hAnsi="宋体" w:eastAsia="宋体" w:cs="宋体"/>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pPr>
        <w:numPr>
          <w:ilvl w:val="0"/>
          <w:numId w:val="11"/>
        </w:numPr>
        <w:snapToGrid w:val="0"/>
        <w:spacing w:line="360" w:lineRule="auto"/>
        <w:outlineLvl w:val="2"/>
        <w:rPr>
          <w:rFonts w:ascii="宋体" w:hAnsi="宋体" w:eastAsia="宋体" w:cs="宋体"/>
          <w:b/>
          <w:sz w:val="24"/>
        </w:rPr>
      </w:pPr>
      <w:bookmarkStart w:id="195" w:name="_Toc14148"/>
      <w:bookmarkStart w:id="196" w:name="_Toc8303"/>
      <w:bookmarkStart w:id="197" w:name="_Toc4501"/>
      <w:bookmarkStart w:id="198" w:name="_Toc21230"/>
      <w:bookmarkStart w:id="199" w:name="_Toc19394"/>
      <w:r>
        <w:rPr>
          <w:rFonts w:hint="eastAsia" w:ascii="宋体" w:hAnsi="宋体" w:eastAsia="宋体" w:cs="宋体"/>
          <w:b/>
          <w:szCs w:val="21"/>
        </w:rPr>
        <w:t>磋商有效期</w:t>
      </w:r>
      <w:bookmarkEnd w:id="195"/>
      <w:bookmarkEnd w:id="196"/>
      <w:bookmarkEnd w:id="197"/>
      <w:bookmarkEnd w:id="198"/>
      <w:bookmarkEnd w:id="199"/>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▲提交磋商响应文件截止日起90日历天，磋商响应文件应保持有效。磋商有效期比规定期限短的将被视为非响应磋商而予以否决。</w:t>
      </w:r>
    </w:p>
    <w:p>
      <w:pPr>
        <w:numPr>
          <w:ilvl w:val="0"/>
          <w:numId w:val="11"/>
        </w:numPr>
        <w:snapToGrid w:val="0"/>
        <w:spacing w:line="360" w:lineRule="auto"/>
        <w:outlineLvl w:val="2"/>
        <w:rPr>
          <w:rFonts w:ascii="宋体" w:hAnsi="宋体" w:eastAsia="宋体" w:cs="宋体"/>
          <w:b/>
          <w:sz w:val="24"/>
        </w:rPr>
      </w:pPr>
      <w:bookmarkStart w:id="200" w:name="_Toc7045"/>
      <w:bookmarkStart w:id="201" w:name="_Toc17973"/>
      <w:bookmarkStart w:id="202" w:name="_Toc16921"/>
      <w:bookmarkStart w:id="203" w:name="_Toc20438"/>
      <w:bookmarkStart w:id="204" w:name="_Toc28379"/>
      <w:r>
        <w:rPr>
          <w:rFonts w:hint="eastAsia" w:ascii="宋体" w:hAnsi="宋体" w:eastAsia="宋体" w:cs="宋体"/>
          <w:b/>
          <w:szCs w:val="21"/>
        </w:rPr>
        <w:t>磋商报价</w:t>
      </w:r>
      <w:bookmarkEnd w:id="200"/>
      <w:bookmarkEnd w:id="201"/>
      <w:bookmarkEnd w:id="202"/>
      <w:bookmarkEnd w:id="203"/>
      <w:bookmarkEnd w:id="204"/>
    </w:p>
    <w:p>
      <w:pPr>
        <w:numPr>
          <w:ilvl w:val="1"/>
          <w:numId w:val="11"/>
        </w:numPr>
        <w:tabs>
          <w:tab w:val="left" w:pos="1470"/>
        </w:tabs>
        <w:snapToGrid w:val="0"/>
        <w:spacing w:line="360" w:lineRule="auto"/>
        <w:rPr>
          <w:rFonts w:ascii="宋体" w:hAnsi="宋体" w:eastAsia="宋体" w:cs="宋体"/>
          <w:szCs w:val="21"/>
        </w:rPr>
      </w:pPr>
      <w:r>
        <w:rPr>
          <w:rFonts w:hint="eastAsia" w:ascii="宋体" w:hAnsi="宋体" w:eastAsia="宋体" w:cs="宋体"/>
          <w:szCs w:val="21"/>
        </w:rPr>
        <w:t>磋商供应商提供的服务（或货物或工程）价格应该用人民币投标。投标价格应该已经扣除所有商业折扣以及现金折扣。投标报价应包括所需缴纳的所有税费和一切费用。</w:t>
      </w:r>
    </w:p>
    <w:p>
      <w:pPr>
        <w:numPr>
          <w:ilvl w:val="1"/>
          <w:numId w:val="11"/>
        </w:numPr>
        <w:tabs>
          <w:tab w:val="left" w:pos="1470"/>
        </w:tabs>
        <w:snapToGrid w:val="0"/>
        <w:spacing w:line="360" w:lineRule="auto"/>
        <w:rPr>
          <w:rFonts w:ascii="宋体" w:hAnsi="宋体" w:eastAsia="宋体" w:cs="宋体"/>
          <w:szCs w:val="21"/>
        </w:rPr>
      </w:pPr>
      <w:r>
        <w:rPr>
          <w:rFonts w:hint="eastAsia" w:ascii="宋体" w:hAnsi="宋体" w:eastAsia="宋体" w:cs="宋体"/>
          <w:szCs w:val="21"/>
        </w:rPr>
        <w:t>根据本次竞争性磋商采购工作要求，最后只允许有一个磋商报价，磋商供应商应在各自技术和商务占优势的基础上并充分考虑本项目的重要性，在磋商结束后提供给采购代理机构及采购人最优惠的磋商价格。</w:t>
      </w:r>
    </w:p>
    <w:p>
      <w:pPr>
        <w:numPr>
          <w:ilvl w:val="1"/>
          <w:numId w:val="11"/>
        </w:numPr>
        <w:snapToGrid w:val="0"/>
        <w:spacing w:line="360" w:lineRule="auto"/>
        <w:rPr>
          <w:rFonts w:ascii="宋体" w:hAnsi="宋体" w:eastAsia="宋体" w:cs="宋体"/>
          <w:b/>
          <w:szCs w:val="21"/>
        </w:rPr>
      </w:pPr>
      <w:r>
        <w:rPr>
          <w:rFonts w:hint="eastAsia" w:ascii="宋体" w:hAnsi="宋体" w:eastAsia="宋体" w:cs="宋体"/>
          <w:szCs w:val="21"/>
        </w:rPr>
        <w:t>最后的磋商报价与首次报价不一致的，其报价明细表中各项报价需另行明确，各项报价均按比例下调。</w:t>
      </w:r>
    </w:p>
    <w:p>
      <w:pPr>
        <w:numPr>
          <w:ilvl w:val="0"/>
          <w:numId w:val="11"/>
        </w:numPr>
        <w:snapToGrid w:val="0"/>
        <w:spacing w:line="360" w:lineRule="auto"/>
        <w:outlineLvl w:val="2"/>
        <w:rPr>
          <w:rFonts w:ascii="宋体" w:hAnsi="宋体" w:eastAsia="宋体" w:cs="宋体"/>
        </w:rPr>
      </w:pPr>
      <w:bookmarkStart w:id="205" w:name="_Toc9942"/>
      <w:bookmarkStart w:id="206" w:name="_Toc18478"/>
      <w:bookmarkStart w:id="207" w:name="_Toc6392"/>
      <w:bookmarkStart w:id="208" w:name="_Toc11150"/>
      <w:bookmarkStart w:id="209" w:name="_Toc17800"/>
      <w:r>
        <w:rPr>
          <w:rFonts w:hint="eastAsia" w:ascii="宋体" w:hAnsi="宋体" w:eastAsia="宋体" w:cs="宋体"/>
          <w:b/>
          <w:szCs w:val="21"/>
        </w:rPr>
        <w:t>磋商响应文件的式样和签署</w:t>
      </w:r>
      <w:bookmarkEnd w:id="205"/>
      <w:bookmarkEnd w:id="206"/>
      <w:bookmarkEnd w:id="207"/>
      <w:bookmarkEnd w:id="208"/>
      <w:bookmarkEnd w:id="209"/>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供应商准备“电子加密响应文件”在线上传递交一份。供应商应按政采云平台供应商项目采购-电子招投标操作指南及本磋商文件要求制作。“备份响应文件”：投标截止时间前以压缩文件形式加密发送至采购代理机构邮箱，并在接到在线解密通知后30分钟内发送压缩文件密码至采购代理机构邮箱。</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《响应文件》的签章：</w:t>
      </w:r>
      <w:r>
        <w:rPr>
          <w:rFonts w:hint="eastAsia" w:ascii="宋体" w:hAnsi="宋体" w:eastAsia="宋体" w:cs="宋体"/>
          <w:b/>
          <w:bCs/>
          <w:szCs w:val="21"/>
        </w:rPr>
        <w:t>电子签章，其中法定代表人和授权代表签字或盖章可书面签字或盖章后扫描至电子响应文件中上传。</w:t>
      </w:r>
    </w:p>
    <w:p>
      <w:pPr>
        <w:numPr>
          <w:ilvl w:val="1"/>
          <w:numId w:val="11"/>
        </w:numPr>
        <w:snapToGrid w:val="0"/>
        <w:spacing w:line="360" w:lineRule="auto"/>
        <w:rPr>
          <w:rFonts w:ascii="宋体" w:hAnsi="宋体" w:eastAsia="宋体" w:cs="宋体"/>
        </w:rPr>
      </w:pPr>
      <w:r>
        <w:rPr>
          <w:rFonts w:hint="eastAsia" w:ascii="宋体" w:hAnsi="宋体" w:eastAsia="宋体" w:cs="宋体"/>
          <w:szCs w:val="21"/>
        </w:rPr>
        <w:t>磋商响应文件不得涂改和增删，如有修改错漏处，必须由同一签署人签字或盖章。</w:t>
      </w:r>
    </w:p>
    <w:p>
      <w:pPr>
        <w:numPr>
          <w:ilvl w:val="1"/>
          <w:numId w:val="11"/>
        </w:numPr>
        <w:snapToGrid w:val="0"/>
        <w:spacing w:line="360" w:lineRule="auto"/>
        <w:rPr>
          <w:rFonts w:ascii="宋体" w:hAnsi="宋体" w:eastAsia="宋体" w:cs="宋体"/>
        </w:rPr>
      </w:pPr>
      <w:r>
        <w:rPr>
          <w:rFonts w:hint="eastAsia" w:ascii="宋体" w:hAnsi="宋体" w:eastAsia="宋体" w:cs="宋体"/>
          <w:szCs w:val="21"/>
        </w:rPr>
        <w:t>响应文件因字迹潦草或表达不清所引起的后果由供应商负责。</w:t>
      </w:r>
    </w:p>
    <w:p>
      <w:pPr>
        <w:numPr>
          <w:ilvl w:val="0"/>
          <w:numId w:val="11"/>
        </w:numPr>
        <w:snapToGrid w:val="0"/>
        <w:spacing w:line="360" w:lineRule="auto"/>
        <w:outlineLvl w:val="2"/>
        <w:rPr>
          <w:rFonts w:ascii="宋体" w:hAnsi="宋体" w:eastAsia="宋体" w:cs="宋体"/>
          <w:b/>
          <w:bCs/>
          <w:sz w:val="24"/>
        </w:rPr>
      </w:pPr>
      <w:bookmarkStart w:id="210" w:name="_Toc32740"/>
      <w:bookmarkStart w:id="211" w:name="_Toc18914"/>
      <w:bookmarkStart w:id="212" w:name="_Toc823"/>
      <w:bookmarkStart w:id="213" w:name="_Toc9284"/>
      <w:bookmarkStart w:id="214" w:name="_Toc4487"/>
      <w:r>
        <w:rPr>
          <w:rFonts w:hint="eastAsia" w:ascii="宋体" w:hAnsi="宋体" w:eastAsia="宋体" w:cs="宋体"/>
          <w:b/>
          <w:bCs/>
          <w:szCs w:val="21"/>
        </w:rPr>
        <w:t>知识产权</w:t>
      </w:r>
      <w:bookmarkEnd w:id="210"/>
      <w:bookmarkEnd w:id="211"/>
      <w:bookmarkEnd w:id="212"/>
      <w:bookmarkEnd w:id="213"/>
      <w:bookmarkEnd w:id="214"/>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供应商应保证，采购人在中华人民共和国使用货物和服务的任何一部分时，免受第三方提出侵犯其专利权、商标权或其它知识产权的起诉。</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磋商供应商应对采购人在使用该产品时所涉及到的专利权负责，不损害采购人的利益。</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报价应包括所有应支付的对专利权和版权、设计或其他知识产权而需要向其他方支付的版税。</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磋商供应商提供得货物中如使用其他公司的相关专利，应在标书中出示相关授权，如未出示但使用了其他公司的专利，导致供应商中标而引起相关诉讼，由磋商供应商承担。</w:t>
      </w:r>
    </w:p>
    <w:p>
      <w:pPr>
        <w:numPr>
          <w:ilvl w:val="0"/>
          <w:numId w:val="11"/>
        </w:numPr>
        <w:snapToGrid w:val="0"/>
        <w:spacing w:line="360" w:lineRule="auto"/>
        <w:outlineLvl w:val="2"/>
        <w:rPr>
          <w:rFonts w:ascii="宋体" w:hAnsi="宋体" w:eastAsia="宋体" w:cs="宋体"/>
          <w:b/>
          <w:bCs/>
          <w:sz w:val="24"/>
        </w:rPr>
      </w:pPr>
      <w:bookmarkStart w:id="215" w:name="_Toc19574"/>
      <w:bookmarkStart w:id="216" w:name="_Toc16272"/>
      <w:bookmarkStart w:id="217" w:name="_Toc24645"/>
      <w:bookmarkStart w:id="218" w:name="_Toc30719"/>
      <w:bookmarkStart w:id="219" w:name="_Toc6499"/>
      <w:r>
        <w:rPr>
          <w:rFonts w:hint="eastAsia" w:ascii="宋体" w:hAnsi="宋体" w:eastAsia="宋体" w:cs="宋体"/>
          <w:b/>
          <w:bCs/>
          <w:szCs w:val="20"/>
        </w:rPr>
        <w:t>串通行为认定</w:t>
      </w:r>
      <w:bookmarkEnd w:id="215"/>
      <w:bookmarkEnd w:id="216"/>
      <w:bookmarkEnd w:id="217"/>
      <w:bookmarkEnd w:id="218"/>
      <w:bookmarkEnd w:id="219"/>
    </w:p>
    <w:p>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不同磋商供应商的磋商响应文件由同一单位或人员编制的； </w:t>
      </w:r>
    </w:p>
    <w:p>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不同供应商委托同一单位或人员办理投标事宜的；</w:t>
      </w:r>
    </w:p>
    <w:p>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不同磋商供应商的磋商响应文件中的内容出现非正常的一致，或者报价细目呈明显规律性变化，或在完全可比的情况下投标总价均高于市场平均价的； </w:t>
      </w:r>
    </w:p>
    <w:p>
      <w:pPr>
        <w:numPr>
          <w:ilvl w:val="0"/>
          <w:numId w:val="17"/>
        </w:numPr>
        <w:snapToGrid w:val="0"/>
        <w:spacing w:line="360" w:lineRule="auto"/>
        <w:ind w:left="1060" w:hanging="640"/>
        <w:outlineLvl w:val="3"/>
        <w:rPr>
          <w:rFonts w:ascii="宋体" w:hAnsi="宋体" w:eastAsia="宋体" w:cs="宋体"/>
        </w:rPr>
      </w:pPr>
      <w:r>
        <w:rPr>
          <w:rFonts w:hint="eastAsia" w:ascii="宋体" w:hAnsi="宋体" w:eastAsia="宋体" w:cs="宋体"/>
        </w:rPr>
        <w:t xml:space="preserve">不同磋商供应商的授权代表为同一单位的工作人员的； </w:t>
      </w:r>
    </w:p>
    <w:p>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不同磋商供应商的磋商响应文件相互混装，或在一个磋商供应商的磋商响应文件内遗留有其他磋商供应商的签名、盖章等不属于本磋商供应商参加政府采购必需的信息资料的； </w:t>
      </w:r>
    </w:p>
    <w:p>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采购响应截止时间后，采购组织单位协助磋商供应商撤换或更改磋商响应文件的； </w:t>
      </w:r>
    </w:p>
    <w:p>
      <w:pPr>
        <w:numPr>
          <w:ilvl w:val="0"/>
          <w:numId w:val="17"/>
        </w:numPr>
        <w:snapToGrid w:val="0"/>
        <w:spacing w:line="360" w:lineRule="auto"/>
        <w:ind w:left="1060" w:hanging="640"/>
        <w:rPr>
          <w:rFonts w:ascii="宋体" w:hAnsi="宋体" w:eastAsia="宋体" w:cs="宋体"/>
          <w:spacing w:val="-4"/>
        </w:rPr>
      </w:pPr>
      <w:r>
        <w:rPr>
          <w:rFonts w:hint="eastAsia" w:ascii="宋体" w:hAnsi="宋体" w:eastAsia="宋体" w:cs="宋体"/>
          <w:spacing w:val="-4"/>
        </w:rPr>
        <w:t>采购组织单位泄露有意向参加政府采购的磋商供应商名称、数量等应当保密的事项的；</w:t>
      </w:r>
    </w:p>
    <w:p>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不同磋商供应商之间私下达成书面或口头协议，指定一家磋商供应商成交或轮流成交的；</w:t>
      </w:r>
    </w:p>
    <w:p>
      <w:pPr>
        <w:numPr>
          <w:ilvl w:val="0"/>
          <w:numId w:val="17"/>
        </w:numPr>
        <w:snapToGrid w:val="0"/>
        <w:spacing w:line="360" w:lineRule="auto"/>
        <w:ind w:left="1060" w:hanging="640"/>
        <w:outlineLvl w:val="3"/>
        <w:rPr>
          <w:rFonts w:ascii="宋体" w:hAnsi="宋体" w:eastAsia="宋体" w:cs="宋体"/>
        </w:rPr>
      </w:pPr>
      <w:r>
        <w:rPr>
          <w:rFonts w:hint="eastAsia" w:ascii="宋体" w:hAnsi="宋体" w:eastAsia="宋体" w:cs="宋体"/>
        </w:rPr>
        <w:t>法律、法规或规章规定的其他串通行为。</w:t>
      </w:r>
    </w:p>
    <w:p>
      <w:pPr>
        <w:numPr>
          <w:ilvl w:val="0"/>
          <w:numId w:val="11"/>
        </w:numPr>
        <w:snapToGrid w:val="0"/>
        <w:spacing w:line="360" w:lineRule="auto"/>
        <w:outlineLvl w:val="2"/>
        <w:rPr>
          <w:rFonts w:ascii="宋体" w:hAnsi="宋体" w:eastAsia="宋体" w:cs="宋体"/>
          <w:b/>
          <w:bCs/>
          <w:szCs w:val="20"/>
        </w:rPr>
      </w:pPr>
      <w:bookmarkStart w:id="220" w:name="_Toc10222"/>
      <w:bookmarkStart w:id="221" w:name="_Toc5635"/>
      <w:bookmarkStart w:id="222" w:name="_Toc6163"/>
      <w:bookmarkStart w:id="223" w:name="_Toc28983"/>
      <w:bookmarkStart w:id="224" w:name="_Toc15642"/>
      <w:r>
        <w:rPr>
          <w:rFonts w:hint="eastAsia" w:ascii="宋体" w:hAnsi="宋体" w:eastAsia="宋体" w:cs="宋体"/>
          <w:b/>
          <w:bCs/>
          <w:szCs w:val="20"/>
        </w:rPr>
        <w:t>出现以下情形，中止电子交易活动：</w:t>
      </w:r>
      <w:bookmarkEnd w:id="220"/>
      <w:bookmarkEnd w:id="221"/>
      <w:bookmarkEnd w:id="222"/>
      <w:bookmarkEnd w:id="223"/>
      <w:bookmarkEnd w:id="224"/>
    </w:p>
    <w:p>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电子交易平台发生故障而无法登录访问的；</w:t>
      </w:r>
    </w:p>
    <w:p>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电子交易平台应用或数据库出现错误，不能进行正常操作的；</w:t>
      </w:r>
    </w:p>
    <w:p>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电子交易平台发现严重安全漏洞，有潜在泄密危险的；</w:t>
      </w:r>
    </w:p>
    <w:p>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病毒发作导致不能进行正常操作的；</w:t>
      </w:r>
    </w:p>
    <w:p>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其他无法保证电子交易的公平、公正和安全的情况。</w:t>
      </w:r>
    </w:p>
    <w:p>
      <w:pPr>
        <w:snapToGrid w:val="0"/>
        <w:spacing w:line="360" w:lineRule="auto"/>
        <w:ind w:left="420" w:leftChars="200" w:firstLine="422" w:firstLineChars="200"/>
        <w:rPr>
          <w:rFonts w:ascii="宋体" w:hAnsi="宋体" w:eastAsia="宋体" w:cs="宋体"/>
          <w:b/>
          <w:bCs/>
          <w:szCs w:val="21"/>
        </w:rPr>
      </w:pPr>
      <w:r>
        <w:rPr>
          <w:rFonts w:hint="eastAsia" w:ascii="宋体" w:hAnsi="宋体" w:eastAsia="宋体" w:cs="宋体"/>
          <w:b/>
          <w:bCs/>
          <w:szCs w:val="21"/>
        </w:rPr>
        <w:t>出现上述情形，不影响采购公平、公正性的，采购组织机构可以待上述情形消除后继续组织电子交易活动；若影响或可能影响采购公平、公正性的，则重新采购。</w:t>
      </w:r>
    </w:p>
    <w:p>
      <w:bookmarkStart w:id="225" w:name="_Toc3291"/>
      <w:bookmarkStart w:id="226" w:name="_Toc27444"/>
    </w:p>
    <w:p>
      <w:bookmarkStart w:id="227" w:name="_Toc5110"/>
      <w:bookmarkStart w:id="228" w:name="_Toc19728"/>
      <w:bookmarkStart w:id="229" w:name="_Toc1309"/>
    </w:p>
    <w:p>
      <w:bookmarkStart w:id="230" w:name="_Toc1265"/>
      <w:bookmarkStart w:id="231" w:name="_Toc21604"/>
    </w:p>
    <w:p/>
    <w:p/>
    <w:p/>
    <w:p/>
    <w:p/>
    <w:p/>
    <w:p/>
    <w:p/>
    <w:p/>
    <w:p/>
    <w:p/>
    <w:p/>
    <w:p>
      <w:pPr>
        <w:pStyle w:val="2"/>
      </w:pPr>
    </w:p>
    <w:p/>
    <w:p>
      <w:pPr>
        <w:pStyle w:val="2"/>
      </w:pPr>
    </w:p>
    <w:p/>
    <w:p>
      <w:pPr>
        <w:pStyle w:val="2"/>
      </w:pPr>
    </w:p>
    <w:p/>
    <w:p>
      <w:pPr>
        <w:pStyle w:val="2"/>
      </w:pPr>
    </w:p>
    <w:p/>
    <w:p>
      <w:pPr>
        <w:pStyle w:val="2"/>
      </w:pPr>
    </w:p>
    <w:p/>
    <w:p>
      <w:pPr>
        <w:pStyle w:val="2"/>
      </w:pPr>
    </w:p>
    <w:p/>
    <w:p>
      <w:pPr>
        <w:pStyle w:val="5"/>
        <w:spacing w:before="156" w:beforeLines="50" w:after="156" w:afterLines="50" w:line="360" w:lineRule="auto"/>
        <w:jc w:val="center"/>
        <w:rPr>
          <w:rFonts w:ascii="宋体" w:hAnsi="宋体" w:eastAsia="宋体" w:cs="宋体"/>
          <w:b/>
          <w:bCs w:val="0"/>
          <w:sz w:val="24"/>
          <w:szCs w:val="24"/>
        </w:rPr>
      </w:pPr>
    </w:p>
    <w:p>
      <w:pPr>
        <w:rPr>
          <w:rFonts w:ascii="宋体" w:hAnsi="宋体" w:eastAsia="宋体" w:cs="宋体"/>
          <w:b/>
          <w:bCs w:val="0"/>
          <w:sz w:val="24"/>
          <w:szCs w:val="24"/>
        </w:rPr>
      </w:pPr>
    </w:p>
    <w:p>
      <w:pPr>
        <w:pStyle w:val="2"/>
        <w:rPr>
          <w:rFonts w:ascii="宋体" w:hAnsi="宋体" w:eastAsia="宋体" w:cs="宋体"/>
          <w:b/>
          <w:bCs w:val="0"/>
          <w:sz w:val="24"/>
          <w:szCs w:val="24"/>
        </w:rPr>
      </w:pPr>
    </w:p>
    <w:p>
      <w:pPr>
        <w:rPr>
          <w:rFonts w:ascii="宋体" w:hAnsi="宋体" w:eastAsia="宋体" w:cs="宋体"/>
          <w:b/>
          <w:bCs w:val="0"/>
          <w:sz w:val="24"/>
          <w:szCs w:val="24"/>
        </w:rPr>
      </w:pPr>
    </w:p>
    <w:p>
      <w:pPr>
        <w:pStyle w:val="2"/>
        <w:rPr>
          <w:rFonts w:ascii="宋体" w:hAnsi="宋体" w:eastAsia="宋体" w:cs="宋体"/>
          <w:b/>
          <w:bCs w:val="0"/>
          <w:sz w:val="24"/>
          <w:szCs w:val="24"/>
        </w:rPr>
      </w:pPr>
    </w:p>
    <w:p>
      <w:pPr>
        <w:rPr>
          <w:rFonts w:ascii="宋体" w:hAnsi="宋体" w:eastAsia="宋体" w:cs="宋体"/>
          <w:b/>
          <w:bCs w:val="0"/>
          <w:sz w:val="24"/>
          <w:szCs w:val="24"/>
        </w:rPr>
      </w:pPr>
    </w:p>
    <w:p>
      <w:pPr>
        <w:pStyle w:val="2"/>
      </w:pPr>
    </w:p>
    <w:p/>
    <w:p>
      <w:pPr>
        <w:pStyle w:val="5"/>
        <w:spacing w:before="156" w:beforeLines="50" w:after="156" w:afterLines="50" w:line="360" w:lineRule="auto"/>
        <w:jc w:val="center"/>
        <w:rPr>
          <w:rFonts w:ascii="宋体" w:hAnsi="宋体" w:eastAsia="宋体" w:cs="宋体"/>
          <w:sz w:val="24"/>
          <w:szCs w:val="24"/>
        </w:rPr>
      </w:pPr>
      <w:bookmarkStart w:id="232" w:name="_Toc32565"/>
      <w:r>
        <w:rPr>
          <w:rFonts w:hint="eastAsia" w:ascii="宋体" w:hAnsi="宋体" w:eastAsia="宋体" w:cs="宋体"/>
          <w:b/>
          <w:bCs w:val="0"/>
          <w:sz w:val="24"/>
          <w:szCs w:val="24"/>
        </w:rPr>
        <w:t>（五）磋商响应文件的递交</w:t>
      </w:r>
      <w:bookmarkEnd w:id="225"/>
      <w:bookmarkEnd w:id="226"/>
      <w:bookmarkEnd w:id="227"/>
      <w:bookmarkEnd w:id="228"/>
      <w:bookmarkEnd w:id="229"/>
      <w:bookmarkEnd w:id="230"/>
      <w:bookmarkEnd w:id="231"/>
      <w:bookmarkEnd w:id="232"/>
    </w:p>
    <w:p>
      <w:pPr>
        <w:numPr>
          <w:ilvl w:val="0"/>
          <w:numId w:val="11"/>
        </w:numPr>
        <w:snapToGrid w:val="0"/>
        <w:spacing w:line="360" w:lineRule="auto"/>
        <w:outlineLvl w:val="2"/>
        <w:rPr>
          <w:rFonts w:ascii="宋体" w:hAnsi="宋体" w:eastAsia="宋体" w:cs="宋体"/>
          <w:b/>
          <w:bCs/>
          <w:sz w:val="24"/>
          <w:szCs w:val="22"/>
        </w:rPr>
      </w:pPr>
      <w:bookmarkStart w:id="233" w:name="_Toc21461"/>
      <w:bookmarkStart w:id="234" w:name="_Toc7669"/>
      <w:bookmarkStart w:id="235" w:name="_Toc22295"/>
      <w:bookmarkStart w:id="236" w:name="_Toc18594"/>
      <w:bookmarkStart w:id="237" w:name="_Toc19248"/>
      <w:r>
        <w:rPr>
          <w:rFonts w:hint="eastAsia" w:ascii="宋体" w:hAnsi="宋体" w:eastAsia="宋体" w:cs="宋体"/>
          <w:b/>
          <w:bCs/>
          <w:szCs w:val="20"/>
        </w:rPr>
        <w:t>响应文件的修改（补充）和撤回</w:t>
      </w:r>
      <w:bookmarkEnd w:id="233"/>
      <w:bookmarkEnd w:id="234"/>
      <w:bookmarkEnd w:id="235"/>
      <w:bookmarkEnd w:id="236"/>
      <w:bookmarkEnd w:id="237"/>
    </w:p>
    <w:p>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21.1    投标截止时间前可以补充、修改或撤回响应文件。补充或者修改响应文件的，应当先行撤回原文件，补充、修改后重新递交。投标截止时间前未完成递交的，视为撤回响应文件。</w:t>
      </w:r>
    </w:p>
    <w:p>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21.2    投标截止时间后，供应商不得修改（补充）或撤回其响应文件。</w:t>
      </w:r>
    </w:p>
    <w:p>
      <w:pPr>
        <w:numPr>
          <w:ilvl w:val="0"/>
          <w:numId w:val="11"/>
        </w:numPr>
        <w:snapToGrid w:val="0"/>
        <w:spacing w:line="360" w:lineRule="auto"/>
        <w:outlineLvl w:val="2"/>
        <w:rPr>
          <w:rFonts w:ascii="宋体" w:hAnsi="宋体" w:eastAsia="宋体" w:cs="宋体"/>
          <w:b/>
          <w:sz w:val="24"/>
        </w:rPr>
      </w:pPr>
      <w:bookmarkStart w:id="238" w:name="_Toc22413"/>
      <w:bookmarkStart w:id="239" w:name="_Toc16064"/>
      <w:bookmarkStart w:id="240" w:name="_Toc9460"/>
      <w:bookmarkStart w:id="241" w:name="_Toc15794"/>
      <w:bookmarkStart w:id="242" w:name="_Toc18812"/>
      <w:r>
        <w:rPr>
          <w:rFonts w:hint="eastAsia" w:ascii="宋体" w:hAnsi="宋体" w:eastAsia="宋体" w:cs="宋体"/>
          <w:b/>
          <w:szCs w:val="21"/>
        </w:rPr>
        <w:t>磋商截止时间</w:t>
      </w:r>
      <w:bookmarkEnd w:id="238"/>
      <w:bookmarkEnd w:id="239"/>
      <w:bookmarkEnd w:id="240"/>
      <w:bookmarkEnd w:id="241"/>
      <w:bookmarkEnd w:id="242"/>
    </w:p>
    <w:p>
      <w:pPr>
        <w:numPr>
          <w:ilvl w:val="1"/>
          <w:numId w:val="11"/>
        </w:numPr>
        <w:snapToGrid w:val="0"/>
        <w:spacing w:line="360" w:lineRule="auto"/>
        <w:rPr>
          <w:rFonts w:ascii="宋体" w:hAnsi="宋体" w:eastAsia="宋体" w:cs="宋体"/>
        </w:rPr>
      </w:pPr>
      <w:r>
        <w:rPr>
          <w:rFonts w:hint="eastAsia" w:ascii="宋体" w:hAnsi="宋体" w:eastAsia="宋体" w:cs="宋体"/>
          <w:szCs w:val="21"/>
        </w:rPr>
        <w:t>本次采购的磋商开始时间及磋商响应文件递交截止时间：见本磋商文件“竞争性磋商公告”。供应商应当在磋商文件规定的截止时间前完成电子加密响应文件及备份响应文件的递交，截止时间后递交的响应文件，将被拒收。</w:t>
      </w:r>
    </w:p>
    <w:p>
      <w:pPr>
        <w:numPr>
          <w:ilvl w:val="1"/>
          <w:numId w:val="11"/>
        </w:numPr>
        <w:snapToGrid w:val="0"/>
        <w:spacing w:line="360" w:lineRule="auto"/>
        <w:rPr>
          <w:rFonts w:ascii="宋体" w:hAnsi="宋体" w:eastAsia="宋体" w:cs="宋体"/>
        </w:rPr>
      </w:pPr>
      <w:r>
        <w:rPr>
          <w:rFonts w:hint="eastAsia" w:ascii="宋体" w:hAnsi="宋体" w:eastAsia="宋体" w:cs="宋体"/>
        </w:rPr>
        <w:t>在推迟了磋商开始时间的情况下，采购代理机构、采购人和磋商供应商受制约的所有权利和义务均应延长至新的截止时间。</w:t>
      </w:r>
    </w:p>
    <w:p>
      <w:pPr>
        <w:pStyle w:val="5"/>
        <w:spacing w:before="156" w:beforeLines="50" w:after="156" w:afterLines="50" w:line="380" w:lineRule="exact"/>
        <w:jc w:val="center"/>
        <w:rPr>
          <w:rFonts w:ascii="宋体" w:hAnsi="宋体" w:eastAsia="宋体" w:cs="宋体"/>
          <w:sz w:val="24"/>
          <w:szCs w:val="24"/>
        </w:rPr>
      </w:pPr>
      <w:bookmarkStart w:id="243" w:name="_Toc29862"/>
      <w:bookmarkStart w:id="244" w:name="_Toc3194"/>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pPr>
    </w:p>
    <w:p>
      <w:pPr>
        <w:pStyle w:val="5"/>
        <w:spacing w:before="156" w:beforeLines="50" w:after="156" w:afterLines="50" w:line="380" w:lineRule="exact"/>
        <w:jc w:val="center"/>
        <w:rPr>
          <w:rFonts w:ascii="宋体" w:hAnsi="宋体" w:eastAsia="宋体" w:cs="宋体"/>
          <w:sz w:val="24"/>
          <w:szCs w:val="24"/>
        </w:rPr>
      </w:pPr>
    </w:p>
    <w:p>
      <w:pPr>
        <w:pStyle w:val="5"/>
        <w:spacing w:before="156" w:beforeLines="50" w:after="156" w:afterLines="50" w:line="380" w:lineRule="exact"/>
        <w:rPr>
          <w:rFonts w:ascii="宋体" w:hAnsi="宋体" w:eastAsia="宋体" w:cs="宋体"/>
          <w:sz w:val="24"/>
          <w:szCs w:val="24"/>
        </w:rPr>
      </w:pPr>
    </w:p>
    <w:p>
      <w:pPr>
        <w:pStyle w:val="5"/>
        <w:spacing w:before="156" w:beforeLines="50" w:after="156" w:afterLines="50" w:line="380" w:lineRule="exact"/>
        <w:rPr>
          <w:rFonts w:ascii="宋体" w:hAnsi="宋体" w:eastAsia="宋体" w:cs="宋体"/>
          <w:sz w:val="24"/>
          <w:szCs w:val="24"/>
        </w:rPr>
      </w:pPr>
    </w:p>
    <w:p>
      <w:pPr>
        <w:rPr>
          <w:rFonts w:ascii="宋体" w:hAnsi="宋体" w:eastAsia="宋体" w:cs="宋体"/>
          <w:sz w:val="24"/>
        </w:rPr>
      </w:pPr>
    </w:p>
    <w:p>
      <w:pPr>
        <w:pStyle w:val="3"/>
      </w:pPr>
    </w:p>
    <w:p/>
    <w:p>
      <w:pPr>
        <w:pStyle w:val="5"/>
        <w:spacing w:before="156" w:beforeLines="50" w:after="156" w:afterLines="50" w:line="360" w:lineRule="auto"/>
        <w:jc w:val="center"/>
        <w:rPr>
          <w:rFonts w:ascii="宋体" w:hAnsi="宋体" w:eastAsia="宋体" w:cs="宋体"/>
          <w:sz w:val="24"/>
          <w:szCs w:val="24"/>
        </w:rPr>
      </w:pPr>
      <w:bookmarkStart w:id="245" w:name="_Toc32322"/>
      <w:bookmarkStart w:id="246" w:name="_Toc31387"/>
      <w:bookmarkStart w:id="247" w:name="_Toc31912"/>
      <w:bookmarkStart w:id="248" w:name="_Toc29990"/>
      <w:bookmarkStart w:id="249" w:name="_Toc1310"/>
      <w:bookmarkStart w:id="250" w:name="_Toc4167"/>
      <w:r>
        <w:rPr>
          <w:rFonts w:hint="eastAsia" w:ascii="宋体" w:hAnsi="宋体" w:eastAsia="宋体" w:cs="宋体"/>
          <w:b/>
          <w:bCs w:val="0"/>
          <w:sz w:val="24"/>
          <w:szCs w:val="24"/>
        </w:rPr>
        <w:t>（六）磋商与评审</w:t>
      </w:r>
      <w:bookmarkEnd w:id="243"/>
      <w:bookmarkEnd w:id="244"/>
      <w:bookmarkEnd w:id="245"/>
      <w:bookmarkEnd w:id="246"/>
      <w:bookmarkEnd w:id="247"/>
      <w:bookmarkEnd w:id="248"/>
      <w:bookmarkEnd w:id="249"/>
      <w:bookmarkEnd w:id="250"/>
    </w:p>
    <w:p>
      <w:pPr>
        <w:numPr>
          <w:ilvl w:val="0"/>
          <w:numId w:val="11"/>
        </w:numPr>
        <w:snapToGrid w:val="0"/>
        <w:spacing w:line="360" w:lineRule="auto"/>
        <w:outlineLvl w:val="2"/>
        <w:rPr>
          <w:rFonts w:ascii="宋体" w:hAnsi="宋体" w:eastAsia="宋体" w:cs="宋体"/>
          <w:b/>
          <w:szCs w:val="21"/>
        </w:rPr>
      </w:pPr>
      <w:bookmarkStart w:id="251" w:name="_Toc103"/>
      <w:bookmarkStart w:id="252" w:name="_Toc21421"/>
      <w:bookmarkStart w:id="253" w:name="_Toc25714"/>
      <w:bookmarkStart w:id="254" w:name="_Toc30395"/>
      <w:bookmarkStart w:id="255" w:name="_Toc17545"/>
      <w:r>
        <w:rPr>
          <w:rFonts w:hint="eastAsia" w:ascii="宋体" w:hAnsi="宋体" w:eastAsia="宋体" w:cs="宋体"/>
          <w:b/>
          <w:szCs w:val="21"/>
        </w:rPr>
        <w:t>磋商</w:t>
      </w:r>
      <w:bookmarkEnd w:id="251"/>
      <w:bookmarkEnd w:id="252"/>
      <w:bookmarkEnd w:id="253"/>
      <w:bookmarkEnd w:id="254"/>
      <w:bookmarkEnd w:id="255"/>
    </w:p>
    <w:p>
      <w:pPr>
        <w:numPr>
          <w:ilvl w:val="1"/>
          <w:numId w:val="11"/>
        </w:numPr>
        <w:snapToGrid w:val="0"/>
        <w:spacing w:line="360" w:lineRule="auto"/>
        <w:rPr>
          <w:rFonts w:ascii="宋体" w:hAnsi="宋体" w:eastAsia="宋体" w:cs="宋体"/>
        </w:rPr>
      </w:pPr>
      <w:r>
        <w:rPr>
          <w:rFonts w:hint="eastAsia" w:ascii="宋体" w:hAnsi="宋体" w:eastAsia="宋体" w:cs="宋体"/>
        </w:rPr>
        <w:t>磋商时间和地点：见本磋商文件“竞争性磋商公告”。</w:t>
      </w:r>
    </w:p>
    <w:p>
      <w:pPr>
        <w:numPr>
          <w:ilvl w:val="1"/>
          <w:numId w:val="11"/>
        </w:numPr>
        <w:snapToGrid w:val="0"/>
        <w:spacing w:line="360" w:lineRule="auto"/>
        <w:rPr>
          <w:rFonts w:ascii="宋体" w:hAnsi="宋体" w:eastAsia="宋体" w:cs="宋体"/>
        </w:rPr>
      </w:pPr>
      <w:r>
        <w:rPr>
          <w:rFonts w:hint="eastAsia" w:ascii="宋体" w:hAnsi="宋体" w:eastAsia="宋体" w:cs="宋体"/>
          <w:szCs w:val="21"/>
        </w:rPr>
        <w:t>供应商应当在接到解密通知后30分钟内自行完成“电子加密响应文件”的在线解密。</w:t>
      </w:r>
    </w:p>
    <w:p>
      <w:pPr>
        <w:numPr>
          <w:ilvl w:val="0"/>
          <w:numId w:val="11"/>
        </w:numPr>
        <w:snapToGrid w:val="0"/>
        <w:spacing w:line="360" w:lineRule="auto"/>
        <w:outlineLvl w:val="2"/>
        <w:rPr>
          <w:rFonts w:ascii="宋体" w:hAnsi="宋体" w:eastAsia="宋体" w:cs="宋体"/>
          <w:b/>
          <w:szCs w:val="20"/>
        </w:rPr>
      </w:pPr>
      <w:bookmarkStart w:id="256" w:name="_Toc31570"/>
      <w:bookmarkStart w:id="257" w:name="_Toc11884"/>
      <w:bookmarkStart w:id="258" w:name="_Toc21416"/>
      <w:bookmarkStart w:id="259" w:name="_Toc30162"/>
      <w:bookmarkStart w:id="260" w:name="_Toc28492"/>
      <w:r>
        <w:rPr>
          <w:rFonts w:hint="eastAsia" w:ascii="宋体" w:hAnsi="宋体" w:eastAsia="宋体" w:cs="宋体"/>
          <w:b/>
          <w:szCs w:val="20"/>
        </w:rPr>
        <w:t>开标程序</w:t>
      </w:r>
      <w:bookmarkEnd w:id="256"/>
      <w:bookmarkEnd w:id="257"/>
      <w:bookmarkEnd w:id="258"/>
      <w:bookmarkEnd w:id="259"/>
      <w:bookmarkEnd w:id="260"/>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采购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numPr>
          <w:ilvl w:val="1"/>
          <w:numId w:val="11"/>
        </w:numPr>
        <w:snapToGrid w:val="0"/>
        <w:spacing w:line="360" w:lineRule="auto"/>
        <w:rPr>
          <w:rFonts w:ascii="宋体" w:hAnsi="宋体" w:eastAsia="宋体" w:cs="宋体"/>
          <w:b/>
          <w:bCs/>
          <w:szCs w:val="21"/>
        </w:rPr>
      </w:pPr>
      <w:r>
        <w:rPr>
          <w:rFonts w:hint="eastAsia" w:ascii="宋体" w:hAnsi="宋体" w:eastAsia="宋体" w:cs="宋体"/>
          <w:b/>
          <w:bCs/>
          <w:szCs w:val="21"/>
        </w:rPr>
        <w:t>响应文件解密结束后，各供应商签署《政府采购活动现场确认声明书》，并在15分钟内以扫描件方式发送至代理机构邮箱。</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由代理机构根据法律法规和磋商文件的规定，检查响应文件提供的资格证明文件是否齐全、是否满足磋商文件的要求，若资格审查不符合磋商文件要求，不进入后续评审阶段。</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磋商小组对响应文件进行符合性审查，符合性审查不通过的供应商，不再进入后续评审阶段。</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磋商小组认为需要磋商的，磋商小组与各供应商在线进行磋商并确定最终方案。</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供应商按照磋商文件的变动情况和磋商小组的要求重新提交响应文件。</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磋商小组在线要求所有实质性响应供应商进行最后报价。</w:t>
      </w:r>
      <w:r>
        <w:rPr>
          <w:rFonts w:hint="eastAsia" w:ascii="宋体" w:hAnsi="宋体" w:eastAsia="宋体" w:cs="宋体"/>
          <w:szCs w:val="21"/>
        </w:rPr>
        <w:tab/>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由磋商小组采用综合评分法对提交最后报价的供应商的响应文件和最后报价进行综合评分。</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磋商小组根据综合评分情况，按照评审得分由高到低顺序推荐成交候选供应商。</w:t>
      </w:r>
    </w:p>
    <w:p>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在系统上公布评审结果。</w:t>
      </w:r>
    </w:p>
    <w:p>
      <w:pPr>
        <w:spacing w:line="360" w:lineRule="auto"/>
        <w:rPr>
          <w:rFonts w:ascii="宋体" w:hAnsi="宋体" w:eastAsia="宋体" w:cs="宋体"/>
          <w:b/>
          <w:bCs/>
          <w:szCs w:val="21"/>
        </w:rPr>
      </w:pPr>
      <w:r>
        <w:rPr>
          <w:rFonts w:hint="eastAsia" w:ascii="宋体" w:hAnsi="宋体" w:eastAsia="宋体" w:cs="宋体"/>
          <w:b/>
          <w:bCs/>
          <w:szCs w:val="21"/>
        </w:rPr>
        <w:t>特别说明：政采云公司如对电子化开标及评审程序有调整的，按调整后的程序操作。</w:t>
      </w:r>
    </w:p>
    <w:p>
      <w:pPr>
        <w:numPr>
          <w:ilvl w:val="0"/>
          <w:numId w:val="11"/>
        </w:numPr>
        <w:spacing w:line="360" w:lineRule="auto"/>
        <w:outlineLvl w:val="2"/>
        <w:rPr>
          <w:rFonts w:ascii="宋体" w:hAnsi="宋体" w:eastAsia="宋体" w:cs="宋体"/>
          <w:b/>
          <w:szCs w:val="21"/>
        </w:rPr>
      </w:pPr>
      <w:bookmarkStart w:id="261" w:name="_Toc1306"/>
      <w:bookmarkStart w:id="262" w:name="_Toc22155"/>
      <w:bookmarkStart w:id="263" w:name="_Toc8779"/>
      <w:bookmarkStart w:id="264" w:name="_Toc31290"/>
      <w:bookmarkStart w:id="265" w:name="_Toc4389"/>
      <w:r>
        <w:rPr>
          <w:rFonts w:hint="eastAsia" w:ascii="宋体" w:hAnsi="宋体" w:eastAsia="宋体" w:cs="宋体"/>
          <w:b/>
          <w:szCs w:val="21"/>
        </w:rPr>
        <w:t>磋商小组</w:t>
      </w:r>
      <w:bookmarkEnd w:id="261"/>
      <w:bookmarkEnd w:id="262"/>
      <w:bookmarkEnd w:id="263"/>
      <w:bookmarkEnd w:id="264"/>
      <w:bookmarkEnd w:id="265"/>
    </w:p>
    <w:p>
      <w:pPr>
        <w:numPr>
          <w:ilvl w:val="1"/>
          <w:numId w:val="11"/>
        </w:numPr>
        <w:snapToGrid w:val="0"/>
        <w:spacing w:line="360" w:lineRule="auto"/>
        <w:rPr>
          <w:rFonts w:ascii="宋体" w:hAnsi="宋体" w:eastAsia="宋体" w:cs="宋体"/>
        </w:rPr>
      </w:pPr>
      <w:r>
        <w:rPr>
          <w:rFonts w:hint="eastAsia" w:ascii="宋体" w:hAnsi="宋体" w:eastAsia="宋体" w:cs="宋体"/>
        </w:rPr>
        <w:t>本次采购依法组建磋商小组。磋商小组由采购人的代表和有关专家共三人以上的单数组成，其中专家的人数不得少于成员总数的三分之二。</w:t>
      </w:r>
    </w:p>
    <w:p>
      <w:pPr>
        <w:numPr>
          <w:ilvl w:val="0"/>
          <w:numId w:val="11"/>
        </w:numPr>
        <w:spacing w:line="360" w:lineRule="auto"/>
        <w:outlineLvl w:val="2"/>
        <w:rPr>
          <w:rFonts w:ascii="宋体" w:hAnsi="宋体" w:eastAsia="宋体" w:cs="宋体"/>
          <w:b/>
          <w:szCs w:val="21"/>
        </w:rPr>
      </w:pPr>
      <w:bookmarkStart w:id="266" w:name="_Toc26774"/>
      <w:bookmarkStart w:id="267" w:name="_Toc21070"/>
      <w:bookmarkStart w:id="268" w:name="_Toc29754"/>
      <w:bookmarkStart w:id="269" w:name="_Toc9101"/>
      <w:bookmarkStart w:id="270" w:name="_Toc16082"/>
      <w:r>
        <w:rPr>
          <w:rFonts w:hint="eastAsia" w:ascii="宋体" w:hAnsi="宋体" w:eastAsia="宋体" w:cs="宋体"/>
          <w:b/>
          <w:szCs w:val="21"/>
        </w:rPr>
        <w:t>磋商工作程序</w:t>
      </w:r>
      <w:bookmarkEnd w:id="266"/>
      <w:bookmarkEnd w:id="267"/>
      <w:bookmarkEnd w:id="268"/>
      <w:bookmarkEnd w:id="269"/>
      <w:bookmarkEnd w:id="270"/>
    </w:p>
    <w:p>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eastAsia="宋体" w:cs="宋体"/>
          <w:b/>
          <w:bCs/>
          <w:szCs w:val="21"/>
        </w:rPr>
        <w:t>磋商小组将以书面通过“政府采购云平台”在线询标的形式要求磋商供应商在规定的时间内作出必要的澄清、说明或者补正。磋商供应商的澄清、说明或者补正应当采用书面通过通过“政府采购云平台”在线答复形式提交，并加盖</w:t>
      </w:r>
      <w:r>
        <w:rPr>
          <w:rFonts w:hint="eastAsia" w:ascii="宋体" w:hAnsi="宋体" w:eastAsia="宋体" w:cs="宋体"/>
          <w:b/>
          <w:bCs/>
        </w:rPr>
        <w:t>电子签章</w:t>
      </w:r>
      <w:r>
        <w:rPr>
          <w:rFonts w:hint="eastAsia" w:ascii="宋体" w:hAnsi="宋体" w:eastAsia="宋体" w:cs="宋体"/>
          <w:b/>
          <w:bCs/>
          <w:szCs w:val="21"/>
        </w:rPr>
        <w:t>，或者由法定代表人或其授权的代表签字。</w:t>
      </w:r>
    </w:p>
    <w:p>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26.2    磋商小组所有成员集中与单一磋商供应商分别进行磋商。</w:t>
      </w:r>
      <w:r>
        <w:rPr>
          <w:rFonts w:hint="eastAsia" w:ascii="宋体" w:hAnsi="宋体" w:eastAsia="宋体" w:cs="宋体"/>
        </w:rPr>
        <w:t>磋商的顺序，按供应商解密响应文件时间的先后顺序进行在线磋商。</w:t>
      </w:r>
      <w:r>
        <w:rPr>
          <w:rFonts w:hint="eastAsia" w:ascii="宋体" w:hAnsi="宋体" w:eastAsia="宋体" w:cs="宋体"/>
          <w:szCs w:val="21"/>
        </w:rPr>
        <w:t>在磋商中，磋商的任何一方不得透露与磋商有关的其他磋商供应商的技术资料、价格和其他信息。</w:t>
      </w:r>
    </w:p>
    <w:p>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26.3    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授权代表签字或者加盖电子签章。由授权代表签字的，应当附法定代表人授权书。供应商为自然人的，应当由本人签字并附身份证明。各供应商提供的磋商响应文件如已完全响应本磋商响应文件技术和服务要求的，经采购人和磋商小组认定后，不再组织逐一磋商。首轮报价不公开。</w:t>
      </w:r>
    </w:p>
    <w:p>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26.4    磋商结束后，磋商小组要求所有实质性响应的供应商在规定时间内在线提交最后报价。最后报价是供应商响应文件的有效组成部分。</w:t>
      </w:r>
    </w:p>
    <w:p>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26.5    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26.6    经磋商确定最终采购需求和提交最后报价的供应商后，由磋商小组采用综合评分法对提交最后报价的供应商的响应文件和最后报价进行综合评分。</w:t>
      </w:r>
    </w:p>
    <w:p>
      <w:pPr>
        <w:numPr>
          <w:ilvl w:val="0"/>
          <w:numId w:val="11"/>
        </w:numPr>
        <w:spacing w:line="360" w:lineRule="auto"/>
        <w:outlineLvl w:val="2"/>
        <w:rPr>
          <w:rFonts w:ascii="宋体" w:hAnsi="宋体" w:eastAsia="宋体" w:cs="宋体"/>
          <w:b/>
          <w:sz w:val="24"/>
          <w:szCs w:val="22"/>
        </w:rPr>
      </w:pPr>
      <w:bookmarkStart w:id="271" w:name="_Toc19705"/>
      <w:bookmarkStart w:id="272" w:name="_Toc6911"/>
      <w:bookmarkStart w:id="273" w:name="_Toc12322"/>
      <w:bookmarkStart w:id="274" w:name="_Toc27456"/>
      <w:bookmarkStart w:id="275" w:name="_Toc20307"/>
      <w:r>
        <w:rPr>
          <w:rFonts w:hint="eastAsia" w:ascii="宋体" w:hAnsi="宋体" w:eastAsia="宋体" w:cs="宋体"/>
          <w:b/>
          <w:szCs w:val="20"/>
        </w:rPr>
        <w:t>评审</w:t>
      </w:r>
      <w:bookmarkEnd w:id="271"/>
      <w:bookmarkEnd w:id="272"/>
      <w:bookmarkEnd w:id="273"/>
      <w:bookmarkEnd w:id="274"/>
      <w:bookmarkEnd w:id="275"/>
      <w:r>
        <w:rPr>
          <w:rFonts w:hint="eastAsia" w:ascii="宋体" w:hAnsi="宋体" w:eastAsia="宋体" w:cs="宋体"/>
          <w:b/>
          <w:sz w:val="24"/>
          <w:szCs w:val="22"/>
        </w:rPr>
        <w:t xml:space="preserve"> </w:t>
      </w:r>
    </w:p>
    <w:p>
      <w:pPr>
        <w:numPr>
          <w:ilvl w:val="1"/>
          <w:numId w:val="11"/>
        </w:numPr>
        <w:tabs>
          <w:tab w:val="left" w:pos="0"/>
        </w:tabs>
        <w:snapToGrid w:val="0"/>
        <w:spacing w:line="360" w:lineRule="auto"/>
        <w:rPr>
          <w:rFonts w:ascii="宋体" w:hAnsi="宋体" w:eastAsia="宋体" w:cs="宋体"/>
        </w:rPr>
      </w:pPr>
      <w:bookmarkStart w:id="276" w:name="OLE_LINK30"/>
      <w:r>
        <w:rPr>
          <w:rFonts w:hint="eastAsia" w:ascii="宋体" w:hAnsi="宋体" w:eastAsia="宋体" w:cs="宋体"/>
        </w:rPr>
        <w:t>资格性检查：采购人或代理机构根据法律法规和磋商文件的规定，检查响应文件提供的资格证明文件是否齐全、是否满足磋商文件的要求。</w:t>
      </w:r>
    </w:p>
    <w:p>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符合性检查</w:t>
      </w:r>
      <w:bookmarkEnd w:id="276"/>
      <w:r>
        <w:rPr>
          <w:rFonts w:hint="eastAsia" w:ascii="宋体" w:hAnsi="宋体" w:eastAsia="宋体" w:cs="宋体"/>
          <w:szCs w:val="22"/>
        </w:rPr>
        <w:t>：磋商小组对符合资格的供应商进行符合性审查，以确定是否对磋商文件的实质性要求作出响应。</w:t>
      </w:r>
    </w:p>
    <w:p>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▲在评审过程中，响应文件出现但不限于下列情况，按照无效报价处理：</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报价不是固定的或超过预算金额的或超过最高限价的</w:t>
      </w:r>
      <w:r>
        <w:rPr>
          <w:rFonts w:hint="eastAsia" w:ascii="宋体" w:hAnsi="宋体" w:eastAsia="宋体" w:cs="宋体"/>
          <w:szCs w:val="21"/>
          <w:lang w:eastAsia="zh-CN"/>
        </w:rPr>
        <w:t>；</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未在报价时限内提交最后报价的</w:t>
      </w:r>
      <w:r>
        <w:rPr>
          <w:rFonts w:hint="eastAsia" w:ascii="宋体" w:hAnsi="宋体" w:eastAsia="宋体" w:cs="宋体"/>
          <w:szCs w:val="21"/>
          <w:lang w:eastAsia="zh-CN"/>
        </w:rPr>
        <w:t>；</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磋商小组认为响应文件未实质性响应磋商文件的要求的；</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响应文件中载明的工期超过磋商文件中规定的工期；</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在报价评审中，发现价格计算有误，又不接受磋商小组修正的报价；</w:t>
      </w:r>
    </w:p>
    <w:p>
      <w:pPr>
        <w:numPr>
          <w:ilvl w:val="0"/>
          <w:numId w:val="19"/>
        </w:numPr>
        <w:tabs>
          <w:tab w:val="left" w:pos="1060"/>
        </w:tabs>
        <w:spacing w:line="360" w:lineRule="auto"/>
        <w:ind w:left="1045" w:hanging="405"/>
        <w:rPr>
          <w:rFonts w:ascii="宋体" w:hAnsi="宋体" w:eastAsia="宋体" w:cs="宋体"/>
        </w:rPr>
      </w:pPr>
      <w:r>
        <w:rPr>
          <w:rFonts w:hint="eastAsia" w:ascii="宋体" w:hAnsi="宋体" w:eastAsia="宋体" w:cs="宋体"/>
          <w:szCs w:val="21"/>
        </w:rPr>
        <w:t>不具备磋商文件中规定资格要求的；</w:t>
      </w:r>
    </w:p>
    <w:p>
      <w:pPr>
        <w:numPr>
          <w:ilvl w:val="0"/>
          <w:numId w:val="19"/>
        </w:numPr>
        <w:tabs>
          <w:tab w:val="left" w:pos="1060"/>
        </w:tabs>
        <w:spacing w:line="360" w:lineRule="auto"/>
        <w:ind w:left="1045" w:hanging="405"/>
        <w:rPr>
          <w:rFonts w:ascii="宋体" w:hAnsi="宋体" w:eastAsia="宋体" w:cs="宋体"/>
          <w:b w:val="0"/>
          <w:bCs w:val="0"/>
        </w:rPr>
      </w:pPr>
      <w:r>
        <w:rPr>
          <w:rFonts w:hint="eastAsia" w:ascii="宋体" w:hAnsi="宋体" w:eastAsia="宋体" w:cs="宋体"/>
          <w:b w:val="0"/>
          <w:bCs w:val="0"/>
        </w:rPr>
        <w:t>未按规定提供关于满足《中华人民共和国政府采购法》第二十二条规定的承诺函的；</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投标截止时间止，供应商仅递交了“备份响应文件”而未将电子加密投标文件上传至“政府采购云平台”的；</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电子响应文件解密失败的，且未在规定时间内提交备份响应文件的</w:t>
      </w:r>
      <w:r>
        <w:rPr>
          <w:rFonts w:hint="eastAsia" w:ascii="宋体" w:hAnsi="宋体" w:eastAsia="宋体" w:cs="宋体"/>
          <w:szCs w:val="21"/>
          <w:lang w:eastAsia="zh-CN"/>
        </w:rPr>
        <w:t>；</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未提供中小型企业声明函或磋商供应商不属于中小型企业的；</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资格性审查</w:t>
      </w:r>
      <w:r>
        <w:rPr>
          <w:rFonts w:hint="eastAsia" w:ascii="宋体" w:hAnsi="宋体" w:eastAsia="宋体" w:cs="宋体"/>
        </w:rPr>
        <w:t>、符合性审查不符合要求的；</w:t>
      </w:r>
    </w:p>
    <w:p>
      <w:pPr>
        <w:numPr>
          <w:ilvl w:val="0"/>
          <w:numId w:val="19"/>
        </w:numPr>
        <w:tabs>
          <w:tab w:val="left" w:pos="1060"/>
        </w:tabs>
        <w:spacing w:line="360" w:lineRule="auto"/>
        <w:ind w:left="1045" w:hanging="405"/>
        <w:rPr>
          <w:rFonts w:ascii="宋体" w:hAnsi="宋体" w:eastAsia="宋体" w:cs="宋体"/>
          <w:b w:val="0"/>
          <w:bCs w:val="0"/>
          <w:szCs w:val="21"/>
        </w:rPr>
      </w:pPr>
      <w:r>
        <w:rPr>
          <w:rFonts w:hint="eastAsia" w:ascii="宋体" w:hAnsi="宋体" w:eastAsia="宋体" w:cs="宋体"/>
          <w:b w:val="0"/>
          <w:bCs w:val="0"/>
          <w:szCs w:val="21"/>
        </w:rPr>
        <w:t>存在串标、抬标或弄虚作假情况的；</w:t>
      </w:r>
    </w:p>
    <w:p>
      <w:pPr>
        <w:numPr>
          <w:ilvl w:val="0"/>
          <w:numId w:val="19"/>
        </w:numPr>
        <w:tabs>
          <w:tab w:val="left" w:pos="1060"/>
        </w:tabs>
        <w:spacing w:line="360" w:lineRule="auto"/>
        <w:ind w:left="1045" w:hanging="405"/>
        <w:rPr>
          <w:rFonts w:ascii="宋体" w:hAnsi="宋体" w:eastAsia="宋体" w:cs="宋体"/>
          <w:b w:val="0"/>
          <w:bCs w:val="0"/>
          <w:szCs w:val="21"/>
        </w:rPr>
      </w:pPr>
      <w:r>
        <w:rPr>
          <w:rFonts w:hint="eastAsia" w:ascii="宋体" w:hAnsi="宋体" w:eastAsia="宋体" w:cs="宋体"/>
          <w:b w:val="0"/>
          <w:bCs w:val="0"/>
          <w:szCs w:val="21"/>
        </w:rPr>
        <w:t>磋商响应文件中需签字或盖章的地方未加盖磋商供应商单位全称的电子签章，或使用投标专用章、合同章等类似图章代替，或未经法定代表人或其委托代理人签字或盖章；</w:t>
      </w:r>
      <w:r>
        <w:rPr>
          <w:rFonts w:hint="eastAsia" w:ascii="宋体" w:hAnsi="宋体" w:eastAsia="宋体" w:cs="宋体"/>
          <w:b w:val="0"/>
          <w:bCs w:val="0"/>
        </w:rPr>
        <w:t xml:space="preserve"> </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磋商响应文件存在一个或一个以上备选（替代）投标方案的</w:t>
      </w:r>
      <w:r>
        <w:rPr>
          <w:rFonts w:hint="eastAsia" w:ascii="宋体" w:hAnsi="宋体" w:eastAsia="宋体" w:cs="宋体"/>
          <w:szCs w:val="21"/>
          <w:lang w:eastAsia="zh-CN"/>
        </w:rPr>
        <w:t>；</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在磋商结束前，磋商供应商发生重大变化或变更，未及时告知采购人或不再具备磋商文件规定的资格条件或者其投标影响招标公正性的；</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不是法定代表人未在磋商响应文件中提供有效法定代表人授权委托书的；</w:t>
      </w:r>
    </w:p>
    <w:p>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bCs/>
          <w:szCs w:val="21"/>
        </w:rPr>
        <w:t>被列入失信被执行人、重大税收违法案件当事人名单、政府采购严重违法失信行为记录名单的；</w:t>
      </w:r>
    </w:p>
    <w:p>
      <w:pPr>
        <w:numPr>
          <w:ilvl w:val="0"/>
          <w:numId w:val="0"/>
        </w:numPr>
        <w:tabs>
          <w:tab w:val="left" w:pos="1060"/>
        </w:tabs>
        <w:spacing w:line="360" w:lineRule="auto"/>
        <w:ind w:left="640" w:leftChars="0"/>
        <w:outlineLvl w:val="3"/>
        <w:rPr>
          <w:rFonts w:ascii="宋体" w:hAnsi="宋体" w:eastAsia="宋体" w:cs="宋体"/>
          <w:szCs w:val="21"/>
        </w:rPr>
      </w:pPr>
      <w:r>
        <w:rPr>
          <w:rFonts w:hint="eastAsia" w:ascii="宋体" w:hAnsi="宋体" w:eastAsia="宋体" w:cs="宋体"/>
          <w:szCs w:val="21"/>
          <w:lang w:val="en-US" w:eastAsia="zh-CN"/>
        </w:rPr>
        <w:t>(19)</w:t>
      </w:r>
      <w:r>
        <w:rPr>
          <w:rFonts w:hint="eastAsia" w:ascii="宋体" w:hAnsi="宋体" w:eastAsia="宋体" w:cs="宋体"/>
          <w:szCs w:val="21"/>
        </w:rPr>
        <w:t>不符合法律、法规和磋商文件中规定的其他实质性要求的。</w:t>
      </w:r>
    </w:p>
    <w:p>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提供相同品牌产品且通过资格审查、符合性审查的不同投标人参加同一合同项下投标的，按一家投标人计算，评审后得分最高的同品牌磋商供应商获得成交供应商推荐资格；评审得分相同的，按以下规定确定一个磋商供应商获得成交供应商推荐资格：评审得分相同的，按照投标报价由低到高顺序推荐；评审得分且投标报价相同的，由磋商小组按照商务技术得分由高到低顺序推荐；评审得分、投标报价及商务技术得分均相同时，以政采云响应文件解密先后顺序确定。其他同品牌磋商供应商不作为成交候选人。若项目为非单一产品采购项目，采购人根据项目技术构成、产品价格比重等确定核心产品，并在磋商文件第三部分采购清单中注明。核心产品的数量确定为多个时,所有核心产品均为相同品牌才视为核心产品品牌相同。多家磋商供应商提供的核心产品品牌相同的，按上述规定处理。</w:t>
      </w:r>
    </w:p>
    <w:p>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 xml:space="preserve">澄清有关问题： </w:t>
      </w:r>
    </w:p>
    <w:p>
      <w:pPr>
        <w:snapToGrid w:val="0"/>
        <w:spacing w:line="360" w:lineRule="auto"/>
        <w:ind w:left="838" w:hanging="837" w:hangingChars="399"/>
        <w:rPr>
          <w:rFonts w:ascii="宋体" w:hAnsi="宋体" w:eastAsia="宋体" w:cs="宋体"/>
          <w:snapToGrid w:val="0"/>
          <w:szCs w:val="21"/>
        </w:rPr>
      </w:pPr>
      <w:r>
        <w:rPr>
          <w:rFonts w:hint="eastAsia" w:ascii="宋体" w:hAnsi="宋体" w:eastAsia="宋体" w:cs="宋体"/>
          <w:snapToGrid w:val="0"/>
          <w:szCs w:val="21"/>
        </w:rPr>
        <w:t>27.5.1  为有助于对响应文件的审核、评价和比较。磋商小组对资格性检查和符合性检查合格的响应文件进行澄清，对响应文件中含义不明确、同类问题表述不一致或者有明显文字和计算错误的内容，</w:t>
      </w:r>
      <w:r>
        <w:rPr>
          <w:rFonts w:hint="eastAsia" w:ascii="宋体" w:hAnsi="宋体" w:eastAsia="宋体" w:cs="宋体"/>
          <w:b/>
          <w:bCs/>
          <w:szCs w:val="21"/>
        </w:rPr>
        <w:t>磋商小组将以书面通过“政府采购云平台”在线询标的形式要求磋商供应商在规定的时间内作出必要的澄清、说明或者补正。磋商供应商的澄清、说明或者补正应当采用书面通过通过“政府采购云平台”在线答复形式提交，并加盖</w:t>
      </w:r>
      <w:r>
        <w:rPr>
          <w:rFonts w:hint="eastAsia" w:ascii="宋体" w:hAnsi="宋体" w:eastAsia="宋体" w:cs="宋体"/>
          <w:b/>
          <w:bCs/>
        </w:rPr>
        <w:t>电子签章</w:t>
      </w:r>
      <w:r>
        <w:rPr>
          <w:rFonts w:hint="eastAsia" w:ascii="宋体" w:hAnsi="宋体" w:eastAsia="宋体" w:cs="宋体"/>
          <w:b/>
          <w:bCs/>
          <w:szCs w:val="21"/>
        </w:rPr>
        <w:t>，或者由法定代表人或其授权的代表签字。</w:t>
      </w:r>
    </w:p>
    <w:p>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磋商</w:t>
      </w:r>
      <w:r>
        <w:rPr>
          <w:rFonts w:hint="eastAsia" w:ascii="宋体" w:hAnsi="宋体" w:eastAsia="宋体" w:cs="宋体"/>
          <w:snapToGrid w:val="0"/>
          <w:szCs w:val="21"/>
        </w:rPr>
        <w:t>小组详细分析、核准价格表，看其是否有计算上或累加上的算术错误，并按本磋商文件第六部分“评定办法”中所明确的原则、修正错误的方法，调整响应文件中的投标报价，并确定评标价。调整后的价格对磋商供应商具有约束力。如果磋商供应商不接受修正后的价格，则其投标将被拒绝。</w:t>
      </w:r>
    </w:p>
    <w:p>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 xml:space="preserve">比较与评价：磋商小组按磋商文件中规定的评审方法和标准，对资格性检查和符合性检查合格的响应文件进行比较和评价；磋商小组对响应文件的判定，只依据响应文件内容本身，不依据任何外来证明。   </w:t>
      </w:r>
    </w:p>
    <w:p>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磋商小组认为供应商的报价明显低于其他通过符合性审查供应商的报价，有可能影响产品质量或者不能诚信履约的，</w:t>
      </w:r>
      <w:r>
        <w:rPr>
          <w:rFonts w:hint="eastAsia" w:ascii="宋体" w:hAnsi="宋体" w:eastAsia="宋体" w:cs="宋体"/>
          <w:szCs w:val="21"/>
        </w:rPr>
        <w:t>磋商小组有权通知磋商供应商限期进行解释。若该磋商供应商未在规定期限内做出解释，或做出的解释不合理并拒绝改变，经磋商小组取得一致意见后，可确定拒绝该报价。</w:t>
      </w:r>
    </w:p>
    <w:p>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经磋商确定最终采购需求和提交最后报价的供应商后，由磋商小组采用综合评分法对提交最后报价的供应商的响应文件和最后报价进行综合评分。</w:t>
      </w:r>
    </w:p>
    <w:p>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磋商小组根据综合评分情况，按照评审总得分由高到低顺序推荐成交候选供应商，并编写评审报告。评审总得分相同的，按照最后报价由低到高顺序排列；评审总得分且最后报价相同的，由磋商小组按照商务技术得分由高到低顺序推荐；评审总得分、最后报价及商务技术得分均相同时，以政采云响应文件解密先后顺序确定。</w:t>
      </w:r>
    </w:p>
    <w:p>
      <w:pPr>
        <w:numPr>
          <w:ilvl w:val="0"/>
          <w:numId w:val="11"/>
        </w:numPr>
        <w:spacing w:line="360" w:lineRule="auto"/>
        <w:outlineLvl w:val="2"/>
        <w:rPr>
          <w:rFonts w:ascii="宋体" w:hAnsi="宋体" w:eastAsia="宋体" w:cs="宋体"/>
          <w:b/>
          <w:szCs w:val="20"/>
        </w:rPr>
      </w:pPr>
      <w:bookmarkStart w:id="277" w:name="_Toc30863"/>
      <w:bookmarkStart w:id="278" w:name="_Toc27061"/>
      <w:bookmarkStart w:id="279" w:name="_Toc4489"/>
      <w:bookmarkStart w:id="280" w:name="_Toc23347"/>
      <w:bookmarkStart w:id="281" w:name="_Toc11620"/>
      <w:r>
        <w:rPr>
          <w:rFonts w:hint="eastAsia" w:ascii="宋体" w:hAnsi="宋体" w:eastAsia="宋体" w:cs="宋体"/>
          <w:b/>
          <w:szCs w:val="20"/>
        </w:rPr>
        <w:t>成交供应商的确定</w:t>
      </w:r>
      <w:bookmarkEnd w:id="277"/>
      <w:bookmarkEnd w:id="278"/>
      <w:bookmarkEnd w:id="279"/>
      <w:bookmarkEnd w:id="280"/>
      <w:bookmarkEnd w:id="281"/>
    </w:p>
    <w:p>
      <w:pPr>
        <w:snapToGrid w:val="0"/>
        <w:spacing w:line="360" w:lineRule="auto"/>
        <w:ind w:left="840" w:hanging="840" w:hangingChars="400"/>
        <w:rPr>
          <w:rFonts w:ascii="宋体" w:hAnsi="宋体" w:eastAsia="宋体" w:cs="宋体"/>
        </w:rPr>
      </w:pPr>
      <w:r>
        <w:rPr>
          <w:rFonts w:hint="eastAsia" w:ascii="宋体" w:hAnsi="宋体" w:eastAsia="宋体" w:cs="宋体"/>
        </w:rPr>
        <w:t>28.1    采购机构按磋商小组的评审结果，确定第一成交预选供应商为成交供应商，当第一成交预选供应商因故不能成交时，可以确定第二成交预选供应商为成交供应商，以此类推。</w:t>
      </w:r>
    </w:p>
    <w:p>
      <w:pPr>
        <w:snapToGrid w:val="0"/>
        <w:spacing w:line="360" w:lineRule="auto"/>
        <w:ind w:left="840" w:hanging="840" w:hangingChars="400"/>
        <w:rPr>
          <w:rFonts w:ascii="宋体" w:hAnsi="宋体" w:eastAsia="宋体" w:cs="宋体"/>
        </w:rPr>
      </w:pPr>
      <w:r>
        <w:rPr>
          <w:rFonts w:hint="eastAsia" w:ascii="宋体" w:hAnsi="宋体" w:eastAsia="宋体" w:cs="宋体"/>
        </w:rPr>
        <w:t>28.2    采购代理机构在成交供应商确定后2个工作日内，在“温州市公共资源交易网—瑞安市分网”</w:t>
      </w:r>
      <w:r>
        <w:rPr>
          <w:rFonts w:hint="eastAsia" w:ascii="宋体" w:hAnsi="宋体" w:eastAsia="宋体" w:cs="宋体"/>
          <w:szCs w:val="22"/>
        </w:rPr>
        <w:t>（www.ruian.gov.cn）</w:t>
      </w:r>
      <w:r>
        <w:rPr>
          <w:rFonts w:hint="eastAsia" w:ascii="宋体" w:hAnsi="宋体" w:eastAsia="宋体" w:cs="宋体"/>
        </w:rPr>
        <w:t>及“浙江政府采购网”</w:t>
      </w:r>
      <w:r>
        <w:rPr>
          <w:rFonts w:hint="eastAsia" w:ascii="宋体" w:hAnsi="宋体" w:eastAsia="宋体" w:cs="宋体"/>
          <w:szCs w:val="22"/>
        </w:rPr>
        <w:t>（zfcg.czt.zj.gov.cn/）</w:t>
      </w:r>
      <w:r>
        <w:rPr>
          <w:rFonts w:hint="eastAsia" w:ascii="宋体" w:hAnsi="宋体" w:eastAsia="宋体" w:cs="宋体"/>
        </w:rPr>
        <w:t>发布成交结果公告，同时向成交供应商发出成交通知书。</w:t>
      </w:r>
    </w:p>
    <w:p>
      <w:pPr>
        <w:numPr>
          <w:ilvl w:val="0"/>
          <w:numId w:val="11"/>
        </w:numPr>
        <w:spacing w:line="360" w:lineRule="auto"/>
        <w:outlineLvl w:val="2"/>
        <w:rPr>
          <w:rFonts w:ascii="宋体" w:hAnsi="宋体" w:eastAsia="宋体" w:cs="宋体"/>
          <w:b/>
          <w:szCs w:val="20"/>
        </w:rPr>
      </w:pPr>
      <w:bookmarkStart w:id="282" w:name="_Toc4528"/>
      <w:bookmarkStart w:id="283" w:name="_Toc12849"/>
      <w:bookmarkStart w:id="284" w:name="_Toc26658"/>
      <w:bookmarkStart w:id="285" w:name="_Toc5669"/>
      <w:bookmarkStart w:id="286" w:name="_Toc4070"/>
      <w:r>
        <w:rPr>
          <w:rFonts w:hint="eastAsia" w:ascii="宋体" w:hAnsi="宋体" w:eastAsia="宋体" w:cs="宋体"/>
          <w:b/>
          <w:szCs w:val="20"/>
        </w:rPr>
        <w:t>评标过程保密</w:t>
      </w:r>
      <w:bookmarkEnd w:id="282"/>
      <w:bookmarkEnd w:id="283"/>
      <w:bookmarkEnd w:id="284"/>
      <w:bookmarkEnd w:id="285"/>
      <w:bookmarkEnd w:id="286"/>
    </w:p>
    <w:p>
      <w:pPr>
        <w:snapToGrid w:val="0"/>
        <w:spacing w:line="360" w:lineRule="auto"/>
        <w:ind w:left="840" w:hanging="840" w:hangingChars="400"/>
        <w:rPr>
          <w:rFonts w:ascii="宋体" w:hAnsi="宋体" w:eastAsia="宋体" w:cs="宋体"/>
        </w:rPr>
      </w:pPr>
      <w:r>
        <w:rPr>
          <w:rFonts w:hint="eastAsia" w:ascii="宋体" w:hAnsi="宋体" w:eastAsia="宋体" w:cs="宋体"/>
        </w:rPr>
        <w:t>29.1    磋商之后，直到授予磋商供应商合同止，凡是属于审查、澄清、评价和比较磋商的有关资料以及授标意向等，均不得向磋商供应商或其他无关的人员透露。</w:t>
      </w:r>
    </w:p>
    <w:p>
      <w:pPr>
        <w:numPr>
          <w:ilvl w:val="0"/>
          <w:numId w:val="11"/>
        </w:numPr>
        <w:spacing w:line="360" w:lineRule="auto"/>
        <w:outlineLvl w:val="2"/>
        <w:rPr>
          <w:rFonts w:ascii="宋体" w:hAnsi="宋体" w:eastAsia="宋体" w:cs="宋体"/>
          <w:b/>
          <w:szCs w:val="20"/>
        </w:rPr>
      </w:pPr>
      <w:bookmarkStart w:id="287" w:name="_Toc1384"/>
      <w:bookmarkStart w:id="288" w:name="_Toc12275"/>
      <w:bookmarkStart w:id="289" w:name="_Toc24591"/>
      <w:bookmarkStart w:id="290" w:name="_Toc12434"/>
      <w:bookmarkStart w:id="291" w:name="_Toc16469"/>
      <w:r>
        <w:rPr>
          <w:rFonts w:hint="eastAsia" w:ascii="宋体" w:hAnsi="宋体" w:eastAsia="宋体" w:cs="宋体"/>
          <w:b/>
          <w:szCs w:val="20"/>
        </w:rPr>
        <w:t>否决任何或所有磋商的权利</w:t>
      </w:r>
      <w:bookmarkEnd w:id="287"/>
      <w:bookmarkEnd w:id="288"/>
      <w:bookmarkEnd w:id="289"/>
      <w:bookmarkEnd w:id="290"/>
      <w:bookmarkEnd w:id="291"/>
    </w:p>
    <w:p>
      <w:pPr>
        <w:snapToGrid w:val="0"/>
        <w:spacing w:line="360" w:lineRule="auto"/>
        <w:rPr>
          <w:rFonts w:ascii="宋体" w:hAnsi="宋体" w:eastAsia="宋体" w:cs="宋体"/>
        </w:rPr>
      </w:pPr>
      <w:r>
        <w:rPr>
          <w:rFonts w:hint="eastAsia" w:ascii="宋体" w:hAnsi="宋体" w:eastAsia="宋体" w:cs="宋体"/>
        </w:rPr>
        <w:t>30.1    磋商小组经评审，认为所有磋商都不符合磋商文件要求的，可以否决所有磋商。</w:t>
      </w:r>
    </w:p>
    <w:p>
      <w:pPr>
        <w:snapToGrid w:val="0"/>
        <w:spacing w:line="360" w:lineRule="auto"/>
        <w:ind w:left="840" w:hanging="840" w:hangingChars="400"/>
        <w:rPr>
          <w:rFonts w:ascii="宋体" w:hAnsi="宋体" w:eastAsia="宋体" w:cs="宋体"/>
        </w:rPr>
      </w:pPr>
      <w:r>
        <w:rPr>
          <w:rFonts w:hint="eastAsia" w:ascii="宋体" w:hAnsi="宋体" w:eastAsia="宋体" w:cs="宋体"/>
        </w:rPr>
        <w:t>30.2    如果成交预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磋商，并宣布采购无效，对受影响的磋商供应商不承担任何责任，也无义务向受影响的磋商供应商解释采取这一行动的理由。</w:t>
      </w:r>
    </w:p>
    <w:p>
      <w:pPr>
        <w:numPr>
          <w:ilvl w:val="0"/>
          <w:numId w:val="11"/>
        </w:numPr>
        <w:spacing w:line="360" w:lineRule="auto"/>
        <w:outlineLvl w:val="2"/>
        <w:rPr>
          <w:rFonts w:ascii="宋体" w:hAnsi="宋体" w:eastAsia="宋体" w:cs="宋体"/>
          <w:b/>
          <w:szCs w:val="20"/>
        </w:rPr>
      </w:pPr>
      <w:bookmarkStart w:id="292" w:name="_Toc20159"/>
      <w:bookmarkStart w:id="293" w:name="_Toc24726"/>
      <w:bookmarkStart w:id="294" w:name="_Toc18324"/>
      <w:bookmarkStart w:id="295" w:name="_Toc2511"/>
      <w:bookmarkStart w:id="296" w:name="_Toc32764"/>
      <w:r>
        <w:rPr>
          <w:rFonts w:hint="eastAsia" w:ascii="宋体" w:hAnsi="宋体" w:eastAsia="宋体" w:cs="宋体"/>
          <w:b/>
          <w:szCs w:val="20"/>
        </w:rPr>
        <w:t>质疑与投诉</w:t>
      </w:r>
      <w:bookmarkEnd w:id="292"/>
      <w:bookmarkEnd w:id="293"/>
      <w:bookmarkEnd w:id="294"/>
      <w:bookmarkEnd w:id="295"/>
      <w:bookmarkEnd w:id="296"/>
    </w:p>
    <w:p>
      <w:pPr>
        <w:numPr>
          <w:ilvl w:val="1"/>
          <w:numId w:val="11"/>
        </w:numPr>
        <w:snapToGrid w:val="0"/>
        <w:spacing w:line="360" w:lineRule="auto"/>
        <w:rPr>
          <w:rFonts w:ascii="宋体" w:hAnsi="宋体" w:eastAsia="宋体" w:cs="宋体"/>
        </w:rPr>
      </w:pPr>
      <w:r>
        <w:rPr>
          <w:rFonts w:hint="eastAsia" w:ascii="宋体" w:hAnsi="宋体" w:eastAsia="宋体" w:cs="宋体"/>
        </w:rPr>
        <w:t>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同级采购监管部门投诉。</w:t>
      </w:r>
    </w:p>
    <w:p>
      <w:pPr>
        <w:numPr>
          <w:ilvl w:val="1"/>
          <w:numId w:val="11"/>
        </w:numPr>
        <w:snapToGrid w:val="0"/>
        <w:spacing w:line="360" w:lineRule="auto"/>
        <w:rPr>
          <w:rFonts w:ascii="宋体" w:hAnsi="宋体" w:eastAsia="宋体" w:cs="宋体"/>
          <w:szCs w:val="22"/>
        </w:rPr>
      </w:pPr>
      <w:r>
        <w:rPr>
          <w:rFonts w:hint="eastAsia" w:ascii="宋体" w:hAnsi="宋体" w:eastAsia="宋体" w:cs="宋体"/>
          <w:szCs w:val="22"/>
        </w:rPr>
        <w:t>质疑、投诉应当采用书面形式，质疑书、投诉书均应明确阐述磋商文件、磋商过程和成交结果中使自己合法权益受到损害的实质性内容，提供相关事实、依据和证据及其来源或线索，便于有关单位调查、答复和处理。</w:t>
      </w:r>
    </w:p>
    <w:p>
      <w:pPr>
        <w:numPr>
          <w:ilvl w:val="0"/>
          <w:numId w:val="20"/>
        </w:numPr>
        <w:tabs>
          <w:tab w:val="left" w:pos="425"/>
          <w:tab w:val="left" w:pos="1133"/>
        </w:tabs>
        <w:spacing w:line="360" w:lineRule="auto"/>
        <w:ind w:left="1453" w:leftChars="392" w:hanging="630" w:hangingChars="300"/>
        <w:outlineLvl w:val="3"/>
        <w:rPr>
          <w:rFonts w:ascii="宋体" w:hAnsi="宋体" w:eastAsia="宋体" w:cs="宋体"/>
        </w:rPr>
      </w:pPr>
      <w:r>
        <w:rPr>
          <w:rFonts w:hint="eastAsia" w:ascii="宋体" w:hAnsi="宋体" w:eastAsia="宋体" w:cs="宋体"/>
        </w:rPr>
        <w:t>质疑受理机构：浙江综盛项目管理有限公司</w:t>
      </w:r>
    </w:p>
    <w:p>
      <w:pPr>
        <w:tabs>
          <w:tab w:val="left" w:pos="425"/>
          <w:tab w:val="left" w:pos="1133"/>
        </w:tabs>
        <w:spacing w:line="360" w:lineRule="auto"/>
        <w:ind w:left="1418"/>
        <w:rPr>
          <w:rFonts w:ascii="宋体" w:hAnsi="宋体" w:eastAsia="宋体" w:cs="宋体"/>
        </w:rPr>
      </w:pPr>
      <w:r>
        <w:rPr>
          <w:rFonts w:hint="eastAsia" w:ascii="宋体" w:hAnsi="宋体" w:eastAsia="宋体" w:cs="宋体"/>
        </w:rPr>
        <w:t>受理电话：17826851140，传真：65921160</w:t>
      </w:r>
    </w:p>
    <w:p>
      <w:pPr>
        <w:numPr>
          <w:ilvl w:val="0"/>
          <w:numId w:val="20"/>
        </w:numPr>
        <w:tabs>
          <w:tab w:val="left" w:pos="425"/>
          <w:tab w:val="left" w:pos="1133"/>
        </w:tabs>
        <w:spacing w:line="360" w:lineRule="auto"/>
        <w:ind w:left="1453" w:leftChars="392" w:hanging="630" w:hangingChars="300"/>
        <w:outlineLvl w:val="3"/>
        <w:rPr>
          <w:rFonts w:ascii="宋体" w:hAnsi="宋体" w:eastAsia="宋体" w:cs="宋体"/>
        </w:rPr>
      </w:pPr>
      <w:r>
        <w:rPr>
          <w:rFonts w:hint="eastAsia" w:ascii="宋体" w:hAnsi="宋体" w:eastAsia="宋体" w:cs="宋体"/>
        </w:rPr>
        <w:t>投诉受理机构：瑞安市财政局政府采购监督管理科</w:t>
      </w:r>
    </w:p>
    <w:p>
      <w:pPr>
        <w:tabs>
          <w:tab w:val="left" w:pos="425"/>
          <w:tab w:val="left" w:pos="1133"/>
        </w:tabs>
        <w:spacing w:line="360" w:lineRule="auto"/>
        <w:ind w:left="1418"/>
        <w:rPr>
          <w:rFonts w:ascii="宋体" w:hAnsi="宋体" w:eastAsia="宋体" w:cs="宋体"/>
        </w:rPr>
      </w:pPr>
      <w:r>
        <w:rPr>
          <w:rFonts w:hint="eastAsia" w:ascii="宋体" w:hAnsi="宋体" w:eastAsia="宋体" w:cs="宋体"/>
        </w:rPr>
        <w:t>投诉地址：瑞安市财政局大楼15楼</w:t>
      </w:r>
    </w:p>
    <w:p>
      <w:pPr>
        <w:tabs>
          <w:tab w:val="left" w:pos="425"/>
          <w:tab w:val="left" w:pos="1133"/>
        </w:tabs>
        <w:spacing w:line="360" w:lineRule="auto"/>
        <w:ind w:left="1418"/>
        <w:rPr>
          <w:rFonts w:ascii="宋体" w:hAnsi="宋体" w:eastAsia="宋体" w:cs="宋体"/>
        </w:rPr>
      </w:pPr>
      <w:r>
        <w:rPr>
          <w:rFonts w:hint="eastAsia" w:ascii="宋体" w:hAnsi="宋体" w:eastAsia="宋体" w:cs="宋体"/>
        </w:rPr>
        <w:t>投诉电话：0577-65827570</w:t>
      </w:r>
    </w:p>
    <w:p>
      <w:pPr>
        <w:rPr>
          <w:rFonts w:ascii="宋体" w:hAnsi="宋体" w:eastAsia="宋体" w:cs="宋体"/>
          <w:sz w:val="24"/>
        </w:rPr>
      </w:pPr>
      <w:bookmarkStart w:id="297" w:name="_Toc27017"/>
      <w:bookmarkStart w:id="298" w:name="_Toc11534"/>
    </w:p>
    <w:p>
      <w:pPr>
        <w:pStyle w:val="2"/>
      </w:pPr>
    </w:p>
    <w:p>
      <w:bookmarkStart w:id="299" w:name="_Toc28631"/>
      <w:bookmarkStart w:id="300" w:name="_Toc18788"/>
      <w:bookmarkStart w:id="301" w:name="_Toc20783"/>
    </w:p>
    <w:p/>
    <w:p>
      <w:pPr>
        <w:pStyle w:val="3"/>
      </w:pPr>
    </w:p>
    <w:p>
      <w:pPr>
        <w:pStyle w:val="4"/>
      </w:pPr>
    </w:p>
    <w:p/>
    <w:p>
      <w:pPr>
        <w:pStyle w:val="3"/>
      </w:pPr>
    </w:p>
    <w:p>
      <w:pPr>
        <w:pStyle w:val="4"/>
      </w:pPr>
    </w:p>
    <w:p/>
    <w:p>
      <w:pPr>
        <w:pStyle w:val="3"/>
      </w:pPr>
    </w:p>
    <w:p>
      <w:pPr>
        <w:pStyle w:val="4"/>
      </w:pPr>
    </w:p>
    <w:p/>
    <w:p>
      <w:pPr>
        <w:pStyle w:val="3"/>
      </w:pPr>
    </w:p>
    <w:p>
      <w:pPr>
        <w:pStyle w:val="4"/>
      </w:pPr>
    </w:p>
    <w:p/>
    <w:p/>
    <w:p/>
    <w:p/>
    <w:p/>
    <w:p>
      <w:pPr>
        <w:bidi w:val="0"/>
      </w:pPr>
    </w:p>
    <w:p>
      <w:pPr>
        <w:bidi w:val="0"/>
        <w:rPr>
          <w:rFonts w:hint="eastAsia"/>
        </w:rPr>
      </w:pPr>
      <w:bookmarkStart w:id="302" w:name="_Toc31522"/>
      <w:bookmarkStart w:id="303" w:name="_Toc13178"/>
    </w:p>
    <w:p>
      <w:pPr>
        <w:pStyle w:val="5"/>
        <w:spacing w:before="156" w:beforeLines="50" w:after="156" w:afterLines="50" w:line="360" w:lineRule="auto"/>
        <w:jc w:val="center"/>
        <w:rPr>
          <w:rFonts w:ascii="宋体" w:hAnsi="宋体" w:eastAsia="宋体" w:cs="宋体"/>
          <w:sz w:val="24"/>
          <w:szCs w:val="24"/>
        </w:rPr>
      </w:pPr>
      <w:bookmarkStart w:id="304" w:name="_Toc14225"/>
      <w:r>
        <w:rPr>
          <w:rFonts w:hint="eastAsia" w:ascii="宋体" w:hAnsi="宋体" w:eastAsia="宋体" w:cs="宋体"/>
          <w:b/>
          <w:bCs w:val="0"/>
          <w:sz w:val="24"/>
          <w:szCs w:val="24"/>
        </w:rPr>
        <w:t>（七）授予合同</w:t>
      </w:r>
      <w:bookmarkEnd w:id="297"/>
      <w:bookmarkEnd w:id="298"/>
      <w:bookmarkEnd w:id="299"/>
      <w:bookmarkEnd w:id="300"/>
      <w:bookmarkEnd w:id="301"/>
      <w:bookmarkEnd w:id="302"/>
      <w:bookmarkEnd w:id="303"/>
      <w:bookmarkEnd w:id="304"/>
    </w:p>
    <w:p>
      <w:pPr>
        <w:numPr>
          <w:ilvl w:val="0"/>
          <w:numId w:val="11"/>
        </w:numPr>
        <w:spacing w:line="360" w:lineRule="auto"/>
        <w:outlineLvl w:val="2"/>
        <w:rPr>
          <w:rFonts w:ascii="宋体" w:hAnsi="宋体" w:eastAsia="宋体" w:cs="宋体"/>
          <w:b/>
          <w:szCs w:val="20"/>
        </w:rPr>
      </w:pPr>
      <w:bookmarkStart w:id="305" w:name="_Toc21812"/>
      <w:bookmarkStart w:id="306" w:name="_Toc15108"/>
      <w:bookmarkStart w:id="307" w:name="_Toc17983"/>
      <w:bookmarkStart w:id="308" w:name="_Toc6546"/>
      <w:bookmarkStart w:id="309" w:name="_Toc12586"/>
      <w:r>
        <w:rPr>
          <w:rFonts w:hint="eastAsia" w:ascii="宋体" w:hAnsi="宋体" w:eastAsia="宋体" w:cs="宋体"/>
          <w:b/>
          <w:szCs w:val="20"/>
        </w:rPr>
        <w:t>成交通知</w:t>
      </w:r>
      <w:bookmarkEnd w:id="305"/>
      <w:bookmarkEnd w:id="306"/>
      <w:bookmarkEnd w:id="307"/>
      <w:bookmarkEnd w:id="308"/>
      <w:bookmarkEnd w:id="309"/>
    </w:p>
    <w:p>
      <w:pPr>
        <w:numPr>
          <w:ilvl w:val="1"/>
          <w:numId w:val="11"/>
        </w:numPr>
        <w:spacing w:line="360" w:lineRule="auto"/>
        <w:rPr>
          <w:rFonts w:ascii="宋体" w:hAnsi="宋体" w:eastAsia="宋体" w:cs="宋体"/>
          <w:szCs w:val="22"/>
        </w:rPr>
      </w:pPr>
      <w:r>
        <w:rPr>
          <w:rFonts w:hint="eastAsia"/>
        </w:rPr>
        <w:t>在磋商有效期期满之前，采购机构将用书面形式向获接受的成交供应商发出书面的《成交通知书》。《成交通知书》将是合同的一个组成部分。</w:t>
      </w:r>
    </w:p>
    <w:p>
      <w:pPr>
        <w:numPr>
          <w:ilvl w:val="0"/>
          <w:numId w:val="11"/>
        </w:numPr>
        <w:spacing w:line="360" w:lineRule="auto"/>
        <w:outlineLvl w:val="2"/>
        <w:rPr>
          <w:rFonts w:ascii="宋体" w:hAnsi="宋体" w:eastAsia="宋体" w:cs="宋体"/>
          <w:b/>
          <w:szCs w:val="20"/>
        </w:rPr>
      </w:pPr>
      <w:bookmarkStart w:id="310" w:name="_Toc2160"/>
      <w:bookmarkStart w:id="311" w:name="_Toc17718"/>
      <w:bookmarkStart w:id="312" w:name="_Toc2503"/>
      <w:bookmarkStart w:id="313" w:name="_Toc17109"/>
      <w:bookmarkStart w:id="314" w:name="_Toc1340"/>
      <w:r>
        <w:rPr>
          <w:rFonts w:hint="eastAsia" w:ascii="宋体" w:hAnsi="宋体" w:eastAsia="宋体" w:cs="宋体"/>
          <w:b/>
          <w:szCs w:val="20"/>
        </w:rPr>
        <w:t>签订合同</w:t>
      </w:r>
      <w:bookmarkEnd w:id="310"/>
      <w:bookmarkEnd w:id="311"/>
      <w:bookmarkEnd w:id="312"/>
      <w:bookmarkEnd w:id="313"/>
      <w:bookmarkEnd w:id="314"/>
    </w:p>
    <w:p>
      <w:pPr>
        <w:numPr>
          <w:ilvl w:val="1"/>
          <w:numId w:val="11"/>
        </w:numPr>
        <w:spacing w:line="360" w:lineRule="auto"/>
      </w:pPr>
      <w:r>
        <w:rPr>
          <w:rFonts w:hint="eastAsia"/>
        </w:rPr>
        <w:t>磋商文件、成交供应商的磋商响应文件及其澄清文件等，均为签订经济合同的依据。成交供应商自发出成交通知书后</w:t>
      </w:r>
      <w:r>
        <w:rPr>
          <w:rFonts w:hint="eastAsia"/>
          <w:lang w:val="en-US" w:eastAsia="zh-CN"/>
        </w:rPr>
        <w:t>30</w:t>
      </w:r>
      <w:r>
        <w:rPr>
          <w:rFonts w:hint="eastAsia"/>
        </w:rPr>
        <w:t>天内与采购人签订合同。</w:t>
      </w:r>
    </w:p>
    <w:p>
      <w:pPr>
        <w:numPr>
          <w:ilvl w:val="1"/>
          <w:numId w:val="11"/>
        </w:numPr>
        <w:spacing w:line="360" w:lineRule="auto"/>
      </w:pPr>
      <w:r>
        <w:rPr>
          <w:rFonts w:hint="eastAsia"/>
        </w:rPr>
        <w:t>成交供应商不遵守磋商文件或磋商书的要约、承诺，擅自修改报价或在发出成交通知书</w:t>
      </w:r>
      <w:r>
        <w:rPr>
          <w:rFonts w:hint="eastAsia"/>
          <w:lang w:val="en-US" w:eastAsia="zh-CN"/>
        </w:rPr>
        <w:t>30</w:t>
      </w:r>
      <w:r>
        <w:rPr>
          <w:rFonts w:hint="eastAsia"/>
        </w:rPr>
        <w:t>天内，借故拖延、拒签合同者，采购机构即可消该单位的成交权，另选其它磋商供应商成交。</w:t>
      </w:r>
    </w:p>
    <w:p>
      <w:pPr>
        <w:numPr>
          <w:ilvl w:val="1"/>
          <w:numId w:val="11"/>
        </w:numPr>
        <w:spacing w:line="360" w:lineRule="auto"/>
      </w:pPr>
      <w:r>
        <w:rPr>
          <w:rFonts w:hint="eastAsia"/>
        </w:rPr>
        <w:t>成交供应商不遵守磋商文件或磋商书的要约、承诺，擅自修改报价或在发出成交通知书后，借故拖延、拒签合同者，采购机构取消其成交资格。</w:t>
      </w:r>
    </w:p>
    <w:p>
      <w:pPr>
        <w:numPr>
          <w:ilvl w:val="1"/>
          <w:numId w:val="11"/>
        </w:numPr>
        <w:spacing w:line="360" w:lineRule="auto"/>
      </w:pPr>
      <w:r>
        <w:t>享受扶持政策获得政府采购合同的，小微企业不得将合同分包给大中型企业，中型企业不得将合同分包给大型企业。</w:t>
      </w:r>
    </w:p>
    <w:p>
      <w:pPr>
        <w:numPr>
          <w:ilvl w:val="0"/>
          <w:numId w:val="11"/>
        </w:numPr>
        <w:spacing w:line="360" w:lineRule="auto"/>
        <w:outlineLvl w:val="2"/>
        <w:rPr>
          <w:rFonts w:ascii="宋体" w:hAnsi="宋体" w:eastAsia="宋体" w:cs="宋体"/>
          <w:b/>
          <w:szCs w:val="20"/>
        </w:rPr>
      </w:pPr>
      <w:bookmarkStart w:id="315" w:name="_Toc9311"/>
      <w:bookmarkStart w:id="316" w:name="_Toc9215"/>
      <w:bookmarkStart w:id="317" w:name="_Toc12925"/>
      <w:bookmarkStart w:id="318" w:name="_Toc18817"/>
      <w:bookmarkStart w:id="319" w:name="_Toc15678"/>
      <w:r>
        <w:rPr>
          <w:rFonts w:hint="eastAsia" w:ascii="宋体" w:hAnsi="宋体" w:eastAsia="宋体" w:cs="宋体"/>
          <w:b/>
          <w:szCs w:val="20"/>
        </w:rPr>
        <w:t>代理服务费</w:t>
      </w:r>
      <w:bookmarkEnd w:id="315"/>
      <w:bookmarkEnd w:id="316"/>
      <w:bookmarkEnd w:id="317"/>
      <w:bookmarkEnd w:id="318"/>
      <w:bookmarkEnd w:id="319"/>
    </w:p>
    <w:p>
      <w:pPr>
        <w:spacing w:line="360" w:lineRule="auto"/>
        <w:ind w:left="840" w:leftChars="400" w:firstLine="420" w:firstLineChars="200"/>
        <w:rPr>
          <w:rFonts w:ascii="宋体" w:hAnsi="宋体" w:eastAsia="宋体" w:cs="宋体"/>
          <w:color w:val="000000"/>
          <w:szCs w:val="22"/>
        </w:rPr>
      </w:pPr>
      <w:r>
        <w:rPr>
          <w:rFonts w:hint="eastAsia" w:ascii="宋体" w:hAnsi="宋体" w:eastAsia="宋体" w:cs="宋体"/>
          <w:color w:val="000000"/>
          <w:szCs w:val="22"/>
        </w:rPr>
        <w:t>经采购人和代理人双方协商，本次采购代理服务费由中标供应商支付，代理服务费按《招标代理服务收费管理暂行办法》（计价格[2002]1980号）收费标准收取，不足捌仟元按捌仟元收取，采购代理服务费不在报价中单列，请报价人在报价时予以考虑。</w:t>
      </w:r>
    </w:p>
    <w:p>
      <w:pPr>
        <w:spacing w:line="360" w:lineRule="auto"/>
        <w:ind w:left="840" w:leftChars="400" w:firstLine="420" w:firstLineChars="200"/>
        <w:rPr>
          <w:rFonts w:ascii="宋体" w:hAnsi="宋体" w:eastAsia="宋体" w:cs="宋体"/>
          <w:color w:val="000000"/>
          <w:szCs w:val="22"/>
        </w:rPr>
      </w:pPr>
    </w:p>
    <w:p>
      <w:pPr>
        <w:spacing w:line="360" w:lineRule="auto"/>
        <w:ind w:left="840" w:leftChars="400" w:firstLine="420" w:firstLineChars="200"/>
        <w:rPr>
          <w:rFonts w:ascii="宋体" w:hAnsi="宋体" w:eastAsia="宋体" w:cs="宋体"/>
          <w:color w:val="000000"/>
          <w:szCs w:val="22"/>
        </w:rPr>
      </w:pPr>
    </w:p>
    <w:p>
      <w:pPr>
        <w:spacing w:line="360" w:lineRule="auto"/>
        <w:ind w:left="840" w:leftChars="400" w:firstLine="420" w:firstLineChars="200"/>
        <w:rPr>
          <w:rFonts w:ascii="宋体" w:hAnsi="宋体" w:eastAsia="宋体" w:cs="宋体"/>
          <w:color w:val="000000"/>
          <w:szCs w:val="22"/>
        </w:rPr>
      </w:pPr>
    </w:p>
    <w:p>
      <w:pPr>
        <w:spacing w:line="360" w:lineRule="auto"/>
        <w:ind w:left="840" w:leftChars="400" w:firstLine="420" w:firstLineChars="200"/>
        <w:rPr>
          <w:rFonts w:ascii="宋体" w:hAnsi="宋体" w:eastAsia="宋体" w:cs="宋体"/>
          <w:color w:val="000000"/>
          <w:szCs w:val="22"/>
        </w:rPr>
      </w:pPr>
    </w:p>
    <w:p>
      <w:pPr>
        <w:spacing w:line="360" w:lineRule="auto"/>
        <w:ind w:left="840" w:leftChars="400" w:firstLine="420" w:firstLineChars="200"/>
        <w:rPr>
          <w:rFonts w:ascii="宋体" w:hAnsi="宋体" w:eastAsia="宋体" w:cs="宋体"/>
          <w:color w:val="000000"/>
          <w:szCs w:val="22"/>
        </w:rPr>
      </w:pPr>
    </w:p>
    <w:p>
      <w:pPr>
        <w:spacing w:line="360" w:lineRule="auto"/>
        <w:ind w:left="840" w:leftChars="400" w:firstLine="420" w:firstLineChars="200"/>
        <w:rPr>
          <w:rFonts w:ascii="宋体" w:hAnsi="宋体" w:eastAsia="宋体" w:cs="宋体"/>
          <w:color w:val="000000"/>
          <w:szCs w:val="22"/>
        </w:rPr>
      </w:pPr>
    </w:p>
    <w:p>
      <w:pPr>
        <w:spacing w:line="360" w:lineRule="auto"/>
        <w:ind w:left="840" w:leftChars="400" w:firstLine="420" w:firstLineChars="200"/>
        <w:rPr>
          <w:rFonts w:ascii="宋体" w:hAnsi="宋体" w:eastAsia="宋体" w:cs="宋体"/>
          <w:color w:val="000000"/>
          <w:szCs w:val="22"/>
        </w:rPr>
      </w:pPr>
    </w:p>
    <w:p>
      <w:pPr>
        <w:spacing w:line="360" w:lineRule="auto"/>
        <w:ind w:left="840" w:leftChars="400" w:firstLine="420" w:firstLineChars="200"/>
        <w:rPr>
          <w:rFonts w:ascii="宋体" w:hAnsi="宋体" w:eastAsia="宋体" w:cs="宋体"/>
          <w:color w:val="000000"/>
          <w:szCs w:val="22"/>
        </w:rPr>
      </w:pPr>
    </w:p>
    <w:p>
      <w:pPr>
        <w:pStyle w:val="3"/>
        <w:rPr>
          <w:rFonts w:hAnsi="宋体" w:eastAsia="宋体" w:cs="宋体"/>
          <w:color w:val="000000"/>
          <w:szCs w:val="22"/>
        </w:rPr>
      </w:pPr>
    </w:p>
    <w:p>
      <w:pPr>
        <w:pStyle w:val="4"/>
      </w:pPr>
    </w:p>
    <w:p>
      <w:pPr>
        <w:spacing w:line="360" w:lineRule="auto"/>
        <w:ind w:left="840" w:leftChars="400" w:firstLine="420" w:firstLineChars="200"/>
        <w:rPr>
          <w:rFonts w:ascii="宋体" w:hAnsi="宋体" w:eastAsia="宋体" w:cs="宋体"/>
          <w:color w:val="000000"/>
          <w:szCs w:val="22"/>
        </w:rPr>
      </w:pPr>
    </w:p>
    <w:p>
      <w:pPr>
        <w:spacing w:line="360" w:lineRule="auto"/>
        <w:ind w:left="840" w:leftChars="400" w:firstLine="420" w:firstLineChars="200"/>
        <w:rPr>
          <w:rFonts w:ascii="宋体" w:hAnsi="宋体" w:eastAsia="宋体" w:cs="宋体"/>
          <w:color w:val="000000"/>
          <w:szCs w:val="22"/>
        </w:rPr>
      </w:pPr>
    </w:p>
    <w:p>
      <w:pPr>
        <w:pStyle w:val="3"/>
        <w:keepNext w:val="0"/>
        <w:keepLines w:val="0"/>
        <w:spacing w:after="156" w:afterLines="50" w:line="400" w:lineRule="exact"/>
        <w:jc w:val="center"/>
        <w:rPr>
          <w:rFonts w:hAnsi="宋体" w:eastAsia="宋体" w:cs="宋体"/>
          <w:sz w:val="28"/>
          <w:szCs w:val="36"/>
        </w:rPr>
      </w:pPr>
      <w:bookmarkStart w:id="320" w:name="_Toc24051"/>
      <w:bookmarkStart w:id="321" w:name="_Toc424"/>
      <w:bookmarkStart w:id="322" w:name="_Toc10899"/>
      <w:r>
        <w:rPr>
          <w:rFonts w:hint="eastAsia" w:hAnsi="宋体" w:eastAsia="宋体" w:cs="宋体"/>
          <w:sz w:val="28"/>
          <w:szCs w:val="36"/>
        </w:rPr>
        <w:t>第三部分  竞争性磋商内容及要求</w:t>
      </w:r>
      <w:bookmarkEnd w:id="320"/>
      <w:bookmarkEnd w:id="321"/>
      <w:bookmarkEnd w:id="322"/>
    </w:p>
    <w:p>
      <w:pPr>
        <w:tabs>
          <w:tab w:val="left" w:pos="927"/>
        </w:tabs>
        <w:snapToGrid w:val="0"/>
        <w:spacing w:before="156" w:beforeLines="50" w:after="156" w:afterLines="50" w:line="420" w:lineRule="exact"/>
        <w:jc w:val="center"/>
        <w:outlineLvl w:val="1"/>
        <w:rPr>
          <w:rFonts w:ascii="宋体" w:hAnsi="宋体" w:eastAsia="宋体" w:cs="宋体"/>
          <w:b/>
          <w:sz w:val="24"/>
        </w:rPr>
      </w:pPr>
      <w:bookmarkStart w:id="323" w:name="_Toc18243"/>
      <w:bookmarkStart w:id="324" w:name="_Toc23936"/>
      <w:bookmarkStart w:id="325" w:name="_Toc17649"/>
      <w:r>
        <w:rPr>
          <w:rFonts w:hint="eastAsia" w:ascii="宋体" w:hAnsi="宋体" w:eastAsia="宋体" w:cs="宋体"/>
          <w:b/>
          <w:bCs/>
          <w:sz w:val="24"/>
        </w:rPr>
        <w:t>（一）概述</w:t>
      </w:r>
      <w:bookmarkEnd w:id="323"/>
      <w:bookmarkEnd w:id="324"/>
      <w:bookmarkEnd w:id="325"/>
    </w:p>
    <w:p>
      <w:pPr>
        <w:spacing w:line="360" w:lineRule="auto"/>
      </w:pPr>
      <w:r>
        <w:rPr>
          <w:rFonts w:hint="eastAsia"/>
        </w:rPr>
        <w:t>1、每个磋商供应商必须完成采购内容和合同规定义务，不允许只对部分内容进行报价。</w:t>
      </w:r>
    </w:p>
    <w:p>
      <w:pPr>
        <w:spacing w:line="360" w:lineRule="auto"/>
      </w:pPr>
      <w:r>
        <w:rPr>
          <w:rFonts w:hint="eastAsia"/>
        </w:rPr>
        <w:t>2、现场踏勘（如有）：各磋商供应商于磋商截止时间前自行到现场进行踏勘，以获取本次磋商所需的现场资料及数据，磋商人若未到现场踏勘，引起的一切后果均由其自行负责，由此造成投标价的偏差均不予调整。现场踏勘费用自理。</w:t>
      </w:r>
    </w:p>
    <w:p>
      <w:pPr>
        <w:spacing w:line="360" w:lineRule="auto"/>
      </w:pPr>
      <w:r>
        <w:rPr>
          <w:rFonts w:hint="eastAsia"/>
        </w:rPr>
        <w:t>3、磋商供应商需按磋商文件的要求完成采购服务工作。按工作顺序提交所需的无论其是否被明细列在合同文件中的所有资料，提供的服务必须满足磋商文件中提出的相关要求。</w:t>
      </w:r>
    </w:p>
    <w:p>
      <w:pPr>
        <w:spacing w:line="360" w:lineRule="auto"/>
      </w:pPr>
      <w:r>
        <w:rPr>
          <w:rFonts w:hint="eastAsia"/>
        </w:rPr>
        <w:t>4、在报价之前，磋商供应商须仔细阅读磋商文件，如发现有任何疑问、冲突或技术问题，磋商供应商须在答疑截止时间前以书面形式向采购代理机构提出。逾期采购人不再作答复，有关风险及责任由磋商供应商自行承担。</w:t>
      </w:r>
    </w:p>
    <w:p>
      <w:pPr>
        <w:spacing w:line="360" w:lineRule="auto"/>
      </w:pPr>
      <w:r>
        <w:rPr>
          <w:rFonts w:hint="eastAsia"/>
        </w:rPr>
        <w:t>5、鼓励在采购活动中允许中小企业引入信用担保手段，为中小企业在投标（响应）保证、履约保证等方面提供专业化服务。鼓励中小企业依法合规通过政府采购合同融资。</w:t>
      </w:r>
    </w:p>
    <w:p>
      <w:pPr>
        <w:spacing w:line="360" w:lineRule="auto"/>
      </w:pPr>
      <w:r>
        <w:rPr>
          <w:rFonts w:hint="eastAsia"/>
        </w:rPr>
        <w:t>6、磋商供应商须对磋商文件中各个条款一一给予实质性答复，否则有可能导致作无效标处理。</w:t>
      </w:r>
    </w:p>
    <w:p>
      <w:pPr>
        <w:spacing w:line="360" w:lineRule="auto"/>
      </w:pPr>
      <w:r>
        <w:rPr>
          <w:rFonts w:hint="eastAsia"/>
        </w:rPr>
        <w:t>7、此份采购内容及技术要求是磋商文件的一部分，包括所有条款的具体说明及技术要求，磋商供应商需在各自技术和商务占优势的基础上对本次采购的服务（货物或工程）进行报价。</w:t>
      </w:r>
    </w:p>
    <w:p>
      <w:pPr>
        <w:widowControl/>
        <w:tabs>
          <w:tab w:val="left" w:pos="927"/>
        </w:tabs>
        <w:snapToGrid w:val="0"/>
        <w:spacing w:line="360" w:lineRule="auto"/>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宋体"/>
          <w:b/>
          <w:bCs/>
          <w:sz w:val="24"/>
        </w:rPr>
      </w:pPr>
    </w:p>
    <w:p>
      <w:pPr>
        <w:widowControl/>
        <w:tabs>
          <w:tab w:val="left" w:pos="927"/>
        </w:tabs>
        <w:snapToGrid w:val="0"/>
        <w:spacing w:line="360" w:lineRule="auto"/>
        <w:ind w:left="4056" w:leftChars="146" w:hanging="3749" w:hangingChars="1556"/>
        <w:jc w:val="center"/>
        <w:outlineLvl w:val="1"/>
        <w:rPr>
          <w:rFonts w:asciiTheme="majorEastAsia" w:hAnsiTheme="majorEastAsia" w:eastAsiaTheme="majorEastAsia" w:cstheme="majorEastAsia"/>
          <w:sz w:val="24"/>
        </w:rPr>
      </w:pPr>
      <w:bookmarkStart w:id="326" w:name="_Toc21578"/>
      <w:r>
        <w:rPr>
          <w:rFonts w:hint="eastAsia" w:ascii="宋体"/>
          <w:b/>
          <w:bCs/>
          <w:sz w:val="24"/>
        </w:rPr>
        <w:t>（二）</w:t>
      </w:r>
      <w:r>
        <w:rPr>
          <w:rFonts w:hint="eastAsia"/>
          <w:b/>
          <w:bCs/>
          <w:sz w:val="24"/>
        </w:rPr>
        <w:t>采购内容及要求</w:t>
      </w:r>
      <w:bookmarkEnd w:id="326"/>
    </w:p>
    <w:p>
      <w:pPr>
        <w:spacing w:line="360" w:lineRule="auto"/>
        <w:rPr>
          <w:rFonts w:hint="eastAsia" w:eastAsiaTheme="minorEastAsia"/>
          <w:lang w:eastAsia="zh-CN"/>
        </w:rPr>
      </w:pPr>
      <w:r>
        <w:rPr>
          <w:rFonts w:hint="eastAsia"/>
          <w:b/>
          <w:bCs/>
        </w:rPr>
        <w:t>1、项目名称：</w:t>
      </w:r>
      <w:r>
        <w:rPr>
          <w:rFonts w:hint="eastAsia"/>
          <w:lang w:eastAsia="zh-CN"/>
        </w:rPr>
        <w:t>瑞安市公安局便携式无人机防御反制设备采购项目</w:t>
      </w:r>
    </w:p>
    <w:p>
      <w:pPr>
        <w:spacing w:line="360" w:lineRule="auto"/>
      </w:pPr>
      <w:r>
        <w:rPr>
          <w:rFonts w:hint="eastAsia"/>
          <w:b/>
          <w:bCs/>
        </w:rPr>
        <w:t>2、采购内容：</w:t>
      </w:r>
      <w:r>
        <w:rPr>
          <w:rFonts w:hint="eastAsia"/>
        </w:rPr>
        <w:t>根据磋商文件，供应商须按国家有关标准及规范</w:t>
      </w:r>
      <w:r>
        <w:rPr>
          <w:rFonts w:hint="eastAsia"/>
          <w:lang w:eastAsia="zh-CN"/>
        </w:rPr>
        <w:t>，设备交货同时提供下列资料</w:t>
      </w:r>
      <w:r>
        <w:rPr>
          <w:rFonts w:hint="eastAsia"/>
        </w:rPr>
        <w:t>：</w:t>
      </w:r>
    </w:p>
    <w:p>
      <w:pPr>
        <w:spacing w:line="360" w:lineRule="auto"/>
        <w:rPr>
          <w:rFonts w:hint="eastAsia"/>
        </w:rPr>
      </w:pPr>
      <w:r>
        <w:rPr>
          <w:rFonts w:hint="eastAsia"/>
        </w:rPr>
        <w:t>① 提供完整成套的货物；</w:t>
      </w:r>
    </w:p>
    <w:p>
      <w:pPr>
        <w:spacing w:line="360" w:lineRule="auto"/>
        <w:rPr>
          <w:rFonts w:hint="eastAsia"/>
        </w:rPr>
      </w:pPr>
      <w:r>
        <w:rPr>
          <w:rFonts w:hint="eastAsia"/>
        </w:rPr>
        <w:t>② 产品及相关附件的提供、运输、装卸、就位、安装、调试、检验、通过验收；</w:t>
      </w:r>
    </w:p>
    <w:p>
      <w:pPr>
        <w:spacing w:line="360" w:lineRule="auto"/>
        <w:rPr>
          <w:rFonts w:hint="eastAsia"/>
        </w:rPr>
      </w:pPr>
      <w:r>
        <w:rPr>
          <w:rFonts w:hint="eastAsia"/>
        </w:rPr>
        <w:t>③ 完成各项调试、检验、测试工作，并在采购人的配合下通过的验收；提供各种数据资料；直至通过验收。包括所涉及的配置和调试、维护。</w:t>
      </w:r>
    </w:p>
    <w:p>
      <w:pPr>
        <w:spacing w:line="360" w:lineRule="auto"/>
        <w:rPr>
          <w:rFonts w:hint="eastAsia"/>
        </w:rPr>
      </w:pPr>
      <w:r>
        <w:rPr>
          <w:rFonts w:hint="eastAsia"/>
        </w:rPr>
        <w:t>④ 对最终使用单位的操作人员及维修人员进行技术培训；</w:t>
      </w:r>
    </w:p>
    <w:p>
      <w:pPr>
        <w:spacing w:line="360" w:lineRule="auto"/>
        <w:rPr>
          <w:rFonts w:hint="eastAsia"/>
        </w:rPr>
      </w:pPr>
      <w:r>
        <w:rPr>
          <w:rFonts w:hint="eastAsia"/>
        </w:rPr>
        <w:t>⑤ 质保期内货物的维保及维修；</w:t>
      </w:r>
    </w:p>
    <w:p>
      <w:pPr>
        <w:spacing w:line="360" w:lineRule="auto"/>
      </w:pPr>
      <w:r>
        <w:rPr>
          <w:rFonts w:hint="eastAsia"/>
        </w:rPr>
        <w:t>⑥ 售后服务的措施及承诺。</w:t>
      </w:r>
    </w:p>
    <w:p>
      <w:pPr>
        <w:spacing w:line="360" w:lineRule="auto"/>
        <w:rPr>
          <w:b/>
          <w:bCs/>
        </w:rPr>
      </w:pPr>
      <w:r>
        <w:rPr>
          <w:rFonts w:hint="eastAsia"/>
          <w:b/>
          <w:bCs/>
        </w:rPr>
        <w:t>以上工作内容的费用均包含在投标总价中。</w:t>
      </w:r>
    </w:p>
    <w:p>
      <w:pPr>
        <w:numPr>
          <w:ilvl w:val="0"/>
          <w:numId w:val="21"/>
        </w:numPr>
        <w:spacing w:line="360" w:lineRule="auto"/>
      </w:pPr>
      <w:r>
        <w:rPr>
          <w:rFonts w:hint="eastAsia"/>
          <w:b/>
          <w:bCs/>
        </w:rPr>
        <w:t>交货地点：</w:t>
      </w:r>
      <w:r>
        <w:rPr>
          <w:rFonts w:hint="eastAsia"/>
        </w:rPr>
        <w:t>采购人指定地点。</w:t>
      </w:r>
    </w:p>
    <w:p>
      <w:pPr>
        <w:numPr>
          <w:ilvl w:val="0"/>
          <w:numId w:val="21"/>
        </w:numPr>
        <w:spacing w:line="360" w:lineRule="auto"/>
      </w:pPr>
      <w:r>
        <w:rPr>
          <w:b/>
          <w:bCs/>
        </w:rPr>
        <w:t>供货周期：</w:t>
      </w:r>
      <w:r>
        <w:rPr>
          <w:rFonts w:hint="eastAsia"/>
        </w:rPr>
        <w:t>合同签订后，采购人指定供货时间</w:t>
      </w:r>
      <w:r>
        <w:t>。</w:t>
      </w:r>
    </w:p>
    <w:p>
      <w:pPr>
        <w:spacing w:line="360" w:lineRule="auto"/>
      </w:pPr>
      <w:r>
        <w:rPr>
          <w:rFonts w:hint="eastAsia"/>
          <w:b/>
          <w:bCs/>
        </w:rPr>
        <w:t>5、采购清单：</w:t>
      </w:r>
    </w:p>
    <w:tbl>
      <w:tblPr>
        <w:tblStyle w:val="23"/>
        <w:tblW w:w="7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955"/>
        <w:gridCol w:w="3534"/>
        <w:gridCol w:w="10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01" w:type="dxa"/>
            <w:vAlign w:val="center"/>
          </w:tcPr>
          <w:p>
            <w:pPr>
              <w:bidi w:val="0"/>
              <w:jc w:val="center"/>
              <w:rPr>
                <w:rFonts w:hint="eastAsia"/>
                <w:b/>
                <w:bCs/>
              </w:rPr>
            </w:pPr>
            <w:r>
              <w:rPr>
                <w:rFonts w:hint="eastAsia"/>
                <w:b/>
                <w:bCs/>
              </w:rPr>
              <w:t>序号</w:t>
            </w:r>
          </w:p>
        </w:tc>
        <w:tc>
          <w:tcPr>
            <w:tcW w:w="955" w:type="dxa"/>
            <w:vAlign w:val="center"/>
          </w:tcPr>
          <w:p>
            <w:pPr>
              <w:bidi w:val="0"/>
              <w:jc w:val="center"/>
              <w:rPr>
                <w:rFonts w:hint="default" w:eastAsiaTheme="minorEastAsia"/>
                <w:b/>
                <w:bCs/>
                <w:lang w:val="en-US" w:eastAsia="zh-CN"/>
              </w:rPr>
            </w:pPr>
            <w:r>
              <w:rPr>
                <w:rFonts w:hint="eastAsia"/>
                <w:b/>
                <w:bCs/>
                <w:lang w:val="en-US" w:eastAsia="zh-CN"/>
              </w:rPr>
              <w:t>是否核心产品</w:t>
            </w:r>
          </w:p>
        </w:tc>
        <w:tc>
          <w:tcPr>
            <w:tcW w:w="3534" w:type="dxa"/>
            <w:vAlign w:val="center"/>
          </w:tcPr>
          <w:p>
            <w:pPr>
              <w:bidi w:val="0"/>
              <w:jc w:val="center"/>
              <w:rPr>
                <w:rFonts w:hint="eastAsia"/>
                <w:b/>
                <w:bCs/>
              </w:rPr>
            </w:pPr>
            <w:r>
              <w:rPr>
                <w:rFonts w:hint="eastAsia"/>
                <w:b/>
                <w:bCs/>
              </w:rPr>
              <w:t>产品名称</w:t>
            </w:r>
          </w:p>
        </w:tc>
        <w:tc>
          <w:tcPr>
            <w:tcW w:w="1045" w:type="dxa"/>
            <w:vAlign w:val="center"/>
          </w:tcPr>
          <w:p>
            <w:pPr>
              <w:bidi w:val="0"/>
              <w:jc w:val="center"/>
              <w:rPr>
                <w:rFonts w:hint="eastAsia"/>
                <w:b/>
                <w:bCs/>
              </w:rPr>
            </w:pPr>
            <w:r>
              <w:rPr>
                <w:rFonts w:hint="eastAsia"/>
                <w:b/>
                <w:bCs/>
              </w:rPr>
              <w:t>单位</w:t>
            </w:r>
          </w:p>
        </w:tc>
        <w:tc>
          <w:tcPr>
            <w:tcW w:w="1195" w:type="dxa"/>
            <w:vAlign w:val="center"/>
          </w:tcPr>
          <w:p>
            <w:pPr>
              <w:bidi w:val="0"/>
              <w:jc w:val="center"/>
              <w:rPr>
                <w:rFonts w:hint="eastAsia" w:eastAsiaTheme="minorEastAsia"/>
                <w:b/>
                <w:bCs/>
                <w:lang w:eastAsia="zh-CN"/>
              </w:rPr>
            </w:pPr>
            <w:r>
              <w:rPr>
                <w:rFonts w:hint="eastAsia"/>
                <w:b/>
                <w:bCs/>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Align w:val="center"/>
          </w:tcPr>
          <w:p>
            <w:pPr>
              <w:bidi w:val="0"/>
              <w:jc w:val="center"/>
              <w:rPr>
                <w:rFonts w:hint="eastAsia"/>
                <w:lang w:val="en-US" w:eastAsia="zh-CN"/>
              </w:rPr>
            </w:pPr>
            <w:r>
              <w:rPr>
                <w:rFonts w:hint="eastAsia"/>
                <w:lang w:val="en-US" w:eastAsia="zh-CN"/>
              </w:rPr>
              <w:t>1</w:t>
            </w:r>
          </w:p>
        </w:tc>
        <w:tc>
          <w:tcPr>
            <w:tcW w:w="955" w:type="dxa"/>
            <w:vMerge w:val="restart"/>
            <w:vAlign w:val="center"/>
          </w:tcPr>
          <w:p>
            <w:pPr>
              <w:bidi w:val="0"/>
              <w:jc w:val="center"/>
              <w:rPr>
                <w:rFonts w:hint="eastAsia"/>
                <w:lang w:val="en-US" w:eastAsia="zh-CN"/>
              </w:rPr>
            </w:pPr>
            <w:r>
              <w:rPr>
                <w:rFonts w:hint="eastAsia"/>
                <w:lang w:val="en-US" w:eastAsia="zh-CN"/>
              </w:rPr>
              <w:t>核</w:t>
            </w:r>
          </w:p>
          <w:p>
            <w:pPr>
              <w:bidi w:val="0"/>
              <w:jc w:val="center"/>
              <w:rPr>
                <w:rFonts w:hint="eastAsia"/>
                <w:lang w:val="en-US" w:eastAsia="zh-CN"/>
              </w:rPr>
            </w:pPr>
            <w:r>
              <w:rPr>
                <w:rFonts w:hint="eastAsia"/>
                <w:lang w:val="en-US" w:eastAsia="zh-CN"/>
              </w:rPr>
              <w:t>心</w:t>
            </w:r>
          </w:p>
          <w:p>
            <w:pPr>
              <w:bidi w:val="0"/>
              <w:jc w:val="center"/>
              <w:rPr>
                <w:rFonts w:hint="eastAsia"/>
                <w:lang w:val="en-US" w:eastAsia="zh-CN"/>
              </w:rPr>
            </w:pPr>
            <w:r>
              <w:rPr>
                <w:rFonts w:hint="eastAsia"/>
                <w:lang w:val="en-US" w:eastAsia="zh-CN"/>
              </w:rPr>
              <w:t>产</w:t>
            </w:r>
          </w:p>
          <w:p>
            <w:pPr>
              <w:bidi w:val="0"/>
              <w:jc w:val="center"/>
              <w:rPr>
                <w:rFonts w:hint="default"/>
                <w:lang w:val="en-US" w:eastAsia="zh-CN"/>
              </w:rPr>
            </w:pPr>
            <w:r>
              <w:rPr>
                <w:rFonts w:hint="eastAsia"/>
                <w:lang w:val="en-US" w:eastAsia="zh-CN"/>
              </w:rPr>
              <w:t>品</w:t>
            </w:r>
          </w:p>
        </w:tc>
        <w:tc>
          <w:tcPr>
            <w:tcW w:w="3534" w:type="dxa"/>
            <w:vAlign w:val="center"/>
          </w:tcPr>
          <w:p>
            <w:pPr>
              <w:bidi w:val="0"/>
              <w:jc w:val="center"/>
              <w:rPr>
                <w:rFonts w:hint="eastAsia"/>
                <w:b/>
                <w:bCs/>
              </w:rPr>
            </w:pPr>
            <w:r>
              <w:rPr>
                <w:rFonts w:hint="eastAsia"/>
                <w:b/>
                <w:bCs/>
              </w:rPr>
              <w:t>手提式无人机侦测定位设备</w:t>
            </w:r>
          </w:p>
        </w:tc>
        <w:tc>
          <w:tcPr>
            <w:tcW w:w="1045" w:type="dxa"/>
            <w:vAlign w:val="center"/>
          </w:tcPr>
          <w:p>
            <w:pPr>
              <w:bidi w:val="0"/>
              <w:jc w:val="center"/>
              <w:rPr>
                <w:rFonts w:hint="eastAsia" w:eastAsiaTheme="minorEastAsia"/>
                <w:lang w:eastAsia="zh-CN"/>
              </w:rPr>
            </w:pPr>
            <w:r>
              <w:rPr>
                <w:rFonts w:hint="eastAsia"/>
                <w:lang w:val="en-US" w:eastAsia="zh-CN"/>
              </w:rPr>
              <w:t>套</w:t>
            </w:r>
          </w:p>
        </w:tc>
        <w:tc>
          <w:tcPr>
            <w:tcW w:w="1195" w:type="dxa"/>
            <w:vAlign w:val="center"/>
          </w:tcPr>
          <w:p>
            <w:pPr>
              <w:bidi w:val="0"/>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Align w:val="center"/>
          </w:tcPr>
          <w:p>
            <w:pPr>
              <w:bidi w:val="0"/>
              <w:jc w:val="center"/>
              <w:rPr>
                <w:rFonts w:hint="eastAsia"/>
                <w:lang w:val="en-US" w:eastAsia="zh-CN"/>
              </w:rPr>
            </w:pPr>
            <w:r>
              <w:rPr>
                <w:rFonts w:hint="eastAsia"/>
                <w:lang w:val="en-US" w:eastAsia="zh-CN"/>
              </w:rPr>
              <w:t>2</w:t>
            </w: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b/>
                <w:bCs/>
              </w:rPr>
            </w:pPr>
            <w:r>
              <w:rPr>
                <w:rFonts w:hint="eastAsia"/>
                <w:b/>
                <w:bCs/>
              </w:rPr>
              <w:t>多用途大功率无人机反制设备</w:t>
            </w:r>
          </w:p>
        </w:tc>
        <w:tc>
          <w:tcPr>
            <w:tcW w:w="1045" w:type="dxa"/>
            <w:vAlign w:val="center"/>
          </w:tcPr>
          <w:p>
            <w:pPr>
              <w:bidi w:val="0"/>
              <w:jc w:val="center"/>
              <w:rPr>
                <w:rFonts w:hint="eastAsia"/>
              </w:rPr>
            </w:pPr>
            <w:r>
              <w:rPr>
                <w:rFonts w:hint="eastAsia"/>
                <w:lang w:val="en-US" w:eastAsia="zh-CN"/>
              </w:rPr>
              <w:t>套</w:t>
            </w:r>
          </w:p>
        </w:tc>
        <w:tc>
          <w:tcPr>
            <w:tcW w:w="1195" w:type="dxa"/>
            <w:vAlign w:val="center"/>
          </w:tcPr>
          <w:p>
            <w:pPr>
              <w:bidi w:val="0"/>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Align w:val="center"/>
          </w:tcPr>
          <w:p>
            <w:pPr>
              <w:bidi w:val="0"/>
              <w:jc w:val="center"/>
              <w:rPr>
                <w:rFonts w:hint="eastAsia"/>
                <w:lang w:val="en-US" w:eastAsia="zh-CN"/>
              </w:rPr>
            </w:pPr>
            <w:r>
              <w:rPr>
                <w:rFonts w:hint="eastAsia"/>
                <w:lang w:val="en-US" w:eastAsia="zh-CN"/>
              </w:rPr>
              <w:t>3</w:t>
            </w: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b/>
                <w:bCs/>
              </w:rPr>
            </w:pPr>
            <w:r>
              <w:rPr>
                <w:rFonts w:hint="eastAsia"/>
                <w:b/>
                <w:bCs/>
              </w:rPr>
              <w:t>穿越机反制设备</w:t>
            </w:r>
          </w:p>
        </w:tc>
        <w:tc>
          <w:tcPr>
            <w:tcW w:w="1045" w:type="dxa"/>
            <w:vAlign w:val="center"/>
          </w:tcPr>
          <w:p>
            <w:pPr>
              <w:bidi w:val="0"/>
              <w:jc w:val="center"/>
              <w:rPr>
                <w:rFonts w:hint="eastAsia"/>
              </w:rPr>
            </w:pPr>
            <w:r>
              <w:rPr>
                <w:rFonts w:hint="eastAsia"/>
                <w:lang w:val="en-US" w:eastAsia="zh-CN"/>
              </w:rPr>
              <w:t>套</w:t>
            </w:r>
          </w:p>
        </w:tc>
        <w:tc>
          <w:tcPr>
            <w:tcW w:w="1195" w:type="dxa"/>
            <w:vAlign w:val="center"/>
          </w:tcPr>
          <w:p>
            <w:pPr>
              <w:bidi w:val="0"/>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Align w:val="center"/>
          </w:tcPr>
          <w:p>
            <w:pPr>
              <w:bidi w:val="0"/>
              <w:jc w:val="center"/>
              <w:rPr>
                <w:rFonts w:hint="eastAsia"/>
                <w:lang w:val="en-US" w:eastAsia="zh-CN"/>
              </w:rPr>
            </w:pPr>
            <w:r>
              <w:rPr>
                <w:rFonts w:hint="eastAsia"/>
                <w:lang w:val="en-US" w:eastAsia="zh-CN"/>
              </w:rPr>
              <w:t>4</w:t>
            </w: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b/>
                <w:bCs/>
              </w:rPr>
            </w:pPr>
            <w:r>
              <w:rPr>
                <w:rFonts w:hint="eastAsia"/>
                <w:b/>
                <w:bCs/>
              </w:rPr>
              <w:t>便携式无人机侦测反制设备</w:t>
            </w:r>
          </w:p>
        </w:tc>
        <w:tc>
          <w:tcPr>
            <w:tcW w:w="1045" w:type="dxa"/>
            <w:vAlign w:val="center"/>
          </w:tcPr>
          <w:p>
            <w:pPr>
              <w:bidi w:val="0"/>
              <w:jc w:val="center"/>
              <w:rPr>
                <w:rFonts w:hint="eastAsia"/>
              </w:rPr>
            </w:pPr>
            <w:r>
              <w:rPr>
                <w:rFonts w:hint="eastAsia"/>
                <w:lang w:val="en-US" w:eastAsia="zh-CN"/>
              </w:rPr>
              <w:t>套</w:t>
            </w:r>
          </w:p>
        </w:tc>
        <w:tc>
          <w:tcPr>
            <w:tcW w:w="1195" w:type="dxa"/>
            <w:vAlign w:val="center"/>
          </w:tcPr>
          <w:p>
            <w:pPr>
              <w:bidi w:val="0"/>
              <w:jc w:val="center"/>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Align w:val="center"/>
          </w:tcPr>
          <w:p>
            <w:pPr>
              <w:bidi w:val="0"/>
              <w:jc w:val="center"/>
              <w:rPr>
                <w:rFonts w:hint="eastAsia"/>
                <w:lang w:val="en-US" w:eastAsia="zh-CN"/>
              </w:rPr>
            </w:pPr>
            <w:r>
              <w:rPr>
                <w:rFonts w:hint="eastAsia"/>
                <w:lang w:val="en-US" w:eastAsia="zh-CN"/>
              </w:rPr>
              <w:t>5</w:t>
            </w: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b/>
                <w:bCs/>
              </w:rPr>
            </w:pPr>
            <w:r>
              <w:rPr>
                <w:rFonts w:hint="eastAsia"/>
                <w:b/>
                <w:bCs/>
              </w:rPr>
              <w:t>无人机侦测反制设备管控平台</w:t>
            </w:r>
          </w:p>
        </w:tc>
        <w:tc>
          <w:tcPr>
            <w:tcW w:w="1045" w:type="dxa"/>
            <w:vAlign w:val="center"/>
          </w:tcPr>
          <w:p>
            <w:pPr>
              <w:bidi w:val="0"/>
              <w:jc w:val="center"/>
              <w:rPr>
                <w:rFonts w:hint="eastAsia"/>
              </w:rPr>
            </w:pPr>
            <w:r>
              <w:rPr>
                <w:rFonts w:hint="eastAsia"/>
                <w:lang w:val="en-US" w:eastAsia="zh-CN"/>
              </w:rPr>
              <w:t>套</w:t>
            </w:r>
          </w:p>
        </w:tc>
        <w:tc>
          <w:tcPr>
            <w:tcW w:w="1195" w:type="dxa"/>
            <w:vAlign w:val="center"/>
          </w:tcPr>
          <w:p>
            <w:pPr>
              <w:bidi w:val="0"/>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Align w:val="center"/>
          </w:tcPr>
          <w:p>
            <w:pPr>
              <w:bidi w:val="0"/>
              <w:jc w:val="center"/>
              <w:rPr>
                <w:rFonts w:hint="eastAsia"/>
                <w:lang w:val="en-US" w:eastAsia="zh-CN"/>
              </w:rPr>
            </w:pPr>
            <w:r>
              <w:rPr>
                <w:rFonts w:hint="eastAsia"/>
                <w:lang w:val="en-US" w:eastAsia="zh-CN"/>
              </w:rPr>
              <w:t>6</w:t>
            </w: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b/>
                <w:bCs/>
              </w:rPr>
            </w:pPr>
            <w:r>
              <w:rPr>
                <w:rFonts w:hint="eastAsia"/>
                <w:b/>
                <w:bCs/>
              </w:rPr>
              <w:t>网络（4G/5G专网卡）</w:t>
            </w:r>
          </w:p>
        </w:tc>
        <w:tc>
          <w:tcPr>
            <w:tcW w:w="1045" w:type="dxa"/>
            <w:vAlign w:val="center"/>
          </w:tcPr>
          <w:p>
            <w:pPr>
              <w:bidi w:val="0"/>
              <w:jc w:val="center"/>
              <w:rPr>
                <w:rFonts w:hint="eastAsia" w:eastAsiaTheme="minorEastAsia"/>
                <w:lang w:eastAsia="zh-CN"/>
              </w:rPr>
            </w:pPr>
            <w:r>
              <w:rPr>
                <w:rFonts w:hint="eastAsia"/>
                <w:lang w:val="en-US" w:eastAsia="zh-CN"/>
              </w:rPr>
              <w:t>张</w:t>
            </w:r>
          </w:p>
        </w:tc>
        <w:tc>
          <w:tcPr>
            <w:tcW w:w="1195" w:type="dxa"/>
            <w:vAlign w:val="center"/>
          </w:tcPr>
          <w:p>
            <w:pPr>
              <w:bidi w:val="0"/>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1" w:type="dxa"/>
            <w:vMerge w:val="restart"/>
            <w:vAlign w:val="center"/>
          </w:tcPr>
          <w:p>
            <w:pPr>
              <w:bidi w:val="0"/>
              <w:jc w:val="center"/>
              <w:rPr>
                <w:rFonts w:hint="eastAsia"/>
                <w:lang w:val="en-US" w:eastAsia="zh-CN"/>
              </w:rPr>
            </w:pPr>
            <w:r>
              <w:rPr>
                <w:rFonts w:hint="eastAsia"/>
                <w:lang w:val="en-US" w:eastAsia="zh-CN"/>
              </w:rPr>
              <w:t>7</w:t>
            </w:r>
          </w:p>
        </w:tc>
        <w:tc>
          <w:tcPr>
            <w:tcW w:w="955" w:type="dxa"/>
            <w:vMerge w:val="restart"/>
            <w:vAlign w:val="center"/>
          </w:tcPr>
          <w:p>
            <w:pPr>
              <w:bidi w:val="0"/>
              <w:jc w:val="center"/>
              <w:rPr>
                <w:rFonts w:hint="eastAsia"/>
                <w:lang w:val="en-US" w:eastAsia="zh-CN"/>
              </w:rPr>
            </w:pPr>
            <w:r>
              <w:rPr>
                <w:rFonts w:hint="eastAsia"/>
                <w:lang w:val="en-US" w:eastAsia="zh-CN"/>
              </w:rPr>
              <w:t>非</w:t>
            </w:r>
          </w:p>
          <w:p>
            <w:pPr>
              <w:bidi w:val="0"/>
              <w:jc w:val="center"/>
              <w:rPr>
                <w:rFonts w:hint="eastAsia"/>
                <w:lang w:val="en-US" w:eastAsia="zh-CN"/>
              </w:rPr>
            </w:pPr>
            <w:r>
              <w:rPr>
                <w:rFonts w:hint="eastAsia"/>
                <w:lang w:val="en-US" w:eastAsia="zh-CN"/>
              </w:rPr>
              <w:t>核</w:t>
            </w:r>
          </w:p>
          <w:p>
            <w:pPr>
              <w:bidi w:val="0"/>
              <w:jc w:val="center"/>
              <w:rPr>
                <w:rFonts w:hint="eastAsia"/>
                <w:lang w:val="en-US" w:eastAsia="zh-CN"/>
              </w:rPr>
            </w:pPr>
            <w:r>
              <w:rPr>
                <w:rFonts w:hint="eastAsia"/>
                <w:lang w:val="en-US" w:eastAsia="zh-CN"/>
              </w:rPr>
              <w:t>心</w:t>
            </w:r>
          </w:p>
          <w:p>
            <w:pPr>
              <w:bidi w:val="0"/>
              <w:jc w:val="center"/>
              <w:rPr>
                <w:rFonts w:hint="eastAsia"/>
                <w:lang w:val="en-US" w:eastAsia="zh-CN"/>
              </w:rPr>
            </w:pPr>
            <w:r>
              <w:rPr>
                <w:rFonts w:hint="eastAsia"/>
                <w:lang w:val="en-US" w:eastAsia="zh-CN"/>
              </w:rPr>
              <w:t>产</w:t>
            </w:r>
          </w:p>
          <w:p>
            <w:pPr>
              <w:bidi w:val="0"/>
              <w:jc w:val="center"/>
              <w:rPr>
                <w:rFonts w:hint="default"/>
                <w:lang w:val="en-US" w:eastAsia="zh-CN"/>
              </w:rPr>
            </w:pPr>
            <w:r>
              <w:rPr>
                <w:rFonts w:hint="eastAsia"/>
                <w:lang w:val="en-US" w:eastAsia="zh-CN"/>
              </w:rPr>
              <w:t>品</w:t>
            </w:r>
          </w:p>
        </w:tc>
        <w:tc>
          <w:tcPr>
            <w:tcW w:w="5774" w:type="dxa"/>
            <w:gridSpan w:val="3"/>
            <w:vAlign w:val="center"/>
          </w:tcPr>
          <w:p>
            <w:pPr>
              <w:bidi w:val="0"/>
              <w:jc w:val="center"/>
              <w:rPr>
                <w:rFonts w:hint="eastAsia"/>
                <w:lang w:val="en-US" w:eastAsia="zh-CN"/>
              </w:rPr>
            </w:pPr>
            <w:r>
              <w:rPr>
                <w:rFonts w:hint="eastAsia"/>
                <w:b/>
                <w:bCs/>
              </w:rPr>
              <w:t>物理打击反制设备</w:t>
            </w:r>
            <w:r>
              <w:rPr>
                <w:rFonts w:hint="eastAsia"/>
                <w:b/>
                <w:bCs/>
                <w:lang w:eastAsia="zh-CN"/>
              </w:rPr>
              <w:t>：</w:t>
            </w:r>
            <w:r>
              <w:rPr>
                <w:rFonts w:hint="eastAsia"/>
                <w:b/>
                <w:bCs/>
              </w:rPr>
              <w:t>穿越机（5寸）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rPr>
              <w:t>竞速机架套装</w:t>
            </w:r>
          </w:p>
        </w:tc>
        <w:tc>
          <w:tcPr>
            <w:tcW w:w="1045" w:type="dxa"/>
            <w:vAlign w:val="center"/>
          </w:tcPr>
          <w:p>
            <w:pPr>
              <w:bidi w:val="0"/>
              <w:jc w:val="center"/>
              <w:rPr>
                <w:rFonts w:hint="eastAsia"/>
              </w:rPr>
            </w:pPr>
            <w:r>
              <w:rPr>
                <w:rFonts w:hint="eastAsia"/>
                <w:lang w:val="en-US" w:eastAsia="zh-CN"/>
              </w:rPr>
              <w:t>套</w:t>
            </w:r>
          </w:p>
        </w:tc>
        <w:tc>
          <w:tcPr>
            <w:tcW w:w="1195" w:type="dxa"/>
            <w:vAlign w:val="center"/>
          </w:tcPr>
          <w:p>
            <w:pPr>
              <w:bidi w:val="0"/>
              <w:jc w:val="center"/>
              <w:rPr>
                <w:rFonts w:hint="default"/>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机架套装</w:t>
            </w:r>
          </w:p>
        </w:tc>
        <w:tc>
          <w:tcPr>
            <w:tcW w:w="1045" w:type="dxa"/>
            <w:vAlign w:val="center"/>
          </w:tcPr>
          <w:p>
            <w:pPr>
              <w:bidi w:val="0"/>
              <w:jc w:val="center"/>
              <w:rPr>
                <w:rFonts w:hint="eastAsia"/>
                <w:lang w:val="en-US" w:eastAsia="zh-CN"/>
              </w:rPr>
            </w:pPr>
            <w:r>
              <w:rPr>
                <w:rFonts w:hint="eastAsia"/>
                <w:lang w:val="en-US" w:eastAsia="zh-CN"/>
              </w:rPr>
              <w:t>套</w:t>
            </w:r>
          </w:p>
        </w:tc>
        <w:tc>
          <w:tcPr>
            <w:tcW w:w="1195" w:type="dxa"/>
            <w:vAlign w:val="center"/>
          </w:tcPr>
          <w:p>
            <w:pPr>
              <w:bidi w:val="0"/>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电机：2207 1950KV</w:t>
            </w:r>
          </w:p>
        </w:tc>
        <w:tc>
          <w:tcPr>
            <w:tcW w:w="1045" w:type="dxa"/>
            <w:vAlign w:val="center"/>
          </w:tcPr>
          <w:p>
            <w:pPr>
              <w:bidi w:val="0"/>
              <w:jc w:val="center"/>
              <w:rPr>
                <w:rFonts w:hint="eastAsia" w:eastAsiaTheme="minorEastAsia"/>
                <w:lang w:eastAsia="zh-CN"/>
              </w:rPr>
            </w:pPr>
            <w:r>
              <w:rPr>
                <w:rFonts w:hint="eastAsia"/>
                <w:lang w:val="en-US" w:eastAsia="zh-CN"/>
              </w:rPr>
              <w:t>个</w:t>
            </w:r>
          </w:p>
        </w:tc>
        <w:tc>
          <w:tcPr>
            <w:tcW w:w="1195" w:type="dxa"/>
            <w:vAlign w:val="center"/>
          </w:tcPr>
          <w:p>
            <w:pPr>
              <w:bidi w:val="0"/>
              <w:jc w:val="center"/>
              <w:rPr>
                <w:rFonts w:hint="default"/>
                <w:lang w:val="en-US" w:eastAsia="zh-CN"/>
              </w:rPr>
            </w:pPr>
            <w:r>
              <w:rPr>
                <w:rFonts w:hint="eastAsia"/>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飞塔：飞行控制器和电调组合</w:t>
            </w:r>
          </w:p>
        </w:tc>
        <w:tc>
          <w:tcPr>
            <w:tcW w:w="1045" w:type="dxa"/>
            <w:vAlign w:val="center"/>
          </w:tcPr>
          <w:p>
            <w:pPr>
              <w:bidi w:val="0"/>
              <w:jc w:val="center"/>
              <w:rPr>
                <w:rFonts w:hint="eastAsia"/>
              </w:rPr>
            </w:pPr>
            <w:r>
              <w:rPr>
                <w:rFonts w:hint="eastAsia"/>
                <w:lang w:val="en-US" w:eastAsia="zh-CN"/>
              </w:rPr>
              <w:t>套</w:t>
            </w:r>
          </w:p>
        </w:tc>
        <w:tc>
          <w:tcPr>
            <w:tcW w:w="1195" w:type="dxa"/>
            <w:vAlign w:val="center"/>
          </w:tcPr>
          <w:p>
            <w:pPr>
              <w:bidi w:val="0"/>
              <w:jc w:val="center"/>
              <w:rPr>
                <w:rFonts w:hint="eastAsia"/>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天空端图传套装</w:t>
            </w:r>
          </w:p>
        </w:tc>
        <w:tc>
          <w:tcPr>
            <w:tcW w:w="1045" w:type="dxa"/>
            <w:vAlign w:val="center"/>
          </w:tcPr>
          <w:p>
            <w:pPr>
              <w:bidi w:val="0"/>
              <w:jc w:val="center"/>
              <w:rPr>
                <w:rFonts w:hint="eastAsia"/>
              </w:rPr>
            </w:pPr>
            <w:r>
              <w:rPr>
                <w:rFonts w:hint="eastAsia"/>
                <w:lang w:val="en-US" w:eastAsia="zh-CN"/>
              </w:rPr>
              <w:t>套</w:t>
            </w:r>
          </w:p>
        </w:tc>
        <w:tc>
          <w:tcPr>
            <w:tcW w:w="1195" w:type="dxa"/>
            <w:vAlign w:val="center"/>
          </w:tcPr>
          <w:p>
            <w:pPr>
              <w:bidi w:val="0"/>
              <w:jc w:val="center"/>
              <w:rPr>
                <w:rFonts w:hint="eastAsia"/>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备用桨叶</w:t>
            </w:r>
          </w:p>
        </w:tc>
        <w:tc>
          <w:tcPr>
            <w:tcW w:w="1045" w:type="dxa"/>
            <w:vAlign w:val="center"/>
          </w:tcPr>
          <w:p>
            <w:pPr>
              <w:bidi w:val="0"/>
              <w:jc w:val="center"/>
              <w:rPr>
                <w:rFonts w:hint="eastAsia" w:eastAsiaTheme="minorEastAsia"/>
                <w:lang w:eastAsia="zh-CN"/>
              </w:rPr>
            </w:pPr>
            <w:r>
              <w:rPr>
                <w:rFonts w:hint="eastAsia"/>
                <w:lang w:val="en-US" w:eastAsia="zh-CN"/>
              </w:rPr>
              <w:t>包</w:t>
            </w:r>
          </w:p>
        </w:tc>
        <w:tc>
          <w:tcPr>
            <w:tcW w:w="1195" w:type="dxa"/>
            <w:vAlign w:val="center"/>
          </w:tcPr>
          <w:p>
            <w:pPr>
              <w:bidi w:val="0"/>
              <w:jc w:val="center"/>
              <w:rPr>
                <w:rFonts w:hint="default"/>
                <w:lang w:val="en-US" w:eastAsia="zh-CN"/>
              </w:rPr>
            </w:pPr>
            <w:r>
              <w:rPr>
                <w:rFonts w:hint="eastAsia"/>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电池</w:t>
            </w:r>
          </w:p>
        </w:tc>
        <w:tc>
          <w:tcPr>
            <w:tcW w:w="1045" w:type="dxa"/>
            <w:vAlign w:val="center"/>
          </w:tcPr>
          <w:p>
            <w:pPr>
              <w:bidi w:val="0"/>
              <w:jc w:val="center"/>
              <w:rPr>
                <w:rFonts w:hint="eastAsia" w:eastAsiaTheme="minorEastAsia"/>
                <w:lang w:eastAsia="zh-CN"/>
              </w:rPr>
            </w:pPr>
            <w:r>
              <w:rPr>
                <w:rFonts w:hint="eastAsia"/>
                <w:lang w:val="en-US" w:eastAsia="zh-CN"/>
              </w:rPr>
              <w:t>块</w:t>
            </w:r>
          </w:p>
        </w:tc>
        <w:tc>
          <w:tcPr>
            <w:tcW w:w="1195" w:type="dxa"/>
            <w:vAlign w:val="center"/>
          </w:tcPr>
          <w:p>
            <w:pPr>
              <w:bidi w:val="0"/>
              <w:jc w:val="center"/>
              <w:rPr>
                <w:rFonts w:hint="default"/>
                <w:lang w:val="en-US" w:eastAsia="zh-CN"/>
              </w:rPr>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外场电包</w:t>
            </w:r>
          </w:p>
        </w:tc>
        <w:tc>
          <w:tcPr>
            <w:tcW w:w="1045" w:type="dxa"/>
            <w:vAlign w:val="center"/>
          </w:tcPr>
          <w:p>
            <w:pPr>
              <w:bidi w:val="0"/>
              <w:jc w:val="center"/>
              <w:rPr>
                <w:rFonts w:hint="eastAsia"/>
              </w:rPr>
            </w:pPr>
            <w:r>
              <w:rPr>
                <w:rFonts w:hint="eastAsia"/>
                <w:lang w:val="en-US" w:eastAsia="zh-CN"/>
              </w:rPr>
              <w:t>套</w:t>
            </w:r>
          </w:p>
        </w:tc>
        <w:tc>
          <w:tcPr>
            <w:tcW w:w="1195" w:type="dxa"/>
            <w:vAlign w:val="center"/>
          </w:tcPr>
          <w:p>
            <w:pPr>
              <w:bidi w:val="0"/>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restart"/>
            <w:vAlign w:val="center"/>
          </w:tcPr>
          <w:p>
            <w:pPr>
              <w:bidi w:val="0"/>
              <w:jc w:val="center"/>
              <w:rPr>
                <w:rFonts w:hint="default"/>
                <w:lang w:val="en-US" w:eastAsia="zh-CN"/>
              </w:rPr>
            </w:pPr>
            <w:r>
              <w:rPr>
                <w:rFonts w:hint="eastAsia"/>
                <w:lang w:val="en-US" w:eastAsia="zh-CN"/>
              </w:rPr>
              <w:t>8</w:t>
            </w:r>
          </w:p>
        </w:tc>
        <w:tc>
          <w:tcPr>
            <w:tcW w:w="955" w:type="dxa"/>
            <w:vMerge w:val="continue"/>
            <w:vAlign w:val="center"/>
          </w:tcPr>
          <w:p>
            <w:pPr>
              <w:bidi w:val="0"/>
              <w:jc w:val="center"/>
              <w:rPr>
                <w:rFonts w:hint="eastAsia"/>
                <w:lang w:val="en-US" w:eastAsia="zh-CN"/>
              </w:rPr>
            </w:pPr>
          </w:p>
        </w:tc>
        <w:tc>
          <w:tcPr>
            <w:tcW w:w="577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rPr>
              <w:t>物理打击反制设备</w:t>
            </w:r>
            <w:r>
              <w:rPr>
                <w:rFonts w:hint="eastAsia"/>
                <w:b/>
                <w:bCs/>
                <w:lang w:eastAsia="zh-CN"/>
              </w:rPr>
              <w:t>：</w:t>
            </w:r>
            <w:r>
              <w:rPr>
                <w:rFonts w:hint="eastAsia" w:ascii="宋体" w:hAnsi="宋体" w:eastAsia="宋体" w:cs="宋体"/>
                <w:b/>
                <w:bCs/>
                <w:i w:val="0"/>
                <w:iCs w:val="0"/>
                <w:color w:val="000000"/>
                <w:kern w:val="0"/>
                <w:sz w:val="22"/>
                <w:szCs w:val="22"/>
                <w:u w:val="none"/>
                <w:lang w:val="en-US" w:eastAsia="zh-CN" w:bidi="ar"/>
              </w:rPr>
              <w:t>穿越机（3.5寸）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机架套装</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电机</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个</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飞塔</w:t>
            </w:r>
          </w:p>
        </w:tc>
        <w:tc>
          <w:tcPr>
            <w:tcW w:w="1045" w:type="dxa"/>
            <w:vAlign w:val="center"/>
          </w:tcPr>
          <w:p>
            <w:pPr>
              <w:bidi w:val="0"/>
              <w:jc w:val="center"/>
              <w:rPr>
                <w:rFonts w:hint="eastAsia" w:eastAsiaTheme="minorEastAsia"/>
                <w:lang w:eastAsia="zh-CN"/>
              </w:rPr>
            </w:pPr>
            <w:r>
              <w:rPr>
                <w:rFonts w:hint="eastAsia"/>
                <w:lang w:val="en-US" w:eastAsia="zh-CN"/>
              </w:rPr>
              <w:t>套</w:t>
            </w:r>
          </w:p>
        </w:tc>
        <w:tc>
          <w:tcPr>
            <w:tcW w:w="1195" w:type="dxa"/>
            <w:vAlign w:val="center"/>
          </w:tcPr>
          <w:p>
            <w:pPr>
              <w:bidi w:val="0"/>
              <w:jc w:val="center"/>
              <w:rPr>
                <w:rFonts w:hint="default"/>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天空端图传</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接收机天线</w:t>
            </w:r>
          </w:p>
        </w:tc>
        <w:tc>
          <w:tcPr>
            <w:tcW w:w="10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备用桨叶</w:t>
            </w:r>
          </w:p>
        </w:tc>
        <w:tc>
          <w:tcPr>
            <w:tcW w:w="10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包</w:t>
            </w:r>
          </w:p>
        </w:tc>
        <w:tc>
          <w:tcPr>
            <w:tcW w:w="11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restart"/>
            <w:vAlign w:val="center"/>
          </w:tcPr>
          <w:p>
            <w:pPr>
              <w:bidi w:val="0"/>
              <w:jc w:val="center"/>
              <w:rPr>
                <w:rFonts w:hint="default"/>
                <w:lang w:val="en-US" w:eastAsia="zh-CN"/>
              </w:rPr>
            </w:pPr>
            <w:r>
              <w:rPr>
                <w:rFonts w:hint="eastAsia"/>
                <w:lang w:val="en-US" w:eastAsia="zh-CN"/>
              </w:rPr>
              <w:t>9</w:t>
            </w:r>
          </w:p>
        </w:tc>
        <w:tc>
          <w:tcPr>
            <w:tcW w:w="955" w:type="dxa"/>
            <w:vMerge w:val="continue"/>
            <w:vAlign w:val="center"/>
          </w:tcPr>
          <w:p>
            <w:pPr>
              <w:bidi w:val="0"/>
              <w:jc w:val="center"/>
              <w:rPr>
                <w:rFonts w:hint="eastAsia"/>
                <w:lang w:val="en-US" w:eastAsia="zh-CN"/>
              </w:rPr>
            </w:pPr>
          </w:p>
        </w:tc>
        <w:tc>
          <w:tcPr>
            <w:tcW w:w="577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rPr>
              <w:t>物理打击反制设备</w:t>
            </w:r>
            <w:r>
              <w:rPr>
                <w:rFonts w:hint="eastAsia"/>
                <w:b/>
                <w:bCs/>
                <w:lang w:eastAsia="zh-CN"/>
              </w:rPr>
              <w:t>：</w:t>
            </w:r>
            <w:r>
              <w:rPr>
                <w:rFonts w:hint="eastAsia" w:ascii="宋体" w:hAnsi="宋体" w:eastAsia="宋体" w:cs="宋体"/>
                <w:b/>
                <w:bCs/>
                <w:i w:val="0"/>
                <w:iCs w:val="0"/>
                <w:color w:val="000000"/>
                <w:kern w:val="0"/>
                <w:sz w:val="22"/>
                <w:szCs w:val="22"/>
                <w:u w:val="none"/>
                <w:lang w:val="en-US" w:eastAsia="zh-CN" w:bidi="ar"/>
              </w:rPr>
              <w:t>穿越机（2.5寸）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机架电机套装</w:t>
            </w:r>
          </w:p>
        </w:tc>
        <w:tc>
          <w:tcPr>
            <w:tcW w:w="10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天空端图传套装</w:t>
            </w:r>
          </w:p>
        </w:tc>
        <w:tc>
          <w:tcPr>
            <w:tcW w:w="10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桨叶</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包</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电池</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restart"/>
            <w:vAlign w:val="center"/>
          </w:tcPr>
          <w:p>
            <w:pPr>
              <w:bidi w:val="0"/>
              <w:jc w:val="center"/>
              <w:rPr>
                <w:rFonts w:hint="default"/>
                <w:lang w:val="en-US" w:eastAsia="zh-CN"/>
              </w:rPr>
            </w:pPr>
            <w:r>
              <w:rPr>
                <w:rFonts w:hint="eastAsia"/>
                <w:lang w:val="en-US" w:eastAsia="zh-CN"/>
              </w:rPr>
              <w:t>10</w:t>
            </w:r>
          </w:p>
        </w:tc>
        <w:tc>
          <w:tcPr>
            <w:tcW w:w="955" w:type="dxa"/>
            <w:vMerge w:val="continue"/>
            <w:vAlign w:val="center"/>
          </w:tcPr>
          <w:p>
            <w:pPr>
              <w:bidi w:val="0"/>
              <w:jc w:val="center"/>
              <w:rPr>
                <w:rFonts w:hint="eastAsia"/>
                <w:lang w:val="en-US" w:eastAsia="zh-CN"/>
              </w:rPr>
            </w:pPr>
          </w:p>
        </w:tc>
        <w:tc>
          <w:tcPr>
            <w:tcW w:w="5774" w:type="dxa"/>
            <w:gridSpan w:val="3"/>
            <w:vAlign w:val="center"/>
          </w:tcPr>
          <w:p>
            <w:pPr>
              <w:bidi w:val="0"/>
              <w:jc w:val="center"/>
              <w:rPr>
                <w:rFonts w:hint="eastAsia"/>
                <w:lang w:val="en-US" w:eastAsia="zh-CN"/>
              </w:rPr>
            </w:pPr>
            <w:r>
              <w:rPr>
                <w:rFonts w:hint="eastAsia" w:ascii="宋体" w:hAnsi="宋体" w:eastAsia="宋体" w:cs="宋体"/>
                <w:b/>
                <w:bCs/>
                <w:i w:val="0"/>
                <w:iCs w:val="0"/>
                <w:color w:val="000000"/>
                <w:kern w:val="0"/>
                <w:sz w:val="22"/>
                <w:szCs w:val="22"/>
                <w:u w:val="none"/>
                <w:lang w:val="en-US" w:eastAsia="zh-CN" w:bidi="ar"/>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遥控器1</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增程高频头</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遥控器2</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default"/>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高频头套装</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rPr>
            </w:pPr>
            <w:r>
              <w:rPr>
                <w:rFonts w:hint="eastAsia" w:ascii="宋体" w:hAnsi="宋体" w:eastAsia="宋体" w:cs="宋体"/>
                <w:i w:val="0"/>
                <w:iCs w:val="0"/>
                <w:color w:val="000000"/>
                <w:kern w:val="0"/>
                <w:sz w:val="22"/>
                <w:szCs w:val="22"/>
                <w:u w:val="none"/>
                <w:lang w:val="en-US" w:eastAsia="zh-CN" w:bidi="ar"/>
              </w:rPr>
              <w:t>遥控器3</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飞行眼镜1</w:t>
            </w:r>
          </w:p>
        </w:tc>
        <w:tc>
          <w:tcPr>
            <w:tcW w:w="10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飞行眼镜2</w:t>
            </w:r>
          </w:p>
        </w:tc>
        <w:tc>
          <w:tcPr>
            <w:tcW w:w="10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restart"/>
            <w:vAlign w:val="center"/>
          </w:tcPr>
          <w:p>
            <w:pPr>
              <w:bidi w:val="0"/>
              <w:jc w:val="center"/>
              <w:rPr>
                <w:rFonts w:hint="default"/>
                <w:lang w:val="en-US" w:eastAsia="zh-CN"/>
              </w:rPr>
            </w:pPr>
            <w:r>
              <w:rPr>
                <w:rFonts w:hint="eastAsia"/>
                <w:lang w:val="en-US" w:eastAsia="zh-CN"/>
              </w:rPr>
              <w:t>11</w:t>
            </w:r>
          </w:p>
        </w:tc>
        <w:tc>
          <w:tcPr>
            <w:tcW w:w="955" w:type="dxa"/>
            <w:vMerge w:val="continue"/>
            <w:vAlign w:val="center"/>
          </w:tcPr>
          <w:p>
            <w:pPr>
              <w:bidi w:val="0"/>
              <w:jc w:val="center"/>
              <w:rPr>
                <w:rFonts w:hint="eastAsia"/>
                <w:lang w:val="en-US" w:eastAsia="zh-CN"/>
              </w:rPr>
            </w:pPr>
          </w:p>
        </w:tc>
        <w:tc>
          <w:tcPr>
            <w:tcW w:w="5774" w:type="dxa"/>
            <w:gridSpan w:val="3"/>
            <w:vAlign w:val="center"/>
          </w:tcPr>
          <w:p>
            <w:pPr>
              <w:bidi w:val="0"/>
              <w:jc w:val="center"/>
              <w:rPr>
                <w:rFonts w:hint="default"/>
                <w:lang w:val="en-US" w:eastAsia="zh-CN"/>
              </w:rPr>
            </w:pPr>
            <w:r>
              <w:rPr>
                <w:rFonts w:hint="eastAsia"/>
                <w:b/>
                <w:bCs/>
                <w:lang w:val="en-US" w:eastAsia="zh-CN"/>
              </w:rPr>
              <w:t>维护工具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Style w:val="40"/>
                <w:rFonts w:hint="eastAsia" w:ascii="宋体" w:hAnsi="宋体" w:eastAsia="宋体" w:cs="宋体"/>
                <w:sz w:val="22"/>
                <w:szCs w:val="22"/>
                <w:lang w:val="en-US" w:eastAsia="zh-CN" w:bidi="ar"/>
              </w:rPr>
              <w:t>智能平衡充电器</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个</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电池防爆箱</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个</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航模遥控设备箱</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个</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穿越机双肩收纳包</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个</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焊台</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电烙铁</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焊锡丝</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卷</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万用表</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个</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热缩管</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盒</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洞洞板</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张</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零件盒</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只</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防静电工作台</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电动螺丝刀套装</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热风枪</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支</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螺丝、螺母</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盒</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3D打印机</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调参笔记本电脑</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镊子</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剥线钳</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把</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游标卡尺</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把</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restart"/>
            <w:vAlign w:val="center"/>
          </w:tcPr>
          <w:p>
            <w:pPr>
              <w:bidi w:val="0"/>
              <w:jc w:val="center"/>
              <w:rPr>
                <w:rFonts w:hint="default"/>
                <w:lang w:val="en-US" w:eastAsia="zh-CN"/>
              </w:rPr>
            </w:pPr>
            <w:r>
              <w:rPr>
                <w:rFonts w:hint="eastAsia"/>
                <w:lang w:val="en-US" w:eastAsia="zh-CN"/>
              </w:rPr>
              <w:t>12</w:t>
            </w:r>
          </w:p>
        </w:tc>
        <w:tc>
          <w:tcPr>
            <w:tcW w:w="955" w:type="dxa"/>
            <w:vMerge w:val="continue"/>
            <w:vAlign w:val="center"/>
          </w:tcPr>
          <w:p>
            <w:pPr>
              <w:bidi w:val="0"/>
              <w:jc w:val="center"/>
              <w:rPr>
                <w:rFonts w:hint="eastAsia"/>
                <w:lang w:val="en-US" w:eastAsia="zh-CN"/>
              </w:rPr>
            </w:pPr>
          </w:p>
        </w:tc>
        <w:tc>
          <w:tcPr>
            <w:tcW w:w="3534" w:type="dxa"/>
            <w:vAlign w:val="center"/>
          </w:tcPr>
          <w:p>
            <w:pPr>
              <w:bidi w:val="0"/>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靶机1</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靶机2</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sz w:val="22"/>
                <w:szCs w:val="22"/>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靶机3</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架</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1" w:type="dxa"/>
            <w:vMerge w:val="continue"/>
            <w:vAlign w:val="center"/>
          </w:tcPr>
          <w:p>
            <w:pPr>
              <w:bidi w:val="0"/>
              <w:jc w:val="center"/>
              <w:rPr>
                <w:rFonts w:hint="eastAsia"/>
                <w:lang w:val="en-US" w:eastAsia="zh-CN"/>
              </w:rPr>
            </w:pPr>
          </w:p>
        </w:tc>
        <w:tc>
          <w:tcPr>
            <w:tcW w:w="955" w:type="dxa"/>
            <w:vMerge w:val="continue"/>
            <w:vAlign w:val="center"/>
          </w:tcPr>
          <w:p>
            <w:pPr>
              <w:bidi w:val="0"/>
              <w:jc w:val="center"/>
              <w:rPr>
                <w:rFonts w:hint="eastAsia"/>
                <w:lang w:val="en-US" w:eastAsia="zh-CN"/>
              </w:rPr>
            </w:pPr>
          </w:p>
        </w:tc>
        <w:tc>
          <w:tcPr>
            <w:tcW w:w="353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靶机4</w:t>
            </w:r>
          </w:p>
        </w:tc>
        <w:tc>
          <w:tcPr>
            <w:tcW w:w="104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11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r>
    </w:tbl>
    <w:p>
      <w:pPr>
        <w:pStyle w:val="37"/>
        <w:spacing w:line="360" w:lineRule="auto"/>
        <w:ind w:firstLine="0" w:firstLineChars="0"/>
        <w:rPr>
          <w:b/>
          <w:bCs/>
        </w:rPr>
      </w:pPr>
      <w:r>
        <w:rPr>
          <w:rFonts w:hint="eastAsia"/>
          <w:b/>
          <w:bCs/>
        </w:rPr>
        <w:t>6、采购参数：</w:t>
      </w:r>
    </w:p>
    <w:tbl>
      <w:tblPr>
        <w:tblStyle w:val="2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1"/>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名称</w:t>
            </w:r>
          </w:p>
        </w:tc>
        <w:tc>
          <w:tcPr>
            <w:tcW w:w="72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0" w:type="dxa"/>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lang w:val="en-US" w:eastAsia="zh-CN"/>
              </w:rPr>
              <w:t>1</w:t>
            </w:r>
          </w:p>
        </w:tc>
        <w:tc>
          <w:tcPr>
            <w:tcW w:w="1141" w:type="dxa"/>
            <w:tcBorders>
              <w:top w:val="single" w:color="auto" w:sz="4" w:space="0"/>
              <w:left w:val="single" w:color="auto" w:sz="4" w:space="0"/>
              <w:right w:val="single" w:color="auto" w:sz="4" w:space="0"/>
            </w:tcBorders>
            <w:vAlign w:val="center"/>
          </w:tcPr>
          <w:p>
            <w:pPr>
              <w:bidi w:val="0"/>
              <w:spacing w:line="360" w:lineRule="auto"/>
              <w:jc w:val="center"/>
              <w:rPr>
                <w:rFonts w:hint="eastAsia"/>
                <w:sz w:val="21"/>
                <w:szCs w:val="21"/>
                <w:highlight w:val="none"/>
              </w:rPr>
            </w:pPr>
            <w:r>
              <w:rPr>
                <w:rFonts w:hint="eastAsia"/>
                <w:sz w:val="21"/>
                <w:szCs w:val="21"/>
                <w:highlight w:val="none"/>
              </w:rPr>
              <w:t>手提式</w:t>
            </w:r>
          </w:p>
          <w:p>
            <w:pPr>
              <w:bidi w:val="0"/>
              <w:spacing w:line="360" w:lineRule="auto"/>
              <w:jc w:val="center"/>
              <w:rPr>
                <w:rFonts w:hint="eastAsia"/>
                <w:sz w:val="21"/>
                <w:szCs w:val="21"/>
                <w:highlight w:val="none"/>
              </w:rPr>
            </w:pPr>
            <w:r>
              <w:rPr>
                <w:rFonts w:hint="eastAsia"/>
                <w:sz w:val="21"/>
                <w:szCs w:val="21"/>
                <w:highlight w:val="none"/>
              </w:rPr>
              <w:t>无人机</w:t>
            </w:r>
          </w:p>
          <w:p>
            <w:pPr>
              <w:bidi w:val="0"/>
              <w:spacing w:line="360" w:lineRule="auto"/>
              <w:jc w:val="center"/>
              <w:rPr>
                <w:rFonts w:hint="eastAsia"/>
                <w:sz w:val="21"/>
                <w:szCs w:val="21"/>
                <w:highlight w:val="none"/>
              </w:rPr>
            </w:pPr>
            <w:r>
              <w:rPr>
                <w:rFonts w:hint="eastAsia"/>
                <w:sz w:val="21"/>
                <w:szCs w:val="21"/>
                <w:highlight w:val="none"/>
              </w:rPr>
              <w:t>侦测</w:t>
            </w:r>
          </w:p>
          <w:p>
            <w:pPr>
              <w:bidi w:val="0"/>
              <w:spacing w:line="360" w:lineRule="auto"/>
              <w:jc w:val="center"/>
              <w:rPr>
                <w:rFonts w:ascii="宋体" w:hAnsi="宋体" w:cs="宋体"/>
                <w:sz w:val="21"/>
                <w:szCs w:val="21"/>
                <w:highlight w:val="none"/>
              </w:rPr>
            </w:pPr>
            <w:r>
              <w:rPr>
                <w:rFonts w:hint="eastAsia"/>
                <w:sz w:val="21"/>
                <w:szCs w:val="21"/>
                <w:highlight w:val="none"/>
              </w:rPr>
              <w:t>定位设备</w:t>
            </w: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▲1、能探测工作频段902MHz-928MHz、1080MHz-1280MHz、1400MHz-1444MHz、2400MHz-2500MHz、5725MHz-5875MHz的无线信号。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探测信息显示功能：能在电子地图上实时显示探测到的无人机及飞手（遥控器）的参数信息，包括ID、型号、海拔高度、方位、距离、航速、经纬度、飞行轨迹等。能在探测列表中实时显示探测到的无人机信息，包含当前入侵无人机序列号、型号、轨迹颜色、方位角度、坐标、飞行高度以及飞手方位、飞手坐标等。（提供演示视频）</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3、探测模式：通过无线电监听侦测，探测目标无人机，工作时不主动发射无线信号。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4、天线倒装收纳于箱盖内，开箱后天线可翻转升高。</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5、屏幕角度调节：屏幕的角度可调整；角度调节范围0°-90°。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6、能探测飞行高度不高于1km的无人机。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7、最大探测半径≥5km，在环境优时最大探测半径约9km。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8、测向精度≤0.5°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9、定位结果刷新时间：≤1秒/次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10、同时探测无人机数量≥20架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11、可识别无人机品牌数量≥10种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12、支持预警区设置功能，可以设置预警区的形状、大小、位置等。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13、入侵告警功能：当设备探测到无人机入侵预警区时，能进行声、光告警。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14、（黑）白名单功能，具有白名单编辑功能，可添加、删除白名单列表，当探测到被标记为白名单的无人机后，设备不进行声光告警，但能在地图上进行标识。</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15、电场强度满足GB 8702-2014中限值和评价方法的规定</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16、防护等级：≥IP66</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17、工作温度：-20℃-+65℃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18、提供设备改装为车载服务；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▲19、标配一台笔记本电脑，足够满足运行设备延伸不同场景建立防区、管控平台、下达指令等任务。</w:t>
            </w:r>
          </w:p>
          <w:p>
            <w:pPr>
              <w:bidi w:val="0"/>
              <w:spacing w:line="360" w:lineRule="auto"/>
              <w:rPr>
                <w:rFonts w:hint="eastAsia"/>
                <w:sz w:val="21"/>
                <w:szCs w:val="21"/>
                <w:highlight w:val="none"/>
                <w:lang w:val="en-US" w:eastAsia="zh-CN"/>
              </w:rPr>
            </w:pPr>
            <w:r>
              <w:rPr>
                <w:rFonts w:hint="eastAsia"/>
                <w:sz w:val="21"/>
                <w:szCs w:val="21"/>
                <w:highlight w:val="none"/>
                <w:lang w:val="en-US" w:eastAsia="zh-CN"/>
              </w:rPr>
              <w:t>20、设备功耗≤70W（AC220V供电）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数据分析功能：能对入侵无人机的数量、机型占比、航迹起点、飞手（遥控器）位置等信息进行统计。能按时间维度进行无人机入侵数据统计，自定义时间最小可以秒为单位。能通过饼状图、曲线图、热力图等图表形式对入侵无人机的统计数据进行可视化展现。能通过热力图显示无人机的起飞位置、飞手位置。并且能将可视化统计分析结果一键导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★22、定位精度：水平距离误差≤1m；高度误差≤10m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★23、探测成功率≥99%</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★24、虚警率≤1架次（持续探测24小时）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★25、随机振动试验满足GB/T 2423.56-2018测试标准，试验后目视检查样品，功能测试正常，设备可以正常使用（提供具有CNAS标志的省级及以上第三方测试机构出具的检测报告）</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★26、可探测主流品牌无人机，以及Wifi无人机、穿越机、DIY无人机等机型。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★27、支持在线和离线地图，能在电子地图上以图标方式显示探测到的无人机位置、飞手位置、返航点，并能显示飞行轨迹。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★28、具有入侵目标轨迹回放功能，具备入侵记录列表，可通过时间、轨迹ID等维度选择播放入侵目标轨迹，播放速度可进行倍速设置，支持同一时间段或邻近时间的多架次入侵目标同时进行轨迹回放。</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1"/>
                <w:szCs w:val="21"/>
                <w:lang w:val="en-US" w:eastAsia="zh-CN"/>
              </w:rPr>
              <w:t>△</w:t>
            </w:r>
            <w:r>
              <w:rPr>
                <w:rFonts w:hint="eastAsia" w:ascii="宋体" w:hAnsi="宋体" w:eastAsia="宋体" w:cs="宋体"/>
                <w:i w:val="0"/>
                <w:iCs w:val="0"/>
                <w:color w:val="000000"/>
                <w:kern w:val="0"/>
                <w:sz w:val="21"/>
                <w:szCs w:val="21"/>
                <w:highlight w:val="none"/>
                <w:u w:val="none"/>
                <w:lang w:val="en-US" w:eastAsia="zh-CN" w:bidi="ar"/>
              </w:rPr>
              <w:t>29、轨迹跟踪功能：可跟踪市场主流品牌无人机，并在电子地图上显示无人机的实时飞行轨迹。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★30、组网功能：支持多台（≥2台）设备组网，并可接入后端管控服务平台对多台设备进行统一管理，能将探测到的无人机信息、飞手位置和无人机轨迹等结果数据进行融合。</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★31、具备多目标跳频信号跟踪能力：目标无人机改变工作频段后，设备仍能自动跟踪、并识别为同一架次无人机，并在电子地图上显示为同一条轨迹，可同时跳频跟踪目标数≥5架次。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★32、工作噪声：设备正常工作状态时，距离出风口1.0m处的工作噪声≤40dB（A）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33、设备待机时长≥6小时；工作时长≥4小时，提供电池×2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注：带“</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”和“★”号的参数（除参数25）均需提供公安部安全与警用电子产品质量检测中心出具的检验报告，并加盖投标人或厂家公章，原件备查。</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lang w:val="en-US" w:eastAsia="zh-CN"/>
              </w:rPr>
              <w:t>2</w:t>
            </w:r>
          </w:p>
        </w:tc>
        <w:tc>
          <w:tcPr>
            <w:tcW w:w="1141" w:type="dxa"/>
            <w:tcBorders>
              <w:top w:val="single" w:color="auto" w:sz="4" w:space="0"/>
              <w:left w:val="single" w:color="auto" w:sz="4" w:space="0"/>
              <w:right w:val="single" w:color="auto" w:sz="4" w:space="0"/>
            </w:tcBorders>
            <w:vAlign w:val="center"/>
          </w:tcPr>
          <w:p>
            <w:pPr>
              <w:bidi w:val="0"/>
              <w:spacing w:line="360" w:lineRule="auto"/>
              <w:jc w:val="center"/>
              <w:rPr>
                <w:rFonts w:hint="eastAsia"/>
                <w:sz w:val="21"/>
                <w:szCs w:val="21"/>
                <w:highlight w:val="none"/>
              </w:rPr>
            </w:pPr>
            <w:r>
              <w:rPr>
                <w:rFonts w:hint="eastAsia"/>
                <w:sz w:val="21"/>
                <w:szCs w:val="21"/>
                <w:highlight w:val="none"/>
              </w:rPr>
              <w:t>多用途</w:t>
            </w:r>
          </w:p>
          <w:p>
            <w:pPr>
              <w:bidi w:val="0"/>
              <w:spacing w:line="360" w:lineRule="auto"/>
              <w:jc w:val="center"/>
              <w:rPr>
                <w:rFonts w:hint="eastAsia"/>
                <w:sz w:val="21"/>
                <w:szCs w:val="21"/>
                <w:highlight w:val="none"/>
              </w:rPr>
            </w:pPr>
            <w:r>
              <w:rPr>
                <w:rFonts w:hint="eastAsia"/>
                <w:sz w:val="21"/>
                <w:szCs w:val="21"/>
                <w:highlight w:val="none"/>
              </w:rPr>
              <w:t>大功率</w:t>
            </w:r>
          </w:p>
          <w:p>
            <w:pPr>
              <w:bidi w:val="0"/>
              <w:spacing w:line="360" w:lineRule="auto"/>
              <w:jc w:val="center"/>
              <w:rPr>
                <w:rFonts w:hint="eastAsia"/>
                <w:sz w:val="21"/>
                <w:szCs w:val="21"/>
                <w:highlight w:val="none"/>
              </w:rPr>
            </w:pPr>
            <w:r>
              <w:rPr>
                <w:rFonts w:hint="eastAsia"/>
                <w:sz w:val="21"/>
                <w:szCs w:val="21"/>
                <w:highlight w:val="none"/>
              </w:rPr>
              <w:t>无人机</w:t>
            </w:r>
          </w:p>
          <w:p>
            <w:pPr>
              <w:bidi w:val="0"/>
              <w:spacing w:line="360" w:lineRule="auto"/>
              <w:jc w:val="center"/>
              <w:rPr>
                <w:rFonts w:ascii="宋体" w:hAnsi="宋体" w:cs="宋体"/>
                <w:sz w:val="21"/>
                <w:szCs w:val="21"/>
                <w:highlight w:val="none"/>
              </w:rPr>
            </w:pPr>
            <w:r>
              <w:rPr>
                <w:rFonts w:hint="eastAsia"/>
                <w:sz w:val="21"/>
                <w:szCs w:val="21"/>
                <w:highlight w:val="none"/>
              </w:rPr>
              <w:t>反制设备</w:t>
            </w:r>
          </w:p>
        </w:tc>
        <w:tc>
          <w:tcPr>
            <w:tcW w:w="7259" w:type="dxa"/>
            <w:tcBorders>
              <w:top w:val="single" w:color="auto" w:sz="4" w:space="0"/>
              <w:left w:val="single" w:color="auto" w:sz="4" w:space="0"/>
              <w:right w:val="single" w:color="auto" w:sz="4" w:space="0"/>
            </w:tcBorders>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▲1、干扰管制频段需包含：620-715MHz/840-930MHz/1325-1405MHz/1550-1640MHz/2180-2290MHz/2400-2500MHz/5400-5660MHz/5700-5880MHz。</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u w:val="none"/>
                <w:lang w:val="en-US" w:eastAsia="zh-CN" w:bidi="ar"/>
              </w:rPr>
              <w:t>外观：背负式箱式主机，配备全向天线与手持定向天线，金属机身一体散热。标配人体裁剪背负框架，有效减轻背负重量。</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u w:val="none"/>
                <w:lang w:val="en-US" w:eastAsia="zh-CN" w:bidi="ar"/>
              </w:rPr>
              <w:t>配置：主机、充电器、全向天线、定向天线、背包。</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4、</w:t>
            </w:r>
            <w:r>
              <w:rPr>
                <w:rFonts w:hint="eastAsia" w:ascii="宋体" w:hAnsi="宋体" w:eastAsia="宋体" w:cs="宋体"/>
                <w:i w:val="0"/>
                <w:iCs w:val="0"/>
                <w:color w:val="000000"/>
                <w:kern w:val="0"/>
                <w:sz w:val="21"/>
                <w:szCs w:val="21"/>
                <w:u w:val="none"/>
                <w:lang w:val="en-US" w:eastAsia="zh-CN" w:bidi="ar"/>
              </w:rPr>
              <w:t>尺寸：</w:t>
            </w:r>
          </w:p>
          <w:p>
            <w:pPr>
              <w:keepNext w:val="0"/>
              <w:keepLines w:val="0"/>
              <w:widowControl/>
              <w:numPr>
                <w:ilvl w:val="0"/>
                <w:numId w:val="0"/>
              </w:numPr>
              <w:suppressLineNumbers w:val="0"/>
              <w:spacing w:line="360" w:lineRule="auto"/>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L*W*H≤400mm*300mm*120mm（主机箱）        </w:t>
            </w:r>
          </w:p>
          <w:p>
            <w:pPr>
              <w:keepNext w:val="0"/>
              <w:keepLines w:val="0"/>
              <w:widowControl/>
              <w:numPr>
                <w:ilvl w:val="0"/>
                <w:numId w:val="0"/>
              </w:numPr>
              <w:suppressLineNumbers w:val="0"/>
              <w:spacing w:line="360" w:lineRule="auto"/>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L*W*H≤580mm*120mm*60mm（手持定向天线）</w:t>
            </w:r>
          </w:p>
          <w:p>
            <w:pPr>
              <w:keepNext w:val="0"/>
              <w:keepLines w:val="0"/>
              <w:widowControl/>
              <w:numPr>
                <w:ilvl w:val="0"/>
                <w:numId w:val="0"/>
              </w:numPr>
              <w:suppressLineNumbers w:val="0"/>
              <w:spacing w:line="360" w:lineRule="auto"/>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L≤600mm(全向天线)</w:t>
            </w:r>
          </w:p>
          <w:p>
            <w:pPr>
              <w:keepNext w:val="0"/>
              <w:keepLines w:val="0"/>
              <w:widowControl/>
              <w:numPr>
                <w:ilvl w:val="0"/>
                <w:numId w:val="0"/>
              </w:numPr>
              <w:suppressLineNumbers w:val="0"/>
              <w:spacing w:line="360" w:lineRule="auto"/>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L≤1200mm （信号连接线）。</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5、整机重量：≤15Kg（含电池）。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6、电池容量：15Ah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功能：通过定向或全向发射多频段的电子干扰信号，对市场上主流型号无人机的无线电遥控信号、导航信号、数据传输信号实施压制。定向模式与全向模式之间可随时切换。基本干扰频段包括900MHz（全段）、1.3GHz（全段）、1.5GHz（全球四大导航系统 L1 频段）、2.4GHz（全段）、5.8GHz（全段），可同时上述多频（或更多频段）干扰。</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8、作用距离：有效拦截距离≥3km。</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9、干通比≥20：1。</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10、使用方式：背包携带，配合手持定向天线，可实现对锁定目标的定向干扰；转接全向天线，可对360°范围内的黑飞目标进行全向干扰；</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11、LED电量显示屏：显示实时电压、剩余电量。</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12、信号频段：≥8段。</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13、展开时间：≤2.0s（不含背带）。</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14、撤收时间：≤2.0s（不含背带）。</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15、全向与定向模式切换时间：≤30.0s</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16、按钮开关：操作简易，6个频段独立开关，可多频干扰，也可一键开关所有频段。</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17、外观：非敏感外观。</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△18、工作时间：全频段打开工作时间≥60min，待机时间≥180天。提供电池×2</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△19、发射功率：0.9GHz≥30W、1.3GHz≥30W、1.5GHz≥30W、2.4GHz≥60W、5.8 GHz≥60W。</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△20、提供改装为车载式服务，结合全向天线，形成移动的保护罩。</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△21、具有设备定位功能，可接入</w:t>
            </w:r>
            <w:r>
              <w:rPr>
                <w:rFonts w:hint="eastAsia" w:ascii="宋体" w:hAnsi="宋体" w:eastAsia="宋体" w:cs="宋体"/>
                <w:i w:val="0"/>
                <w:iCs w:val="0"/>
                <w:color w:val="000000"/>
                <w:kern w:val="0"/>
                <w:sz w:val="21"/>
                <w:szCs w:val="21"/>
                <w:highlight w:val="none"/>
                <w:u w:val="none"/>
                <w:lang w:val="en-US" w:eastAsia="zh-CN" w:bidi="ar"/>
              </w:rPr>
              <w:t>浙江省公安厅指定的官方无人机侦测反制管控平台（如有）</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lang w:val="en-US" w:eastAsia="zh-CN"/>
              </w:rPr>
              <w:t>3</w:t>
            </w:r>
          </w:p>
        </w:tc>
        <w:tc>
          <w:tcPr>
            <w:tcW w:w="1141" w:type="dxa"/>
            <w:tcBorders>
              <w:top w:val="single" w:color="auto" w:sz="4" w:space="0"/>
              <w:left w:val="single" w:color="auto" w:sz="4" w:space="0"/>
              <w:right w:val="single" w:color="auto" w:sz="4" w:space="0"/>
            </w:tcBorders>
            <w:vAlign w:val="center"/>
          </w:tcPr>
          <w:p>
            <w:pPr>
              <w:bidi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穿越机</w:t>
            </w:r>
          </w:p>
          <w:p>
            <w:pPr>
              <w:bidi w:val="0"/>
              <w:spacing w:line="360" w:lineRule="auto"/>
              <w:jc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反制设备</w:t>
            </w:r>
          </w:p>
        </w:tc>
        <w:tc>
          <w:tcPr>
            <w:tcW w:w="7259" w:type="dxa"/>
            <w:tcBorders>
              <w:top w:val="single" w:color="auto" w:sz="4" w:space="0"/>
              <w:left w:val="single" w:color="auto" w:sz="4" w:space="0"/>
              <w:right w:val="single" w:color="auto" w:sz="4" w:space="0"/>
            </w:tcBorders>
            <w:vAlign w:val="center"/>
          </w:tcPr>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1、外观应满足如下要求：</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a）各部位色泽均匀一致；</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b）外表面应无明显的划伤、脱落、起皮、起泡、龟裂和锈蚀等疵病；</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c）表面的刻字、符号、标志的着色应均匀、清晰、牢固；</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d）产品的包覆应平整、牢固；</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e）外表面清洁干净。不应有油脂、密封胶、焊剂等残余物；</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f）紧固件、连接件外露的槽、孔、棱不应起毛和损伤。</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2、结构：侦测与打击模块应集成于一个壳体中，</w:t>
            </w:r>
            <w:r>
              <w:rPr>
                <w:rFonts w:hint="eastAsia"/>
                <w:sz w:val="21"/>
                <w:szCs w:val="21"/>
                <w:highlight w:val="none"/>
                <w:lang w:val="en-US" w:eastAsia="zh-CN"/>
              </w:rPr>
              <w:t>应无外露天线、外露电线、信号线、外接数据接口</w:t>
            </w:r>
            <w:r>
              <w:rPr>
                <w:rFonts w:hint="eastAsia"/>
                <w:sz w:val="21"/>
                <w:szCs w:val="21"/>
                <w:lang w:val="en-US" w:eastAsia="zh-CN"/>
              </w:rPr>
              <w:t>。</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外形尺寸: 主机不含把手的尺寸应符合：</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（260±2）mm（长）*（260±2）mm（宽）*（64±2）mm（厚）。</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 xml:space="preserve">          主机含把手的尺寸应符合：</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（260±2）mm（长）*（298±2）mm（宽）*（64±2）mm（厚）。</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3、重量≤2. 5kg，</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4、供电方式: 主机内置可充电电池，并配置充电器。</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5、携带方式: 应支持手持携带；配置收纳包装箱，可将主机、充 电器等收纳在内。</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6、状态指示功能：宜具有工作状态、电池电量等指示功能。各种指示应醒目直观。</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7、自动侦测功能：具备自动侦测功能。应能扫描并自动锁定图传频点，发送警告图像， 并针对锁定的频点发射干扰信号。</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8、温控功能：具备智能温控功能。应能根据不同的温度，自动调整散热模块的风扇 转动速度进行散热控制。散热模块应独立于内部其他控制电路。</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9、电池状态监测功能：具备电池状态监测功能，可监控并显示电池电量、温度、电压。（需在公安部相关检测报告中体现）</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10、发射功率：（42. 0±2.0）dBm</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11、拦截响应时间：在无明显雨、雪、雾天气，无明显遮挡、无明显电磁干扰环境条件下，在对图传穿越机的最大有效拦截距离处，拦截响应时间（从按下主机“攻击”至图传穿越机靶机接收器受到干扰的时间）应≤2.0s</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12、展开撤收时间：主机从收纳状态至工作状态所需的时间应≤5s；主机从工作状态至收纳完毕所需的时间应≤5s。</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13、电磁波容许辐射强度：按照标准GB 8702-2014《电磁环境控制限值》进行试验，距离样品正后方1.5m处的电场强度应≤12 V/m。</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14、高温：(60±2) ℃、12h,试验期间功能应正常。</w:t>
            </w:r>
          </w:p>
          <w:p>
            <w:pPr>
              <w:keepNext w:val="0"/>
              <w:keepLines w:val="0"/>
              <w:widowControl/>
              <w:numPr>
                <w:ilvl w:val="0"/>
                <w:numId w:val="0"/>
              </w:numPr>
              <w:suppressLineNumbers w:val="0"/>
              <w:spacing w:line="360" w:lineRule="auto"/>
              <w:ind w:firstLine="420" w:firstLineChars="200"/>
              <w:jc w:val="left"/>
              <w:textAlignment w:val="center"/>
              <w:rPr>
                <w:rFonts w:hint="eastAsia"/>
                <w:sz w:val="21"/>
                <w:szCs w:val="21"/>
                <w:lang w:val="en-US" w:eastAsia="zh-CN"/>
              </w:rPr>
            </w:pPr>
            <w:r>
              <w:rPr>
                <w:rFonts w:hint="eastAsia"/>
                <w:sz w:val="21"/>
                <w:szCs w:val="21"/>
                <w:lang w:val="en-US" w:eastAsia="zh-CN"/>
              </w:rPr>
              <w:t>低温：(-20±2)℃、12h，试验期间功能应正常。</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★15、发射反馈功能：发射干扰信号时，主机屏幕应能同步显示攻击提示画面。</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★16、文字告警功能：进行干扰发射时，应能推送由文字符构成的告警信息至FPV飞行眼镜或视频接收器。</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★17、眩目功能：具备眩目功能。推送文字符告警同时应能使视频接收器或FPV飞行眼镜产生白色闪屏。</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△18、图传接管功能：具备图传接管功能。在侦测获取到穿越机的图传信号时，可将穿越机视角画面显示在主机显示屏上。</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19、误操作保护功能：操作按键应具有防误触功能。且按下主机“攻击”按键，使主机处于干扰发射状态后，主机应能在连续发射干扰信号1分钟后自动退岀攻击模式，停止干扰信号的发射。</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★20、攻击效果确认功能：具备攻击效果确认功能。当主机自动退出攻击模式后，显示屏应能显示干扰频点所对应的图传信号画面，确认干扰攻击效果。</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21、侦测响应速度：应能在2s内完成频段覆盖范围内的所有图传信号扫描，并在侦测到穿越机图传信号后发出声光报警。</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侦测频率：应能侦测工作频点在5362MHz-5945MHz内的图传信道。</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发射频率：能根据侦测到的图传信道频点发射5362MHz-5945MHz频段内各图传信道对应频段的干扰信号。</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★22、高速目标干扰：在无明显雨、雪、雾天气，无明显遮挡、无明显电磁干扰环境条件下，在能对拦截范围内运动速度不低于 50m/s的高速飞行的图传穿越机进行有效干扰。</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有效拦截距离：在无明显雨、雪、雾天气，无明显遮挡、无明显电磁干扰环境条件下，对图传穿越机的有效拦截距离应≥ 1. 5km。</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23、有效拦截角度：在无明显雨、雪、雾天气，无明显遮挡、无明显电磁干扰环境条件下，在对图传穿越机的最大有效拦截距离处，有效拦截角度范围应满足如下要求：水平：≥120°；垂直：≥90°。</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★24、干通比：在无明显雨、雪、雾天气，无明显遮挡、无明显电磁干扰环境条件下，在对图传穿越机的有效拦截距离不小于1. 5km处，最大干通比（穿越机与主机之间的距离和穿越机与遥控器之间的距离之比）应≥50:1。</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25、续航时间：在室温环境温度条件下，电池充满电后，单次放电循环内的最大持续发射时间应≥90min（攻击模式下累积工作时间）；在室温环境温度条件下，电池充满电后，单次放电循环内的待机搜索工作时间应≥24h（搜索非锁定模式下累积工作时间）。</w:t>
            </w:r>
          </w:p>
          <w:p>
            <w:pPr>
              <w:keepNext w:val="0"/>
              <w:keepLines w:val="0"/>
              <w:widowControl/>
              <w:numPr>
                <w:ilvl w:val="0"/>
                <w:numId w:val="0"/>
              </w:numPr>
              <w:suppressLineNumbers w:val="0"/>
              <w:spacing w:line="360" w:lineRule="auto"/>
              <w:jc w:val="left"/>
              <w:textAlignment w:val="center"/>
              <w:rPr>
                <w:rFonts w:hint="eastAsia"/>
                <w:sz w:val="21"/>
                <w:szCs w:val="21"/>
                <w:lang w:val="en-US" w:eastAsia="zh-CN"/>
              </w:rPr>
            </w:pPr>
            <w:r>
              <w:rPr>
                <w:rFonts w:hint="eastAsia"/>
                <w:sz w:val="21"/>
                <w:szCs w:val="21"/>
                <w:lang w:val="en-US" w:eastAsia="zh-CN"/>
              </w:rPr>
              <w:t>★26、外壳防护等级：IP54</w:t>
            </w:r>
          </w:p>
          <w:p>
            <w:pPr>
              <w:bidi w:val="0"/>
              <w:spacing w:line="360" w:lineRule="auto"/>
              <w:rPr>
                <w:rFonts w:hint="default"/>
                <w:lang w:val="en-US" w:eastAsia="zh-CN"/>
              </w:rPr>
            </w:pPr>
            <w:r>
              <w:rPr>
                <w:rFonts w:hint="eastAsia"/>
                <w:lang w:val="en-US" w:eastAsia="zh-CN"/>
              </w:rPr>
              <w:t>27、</w:t>
            </w:r>
            <w:r>
              <w:rPr>
                <w:rFonts w:hint="eastAsia" w:ascii="宋体" w:hAnsi="宋体" w:eastAsia="宋体" w:cs="宋体"/>
                <w:i w:val="0"/>
                <w:iCs w:val="0"/>
                <w:color w:val="000000"/>
                <w:kern w:val="0"/>
                <w:sz w:val="21"/>
                <w:szCs w:val="21"/>
                <w:highlight w:val="none"/>
                <w:u w:val="none"/>
                <w:lang w:val="en-US" w:eastAsia="zh-CN" w:bidi="ar"/>
              </w:rPr>
              <w:t>可接入浙江省公安厅指定的官方无人机侦测反制管控平台（如有）。</w:t>
            </w:r>
          </w:p>
          <w:p>
            <w:pPr>
              <w:bidi w:val="0"/>
              <w:spacing w:line="360" w:lineRule="auto"/>
              <w:rPr>
                <w:rFonts w:hint="eastAsia"/>
                <w:sz w:val="21"/>
                <w:szCs w:val="21"/>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注：带“</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”和“★”号的参数需提供公安部安全与警用电子产品质量检测中心出具的检验报告，并加盖投标人或厂家公章，原件备查。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lang w:val="en-US" w:eastAsia="zh-CN"/>
              </w:rPr>
              <w:t>4</w:t>
            </w:r>
          </w:p>
        </w:tc>
        <w:tc>
          <w:tcPr>
            <w:tcW w:w="1141" w:type="dxa"/>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便携式无人机侦测反制设备</w:t>
            </w:r>
          </w:p>
        </w:tc>
        <w:tc>
          <w:tcPr>
            <w:tcW w:w="7259" w:type="dxa"/>
            <w:tcBorders>
              <w:top w:val="single" w:color="auto" w:sz="4" w:space="0"/>
              <w:left w:val="single" w:color="auto" w:sz="4" w:space="0"/>
              <w:right w:val="single" w:color="auto" w:sz="4" w:space="0"/>
            </w:tcBorders>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★1.具备探测无人机以及模拟图传频段实时显示主流机型，设备应能探测到频率范围为50MHz-6000MHz的无线信号，重点探测频段为840MHz-930MHz、1035MHz-1275MHz、1430MHz-1444MHz、2400MHz-2500MHz、5725MHz-5875MHz；</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★2.探测距离：≥3km（2.4GHz/5.8GHz遥控图传）；</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★3.干扰方位角：水平极化60°，垂直极化120°；</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★4.干扰拦截频段：</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第1信道：840 MHz-942.8MHz；</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第2信道：1415.5MHz-1452.9MHz,</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第3信道：1550.0 MHz-1638.4 MHz；</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第4信道：2381.0 MHz-2508.8MHz；</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第5信道：5706.7 MHz-5875.25MHz；</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★5.发射功率：</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第1信道：≥39.65dBm</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第2信道：≥39.05dBm</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第3信道：≥40.34dBm</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第4信道：≥46.08dBm</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第5信道：≥46.85dBm</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6.探测角度：360°；测向模式下方向精度≤20°</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7.拦截时间≤2s；</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★8.拦截距离：不小于2km，干通比：不低于20：1；</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9.工作温度：-20℃-+50℃；</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10.供电方式：内置DC24V锂电池供电，配2块电池；</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11.持续工作时间不低于100min；</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12.待机时间不小于12h；</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★13.发射功率大小具备调节功能：可调节为大、小模式；</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14.探测灵敏度具备调节：高、中、低、微；</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15.设备重量：＜4kg</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★16.具备显示打击/待机状态；三种打击模式：驱离，导航，迫降；</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★17.支持4G通讯，可接入浙江省公安厅指定的官方无人机侦测反制管控平台（如有），并远程查看设备经纬度、电量等信息；</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18.支持自定义发射信号频段，范围为300MHz-2500MHz。</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注：① 设备应为集成探测、干扰一体式设计，参数支持全触摸屏控制。</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② 带“</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”和“★”号的参数需提供公安部安全与警用电子产品质量检测中心出具的检验报告，并加盖投标人或厂家公章，原件备查。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lang w:val="en-US" w:eastAsia="zh-CN"/>
              </w:rPr>
              <w:t>5</w:t>
            </w:r>
          </w:p>
        </w:tc>
        <w:tc>
          <w:tcPr>
            <w:tcW w:w="1141" w:type="dxa"/>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无人机侦测反制设备管控平台</w:t>
            </w:r>
          </w:p>
        </w:tc>
        <w:tc>
          <w:tcPr>
            <w:tcW w:w="7259" w:type="dxa"/>
            <w:tcBorders>
              <w:top w:val="single" w:color="auto" w:sz="4" w:space="0"/>
              <w:left w:val="single" w:color="auto" w:sz="4" w:space="0"/>
              <w:right w:val="single" w:color="auto" w:sz="4" w:space="0"/>
            </w:tcBorders>
            <w:vAlign w:val="center"/>
          </w:tcPr>
          <w:p>
            <w:pPr>
              <w:keepNext w:val="0"/>
              <w:keepLines w:val="0"/>
              <w:widowControl/>
              <w:numPr>
                <w:ilvl w:val="0"/>
                <w:numId w:val="22"/>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系统能够接收侦测信息，查看设备状态。</w:t>
            </w:r>
          </w:p>
          <w:p>
            <w:pPr>
              <w:keepNext w:val="0"/>
              <w:keepLines w:val="0"/>
              <w:widowControl/>
              <w:numPr>
                <w:ilvl w:val="0"/>
                <w:numId w:val="22"/>
              </w:numPr>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平台软件具备以下无人机入侵报警功能：声音和灯光报警；通过发送信息报警；</w:t>
            </w:r>
          </w:p>
          <w:p>
            <w:pPr>
              <w:keepNext w:val="0"/>
              <w:keepLines w:val="0"/>
              <w:widowControl/>
              <w:numPr>
                <w:ilvl w:val="0"/>
                <w:numId w:val="22"/>
              </w:numPr>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无人值守功能：系统具备自动侦测与防御入侵功能。</w:t>
            </w:r>
          </w:p>
          <w:p>
            <w:pPr>
              <w:keepNext w:val="0"/>
              <w:keepLines w:val="0"/>
              <w:widowControl/>
              <w:numPr>
                <w:ilvl w:val="0"/>
                <w:numId w:val="22"/>
              </w:numPr>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平台软件能实时显示频谱侦</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5、系统具备在飞无人机实时轨迹描绘，包括经度和纬度。</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6、能提供无人机入侵时间、报警时间、遥控频率和干扰开关的统计，数据回放。</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7、平台软件能显示设备工作状态。</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8、无人机信号提取与添加功能：管理应用平台能支持持续深度学习,不断完善无人机各维度的特征数据，能将采集到的无人机信息，自动提取参数并通过人工确认添加到无人机特征库中。</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9、具备加载卫星地图功能。</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10、监管平台涉及市级平台、区县级平台、属地***级平台、重点目标单位级平台。</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11、支持有线及无线（4G/5G）等多种接入方式，首选各运营商的有线政企专网。</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12、支持云服务器布署测情况。</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13、系统各设备应具备GPS功能，并自动在地图上标注位置。</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14、系统应具有自动校北功能。</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1"/>
                <w:szCs w:val="21"/>
                <w:lang w:val="en-US" w:eastAsia="zh-CN"/>
              </w:rPr>
              <w:t>△</w:t>
            </w:r>
            <w:r>
              <w:rPr>
                <w:rFonts w:hint="eastAsia" w:ascii="宋体" w:hAnsi="宋体" w:eastAsia="宋体" w:cs="宋体"/>
                <w:i w:val="0"/>
                <w:iCs w:val="0"/>
                <w:color w:val="000000"/>
                <w:kern w:val="0"/>
                <w:sz w:val="21"/>
                <w:szCs w:val="21"/>
                <w:highlight w:val="none"/>
                <w:u w:val="none"/>
                <w:lang w:val="en-US" w:eastAsia="zh-CN" w:bidi="ar"/>
              </w:rPr>
              <w:t>15、可实现无人机无线频谱侦测定位设备、侧向设备，无线电全向干扰设备，无线电定向设备，便携式手动设备等设备联网联动。</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1"/>
                <w:szCs w:val="21"/>
                <w:lang w:val="en-US" w:eastAsia="zh-CN"/>
              </w:rPr>
              <w:t>△</w:t>
            </w:r>
            <w:r>
              <w:rPr>
                <w:rFonts w:hint="eastAsia" w:ascii="宋体" w:hAnsi="宋体" w:eastAsia="宋体" w:cs="宋体"/>
                <w:i w:val="0"/>
                <w:iCs w:val="0"/>
                <w:color w:val="000000"/>
                <w:kern w:val="0"/>
                <w:sz w:val="21"/>
                <w:szCs w:val="21"/>
                <w:highlight w:val="none"/>
                <w:u w:val="none"/>
                <w:lang w:val="en-US" w:eastAsia="zh-CN" w:bidi="ar"/>
              </w:rPr>
              <w:t>16、可通过无人机管控平台系统控制组网设备运行，下达指令等功能等。</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sz w:val="21"/>
                <w:szCs w:val="21"/>
                <w:lang w:val="en-US" w:eastAsia="zh-CN"/>
              </w:rPr>
              <w:t>△</w:t>
            </w:r>
            <w:r>
              <w:rPr>
                <w:rFonts w:hint="eastAsia" w:ascii="宋体" w:hAnsi="宋体" w:eastAsia="宋体" w:cs="宋体"/>
                <w:i w:val="0"/>
                <w:iCs w:val="0"/>
                <w:color w:val="000000"/>
                <w:kern w:val="0"/>
                <w:sz w:val="21"/>
                <w:szCs w:val="21"/>
                <w:highlight w:val="none"/>
                <w:u w:val="none"/>
                <w:lang w:val="en-US" w:eastAsia="zh-CN" w:bidi="ar"/>
              </w:rPr>
              <w:t>17、系统应具备黑白名单功能。</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sz w:val="21"/>
                <w:szCs w:val="21"/>
                <w:lang w:val="en-US" w:eastAsia="zh-CN"/>
              </w:rPr>
              <w:t>△</w:t>
            </w:r>
            <w:r>
              <w:rPr>
                <w:rFonts w:hint="eastAsia" w:ascii="宋体" w:hAnsi="宋体" w:eastAsia="宋体" w:cs="宋体"/>
                <w:i w:val="0"/>
                <w:iCs w:val="0"/>
                <w:color w:val="000000"/>
                <w:kern w:val="0"/>
                <w:sz w:val="21"/>
                <w:szCs w:val="21"/>
                <w:highlight w:val="none"/>
                <w:u w:val="none"/>
                <w:lang w:val="en-US" w:eastAsia="zh-CN" w:bidi="ar"/>
              </w:rPr>
              <w:t xml:space="preserve">18、系统实现黑飞排查、飞行备案、临时安保任务、重大安保任务、亚运场馆专题、警用无人机管理、无人值守防御、无人机航线管理等功能。                                                                                                            </w:t>
            </w:r>
            <w:r>
              <w:rPr>
                <w:rFonts w:hint="eastAsia"/>
                <w:sz w:val="21"/>
                <w:szCs w:val="21"/>
                <w:lang w:val="en-US" w:eastAsia="zh-CN"/>
              </w:rPr>
              <w:t>△</w:t>
            </w:r>
            <w:r>
              <w:rPr>
                <w:rFonts w:hint="eastAsia" w:ascii="宋体" w:hAnsi="宋体" w:eastAsia="宋体" w:cs="宋体"/>
                <w:i w:val="0"/>
                <w:iCs w:val="0"/>
                <w:color w:val="000000"/>
                <w:kern w:val="0"/>
                <w:sz w:val="21"/>
                <w:szCs w:val="21"/>
                <w:highlight w:val="none"/>
                <w:u w:val="none"/>
                <w:lang w:val="en-US" w:eastAsia="zh-CN" w:bidi="ar"/>
              </w:rPr>
              <w:t xml:space="preserve">19、系统具备行业无人机监管功能：具备警用、物流等相关行业接口，可查看无人机航线完整信息（所属单位、起点、终点和高度），并显示已报备的行业无人机航线和无人机实时飞行轨迹；                                                                     </w:t>
            </w:r>
            <w:r>
              <w:rPr>
                <w:rFonts w:hint="eastAsia"/>
                <w:sz w:val="21"/>
                <w:szCs w:val="21"/>
                <w:lang w:val="en-US" w:eastAsia="zh-CN"/>
              </w:rPr>
              <w:t>△</w:t>
            </w:r>
            <w:r>
              <w:rPr>
                <w:rFonts w:hint="eastAsia" w:ascii="宋体" w:hAnsi="宋体" w:eastAsia="宋体" w:cs="宋体"/>
                <w:i w:val="0"/>
                <w:iCs w:val="0"/>
                <w:color w:val="000000"/>
                <w:kern w:val="0"/>
                <w:sz w:val="21"/>
                <w:szCs w:val="21"/>
                <w:highlight w:val="none"/>
                <w:u w:val="none"/>
                <w:lang w:val="en-US" w:eastAsia="zh-CN" w:bidi="ar"/>
              </w:rPr>
              <w:t xml:space="preserve">20、系统具备统一指挥调度、发放电子身份证、侦测、取证、驱离、打击、精准定位监视以及警戒防控任务管理等功能，能对目标区域无人机飞行进行有效管控；                                                                                              </w:t>
            </w:r>
            <w:r>
              <w:rPr>
                <w:rFonts w:hint="eastAsia"/>
                <w:sz w:val="21"/>
                <w:szCs w:val="21"/>
                <w:lang w:val="en-US" w:eastAsia="zh-CN"/>
              </w:rPr>
              <w:t>△</w:t>
            </w:r>
            <w:r>
              <w:rPr>
                <w:rFonts w:hint="eastAsia" w:ascii="宋体" w:hAnsi="宋体" w:eastAsia="宋体" w:cs="宋体"/>
                <w:i w:val="0"/>
                <w:iCs w:val="0"/>
                <w:color w:val="000000"/>
                <w:kern w:val="0"/>
                <w:sz w:val="21"/>
                <w:szCs w:val="21"/>
                <w:highlight w:val="none"/>
                <w:u w:val="none"/>
                <w:lang w:val="en-US" w:eastAsia="zh-CN" w:bidi="ar"/>
              </w:rPr>
              <w:t xml:space="preserve">21、系统具备手机端操作APP，用户可在手机端查看无人机入侵信息，如入侵区域、飞行轨迹、飞手位置等信息，并可在手机端开启或关闭反制功能；                                                                                                      </w:t>
            </w:r>
            <w:r>
              <w:rPr>
                <w:rFonts w:hint="eastAsia"/>
                <w:sz w:val="21"/>
                <w:szCs w:val="21"/>
                <w:lang w:val="en-US" w:eastAsia="zh-CN"/>
              </w:rPr>
              <w:t>△</w:t>
            </w:r>
            <w:r>
              <w:rPr>
                <w:rFonts w:hint="eastAsia" w:ascii="宋体" w:hAnsi="宋体" w:eastAsia="宋体" w:cs="宋体"/>
                <w:i w:val="0"/>
                <w:iCs w:val="0"/>
                <w:color w:val="000000"/>
                <w:kern w:val="0"/>
                <w:sz w:val="21"/>
                <w:szCs w:val="21"/>
                <w:highlight w:val="none"/>
                <w:u w:val="none"/>
                <w:lang w:val="en-US" w:eastAsia="zh-CN" w:bidi="ar"/>
              </w:rPr>
              <w:t>22、系统能接入浙江省公安厅指定的官方无人机安全监管管控平台（如有）。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lang w:val="en-US" w:eastAsia="zh-CN"/>
              </w:rPr>
              <w:t>6</w:t>
            </w:r>
          </w:p>
        </w:tc>
        <w:tc>
          <w:tcPr>
            <w:tcW w:w="1141" w:type="dxa"/>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网络（4G/5G专网卡）</w:t>
            </w:r>
          </w:p>
        </w:tc>
        <w:tc>
          <w:tcPr>
            <w:tcW w:w="7259" w:type="dxa"/>
            <w:tcBorders>
              <w:top w:val="single" w:color="auto" w:sz="4" w:space="0"/>
              <w:left w:val="single" w:color="auto" w:sz="4" w:space="0"/>
              <w:right w:val="single" w:color="auto" w:sz="4" w:space="0"/>
            </w:tcBorders>
            <w:vAlign w:val="center"/>
          </w:tcPr>
          <w:p>
            <w:pPr>
              <w:bidi w:val="0"/>
              <w:spacing w:line="360" w:lineRule="auto"/>
              <w:rPr>
                <w:rFonts w:hint="eastAsia"/>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1、4G/5G专网，至少20兆带宽。</w:t>
            </w:r>
          </w:p>
          <w:p>
            <w:pPr>
              <w:bidi w:val="0"/>
              <w:spacing w:line="360" w:lineRule="auto"/>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2、每台设备的专网卡，包括：1台手提式侦测定位设备+1台多用途大功率无人机反制设备+2台便携式无人机侦测反制设备+1台管控平台使用的便携式电脑终端，共5台设备。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lang w:val="en-US" w:eastAsia="zh-CN"/>
              </w:rPr>
              <w:t>7</w:t>
            </w:r>
          </w:p>
        </w:tc>
        <w:tc>
          <w:tcPr>
            <w:tcW w:w="1141"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物理打击反制设备穿越机（5寸）</w:t>
            </w: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竞速机架套装：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1、材质：3K碳纤维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2、机架高度：约32mm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3、电池位置：底板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4、支持螺旋桨大小：5英寸</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5、支持电机大小：约22mm/23mm/24mm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机架套装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1、机臂厚度:约5mm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2、结构:DC型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3、摄像头间距:14-20mm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4、轴距:229MM/265MM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5、飞塔安装孔位:30.5mm/20mm (M3)</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6、下板厚度:约2.5mm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7、图传安装孔位:20mm/m2&amp;30.5mm/M3</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8、上板厚度:约2.5mm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9、桨叶安装尺寸:Max 5.1 inch/Max 6.1 inch</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10、碳板材料:T700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11、电机安装孔位:16*16mm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12、电设层高度:25mm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13、整机重量:187g/199g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电机：2207 1950KV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1、采用先进的材料,包括NSK轴承、7075铝、高精度CNC、N52H弧磁铁等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2、内部电阻:52mΩ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3、电机电缆:20# 120mm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4、轴径:M5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5、额定电压(锂聚合物):4-6S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6、空置电流(10V):1.3A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7、峰值电流: 42.3A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飞塔：飞行控制器和电调组合</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1、主控芯片：STM32F722KET6</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2、陀螺仪：MPU6000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3、内存：16MB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4、输入电压：12V-25.2V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5、BEC供电：5V/2A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6、飞控尺寸：37mm×37mm</w:t>
            </w:r>
          </w:p>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7、重量：约7.4g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天空端图传套装：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1、重量：≦42.6g。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2、外形尺寸：约44*37.8*14.4mm，相机：约24*19*19mm。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3、工作频率：5.725-5.850GHz。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4、发射功率(EIRP)FCCISRRC：＜30dBm，CE：＜14dBm。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5、最低延迟(端到端)720p 60fps：＜32ms。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6、最大传输距离FCC/SRRC：4km；CE：0.7km。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7、视频格式MP4视频格式：H.264；音频格式：AAC-LC)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8、输入/输出接口USB-C，MMCX，3-in-1端口。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9、microSD卡插槽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10、支持的飞控系统BetaFlight</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11、工作温度范围：32℉to104℉(O℃to40℃)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12、输入功率：7.4-17.6V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13、功率输出：25mW/200mW/500mW/700mW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14、相机传感器：1/1.8" starlight cmos最低照度：0.00003Lux镜头：F/1.6 &amp; 8 Mega快门：Rolling shutterlSo：100-25600，OV: 162°(D);138°(H);75(V)，图像比例：16:9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备用桨叶：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1、桨叶数目：3</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2、材质：PC:3.</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3、螺距：3.6in</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4、桨盘直径≦4131.8mm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5、中心厚度：6.8mm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6、中心孔内径：M5:7.</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7、重量≦4.2g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电池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1.尺寸：约38mm*38mm*78mm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2.重量：≦224g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3.规格：1380mah,6s,150c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4.配备了JST-XH 4P接口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5.适用于无人机等飞行器的电源供应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外场电包：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1、电池类型：锂聚合物电池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2、电池电压：约22.2V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3、电池容量：≧40AH</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4、最大放电率：35C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5、充电接口：XT90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6、放电接口：EC5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7、尺寸：约218*108*75mm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lang w:val="en-US" w:eastAsia="zh-CN"/>
              </w:rPr>
              <w:t>8</w:t>
            </w:r>
          </w:p>
        </w:tc>
        <w:tc>
          <w:tcPr>
            <w:tcW w:w="1141"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物理打击反制设备穿越机（3.5寸）</w:t>
            </w: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机架套装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1、轴距：约152.5mm(正X)</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2、顶板3mm厚度：约25.5mm*25.5mm AIO</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3、飞控支持：20mm*20mm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4、底部固定：25.5*25.5mm、16mm*16mm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5、电设空间支持高度；30mm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5、电机支持：底座孔距约12mm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6、摄像头：19-20mm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7、桨叶尺寸3.5寸桨叶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8、外挂相机支持M5标准狗座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9、重量≦150g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1、KV值；2850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2、槽极：12N14P</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3、相间内阻：90mQ</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4、电机尺寸：约26.8*26.45mm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5、轴径：约3mm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6、电机硅胶线规格24#、130mm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7、电机重量(含线)：约19.7g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8、工作额定电压( Lipo )：4-6S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9、空载电流(10V)：0.75A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10、最大功率(60s)：734W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飞塔:</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1、MCU：216MHz STM32F722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2、GYRO：ICM-42688-P</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3、气压计：Yes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4、0SD：Yes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5、黑匣子：16 M Flash Memory</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6、串口数：6 Set</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7、ESC信号：4 Set</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8、电调程序：Dshot300/600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9、ESC回传口：Yes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10、飞控状态指示灯：Yes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11、LED控制开关：BF LED</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12、天空端接口：Yes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13、F. Port：Yes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14、蜂鸣器：Yes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15、输入电压：3-6S Lipo (12.6-25.2V)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16、BEC保护：Yes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17、接收机短路保护：Yes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18、TVS电源保护：Yes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19、BEC：3.3V 0.5A&amp;5V 2A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20、安装孔位：25.5*25.5mm/M2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21、尺寸：约34*34*10mm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天空端图传: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1.重量：天空端（不含相机）：约28克,天空端（含相机）：约36.4克,天线：约3克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2.外形尺寸：天空端模块：约32.5*30.5*14.5mm;天空端相机：约21.2*20*19.5mm,同轴线：长约115 mm,三合一线：长约100mm.天线：长约85mm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3.通信频率：2.400-2.4835 GHz（接收信号）,5.725-5.850 GHz（接收与发射信号）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4.发射功率（EIRP）FCC：＜33 dBm,CE：＜14 dBm,SRRC：＜30 dBm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5.最远图传距离：10公里（FCC），2公里（CE），6公里（SRRC）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6.输入电压：7.4至26.4伏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7.相机影像传感器；1/1.7英寸影像传感器,有效像素≧4800万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接收机天线: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1.重量：约0.5g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2.尺寸：约11mm x 18mm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3.固件：Firmware V6.14</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4.电压：+3.3V to 8.4V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备用桨叶: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1.桨叶数：3片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2.材质：PC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3.螺距：3in</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4.桨叶直径：90mm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5.中心厚度：5.5mm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6.中心孔：1.5mm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7.重量：2.3g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8.适配马达：2004-2306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9</w:t>
            </w:r>
          </w:p>
        </w:tc>
        <w:tc>
          <w:tcPr>
            <w:tcW w:w="1141"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物理打击反制设备穿越机（2.5寸）</w:t>
            </w: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机架电机套装: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1、轴距：约250毫米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2、机架重量：约110克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3、机架板材：碳纤维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4、安装电机孔距：M2 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5、安装电子设备孔位：适配于20mm x 20mm电子设备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6、相机安装部位：适配于多种FPV运动摄像机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7、PD电源输出：5V / 12V，最高可以输出6A的电流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8、VTX电源输出：5V / 12V，最高可以输出1A的电流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9、电池位置：底部安装电池支架，支持安装3S/4S电池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10、共享：支持TBS充电舱和Smart Audio功能等功能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天空端图传套装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1、发射功率：25mW/200mW/500mW/700mW（可调）</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2、高清模式：720p/120fps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3、数字高清图传系统：DJI HDL FPV传输系统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4、高清传输距离：最大为4公里</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5、调频方式：8通道</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6、输入电压：7.4-26.4V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7、传输延迟：低于28ms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桨叶: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1、桨叶数目:3</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2、材质:PC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3、桨盘直径:63.5mm中心厚度:4.9mm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4、中心孔内径∶1.5mm/3孔</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5、最大桨叶宽度∶13.5mm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6、重量:约1.4g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7、适配马达:1102/1105/1106/1204/1206/1306/1407/1408、1404/1506/1507…1.5轴的电机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电池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1、输出电压：14.8V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2、尺寸：约31*30mm16mm*60mm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3、重量：约103g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4、连续放电100c，爆裂放电150c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lang w:val="en-US" w:eastAsia="zh-CN"/>
              </w:rPr>
              <w:t>10</w:t>
            </w:r>
          </w:p>
        </w:tc>
        <w:tc>
          <w:tcPr>
            <w:tcW w:w="1141"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rPr>
              <w:t>配件</w:t>
            </w: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遥控器1：</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1、具备18通道开关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2、具备双向通信数据语音播报功能耳机接口、扬声器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3、设定用触摸屏+2个按键开关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4、适用2.4GHzFASSTest. FASSTMulti、FASST7ch、S-FHSS(8ch)/T-FHSS方式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5、双向通信功能(FASSTest以及T-FHSS模式下有效)彩色LCD、触摸屏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6、英语等七国语言对应，有中文。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7、有SD卡槽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8、配备发射机用锂电池FT2F2100B(2100mAh)遥控距离:约1000米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9、重量约822g.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10、标配中文说明书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增程高频头：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1、频段: 915MHz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2、输入电压:3.5 -13V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3、功耗:1.1W (@10mW) - 3.2W (@ 2000mW)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4、尺寸:约55x89x15 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5、重量:约76克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遥控器2：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1、规格尺寸：xqy 287*129*184mm重量:约750克(不含电池)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2、传输频率：2.400GHZ-2.480GHZ发射器模块（可选)︰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版本1：内置四合一多协议高频模块(CC2500 CYRF6936 A7105 NRF2401)</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版本2：内置ELRS(SX1280)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3、发射功率：内置四合一多协议高频模块:最大100Mw，内置ELRS；最大250MW(发射功率可调)</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4、天线增益：2DB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5、工作电流：不高于400MA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6、工作电压：6.6-8.4V DC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7、遥控距离；＞2KM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8、开源固件：EDGETX</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9、内置模块：MULTIPROTOCOL-MODULE (4IN1)-OR- EXPRESSLRS (ELRS)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10、通道数：不多于16个通道</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11、显示屏：4.3英寸TFT全彩显示屏，分辨率为480*272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12、遥杆：V4.0霍尔遥杆或者AG01霍尔遥杆(可升级)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13、外置模块仓：标准JR仓尺寸</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14、升级方法：支持USB在线/SD卡离线升级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高频头套装：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1、频段：868MHz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2、输入电压:3.5-13V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3、接头：USB-C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4、功耗：1.1w(@ 10mw) -2w (@100mw)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5、尺寸：约65*48*22mm（R模块尺寸)</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6、重量：约48克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遥控器3：</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1、重量：约765克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2、工作频率：5.725-5.850GHz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3、信号最大有效距离：4公里；CE：0.7公里</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4、发射功率（EIRP）：FCC: ＜30 dBm; CE: ＜14 dBm; SRRC: ＜19 dBm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5、工作电流/电压：0.6A@7.6V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6、工作环境温度：0°C至40°C（32°F至 104°F）</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7、充电环境温度：5°C至40°C（41°F至 104°F）</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8、电池类型：LiPo 2S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9、容量：约4920mAh</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10、电压：不高于7.6V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11、能量：约37.39Wh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飞行眼镜1：</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1、重量：约290克（含头带）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2、外形尺寸：约167*103*81mm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3、屏幕尺寸0.49 英寸，屏幕有效分辨率1920*1080，可调节瞳距：远视 200 度至近视800度，刷新率：60Hz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4、通信频率2.400-2.4835 GHz，5.725-5.850 GHz[1]</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5、发射功率（EIRP）2.4 GHz：＜30 dBm（FCC），＜20 dBm（CE/SRRC/MIC/KC），5.8 GHz：＜30 dBm（FCC），＜23 dBm（SRRC），＜14 dBm（CE/KC）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6、支持储存卡存储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7、电池容量：不高于1800毫安时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8、电压7-9伏，电流1.5安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9、能量约2小时[4]</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10、重量约122克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飞行眼镜2：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1.重量：约 420 克（含头带和天线）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2、外形尺寸：约184*122*110 毫米（不含天线）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3、屏幕尺寸2英寸 * 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4、工作频段2.400-2.4835GHz，5.725-5.850GHz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5、发射功率（EIRP）2.400-2.4835GHz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6、图传距离10km(FCC),6km(CE),6km(SRRC),6km(MIC)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7、具备瞳距调节功能，支持存储卡存储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8、电池容量：不高于1800 mAh</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9、电压最大 9 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10、最大充电功率10 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11、续航不高于 110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hint="default" w:ascii="宋体" w:hAnsi="宋体" w:cs="宋体"/>
                <w:sz w:val="21"/>
                <w:szCs w:val="21"/>
                <w:highlight w:val="none"/>
                <w:lang w:val="en-US"/>
              </w:rPr>
            </w:pPr>
            <w:r>
              <w:rPr>
                <w:rFonts w:hint="eastAsia"/>
                <w:sz w:val="21"/>
                <w:szCs w:val="21"/>
                <w:highlight w:val="none"/>
                <w:lang w:val="en-US" w:eastAsia="zh-CN"/>
              </w:rPr>
              <w:t>11</w:t>
            </w:r>
          </w:p>
        </w:tc>
        <w:tc>
          <w:tcPr>
            <w:tcW w:w="1141"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r>
              <w:rPr>
                <w:rFonts w:hint="eastAsia"/>
                <w:sz w:val="21"/>
                <w:szCs w:val="21"/>
                <w:highlight w:val="none"/>
              </w:rPr>
              <w:t>维护工具</w:t>
            </w: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Style w:val="40"/>
                <w:rFonts w:hint="eastAsia" w:ascii="宋体" w:hAnsi="宋体" w:eastAsia="宋体" w:cs="宋体"/>
                <w:sz w:val="21"/>
                <w:szCs w:val="21"/>
                <w:highlight w:val="none"/>
                <w:lang w:val="en-US" w:eastAsia="zh-CN" w:bidi="ar"/>
              </w:rPr>
            </w:pPr>
            <w:r>
              <w:rPr>
                <w:rStyle w:val="40"/>
                <w:rFonts w:hint="eastAsia" w:ascii="宋体" w:hAnsi="宋体" w:eastAsia="宋体" w:cs="宋体"/>
                <w:sz w:val="21"/>
                <w:szCs w:val="21"/>
                <w:highlight w:val="none"/>
                <w:lang w:val="en-US" w:eastAsia="zh-CN" w:bidi="ar"/>
              </w:rPr>
              <w:t>智能平衡充电器：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输入电压DC 6.5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30V</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平衡电流最大1600mA×2</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充电电流0.1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15A×2</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放电电流0.1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3A×2</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充电功率DC 325W x 2@input voltage</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24</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外部放电电流1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15A×2</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放电功率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内部放电:15Wx2(平衡口10Wx2)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外部放电:325W x 2(650W)</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USB输出口5V/2.1A</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存储温度-20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60°℃</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工作温度0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40C</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显示屏尺寸≦2.8”320×24026万色</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外形尺寸≦108mm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105mm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76mm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净重≦360g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电池防爆箱:</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1.尺寸：约300*155*190mm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2.具备防火、防水、防腐蚀功能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3.质材相等或高于Q235碳素钢材质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4.内帖EVA或更优内衬+专用钢锁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航模遥控设备箱：</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1、尺寸：约450*250*270mm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2、材质：表层哑光平纹，中层密度板，内衬防震EVA，内顶衬波浪海绵，内底衬高密度可撕海绵；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3、配置铝合金边框，钥匙锁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穿越机双肩收纳包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1、产品尺寸:约300*160*430mm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2、产品材质:400D PU</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3、面料200D隐形格</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4、产品重量:约1.4KG(含包装)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焊台：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1、调温显示：旋转数码显示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2、功率消耗：约6ow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3、控温范围：200-450°℃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4、输出电压：约24V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5、尺寸：约120(L)*93(W)*170(H)mm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6、重量：约1.3kg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7、烙铁头型号：900M系列烙铁头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8、发热芯型号：插拔式发热芯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9、手柄线材质：耐高温硅胶线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10、线长度：≧1.2m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11、手柄重量：约44g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12、烙铁头对地电阻＜2Q2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13、烙铁头对地电势＜2mV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电烙铁：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1、外壳：基于304不锈钢嵌套式ABC+PC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2、智能温控：100℃-400℃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3、工作电压：12V-24V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4、功率≦65W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焊锡丝：</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1、含锡63%</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2、直径：0.8mm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3、助焊剂松香含量2%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4、每卷约500g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万用表：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1、尺寸：约175*83*53mm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2、重量：约330g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3、功能包括：交直流电流，交直流电压，电阻/电容，频率HFE，通断蜂鸣，二三级管测量，NCV测量，自动关机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热缩管：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1、收纳盒约580根，6色+12规格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洞洞板：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1、单板尺寸：约1200*450*1.2mm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2、方孔规格：约10*10mm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3、两孔间距：约28mm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4、中心间距：约38 mm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5、材质：金属铁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6、环保标准：绿色设计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7、辨色要求：黑白为主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零件盒：</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1、塑料材质，蓝白色为主，重量约0.5kg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2、外径：约410*300*150mm，内径：约380*275*140mm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防静电工作台：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1、承重：台面整体承重约500KG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2、工艺：酸洗磷化处理静电环保喷塑无异味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3、桌面材质：具备厚防静电胶皮符合高分子密度板桌面厚约30mm.电阻10^6-109Q.</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4、桌架材质：加厚冷轧钢与方管焊接而成,表面精心打磨且喷塑高温烘烤，具有防锈、防水等.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5、功能配件：插座板+零件盒架+置物板+挂板+灯架组合而成实用性强，零件盒架,置物板,方孔挂板,灯架均可上下调节高度.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6、调节脚：厚镀锌脚杯+耐磨防划伤地面胶皮.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7、尺寸：约1200*750*1660mm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电动螺丝刀套装：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1、定额电压：3.6V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2、无负载转速：0-290r/ min</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3、硬扭：约5N.m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4、软扭：约0.7N.m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5、扭矩调节：4挡调节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6、电池容量：≦2000mAH</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7、充电接口：Type-c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8、正反转功能：有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9、电量显示：有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10、LED灯延时熄灭：有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11、扭矩记忆：有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12、尺寸：约170*36*36mm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13、原装批头≧24，原装套筒≧9，带磁性延长杆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热风枪：</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1、风速档位≧发2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2、温度范围：50℃-600℃，可调节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3、最大负载：2000W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4、产品尺寸：约250x190mm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螺丝、螺母：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1、M1.5、M2、M2.5、M3螺丝、螺母、平垫规格包括内六角、十字头等无人机专用。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2、盒内装个数≧1200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3、质材：不锈钢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3D打印机：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1、成型技术FDM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2、打印尺寸：约220*220*250mm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3、机身尺寸：约355*355*480mm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4、产品净重：约12.5kg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5、打印速度≤600mm/s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6、加速度≤20000mm/s2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7、打印精度：10O±0.1mm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8、打印层厚：0.1-0.35mm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9、挤出机类型：双齿轮近端挤出机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10、耗材直径：约1.75mm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11、喷嘴直径：0.4mm(兼容O.6/o.8mm)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12、喷嘴温度≤300°c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13、热床温度≤10Oc</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14、打印平台：柔性打印平台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15、调平方式：全自动阵列调平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16、打印方式：云打印/局域网打印/U盘打印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17、显示屏：4.3英寸彩色触控屏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18、支持：断电续打、断料检测、振纹优化、照明灯、自动休眠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19、额定电压：10O-120V,20O-240V, 50/6OHz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20、额定功率：约350W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21、支持耗材：ABS.PLA.PETG.PET.TPU.ASA.PLA-CF.PET-CF</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22、打印文件格式：G-Code</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23、切片软件：Creality Print兼容cura/Simplify3D/PrusaSlicer</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24、切片支持格式：STL,OBJ,AMF</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25、软件语言：中/英/西/德/法/俄/葡/意/土/日</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26、标配材料密封箱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调参笔记本电脑：</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1、内存≧16GB；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2、固态硬盘，容量≧512GB；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3、主频＞2GHz；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4、厚度≧15mm，&lt;18mm;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5、重量≧1kg，＜1.5kg;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6、操作系统：windows10或windows11</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7、具备无线网卡、蓝牙、WiFi 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8、屏幕尺寸约：14英寸；</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9、标配蓝牙鼠标；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10、屏幕支持触屏，分辨率≧2k。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镊子：</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1、高密合度、高硬度、防静电；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bidi w:val="0"/>
              <w:spacing w:line="360" w:lineRule="auto"/>
              <w:rPr>
                <w:rFonts w:hint="eastAsia"/>
                <w:sz w:val="21"/>
                <w:szCs w:val="21"/>
                <w:highlight w:val="none"/>
                <w:lang w:val="en-US" w:eastAsia="zh-CN"/>
              </w:rPr>
            </w:pPr>
            <w:r>
              <w:rPr>
                <w:rFonts w:hint="eastAsia"/>
                <w:sz w:val="21"/>
                <w:szCs w:val="21"/>
                <w:highlight w:val="none"/>
                <w:lang w:val="en-US" w:eastAsia="zh-CN"/>
              </w:rPr>
              <w:t>剥线钳：</w:t>
            </w:r>
          </w:p>
          <w:p>
            <w:pPr>
              <w:bidi w:val="0"/>
              <w:spacing w:line="360" w:lineRule="auto"/>
              <w:rPr>
                <w:rFonts w:hint="eastAsia" w:ascii="宋体" w:hAnsi="宋体" w:eastAsia="宋体" w:cs="宋体"/>
                <w:i w:val="0"/>
                <w:iCs w:val="0"/>
                <w:color w:val="000000"/>
                <w:kern w:val="2"/>
                <w:sz w:val="21"/>
                <w:szCs w:val="21"/>
                <w:highlight w:val="none"/>
                <w:u w:val="none"/>
                <w:lang w:val="en-US" w:eastAsia="zh-CN" w:bidi="ar-SA"/>
              </w:rPr>
            </w:pPr>
            <w:r>
              <w:rPr>
                <w:rFonts w:hint="eastAsia"/>
                <w:sz w:val="21"/>
                <w:szCs w:val="21"/>
                <w:highlight w:val="none"/>
                <w:lang w:val="en-US" w:eastAsia="zh-CN"/>
              </w:rPr>
              <w:t>1、剥线孔、压线槽、剪切刃三位一体。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1141" w:type="dxa"/>
            <w:vMerge w:val="continue"/>
            <w:tcBorders>
              <w:left w:val="single" w:color="auto" w:sz="4" w:space="0"/>
              <w:right w:val="single" w:color="auto" w:sz="4" w:space="0"/>
            </w:tcBorders>
            <w:vAlign w:val="center"/>
          </w:tcPr>
          <w:p>
            <w:pPr>
              <w:bidi w:val="0"/>
              <w:spacing w:line="360" w:lineRule="auto"/>
              <w:jc w:val="center"/>
              <w:rPr>
                <w:rFonts w:ascii="宋体" w:hAnsi="宋体" w:cs="宋体"/>
                <w:sz w:val="21"/>
                <w:szCs w:val="21"/>
                <w:highlight w:val="none"/>
              </w:rPr>
            </w:pP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游标卡尺：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1、数字显示；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2、防水等级：IP54</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3、精度≦0.01mm;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right w:val="single" w:color="auto" w:sz="4" w:space="0"/>
            </w:tcBorders>
            <w:vAlign w:val="center"/>
          </w:tcPr>
          <w:p>
            <w:pPr>
              <w:bidi w:val="0"/>
              <w:spacing w:line="360" w:lineRule="auto"/>
              <w:jc w:val="center"/>
              <w:rPr>
                <w:rFonts w:hint="default" w:ascii="宋体" w:hAnsi="宋体" w:cs="宋体"/>
                <w:sz w:val="21"/>
                <w:szCs w:val="21"/>
                <w:highlight w:val="none"/>
                <w:lang w:val="en-US"/>
              </w:rPr>
            </w:pPr>
            <w:r>
              <w:rPr>
                <w:rFonts w:hint="eastAsia"/>
                <w:sz w:val="21"/>
                <w:szCs w:val="21"/>
                <w:highlight w:val="none"/>
                <w:lang w:val="en-US" w:eastAsia="zh-CN"/>
              </w:rPr>
              <w:t>12</w:t>
            </w:r>
          </w:p>
        </w:tc>
        <w:tc>
          <w:tcPr>
            <w:tcW w:w="1141"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靶机1</w:t>
            </w: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1、飞行时间：≥45分钟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2、最远控制距离：15公里（通视）</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3、最大飞行高度：6000米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4、抗风登记：不高于6级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5、六项全向避障功能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6、广角:等效焦距 24 毫米，4800 万像素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7、长焦:等效焦距 162 毫米，1200 万像素，56 倍混合变焦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8、热成像:等效焦距 40 毫米，分辨率 640*512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9、内含三块智能飞行电池和一个充电管家（100W）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10、内置可快拆的阵列微型麦克风，运用先进的声学算法，抑制桨噪并增强人声，实现远距离隔空对话。内置红蓝爆闪警示灯。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11、可接入4G 网络，实现联网、增强图传、网络RTK等多项功能。支持全球大部分的4G频段，赠送一年的增强图传订阅服务。增强图传：在原有图传的基础上，与4G网络共同协作，如原有图传信号受遮挡或干扰，用户仍可借助4G网络操控无人机，降低断开连接的几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12、提供2年流量卡，每一个月包含20G流量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13、提供2年折扣维修和置换服务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hint="default" w:ascii="宋体" w:hAnsi="宋体" w:cs="宋体"/>
                <w:sz w:val="21"/>
                <w:szCs w:val="21"/>
                <w:highlight w:val="none"/>
                <w:lang w:val="en-US"/>
              </w:rPr>
            </w:pPr>
          </w:p>
        </w:tc>
        <w:tc>
          <w:tcPr>
            <w:tcW w:w="1141"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靶机2</w:t>
            </w: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1、飞行时间：≥45分钟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2、最远控制距离：15公里（通视）</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3、最大飞行高度：6000米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4、抗风登记：不高于6级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5、六项全向避障功能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6、飞行辅助界面</w:t>
            </w:r>
          </w:p>
          <w:p>
            <w:pPr>
              <w:keepNext w:val="0"/>
              <w:keepLines w:val="0"/>
              <w:widowControl/>
              <w:suppressLineNumbers w:val="0"/>
              <w:spacing w:line="360" w:lineRule="auto"/>
              <w:ind w:firstLine="420" w:firstLineChars="20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电子快门：8秒至1/8000秒</w:t>
            </w:r>
          </w:p>
          <w:p>
            <w:pPr>
              <w:keepNext w:val="0"/>
              <w:keepLines w:val="0"/>
              <w:widowControl/>
              <w:suppressLineNumbers w:val="0"/>
              <w:spacing w:line="360" w:lineRule="auto"/>
              <w:ind w:firstLine="420" w:firstLineChars="20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机械快门：8秒至1/2000秒</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7、搭载：</w:t>
            </w:r>
          </w:p>
          <w:p>
            <w:pPr>
              <w:keepNext w:val="0"/>
              <w:keepLines w:val="0"/>
              <w:widowControl/>
              <w:suppressLineNumbers w:val="0"/>
              <w:spacing w:line="360" w:lineRule="auto"/>
              <w:ind w:firstLine="420" w:firstLineChars="20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广角：等效焦距24毫米，2000万像素</w:t>
            </w:r>
          </w:p>
          <w:p>
            <w:pPr>
              <w:keepNext w:val="0"/>
              <w:keepLines w:val="0"/>
              <w:widowControl/>
              <w:suppressLineNumbers w:val="0"/>
              <w:spacing w:line="360" w:lineRule="auto"/>
              <w:ind w:firstLine="420" w:firstLineChars="20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长焦：等效焦距162毫米，1200万像素，56倍混合变焦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8、内含三块智能飞行电池和一个充电管家（100W）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9、远程传递声音，让应急搜救等任务更高效。可储存多条语音，并支持自动循环播放，最大响度：110dB@1m*，有效广播距离：100m@70dB*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10、设备接入4G 网络，实现联网、增强图传、网络RTK等多项功能。该模块为您提供高速稳定的联网服务，支持全球大部分的4G频段，并且赠送一年的增强图传订阅服务。增强图传：在原有图传的基础上，与4G网络共同协作，如原有图传信号受遮挡或干扰，用户仍可借助4G网络操控无人机，降低断开连接的几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11、提供高精度厘米级位置定位功能;功耗更低、性能更强。水平：1 cm + 1ppm；垂直：1.5 cm + 1ppm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12、提供2年流量卡，每一个月包含20G流量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13、提供2年折扣维修和置换服务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hint="default" w:ascii="宋体" w:hAnsi="宋体" w:cs="宋体"/>
                <w:sz w:val="21"/>
                <w:szCs w:val="21"/>
                <w:highlight w:val="none"/>
                <w:lang w:val="en-US"/>
              </w:rPr>
            </w:pPr>
          </w:p>
        </w:tc>
        <w:tc>
          <w:tcPr>
            <w:tcW w:w="1141"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靶机3</w:t>
            </w:r>
          </w:p>
        </w:tc>
        <w:tc>
          <w:tcPr>
            <w:tcW w:w="7259"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1、飞行器轴距约122mm;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2、尺寸：约155*155mm；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3、重量：不大于202g；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4、飞行时长：6-8min；</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5、时速：60-100km/h；</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6、续航：850mah 4s电池×4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bidi w:val="0"/>
              <w:spacing w:line="360" w:lineRule="auto"/>
              <w:jc w:val="center"/>
              <w:rPr>
                <w:rFonts w:hint="default" w:ascii="宋体" w:hAnsi="宋体" w:cs="宋体"/>
                <w:sz w:val="21"/>
                <w:szCs w:val="21"/>
                <w:highlight w:val="none"/>
                <w:lang w:val="en-US"/>
              </w:rPr>
            </w:pPr>
          </w:p>
        </w:tc>
        <w:tc>
          <w:tcPr>
            <w:tcW w:w="1141"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靶机4</w:t>
            </w:r>
          </w:p>
        </w:tc>
        <w:tc>
          <w:tcPr>
            <w:tcW w:w="7259" w:type="dxa"/>
            <w:tcBorders>
              <w:top w:val="single" w:color="auto" w:sz="4" w:space="0"/>
              <w:left w:val="single" w:color="auto" w:sz="4" w:space="0"/>
              <w:right w:val="single" w:color="auto" w:sz="4" w:space="0"/>
            </w:tcBorders>
            <w:vAlign w:val="center"/>
          </w:tcPr>
          <w:p>
            <w:pPr>
              <w:spacing w:line="360" w:lineRule="auto"/>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尺寸</w:t>
            </w:r>
            <w:r>
              <w:rPr>
                <w:rFonts w:hint="eastAsia"/>
                <w:sz w:val="21"/>
                <w:szCs w:val="21"/>
                <w:highlight w:val="none"/>
                <w:lang w:eastAsia="zh-CN"/>
              </w:rPr>
              <w:t>：</w:t>
            </w:r>
            <w:r>
              <w:rPr>
                <w:rFonts w:hint="eastAsia"/>
                <w:sz w:val="21"/>
                <w:szCs w:val="21"/>
                <w:highlight w:val="none"/>
              </w:rPr>
              <w:t>约138*135*55mm</w:t>
            </w:r>
          </w:p>
          <w:p>
            <w:pPr>
              <w:spacing w:line="360" w:lineRule="auto"/>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飞机重量</w:t>
            </w:r>
            <w:r>
              <w:rPr>
                <w:rFonts w:hint="eastAsia"/>
                <w:sz w:val="21"/>
                <w:szCs w:val="21"/>
                <w:highlight w:val="none"/>
                <w:lang w:eastAsia="zh-CN"/>
              </w:rPr>
              <w:t>：不大于</w:t>
            </w:r>
            <w:r>
              <w:rPr>
                <w:rFonts w:hint="eastAsia"/>
                <w:sz w:val="21"/>
                <w:szCs w:val="21"/>
                <w:highlight w:val="none"/>
              </w:rPr>
              <w:t>55g</w:t>
            </w:r>
          </w:p>
          <w:p>
            <w:pPr>
              <w:spacing w:line="360" w:lineRule="auto"/>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起飞重量</w:t>
            </w:r>
            <w:r>
              <w:rPr>
                <w:rFonts w:hint="eastAsia"/>
                <w:sz w:val="21"/>
                <w:szCs w:val="21"/>
                <w:highlight w:val="none"/>
                <w:lang w:eastAsia="zh-CN"/>
              </w:rPr>
              <w:t>：</w:t>
            </w:r>
            <w:r>
              <w:rPr>
                <w:rFonts w:hint="eastAsia"/>
                <w:sz w:val="21"/>
                <w:szCs w:val="21"/>
                <w:highlight w:val="none"/>
              </w:rPr>
              <w:t>80</w:t>
            </w:r>
            <w:r>
              <w:rPr>
                <w:rFonts w:hint="eastAsia"/>
                <w:sz w:val="21"/>
                <w:szCs w:val="21"/>
                <w:highlight w:val="none"/>
                <w:lang w:val="en-US" w:eastAsia="zh-CN"/>
              </w:rPr>
              <w:t>-</w:t>
            </w:r>
            <w:r>
              <w:rPr>
                <w:rFonts w:hint="eastAsia"/>
                <w:sz w:val="21"/>
                <w:szCs w:val="21"/>
                <w:highlight w:val="none"/>
              </w:rPr>
              <w:t>85g</w:t>
            </w:r>
          </w:p>
          <w:p>
            <w:pPr>
              <w:spacing w:line="360" w:lineRule="auto"/>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眼镜</w:t>
            </w:r>
            <w:r>
              <w:rPr>
                <w:rFonts w:hint="eastAsia"/>
                <w:sz w:val="21"/>
                <w:szCs w:val="21"/>
                <w:highlight w:val="none"/>
                <w:lang w:eastAsia="zh-CN"/>
              </w:rPr>
              <w:t>：类</w:t>
            </w:r>
            <w:r>
              <w:rPr>
                <w:rFonts w:hint="eastAsia"/>
                <w:sz w:val="21"/>
                <w:szCs w:val="21"/>
                <w:highlight w:val="none"/>
                <w:lang w:val="en-US" w:eastAsia="zh-CN"/>
              </w:rPr>
              <w:t>FPV视频眼镜</w:t>
            </w:r>
          </w:p>
          <w:p>
            <w:pPr>
              <w:spacing w:line="360" w:lineRule="auto"/>
              <w:rPr>
                <w:rFonts w:hint="default" w:eastAsiaTheme="minorEastAsia"/>
                <w:sz w:val="21"/>
                <w:szCs w:val="21"/>
                <w:highlight w:val="none"/>
                <w:lang w:val="en-US" w:eastAsia="zh-CN"/>
              </w:rPr>
            </w:pPr>
            <w:r>
              <w:rPr>
                <w:rFonts w:hint="eastAsia"/>
                <w:sz w:val="21"/>
                <w:szCs w:val="21"/>
                <w:highlight w:val="none"/>
                <w:lang w:val="en-US" w:eastAsia="zh-CN"/>
              </w:rPr>
              <w:t>5、</w:t>
            </w:r>
            <w:r>
              <w:rPr>
                <w:rFonts w:hint="eastAsia"/>
                <w:sz w:val="21"/>
                <w:szCs w:val="21"/>
                <w:highlight w:val="none"/>
              </w:rPr>
              <w:t>遥控器</w:t>
            </w:r>
            <w:r>
              <w:rPr>
                <w:rFonts w:hint="eastAsia"/>
                <w:sz w:val="21"/>
                <w:szCs w:val="21"/>
                <w:highlight w:val="none"/>
                <w:lang w:eastAsia="zh-CN"/>
              </w:rPr>
              <w:t>：类</w:t>
            </w:r>
            <w:r>
              <w:rPr>
                <w:rFonts w:hint="eastAsia"/>
                <w:sz w:val="21"/>
                <w:szCs w:val="21"/>
                <w:highlight w:val="none"/>
                <w:lang w:val="en-US" w:eastAsia="zh-CN"/>
              </w:rPr>
              <w:t>FPV遥控器</w:t>
            </w:r>
          </w:p>
          <w:p>
            <w:pPr>
              <w:spacing w:line="360" w:lineRule="auto"/>
              <w:rPr>
                <w:rFonts w:hint="eastAsia"/>
                <w:sz w:val="21"/>
                <w:szCs w:val="21"/>
                <w:highlight w:val="none"/>
              </w:rPr>
            </w:pPr>
            <w:r>
              <w:rPr>
                <w:rFonts w:hint="eastAsia"/>
                <w:sz w:val="21"/>
                <w:szCs w:val="21"/>
                <w:highlight w:val="none"/>
                <w:lang w:val="en-US" w:eastAsia="zh-CN"/>
              </w:rPr>
              <w:t>6、</w:t>
            </w:r>
            <w:r>
              <w:rPr>
                <w:rFonts w:hint="eastAsia"/>
                <w:sz w:val="21"/>
                <w:szCs w:val="21"/>
                <w:highlight w:val="none"/>
              </w:rPr>
              <w:t>接收机</w:t>
            </w:r>
            <w:r>
              <w:rPr>
                <w:rFonts w:hint="eastAsia"/>
                <w:sz w:val="21"/>
                <w:szCs w:val="21"/>
                <w:highlight w:val="none"/>
                <w:lang w:eastAsia="zh-CN"/>
              </w:rPr>
              <w:t>：</w:t>
            </w:r>
            <w:r>
              <w:rPr>
                <w:rFonts w:hint="eastAsia"/>
                <w:sz w:val="21"/>
                <w:szCs w:val="21"/>
                <w:highlight w:val="none"/>
              </w:rPr>
              <w:t>ELRS 2.4G/Frsky D8</w:t>
            </w:r>
          </w:p>
          <w:p>
            <w:pPr>
              <w:spacing w:line="360" w:lineRule="auto"/>
              <w:rPr>
                <w:rFonts w:hint="eastAsia" w:eastAsiaTheme="minorEastAsia"/>
                <w:sz w:val="21"/>
                <w:szCs w:val="21"/>
                <w:highlight w:val="none"/>
                <w:lang w:eastAsia="zh-CN"/>
              </w:rPr>
            </w:pPr>
            <w:r>
              <w:rPr>
                <w:rFonts w:hint="eastAsia"/>
                <w:sz w:val="21"/>
                <w:szCs w:val="21"/>
                <w:highlight w:val="none"/>
                <w:lang w:val="en-US" w:eastAsia="zh-CN"/>
              </w:rPr>
              <w:t>7、</w:t>
            </w:r>
            <w:r>
              <w:rPr>
                <w:rFonts w:hint="eastAsia"/>
                <w:sz w:val="21"/>
                <w:szCs w:val="21"/>
                <w:highlight w:val="none"/>
              </w:rPr>
              <w:t>飞控</w:t>
            </w:r>
            <w:r>
              <w:rPr>
                <w:rFonts w:hint="eastAsia"/>
                <w:sz w:val="21"/>
                <w:szCs w:val="21"/>
                <w:highlight w:val="none"/>
                <w:lang w:eastAsia="zh-CN"/>
              </w:rPr>
              <w:t>：类</w:t>
            </w:r>
            <w:r>
              <w:rPr>
                <w:rFonts w:hint="eastAsia"/>
                <w:sz w:val="21"/>
                <w:szCs w:val="21"/>
                <w:highlight w:val="none"/>
              </w:rPr>
              <w:t>F41S 12ACetus BLV3</w:t>
            </w:r>
            <w:r>
              <w:rPr>
                <w:rFonts w:hint="eastAsia"/>
                <w:sz w:val="21"/>
                <w:szCs w:val="21"/>
                <w:highlight w:val="none"/>
                <w:lang w:eastAsia="zh-CN"/>
              </w:rPr>
              <w:t>或以上</w:t>
            </w:r>
          </w:p>
          <w:p>
            <w:pPr>
              <w:spacing w:line="360" w:lineRule="auto"/>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马达</w:t>
            </w:r>
            <w:r>
              <w:rPr>
                <w:rFonts w:hint="eastAsia"/>
                <w:sz w:val="21"/>
                <w:szCs w:val="21"/>
                <w:highlight w:val="none"/>
                <w:lang w:eastAsia="zh-CN"/>
              </w:rPr>
              <w:t>：</w:t>
            </w:r>
            <w:r>
              <w:rPr>
                <w:rFonts w:hint="eastAsia"/>
                <w:sz w:val="21"/>
                <w:szCs w:val="21"/>
                <w:highlight w:val="none"/>
              </w:rPr>
              <w:t>11000KV电机</w:t>
            </w:r>
          </w:p>
          <w:p>
            <w:pPr>
              <w:spacing w:line="360" w:lineRule="auto"/>
              <w:rPr>
                <w:rFonts w:hint="eastAsia"/>
                <w:sz w:val="21"/>
                <w:szCs w:val="21"/>
                <w:highlight w:val="none"/>
                <w:lang w:val="en-US" w:eastAsia="zh-CN"/>
              </w:rPr>
            </w:pPr>
            <w:r>
              <w:rPr>
                <w:rFonts w:hint="eastAsia"/>
                <w:sz w:val="21"/>
                <w:szCs w:val="21"/>
                <w:highlight w:val="none"/>
                <w:lang w:val="en-US" w:eastAsia="zh-CN"/>
              </w:rPr>
              <w:t>9、</w:t>
            </w:r>
            <w:r>
              <w:rPr>
                <w:rFonts w:hint="eastAsia"/>
                <w:sz w:val="21"/>
                <w:szCs w:val="21"/>
                <w:highlight w:val="none"/>
              </w:rPr>
              <w:t>桨叶</w:t>
            </w:r>
            <w:r>
              <w:rPr>
                <w:rFonts w:hint="eastAsia"/>
                <w:sz w:val="21"/>
                <w:szCs w:val="21"/>
                <w:highlight w:val="none"/>
                <w:lang w:eastAsia="zh-CN"/>
              </w:rPr>
              <w:t>：</w:t>
            </w:r>
            <w:r>
              <w:rPr>
                <w:rFonts w:hint="eastAsia"/>
                <w:sz w:val="21"/>
                <w:szCs w:val="21"/>
                <w:highlight w:val="none"/>
                <w:lang w:val="en-US" w:eastAsia="zh-CN"/>
              </w:rPr>
              <w:t>3或4叶桨</w:t>
            </w:r>
          </w:p>
          <w:p>
            <w:pPr>
              <w:spacing w:line="360" w:lineRule="auto"/>
              <w:rPr>
                <w:rFonts w:hint="eastAsia"/>
                <w:sz w:val="21"/>
                <w:szCs w:val="21"/>
                <w:highlight w:val="none"/>
                <w:lang w:val="en-US" w:eastAsia="zh-CN"/>
              </w:rPr>
            </w:pPr>
            <w:r>
              <w:rPr>
                <w:rFonts w:hint="eastAsia"/>
                <w:sz w:val="21"/>
                <w:szCs w:val="21"/>
                <w:highlight w:val="none"/>
                <w:lang w:val="en-US" w:eastAsia="zh-CN"/>
              </w:rPr>
              <w:t>10、摄像头可调：0-40°</w:t>
            </w:r>
          </w:p>
          <w:p>
            <w:pPr>
              <w:spacing w:line="360" w:lineRule="auto"/>
              <w:rPr>
                <w:rFonts w:hint="eastAsia"/>
                <w:sz w:val="21"/>
                <w:szCs w:val="21"/>
                <w:highlight w:val="none"/>
                <w:lang w:val="en-US" w:eastAsia="zh-CN"/>
              </w:rPr>
            </w:pPr>
            <w:r>
              <w:rPr>
                <w:rFonts w:hint="eastAsia"/>
                <w:sz w:val="21"/>
                <w:szCs w:val="21"/>
                <w:highlight w:val="none"/>
                <w:lang w:val="en-US" w:eastAsia="zh-CN"/>
              </w:rPr>
              <w:t>11、图传：25-400mW</w:t>
            </w:r>
          </w:p>
          <w:p>
            <w:pPr>
              <w:spacing w:line="360" w:lineRule="auto"/>
              <w:rPr>
                <w:rFonts w:hint="default"/>
                <w:sz w:val="21"/>
                <w:szCs w:val="21"/>
                <w:highlight w:val="none"/>
                <w:lang w:val="en-US" w:eastAsia="zh-CN"/>
              </w:rPr>
            </w:pPr>
            <w:r>
              <w:rPr>
                <w:rFonts w:hint="eastAsia"/>
                <w:sz w:val="21"/>
                <w:szCs w:val="21"/>
                <w:highlight w:val="none"/>
                <w:lang w:val="en-US" w:eastAsia="zh-CN"/>
              </w:rPr>
              <w:t>12、电池：450mAh 1S电池×4</w:t>
            </w:r>
          </w:p>
          <w:p>
            <w:pPr>
              <w:spacing w:line="360" w:lineRule="auto"/>
              <w:rPr>
                <w:rFonts w:hint="eastAsia" w:ascii="宋体" w:hAnsi="宋体" w:eastAsia="宋体" w:cs="宋体"/>
                <w:i w:val="0"/>
                <w:iCs w:val="0"/>
                <w:color w:val="000000"/>
                <w:kern w:val="2"/>
                <w:sz w:val="21"/>
                <w:szCs w:val="21"/>
                <w:highlight w:val="none"/>
                <w:u w:val="none"/>
                <w:lang w:val="en-US" w:eastAsia="zh-CN" w:bidi="ar-SA"/>
              </w:rPr>
            </w:pPr>
            <w:r>
              <w:rPr>
                <w:rFonts w:hint="eastAsia"/>
                <w:sz w:val="21"/>
                <w:szCs w:val="21"/>
                <w:highlight w:val="none"/>
                <w:lang w:val="en-US" w:eastAsia="zh-CN"/>
              </w:rPr>
              <w:t>13、飞行时间：不少于5分钟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0" w:type="dxa"/>
            <w:gridSpan w:val="3"/>
            <w:tcBorders>
              <w:top w:val="single" w:color="auto" w:sz="4" w:space="0"/>
              <w:left w:val="single" w:color="auto" w:sz="4" w:space="0"/>
              <w:right w:val="single" w:color="auto" w:sz="4" w:space="0"/>
            </w:tcBorders>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注：所有提供的检查或检测报告扫描件均需加盖供应商公章，否则视为无效。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120" w:type="dxa"/>
            <w:gridSpan w:val="3"/>
            <w:tcBorders>
              <w:top w:val="single" w:color="auto" w:sz="4" w:space="0"/>
              <w:left w:val="single" w:color="auto" w:sz="4" w:space="0"/>
              <w:bottom w:val="single" w:color="auto" w:sz="4" w:space="0"/>
              <w:right w:val="single" w:color="auto" w:sz="4" w:space="0"/>
            </w:tcBorders>
            <w:vAlign w:val="center"/>
          </w:tcPr>
          <w:p>
            <w:pPr>
              <w:pStyle w:val="37"/>
              <w:widowControl/>
              <w:spacing w:line="360" w:lineRule="auto"/>
              <w:ind w:firstLine="0" w:firstLineChars="0"/>
              <w:jc w:val="lef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注：</w:t>
            </w:r>
          </w:p>
          <w:p>
            <w:pPr>
              <w:pStyle w:val="37"/>
              <w:widowControl/>
              <w:spacing w:line="360" w:lineRule="auto"/>
              <w:ind w:firstLine="0" w:firstLineChars="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1、本次采购的相关设备主要用于瑞安市公安局对无人机等设备的反制，相关费用包括设备购置费、运输费、存储费、安装费、培训费、平台接口费以及设备的日常保养维护等。</w:t>
            </w:r>
          </w:p>
          <w:p>
            <w:pPr>
              <w:pStyle w:val="37"/>
              <w:widowControl/>
              <w:spacing w:line="360" w:lineRule="auto"/>
              <w:ind w:firstLine="0" w:firstLineChars="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2、供应商在投标时，需提供投标产品的真实照片和真实数据，以便在供货时方便比对，如果供货产品与投标时提供的照片和数据不符，采购人有权取消其中标资格，并让其承担一切后果。</w:t>
            </w:r>
          </w:p>
          <w:p>
            <w:pPr>
              <w:pStyle w:val="37"/>
              <w:widowControl/>
              <w:spacing w:line="360" w:lineRule="auto"/>
              <w:ind w:firstLine="0" w:firstLineChars="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3、中标后采购人可以根据需要对产品的细节进行适当调整，在中标之后由采购人确认，磋商供应商应无偿配合。</w:t>
            </w:r>
          </w:p>
          <w:p>
            <w:pPr>
              <w:pStyle w:val="37"/>
              <w:widowControl/>
              <w:spacing w:line="360" w:lineRule="auto"/>
              <w:ind w:firstLine="0" w:firstLineChars="0"/>
              <w:jc w:val="left"/>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非核心产品的技术参数仅供投标供应商参考，不计入商务技术评分，若中标供应商在投标文件中承诺完全响应，则后续供货不允许偏离，若投标文件中产品参数与参考参数有所偏离，则请具体描述参数偏离情况。</w:t>
            </w:r>
          </w:p>
        </w:tc>
      </w:tr>
    </w:tbl>
    <w:p>
      <w:pPr>
        <w:bidi w:val="0"/>
        <w:spacing w:line="360" w:lineRule="auto"/>
        <w:rPr>
          <w:rFonts w:hint="eastAsia"/>
          <w:b/>
          <w:bCs/>
          <w:lang w:val="en-US" w:eastAsia="zh-CN"/>
        </w:rPr>
      </w:pPr>
      <w:r>
        <w:rPr>
          <w:rFonts w:hint="eastAsia"/>
          <w:b/>
          <w:bCs/>
          <w:lang w:val="en-US" w:eastAsia="zh-CN"/>
        </w:rPr>
        <w:t>7、演示视频文件</w:t>
      </w:r>
    </w:p>
    <w:p>
      <w:pPr>
        <w:bidi w:val="0"/>
        <w:spacing w:line="360" w:lineRule="auto"/>
        <w:ind w:firstLine="420" w:firstLineChars="200"/>
        <w:rPr>
          <w:rFonts w:hint="eastAsia"/>
          <w:lang w:val="en-US" w:eastAsia="zh-CN"/>
        </w:rPr>
      </w:pPr>
      <w:r>
        <w:rPr>
          <w:rFonts w:hint="eastAsia"/>
          <w:lang w:val="en-US" w:eastAsia="zh-CN"/>
        </w:rPr>
        <w:t>（1）投标人制作的演示视频内容应结合采购内容和需求以及商务技术文件中关于“演示部分”评分细则的要求。</w:t>
      </w:r>
    </w:p>
    <w:p>
      <w:pPr>
        <w:bidi w:val="0"/>
        <w:spacing w:line="360" w:lineRule="auto"/>
        <w:ind w:firstLine="420" w:firstLineChars="200"/>
        <w:rPr>
          <w:rFonts w:hint="eastAsia"/>
          <w:lang w:val="en-US" w:eastAsia="zh-CN"/>
        </w:rPr>
      </w:pPr>
      <w:r>
        <w:rPr>
          <w:rFonts w:hint="eastAsia"/>
          <w:lang w:val="en-US" w:eastAsia="zh-CN"/>
        </w:rPr>
        <w:t>（2）演示视频文件应为常用格式的视频文件，评标现场电脑操作系统为windows10，视频文件应能由系统自带windows media player播放器播放。</w:t>
      </w:r>
    </w:p>
    <w:p>
      <w:pPr>
        <w:bidi w:val="0"/>
        <w:spacing w:line="360" w:lineRule="auto"/>
        <w:ind w:firstLine="420" w:firstLineChars="200"/>
        <w:rPr>
          <w:rFonts w:hint="eastAsia"/>
          <w:lang w:val="en-US" w:eastAsia="zh-CN"/>
        </w:rPr>
      </w:pPr>
      <w:r>
        <w:rPr>
          <w:rFonts w:hint="eastAsia"/>
          <w:lang w:val="en-US" w:eastAsia="zh-CN"/>
        </w:rPr>
        <w:t>（3）演示视频文件应由投标人拟派技术人员负责演示与讲解工作，视频文件应由不少于2个镜头组成同一画面（可理解为“画中画”或“左右/上下分屏”）:</w:t>
      </w:r>
    </w:p>
    <w:p>
      <w:pPr>
        <w:bidi w:val="0"/>
        <w:spacing w:line="360" w:lineRule="auto"/>
        <w:ind w:firstLine="420" w:firstLineChars="200"/>
        <w:rPr>
          <w:rFonts w:hint="eastAsia"/>
          <w:lang w:val="en-US" w:eastAsia="zh-CN"/>
        </w:rPr>
      </w:pPr>
      <w:r>
        <w:rPr>
          <w:rFonts w:hint="eastAsia"/>
          <w:lang w:val="en-US" w:eastAsia="zh-CN"/>
        </w:rPr>
        <w:t>①镜头1：清晰呈现演示内容，以及系统桌面右下角时间；</w:t>
      </w:r>
    </w:p>
    <w:p>
      <w:pPr>
        <w:bidi w:val="0"/>
        <w:spacing w:line="360" w:lineRule="auto"/>
        <w:ind w:firstLine="420" w:firstLineChars="200"/>
        <w:rPr>
          <w:rFonts w:hint="eastAsia"/>
          <w:lang w:val="en-US" w:eastAsia="zh-CN"/>
        </w:rPr>
      </w:pPr>
      <w:r>
        <w:rPr>
          <w:rFonts w:hint="eastAsia"/>
          <w:lang w:val="en-US" w:eastAsia="zh-CN"/>
        </w:rPr>
        <w:t>②镜头2：技术人员操作、演示、讲解的过程；</w:t>
      </w:r>
    </w:p>
    <w:p>
      <w:pPr>
        <w:bidi w:val="0"/>
        <w:spacing w:line="360" w:lineRule="auto"/>
        <w:ind w:firstLine="420" w:firstLineChars="200"/>
        <w:rPr>
          <w:rFonts w:hint="eastAsia"/>
          <w:lang w:val="en-US" w:eastAsia="zh-CN"/>
        </w:rPr>
      </w:pPr>
      <w:r>
        <w:rPr>
          <w:rFonts w:hint="eastAsia"/>
          <w:lang w:val="en-US" w:eastAsia="zh-CN"/>
        </w:rPr>
        <w:t>③多个镜头使用同一个音轨，且时间轴应同步；</w:t>
      </w:r>
    </w:p>
    <w:p>
      <w:pPr>
        <w:bidi w:val="0"/>
        <w:spacing w:line="360" w:lineRule="auto"/>
        <w:ind w:firstLine="420" w:firstLineChars="200"/>
        <w:rPr>
          <w:rFonts w:hint="eastAsia"/>
          <w:lang w:val="en-US" w:eastAsia="zh-CN"/>
        </w:rPr>
      </w:pPr>
      <w:r>
        <w:rPr>
          <w:rFonts w:hint="eastAsia"/>
          <w:lang w:val="en-US" w:eastAsia="zh-CN"/>
        </w:rPr>
        <w:t>④单个镜头的演示视频应一镜到底，即：除字幕标注外，不得对演示过程视频进行任何形式的剪辑。</w:t>
      </w:r>
    </w:p>
    <w:p>
      <w:pPr>
        <w:pStyle w:val="2"/>
        <w:rPr>
          <w:rFonts w:hint="default"/>
          <w:lang w:val="en-US" w:eastAsia="zh-CN"/>
        </w:rPr>
      </w:pPr>
      <w:r>
        <w:rPr>
          <w:rFonts w:hint="eastAsia"/>
          <w:lang w:val="en-US" w:eastAsia="zh-CN"/>
        </w:rPr>
        <w:t>⑤ 视频总时长不得超过10分钟，超出部分不进行计分。</w:t>
      </w:r>
    </w:p>
    <w:p>
      <w:pPr>
        <w:pStyle w:val="37"/>
        <w:widowControl/>
        <w:spacing w:line="360" w:lineRule="auto"/>
        <w:ind w:firstLine="0" w:firstLineChars="0"/>
        <w:jc w:val="left"/>
        <w:rPr>
          <w:rFonts w:hint="eastAsia" w:ascii="宋体" w:hAnsi="宋体" w:cs="宋体"/>
          <w:b/>
          <w:snapToGrid w:val="0"/>
          <w:szCs w:val="21"/>
        </w:rPr>
      </w:pPr>
      <w:r>
        <w:rPr>
          <w:rFonts w:hint="eastAsia"/>
          <w:lang w:val="en-US" w:eastAsia="zh-CN"/>
        </w:rPr>
        <w:t>（4）演示视频文件并非强制性要求，投标人不提交演示视频文件或未能按照以上要求制作演示视频文件并非被认定为无效标的条件，仅在商务技术文件评审过程中由评标委员会评分量化。</w:t>
      </w:r>
    </w:p>
    <w:p>
      <w:pPr>
        <w:pStyle w:val="37"/>
        <w:widowControl/>
        <w:spacing w:line="360" w:lineRule="auto"/>
        <w:ind w:firstLine="0" w:firstLineChars="0"/>
        <w:jc w:val="left"/>
        <w:rPr>
          <w:rFonts w:ascii="宋体" w:hAnsi="宋体" w:cs="宋体"/>
          <w:b/>
          <w:snapToGrid w:val="0"/>
          <w:szCs w:val="21"/>
        </w:rPr>
      </w:pPr>
      <w:r>
        <w:rPr>
          <w:rFonts w:hint="eastAsia" w:ascii="宋体" w:hAnsi="宋体" w:cs="宋体"/>
          <w:b/>
          <w:snapToGrid w:val="0"/>
          <w:szCs w:val="21"/>
          <w:lang w:val="en-US" w:eastAsia="zh-CN"/>
        </w:rPr>
        <w:t>8</w:t>
      </w:r>
      <w:r>
        <w:rPr>
          <w:rFonts w:hint="eastAsia" w:ascii="宋体" w:hAnsi="宋体" w:cs="宋体"/>
          <w:b/>
          <w:snapToGrid w:val="0"/>
          <w:szCs w:val="21"/>
        </w:rPr>
        <w:t>、总体技术要求</w:t>
      </w:r>
    </w:p>
    <w:p>
      <w:pPr>
        <w:pStyle w:val="37"/>
        <w:widowControl/>
        <w:spacing w:line="360" w:lineRule="auto"/>
        <w:ind w:firstLine="0" w:firstLineChars="0"/>
        <w:jc w:val="left"/>
        <w:rPr>
          <w:rFonts w:ascii="宋体" w:hAnsi="宋体" w:cs="宋体"/>
          <w:b w:val="0"/>
          <w:bCs w:val="0"/>
          <w:szCs w:val="21"/>
        </w:rPr>
      </w:pPr>
      <w:r>
        <w:rPr>
          <w:rFonts w:hint="eastAsia" w:ascii="宋体" w:hAnsi="宋体" w:cs="宋体"/>
          <w:b w:val="0"/>
          <w:bCs w:val="0"/>
          <w:szCs w:val="21"/>
        </w:rPr>
        <w:t>① 以上产品技术指标可能源自于某一品牌型号产品，</w:t>
      </w:r>
      <w:r>
        <w:rPr>
          <w:rFonts w:hint="eastAsia" w:ascii="宋体" w:hAnsi="宋体" w:cs="宋体"/>
          <w:b w:val="0"/>
          <w:bCs w:val="0"/>
          <w:szCs w:val="21"/>
          <w:lang w:val="en-US" w:eastAsia="zh-CN"/>
        </w:rPr>
        <w:t>并非指定，</w:t>
      </w:r>
      <w:r>
        <w:rPr>
          <w:rFonts w:hint="eastAsia" w:ascii="宋体" w:hAnsi="宋体" w:cs="宋体"/>
          <w:b w:val="0"/>
          <w:bCs w:val="0"/>
          <w:szCs w:val="21"/>
        </w:rPr>
        <w:t>请磋商供应商选择技术指标</w:t>
      </w:r>
      <w:r>
        <w:rPr>
          <w:rFonts w:hint="eastAsia" w:ascii="宋体" w:hAnsi="宋体" w:cs="宋体"/>
          <w:b w:val="0"/>
          <w:bCs w:val="0"/>
          <w:szCs w:val="21"/>
          <w:lang w:val="en-US" w:eastAsia="zh-CN"/>
        </w:rPr>
        <w:t>整体上</w:t>
      </w:r>
      <w:r>
        <w:rPr>
          <w:rFonts w:hint="eastAsia" w:ascii="宋体" w:hAnsi="宋体" w:cs="宋体"/>
          <w:b w:val="0"/>
          <w:bCs w:val="0"/>
          <w:szCs w:val="21"/>
        </w:rPr>
        <w:t>达到或优于以上要求的产品进行投标报价。</w:t>
      </w:r>
    </w:p>
    <w:p>
      <w:pPr>
        <w:pStyle w:val="37"/>
        <w:widowControl/>
        <w:spacing w:line="360" w:lineRule="auto"/>
        <w:ind w:firstLine="0" w:firstLineChars="0"/>
        <w:jc w:val="left"/>
        <w:rPr>
          <w:rFonts w:hint="eastAsia" w:eastAsiaTheme="minorEastAsia"/>
          <w:lang w:eastAsia="zh-CN"/>
        </w:rPr>
      </w:pPr>
      <w:r>
        <w:rPr>
          <w:rFonts w:hint="eastAsia" w:ascii="宋体" w:hAnsi="宋体" w:cs="宋体"/>
          <w:szCs w:val="21"/>
          <w:lang w:val="en-US" w:eastAsia="zh-CN"/>
        </w:rPr>
        <w:t>②</w:t>
      </w:r>
      <w:r>
        <w:rPr>
          <w:rFonts w:hint="eastAsia" w:ascii="宋体" w:hAnsi="宋体" w:cs="宋体"/>
          <w:szCs w:val="21"/>
        </w:rPr>
        <w:t xml:space="preserve"> 上述技术参数条款有“▲”标志的为采购人实质性需求，未响应的按无效标处理。</w:t>
      </w:r>
      <w:r>
        <w:rPr>
          <w:rFonts w:hint="eastAsia"/>
          <w:lang w:eastAsia="zh-CN"/>
        </w:rPr>
        <w:tab/>
      </w:r>
    </w:p>
    <w:p>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cs="宋体"/>
          <w:szCs w:val="21"/>
          <w:lang w:val="en-US" w:eastAsia="zh-CN"/>
        </w:rPr>
      </w:pPr>
      <w:r>
        <w:rPr>
          <w:rFonts w:hint="eastAsia" w:ascii="宋体" w:hAnsi="宋体" w:cs="宋体"/>
          <w:szCs w:val="21"/>
          <w:lang w:val="en-US" w:eastAsia="zh-CN"/>
        </w:rPr>
        <w:t>③ 本次采购针对无人机等电子飞行设备进行反制，中标方需在质保期内针对市场无人机品牌的升级和更新无偿地、迅速地做出对应的更新和调整，以保证产品在质保期内处于有效的运行状态，能最大程度上的发挥产品的使用效果。</w:t>
      </w:r>
    </w:p>
    <w:p>
      <w:pPr>
        <w:pStyle w:val="37"/>
        <w:widowControl/>
        <w:spacing w:line="360" w:lineRule="auto"/>
        <w:ind w:firstLine="0" w:firstLineChars="0"/>
        <w:jc w:val="left"/>
        <w:rPr>
          <w:rFonts w:ascii="宋体" w:hAnsi="宋体" w:cs="宋体"/>
          <w:szCs w:val="21"/>
        </w:rPr>
      </w:pPr>
      <w:r>
        <w:rPr>
          <w:rFonts w:hint="eastAsia" w:ascii="宋体" w:hAnsi="宋体" w:cs="宋体"/>
          <w:szCs w:val="21"/>
          <w:lang w:val="en-US" w:eastAsia="zh-CN"/>
        </w:rPr>
        <w:t>④</w:t>
      </w:r>
      <w:r>
        <w:rPr>
          <w:rFonts w:hint="eastAsia" w:ascii="宋体" w:hAnsi="宋体" w:cs="宋体"/>
          <w:szCs w:val="21"/>
        </w:rPr>
        <w:t xml:space="preserve"> 成交供应商供货时应向采购人提供产品使用说明书、保修卡等必要的有关资料，产品须符合行业质量认证，具有出厂合格证明。</w:t>
      </w:r>
    </w:p>
    <w:p>
      <w:pPr>
        <w:pStyle w:val="37"/>
        <w:widowControl/>
        <w:spacing w:line="360" w:lineRule="auto"/>
        <w:ind w:firstLine="0" w:firstLineChars="0"/>
        <w:jc w:val="left"/>
        <w:rPr>
          <w:rFonts w:ascii="宋体" w:hAnsi="宋体" w:cs="宋体"/>
          <w:szCs w:val="21"/>
        </w:rPr>
      </w:pPr>
      <w:r>
        <w:rPr>
          <w:rFonts w:hint="eastAsia" w:ascii="宋体" w:hAnsi="宋体" w:cs="宋体"/>
          <w:szCs w:val="21"/>
          <w:lang w:val="en-US" w:eastAsia="zh-CN"/>
        </w:rPr>
        <w:t>⑤</w:t>
      </w:r>
      <w:r>
        <w:rPr>
          <w:rFonts w:hint="eastAsia" w:ascii="宋体" w:hAnsi="宋体" w:cs="宋体"/>
          <w:szCs w:val="21"/>
        </w:rPr>
        <w:t xml:space="preserve"> 成交供应商须于合同签订时提供相关产品检测报告原件及需提供售后服务证明原件核查。</w:t>
      </w:r>
    </w:p>
    <w:p>
      <w:pPr>
        <w:widowControl/>
        <w:spacing w:line="360" w:lineRule="auto"/>
        <w:jc w:val="left"/>
        <w:rPr>
          <w:rFonts w:ascii="宋体" w:hAnsi="宋体" w:cs="宋体"/>
          <w:szCs w:val="21"/>
        </w:rPr>
      </w:pPr>
      <w:r>
        <w:rPr>
          <w:rFonts w:hint="eastAsia"/>
          <w:b/>
          <w:bCs/>
          <w:lang w:val="en-US" w:eastAsia="zh-CN"/>
        </w:rPr>
        <w:t>9</w:t>
      </w:r>
      <w:r>
        <w:rPr>
          <w:rFonts w:hint="eastAsia"/>
          <w:b/>
          <w:bCs/>
        </w:rPr>
        <w:t>、供货要求</w:t>
      </w:r>
      <w:r>
        <w:rPr>
          <w:rFonts w:hint="eastAsia" w:ascii="宋体" w:hAnsi="宋体" w:cs="宋体"/>
          <w:szCs w:val="21"/>
        </w:rPr>
        <w:t>：</w:t>
      </w:r>
    </w:p>
    <w:p>
      <w:pPr>
        <w:widowControl/>
        <w:spacing w:line="360" w:lineRule="auto"/>
        <w:jc w:val="left"/>
        <w:rPr>
          <w:rFonts w:ascii="宋体" w:hAnsi="宋体" w:cs="宋体"/>
          <w:szCs w:val="21"/>
        </w:rPr>
      </w:pPr>
      <w:r>
        <w:rPr>
          <w:rFonts w:hint="eastAsia" w:ascii="宋体" w:hAnsi="宋体" w:cs="宋体"/>
          <w:szCs w:val="21"/>
        </w:rPr>
        <w:t>① 供货地点：按采购人要求供货安装。</w:t>
      </w:r>
    </w:p>
    <w:p>
      <w:pPr>
        <w:widowControl/>
        <w:spacing w:line="360" w:lineRule="auto"/>
        <w:jc w:val="left"/>
        <w:rPr>
          <w:rFonts w:ascii="宋体" w:hAnsi="宋体" w:cs="宋体"/>
          <w:szCs w:val="21"/>
        </w:rPr>
      </w:pPr>
      <w:r>
        <w:rPr>
          <w:rFonts w:hint="eastAsia" w:ascii="宋体" w:hAnsi="宋体" w:cs="宋体"/>
          <w:szCs w:val="21"/>
        </w:rPr>
        <w:t>② 供货时间：</w:t>
      </w:r>
      <w:r>
        <w:rPr>
          <w:rFonts w:hint="eastAsia" w:ascii="宋体" w:hAnsi="宋体" w:cs="宋体"/>
          <w:szCs w:val="21"/>
          <w:lang w:val="en-US" w:eastAsia="zh-CN"/>
        </w:rPr>
        <w:t>采购</w:t>
      </w:r>
      <w:r>
        <w:rPr>
          <w:rFonts w:hint="eastAsia" w:ascii="宋体" w:hAnsi="宋体" w:cs="宋体"/>
          <w:szCs w:val="21"/>
        </w:rPr>
        <w:t>人发出采购要求后</w:t>
      </w:r>
      <w:r>
        <w:rPr>
          <w:rFonts w:hint="eastAsia" w:ascii="宋体" w:hAnsi="宋体" w:cs="宋体"/>
          <w:szCs w:val="21"/>
          <w:lang w:val="en-US" w:eastAsia="zh-CN"/>
        </w:rPr>
        <w:t>1</w:t>
      </w:r>
      <w:r>
        <w:rPr>
          <w:rFonts w:hint="eastAsia" w:ascii="宋体" w:hAnsi="宋体" w:cs="宋体"/>
          <w:szCs w:val="21"/>
        </w:rPr>
        <w:t>5</w:t>
      </w:r>
      <w:r>
        <w:rPr>
          <w:rFonts w:hint="eastAsia" w:ascii="宋体" w:hAnsi="宋体" w:cs="宋体"/>
          <w:szCs w:val="21"/>
          <w:lang w:val="en-US" w:eastAsia="zh-CN"/>
        </w:rPr>
        <w:t>日历天</w:t>
      </w:r>
      <w:r>
        <w:rPr>
          <w:rFonts w:hint="eastAsia" w:ascii="宋体" w:hAnsi="宋体" w:cs="宋体"/>
          <w:szCs w:val="21"/>
        </w:rPr>
        <w:t>内交付</w:t>
      </w:r>
      <w:r>
        <w:rPr>
          <w:rFonts w:hint="eastAsia" w:ascii="宋体" w:hAnsi="宋体" w:cs="宋体"/>
          <w:szCs w:val="21"/>
          <w:lang w:val="en-US" w:eastAsia="zh-CN"/>
        </w:rPr>
        <w:t>核心产品</w:t>
      </w:r>
      <w:r>
        <w:rPr>
          <w:rFonts w:hint="eastAsia" w:ascii="宋体" w:hAnsi="宋体" w:cs="宋体"/>
          <w:szCs w:val="21"/>
        </w:rPr>
        <w:t>并通过验收</w:t>
      </w:r>
      <w:r>
        <w:rPr>
          <w:rFonts w:hint="eastAsia" w:ascii="宋体" w:hAnsi="宋体" w:cs="宋体"/>
          <w:szCs w:val="21"/>
          <w:lang w:eastAsia="zh-CN"/>
        </w:rPr>
        <w:t>，</w:t>
      </w:r>
      <w:r>
        <w:rPr>
          <w:rFonts w:hint="eastAsia" w:ascii="宋体" w:hAnsi="宋体" w:cs="宋体"/>
          <w:szCs w:val="21"/>
          <w:lang w:val="en-US" w:eastAsia="zh-CN"/>
        </w:rPr>
        <w:t>30日历天内交付剩余全部产品并完成验收</w:t>
      </w:r>
      <w:r>
        <w:rPr>
          <w:rFonts w:hint="eastAsia" w:ascii="宋体" w:hAnsi="宋体" w:cs="宋体"/>
          <w:szCs w:val="21"/>
        </w:rPr>
        <w:t>。</w:t>
      </w:r>
    </w:p>
    <w:p>
      <w:pPr>
        <w:widowControl/>
        <w:spacing w:line="360" w:lineRule="auto"/>
        <w:jc w:val="left"/>
        <w:rPr>
          <w:rFonts w:ascii="宋体" w:hAnsi="宋体" w:cs="宋体"/>
          <w:szCs w:val="21"/>
        </w:rPr>
      </w:pPr>
      <w:r>
        <w:rPr>
          <w:rFonts w:hint="eastAsia" w:ascii="宋体" w:hAnsi="宋体" w:cs="宋体"/>
          <w:szCs w:val="21"/>
        </w:rPr>
        <w:t>③ 产品到达现场后，成交供应商必须派员到现场与采购人一起开箱检验，按供货清单验收,若有缺少或损坏，成交供应商应立即补足或更换全新同规格产品，并承担相关费用直至使采购人满意为止。</w:t>
      </w:r>
    </w:p>
    <w:p>
      <w:pPr>
        <w:widowControl/>
        <w:spacing w:line="360" w:lineRule="auto"/>
        <w:jc w:val="left"/>
        <w:rPr>
          <w:rFonts w:ascii="宋体" w:hAnsi="宋体" w:cs="宋体"/>
          <w:szCs w:val="21"/>
        </w:rPr>
      </w:pPr>
      <w:r>
        <w:rPr>
          <w:rFonts w:hint="eastAsia" w:ascii="宋体" w:hAnsi="宋体" w:cs="宋体"/>
          <w:szCs w:val="21"/>
        </w:rPr>
        <w:t>④ 产品经过采购人验收（或存在的故障和隐患均已全部排除或解决），并经检验合格，所有的技术资料已向采购人提交，验收视为合格，双方签署验收合格证书。若因成交供应商产品存在质量问题导致验收不合格，成交供应商应及时予以处理，若因成交供应商产品质量问题导致产品始终不能验收合格，采购人有权选择退货，期间发生的一切相关费用由供应商承担，并保留向成交供应商索赔的权利。</w:t>
      </w:r>
    </w:p>
    <w:p>
      <w:pPr>
        <w:widowControl/>
        <w:spacing w:line="360" w:lineRule="auto"/>
        <w:jc w:val="left"/>
        <w:rPr>
          <w:rFonts w:hint="eastAsia" w:ascii="宋体" w:hAnsi="宋体" w:cs="宋体"/>
          <w:szCs w:val="21"/>
          <w:lang w:eastAsia="zh-CN"/>
        </w:rPr>
      </w:pPr>
      <w:r>
        <w:rPr>
          <w:rFonts w:hint="eastAsia" w:ascii="宋体" w:hAnsi="宋体" w:cs="宋体"/>
          <w:szCs w:val="21"/>
        </w:rPr>
        <w:t>⑤ 所供货物不得以次充好，不得将不合格品参杂其中</w:t>
      </w:r>
      <w:r>
        <w:rPr>
          <w:rFonts w:hint="eastAsia" w:ascii="宋体" w:hAnsi="宋体" w:cs="宋体"/>
          <w:szCs w:val="21"/>
          <w:lang w:eastAsia="zh-CN"/>
        </w:rPr>
        <w:t>，</w:t>
      </w:r>
      <w:r>
        <w:rPr>
          <w:rFonts w:hint="eastAsia" w:ascii="宋体" w:hAnsi="宋体" w:cs="宋体"/>
          <w:szCs w:val="21"/>
        </w:rPr>
        <w:t>一经发现，取消其供货资格</w:t>
      </w:r>
      <w:r>
        <w:rPr>
          <w:rFonts w:hint="eastAsia" w:ascii="宋体" w:hAnsi="宋体" w:cs="宋体"/>
          <w:szCs w:val="21"/>
          <w:lang w:eastAsia="zh-CN"/>
        </w:rPr>
        <w:t>。</w:t>
      </w:r>
    </w:p>
    <w:p>
      <w:pPr>
        <w:widowControl/>
        <w:spacing w:line="360" w:lineRule="auto"/>
        <w:jc w:val="left"/>
        <w:rPr>
          <w:rFonts w:ascii="宋体" w:hAnsi="宋体" w:cs="宋体"/>
          <w:b/>
          <w:bCs/>
          <w:szCs w:val="21"/>
        </w:rPr>
      </w:pPr>
      <w:r>
        <w:rPr>
          <w:rFonts w:hint="eastAsia" w:ascii="宋体" w:hAnsi="宋体" w:cs="宋体"/>
          <w:b/>
          <w:bCs/>
          <w:szCs w:val="21"/>
          <w:lang w:val="en-US" w:eastAsia="zh-CN"/>
        </w:rPr>
        <w:t>10</w:t>
      </w:r>
      <w:r>
        <w:rPr>
          <w:rFonts w:hint="eastAsia" w:ascii="宋体" w:hAnsi="宋体" w:cs="宋体"/>
          <w:b/>
          <w:bCs/>
          <w:szCs w:val="21"/>
        </w:rPr>
        <w:t>、产品质量保证和标准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① 免费质保期限: 所有</w:t>
      </w:r>
      <w:r>
        <w:rPr>
          <w:rFonts w:hint="eastAsia" w:ascii="宋体" w:hAnsi="宋体" w:cs="宋体"/>
          <w:szCs w:val="21"/>
          <w:lang w:val="en-US" w:eastAsia="zh-CN"/>
        </w:rPr>
        <w:t>核心产品</w:t>
      </w:r>
      <w:r>
        <w:rPr>
          <w:rFonts w:hint="eastAsia" w:ascii="宋体" w:hAnsi="宋体" w:cs="宋体"/>
          <w:szCs w:val="21"/>
        </w:rPr>
        <w:t>自验收合格之日起至少</w:t>
      </w:r>
      <w:r>
        <w:rPr>
          <w:rFonts w:hint="eastAsia" w:ascii="宋体" w:hAnsi="宋体" w:cs="宋体"/>
          <w:b/>
          <w:bCs/>
          <w:szCs w:val="21"/>
          <w:lang w:val="en-US" w:eastAsia="zh-CN"/>
        </w:rPr>
        <w:t>叁</w:t>
      </w:r>
      <w:r>
        <w:rPr>
          <w:rFonts w:hint="eastAsia" w:ascii="宋体" w:hAnsi="宋体" w:cs="宋体"/>
          <w:b/>
          <w:bCs/>
          <w:szCs w:val="21"/>
        </w:rPr>
        <w:t>年</w:t>
      </w:r>
      <w:r>
        <w:rPr>
          <w:rFonts w:hint="eastAsia" w:ascii="宋体" w:hAnsi="宋体" w:cs="宋体"/>
          <w:szCs w:val="21"/>
        </w:rPr>
        <w:t>。成交供应商或厂商本身承诺的免费质保期限高于磋商文件要求的则按照成交供应商或厂商承诺执行。质保期内本次采购的货物出现非人为因素破坏造成的损坏、故障，均由供应商负责维修与更换，维修或更换后达到使用要求效果。</w:t>
      </w:r>
    </w:p>
    <w:p>
      <w:pPr>
        <w:spacing w:line="360" w:lineRule="auto"/>
        <w:rPr>
          <w:rFonts w:ascii="宋体" w:hAnsi="宋体" w:cs="宋体"/>
          <w:szCs w:val="21"/>
        </w:rPr>
      </w:pPr>
      <w:r>
        <w:rPr>
          <w:rFonts w:hint="eastAsia" w:ascii="宋体" w:hAnsi="宋体" w:cs="宋体"/>
          <w:szCs w:val="21"/>
        </w:rPr>
        <w:t xml:space="preserve">② </w:t>
      </w:r>
      <w:r>
        <w:rPr>
          <w:rFonts w:hint="eastAsia" w:ascii="宋体" w:hAnsi="宋体" w:cs="宋体"/>
          <w:szCs w:val="21"/>
          <w:lang w:val="en-US" w:eastAsia="zh-CN"/>
        </w:rPr>
        <w:t>质保期内</w:t>
      </w:r>
      <w:r>
        <w:rPr>
          <w:rFonts w:hint="eastAsia" w:ascii="宋体" w:hAnsi="宋体" w:cs="宋体"/>
          <w:szCs w:val="21"/>
        </w:rPr>
        <w:t>出现故障后，</w:t>
      </w:r>
      <w:r>
        <w:rPr>
          <w:rFonts w:hint="eastAsia" w:ascii="宋体" w:hAnsi="宋体" w:cs="宋体"/>
          <w:szCs w:val="21"/>
          <w:lang w:val="en-US" w:eastAsia="zh-CN"/>
        </w:rPr>
        <w:t>成交供应商应当在接收到采购人要求的4小时之内，派专业的技术人员进行故障处理，</w:t>
      </w:r>
      <w:r>
        <w:rPr>
          <w:rFonts w:hint="eastAsia" w:ascii="宋体" w:hAnsi="宋体" w:cs="宋体"/>
          <w:szCs w:val="21"/>
        </w:rPr>
        <w:t>成交供应商如未按上述要求进行响应，招标人可以采取必要的补救措施，由此产生的风险和费用将由成交供应商承担。</w:t>
      </w:r>
    </w:p>
    <w:p>
      <w:pPr>
        <w:spacing w:line="360" w:lineRule="auto"/>
        <w:rPr>
          <w:rFonts w:ascii="宋体" w:hAnsi="宋体" w:cs="宋体"/>
          <w:szCs w:val="21"/>
        </w:rPr>
      </w:pPr>
      <w:r>
        <w:rPr>
          <w:rFonts w:hint="eastAsia" w:ascii="宋体" w:hAnsi="宋体" w:cs="宋体"/>
          <w:szCs w:val="21"/>
        </w:rPr>
        <w:t>③ 产品的设计及制造质量均应符合国家（或国际）最新颁布的有关标准/规范要求。</w:t>
      </w:r>
    </w:p>
    <w:p>
      <w:pPr>
        <w:spacing w:line="360" w:lineRule="auto"/>
        <w:rPr>
          <w:rFonts w:ascii="宋体" w:hAnsi="宋体" w:cs="宋体"/>
          <w:szCs w:val="21"/>
        </w:rPr>
      </w:pPr>
      <w:r>
        <w:rPr>
          <w:rFonts w:hint="eastAsia" w:ascii="宋体" w:hAnsi="宋体" w:cs="宋体"/>
          <w:szCs w:val="21"/>
        </w:rPr>
        <w:t>④ 技术标准按国家最新颁布的标准及采购人认可的国际标准。</w:t>
      </w:r>
    </w:p>
    <w:p>
      <w:pPr>
        <w:spacing w:line="360" w:lineRule="auto"/>
        <w:rPr>
          <w:rFonts w:ascii="宋体" w:hAnsi="宋体" w:cs="宋体"/>
          <w:szCs w:val="21"/>
        </w:rPr>
      </w:pPr>
      <w:r>
        <w:rPr>
          <w:rFonts w:hint="eastAsia" w:ascii="宋体" w:hAnsi="宋体" w:cs="宋体"/>
          <w:szCs w:val="21"/>
        </w:rPr>
        <w:t>⑤ 凡需国家强制性认证或认可的产品、需提供相应的证书和认可的标志。</w:t>
      </w:r>
    </w:p>
    <w:p>
      <w:pPr>
        <w:spacing w:line="360" w:lineRule="auto"/>
        <w:rPr>
          <w:rFonts w:hint="default" w:ascii="宋体" w:hAnsi="宋体" w:cs="宋体" w:eastAsiaTheme="minorEastAsia"/>
          <w:szCs w:val="21"/>
          <w:lang w:val="en-US" w:eastAsia="zh-CN"/>
        </w:rPr>
      </w:pPr>
      <w:r>
        <w:rPr>
          <w:rFonts w:hint="eastAsia" w:ascii="宋体" w:hAnsi="宋体" w:cs="宋体"/>
          <w:szCs w:val="21"/>
          <w:lang w:val="en-US" w:eastAsia="zh-CN"/>
        </w:rPr>
        <w:t>⑥ 中标供应商需提供不少于半年一次的上门维保检修服务。</w:t>
      </w:r>
    </w:p>
    <w:p>
      <w:pPr>
        <w:spacing w:line="360" w:lineRule="auto"/>
        <w:rPr>
          <w:rFonts w:ascii="宋体" w:hAnsi="宋体" w:cs="宋体"/>
          <w:color w:val="FF0000"/>
          <w:szCs w:val="21"/>
        </w:rPr>
      </w:pPr>
      <w:r>
        <w:rPr>
          <w:rFonts w:hint="eastAsia" w:ascii="宋体" w:hAnsi="宋体" w:cs="宋体"/>
          <w:szCs w:val="21"/>
          <w:lang w:val="en-US" w:eastAsia="zh-CN"/>
        </w:rPr>
        <w:t>⑦</w:t>
      </w:r>
      <w:r>
        <w:rPr>
          <w:rFonts w:hint="eastAsia" w:ascii="宋体" w:hAnsi="宋体" w:cs="宋体"/>
          <w:szCs w:val="21"/>
        </w:rPr>
        <w:t xml:space="preserve"> 磋商供应商的磋商响应文件应该真实、全面、完整。包括设备功能说明、性能指标及设备选型说明（质量、性能、价格、外观、体积等方面进行比较和选择的理由和过程），明确设备、材料的具体品牌、型号和数量，符合磋商文件的要求。</w:t>
      </w:r>
    </w:p>
    <w:p>
      <w:pPr>
        <w:spacing w:line="360" w:lineRule="auto"/>
        <w:rPr>
          <w:b/>
          <w:bCs/>
        </w:rPr>
      </w:pPr>
      <w:r>
        <w:rPr>
          <w:rFonts w:hint="eastAsia"/>
          <w:b/>
          <w:bCs/>
        </w:rPr>
        <w:t>1</w:t>
      </w:r>
      <w:r>
        <w:rPr>
          <w:rFonts w:hint="eastAsia"/>
          <w:b/>
          <w:bCs/>
          <w:lang w:val="en-US" w:eastAsia="zh-CN"/>
        </w:rPr>
        <w:t>1</w:t>
      </w:r>
      <w:r>
        <w:rPr>
          <w:rFonts w:hint="eastAsia"/>
          <w:b/>
          <w:bCs/>
        </w:rPr>
        <w:t>、报价要求：</w:t>
      </w:r>
    </w:p>
    <w:p>
      <w:pPr>
        <w:tabs>
          <w:tab w:val="left" w:pos="0"/>
        </w:tabs>
        <w:spacing w:line="360" w:lineRule="auto"/>
        <w:rPr>
          <w:rFonts w:ascii="Arial" w:hAnsi="Arial" w:cs="Arial"/>
          <w:b/>
          <w:bCs/>
          <w:szCs w:val="21"/>
        </w:rPr>
      </w:pPr>
      <w:bookmarkStart w:id="327" w:name="_Toc24566486"/>
      <w:bookmarkStart w:id="328" w:name="_Toc8307827"/>
      <w:bookmarkStart w:id="329" w:name="_Toc8137078"/>
      <w:bookmarkStart w:id="330" w:name="_Toc14794659"/>
      <w:bookmarkStart w:id="331" w:name="_Toc5287496"/>
      <w:bookmarkStart w:id="332" w:name="_Toc17993010"/>
      <w:bookmarkStart w:id="333" w:name="_Toc22909737"/>
      <w:bookmarkStart w:id="334" w:name="_Toc25227851"/>
      <w:bookmarkStart w:id="335" w:name="_Toc14937301"/>
      <w:bookmarkStart w:id="336" w:name="_Toc5624965"/>
      <w:bookmarkStart w:id="337" w:name="_Toc25241346"/>
      <w:bookmarkStart w:id="338" w:name="_Toc17975079"/>
      <w:bookmarkStart w:id="339" w:name="_Toc22808744"/>
      <w:r>
        <w:rPr>
          <w:rFonts w:hint="eastAsia" w:ascii="宋体" w:hAnsi="宋体"/>
          <w:bCs/>
          <w:szCs w:val="21"/>
        </w:rPr>
        <w:t>① 磋商供应商的报价应为承包完成本次采购需完成全部工作所发生的所有费用，并承担一切风险责任。包括本次项目实施所需的采购、供货、轮换、备品备件、包装、落款喷漆、运输、装卸、</w:t>
      </w:r>
      <w:r>
        <w:rPr>
          <w:rFonts w:hint="eastAsia" w:ascii="宋体" w:hAnsi="宋体"/>
          <w:bCs/>
          <w:szCs w:val="21"/>
          <w:lang w:val="en-US" w:eastAsia="zh-CN"/>
        </w:rPr>
        <w:t>平台接口费、</w:t>
      </w:r>
      <w:r>
        <w:rPr>
          <w:rFonts w:hint="eastAsia" w:ascii="宋体" w:hAnsi="宋体"/>
          <w:bCs/>
          <w:szCs w:val="21"/>
        </w:rPr>
        <w:t>保险、货到就位以及验收、质保期服务、利润和税金、政策性文件规定费用及合同包含的所有风险、责任等所有费用等一切费用。供应商应结合本项目特点，市场行情及磋商供应商自身的技术，管理水平，竞争能力，确定最终报价。</w:t>
      </w:r>
    </w:p>
    <w:bookmarkEnd w:id="327"/>
    <w:bookmarkEnd w:id="328"/>
    <w:bookmarkEnd w:id="329"/>
    <w:bookmarkEnd w:id="330"/>
    <w:bookmarkEnd w:id="331"/>
    <w:bookmarkEnd w:id="332"/>
    <w:bookmarkEnd w:id="333"/>
    <w:bookmarkEnd w:id="334"/>
    <w:bookmarkEnd w:id="335"/>
    <w:bookmarkEnd w:id="336"/>
    <w:bookmarkEnd w:id="337"/>
    <w:bookmarkEnd w:id="338"/>
    <w:bookmarkEnd w:id="339"/>
    <w:p>
      <w:pPr>
        <w:tabs>
          <w:tab w:val="left" w:pos="0"/>
        </w:tabs>
        <w:spacing w:line="360" w:lineRule="auto"/>
        <w:rPr>
          <w:rFonts w:hint="eastAsia" w:ascii="宋体" w:hAnsi="宋体" w:cs="宋体"/>
          <w:b/>
          <w:bCs/>
          <w:szCs w:val="21"/>
        </w:rPr>
      </w:pPr>
      <w:bookmarkStart w:id="340" w:name="_Toc510529065"/>
      <w:bookmarkStart w:id="341" w:name="_Toc521678977"/>
      <w:bookmarkStart w:id="342" w:name="_Toc17975082"/>
      <w:bookmarkStart w:id="343" w:name="_Toc22909739"/>
      <w:bookmarkStart w:id="344" w:name="_Toc8307829"/>
      <w:bookmarkStart w:id="345" w:name="_Toc14794661"/>
      <w:bookmarkStart w:id="346" w:name="_Toc14937304"/>
      <w:bookmarkStart w:id="347" w:name="_Toc8137080"/>
      <w:bookmarkStart w:id="348" w:name="_Toc10212"/>
      <w:bookmarkStart w:id="349" w:name="_Toc24566488"/>
      <w:bookmarkStart w:id="350" w:name="_Toc496166829"/>
      <w:bookmarkStart w:id="351" w:name="_Toc496078336"/>
      <w:bookmarkStart w:id="352" w:name="_Toc17993013"/>
      <w:bookmarkStart w:id="353" w:name="_Toc22808746"/>
      <w:bookmarkStart w:id="354" w:name="_Toc5287498"/>
      <w:bookmarkStart w:id="355" w:name="_Toc521679028"/>
      <w:bookmarkStart w:id="356" w:name="_Toc25227853"/>
      <w:bookmarkStart w:id="357" w:name="_Toc5624967"/>
      <w:bookmarkStart w:id="358" w:name="_Toc496163886"/>
      <w:bookmarkStart w:id="359" w:name="_Toc12928"/>
      <w:bookmarkStart w:id="360" w:name="_Toc18411"/>
      <w:bookmarkStart w:id="361" w:name="_Toc25241348"/>
      <w:bookmarkStart w:id="362" w:name="_Toc41642974"/>
      <w:bookmarkStart w:id="363" w:name="_Toc1250"/>
      <w:bookmarkStart w:id="364" w:name="_Toc44229567"/>
      <w:bookmarkStart w:id="365" w:name="_Toc24455"/>
      <w:bookmarkStart w:id="366" w:name="_Toc37146124"/>
      <w:bookmarkStart w:id="367" w:name="_Toc26588"/>
      <w:bookmarkStart w:id="368" w:name="_Toc521679147"/>
      <w:bookmarkStart w:id="369" w:name="_Toc9647"/>
      <w:bookmarkStart w:id="370" w:name="_Toc44256596"/>
      <w:r>
        <w:rPr>
          <w:rFonts w:hint="eastAsia" w:ascii="宋体" w:hAnsi="宋体" w:cs="宋体"/>
          <w:b w:val="0"/>
          <w:bCs w:val="0"/>
          <w:szCs w:val="21"/>
          <w:lang w:val="en-US" w:eastAsia="zh-CN"/>
        </w:rPr>
        <w:t xml:space="preserve">② </w:t>
      </w:r>
      <w:r>
        <w:rPr>
          <w:rFonts w:hint="eastAsia" w:ascii="宋体" w:hAnsi="宋体" w:cs="宋体"/>
          <w:b w:val="0"/>
          <w:bCs w:val="0"/>
          <w:szCs w:val="21"/>
        </w:rPr>
        <w:t>投标报价不仅应包括招标文件提供的技术条款上所标明的，还应包括任何未明确标出的，但全套货物安装后保证正常安全运行所不可缺少的配件及附件的全部费用。其中全部材料应说明名称、型号、数量、单价、总价、产地、厂商等。投标人按要求应列入而未列入材料清单的货物及材料，均认为已含在其货物材料清单中。</w:t>
      </w:r>
    </w:p>
    <w:p>
      <w:pPr>
        <w:tabs>
          <w:tab w:val="left" w:pos="0"/>
        </w:tabs>
        <w:spacing w:line="360" w:lineRule="auto"/>
        <w:rPr>
          <w:rFonts w:hint="eastAsia" w:ascii="宋体" w:hAnsi="宋体" w:cs="宋体"/>
          <w:b/>
          <w:bCs/>
          <w:szCs w:val="21"/>
          <w:lang w:eastAsia="zh-CN"/>
        </w:rPr>
      </w:pPr>
      <w:r>
        <w:rPr>
          <w:rFonts w:hint="eastAsia" w:ascii="宋体" w:hAnsi="宋体" w:cs="宋体"/>
          <w:b w:val="0"/>
          <w:bCs w:val="0"/>
          <w:szCs w:val="21"/>
          <w:lang w:val="en-US" w:eastAsia="zh-CN"/>
        </w:rPr>
        <w:t>③</w:t>
      </w:r>
      <w:r>
        <w:rPr>
          <w:rFonts w:hint="eastAsia" w:ascii="宋体" w:hAnsi="宋体" w:cs="宋体"/>
          <w:b w:val="0"/>
          <w:bCs w:val="0"/>
          <w:szCs w:val="21"/>
        </w:rPr>
        <w:t xml:space="preserve"> 本次采购项目的采购人已设最高综合单价限价</w:t>
      </w:r>
      <w:r>
        <w:rPr>
          <w:rFonts w:hint="eastAsia" w:ascii="宋体" w:hAnsi="宋体" w:cs="宋体"/>
          <w:b w:val="0"/>
          <w:bCs w:val="0"/>
          <w:szCs w:val="21"/>
          <w:lang w:eastAsia="zh-CN"/>
        </w:rPr>
        <w:t>，</w:t>
      </w:r>
      <w:r>
        <w:rPr>
          <w:rFonts w:hint="eastAsia"/>
          <w:b w:val="0"/>
          <w:bCs w:val="0"/>
        </w:rPr>
        <w:t>报价超过最高</w:t>
      </w:r>
      <w:r>
        <w:rPr>
          <w:rFonts w:hint="eastAsia"/>
          <w:b w:val="0"/>
          <w:bCs w:val="0"/>
          <w:lang w:val="en-US" w:eastAsia="zh-CN"/>
        </w:rPr>
        <w:t>综合单价</w:t>
      </w:r>
      <w:r>
        <w:rPr>
          <w:rFonts w:hint="eastAsia"/>
          <w:b w:val="0"/>
          <w:bCs w:val="0"/>
        </w:rPr>
        <w:t>限价的</w:t>
      </w:r>
      <w:r>
        <w:rPr>
          <w:rFonts w:hint="eastAsia"/>
          <w:b w:val="0"/>
          <w:bCs w:val="0"/>
          <w:lang w:eastAsia="zh-CN"/>
        </w:rPr>
        <w:t>，</w:t>
      </w:r>
      <w:r>
        <w:rPr>
          <w:rFonts w:hint="eastAsia"/>
          <w:b w:val="0"/>
          <w:bCs w:val="0"/>
        </w:rPr>
        <w:t>其磋商响应文件按无效标处理</w:t>
      </w:r>
      <w:r>
        <w:rPr>
          <w:rFonts w:hint="eastAsia" w:ascii="宋体" w:hAnsi="宋体" w:cs="宋体"/>
          <w:b w:val="0"/>
          <w:bCs w:val="0"/>
          <w:szCs w:val="21"/>
          <w:lang w:eastAsia="zh-CN"/>
        </w:rPr>
        <w:t>。</w:t>
      </w:r>
    </w:p>
    <w:p>
      <w:pPr>
        <w:bidi w:val="0"/>
        <w:spacing w:line="360" w:lineRule="auto"/>
        <w:rPr>
          <w:rFonts w:hint="default"/>
          <w:lang w:val="en-US" w:eastAsia="zh-CN"/>
        </w:rPr>
      </w:pPr>
      <w:r>
        <w:rPr>
          <w:rFonts w:hint="eastAsia"/>
          <w:lang w:val="en-US" w:eastAsia="zh-CN"/>
        </w:rPr>
        <w:t>④ 结算以实际情况为准。</w:t>
      </w:r>
    </w:p>
    <w:p>
      <w:pPr>
        <w:spacing w:line="360" w:lineRule="auto"/>
        <w:rPr>
          <w:rFonts w:hint="default" w:eastAsiaTheme="minorEastAsia"/>
          <w:b/>
          <w:bCs/>
          <w:lang w:val="en-US" w:eastAsia="zh-CN"/>
        </w:rPr>
      </w:pPr>
      <w:r>
        <w:rPr>
          <w:rFonts w:hint="eastAsia"/>
          <w:b/>
          <w:bCs/>
          <w:lang w:val="en-US" w:eastAsia="zh-CN"/>
        </w:rPr>
        <w:t>12、设备的到货、安装、调试和验收、培训</w:t>
      </w:r>
    </w:p>
    <w:p>
      <w:pPr>
        <w:spacing w:line="360" w:lineRule="auto"/>
        <w:rPr>
          <w:rFonts w:hint="default" w:eastAsiaTheme="minorEastAsia"/>
          <w:b w:val="0"/>
          <w:bCs w:val="0"/>
          <w:lang w:val="en-US" w:eastAsia="zh-CN"/>
        </w:rPr>
      </w:pPr>
      <w:r>
        <w:rPr>
          <w:rFonts w:hint="eastAsia"/>
          <w:b w:val="0"/>
          <w:bCs w:val="0"/>
          <w:lang w:val="en-US" w:eastAsia="zh-CN"/>
        </w:rPr>
        <w:t xml:space="preserve">① </w:t>
      </w:r>
      <w:r>
        <w:rPr>
          <w:rFonts w:ascii="Arial" w:hAnsi="宋体" w:cs="Arial"/>
          <w:color w:val="auto"/>
          <w:highlight w:val="none"/>
        </w:rPr>
        <w:t>到货：成交供应商</w:t>
      </w:r>
      <w:r>
        <w:rPr>
          <w:rFonts w:ascii="Arial" w:hAnsi="宋体" w:cs="Arial"/>
          <w:color w:val="auto"/>
          <w:szCs w:val="21"/>
          <w:highlight w:val="none"/>
        </w:rPr>
        <w:t>须按招标人提供的资料和技术要求，完成采购货物的具体设计，提供采购货物的详细技术图纸（包括装配图）、产品样本等，送交招标人审核。按招标人认可的设计方案和材料进行加工、制造、供货。</w:t>
      </w:r>
      <w:r>
        <w:rPr>
          <w:rFonts w:ascii="Arial" w:hAnsi="宋体" w:cs="Arial"/>
          <w:color w:val="auto"/>
          <w:highlight w:val="none"/>
        </w:rPr>
        <w:t>设备到达现场后，成交供应商必须派人员到现场与招标人一起开箱检验，按供货清单验收</w:t>
      </w:r>
      <w:r>
        <w:rPr>
          <w:rFonts w:ascii="Arial" w:hAnsi="Arial" w:cs="Arial"/>
          <w:color w:val="auto"/>
          <w:highlight w:val="none"/>
        </w:rPr>
        <w:t>,</w:t>
      </w:r>
      <w:r>
        <w:rPr>
          <w:rFonts w:ascii="Arial" w:hAnsi="宋体" w:cs="Arial"/>
          <w:color w:val="auto"/>
          <w:highlight w:val="none"/>
        </w:rPr>
        <w:t>若有缺少或损坏，成交供应商应立即补足或更换全新同规格产品，并承担相关费用直至使招标人满意为止。</w:t>
      </w:r>
    </w:p>
    <w:p>
      <w:pPr>
        <w:spacing w:line="360" w:lineRule="auto"/>
        <w:rPr>
          <w:rFonts w:hint="default"/>
          <w:b w:val="0"/>
          <w:bCs w:val="0"/>
          <w:lang w:val="en-US" w:eastAsia="zh-CN"/>
        </w:rPr>
      </w:pPr>
      <w:r>
        <w:rPr>
          <w:rFonts w:hint="eastAsia"/>
          <w:b w:val="0"/>
          <w:bCs w:val="0"/>
          <w:lang w:val="en-US" w:eastAsia="zh-CN"/>
        </w:rPr>
        <w:t>② 调试：设备安装就位、校准后，成交供应商应按事先被招标人认可的调试验收计划对设备进行调试，并对设备所标注的各项技术指标进行测试，测试报告将在设备验收完毕后提交给招标人，但成交供应商应对测试的各种数据的真实性负责。招标人也可以要求具有检测资质的第三方用专用仪器设备进行功能 、性能测试，成交供应商负责测试和调试所需的一切费用，并负责解决在调试和试运行时出现的任何质量问题。并填写测试报告交由招标人存档。</w:t>
      </w:r>
    </w:p>
    <w:p>
      <w:pPr>
        <w:spacing w:line="360" w:lineRule="auto"/>
        <w:rPr>
          <w:rFonts w:hint="default"/>
          <w:b w:val="0"/>
          <w:bCs w:val="0"/>
          <w:lang w:val="en-US" w:eastAsia="zh-CN"/>
        </w:rPr>
      </w:pPr>
      <w:r>
        <w:rPr>
          <w:rFonts w:hint="eastAsia"/>
          <w:b w:val="0"/>
          <w:bCs w:val="0"/>
          <w:lang w:val="en-US" w:eastAsia="zh-CN"/>
        </w:rPr>
        <w:t>③ 验收：设备经过试运行考核无故障（或存在的故障和隐患均已全部排除或解决），并经有关部门检验合格，所有的技术资料和图纸已向招标人提交，验收视为合格，双方签署验收合格证书。 若因成交供应商产品质量或安装技术问题导致验收不合格，成交供应商应及时予以处理，直至验收合格，期间发生的一切相关费用由成交供应商承担，招标人保留向成交供应商索赔的权利。验收不合格，除要求更换不合格的产品（包括外购产品）外，还要负赔偿责任扣合同总价款的5%。</w:t>
      </w:r>
    </w:p>
    <w:p>
      <w:pPr>
        <w:spacing w:line="360" w:lineRule="auto"/>
        <w:rPr>
          <w:rFonts w:hint="eastAsia"/>
          <w:b w:val="0"/>
          <w:bCs w:val="0"/>
          <w:lang w:val="en-US" w:eastAsia="zh-CN"/>
        </w:rPr>
      </w:pPr>
      <w:r>
        <w:rPr>
          <w:rFonts w:hint="eastAsia"/>
          <w:b w:val="0"/>
          <w:bCs w:val="0"/>
          <w:lang w:val="en-US" w:eastAsia="zh-CN"/>
        </w:rPr>
        <w:t>④ 成交供应商在设备到货、安装、调试和验收期间应接受招标人的协调和管理，成交供应商应采取严格的安全措施，承担由于自身原因所造成的事故责任及其发生的一切费用。</w:t>
      </w:r>
    </w:p>
    <w:p>
      <w:pPr>
        <w:bidi w:val="0"/>
        <w:spacing w:line="360" w:lineRule="auto"/>
        <w:rPr>
          <w:rFonts w:hint="default"/>
          <w:lang w:val="en-US" w:eastAsia="zh-CN"/>
        </w:rPr>
      </w:pPr>
      <w:r>
        <w:rPr>
          <w:rFonts w:hint="eastAsia"/>
          <w:lang w:val="en-US" w:eastAsia="zh-CN"/>
        </w:rPr>
        <w:t>⑤ 成交供应商在验收完成后，需提供专业技术人员上门对该项目的产品使用者进行培训。</w:t>
      </w:r>
    </w:p>
    <w:p>
      <w:pPr>
        <w:spacing w:line="360" w:lineRule="auto"/>
        <w:rPr>
          <w:b/>
          <w:bCs/>
        </w:rPr>
      </w:pPr>
      <w:r>
        <w:rPr>
          <w:rFonts w:hint="eastAsia"/>
          <w:b/>
          <w:bCs/>
        </w:rPr>
        <w:t>1</w:t>
      </w:r>
      <w:r>
        <w:rPr>
          <w:rFonts w:hint="eastAsia"/>
          <w:b/>
          <w:bCs/>
          <w:lang w:val="en-US" w:eastAsia="zh-CN"/>
        </w:rPr>
        <w:t>3</w:t>
      </w:r>
      <w:r>
        <w:rPr>
          <w:rFonts w:hint="eastAsia"/>
          <w:b/>
          <w:bCs/>
        </w:rPr>
        <w:t>、付款方式</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360" w:lineRule="auto"/>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）预付款支付比例或金额：</w:t>
      </w:r>
      <w:r>
        <w:rPr>
          <w:rFonts w:hint="eastAsia"/>
        </w:rPr>
        <w:t>合同签订生效后7个工作日内，采购方支付合同金额的40%作为预付款（供应商明确表示无需预付款或者主动要求降低预付款比例的，采购单位可不适用前述规定）。</w:t>
      </w:r>
    </w:p>
    <w:p>
      <w:pPr>
        <w:spacing w:line="360" w:lineRule="auto"/>
      </w:pPr>
      <w:r>
        <w:rPr>
          <w:rFonts w:hint="eastAsia"/>
        </w:rPr>
        <w:t>（</w:t>
      </w:r>
      <w:r>
        <w:rPr>
          <w:rFonts w:hint="eastAsia"/>
          <w:lang w:val="en-US" w:eastAsia="zh-CN"/>
        </w:rPr>
        <w:t>2</w:t>
      </w:r>
      <w:r>
        <w:rPr>
          <w:rFonts w:hint="eastAsia"/>
        </w:rPr>
        <w:t>）成交供应商按合同规定时间将所有货物运到采购人指定地点，验收无误后支付全部合同金额，并扣回预付款。（对于满足合同支付约定条件的，成交供应商必须开具合同金额100%的正式税务发票。根据《浙江省财政厅关于进一步发挥政府采购政策功能全力推进经济稳进提质的通知》浙财采监〔2022〕3号。对于满足合同约定支付条件的，采购人自收到发票后7个工作日内将资金支付到合同约定的供应商账户。）（具体视财政资金到位情况为准）</w:t>
      </w:r>
    </w:p>
    <w:p>
      <w:pPr>
        <w:pStyle w:val="3"/>
        <w:keepNext w:val="0"/>
        <w:keepLines w:val="0"/>
        <w:pageBreakBefore/>
        <w:spacing w:before="312" w:beforeLines="100" w:after="312" w:afterLines="100" w:line="240" w:lineRule="auto"/>
        <w:jc w:val="center"/>
        <w:rPr>
          <w:rFonts w:hAnsi="宋体" w:cs="宋体"/>
          <w:b w:val="0"/>
          <w:sz w:val="28"/>
          <w:szCs w:val="36"/>
        </w:rPr>
      </w:pPr>
      <w:bookmarkStart w:id="371" w:name="_Toc28198"/>
      <w:r>
        <w:rPr>
          <w:rFonts w:hint="eastAsia" w:hAnsi="宋体" w:cs="宋体"/>
          <w:sz w:val="28"/>
          <w:szCs w:val="36"/>
        </w:rPr>
        <w:t>第四部分   合同条款</w:t>
      </w:r>
      <w:bookmarkEnd w:id="371"/>
    </w:p>
    <w:p>
      <w:pPr>
        <w:spacing w:line="360" w:lineRule="auto"/>
        <w:rPr>
          <w:rFonts w:ascii="宋体" w:hAnsi="宋体"/>
          <w:szCs w:val="21"/>
        </w:rPr>
      </w:pPr>
      <w:r>
        <w:rPr>
          <w:rFonts w:hint="eastAsia" w:ascii="宋体" w:hAnsi="宋体"/>
          <w:szCs w:val="21"/>
        </w:rPr>
        <w:t>采购人（甲方）：</w:t>
      </w:r>
    </w:p>
    <w:p>
      <w:pPr>
        <w:spacing w:line="360" w:lineRule="auto"/>
        <w:rPr>
          <w:rFonts w:ascii="宋体" w:hAnsi="宋体"/>
          <w:szCs w:val="21"/>
        </w:rPr>
      </w:pPr>
      <w:r>
        <w:rPr>
          <w:rFonts w:hint="eastAsia" w:ascii="宋体" w:hAnsi="宋体"/>
          <w:szCs w:val="21"/>
        </w:rPr>
        <w:t>成交供应商（乙方）：</w:t>
      </w:r>
    </w:p>
    <w:p>
      <w:pPr>
        <w:spacing w:line="360" w:lineRule="auto"/>
        <w:ind w:firstLine="420" w:firstLineChars="200"/>
        <w:rPr>
          <w:rFonts w:ascii="宋体" w:hAnsi="宋体"/>
          <w:szCs w:val="21"/>
        </w:rPr>
      </w:pPr>
      <w:r>
        <w:rPr>
          <w:rFonts w:hint="eastAsia" w:ascii="宋体" w:hAnsi="宋体"/>
          <w:szCs w:val="21"/>
        </w:rPr>
        <w:t>双方经协商，就乙方向甲方提供本公司产品以及相关产品的伴随服务事宜达成以下条款：</w:t>
      </w:r>
    </w:p>
    <w:p>
      <w:pPr>
        <w:spacing w:line="360" w:lineRule="auto"/>
        <w:rPr>
          <w:rFonts w:ascii="宋体" w:hAnsi="宋体"/>
          <w:szCs w:val="21"/>
        </w:rPr>
      </w:pPr>
      <w:r>
        <w:rPr>
          <w:rFonts w:hint="eastAsia" w:ascii="宋体" w:hAnsi="宋体"/>
          <w:b/>
          <w:bCs/>
          <w:szCs w:val="21"/>
        </w:rPr>
        <w:t>第一条</w:t>
      </w:r>
      <w:r>
        <w:rPr>
          <w:rFonts w:hint="eastAsia" w:ascii="宋体" w:hAnsi="宋体"/>
          <w:b/>
          <w:bCs/>
          <w:szCs w:val="21"/>
          <w:lang w:val="en-US" w:eastAsia="zh-CN"/>
        </w:rPr>
        <w:t xml:space="preserve">  </w:t>
      </w:r>
      <w:r>
        <w:rPr>
          <w:rFonts w:hint="eastAsia" w:ascii="宋体" w:hAnsi="宋体"/>
          <w:b/>
          <w:bCs/>
          <w:szCs w:val="21"/>
        </w:rPr>
        <w:t>采购商品清单及合同价格</w:t>
      </w:r>
    </w:p>
    <w:tbl>
      <w:tblPr>
        <w:tblStyle w:val="22"/>
        <w:tblpPr w:leftFromText="180" w:rightFromText="180" w:vertAnchor="text" w:horzAnchor="page" w:tblpXSpec="center" w:tblpY="462"/>
        <w:tblOverlap w:val="never"/>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148"/>
        <w:gridCol w:w="897"/>
        <w:gridCol w:w="1357"/>
        <w:gridCol w:w="173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7" w:type="dxa"/>
            <w:vAlign w:val="center"/>
          </w:tcPr>
          <w:p>
            <w:pPr>
              <w:bidi w:val="0"/>
              <w:jc w:val="center"/>
              <w:rPr>
                <w:rFonts w:ascii="宋体" w:hAnsi="宋体" w:cs="宋体"/>
                <w:b/>
                <w:bCs/>
                <w:szCs w:val="21"/>
              </w:rPr>
            </w:pPr>
            <w:r>
              <w:rPr>
                <w:rFonts w:hint="eastAsia"/>
                <w:b/>
                <w:bCs/>
              </w:rPr>
              <w:t>序号</w:t>
            </w:r>
          </w:p>
        </w:tc>
        <w:tc>
          <w:tcPr>
            <w:tcW w:w="3148" w:type="dxa"/>
            <w:vAlign w:val="center"/>
          </w:tcPr>
          <w:p>
            <w:pPr>
              <w:bidi w:val="0"/>
              <w:jc w:val="center"/>
              <w:rPr>
                <w:rFonts w:ascii="宋体" w:hAnsi="宋体" w:cs="宋体"/>
                <w:b/>
                <w:bCs/>
                <w:szCs w:val="21"/>
              </w:rPr>
            </w:pPr>
            <w:r>
              <w:rPr>
                <w:rFonts w:hint="eastAsia"/>
                <w:b/>
                <w:bCs/>
              </w:rPr>
              <w:t>产品名称</w:t>
            </w:r>
          </w:p>
        </w:tc>
        <w:tc>
          <w:tcPr>
            <w:tcW w:w="897" w:type="dxa"/>
            <w:vAlign w:val="center"/>
          </w:tcPr>
          <w:p>
            <w:pPr>
              <w:bidi w:val="0"/>
              <w:jc w:val="center"/>
              <w:rPr>
                <w:rFonts w:ascii="宋体" w:hAnsi="宋体" w:cs="宋体"/>
                <w:b/>
                <w:bCs/>
                <w:szCs w:val="21"/>
              </w:rPr>
            </w:pPr>
            <w:r>
              <w:rPr>
                <w:rFonts w:hint="eastAsia"/>
                <w:b/>
                <w:bCs/>
              </w:rPr>
              <w:t>单位</w:t>
            </w:r>
          </w:p>
        </w:tc>
        <w:tc>
          <w:tcPr>
            <w:tcW w:w="1357" w:type="dxa"/>
            <w:vAlign w:val="center"/>
          </w:tcPr>
          <w:p>
            <w:pPr>
              <w:bidi w:val="0"/>
              <w:jc w:val="center"/>
              <w:rPr>
                <w:rFonts w:hint="eastAsia" w:eastAsiaTheme="minorEastAsia"/>
                <w:b/>
                <w:bCs/>
                <w:lang w:val="en-US" w:eastAsia="zh-CN"/>
              </w:rPr>
            </w:pPr>
            <w:r>
              <w:rPr>
                <w:rFonts w:hint="eastAsia"/>
                <w:b/>
                <w:bCs/>
                <w:lang w:val="en-US" w:eastAsia="zh-CN"/>
              </w:rPr>
              <w:t>数量</w:t>
            </w:r>
          </w:p>
        </w:tc>
        <w:tc>
          <w:tcPr>
            <w:tcW w:w="1738" w:type="dxa"/>
            <w:vAlign w:val="center"/>
          </w:tcPr>
          <w:p>
            <w:pPr>
              <w:spacing w:line="360" w:lineRule="exact"/>
              <w:jc w:val="center"/>
              <w:rPr>
                <w:rFonts w:hint="default" w:ascii="宋体" w:hAnsi="宋体" w:cs="宋体" w:eastAsiaTheme="minorEastAsia"/>
                <w:b/>
                <w:bCs/>
                <w:szCs w:val="21"/>
                <w:lang w:val="en-US" w:eastAsia="zh-CN"/>
              </w:rPr>
            </w:pPr>
            <w:r>
              <w:rPr>
                <w:rFonts w:hint="eastAsia" w:ascii="宋体" w:hAnsi="宋体" w:cs="宋体"/>
                <w:b/>
                <w:bCs/>
                <w:szCs w:val="21"/>
                <w:lang w:val="en-US" w:eastAsia="zh-CN"/>
              </w:rPr>
              <w:t>产品型号、规格</w:t>
            </w:r>
          </w:p>
        </w:tc>
        <w:tc>
          <w:tcPr>
            <w:tcW w:w="1500" w:type="dxa"/>
            <w:vAlign w:val="center"/>
          </w:tcPr>
          <w:p>
            <w:pPr>
              <w:spacing w:line="360" w:lineRule="exact"/>
              <w:jc w:val="center"/>
              <w:rPr>
                <w:rFonts w:ascii="宋体" w:hAnsi="宋体" w:eastAsia="宋体" w:cs="宋体"/>
                <w:b/>
                <w:szCs w:val="21"/>
              </w:rPr>
            </w:pPr>
            <w:r>
              <w:rPr>
                <w:rFonts w:hint="eastAsia" w:ascii="宋体" w:hAnsi="宋体" w:eastAsia="宋体" w:cs="宋体"/>
                <w:b/>
                <w:szCs w:val="21"/>
              </w:rPr>
              <w:t>综合单价</w:t>
            </w:r>
          </w:p>
          <w:p>
            <w:pPr>
              <w:spacing w:line="360" w:lineRule="exact"/>
              <w:jc w:val="center"/>
              <w:rPr>
                <w:rFonts w:ascii="宋体" w:hAnsi="宋体" w:cs="宋体"/>
                <w:b/>
                <w:bCs/>
                <w:szCs w:val="21"/>
              </w:rPr>
            </w:pPr>
            <w:r>
              <w:rPr>
                <w:rFonts w:hint="eastAsia" w:ascii="宋体" w:hAnsi="宋体" w:eastAsia="宋体" w:cs="宋体"/>
                <w:b/>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1</w:t>
            </w:r>
          </w:p>
        </w:tc>
        <w:tc>
          <w:tcPr>
            <w:tcW w:w="3148" w:type="dxa"/>
            <w:vAlign w:val="center"/>
          </w:tcPr>
          <w:p>
            <w:pPr>
              <w:bidi w:val="0"/>
              <w:jc w:val="center"/>
              <w:rPr>
                <w:color w:val="000000"/>
                <w:sz w:val="20"/>
                <w:szCs w:val="20"/>
              </w:rPr>
            </w:pPr>
            <w:r>
              <w:rPr>
                <w:rFonts w:hint="eastAsia"/>
              </w:rPr>
              <w:t>手提式无人机侦测定位设备</w:t>
            </w:r>
          </w:p>
        </w:tc>
        <w:tc>
          <w:tcPr>
            <w:tcW w:w="897" w:type="dxa"/>
            <w:vAlign w:val="center"/>
          </w:tcPr>
          <w:p>
            <w:pPr>
              <w:bidi w:val="0"/>
              <w:jc w:val="center"/>
              <w:rPr>
                <w:rFonts w:ascii="宋体" w:hAnsi="宋体" w:cs="宋体"/>
                <w:color w:val="000000"/>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1</w:t>
            </w:r>
          </w:p>
        </w:tc>
        <w:tc>
          <w:tcPr>
            <w:tcW w:w="1738" w:type="dxa"/>
            <w:vAlign w:val="center"/>
          </w:tcPr>
          <w:p>
            <w:pPr>
              <w:bidi w:val="0"/>
              <w:jc w:val="center"/>
              <w:rPr>
                <w:color w:val="000000"/>
                <w:sz w:val="20"/>
                <w:szCs w:val="20"/>
              </w:rPr>
            </w:pPr>
          </w:p>
        </w:tc>
        <w:tc>
          <w:tcPr>
            <w:tcW w:w="1500"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2</w:t>
            </w:r>
          </w:p>
        </w:tc>
        <w:tc>
          <w:tcPr>
            <w:tcW w:w="3148" w:type="dxa"/>
            <w:vAlign w:val="center"/>
          </w:tcPr>
          <w:p>
            <w:pPr>
              <w:bidi w:val="0"/>
              <w:jc w:val="center"/>
              <w:rPr>
                <w:color w:val="000000"/>
                <w:sz w:val="20"/>
                <w:szCs w:val="20"/>
              </w:rPr>
            </w:pPr>
            <w:r>
              <w:rPr>
                <w:rFonts w:hint="eastAsia"/>
              </w:rPr>
              <w:t>多用途大功率无人机反制设备</w:t>
            </w:r>
          </w:p>
        </w:tc>
        <w:tc>
          <w:tcPr>
            <w:tcW w:w="897" w:type="dxa"/>
            <w:vAlign w:val="center"/>
          </w:tcPr>
          <w:p>
            <w:pPr>
              <w:bidi w:val="0"/>
              <w:jc w:val="center"/>
              <w:rPr>
                <w:rFonts w:ascii="宋体" w:hAnsi="宋体" w:cs="宋体"/>
                <w:color w:val="000000"/>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1</w:t>
            </w:r>
          </w:p>
        </w:tc>
        <w:tc>
          <w:tcPr>
            <w:tcW w:w="1738" w:type="dxa"/>
            <w:vAlign w:val="center"/>
          </w:tcPr>
          <w:p>
            <w:pPr>
              <w:bidi w:val="0"/>
              <w:jc w:val="center"/>
              <w:rPr>
                <w:color w:val="000000"/>
                <w:sz w:val="20"/>
                <w:szCs w:val="20"/>
              </w:rPr>
            </w:pPr>
          </w:p>
        </w:tc>
        <w:tc>
          <w:tcPr>
            <w:tcW w:w="1500"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3</w:t>
            </w:r>
          </w:p>
        </w:tc>
        <w:tc>
          <w:tcPr>
            <w:tcW w:w="3148" w:type="dxa"/>
            <w:vAlign w:val="center"/>
          </w:tcPr>
          <w:p>
            <w:pPr>
              <w:bidi w:val="0"/>
              <w:jc w:val="center"/>
              <w:rPr>
                <w:color w:val="000000"/>
                <w:sz w:val="20"/>
                <w:szCs w:val="20"/>
              </w:rPr>
            </w:pPr>
            <w:r>
              <w:rPr>
                <w:rFonts w:hint="eastAsia"/>
              </w:rPr>
              <w:t>穿越机反制设备</w:t>
            </w:r>
          </w:p>
        </w:tc>
        <w:tc>
          <w:tcPr>
            <w:tcW w:w="897" w:type="dxa"/>
            <w:vAlign w:val="center"/>
          </w:tcPr>
          <w:p>
            <w:pPr>
              <w:bidi w:val="0"/>
              <w:jc w:val="center"/>
              <w:rPr>
                <w:rFonts w:ascii="宋体" w:hAnsi="宋体" w:cs="宋体"/>
                <w:color w:val="000000"/>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1</w:t>
            </w:r>
          </w:p>
        </w:tc>
        <w:tc>
          <w:tcPr>
            <w:tcW w:w="1738" w:type="dxa"/>
            <w:vAlign w:val="center"/>
          </w:tcPr>
          <w:p>
            <w:pPr>
              <w:bidi w:val="0"/>
              <w:jc w:val="center"/>
              <w:rPr>
                <w:rFonts w:ascii="宋体" w:hAnsi="宋体" w:cs="宋体"/>
                <w:color w:val="000000"/>
                <w:sz w:val="20"/>
                <w:szCs w:val="20"/>
              </w:rPr>
            </w:pPr>
          </w:p>
        </w:tc>
        <w:tc>
          <w:tcPr>
            <w:tcW w:w="1500"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4</w:t>
            </w:r>
          </w:p>
        </w:tc>
        <w:tc>
          <w:tcPr>
            <w:tcW w:w="3148" w:type="dxa"/>
            <w:vAlign w:val="center"/>
          </w:tcPr>
          <w:p>
            <w:pPr>
              <w:bidi w:val="0"/>
              <w:jc w:val="center"/>
              <w:rPr>
                <w:color w:val="000000"/>
                <w:sz w:val="20"/>
                <w:szCs w:val="20"/>
              </w:rPr>
            </w:pPr>
            <w:r>
              <w:rPr>
                <w:rFonts w:hint="eastAsia"/>
              </w:rPr>
              <w:t>便携式无人机侦测反制设备</w:t>
            </w:r>
          </w:p>
        </w:tc>
        <w:tc>
          <w:tcPr>
            <w:tcW w:w="897" w:type="dxa"/>
            <w:vAlign w:val="center"/>
          </w:tcPr>
          <w:p>
            <w:pPr>
              <w:bidi w:val="0"/>
              <w:jc w:val="center"/>
              <w:rPr>
                <w:rFonts w:ascii="宋体" w:hAnsi="宋体" w:cs="宋体"/>
                <w:color w:val="000000"/>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2</w:t>
            </w:r>
          </w:p>
        </w:tc>
        <w:tc>
          <w:tcPr>
            <w:tcW w:w="1738" w:type="dxa"/>
            <w:vAlign w:val="center"/>
          </w:tcPr>
          <w:p>
            <w:pPr>
              <w:bidi w:val="0"/>
              <w:jc w:val="center"/>
              <w:rPr>
                <w:rFonts w:ascii="宋体" w:hAnsi="宋体" w:cs="宋体"/>
                <w:color w:val="000000"/>
                <w:sz w:val="20"/>
                <w:szCs w:val="20"/>
              </w:rPr>
            </w:pPr>
          </w:p>
        </w:tc>
        <w:tc>
          <w:tcPr>
            <w:tcW w:w="1500"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5</w:t>
            </w:r>
          </w:p>
        </w:tc>
        <w:tc>
          <w:tcPr>
            <w:tcW w:w="3148" w:type="dxa"/>
            <w:vAlign w:val="center"/>
          </w:tcPr>
          <w:p>
            <w:pPr>
              <w:bidi w:val="0"/>
              <w:jc w:val="center"/>
              <w:rPr>
                <w:color w:val="000000"/>
                <w:sz w:val="20"/>
                <w:szCs w:val="20"/>
              </w:rPr>
            </w:pPr>
            <w:r>
              <w:rPr>
                <w:rFonts w:hint="eastAsia"/>
              </w:rPr>
              <w:t>无人机侦测反制设备管控平台</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6</w:t>
            </w:r>
          </w:p>
        </w:tc>
        <w:tc>
          <w:tcPr>
            <w:tcW w:w="3148" w:type="dxa"/>
            <w:vAlign w:val="center"/>
          </w:tcPr>
          <w:p>
            <w:pPr>
              <w:bidi w:val="0"/>
              <w:jc w:val="center"/>
              <w:rPr>
                <w:color w:val="000000"/>
                <w:sz w:val="20"/>
                <w:szCs w:val="20"/>
              </w:rPr>
            </w:pPr>
            <w:r>
              <w:rPr>
                <w:rFonts w:hint="eastAsia"/>
              </w:rPr>
              <w:t>网络（4G/5G专网卡）</w:t>
            </w:r>
          </w:p>
        </w:tc>
        <w:tc>
          <w:tcPr>
            <w:tcW w:w="897" w:type="dxa"/>
            <w:vAlign w:val="center"/>
          </w:tcPr>
          <w:p>
            <w:pPr>
              <w:bidi w:val="0"/>
              <w:jc w:val="center"/>
              <w:rPr>
                <w:rFonts w:ascii="宋体" w:hAnsi="宋体" w:cs="宋体"/>
                <w:sz w:val="20"/>
                <w:szCs w:val="20"/>
              </w:rPr>
            </w:pPr>
            <w:r>
              <w:rPr>
                <w:rFonts w:hint="eastAsia"/>
                <w:lang w:val="en-US" w:eastAsia="zh-CN"/>
              </w:rPr>
              <w:t>张</w:t>
            </w:r>
          </w:p>
        </w:tc>
        <w:tc>
          <w:tcPr>
            <w:tcW w:w="1357" w:type="dxa"/>
            <w:vAlign w:val="center"/>
          </w:tcPr>
          <w:p>
            <w:pPr>
              <w:bidi w:val="0"/>
              <w:jc w:val="center"/>
              <w:rPr>
                <w:rFonts w:hint="eastAsia"/>
                <w:lang w:val="en-US" w:eastAsia="zh-CN"/>
              </w:rPr>
            </w:pPr>
            <w:r>
              <w:rPr>
                <w:rFonts w:hint="eastAsia"/>
                <w:lang w:val="en-US" w:eastAsia="zh-CN"/>
              </w:rPr>
              <w:t>5</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eastAsia"/>
                <w:color w:val="000000"/>
                <w:sz w:val="20"/>
                <w:szCs w:val="20"/>
              </w:rPr>
            </w:pPr>
            <w:r>
              <w:rPr>
                <w:rFonts w:hint="eastAsia"/>
                <w:lang w:val="en-US" w:eastAsia="zh-CN"/>
              </w:rPr>
              <w:t>7</w:t>
            </w:r>
          </w:p>
        </w:tc>
        <w:tc>
          <w:tcPr>
            <w:tcW w:w="5402" w:type="dxa"/>
            <w:gridSpan w:val="3"/>
            <w:vAlign w:val="center"/>
          </w:tcPr>
          <w:p>
            <w:pPr>
              <w:bidi w:val="0"/>
              <w:jc w:val="center"/>
              <w:rPr>
                <w:rFonts w:hint="eastAsia"/>
                <w:b w:val="0"/>
                <w:bCs w:val="0"/>
              </w:rPr>
            </w:pPr>
            <w:r>
              <w:rPr>
                <w:rFonts w:hint="eastAsia"/>
                <w:b w:val="0"/>
                <w:bCs w:val="0"/>
              </w:rPr>
              <w:t>物理打击反制设备</w:t>
            </w:r>
            <w:r>
              <w:rPr>
                <w:rFonts w:hint="eastAsia"/>
                <w:b w:val="0"/>
                <w:bCs w:val="0"/>
                <w:lang w:eastAsia="zh-CN"/>
              </w:rPr>
              <w:t>：</w:t>
            </w:r>
            <w:r>
              <w:rPr>
                <w:rFonts w:hint="eastAsia"/>
              </w:rPr>
              <w:t>穿越机（5寸）</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rPr>
              <w:t>竞速机架套装</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6</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机架套装</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电机：2207 1950KV</w:t>
            </w:r>
          </w:p>
        </w:tc>
        <w:tc>
          <w:tcPr>
            <w:tcW w:w="897" w:type="dxa"/>
            <w:vAlign w:val="center"/>
          </w:tcPr>
          <w:p>
            <w:pPr>
              <w:bidi w:val="0"/>
              <w:jc w:val="center"/>
              <w:rPr>
                <w:rFonts w:ascii="宋体" w:hAnsi="宋体" w:cs="宋体"/>
                <w:sz w:val="20"/>
                <w:szCs w:val="20"/>
              </w:rPr>
            </w:pPr>
            <w:r>
              <w:rPr>
                <w:rFonts w:hint="eastAsia"/>
                <w:lang w:val="en-US" w:eastAsia="zh-CN"/>
              </w:rPr>
              <w:t>个</w:t>
            </w:r>
          </w:p>
        </w:tc>
        <w:tc>
          <w:tcPr>
            <w:tcW w:w="1357" w:type="dxa"/>
            <w:vAlign w:val="center"/>
          </w:tcPr>
          <w:p>
            <w:pPr>
              <w:bidi w:val="0"/>
              <w:jc w:val="center"/>
              <w:rPr>
                <w:rFonts w:hint="eastAsia"/>
                <w:lang w:val="en-US" w:eastAsia="zh-CN"/>
              </w:rPr>
            </w:pPr>
            <w:r>
              <w:rPr>
                <w:rFonts w:hint="eastAsia"/>
                <w:lang w:val="en-US" w:eastAsia="zh-CN"/>
              </w:rPr>
              <w:t>24</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飞塔：飞行控制器和电调组合</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6</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天空端图传套装</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6</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备用桨叶</w:t>
            </w:r>
          </w:p>
        </w:tc>
        <w:tc>
          <w:tcPr>
            <w:tcW w:w="897" w:type="dxa"/>
            <w:vAlign w:val="center"/>
          </w:tcPr>
          <w:p>
            <w:pPr>
              <w:bidi w:val="0"/>
              <w:jc w:val="center"/>
              <w:rPr>
                <w:rFonts w:ascii="宋体" w:hAnsi="宋体" w:cs="宋体"/>
                <w:sz w:val="20"/>
                <w:szCs w:val="20"/>
              </w:rPr>
            </w:pPr>
            <w:r>
              <w:rPr>
                <w:rFonts w:hint="eastAsia"/>
                <w:lang w:val="en-US" w:eastAsia="zh-CN"/>
              </w:rPr>
              <w:t>包</w:t>
            </w:r>
          </w:p>
        </w:tc>
        <w:tc>
          <w:tcPr>
            <w:tcW w:w="1357" w:type="dxa"/>
            <w:vAlign w:val="center"/>
          </w:tcPr>
          <w:p>
            <w:pPr>
              <w:bidi w:val="0"/>
              <w:jc w:val="center"/>
              <w:rPr>
                <w:rFonts w:hint="eastAsia"/>
                <w:lang w:val="en-US" w:eastAsia="zh-CN"/>
              </w:rPr>
            </w:pPr>
            <w:r>
              <w:rPr>
                <w:rFonts w:hint="eastAsia"/>
                <w:lang w:val="en-US" w:eastAsia="zh-CN"/>
              </w:rPr>
              <w:t>15</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电池</w:t>
            </w:r>
          </w:p>
        </w:tc>
        <w:tc>
          <w:tcPr>
            <w:tcW w:w="897" w:type="dxa"/>
            <w:vAlign w:val="center"/>
          </w:tcPr>
          <w:p>
            <w:pPr>
              <w:bidi w:val="0"/>
              <w:jc w:val="center"/>
              <w:rPr>
                <w:rFonts w:ascii="宋体" w:hAnsi="宋体" w:cs="宋体"/>
                <w:sz w:val="20"/>
                <w:szCs w:val="20"/>
              </w:rPr>
            </w:pPr>
            <w:r>
              <w:rPr>
                <w:rFonts w:hint="eastAsia"/>
                <w:lang w:val="en-US" w:eastAsia="zh-CN"/>
              </w:rPr>
              <w:t>块</w:t>
            </w:r>
          </w:p>
        </w:tc>
        <w:tc>
          <w:tcPr>
            <w:tcW w:w="1357" w:type="dxa"/>
            <w:vAlign w:val="center"/>
          </w:tcPr>
          <w:p>
            <w:pPr>
              <w:bidi w:val="0"/>
              <w:jc w:val="center"/>
              <w:rPr>
                <w:rFonts w:hint="eastAsia"/>
                <w:lang w:val="en-US" w:eastAsia="zh-CN"/>
              </w:rPr>
            </w:pPr>
            <w:r>
              <w:rPr>
                <w:rFonts w:hint="eastAsia"/>
                <w:lang w:val="en-US" w:eastAsia="zh-CN"/>
              </w:rPr>
              <w:t>12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外场电包</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eastAsia"/>
                <w:color w:val="000000"/>
                <w:sz w:val="20"/>
                <w:szCs w:val="20"/>
              </w:rPr>
            </w:pPr>
            <w:r>
              <w:rPr>
                <w:rFonts w:hint="eastAsia"/>
                <w:lang w:val="en-US" w:eastAsia="zh-CN"/>
              </w:rPr>
              <w:t>8</w:t>
            </w:r>
          </w:p>
        </w:tc>
        <w:tc>
          <w:tcPr>
            <w:tcW w:w="5402" w:type="dxa"/>
            <w:gridSpan w:val="3"/>
            <w:vAlign w:val="center"/>
          </w:tcPr>
          <w:p>
            <w:pPr>
              <w:keepNext w:val="0"/>
              <w:keepLines w:val="0"/>
              <w:widowControl/>
              <w:suppressLineNumbers w:val="0"/>
              <w:jc w:val="center"/>
              <w:textAlignment w:val="center"/>
              <w:rPr>
                <w:rFonts w:hint="eastAsia"/>
                <w:b w:val="0"/>
                <w:bCs w:val="0"/>
              </w:rPr>
            </w:pPr>
            <w:r>
              <w:rPr>
                <w:rFonts w:hint="eastAsia"/>
                <w:b w:val="0"/>
                <w:bCs w:val="0"/>
              </w:rPr>
              <w:t>物理打击反制设备</w:t>
            </w:r>
            <w:r>
              <w:rPr>
                <w:rFonts w:hint="eastAsia"/>
                <w:b w:val="0"/>
                <w:bCs w:val="0"/>
                <w:lang w:eastAsia="zh-CN"/>
              </w:rPr>
              <w:t>：</w:t>
            </w:r>
            <w:r>
              <w:rPr>
                <w:rFonts w:hint="eastAsia" w:ascii="宋体" w:hAnsi="宋体" w:eastAsia="宋体" w:cs="宋体"/>
                <w:i w:val="0"/>
                <w:iCs w:val="0"/>
                <w:color w:val="000000"/>
                <w:kern w:val="0"/>
                <w:sz w:val="22"/>
                <w:szCs w:val="22"/>
                <w:u w:val="none"/>
                <w:lang w:val="en-US" w:eastAsia="zh-CN" w:bidi="ar"/>
              </w:rPr>
              <w:t>穿越机（3.5寸）</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机架套装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电机</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飞塔</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357" w:type="dxa"/>
            <w:vAlign w:val="center"/>
          </w:tcPr>
          <w:p>
            <w:pPr>
              <w:bidi w:val="0"/>
              <w:jc w:val="center"/>
              <w:rPr>
                <w:rFonts w:hint="eastAsia"/>
                <w:lang w:val="en-US" w:eastAsia="zh-CN"/>
              </w:rPr>
            </w:pPr>
            <w:r>
              <w:rPr>
                <w:rFonts w:hint="eastAsia"/>
                <w:lang w:val="en-US" w:eastAsia="zh-CN"/>
              </w:rPr>
              <w:t>6</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天空端图传</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接收机天线</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备用桨叶</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包</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eastAsia"/>
                <w:color w:val="000000"/>
                <w:sz w:val="20"/>
                <w:szCs w:val="20"/>
              </w:rPr>
            </w:pPr>
            <w:r>
              <w:rPr>
                <w:rFonts w:hint="eastAsia"/>
                <w:lang w:val="en-US" w:eastAsia="zh-CN"/>
              </w:rPr>
              <w:t>9</w:t>
            </w:r>
          </w:p>
        </w:tc>
        <w:tc>
          <w:tcPr>
            <w:tcW w:w="5402" w:type="dxa"/>
            <w:gridSpan w:val="3"/>
            <w:vAlign w:val="center"/>
          </w:tcPr>
          <w:p>
            <w:pPr>
              <w:keepNext w:val="0"/>
              <w:keepLines w:val="0"/>
              <w:widowControl/>
              <w:suppressLineNumbers w:val="0"/>
              <w:jc w:val="center"/>
              <w:textAlignment w:val="center"/>
              <w:rPr>
                <w:rFonts w:hint="eastAsia"/>
                <w:b w:val="0"/>
                <w:bCs w:val="0"/>
              </w:rPr>
            </w:pPr>
            <w:r>
              <w:rPr>
                <w:rFonts w:hint="eastAsia"/>
                <w:b w:val="0"/>
                <w:bCs w:val="0"/>
              </w:rPr>
              <w:t>物理打击反制设备</w:t>
            </w:r>
            <w:r>
              <w:rPr>
                <w:rFonts w:hint="eastAsia"/>
                <w:b w:val="0"/>
                <w:bCs w:val="0"/>
                <w:lang w:eastAsia="zh-CN"/>
              </w:rPr>
              <w:t>：</w:t>
            </w:r>
            <w:r>
              <w:rPr>
                <w:rFonts w:hint="eastAsia" w:ascii="宋体" w:hAnsi="宋体" w:eastAsia="宋体" w:cs="宋体"/>
                <w:i w:val="0"/>
                <w:iCs w:val="0"/>
                <w:color w:val="000000"/>
                <w:kern w:val="0"/>
                <w:sz w:val="22"/>
                <w:szCs w:val="22"/>
                <w:u w:val="none"/>
                <w:lang w:val="en-US" w:eastAsia="zh-CN" w:bidi="ar"/>
              </w:rPr>
              <w:t>穿越机（2.5寸）</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机架电机套装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天空端图传套装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桨叶</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包</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电池</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eastAsia"/>
                <w:color w:val="000000"/>
                <w:sz w:val="20"/>
                <w:szCs w:val="20"/>
              </w:rPr>
            </w:pPr>
            <w:r>
              <w:rPr>
                <w:rFonts w:hint="eastAsia"/>
                <w:lang w:val="en-US" w:eastAsia="zh-CN"/>
              </w:rPr>
              <w:t>10</w:t>
            </w:r>
          </w:p>
        </w:tc>
        <w:tc>
          <w:tcPr>
            <w:tcW w:w="5402" w:type="dxa"/>
            <w:gridSpan w:val="3"/>
            <w:vAlign w:val="center"/>
          </w:tcPr>
          <w:p>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配件</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遥控器1</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增程高频头</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遥控器2</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高频头套装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遥控器3</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飞行眼镜1</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飞行眼镜2</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eastAsia"/>
                <w:color w:val="000000"/>
                <w:sz w:val="20"/>
                <w:szCs w:val="20"/>
              </w:rPr>
            </w:pPr>
            <w:r>
              <w:rPr>
                <w:rFonts w:hint="eastAsia"/>
                <w:lang w:val="en-US" w:eastAsia="zh-CN"/>
              </w:rPr>
              <w:t>11</w:t>
            </w:r>
          </w:p>
        </w:tc>
        <w:tc>
          <w:tcPr>
            <w:tcW w:w="5402" w:type="dxa"/>
            <w:gridSpan w:val="3"/>
            <w:vAlign w:val="center"/>
          </w:tcPr>
          <w:p>
            <w:pPr>
              <w:bidi w:val="0"/>
              <w:jc w:val="center"/>
              <w:rPr>
                <w:rFonts w:hint="eastAsia"/>
                <w:lang w:val="en-US" w:eastAsia="zh-CN"/>
              </w:rPr>
            </w:pPr>
            <w:r>
              <w:rPr>
                <w:rFonts w:hint="eastAsia"/>
                <w:lang w:val="en-US" w:eastAsia="zh-CN"/>
              </w:rPr>
              <w:t>维护工具</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Style w:val="40"/>
                <w:rFonts w:hint="eastAsia" w:ascii="宋体" w:hAnsi="宋体" w:eastAsia="宋体" w:cs="宋体"/>
                <w:sz w:val="22"/>
                <w:szCs w:val="22"/>
                <w:lang w:val="en-US" w:eastAsia="zh-CN" w:bidi="ar"/>
              </w:rPr>
              <w:t>智能平衡充电器</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电池防爆箱</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航模遥控设备箱</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穿越机双肩收纳包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焊台</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电烙铁</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焊锡丝</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卷</w:t>
            </w:r>
          </w:p>
        </w:tc>
        <w:tc>
          <w:tcPr>
            <w:tcW w:w="13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44</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万用表</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45</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热缩管</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盒</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46</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洞洞板</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张</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47</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零件盒</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只</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48</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防静电工作台</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49</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电动螺丝刀套装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50</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热风枪</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支</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51</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螺丝、螺母</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盒</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52</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3D打印机</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53</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调参笔记本电脑</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54</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镊子</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55</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剥线钳</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把</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56</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游标卡尺</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把</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57</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靶机1</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58</w:t>
            </w:r>
          </w:p>
        </w:tc>
        <w:tc>
          <w:tcPr>
            <w:tcW w:w="3148" w:type="dxa"/>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靶机2</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sz w:val="22"/>
                <w:szCs w:val="22"/>
                <w:u w:val="none"/>
                <w:lang w:val="en-US" w:eastAsia="zh-CN"/>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59</w:t>
            </w:r>
          </w:p>
        </w:tc>
        <w:tc>
          <w:tcPr>
            <w:tcW w:w="3148" w:type="dxa"/>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靶机3</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架</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60</w:t>
            </w:r>
          </w:p>
        </w:tc>
        <w:tc>
          <w:tcPr>
            <w:tcW w:w="3148" w:type="dxa"/>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靶机4</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357"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38" w:type="dxa"/>
            <w:vAlign w:val="center"/>
          </w:tcPr>
          <w:p>
            <w:pPr>
              <w:bidi w:val="0"/>
              <w:jc w:val="center"/>
              <w:rPr>
                <w:rFonts w:ascii="宋体" w:hAnsi="宋体" w:cs="宋体"/>
                <w:sz w:val="20"/>
                <w:szCs w:val="20"/>
              </w:rPr>
            </w:pPr>
          </w:p>
        </w:tc>
        <w:tc>
          <w:tcPr>
            <w:tcW w:w="1500" w:type="dxa"/>
            <w:vAlign w:val="center"/>
          </w:tcPr>
          <w:p>
            <w:pPr>
              <w:jc w:val="center"/>
              <w:rPr>
                <w:sz w:val="20"/>
                <w:szCs w:val="20"/>
              </w:rPr>
            </w:pPr>
          </w:p>
        </w:tc>
      </w:tr>
    </w:tbl>
    <w:p>
      <w:pPr>
        <w:spacing w:line="360" w:lineRule="auto"/>
        <w:ind w:firstLine="420" w:firstLineChars="200"/>
        <w:rPr>
          <w:rFonts w:ascii="宋体" w:hAnsi="宋体"/>
          <w:szCs w:val="21"/>
        </w:rPr>
      </w:pPr>
      <w:r>
        <w:rPr>
          <w:rFonts w:hint="eastAsia" w:ascii="宋体" w:hAnsi="宋体"/>
          <w:szCs w:val="21"/>
        </w:rPr>
        <w:t>乙方保证提供如下内容的合格产品：                       金额单位：人民币元</w:t>
      </w:r>
    </w:p>
    <w:p>
      <w:pPr>
        <w:spacing w:line="360" w:lineRule="auto"/>
        <w:rPr>
          <w:rFonts w:ascii="宋体" w:hAnsi="宋体"/>
          <w:szCs w:val="21"/>
        </w:rPr>
      </w:pPr>
      <w:r>
        <w:rPr>
          <w:rFonts w:hint="eastAsia" w:ascii="宋体" w:hAnsi="宋体"/>
          <w:b/>
          <w:bCs/>
          <w:szCs w:val="21"/>
        </w:rPr>
        <w:t>第二条</w:t>
      </w:r>
      <w:r>
        <w:rPr>
          <w:rFonts w:hint="eastAsia" w:ascii="宋体" w:hAnsi="宋体"/>
          <w:b/>
          <w:bCs/>
          <w:szCs w:val="21"/>
          <w:lang w:val="en-US" w:eastAsia="zh-CN"/>
        </w:rPr>
        <w:t xml:space="preserve">  </w:t>
      </w:r>
      <w:r>
        <w:rPr>
          <w:rFonts w:hint="eastAsia" w:ascii="宋体" w:hAnsi="宋体"/>
          <w:b/>
          <w:bCs/>
          <w:szCs w:val="21"/>
        </w:rPr>
        <w:t>质量标准和要求</w:t>
      </w:r>
    </w:p>
    <w:p>
      <w:pPr>
        <w:spacing w:line="360" w:lineRule="auto"/>
        <w:ind w:firstLine="420" w:firstLineChars="200"/>
        <w:rPr>
          <w:rFonts w:ascii="宋体" w:hAnsi="宋体"/>
          <w:szCs w:val="21"/>
        </w:rPr>
      </w:pPr>
      <w:r>
        <w:rPr>
          <w:rFonts w:hint="eastAsia" w:ascii="宋体" w:hAnsi="宋体"/>
          <w:szCs w:val="21"/>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pacing w:line="360" w:lineRule="auto"/>
        <w:ind w:firstLine="420" w:firstLineChars="200"/>
        <w:rPr>
          <w:rFonts w:ascii="宋体" w:hAnsi="宋体"/>
          <w:szCs w:val="21"/>
        </w:rPr>
      </w:pPr>
      <w:r>
        <w:rPr>
          <w:rFonts w:hint="eastAsia" w:ascii="宋体" w:hAnsi="宋体"/>
          <w:szCs w:val="21"/>
        </w:rPr>
        <w:t>2、乙方所出售的货物还应符合国家和浙江省有关安全、环保、卫生之规定。</w:t>
      </w:r>
    </w:p>
    <w:p>
      <w:pPr>
        <w:spacing w:line="360" w:lineRule="auto"/>
        <w:rPr>
          <w:rFonts w:ascii="宋体" w:hAnsi="宋体"/>
          <w:szCs w:val="21"/>
        </w:rPr>
      </w:pPr>
      <w:r>
        <w:rPr>
          <w:rFonts w:hint="eastAsia" w:ascii="宋体" w:hAnsi="宋体"/>
          <w:b/>
          <w:bCs/>
          <w:szCs w:val="21"/>
        </w:rPr>
        <w:t>第三条</w:t>
      </w:r>
      <w:r>
        <w:rPr>
          <w:rFonts w:hint="eastAsia" w:ascii="宋体" w:hAnsi="宋体"/>
          <w:b/>
          <w:bCs/>
          <w:szCs w:val="21"/>
          <w:lang w:val="en-US" w:eastAsia="zh-CN"/>
        </w:rPr>
        <w:t xml:space="preserve">  </w:t>
      </w:r>
      <w:r>
        <w:rPr>
          <w:rFonts w:hint="eastAsia" w:ascii="宋体" w:hAnsi="宋体"/>
          <w:b/>
          <w:bCs/>
          <w:szCs w:val="21"/>
        </w:rPr>
        <w:t>权利瑕疵担保</w:t>
      </w:r>
    </w:p>
    <w:p>
      <w:pPr>
        <w:spacing w:line="360" w:lineRule="auto"/>
        <w:ind w:firstLine="420" w:firstLineChars="200"/>
        <w:rPr>
          <w:rFonts w:ascii="宋体" w:hAnsi="宋体"/>
          <w:szCs w:val="21"/>
        </w:rPr>
      </w:pPr>
      <w:r>
        <w:rPr>
          <w:rFonts w:hint="eastAsia" w:ascii="宋体" w:hAnsi="宋体"/>
          <w:szCs w:val="21"/>
        </w:rPr>
        <w:t>1、乙方保证对其出售的货物享有合法的权利。</w:t>
      </w:r>
    </w:p>
    <w:p>
      <w:pPr>
        <w:spacing w:line="360" w:lineRule="auto"/>
        <w:ind w:firstLine="420" w:firstLineChars="200"/>
        <w:rPr>
          <w:rFonts w:ascii="宋体" w:hAnsi="宋体"/>
          <w:szCs w:val="21"/>
        </w:rPr>
      </w:pPr>
      <w:r>
        <w:rPr>
          <w:rFonts w:hint="eastAsia" w:ascii="宋体" w:hAnsi="宋体"/>
          <w:szCs w:val="21"/>
        </w:rPr>
        <w:t>2、乙方保证在其出售的货物上不存在任何未曾向甲方透露的担保物权，如抵押权、质押权、留置权等。</w:t>
      </w:r>
    </w:p>
    <w:p>
      <w:pPr>
        <w:spacing w:line="360" w:lineRule="auto"/>
        <w:ind w:firstLine="420" w:firstLineChars="200"/>
        <w:rPr>
          <w:rFonts w:ascii="宋体" w:hAnsi="宋体"/>
          <w:szCs w:val="21"/>
        </w:rPr>
      </w:pPr>
      <w:r>
        <w:rPr>
          <w:rFonts w:hint="eastAsia" w:ascii="宋体" w:hAnsi="宋体"/>
          <w:szCs w:val="21"/>
        </w:rPr>
        <w:t>3、乙方保证其所出售的货物没有侵犯任何第三人的知识产权和商业秘密等权利。</w:t>
      </w:r>
    </w:p>
    <w:p>
      <w:pPr>
        <w:spacing w:line="360" w:lineRule="auto"/>
        <w:ind w:firstLine="420" w:firstLineChars="200"/>
        <w:rPr>
          <w:rFonts w:ascii="宋体" w:hAnsi="宋体"/>
          <w:szCs w:val="21"/>
        </w:rPr>
      </w:pPr>
      <w:r>
        <w:rPr>
          <w:rFonts w:hint="eastAsia" w:ascii="宋体" w:hAnsi="宋体"/>
          <w:szCs w:val="21"/>
        </w:rPr>
        <w:t>4、如甲方使用该货物构成上述侵权的，则由乙方承担全部责任。</w:t>
      </w:r>
    </w:p>
    <w:p>
      <w:pPr>
        <w:spacing w:line="360" w:lineRule="auto"/>
        <w:rPr>
          <w:rFonts w:ascii="宋体" w:hAnsi="宋体"/>
          <w:b/>
          <w:bCs/>
          <w:szCs w:val="21"/>
        </w:rPr>
      </w:pPr>
      <w:r>
        <w:rPr>
          <w:rFonts w:hint="eastAsia" w:ascii="宋体" w:hAnsi="宋体"/>
          <w:b/>
          <w:bCs/>
          <w:szCs w:val="21"/>
        </w:rPr>
        <w:t>第四条</w:t>
      </w:r>
      <w:r>
        <w:rPr>
          <w:rFonts w:hint="eastAsia" w:ascii="宋体" w:hAnsi="宋体"/>
          <w:b/>
          <w:bCs/>
          <w:szCs w:val="21"/>
          <w:lang w:val="en-US" w:eastAsia="zh-CN"/>
        </w:rPr>
        <w:t xml:space="preserve">  </w:t>
      </w:r>
      <w:r>
        <w:rPr>
          <w:rFonts w:hint="eastAsia" w:ascii="宋体" w:hAnsi="宋体"/>
          <w:b/>
          <w:bCs/>
          <w:szCs w:val="21"/>
        </w:rPr>
        <w:t>包装要求</w:t>
      </w:r>
    </w:p>
    <w:p>
      <w:pPr>
        <w:spacing w:line="360" w:lineRule="auto"/>
        <w:ind w:firstLine="420" w:firstLineChars="200"/>
        <w:rPr>
          <w:rFonts w:ascii="宋体" w:hAnsi="宋体"/>
          <w:szCs w:val="21"/>
        </w:rPr>
      </w:pPr>
      <w:r>
        <w:rPr>
          <w:rFonts w:hint="eastAsia" w:ascii="宋体" w:hAnsi="宋体"/>
          <w:szCs w:val="21"/>
        </w:rPr>
        <w:t>1、为了保证设备在长途运输和装卸过程中的安全，产品包装应符合国家或专业（部）标准规定。由于包装不善导致设备锈蚀、失缺或损坏，由乙方承担一切责任。</w:t>
      </w:r>
    </w:p>
    <w:p>
      <w:pPr>
        <w:spacing w:line="360" w:lineRule="auto"/>
        <w:ind w:firstLine="420" w:firstLineChars="200"/>
        <w:rPr>
          <w:rFonts w:hint="eastAsia" w:ascii="宋体" w:hAnsi="宋体" w:eastAsiaTheme="minorEastAsia"/>
          <w:szCs w:val="21"/>
          <w:lang w:val="en-US" w:eastAsia="zh-CN"/>
        </w:rPr>
      </w:pPr>
      <w:r>
        <w:rPr>
          <w:rFonts w:hint="eastAsia" w:ascii="宋体" w:hAnsi="宋体"/>
          <w:szCs w:val="21"/>
          <w:lang w:val="en-US" w:eastAsia="zh-CN"/>
        </w:rPr>
        <w:t>2、乙方应在每件包装箱上，明显地标注下列标记：1)收货人；2)产品名称；3)合同号；4)品目号和箱号；5)到达站或到货地点；6)外形尺寸(长宽高)，以厘米计；7)毛重、净重(公斤)。</w:t>
      </w:r>
    </w:p>
    <w:p>
      <w:pPr>
        <w:spacing w:line="360" w:lineRule="auto"/>
        <w:ind w:firstLine="420" w:firstLineChars="200"/>
        <w:rPr>
          <w:rFonts w:hint="eastAsia" w:ascii="宋体" w:hAnsi="宋体" w:eastAsiaTheme="minorEastAsia"/>
          <w:szCs w:val="21"/>
          <w:lang w:val="en-US" w:eastAsia="zh-CN"/>
        </w:rPr>
      </w:pPr>
      <w:r>
        <w:rPr>
          <w:rFonts w:hint="eastAsia" w:ascii="宋体" w:hAnsi="宋体"/>
          <w:szCs w:val="21"/>
          <w:lang w:val="en-US" w:eastAsia="zh-CN"/>
        </w:rPr>
        <w:t>3、乙方应根据设备特点，在包装箱上标明“小心轻放”、“请勿倒置”、“防潮”等字样和吊装标记。</w:t>
      </w:r>
    </w:p>
    <w:p>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、每一个包装箱内应附一份详细装箱单、质量证书和保修保养证书。</w:t>
      </w:r>
    </w:p>
    <w:p>
      <w:pPr>
        <w:spacing w:line="360" w:lineRule="auto"/>
        <w:rPr>
          <w:rFonts w:ascii="宋体" w:hAnsi="宋体"/>
          <w:szCs w:val="21"/>
        </w:rPr>
      </w:pPr>
      <w:r>
        <w:rPr>
          <w:rFonts w:hint="eastAsia" w:ascii="宋体" w:hAnsi="宋体"/>
          <w:b/>
          <w:bCs/>
          <w:szCs w:val="21"/>
        </w:rPr>
        <w:t>第五条</w:t>
      </w:r>
      <w:r>
        <w:rPr>
          <w:rFonts w:hint="eastAsia" w:ascii="宋体" w:hAnsi="宋体"/>
          <w:b/>
          <w:bCs/>
          <w:szCs w:val="21"/>
          <w:lang w:val="en-US" w:eastAsia="zh-CN"/>
        </w:rPr>
        <w:t xml:space="preserve">  </w:t>
      </w:r>
      <w:r>
        <w:rPr>
          <w:rFonts w:hint="eastAsia" w:ascii="宋体" w:hAnsi="宋体"/>
          <w:b/>
          <w:bCs/>
          <w:szCs w:val="21"/>
        </w:rPr>
        <w:t>供货期限</w:t>
      </w:r>
    </w:p>
    <w:p>
      <w:pPr>
        <w:spacing w:line="360" w:lineRule="auto"/>
        <w:ind w:firstLine="420" w:firstLineChars="200"/>
        <w:rPr>
          <w:rFonts w:ascii="宋体" w:hAnsi="宋体"/>
          <w:szCs w:val="21"/>
        </w:rPr>
      </w:pPr>
      <w:r>
        <w:rPr>
          <w:rFonts w:hint="eastAsia" w:ascii="宋体" w:hAnsi="宋体"/>
          <w:szCs w:val="21"/>
        </w:rPr>
        <w:t>乙方负责</w:t>
      </w:r>
      <w:r>
        <w:rPr>
          <w:rFonts w:hint="eastAsia" w:ascii="宋体" w:hAnsi="宋体"/>
          <w:szCs w:val="21"/>
          <w:u w:val="single"/>
        </w:rPr>
        <w:t xml:space="preserve">   年  月  日</w:t>
      </w:r>
      <w:r>
        <w:rPr>
          <w:rFonts w:hint="eastAsia" w:ascii="宋体" w:hAnsi="宋体"/>
          <w:szCs w:val="21"/>
          <w:lang w:val="en-US" w:eastAsia="zh-CN"/>
        </w:rPr>
        <w:t>-</w:t>
      </w:r>
      <w:r>
        <w:rPr>
          <w:rFonts w:hint="eastAsia" w:ascii="宋体" w:hAnsi="宋体"/>
          <w:szCs w:val="21"/>
          <w:u w:val="single"/>
        </w:rPr>
        <w:t xml:space="preserve">   年  月  日</w:t>
      </w:r>
      <w:r>
        <w:rPr>
          <w:rFonts w:hint="eastAsia" w:ascii="宋体" w:hAnsi="宋体"/>
          <w:szCs w:val="21"/>
          <w:u w:val="none"/>
          <w:lang w:val="en-US" w:eastAsia="zh-CN"/>
        </w:rPr>
        <w:t>设备的供货和</w:t>
      </w:r>
      <w:r>
        <w:rPr>
          <w:rFonts w:hint="eastAsia" w:ascii="宋体" w:hAnsi="宋体"/>
          <w:szCs w:val="21"/>
        </w:rPr>
        <w:t>调试。</w:t>
      </w:r>
    </w:p>
    <w:p>
      <w:pPr>
        <w:spacing w:line="360" w:lineRule="auto"/>
        <w:rPr>
          <w:rFonts w:ascii="宋体" w:hAnsi="宋体"/>
          <w:szCs w:val="21"/>
        </w:rPr>
      </w:pPr>
      <w:r>
        <w:rPr>
          <w:rFonts w:hint="eastAsia" w:ascii="宋体" w:hAnsi="宋体"/>
          <w:b/>
          <w:bCs/>
          <w:szCs w:val="21"/>
        </w:rPr>
        <w:t>第六条</w:t>
      </w:r>
      <w:r>
        <w:rPr>
          <w:rFonts w:hint="eastAsia" w:ascii="宋体" w:hAnsi="宋体"/>
          <w:b/>
          <w:bCs/>
          <w:szCs w:val="21"/>
          <w:lang w:val="en-US" w:eastAsia="zh-CN"/>
        </w:rPr>
        <w:t xml:space="preserve">  </w:t>
      </w:r>
      <w:r>
        <w:rPr>
          <w:rFonts w:hint="eastAsia" w:ascii="宋体" w:hAnsi="宋体"/>
          <w:b/>
          <w:bCs/>
          <w:szCs w:val="21"/>
        </w:rPr>
        <w:t>供货方式</w:t>
      </w:r>
    </w:p>
    <w:p>
      <w:pPr>
        <w:spacing w:line="360" w:lineRule="auto"/>
        <w:ind w:firstLine="420" w:firstLineChars="200"/>
        <w:rPr>
          <w:rFonts w:ascii="宋体" w:hAnsi="宋体"/>
          <w:szCs w:val="21"/>
        </w:rPr>
      </w:pPr>
      <w:r>
        <w:rPr>
          <w:rFonts w:hint="eastAsia" w:ascii="宋体" w:hAnsi="宋体"/>
          <w:szCs w:val="21"/>
        </w:rPr>
        <w:t>在供货期限内，乙方在与甲方签署合同后，保证在</w:t>
      </w:r>
      <w:r>
        <w:rPr>
          <w:rFonts w:hint="eastAsia" w:ascii="宋体" w:hAnsi="宋体"/>
          <w:szCs w:val="21"/>
          <w:lang w:val="en-US" w:eastAsia="zh-CN"/>
        </w:rPr>
        <w:t>接收到甲方要求后的</w:t>
      </w:r>
      <w:r>
        <w:rPr>
          <w:rFonts w:hint="eastAsia" w:ascii="宋体" w:hAnsi="宋体"/>
          <w:szCs w:val="21"/>
          <w:u w:val="single"/>
        </w:rPr>
        <w:t xml:space="preserve">   </w:t>
      </w:r>
      <w:r>
        <w:rPr>
          <w:rFonts w:hint="eastAsia" w:ascii="宋体" w:hAnsi="宋体"/>
          <w:szCs w:val="21"/>
        </w:rPr>
        <w:t>个日历天内派人送货至甲方指定地点。</w:t>
      </w:r>
    </w:p>
    <w:p>
      <w:pPr>
        <w:spacing w:line="360" w:lineRule="auto"/>
        <w:rPr>
          <w:rFonts w:ascii="宋体" w:hAnsi="宋体"/>
          <w:szCs w:val="21"/>
        </w:rPr>
      </w:pPr>
      <w:r>
        <w:rPr>
          <w:rFonts w:hint="eastAsia" w:ascii="宋体" w:hAnsi="宋体"/>
          <w:b/>
          <w:bCs/>
          <w:szCs w:val="21"/>
        </w:rPr>
        <w:t>第七条</w:t>
      </w:r>
      <w:r>
        <w:rPr>
          <w:rFonts w:hint="eastAsia" w:ascii="宋体" w:hAnsi="宋体"/>
          <w:b/>
          <w:bCs/>
          <w:szCs w:val="21"/>
          <w:lang w:val="en-US" w:eastAsia="zh-CN"/>
        </w:rPr>
        <w:t xml:space="preserve">  </w:t>
      </w:r>
      <w:r>
        <w:rPr>
          <w:rFonts w:hint="eastAsia" w:ascii="宋体" w:hAnsi="宋体"/>
          <w:b/>
          <w:bCs/>
          <w:szCs w:val="21"/>
        </w:rPr>
        <w:t>验收</w:t>
      </w:r>
    </w:p>
    <w:p>
      <w:pPr>
        <w:spacing w:line="360" w:lineRule="auto"/>
        <w:ind w:firstLine="420" w:firstLineChars="200"/>
        <w:rPr>
          <w:rFonts w:ascii="宋体" w:hAnsi="宋体"/>
          <w:szCs w:val="21"/>
        </w:rPr>
      </w:pPr>
      <w:r>
        <w:rPr>
          <w:rFonts w:hint="eastAsia" w:ascii="宋体" w:hAnsi="宋体"/>
          <w:szCs w:val="21"/>
        </w:rPr>
        <w:t>乙方送货至指定地点后，由甲方根据货物的技术规格要求和质量标准，对货物进行检查验收。货物的数量不足或表面瑕疵，甲方应在验收时当面提出；对质量问题有异议的应在安装调试后10个工作日内提出。</w:t>
      </w:r>
    </w:p>
    <w:p>
      <w:pPr>
        <w:spacing w:line="360" w:lineRule="auto"/>
        <w:ind w:firstLine="420" w:firstLineChars="200"/>
        <w:rPr>
          <w:rFonts w:ascii="宋体" w:hAnsi="宋体"/>
          <w:szCs w:val="21"/>
        </w:rPr>
      </w:pPr>
      <w:r>
        <w:rPr>
          <w:rFonts w:hint="eastAsia" w:ascii="宋体" w:hAnsi="宋体"/>
          <w:szCs w:val="21"/>
        </w:rPr>
        <w:t>在验收过程中发现数量不足或有质量、技术等问题，乙方应负责按照甲方的要求采取补足、更换或退货等处理措施，并承担由此发生的一切费用和损失。</w:t>
      </w:r>
    </w:p>
    <w:p>
      <w:pPr>
        <w:spacing w:line="360" w:lineRule="auto"/>
        <w:ind w:firstLine="420" w:firstLineChars="200"/>
        <w:rPr>
          <w:rFonts w:hint="eastAsia" w:ascii="宋体" w:hAnsi="宋体"/>
          <w:szCs w:val="21"/>
        </w:rPr>
      </w:pPr>
      <w:r>
        <w:rPr>
          <w:rFonts w:hint="eastAsia" w:ascii="宋体" w:hAnsi="宋体"/>
          <w:szCs w:val="21"/>
        </w:rPr>
        <w:t>甲方在乙方按合同规定交货和安装、调试后，无正当理由而拖延接收、验收或拒绝接收、验收的，应承担由此而造成的乙方直接损失。</w:t>
      </w:r>
    </w:p>
    <w:p>
      <w:pPr>
        <w:bidi w:val="0"/>
        <w:spacing w:line="360" w:lineRule="auto"/>
        <w:ind w:firstLine="420" w:firstLineChars="200"/>
        <w:rPr>
          <w:rFonts w:hint="default" w:eastAsiaTheme="minorEastAsia"/>
          <w:lang w:val="en-US" w:eastAsia="zh-CN"/>
        </w:rPr>
      </w:pPr>
      <w:r>
        <w:rPr>
          <w:rFonts w:hint="eastAsia"/>
          <w:lang w:val="en-US" w:eastAsia="zh-CN"/>
        </w:rPr>
        <w:t>验收时需提供产品资料和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pPr>
        <w:bidi w:val="0"/>
        <w:spacing w:line="360" w:lineRule="auto"/>
        <w:ind w:firstLine="420" w:firstLineChars="200"/>
      </w:pPr>
      <w:r>
        <w:rPr>
          <w:rFonts w:hint="eastAsia"/>
        </w:rPr>
        <w:t>在产品质量保证期限内，乙方对由于产品设计、工艺、材料、配套件的缺陷而造成的任何产品质量问题或故障负责。</w:t>
      </w:r>
    </w:p>
    <w:p>
      <w:pPr>
        <w:spacing w:line="360" w:lineRule="auto"/>
        <w:rPr>
          <w:rFonts w:ascii="宋体" w:hAnsi="宋体"/>
          <w:szCs w:val="21"/>
        </w:rPr>
      </w:pPr>
      <w:r>
        <w:rPr>
          <w:rFonts w:hint="eastAsia" w:ascii="宋体" w:hAnsi="宋体"/>
          <w:b/>
          <w:bCs/>
          <w:szCs w:val="21"/>
        </w:rPr>
        <w:t>第八条</w:t>
      </w:r>
      <w:r>
        <w:rPr>
          <w:rFonts w:hint="eastAsia" w:ascii="宋体" w:hAnsi="宋体"/>
          <w:b/>
          <w:bCs/>
          <w:szCs w:val="21"/>
          <w:lang w:val="en-US" w:eastAsia="zh-CN"/>
        </w:rPr>
        <w:t xml:space="preserve">  </w:t>
      </w:r>
      <w:r>
        <w:rPr>
          <w:rFonts w:hint="eastAsia" w:ascii="宋体" w:hAnsi="宋体"/>
          <w:b/>
          <w:bCs/>
          <w:szCs w:val="21"/>
        </w:rPr>
        <w:t>售后服务</w:t>
      </w:r>
    </w:p>
    <w:p>
      <w:pPr>
        <w:spacing w:line="360" w:lineRule="auto"/>
        <w:ind w:firstLine="420" w:firstLineChars="200"/>
        <w:rPr>
          <w:rFonts w:hint="eastAsia" w:ascii="宋体" w:hAnsi="宋体"/>
          <w:szCs w:val="21"/>
        </w:rPr>
      </w:pPr>
      <w:r>
        <w:rPr>
          <w:rFonts w:hint="eastAsia" w:ascii="宋体" w:hAnsi="宋体"/>
          <w:szCs w:val="21"/>
        </w:rPr>
        <w:t>乙方承诺售后服务按照投标承诺的服务计划实施，包括培训。</w:t>
      </w:r>
    </w:p>
    <w:p>
      <w:pPr>
        <w:spacing w:line="360" w:lineRule="auto"/>
        <w:ind w:firstLine="420" w:firstLineChars="200"/>
        <w:rPr>
          <w:rFonts w:ascii="宋体" w:hAnsi="宋体"/>
          <w:szCs w:val="21"/>
        </w:rPr>
      </w:pPr>
      <w:r>
        <w:rPr>
          <w:rFonts w:hint="eastAsia" w:ascii="宋体" w:hAnsi="宋体"/>
          <w:szCs w:val="21"/>
        </w:rPr>
        <w:t>接到甲方通知后，瑞安及附近地区4小时内派人赴现场处理设备质量问题。</w:t>
      </w:r>
    </w:p>
    <w:p>
      <w:pPr>
        <w:spacing w:line="360" w:lineRule="auto"/>
        <w:rPr>
          <w:rFonts w:ascii="宋体" w:hAnsi="宋体"/>
          <w:szCs w:val="21"/>
        </w:rPr>
      </w:pPr>
      <w:r>
        <w:rPr>
          <w:rFonts w:hint="eastAsia" w:ascii="宋体" w:hAnsi="宋体"/>
          <w:b/>
          <w:bCs/>
          <w:szCs w:val="21"/>
        </w:rPr>
        <w:t>第九条</w:t>
      </w:r>
      <w:r>
        <w:rPr>
          <w:rFonts w:hint="eastAsia" w:ascii="宋体" w:hAnsi="宋体"/>
          <w:b/>
          <w:bCs/>
          <w:szCs w:val="21"/>
          <w:lang w:val="en-US" w:eastAsia="zh-CN"/>
        </w:rPr>
        <w:t xml:space="preserve">  </w:t>
      </w:r>
      <w:r>
        <w:rPr>
          <w:rFonts w:hint="eastAsia" w:ascii="宋体" w:hAnsi="宋体"/>
          <w:b/>
          <w:bCs/>
          <w:szCs w:val="21"/>
        </w:rPr>
        <w:t>履约保证金</w:t>
      </w:r>
    </w:p>
    <w:p>
      <w:pPr>
        <w:spacing w:line="360" w:lineRule="auto"/>
        <w:ind w:firstLine="420" w:firstLineChars="200"/>
        <w:rPr>
          <w:rFonts w:ascii="宋体" w:hAnsi="宋体"/>
          <w:szCs w:val="21"/>
        </w:rPr>
      </w:pPr>
      <w:r>
        <w:rPr>
          <w:rFonts w:hint="eastAsia" w:ascii="宋体" w:hAnsi="宋体"/>
          <w:szCs w:val="21"/>
        </w:rPr>
        <w:t>按磋商文件要求。</w:t>
      </w:r>
    </w:p>
    <w:p>
      <w:pPr>
        <w:spacing w:line="360" w:lineRule="auto"/>
        <w:rPr>
          <w:rFonts w:ascii="宋体" w:hAnsi="宋体"/>
          <w:szCs w:val="21"/>
        </w:rPr>
      </w:pPr>
      <w:r>
        <w:rPr>
          <w:rFonts w:hint="eastAsia" w:ascii="宋体" w:hAnsi="宋体"/>
          <w:b/>
          <w:bCs/>
          <w:szCs w:val="21"/>
        </w:rPr>
        <w:t>第十条</w:t>
      </w:r>
      <w:r>
        <w:rPr>
          <w:rFonts w:hint="eastAsia" w:ascii="宋体" w:hAnsi="宋体"/>
          <w:b/>
          <w:bCs/>
          <w:szCs w:val="21"/>
          <w:lang w:val="en-US" w:eastAsia="zh-CN"/>
        </w:rPr>
        <w:t xml:space="preserve">  </w:t>
      </w:r>
      <w:r>
        <w:rPr>
          <w:rFonts w:hint="eastAsia" w:ascii="宋体" w:hAnsi="宋体"/>
          <w:b/>
          <w:bCs/>
          <w:szCs w:val="21"/>
        </w:rPr>
        <w:t>货款的支付</w:t>
      </w:r>
    </w:p>
    <w:p>
      <w:pPr>
        <w:spacing w:line="360" w:lineRule="auto"/>
        <w:ind w:firstLine="420" w:firstLineChars="200"/>
        <w:rPr>
          <w:rFonts w:ascii="宋体" w:hAnsi="宋体"/>
          <w:szCs w:val="21"/>
        </w:rPr>
      </w:pPr>
      <w:r>
        <w:rPr>
          <w:rFonts w:hint="eastAsia" w:ascii="宋体" w:hAnsi="宋体"/>
          <w:szCs w:val="21"/>
        </w:rPr>
        <w:t>按磋商文件要求。</w:t>
      </w:r>
    </w:p>
    <w:p>
      <w:pPr>
        <w:spacing w:line="360" w:lineRule="auto"/>
        <w:rPr>
          <w:rFonts w:ascii="宋体" w:hAnsi="宋体"/>
          <w:szCs w:val="21"/>
        </w:rPr>
      </w:pPr>
      <w:r>
        <w:rPr>
          <w:rFonts w:hint="eastAsia" w:ascii="宋体" w:hAnsi="宋体"/>
          <w:b/>
          <w:bCs/>
          <w:szCs w:val="21"/>
        </w:rPr>
        <w:t>第十一条</w:t>
      </w:r>
      <w:r>
        <w:rPr>
          <w:rFonts w:hint="eastAsia" w:ascii="宋体" w:hAnsi="宋体"/>
          <w:b/>
          <w:bCs/>
          <w:szCs w:val="21"/>
          <w:lang w:val="en-US" w:eastAsia="zh-CN"/>
        </w:rPr>
        <w:t xml:space="preserve">  </w:t>
      </w:r>
      <w:r>
        <w:rPr>
          <w:rFonts w:hint="eastAsia" w:ascii="宋体" w:hAnsi="宋体"/>
          <w:b/>
          <w:bCs/>
          <w:szCs w:val="21"/>
        </w:rPr>
        <w:t>辅助服务</w:t>
      </w:r>
    </w:p>
    <w:p>
      <w:pPr>
        <w:spacing w:line="360" w:lineRule="auto"/>
        <w:ind w:firstLine="420" w:firstLineChars="200"/>
        <w:rPr>
          <w:rFonts w:hint="eastAsia" w:ascii="宋体" w:hAnsi="宋体"/>
          <w:szCs w:val="21"/>
        </w:rPr>
      </w:pPr>
      <w:r>
        <w:rPr>
          <w:rFonts w:hint="eastAsia" w:ascii="宋体" w:hAnsi="宋体"/>
          <w:szCs w:val="21"/>
        </w:rPr>
        <w:t>乙方应提交所提供货物的技术文件，包括相应的每一套设备的中文技术文件，例如：产品目录、图纸、操作手册、使用说明、维护手册和/或服务指南。这些文件应包装好随同货物一起发运。</w:t>
      </w:r>
    </w:p>
    <w:p>
      <w:pPr>
        <w:spacing w:line="360" w:lineRule="auto"/>
        <w:ind w:firstLine="420" w:firstLineChars="200"/>
        <w:rPr>
          <w:rFonts w:ascii="宋体" w:hAnsi="宋体"/>
          <w:szCs w:val="21"/>
        </w:rPr>
      </w:pPr>
      <w:r>
        <w:rPr>
          <w:rFonts w:hint="eastAsia" w:ascii="宋体" w:hAnsi="宋体"/>
          <w:szCs w:val="21"/>
        </w:rPr>
        <w:t>乙方还应提供下列服务：</w:t>
      </w:r>
    </w:p>
    <w:p>
      <w:pPr>
        <w:spacing w:line="360" w:lineRule="auto"/>
        <w:ind w:firstLine="420" w:firstLineChars="200"/>
        <w:rPr>
          <w:rFonts w:ascii="宋体" w:hAnsi="宋体"/>
          <w:szCs w:val="21"/>
        </w:rPr>
      </w:pPr>
      <w:r>
        <w:rPr>
          <w:rFonts w:hint="eastAsia" w:ascii="宋体" w:hAnsi="宋体"/>
          <w:szCs w:val="21"/>
        </w:rPr>
        <w:t>（1）货物的现场指导安装、调试、启动监督及技术支持；</w:t>
      </w:r>
    </w:p>
    <w:p>
      <w:pPr>
        <w:spacing w:line="360" w:lineRule="auto"/>
        <w:ind w:firstLine="420" w:firstLineChars="200"/>
        <w:rPr>
          <w:rFonts w:ascii="宋体" w:hAnsi="宋体"/>
          <w:szCs w:val="21"/>
        </w:rPr>
      </w:pPr>
      <w:r>
        <w:rPr>
          <w:rFonts w:hint="eastAsia" w:ascii="宋体" w:hAnsi="宋体"/>
          <w:szCs w:val="21"/>
        </w:rPr>
        <w:t>（2）在厂家和/或项目现场就货物的指导安装、启动、运营、维护对甲方操作人员进行培训。辅助服务的费用包含在合同价中，甲方不再另行支付。</w:t>
      </w:r>
    </w:p>
    <w:p>
      <w:pPr>
        <w:spacing w:line="360" w:lineRule="auto"/>
        <w:rPr>
          <w:rFonts w:ascii="宋体" w:hAnsi="宋体"/>
          <w:szCs w:val="21"/>
        </w:rPr>
      </w:pPr>
      <w:r>
        <w:rPr>
          <w:rFonts w:hint="eastAsia" w:ascii="宋体" w:hAnsi="宋体"/>
          <w:b/>
          <w:bCs/>
          <w:szCs w:val="21"/>
        </w:rPr>
        <w:t>第十二条</w:t>
      </w:r>
      <w:r>
        <w:rPr>
          <w:rFonts w:hint="eastAsia" w:ascii="宋体" w:hAnsi="宋体"/>
          <w:b/>
          <w:bCs/>
          <w:szCs w:val="21"/>
          <w:lang w:val="en-US" w:eastAsia="zh-CN"/>
        </w:rPr>
        <w:t xml:space="preserve">  </w:t>
      </w:r>
      <w:r>
        <w:rPr>
          <w:rFonts w:hint="eastAsia" w:ascii="宋体" w:hAnsi="宋体"/>
          <w:b/>
          <w:bCs/>
          <w:szCs w:val="21"/>
        </w:rPr>
        <w:t>质量保证</w:t>
      </w:r>
    </w:p>
    <w:p>
      <w:pPr>
        <w:spacing w:line="360" w:lineRule="auto"/>
        <w:ind w:firstLine="420" w:firstLineChars="200"/>
        <w:rPr>
          <w:rFonts w:ascii="宋体" w:hAnsi="宋体"/>
          <w:szCs w:val="21"/>
        </w:rPr>
      </w:pPr>
      <w:r>
        <w:rPr>
          <w:rFonts w:hint="eastAsia" w:ascii="宋体" w:hAnsi="宋体"/>
          <w:szCs w:val="21"/>
        </w:rPr>
        <w:t>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Pr>
          <w:rFonts w:hint="eastAsia" w:ascii="宋体" w:hAnsi="宋体"/>
          <w:szCs w:val="21"/>
          <w:u w:val="single"/>
        </w:rPr>
        <w:t xml:space="preserve">   </w:t>
      </w:r>
      <w:r>
        <w:rPr>
          <w:rFonts w:hint="eastAsia" w:ascii="宋体" w:hAnsi="宋体"/>
          <w:szCs w:val="21"/>
        </w:rPr>
        <w:t>年的质量保证期内，乙方应对由于设计、工艺或材料的缺陷而产生的故障负责。</w:t>
      </w:r>
    </w:p>
    <w:p>
      <w:pPr>
        <w:spacing w:line="360" w:lineRule="auto"/>
        <w:ind w:firstLine="420" w:firstLineChars="200"/>
        <w:rPr>
          <w:rFonts w:ascii="宋体" w:hAnsi="宋体"/>
          <w:szCs w:val="21"/>
        </w:rPr>
      </w:pPr>
      <w:r>
        <w:rPr>
          <w:rFonts w:hint="eastAsia" w:ascii="宋体" w:hAnsi="宋体"/>
          <w:szCs w:val="21"/>
        </w:rPr>
        <w:t>在质量保证期内，如果货物的质量或规格与合同不符，或证实货物是有缺陷的，包括潜在的缺陷或使用不符合要求的材料等，甲方可以根据本合同第十三条规定以书面形式向乙方提出补救措施或索赔。</w:t>
      </w:r>
    </w:p>
    <w:p>
      <w:pPr>
        <w:spacing w:line="360" w:lineRule="auto"/>
        <w:ind w:firstLine="420" w:firstLineChars="200"/>
        <w:rPr>
          <w:rFonts w:ascii="宋体" w:hAnsi="宋体"/>
          <w:szCs w:val="21"/>
        </w:rPr>
      </w:pPr>
      <w:r>
        <w:rPr>
          <w:rFonts w:hint="eastAsia" w:ascii="宋体" w:hAnsi="宋体"/>
          <w:szCs w:val="21"/>
        </w:rPr>
        <w:t>乙方在约定的时间内未能弥补缺陷，甲方可采取必要的补救措施，但其风险和费用将由乙方承担，甲方根据合同规定对乙方行使的其他权利不受影响。</w:t>
      </w:r>
    </w:p>
    <w:p>
      <w:pPr>
        <w:spacing w:line="360" w:lineRule="auto"/>
        <w:rPr>
          <w:rFonts w:ascii="宋体" w:hAnsi="宋体"/>
          <w:szCs w:val="21"/>
        </w:rPr>
      </w:pPr>
      <w:r>
        <w:rPr>
          <w:rFonts w:hint="eastAsia" w:ascii="宋体" w:hAnsi="宋体"/>
          <w:b/>
          <w:bCs/>
          <w:szCs w:val="21"/>
        </w:rPr>
        <w:t>第十三条</w:t>
      </w:r>
      <w:r>
        <w:rPr>
          <w:rFonts w:hint="eastAsia" w:ascii="宋体" w:hAnsi="宋体"/>
          <w:b/>
          <w:bCs/>
          <w:szCs w:val="21"/>
          <w:lang w:val="en-US" w:eastAsia="zh-CN"/>
        </w:rPr>
        <w:t xml:space="preserve">  </w:t>
      </w:r>
      <w:r>
        <w:rPr>
          <w:rFonts w:hint="eastAsia" w:ascii="宋体" w:hAnsi="宋体"/>
          <w:b/>
          <w:bCs/>
          <w:szCs w:val="21"/>
        </w:rPr>
        <w:t>补救措施和索赔</w:t>
      </w:r>
    </w:p>
    <w:p>
      <w:pPr>
        <w:spacing w:line="360" w:lineRule="auto"/>
        <w:ind w:firstLine="420" w:firstLineChars="200"/>
        <w:rPr>
          <w:rFonts w:ascii="宋体" w:hAnsi="宋体"/>
          <w:szCs w:val="21"/>
        </w:rPr>
      </w:pPr>
      <w:r>
        <w:rPr>
          <w:rFonts w:hint="eastAsia" w:ascii="宋体" w:hAnsi="宋体"/>
          <w:szCs w:val="21"/>
        </w:rPr>
        <w:t>1、甲方有权根据权威质量检测部门出具的检验报告向乙方提出索赔。</w:t>
      </w:r>
    </w:p>
    <w:p>
      <w:pPr>
        <w:spacing w:line="360" w:lineRule="auto"/>
        <w:ind w:firstLine="420" w:firstLineChars="200"/>
        <w:rPr>
          <w:rFonts w:ascii="宋体" w:hAnsi="宋体"/>
          <w:szCs w:val="21"/>
        </w:rPr>
      </w:pPr>
      <w:r>
        <w:rPr>
          <w:rFonts w:hint="eastAsia" w:ascii="宋体" w:hAnsi="宋体"/>
          <w:szCs w:val="21"/>
        </w:rPr>
        <w:t>2、在质量保证期内，如果乙方对缺陷产品负有责任而甲方提出索赔，乙方应按照甲方同意的下列一种或多种方式解决索赔事宜，并且甲方可以收取乙方合同总价20%的违约金：</w:t>
      </w:r>
    </w:p>
    <w:p>
      <w:pPr>
        <w:spacing w:line="360" w:lineRule="auto"/>
        <w:ind w:firstLine="420" w:firstLineChars="200"/>
        <w:rPr>
          <w:rFonts w:ascii="宋体" w:hAnsi="宋体"/>
          <w:szCs w:val="21"/>
        </w:rPr>
      </w:pPr>
      <w:r>
        <w:rPr>
          <w:rFonts w:hint="eastAsia" w:ascii="宋体" w:hAnsi="宋体"/>
          <w:szCs w:val="21"/>
        </w:rPr>
        <w:t>（1） 乙方退货并将货款退还给甲方，由此发生的一切费用和损失由乙方承担。</w:t>
      </w:r>
    </w:p>
    <w:p>
      <w:pPr>
        <w:spacing w:line="360" w:lineRule="auto"/>
        <w:ind w:firstLine="420" w:firstLineChars="200"/>
        <w:rPr>
          <w:rFonts w:ascii="宋体" w:hAnsi="宋体"/>
          <w:szCs w:val="21"/>
        </w:rPr>
      </w:pPr>
      <w:r>
        <w:rPr>
          <w:rFonts w:hint="eastAsia" w:ascii="宋体" w:hAnsi="宋体"/>
          <w:szCs w:val="21"/>
        </w:rPr>
        <w:t>（2） 根据货物的质量状况以及甲方所遭受的损失，经过甲方及乙方商定降低货物的价格。</w:t>
      </w:r>
    </w:p>
    <w:p>
      <w:pPr>
        <w:spacing w:line="360" w:lineRule="auto"/>
        <w:ind w:firstLine="420" w:firstLineChars="200"/>
        <w:rPr>
          <w:rFonts w:ascii="宋体" w:hAnsi="宋体"/>
          <w:szCs w:val="21"/>
        </w:rPr>
      </w:pPr>
      <w:r>
        <w:rPr>
          <w:rFonts w:hint="eastAsia" w:ascii="宋体" w:hAnsi="宋体"/>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spacing w:line="360" w:lineRule="auto"/>
        <w:ind w:firstLine="420" w:firstLineChars="200"/>
        <w:rPr>
          <w:rFonts w:hint="eastAsia" w:ascii="宋体" w:hAnsi="宋体"/>
          <w:szCs w:val="21"/>
        </w:rPr>
      </w:pPr>
      <w:r>
        <w:rPr>
          <w:rFonts w:hint="eastAsia" w:ascii="宋体" w:hAnsi="宋体"/>
          <w:szCs w:val="21"/>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pacing w:line="360" w:lineRule="auto"/>
        <w:rPr>
          <w:rFonts w:ascii="宋体" w:hAnsi="宋体"/>
          <w:szCs w:val="21"/>
        </w:rPr>
      </w:pPr>
      <w:r>
        <w:rPr>
          <w:rFonts w:hint="eastAsia"/>
          <w:lang w:val="en-US" w:eastAsia="zh-CN"/>
        </w:rPr>
        <w:t xml:space="preserve"> </w:t>
      </w:r>
      <w:r>
        <w:rPr>
          <w:rFonts w:hint="eastAsia" w:ascii="宋体" w:hAnsi="宋体"/>
          <w:b/>
          <w:bCs/>
          <w:szCs w:val="21"/>
        </w:rPr>
        <w:t>第十四条</w:t>
      </w:r>
      <w:r>
        <w:rPr>
          <w:rFonts w:hint="eastAsia" w:ascii="宋体" w:hAnsi="宋体"/>
          <w:b/>
          <w:bCs/>
          <w:szCs w:val="21"/>
          <w:lang w:val="en-US" w:eastAsia="zh-CN"/>
        </w:rPr>
        <w:t xml:space="preserve">  </w:t>
      </w:r>
      <w:r>
        <w:rPr>
          <w:rFonts w:hint="eastAsia" w:ascii="宋体" w:hAnsi="宋体"/>
          <w:b/>
          <w:bCs/>
          <w:szCs w:val="21"/>
        </w:rPr>
        <w:t>履约延误</w:t>
      </w:r>
    </w:p>
    <w:p>
      <w:pPr>
        <w:spacing w:line="360" w:lineRule="auto"/>
        <w:ind w:firstLine="420" w:firstLineChars="200"/>
        <w:rPr>
          <w:rFonts w:ascii="宋体" w:hAnsi="宋体"/>
          <w:szCs w:val="21"/>
        </w:rPr>
      </w:pPr>
      <w:r>
        <w:rPr>
          <w:rFonts w:hint="eastAsia" w:ascii="宋体" w:hAnsi="宋体"/>
          <w:szCs w:val="21"/>
        </w:rPr>
        <w:t>1、乙方应按照《合同》规定的时间、地点交货和提供服务。</w:t>
      </w:r>
    </w:p>
    <w:p>
      <w:pPr>
        <w:spacing w:line="360" w:lineRule="auto"/>
        <w:ind w:firstLine="420" w:firstLineChars="200"/>
        <w:rPr>
          <w:rFonts w:ascii="宋体" w:hAnsi="宋体"/>
          <w:szCs w:val="21"/>
        </w:rPr>
      </w:pPr>
      <w:r>
        <w:rPr>
          <w:rFonts w:hint="eastAsia" w:ascii="宋体" w:hAnsi="宋体"/>
          <w:szCs w:val="21"/>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pacing w:line="360" w:lineRule="auto"/>
        <w:ind w:firstLine="420" w:firstLineChars="200"/>
        <w:rPr>
          <w:rFonts w:ascii="宋体" w:hAnsi="宋体"/>
          <w:szCs w:val="21"/>
        </w:rPr>
      </w:pPr>
      <w:r>
        <w:rPr>
          <w:rFonts w:hint="eastAsia" w:ascii="宋体" w:hAnsi="宋体"/>
          <w:szCs w:val="21"/>
        </w:rPr>
        <w:t>3、如乙方无正当理由而拖延交货，经协商无效,甲方有权追究乙方的违约责任。延期交货违约责任按每延期一天罚款</w:t>
      </w:r>
      <w:r>
        <w:rPr>
          <w:rFonts w:hint="eastAsia" w:ascii="宋体" w:hAnsi="宋体"/>
          <w:szCs w:val="21"/>
          <w:u w:val="single"/>
        </w:rPr>
        <w:t xml:space="preserve">     </w:t>
      </w:r>
      <w:r>
        <w:rPr>
          <w:rFonts w:hint="eastAsia" w:ascii="宋体" w:hAnsi="宋体"/>
          <w:szCs w:val="21"/>
        </w:rPr>
        <w:t>处理，如果超出合同规定期限15天应不能供货，则甲方可以终止合同，并收取乙方合同总价20%的违约金。</w:t>
      </w:r>
    </w:p>
    <w:p>
      <w:pPr>
        <w:spacing w:line="360" w:lineRule="auto"/>
        <w:rPr>
          <w:rFonts w:ascii="宋体" w:hAnsi="宋体"/>
          <w:szCs w:val="21"/>
        </w:rPr>
      </w:pPr>
      <w:r>
        <w:rPr>
          <w:rFonts w:hint="eastAsia" w:ascii="宋体" w:hAnsi="宋体"/>
          <w:b/>
          <w:bCs/>
          <w:szCs w:val="21"/>
        </w:rPr>
        <w:t>第十五条</w:t>
      </w:r>
      <w:r>
        <w:rPr>
          <w:rFonts w:hint="eastAsia" w:ascii="宋体" w:hAnsi="宋体"/>
          <w:b/>
          <w:bCs/>
          <w:szCs w:val="21"/>
          <w:lang w:val="en-US" w:eastAsia="zh-CN"/>
        </w:rPr>
        <w:t xml:space="preserve">  </w:t>
      </w:r>
      <w:r>
        <w:rPr>
          <w:rFonts w:hint="eastAsia" w:ascii="宋体" w:hAnsi="宋体"/>
          <w:b/>
          <w:bCs/>
          <w:szCs w:val="21"/>
        </w:rPr>
        <w:t>不可抗力</w:t>
      </w:r>
    </w:p>
    <w:p>
      <w:pPr>
        <w:spacing w:line="360" w:lineRule="auto"/>
        <w:ind w:firstLine="420" w:firstLineChars="200"/>
        <w:rPr>
          <w:rFonts w:ascii="宋体" w:hAnsi="宋体"/>
          <w:szCs w:val="21"/>
        </w:rPr>
      </w:pPr>
      <w:r>
        <w:rPr>
          <w:rFonts w:hint="eastAsia" w:ascii="宋体" w:hAnsi="宋体"/>
          <w:szCs w:val="21"/>
        </w:rPr>
        <w:t>1、如果合同各方因不可抗力而导致合同实施延误或不能履行合同义务的话，不应该承担误期赔偿或不能履行合同义务的责任。</w:t>
      </w:r>
    </w:p>
    <w:p>
      <w:pPr>
        <w:spacing w:line="360" w:lineRule="auto"/>
        <w:ind w:firstLine="420" w:firstLineChars="200"/>
        <w:rPr>
          <w:rFonts w:ascii="宋体" w:hAnsi="宋体"/>
          <w:szCs w:val="21"/>
        </w:rPr>
      </w:pPr>
      <w:r>
        <w:rPr>
          <w:rFonts w:hint="eastAsia" w:ascii="宋体" w:hAnsi="宋体"/>
          <w:szCs w:val="21"/>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360" w:lineRule="auto"/>
        <w:ind w:firstLine="420" w:firstLineChars="200"/>
        <w:rPr>
          <w:rFonts w:ascii="宋体" w:hAnsi="宋体"/>
          <w:szCs w:val="21"/>
        </w:rPr>
      </w:pPr>
      <w:r>
        <w:rPr>
          <w:rFonts w:hint="eastAsia" w:ascii="宋体" w:hAnsi="宋体"/>
          <w:szCs w:val="21"/>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pacing w:line="360" w:lineRule="auto"/>
        <w:rPr>
          <w:rFonts w:ascii="宋体" w:hAnsi="宋体"/>
          <w:szCs w:val="21"/>
        </w:rPr>
      </w:pPr>
      <w:r>
        <w:rPr>
          <w:rFonts w:hint="eastAsia" w:ascii="宋体" w:hAnsi="宋体"/>
          <w:b/>
          <w:bCs/>
          <w:szCs w:val="21"/>
        </w:rPr>
        <w:t>第十六条</w:t>
      </w:r>
      <w:r>
        <w:rPr>
          <w:rFonts w:hint="eastAsia" w:ascii="宋体" w:hAnsi="宋体"/>
          <w:b/>
          <w:bCs/>
          <w:szCs w:val="21"/>
          <w:lang w:val="en-US" w:eastAsia="zh-CN"/>
        </w:rPr>
        <w:t xml:space="preserve">  </w:t>
      </w:r>
      <w:r>
        <w:rPr>
          <w:rFonts w:hint="eastAsia" w:ascii="宋体" w:hAnsi="宋体"/>
          <w:b/>
          <w:bCs/>
          <w:szCs w:val="21"/>
        </w:rPr>
        <w:t>争议的解决</w:t>
      </w:r>
    </w:p>
    <w:p>
      <w:pPr>
        <w:spacing w:line="360" w:lineRule="auto"/>
        <w:ind w:firstLine="420" w:firstLineChars="200"/>
        <w:rPr>
          <w:rFonts w:ascii="宋体" w:hAnsi="宋体"/>
          <w:szCs w:val="21"/>
        </w:rPr>
      </w:pPr>
      <w:r>
        <w:rPr>
          <w:rFonts w:hint="eastAsia" w:ascii="宋体" w:hAnsi="宋体"/>
          <w:szCs w:val="21"/>
        </w:rPr>
        <w:t>在发生所供商品的质量、售后服务等问题时，甲方有权直接向乙方索赔，签订必要的书面处理合同。协商不能解决的，任何一方有权在合同签约地选择仲裁或诉讼的途径解决。</w:t>
      </w:r>
    </w:p>
    <w:p>
      <w:pPr>
        <w:spacing w:line="360" w:lineRule="auto"/>
        <w:rPr>
          <w:rFonts w:ascii="宋体" w:hAnsi="宋体"/>
          <w:szCs w:val="21"/>
        </w:rPr>
      </w:pPr>
      <w:r>
        <w:rPr>
          <w:rFonts w:hint="eastAsia" w:ascii="宋体" w:hAnsi="宋体"/>
          <w:b/>
          <w:bCs/>
          <w:szCs w:val="21"/>
        </w:rPr>
        <w:t>第十七条</w:t>
      </w:r>
      <w:r>
        <w:rPr>
          <w:rFonts w:hint="eastAsia" w:ascii="宋体" w:hAnsi="宋体"/>
          <w:b/>
          <w:bCs/>
          <w:szCs w:val="21"/>
          <w:lang w:val="en-US" w:eastAsia="zh-CN"/>
        </w:rPr>
        <w:t xml:space="preserve">  </w:t>
      </w:r>
      <w:r>
        <w:rPr>
          <w:rFonts w:hint="eastAsia" w:ascii="宋体" w:hAnsi="宋体"/>
          <w:b/>
          <w:bCs/>
          <w:szCs w:val="21"/>
        </w:rPr>
        <w:t>违约处理</w:t>
      </w:r>
    </w:p>
    <w:p>
      <w:pPr>
        <w:spacing w:line="360" w:lineRule="auto"/>
        <w:ind w:firstLine="420" w:firstLineChars="200"/>
        <w:rPr>
          <w:rFonts w:ascii="宋体" w:hAnsi="宋体"/>
          <w:szCs w:val="21"/>
        </w:rPr>
      </w:pPr>
      <w:r>
        <w:rPr>
          <w:rFonts w:hint="eastAsia" w:ascii="宋体" w:hAnsi="宋体"/>
          <w:szCs w:val="21"/>
        </w:rPr>
        <w:t>1、在甲方对乙方违约而采取的任何补救措施不受影响的情况下，甲方可在下列情况下向乙方发出书面通知书，提出终止部分或全部合同。</w:t>
      </w:r>
    </w:p>
    <w:p>
      <w:pPr>
        <w:spacing w:line="360" w:lineRule="auto"/>
        <w:ind w:firstLine="420" w:firstLineChars="200"/>
        <w:rPr>
          <w:rFonts w:ascii="宋体" w:hAnsi="宋体"/>
          <w:szCs w:val="21"/>
        </w:rPr>
      </w:pPr>
      <w:r>
        <w:rPr>
          <w:rFonts w:hint="eastAsia" w:ascii="宋体" w:hAnsi="宋体"/>
          <w:szCs w:val="21"/>
        </w:rPr>
        <w:t>（1）乙方提供的产品质量、配置不符合国家规定和承诺的标准；</w:t>
      </w:r>
    </w:p>
    <w:p>
      <w:pPr>
        <w:spacing w:line="360" w:lineRule="auto"/>
        <w:ind w:firstLine="420" w:firstLineChars="200"/>
        <w:rPr>
          <w:rFonts w:ascii="宋体" w:hAnsi="宋体"/>
          <w:szCs w:val="21"/>
        </w:rPr>
      </w:pPr>
      <w:r>
        <w:rPr>
          <w:rFonts w:hint="eastAsia" w:ascii="宋体" w:hAnsi="宋体"/>
          <w:szCs w:val="21"/>
        </w:rPr>
        <w:t>（2）乙方没有按承诺的时间供货、维修或提供其他服务；</w:t>
      </w:r>
    </w:p>
    <w:p>
      <w:pPr>
        <w:spacing w:line="360" w:lineRule="auto"/>
        <w:ind w:firstLine="420" w:firstLineChars="200"/>
        <w:rPr>
          <w:rFonts w:ascii="宋体" w:hAnsi="宋体"/>
          <w:szCs w:val="21"/>
        </w:rPr>
      </w:pPr>
      <w:r>
        <w:rPr>
          <w:rFonts w:hint="eastAsia" w:ascii="宋体" w:hAnsi="宋体"/>
          <w:szCs w:val="21"/>
        </w:rPr>
        <w:t>（3）乙方没有按承诺的价格或优惠率签订合同并供货；</w:t>
      </w:r>
    </w:p>
    <w:p>
      <w:pPr>
        <w:spacing w:line="360" w:lineRule="auto"/>
        <w:ind w:firstLine="420" w:firstLineChars="200"/>
        <w:rPr>
          <w:rFonts w:hint="eastAsia" w:ascii="宋体" w:hAnsi="宋体"/>
          <w:szCs w:val="21"/>
        </w:rPr>
      </w:pPr>
      <w:r>
        <w:rPr>
          <w:rFonts w:hint="eastAsia" w:ascii="宋体" w:hAnsi="宋体"/>
          <w:szCs w:val="21"/>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bidi w:val="0"/>
        <w:spacing w:line="360" w:lineRule="auto"/>
        <w:ind w:firstLine="420" w:firstLineChars="200"/>
        <w:rPr>
          <w:rFonts w:hint="eastAsia"/>
          <w:lang w:val="en-US" w:eastAsia="zh-CN"/>
        </w:rPr>
      </w:pPr>
      <w:r>
        <w:rPr>
          <w:rFonts w:hint="eastAsia"/>
          <w:lang w:val="en-US" w:eastAsia="zh-CN"/>
        </w:rPr>
        <w:t>3、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pPr>
        <w:bidi w:val="0"/>
        <w:spacing w:line="360" w:lineRule="auto"/>
        <w:rPr>
          <w:rFonts w:hint="default"/>
          <w:lang w:val="en-US" w:eastAsia="zh-CN"/>
        </w:rPr>
      </w:pPr>
      <w:r>
        <w:rPr>
          <w:rFonts w:hint="eastAsia"/>
          <w:lang w:val="en-US" w:eastAsia="zh-CN"/>
        </w:rPr>
        <w:t xml:space="preserve">    4、由于甲方保管不善或使用不当造成设备短缺、故障或损坏，由甲方负责。但乙方保证及时给予补齐和修复。</w:t>
      </w:r>
    </w:p>
    <w:p>
      <w:pPr>
        <w:spacing w:line="360" w:lineRule="auto"/>
        <w:rPr>
          <w:rFonts w:ascii="宋体" w:hAnsi="宋体"/>
          <w:szCs w:val="21"/>
        </w:rPr>
      </w:pPr>
      <w:r>
        <w:rPr>
          <w:rFonts w:hint="eastAsia" w:ascii="宋体" w:hAnsi="宋体"/>
          <w:b/>
          <w:bCs/>
          <w:szCs w:val="21"/>
        </w:rPr>
        <w:t>第十八条</w:t>
      </w:r>
      <w:r>
        <w:rPr>
          <w:rFonts w:hint="eastAsia" w:ascii="宋体" w:hAnsi="宋体"/>
          <w:b/>
          <w:bCs/>
          <w:szCs w:val="21"/>
          <w:lang w:val="en-US" w:eastAsia="zh-CN"/>
        </w:rPr>
        <w:t xml:space="preserve">  </w:t>
      </w:r>
      <w:r>
        <w:rPr>
          <w:rFonts w:hint="eastAsia" w:ascii="宋体" w:hAnsi="宋体"/>
          <w:b/>
          <w:bCs/>
          <w:szCs w:val="21"/>
        </w:rPr>
        <w:t>合同转让和分包</w:t>
      </w:r>
    </w:p>
    <w:p>
      <w:pPr>
        <w:spacing w:line="360" w:lineRule="auto"/>
        <w:ind w:firstLine="420" w:firstLineChars="200"/>
        <w:rPr>
          <w:rFonts w:ascii="宋体" w:hAnsi="宋体"/>
          <w:szCs w:val="21"/>
        </w:rPr>
      </w:pPr>
      <w:r>
        <w:rPr>
          <w:rFonts w:hint="eastAsia" w:ascii="宋体" w:hAnsi="宋体"/>
          <w:szCs w:val="21"/>
        </w:rPr>
        <w:t>除甲方事先书面同意外，乙方不得转让和分包其应履行的合同义务。</w:t>
      </w:r>
    </w:p>
    <w:p>
      <w:pPr>
        <w:spacing w:line="360" w:lineRule="auto"/>
        <w:rPr>
          <w:rFonts w:ascii="宋体" w:hAnsi="宋体"/>
          <w:szCs w:val="21"/>
        </w:rPr>
      </w:pPr>
      <w:r>
        <w:rPr>
          <w:rFonts w:hint="eastAsia" w:ascii="宋体" w:hAnsi="宋体"/>
          <w:b/>
          <w:bCs/>
          <w:szCs w:val="21"/>
        </w:rPr>
        <w:t>第十九条</w:t>
      </w:r>
      <w:r>
        <w:rPr>
          <w:rFonts w:hint="eastAsia" w:ascii="宋体" w:hAnsi="宋体"/>
          <w:b/>
          <w:bCs/>
          <w:szCs w:val="21"/>
          <w:lang w:val="en-US" w:eastAsia="zh-CN"/>
        </w:rPr>
        <w:t xml:space="preserve">  </w:t>
      </w:r>
      <w:r>
        <w:rPr>
          <w:rFonts w:hint="eastAsia" w:ascii="宋体" w:hAnsi="宋体"/>
          <w:b/>
          <w:bCs/>
          <w:szCs w:val="21"/>
        </w:rPr>
        <w:t>合同生效</w:t>
      </w:r>
    </w:p>
    <w:p>
      <w:pPr>
        <w:spacing w:line="360" w:lineRule="auto"/>
        <w:ind w:firstLine="420" w:firstLineChars="200"/>
        <w:rPr>
          <w:rFonts w:ascii="宋体" w:hAnsi="宋体"/>
          <w:szCs w:val="21"/>
        </w:rPr>
      </w:pPr>
      <w:r>
        <w:rPr>
          <w:rFonts w:hint="eastAsia" w:ascii="宋体" w:hAnsi="宋体"/>
          <w:szCs w:val="21"/>
        </w:rPr>
        <w:t>1、如上述文件与本合同有不符之处，以有利于甲方的为准。</w:t>
      </w:r>
    </w:p>
    <w:p>
      <w:pPr>
        <w:spacing w:line="360" w:lineRule="auto"/>
        <w:ind w:firstLine="420" w:firstLineChars="200"/>
        <w:rPr>
          <w:rFonts w:ascii="宋体" w:hAnsi="宋体"/>
          <w:szCs w:val="21"/>
        </w:rPr>
      </w:pPr>
      <w:r>
        <w:rPr>
          <w:rFonts w:hint="eastAsia" w:ascii="宋体" w:hAnsi="宋体"/>
          <w:szCs w:val="21"/>
        </w:rPr>
        <w:t>2、本合同在甲方收到乙方提交的履约保证金后，且经双方法定代表人或授权代表签署，甲方及乙方加盖印章后生效。</w:t>
      </w:r>
    </w:p>
    <w:p>
      <w:pPr>
        <w:spacing w:line="360" w:lineRule="auto"/>
        <w:ind w:firstLine="420" w:firstLineChars="200"/>
        <w:rPr>
          <w:rFonts w:ascii="宋体" w:hAnsi="宋体"/>
          <w:szCs w:val="21"/>
        </w:rPr>
      </w:pPr>
      <w:r>
        <w:rPr>
          <w:rFonts w:hint="eastAsia" w:ascii="宋体" w:hAnsi="宋体"/>
          <w:szCs w:val="21"/>
        </w:rPr>
        <w:t>3、本合同一式伍份，甲方人贰份、乙方贰份及代理机构壹份。</w:t>
      </w:r>
    </w:p>
    <w:p>
      <w:pPr>
        <w:spacing w:line="360" w:lineRule="auto"/>
        <w:rPr>
          <w:rFonts w:ascii="宋体" w:hAnsi="宋体"/>
          <w:szCs w:val="21"/>
        </w:rPr>
      </w:pPr>
      <w:r>
        <w:rPr>
          <w:rFonts w:hint="eastAsia" w:ascii="宋体" w:hAnsi="宋体"/>
          <w:b/>
          <w:bCs/>
          <w:szCs w:val="21"/>
        </w:rPr>
        <w:t>第二十条</w:t>
      </w:r>
      <w:r>
        <w:rPr>
          <w:rFonts w:hint="eastAsia" w:ascii="宋体" w:hAnsi="宋体"/>
          <w:b/>
          <w:bCs/>
          <w:szCs w:val="21"/>
          <w:lang w:val="en-US" w:eastAsia="zh-CN"/>
        </w:rPr>
        <w:t xml:space="preserve">  </w:t>
      </w:r>
      <w:r>
        <w:rPr>
          <w:rFonts w:hint="eastAsia" w:ascii="宋体" w:hAnsi="宋体"/>
          <w:b/>
          <w:bCs/>
          <w:szCs w:val="21"/>
        </w:rPr>
        <w:t>合同修改</w:t>
      </w:r>
    </w:p>
    <w:p>
      <w:pPr>
        <w:spacing w:line="360" w:lineRule="auto"/>
        <w:ind w:firstLine="420" w:firstLineChars="200"/>
        <w:rPr>
          <w:rFonts w:ascii="宋体" w:hAnsi="宋体"/>
          <w:szCs w:val="21"/>
        </w:rPr>
      </w:pPr>
      <w:r>
        <w:rPr>
          <w:rFonts w:hint="eastAsia" w:ascii="宋体" w:hAnsi="宋体"/>
          <w:szCs w:val="21"/>
        </w:rPr>
        <w:t>除了双方签署书面修改合同，并成为本合同不可分割的一部分之外，本合同条件不得有任何变化或修改。</w:t>
      </w:r>
    </w:p>
    <w:p>
      <w:pPr>
        <w:spacing w:line="360" w:lineRule="auto"/>
        <w:rPr>
          <w:rFonts w:ascii="宋体" w:hAnsi="宋体"/>
          <w:szCs w:val="21"/>
        </w:rPr>
      </w:pPr>
      <w:r>
        <w:rPr>
          <w:rFonts w:hint="eastAsia" w:ascii="宋体" w:hAnsi="宋体"/>
          <w:b/>
          <w:bCs/>
          <w:szCs w:val="21"/>
        </w:rPr>
        <w:t>第二十一条</w:t>
      </w:r>
      <w:r>
        <w:rPr>
          <w:rFonts w:hint="eastAsia" w:ascii="宋体" w:hAnsi="宋体"/>
          <w:b/>
          <w:bCs/>
          <w:szCs w:val="21"/>
          <w:lang w:val="en-US" w:eastAsia="zh-CN"/>
        </w:rPr>
        <w:t xml:space="preserve">  </w:t>
      </w:r>
      <w:r>
        <w:rPr>
          <w:rFonts w:hint="eastAsia" w:ascii="宋体" w:hAnsi="宋体"/>
          <w:b/>
          <w:bCs/>
          <w:szCs w:val="21"/>
        </w:rPr>
        <w:t>合同附件</w:t>
      </w:r>
    </w:p>
    <w:p>
      <w:pPr>
        <w:spacing w:line="360" w:lineRule="auto"/>
        <w:ind w:firstLine="420" w:firstLineChars="200"/>
        <w:rPr>
          <w:rFonts w:ascii="宋体" w:hAnsi="宋体"/>
          <w:szCs w:val="21"/>
        </w:rPr>
      </w:pPr>
      <w:r>
        <w:rPr>
          <w:rFonts w:hint="eastAsia" w:ascii="宋体" w:hAnsi="宋体"/>
          <w:szCs w:val="21"/>
        </w:rPr>
        <w:t>下列文件与本合同具有同等法律效力：</w:t>
      </w:r>
    </w:p>
    <w:p>
      <w:pPr>
        <w:spacing w:line="360" w:lineRule="auto"/>
        <w:ind w:firstLine="420" w:firstLineChars="200"/>
        <w:rPr>
          <w:rFonts w:ascii="宋体" w:hAnsi="宋体"/>
          <w:szCs w:val="21"/>
        </w:rPr>
      </w:pPr>
      <w:r>
        <w:rPr>
          <w:rFonts w:hint="eastAsia" w:ascii="宋体" w:hAnsi="宋体"/>
          <w:szCs w:val="21"/>
        </w:rPr>
        <w:t>1、本合同书（主合同）；</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3、乙方磋商响应文件；</w:t>
      </w:r>
    </w:p>
    <w:p>
      <w:pPr>
        <w:spacing w:line="360" w:lineRule="auto"/>
        <w:ind w:firstLine="420" w:firstLineChars="200"/>
        <w:rPr>
          <w:rFonts w:ascii="宋体" w:hAnsi="宋体"/>
          <w:szCs w:val="21"/>
        </w:rPr>
      </w:pPr>
      <w:r>
        <w:rPr>
          <w:rFonts w:hint="eastAsia" w:ascii="宋体" w:hAnsi="宋体"/>
          <w:szCs w:val="21"/>
        </w:rPr>
        <w:t>4、询标纪要和承诺书；</w:t>
      </w:r>
    </w:p>
    <w:p>
      <w:pPr>
        <w:spacing w:line="360" w:lineRule="auto"/>
        <w:ind w:firstLine="420" w:firstLineChars="200"/>
        <w:rPr>
          <w:rFonts w:ascii="宋体" w:hAnsi="宋体"/>
          <w:szCs w:val="21"/>
        </w:rPr>
      </w:pPr>
      <w:r>
        <w:rPr>
          <w:rFonts w:hint="eastAsia" w:ascii="宋体" w:hAnsi="宋体"/>
          <w:szCs w:val="21"/>
        </w:rPr>
        <w:t>5、甲方的磋商文件与招标补充文件；</w:t>
      </w:r>
    </w:p>
    <w:p>
      <w:pPr>
        <w:spacing w:line="360" w:lineRule="auto"/>
        <w:ind w:firstLine="420" w:firstLineChars="200"/>
        <w:rPr>
          <w:rFonts w:ascii="宋体" w:hAnsi="宋体"/>
          <w:szCs w:val="21"/>
        </w:rPr>
      </w:pPr>
      <w:r>
        <w:rPr>
          <w:rFonts w:hint="eastAsia" w:ascii="宋体" w:hAnsi="宋体"/>
          <w:szCs w:val="21"/>
        </w:rPr>
        <w:t>6、国家及部门相关法律、法规、规范、标准等。</w:t>
      </w:r>
    </w:p>
    <w:p>
      <w:pPr>
        <w:spacing w:line="360" w:lineRule="auto"/>
        <w:ind w:firstLine="420" w:firstLineChars="200"/>
      </w:pPr>
      <w:r>
        <w:rPr>
          <w:rFonts w:hint="eastAsia" w:ascii="宋体" w:hAnsi="宋体"/>
          <w:szCs w:val="21"/>
        </w:rPr>
        <w:t>双方有关工程的洽商、变更等书面协议或文件视为本合同的组成部分。上述文件相互补充和解释，如有不明确或不一致之处，以合同约定次序以先者为准。</w:t>
      </w:r>
    </w:p>
    <w:p>
      <w:pPr>
        <w:spacing w:line="360" w:lineRule="auto"/>
        <w:ind w:left="420"/>
      </w:pPr>
      <w:r>
        <w:rPr>
          <w:rFonts w:hint="eastAsia"/>
        </w:rPr>
        <w:t>甲    方：（印章）                     乙    方：（印章）</w:t>
      </w:r>
    </w:p>
    <w:p>
      <w:pPr>
        <w:spacing w:line="360" w:lineRule="auto"/>
        <w:ind w:left="420"/>
      </w:pPr>
      <w:r>
        <w:rPr>
          <w:rFonts w:hint="eastAsia"/>
        </w:rPr>
        <w:t>全权代表：（签字）                     全权代表：（签字）</w:t>
      </w:r>
    </w:p>
    <w:p>
      <w:pPr>
        <w:spacing w:line="360" w:lineRule="auto"/>
        <w:ind w:left="420"/>
      </w:pPr>
      <w:r>
        <w:rPr>
          <w:rFonts w:hint="eastAsia"/>
        </w:rPr>
        <w:t>地    址：                             地    址：</w:t>
      </w:r>
    </w:p>
    <w:p>
      <w:pPr>
        <w:spacing w:line="360" w:lineRule="auto"/>
        <w:ind w:left="420"/>
      </w:pPr>
      <w:r>
        <w:rPr>
          <w:rFonts w:hint="eastAsia"/>
        </w:rPr>
        <w:t>邮政编码：                             邮政编码：</w:t>
      </w:r>
    </w:p>
    <w:p>
      <w:pPr>
        <w:spacing w:line="360" w:lineRule="auto"/>
        <w:ind w:left="420"/>
      </w:pPr>
      <w:r>
        <w:rPr>
          <w:rFonts w:hint="eastAsia"/>
        </w:rPr>
        <w:t>电    话：                             电    话：</w:t>
      </w:r>
    </w:p>
    <w:p>
      <w:pPr>
        <w:spacing w:line="360" w:lineRule="auto"/>
        <w:ind w:left="420"/>
      </w:pPr>
      <w:r>
        <w:rPr>
          <w:rFonts w:hint="eastAsia"/>
        </w:rPr>
        <w:t>传    真：                             传    真：</w:t>
      </w:r>
    </w:p>
    <w:p>
      <w:pPr>
        <w:spacing w:line="360" w:lineRule="auto"/>
        <w:ind w:left="420"/>
      </w:pPr>
      <w:r>
        <w:rPr>
          <w:rFonts w:hint="eastAsia"/>
        </w:rPr>
        <w:t>开户银行：                             开户银行：</w:t>
      </w:r>
    </w:p>
    <w:p>
      <w:pPr>
        <w:spacing w:line="360" w:lineRule="auto"/>
        <w:ind w:firstLine="315" w:firstLineChars="150"/>
      </w:pPr>
      <w:r>
        <w:rPr>
          <w:rFonts w:hint="eastAsia"/>
        </w:rPr>
        <w:t xml:space="preserve"> 账    号：                             账    号：</w:t>
      </w:r>
    </w:p>
    <w:p>
      <w:pPr>
        <w:widowControl/>
        <w:snapToGrid w:val="0"/>
        <w:spacing w:line="440" w:lineRule="exact"/>
        <w:ind w:firstLine="420" w:firstLineChars="200"/>
        <w:jc w:val="left"/>
        <w:rPr>
          <w:rFonts w:ascii="宋体" w:hAnsi="宋体"/>
        </w:rPr>
      </w:pPr>
      <w:r>
        <w:rPr>
          <w:rFonts w:hint="eastAsia" w:ascii="宋体" w:hAnsi="宋体"/>
        </w:rPr>
        <w:t xml:space="preserve">合同签订日期：     年    月   日       合同签订日期：      年    月   日  </w:t>
      </w:r>
    </w:p>
    <w:p>
      <w:pPr>
        <w:spacing w:line="360" w:lineRule="auto"/>
        <w:ind w:firstLine="315" w:firstLineChars="150"/>
      </w:pPr>
    </w:p>
    <w:p>
      <w:pPr>
        <w:pStyle w:val="33"/>
        <w:widowControl/>
        <w:snapToGrid w:val="0"/>
        <w:spacing w:line="360" w:lineRule="auto"/>
        <w:ind w:firstLine="0" w:firstLineChars="0"/>
        <w:jc w:val="left"/>
        <w:rPr>
          <w:rFonts w:ascii="宋体" w:hAnsi="宋体"/>
          <w:b/>
          <w:sz w:val="24"/>
        </w:rPr>
      </w:pPr>
      <w:r>
        <w:rPr>
          <w:rFonts w:ascii="宋体" w:hAnsi="宋体" w:cs="Arial"/>
          <w:b/>
          <w:bCs/>
          <w:szCs w:val="21"/>
        </w:rPr>
        <w:t>注：</w:t>
      </w:r>
      <w:r>
        <w:rPr>
          <w:rFonts w:hint="eastAsia" w:ascii="宋体" w:hAnsi="宋体" w:cs="Arial"/>
          <w:b/>
          <w:bCs/>
          <w:szCs w:val="21"/>
        </w:rPr>
        <w:t>1.</w:t>
      </w:r>
      <w:r>
        <w:rPr>
          <w:rFonts w:ascii="宋体" w:hAnsi="宋体" w:cs="Arial"/>
          <w:b/>
          <w:bCs/>
          <w:szCs w:val="21"/>
        </w:rPr>
        <w:t>上述条款仅供参考，具体以</w:t>
      </w:r>
      <w:r>
        <w:rPr>
          <w:rFonts w:hint="eastAsia" w:ascii="宋体" w:hAnsi="宋体" w:cs="Arial"/>
          <w:b/>
          <w:bCs/>
          <w:szCs w:val="21"/>
        </w:rPr>
        <w:t>中标供应商</w:t>
      </w:r>
      <w:r>
        <w:rPr>
          <w:rFonts w:ascii="宋体" w:hAnsi="宋体" w:cs="Arial"/>
          <w:b/>
          <w:bCs/>
          <w:szCs w:val="21"/>
        </w:rPr>
        <w:t>与</w:t>
      </w:r>
      <w:r>
        <w:rPr>
          <w:rFonts w:hint="eastAsia" w:ascii="宋体" w:hAnsi="宋体" w:cs="Arial"/>
          <w:b/>
          <w:bCs/>
          <w:szCs w:val="21"/>
        </w:rPr>
        <w:t>招标人</w:t>
      </w:r>
      <w:r>
        <w:rPr>
          <w:rFonts w:ascii="宋体" w:hAnsi="宋体" w:cs="Arial"/>
          <w:b/>
          <w:bCs/>
          <w:szCs w:val="21"/>
        </w:rPr>
        <w:t>所签定正式合同为准。</w:t>
      </w:r>
    </w:p>
    <w:p>
      <w:pPr>
        <w:adjustRightInd w:val="0"/>
        <w:snapToGrid w:val="0"/>
        <w:spacing w:line="460" w:lineRule="exact"/>
        <w:rPr>
          <w:rFonts w:ascii="宋体" w:hAnsi="宋体"/>
          <w:b/>
          <w:sz w:val="24"/>
        </w:rPr>
      </w:pPr>
      <w:r>
        <w:rPr>
          <w:rFonts w:hint="eastAsia" w:ascii="宋体" w:hAnsi="宋体"/>
          <w:b/>
          <w:sz w:val="24"/>
        </w:rPr>
        <w:t>附件:</w:t>
      </w:r>
    </w:p>
    <w:p>
      <w:pPr>
        <w:snapToGrid w:val="0"/>
        <w:spacing w:before="156" w:beforeLines="50" w:after="156" w:afterLines="50"/>
        <w:jc w:val="center"/>
        <w:rPr>
          <w:rFonts w:eastAsia="黑体"/>
          <w:sz w:val="30"/>
          <w:szCs w:val="30"/>
        </w:rPr>
      </w:pPr>
      <w:r>
        <mc:AlternateContent>
          <mc:Choice Requires="wps">
            <w:drawing>
              <wp:anchor distT="0" distB="0" distL="114300" distR="114300" simplePos="0" relativeHeight="251660288" behindDoc="0" locked="0" layoutInCell="1" allowOverlap="1">
                <wp:simplePos x="0" y="0"/>
                <wp:positionH relativeFrom="column">
                  <wp:posOffset>4640580</wp:posOffset>
                </wp:positionH>
                <wp:positionV relativeFrom="paragraph">
                  <wp:posOffset>78740</wp:posOffset>
                </wp:positionV>
                <wp:extent cx="1209675" cy="285115"/>
                <wp:effectExtent l="0" t="0" r="9525" b="635"/>
                <wp:wrapNone/>
                <wp:docPr id="1" name="文本框 1"/>
                <wp:cNvGraphicFramePr/>
                <a:graphic xmlns:a="http://schemas.openxmlformats.org/drawingml/2006/main">
                  <a:graphicData uri="http://schemas.microsoft.com/office/word/2010/wordprocessingShape">
                    <wps:wsp>
                      <wps:cNvSpPr txBox="1"/>
                      <wps:spPr>
                        <a:xfrm>
                          <a:off x="0" y="0"/>
                          <a:ext cx="1209675" cy="285115"/>
                        </a:xfrm>
                        <a:prstGeom prst="rect">
                          <a:avLst/>
                        </a:prstGeom>
                        <a:solidFill>
                          <a:srgbClr val="FFFFFF"/>
                        </a:solidFill>
                        <a:ln>
                          <a:noFill/>
                        </a:ln>
                      </wps:spPr>
                      <wps:txbx>
                        <w:txbxContent>
                          <w:p>
                            <w:pPr>
                              <w:spacing w:line="320" w:lineRule="exact"/>
                            </w:pPr>
                            <w:r>
                              <w:rPr>
                                <w:rFonts w:hint="eastAsia" w:eastAsia="黑体"/>
                                <w:sz w:val="24"/>
                              </w:rPr>
                              <w:t>NO：</w:t>
                            </w:r>
                          </w:p>
                        </w:txbxContent>
                      </wps:txbx>
                      <wps:bodyPr upright="1"/>
                    </wps:wsp>
                  </a:graphicData>
                </a:graphic>
              </wp:anchor>
            </w:drawing>
          </mc:Choice>
          <mc:Fallback>
            <w:pict>
              <v:shape id="_x0000_s1026" o:spid="_x0000_s1026" o:spt="202" type="#_x0000_t202" style="position:absolute;left:0pt;margin-left:365.4pt;margin-top:6.2pt;height:22.45pt;width:95.25pt;z-index:251660288;mso-width-relative:page;mso-height-relative:page;" fillcolor="#FFFFFF" filled="t" stroked="f" coordsize="21600,21600" o:gfxdata="UEsDBAoAAAAAAIdO4kAAAAAAAAAAAAAAAAAEAAAAZHJzL1BLAwQUAAAACACHTuJAZ3mKrtcAAAAJ AQAADwAAAGRycy9kb3ducmV2LnhtbE2PzU7DMBCE70i8g7VIXBC1k7QNDXEqgQTi2p8H2MRuEhGv o9ht2rdnOcFxNKOZb8rt1Q3iYqfQe9KQLBQIS403PbUajoeP5xcQISIZHDxZDTcbYFvd35VYGD/T zl72sRVcQqFADV2MYyFlaDrrMCz8aIm9k58cRpZTK82EM5e7QaZKraXDnnihw9G+d7b53p+dhtPX /LTazPVnPOa75foN+7z2N60fHxL1CiLaa/wLwy8+o0PFTLU/kwli0JBnitEjG+kSBAc2aZKBqDWs 8gxkVcr/D6ofUEsDBBQAAAAIAIdO4kBBLRh1vgEAAHcDAAAOAAAAZHJzL2Uyb0RvYy54bWytU8GO 0zAQvSPxD5bvNE2lLkvUdCWoygUB0sIHuI6TWLI9lsdt0h+AP+DEhTvf1e9g7IQuLJc9kINjzzw/ z3tjb+5Ga9hJBdTgal4ulpwpJ6HRrqv550/7F7ecYRSuEQacqvlZIb/bPn+2GXylVtCDaVRgROKw GnzN+xh9VRQoe2UFLsArR8kWghWRlqErmiAGYremWC2XN8UAofEBpEKk6G5K8pkxPIUQ2lZLtQN5 tMrFiTUoIyJJwl575NtcbdsqGT+0LarITM1JacwjHULzQxqL7UZUXRC+13IuQTylhEearNCODr1S 7UQU7Bj0P1RWywAIbVxIsMUkJDtCKsrlI2/ue+FV1kJWo7+ajv+PVr4/fQxMN3QTOHPCUsMv375e vv+8/PjCymTP4LEi1L0nXBxfw5igcxwpmFSPbbDpT3oY5cnc89VcNUYm06bV8tXNyzVnknKr23VZ rhNN8bDbB4xvFViWJjUP1LzsqTi9wzhBf0PSYQhGN3ttTF6E7vDGBHYS1Oh9/mb2v2DGJbCDtG1i TJEiaZy0pFkcD+Ms8ADNmXQffdBdTzVl5RlO/cjFz3cnNfzPdSZ9eC/bX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C4EAABbQ29udGVudF9UeXBl c10ueG1sUEsBAhQACgAAAAAAh07iQAAAAAAAAAAAAAAAAAYAAAAAAAAAAAAQAAAAEAMAAF9yZWxz L1BLAQIUABQAAAAIAIdO4kCKFGY80QAAAJQBAAALAAAAAAAAAAEAIAAAADQDAABfcmVscy8ucmVs c1BLAQIUAAoAAAAAAIdO4kAAAAAAAAAAAAAAAAAEAAAAAAAAAAAAEAAAAAAAAABkcnMvUEsBAhQA FAAAAAgAh07iQGd5iq7XAAAACQEAAA8AAAAAAAAAAQAgAAAAIgAAAGRycy9kb3ducmV2LnhtbFBL AQIUABQAAAAIAIdO4kBBLRh1vgEAAHcDAAAOAAAAAAAAAAEAIAAAACYBAABkcnMvZTJvRG9jLnht bFBLBQYAAAAABgAGAFkBAABWBQAAAAA= ">
                <v:fill on="t" focussize="0,0"/>
                <v:stroke on="f"/>
                <v:imagedata o:title=""/>
                <o:lock v:ext="edit" aspectratio="f"/>
                <v:textbox>
                  <w:txbxContent>
                    <w:p>
                      <w:pPr>
                        <w:spacing w:line="320" w:lineRule="exact"/>
                      </w:pPr>
                      <w:r>
                        <w:rPr>
                          <w:rFonts w:hint="eastAsia" w:eastAsia="黑体"/>
                          <w:sz w:val="24"/>
                        </w:rPr>
                        <w:t>NO：</w:t>
                      </w:r>
                    </w:p>
                  </w:txbxContent>
                </v:textbox>
              </v:shape>
            </w:pict>
          </mc:Fallback>
        </mc:AlternateContent>
      </w:r>
      <w:r>
        <w:rPr>
          <w:rFonts w:hint="eastAsia" w:eastAsia="黑体"/>
          <w:sz w:val="30"/>
          <w:szCs w:val="30"/>
        </w:rPr>
        <w:t>瑞安市政府采购项目诚信评价反馈表</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301"/>
        <w:gridCol w:w="2824"/>
        <w:gridCol w:w="9"/>
        <w:gridCol w:w="1598"/>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65" w:type="dxa"/>
            <w:gridSpan w:val="2"/>
            <w:vAlign w:val="center"/>
          </w:tcPr>
          <w:p>
            <w:pPr>
              <w:jc w:val="center"/>
            </w:pPr>
            <w:r>
              <w:rPr>
                <w:rFonts w:hint="eastAsia"/>
              </w:rPr>
              <w:t>采购人</w:t>
            </w:r>
          </w:p>
        </w:tc>
        <w:tc>
          <w:tcPr>
            <w:tcW w:w="2824" w:type="dxa"/>
            <w:vAlign w:val="center"/>
          </w:tcPr>
          <w:p>
            <w:pPr>
              <w:jc w:val="center"/>
            </w:pPr>
          </w:p>
        </w:tc>
        <w:tc>
          <w:tcPr>
            <w:tcW w:w="1607" w:type="dxa"/>
            <w:gridSpan w:val="2"/>
            <w:vAlign w:val="center"/>
          </w:tcPr>
          <w:p>
            <w:pPr>
              <w:jc w:val="center"/>
            </w:pPr>
            <w:r>
              <w:rPr>
                <w:rFonts w:hint="eastAsia"/>
              </w:rPr>
              <w:t>联系方式</w:t>
            </w:r>
          </w:p>
        </w:tc>
        <w:tc>
          <w:tcPr>
            <w:tcW w:w="30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65" w:type="dxa"/>
            <w:gridSpan w:val="2"/>
            <w:vAlign w:val="center"/>
          </w:tcPr>
          <w:p>
            <w:pPr>
              <w:jc w:val="center"/>
            </w:pPr>
            <w:r>
              <w:rPr>
                <w:rFonts w:hint="eastAsia"/>
              </w:rPr>
              <w:t>项目名称</w:t>
            </w:r>
          </w:p>
        </w:tc>
        <w:tc>
          <w:tcPr>
            <w:tcW w:w="2824" w:type="dxa"/>
            <w:vAlign w:val="center"/>
          </w:tcPr>
          <w:p>
            <w:pPr>
              <w:jc w:val="center"/>
            </w:pPr>
          </w:p>
        </w:tc>
        <w:tc>
          <w:tcPr>
            <w:tcW w:w="1607" w:type="dxa"/>
            <w:gridSpan w:val="2"/>
            <w:vAlign w:val="center"/>
          </w:tcPr>
          <w:p>
            <w:pPr>
              <w:jc w:val="center"/>
            </w:pPr>
            <w:r>
              <w:rPr>
                <w:rFonts w:hint="eastAsia"/>
              </w:rPr>
              <w:t>项目编号</w:t>
            </w:r>
          </w:p>
        </w:tc>
        <w:tc>
          <w:tcPr>
            <w:tcW w:w="30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65" w:type="dxa"/>
            <w:gridSpan w:val="2"/>
            <w:vAlign w:val="center"/>
          </w:tcPr>
          <w:p>
            <w:pPr>
              <w:jc w:val="center"/>
            </w:pPr>
            <w:r>
              <w:rPr>
                <w:rFonts w:hint="eastAsia"/>
              </w:rPr>
              <w:t>成交供应商</w:t>
            </w:r>
          </w:p>
        </w:tc>
        <w:tc>
          <w:tcPr>
            <w:tcW w:w="2824" w:type="dxa"/>
            <w:vAlign w:val="center"/>
          </w:tcPr>
          <w:p>
            <w:pPr>
              <w:jc w:val="center"/>
            </w:pPr>
          </w:p>
        </w:tc>
        <w:tc>
          <w:tcPr>
            <w:tcW w:w="1607" w:type="dxa"/>
            <w:gridSpan w:val="2"/>
            <w:vAlign w:val="center"/>
          </w:tcPr>
          <w:p>
            <w:pPr>
              <w:jc w:val="center"/>
            </w:pPr>
            <w:r>
              <w:rPr>
                <w:rFonts w:hint="eastAsia"/>
              </w:rPr>
              <w:t>中标金额</w:t>
            </w:r>
          </w:p>
        </w:tc>
        <w:tc>
          <w:tcPr>
            <w:tcW w:w="30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65" w:type="dxa"/>
            <w:gridSpan w:val="2"/>
            <w:tcBorders>
              <w:bottom w:val="single" w:color="auto" w:sz="4" w:space="0"/>
            </w:tcBorders>
            <w:vAlign w:val="center"/>
          </w:tcPr>
          <w:p>
            <w:pPr>
              <w:jc w:val="center"/>
            </w:pPr>
            <w:r>
              <w:rPr>
                <w:rFonts w:hint="eastAsia"/>
              </w:rPr>
              <w:t>代理机构</w:t>
            </w:r>
          </w:p>
        </w:tc>
        <w:tc>
          <w:tcPr>
            <w:tcW w:w="2824" w:type="dxa"/>
            <w:vAlign w:val="center"/>
          </w:tcPr>
          <w:p>
            <w:pPr>
              <w:jc w:val="center"/>
            </w:pPr>
          </w:p>
        </w:tc>
        <w:tc>
          <w:tcPr>
            <w:tcW w:w="1607" w:type="dxa"/>
            <w:gridSpan w:val="2"/>
            <w:vAlign w:val="center"/>
          </w:tcPr>
          <w:p>
            <w:pPr>
              <w:jc w:val="center"/>
            </w:pPr>
            <w:r>
              <w:rPr>
                <w:rFonts w:hint="eastAsia"/>
              </w:rPr>
              <w:t>定标时间</w:t>
            </w:r>
          </w:p>
        </w:tc>
        <w:tc>
          <w:tcPr>
            <w:tcW w:w="3090" w:type="dxa"/>
            <w:vAlign w:val="center"/>
          </w:tcPr>
          <w:p>
            <w:pPr>
              <w:ind w:firstLine="420" w:firstLineChars="200"/>
              <w:jc w:val="cente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9286" w:type="dxa"/>
            <w:gridSpan w:val="6"/>
            <w:tcBorders>
              <w:bottom w:val="single" w:color="auto" w:sz="4" w:space="0"/>
            </w:tcBorders>
            <w:vAlign w:val="center"/>
          </w:tcPr>
          <w:p>
            <w:pPr>
              <w:jc w:val="center"/>
              <w:rPr>
                <w:b/>
                <w:bCs/>
              </w:rPr>
            </w:pPr>
            <w:r>
              <w:rPr>
                <w:rFonts w:hint="eastAsia"/>
                <w:b/>
                <w:bCs/>
              </w:rPr>
              <w:t>以   下  内  容  由  采  购  单  位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65" w:type="dxa"/>
            <w:gridSpan w:val="2"/>
            <w:tcBorders>
              <w:bottom w:val="single" w:color="auto" w:sz="4" w:space="0"/>
            </w:tcBorders>
            <w:vAlign w:val="center"/>
          </w:tcPr>
          <w:p>
            <w:pPr>
              <w:jc w:val="center"/>
              <w:rPr>
                <w:b/>
                <w:bCs/>
              </w:rPr>
            </w:pPr>
            <w:r>
              <w:rPr>
                <w:rFonts w:hint="eastAsia"/>
              </w:rPr>
              <w:t>合同签订时间</w:t>
            </w:r>
          </w:p>
        </w:tc>
        <w:tc>
          <w:tcPr>
            <w:tcW w:w="2833" w:type="dxa"/>
            <w:gridSpan w:val="2"/>
            <w:tcBorders>
              <w:bottom w:val="single" w:color="auto" w:sz="4" w:space="0"/>
            </w:tcBorders>
            <w:vAlign w:val="center"/>
          </w:tcPr>
          <w:p>
            <w:pPr>
              <w:jc w:val="center"/>
              <w:rPr>
                <w:b/>
                <w:bCs/>
              </w:rPr>
            </w:pPr>
          </w:p>
        </w:tc>
        <w:tc>
          <w:tcPr>
            <w:tcW w:w="1598" w:type="dxa"/>
            <w:tcBorders>
              <w:bottom w:val="single" w:color="auto" w:sz="4" w:space="0"/>
            </w:tcBorders>
            <w:vAlign w:val="center"/>
          </w:tcPr>
          <w:p>
            <w:pPr>
              <w:jc w:val="center"/>
              <w:rPr>
                <w:b/>
                <w:bCs/>
              </w:rPr>
            </w:pPr>
            <w:r>
              <w:rPr>
                <w:rFonts w:hint="eastAsia"/>
              </w:rPr>
              <w:t>验收完成时间</w:t>
            </w:r>
          </w:p>
        </w:tc>
        <w:tc>
          <w:tcPr>
            <w:tcW w:w="3090" w:type="dxa"/>
            <w:tcBorders>
              <w:bottom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65" w:type="dxa"/>
            <w:gridSpan w:val="2"/>
            <w:tcBorders>
              <w:bottom w:val="single" w:color="auto" w:sz="4" w:space="0"/>
            </w:tcBorders>
            <w:vAlign w:val="center"/>
          </w:tcPr>
          <w:p>
            <w:pPr>
              <w:jc w:val="center"/>
            </w:pPr>
            <w:r>
              <w:rPr>
                <w:rFonts w:hint="eastAsia"/>
              </w:rPr>
              <w:t>政府采购标签</w:t>
            </w:r>
          </w:p>
        </w:tc>
        <w:tc>
          <w:tcPr>
            <w:tcW w:w="2833" w:type="dxa"/>
            <w:gridSpan w:val="2"/>
            <w:tcBorders>
              <w:bottom w:val="single" w:color="auto" w:sz="4" w:space="0"/>
            </w:tcBorders>
            <w:vAlign w:val="center"/>
          </w:tcPr>
          <w:p>
            <w:pPr>
              <w:jc w:val="center"/>
              <w:rPr>
                <w:b/>
                <w:bCs/>
              </w:rPr>
            </w:pPr>
            <w:r>
              <w:rPr>
                <w:rFonts w:hint="eastAsia"/>
                <w:b/>
                <w:bCs/>
              </w:rPr>
              <w:t>有/无</w:t>
            </w:r>
          </w:p>
        </w:tc>
        <w:tc>
          <w:tcPr>
            <w:tcW w:w="1598" w:type="dxa"/>
            <w:tcBorders>
              <w:bottom w:val="single" w:color="auto" w:sz="4" w:space="0"/>
            </w:tcBorders>
            <w:vAlign w:val="center"/>
          </w:tcPr>
          <w:p>
            <w:pPr>
              <w:jc w:val="center"/>
            </w:pPr>
            <w:r>
              <w:rPr>
                <w:rFonts w:hint="eastAsia"/>
              </w:rPr>
              <w:t>协助验收</w:t>
            </w:r>
          </w:p>
        </w:tc>
        <w:tc>
          <w:tcPr>
            <w:tcW w:w="3090" w:type="dxa"/>
            <w:tcBorders>
              <w:bottom w:val="single" w:color="auto" w:sz="4" w:space="0"/>
            </w:tcBorders>
            <w:vAlign w:val="center"/>
          </w:tcPr>
          <w:p>
            <w:pPr>
              <w:jc w:val="center"/>
              <w:rPr>
                <w:b/>
                <w:bCs/>
              </w:rPr>
            </w:pPr>
            <w:r>
              <w:rPr>
                <w:rFonts w:hint="eastAsia"/>
                <w:b/>
                <w:bCs/>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464" w:type="dxa"/>
            <w:vMerge w:val="restart"/>
            <w:vAlign w:val="center"/>
          </w:tcPr>
          <w:p>
            <w:pPr>
              <w:jc w:val="center"/>
            </w:pPr>
            <w:r>
              <w:rPr>
                <w:rFonts w:hint="eastAsia"/>
              </w:rPr>
              <w:t>采购人对本次政府采购的评价意见</w:t>
            </w:r>
          </w:p>
        </w:tc>
        <w:tc>
          <w:tcPr>
            <w:tcW w:w="8822" w:type="dxa"/>
            <w:gridSpan w:val="5"/>
            <w:vAlign w:val="center"/>
          </w:tcPr>
          <w:p>
            <w:pPr>
              <w:spacing w:line="360" w:lineRule="auto"/>
              <w:ind w:firstLine="420" w:firstLineChars="200"/>
              <w:jc w:val="left"/>
            </w:pPr>
            <w:r>
              <w:rPr>
                <w:rFonts w:hint="eastAsia"/>
              </w:rPr>
              <w:t xml:space="preserve">请如实填写您对本次政府采购的项目（货物、服务、工程）在价格、质量、服务方面的意见（在结论上打“ </w:t>
            </w:r>
            <w:r>
              <w:rPr>
                <w:rFonts w:hint="eastAsia"/>
                <w:b/>
                <w:bCs/>
              </w:rPr>
              <w:t>√</w:t>
            </w:r>
            <w:r>
              <w:rPr>
                <w:rFonts w:hint="eastAsia"/>
              </w:rPr>
              <w:t>”）。</w:t>
            </w:r>
          </w:p>
          <w:p>
            <w:pPr>
              <w:numPr>
                <w:ilvl w:val="0"/>
                <w:numId w:val="23"/>
              </w:numPr>
              <w:spacing w:line="360" w:lineRule="auto"/>
              <w:jc w:val="left"/>
            </w:pPr>
            <w:r>
              <w:rPr>
                <w:rFonts w:hint="eastAsia"/>
              </w:rPr>
              <w:t>对成交供应商的评价意见</w:t>
            </w:r>
          </w:p>
          <w:p>
            <w:pPr>
              <w:spacing w:line="360" w:lineRule="auto"/>
              <w:ind w:left="210" w:leftChars="100"/>
              <w:jc w:val="center"/>
              <w:rPr>
                <w:b/>
                <w:bCs/>
              </w:rPr>
            </w:pPr>
            <w:r>
              <w:rPr>
                <w:rFonts w:hint="eastAsia"/>
                <w:b/>
                <w:bCs/>
              </w:rPr>
              <w:t>1、价格     A、优     B、良     C、好     D、一般     E、差</w:t>
            </w:r>
          </w:p>
          <w:p>
            <w:pPr>
              <w:spacing w:line="360" w:lineRule="auto"/>
              <w:ind w:left="210" w:leftChars="100"/>
              <w:jc w:val="center"/>
              <w:rPr>
                <w:b/>
                <w:bCs/>
              </w:rPr>
            </w:pPr>
            <w:r>
              <w:rPr>
                <w:rFonts w:hint="eastAsia"/>
                <w:b/>
                <w:bCs/>
              </w:rPr>
              <w:t>2、质量     A、优     B、良     C、好     D、一般     E、差</w:t>
            </w:r>
          </w:p>
          <w:p>
            <w:pPr>
              <w:spacing w:line="360" w:lineRule="auto"/>
              <w:ind w:left="210" w:leftChars="100"/>
              <w:jc w:val="center"/>
              <w:rPr>
                <w:b/>
                <w:bCs/>
              </w:rPr>
            </w:pPr>
            <w:r>
              <w:rPr>
                <w:rFonts w:hint="eastAsia"/>
                <w:b/>
                <w:bCs/>
              </w:rPr>
              <w:t>3、服务     A、优     B、良     C、好     D、一般     E、差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464" w:type="dxa"/>
            <w:vMerge w:val="continue"/>
            <w:vAlign w:val="center"/>
          </w:tcPr>
          <w:p>
            <w:pPr>
              <w:jc w:val="center"/>
            </w:pPr>
          </w:p>
        </w:tc>
        <w:tc>
          <w:tcPr>
            <w:tcW w:w="8822" w:type="dxa"/>
            <w:gridSpan w:val="5"/>
            <w:vAlign w:val="center"/>
          </w:tcPr>
          <w:p>
            <w:pPr>
              <w:numPr>
                <w:ilvl w:val="0"/>
                <w:numId w:val="23"/>
              </w:numPr>
              <w:spacing w:line="360" w:lineRule="auto"/>
              <w:jc w:val="left"/>
              <w:rPr>
                <w:szCs w:val="21"/>
              </w:rPr>
            </w:pPr>
            <w:r>
              <w:rPr>
                <w:rFonts w:hint="eastAsia"/>
                <w:szCs w:val="21"/>
              </w:rPr>
              <w:t>对成交供应商诚信总体评价：</w:t>
            </w:r>
          </w:p>
          <w:p>
            <w:pPr>
              <w:spacing w:line="360" w:lineRule="auto"/>
              <w:jc w:val="center"/>
            </w:pPr>
            <w:r>
              <w:rPr>
                <w:rFonts w:hint="eastAsia" w:ascii="新宋体" w:hAnsi="新宋体" w:eastAsia="新宋体"/>
                <w:szCs w:val="21"/>
              </w:rPr>
              <w:t>A、优（90-100） B、良（80-90） C、好（70-80） D、一般（60-70） E、差（60以下）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8" w:hRule="atLeast"/>
          <w:jc w:val="center"/>
        </w:trPr>
        <w:tc>
          <w:tcPr>
            <w:tcW w:w="464" w:type="dxa"/>
            <w:vMerge w:val="continue"/>
            <w:vAlign w:val="center"/>
          </w:tcPr>
          <w:p>
            <w:pPr>
              <w:jc w:val="center"/>
            </w:pPr>
          </w:p>
        </w:tc>
        <w:tc>
          <w:tcPr>
            <w:tcW w:w="8822" w:type="dxa"/>
            <w:gridSpan w:val="5"/>
          </w:tcPr>
          <w:p>
            <w:pPr>
              <w:spacing w:line="360" w:lineRule="auto"/>
              <w:jc w:val="left"/>
            </w:pPr>
            <w:r>
              <w:rPr>
                <w:rFonts w:hint="eastAsia"/>
              </w:rPr>
              <w:t>三、您若有政府采购方面的建议和措施，请说明（可附页说明）：</w:t>
            </w:r>
          </w:p>
          <w:p>
            <w:pPr>
              <w:spacing w:line="360" w:lineRule="auto"/>
              <w:ind w:left="210" w:leftChars="100"/>
              <w:jc w:val="left"/>
              <w:rPr>
                <w:rFonts w:ascii="宋体" w:hAnsi="宋体"/>
                <w:b/>
                <w:bCs/>
              </w:rPr>
            </w:pPr>
            <w:r>
              <w:rPr>
                <w:rFonts w:hint="eastAsia" w:ascii="宋体" w:hAnsi="宋体"/>
                <w:b/>
                <w:bCs/>
              </w:rPr>
              <w:t>1、</w:t>
            </w:r>
          </w:p>
          <w:p>
            <w:pPr>
              <w:spacing w:line="360" w:lineRule="auto"/>
              <w:ind w:left="210" w:leftChars="100"/>
              <w:jc w:val="left"/>
              <w:rPr>
                <w:rFonts w:ascii="宋体" w:hAnsi="宋体"/>
                <w:b/>
                <w:bCs/>
              </w:rPr>
            </w:pPr>
            <w:r>
              <w:rPr>
                <w:rFonts w:hint="eastAsia" w:ascii="宋体" w:hAnsi="宋体"/>
                <w:b/>
                <w:bCs/>
              </w:rPr>
              <w:t>2、</w:t>
            </w:r>
          </w:p>
          <w:p>
            <w:pPr>
              <w:spacing w:line="360" w:lineRule="auto"/>
              <w:ind w:left="210" w:leftChars="100"/>
              <w:jc w:val="left"/>
            </w:pPr>
            <w:r>
              <w:rPr>
                <w:rFonts w:hint="eastAsia" w:ascii="宋体" w:hAnsi="宋体"/>
                <w:b/>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464" w:type="dxa"/>
            <w:vMerge w:val="continue"/>
            <w:tcBorders>
              <w:bottom w:val="single" w:color="auto" w:sz="4" w:space="0"/>
            </w:tcBorders>
            <w:vAlign w:val="center"/>
          </w:tcPr>
          <w:p>
            <w:pPr>
              <w:jc w:val="center"/>
            </w:pPr>
          </w:p>
        </w:tc>
        <w:tc>
          <w:tcPr>
            <w:tcW w:w="8822" w:type="dxa"/>
            <w:gridSpan w:val="5"/>
            <w:tcBorders>
              <w:bottom w:val="single" w:color="auto" w:sz="4" w:space="0"/>
            </w:tcBorders>
            <w:vAlign w:val="center"/>
          </w:tcPr>
          <w:p>
            <w:pPr>
              <w:jc w:val="left"/>
            </w:pPr>
            <w:r>
              <w:rPr>
                <w:rFonts w:hint="eastAsia"/>
              </w:rPr>
              <w:t>（此表由采购人填写，主要对成交供应商在项目履约过程中的诚信情况及项目验收后项目总体履约（满意度）进行评价，此表务必在项目验收完成后三日内交回公共资源交易中心）</w:t>
            </w:r>
          </w:p>
          <w:p>
            <w:pPr>
              <w:jc w:val="center"/>
            </w:pPr>
          </w:p>
          <w:p>
            <w:pPr>
              <w:jc w:val="left"/>
            </w:pPr>
            <w:r>
              <w:rPr>
                <w:rFonts w:hint="eastAsia"/>
              </w:rPr>
              <w:t>采购人确认：（盖章）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464" w:type="dxa"/>
            <w:tcBorders>
              <w:top w:val="single" w:color="auto" w:sz="4" w:space="0"/>
              <w:bottom w:val="single" w:color="auto" w:sz="4" w:space="0"/>
            </w:tcBorders>
            <w:vAlign w:val="center"/>
          </w:tcPr>
          <w:p>
            <w:pPr>
              <w:jc w:val="center"/>
            </w:pPr>
            <w:r>
              <w:rPr>
                <w:rFonts w:hint="eastAsia"/>
              </w:rPr>
              <w:t>备注</w:t>
            </w:r>
          </w:p>
        </w:tc>
        <w:tc>
          <w:tcPr>
            <w:tcW w:w="8822" w:type="dxa"/>
            <w:gridSpan w:val="5"/>
            <w:tcBorders>
              <w:top w:val="single" w:color="auto" w:sz="4" w:space="0"/>
              <w:bottom w:val="single" w:color="auto" w:sz="4" w:space="0"/>
            </w:tcBorders>
            <w:vAlign w:val="center"/>
          </w:tcPr>
          <w:tbl>
            <w:tblPr>
              <w:tblStyle w:val="22"/>
              <w:tblW w:w="0" w:type="auto"/>
              <w:tblInd w:w="0" w:type="dxa"/>
              <w:tblLayout w:type="fixed"/>
              <w:tblCellMar>
                <w:top w:w="57" w:type="dxa"/>
                <w:left w:w="108" w:type="dxa"/>
                <w:bottom w:w="57" w:type="dxa"/>
                <w:right w:w="108" w:type="dxa"/>
              </w:tblCellMar>
            </w:tblPr>
            <w:tblGrid>
              <w:gridCol w:w="2659"/>
              <w:gridCol w:w="3087"/>
              <w:gridCol w:w="2874"/>
            </w:tblGrid>
            <w:tr>
              <w:tblPrEx>
                <w:tblCellMar>
                  <w:top w:w="57" w:type="dxa"/>
                  <w:left w:w="108" w:type="dxa"/>
                  <w:bottom w:w="57" w:type="dxa"/>
                  <w:right w:w="108" w:type="dxa"/>
                </w:tblCellMar>
              </w:tblPrEx>
              <w:trPr>
                <w:trHeight w:val="348" w:hRule="atLeast"/>
              </w:trPr>
              <w:tc>
                <w:tcPr>
                  <w:tcW w:w="2659" w:type="dxa"/>
                  <w:vMerge w:val="restart"/>
                  <w:vAlign w:val="center"/>
                </w:tcPr>
                <w:p>
                  <w:pPr>
                    <w:jc w:val="center"/>
                  </w:pPr>
                  <w:r>
                    <w:rPr>
                      <w:rFonts w:hint="eastAsia"/>
                    </w:rPr>
                    <w:t>瑞安市公共资源交易中心</w:t>
                  </w:r>
                </w:p>
              </w:tc>
              <w:tc>
                <w:tcPr>
                  <w:tcW w:w="3087" w:type="dxa"/>
                </w:tcPr>
                <w:p>
                  <w:pPr>
                    <w:jc w:val="center"/>
                  </w:pPr>
                  <w:r>
                    <w:rPr>
                      <w:rFonts w:hint="eastAsia"/>
                    </w:rPr>
                    <w:t>地址：瑞安市满庭芳大楼三楼</w:t>
                  </w:r>
                </w:p>
              </w:tc>
              <w:tc>
                <w:tcPr>
                  <w:tcW w:w="2874" w:type="dxa"/>
                </w:tcPr>
                <w:p>
                  <w:pPr>
                    <w:jc w:val="center"/>
                  </w:pPr>
                  <w:r>
                    <w:rPr>
                      <w:rFonts w:hint="eastAsia"/>
                    </w:rPr>
                    <w:t>联系电话：0577-65879521</w:t>
                  </w:r>
                </w:p>
              </w:tc>
            </w:tr>
            <w:tr>
              <w:tblPrEx>
                <w:tblCellMar>
                  <w:top w:w="57" w:type="dxa"/>
                  <w:left w:w="108" w:type="dxa"/>
                  <w:bottom w:w="57" w:type="dxa"/>
                  <w:right w:w="108" w:type="dxa"/>
                </w:tblCellMar>
              </w:tblPrEx>
              <w:trPr>
                <w:trHeight w:val="348" w:hRule="atLeast"/>
              </w:trPr>
              <w:tc>
                <w:tcPr>
                  <w:tcW w:w="2659" w:type="dxa"/>
                  <w:vMerge w:val="continue"/>
                </w:tcPr>
                <w:p>
                  <w:pPr>
                    <w:jc w:val="center"/>
                  </w:pPr>
                </w:p>
              </w:tc>
              <w:tc>
                <w:tcPr>
                  <w:tcW w:w="3087" w:type="dxa"/>
                </w:tcPr>
                <w:p>
                  <w:pPr>
                    <w:jc w:val="center"/>
                  </w:pPr>
                  <w:r>
                    <w:rPr>
                      <w:rFonts w:hint="eastAsia"/>
                    </w:rPr>
                    <w:t>传真：0577-65879523</w:t>
                  </w:r>
                </w:p>
              </w:tc>
              <w:tc>
                <w:tcPr>
                  <w:tcW w:w="2874" w:type="dxa"/>
                </w:tcPr>
                <w:p>
                  <w:pPr>
                    <w:jc w:val="center"/>
                  </w:pPr>
                  <w:r>
                    <w:rPr>
                      <w:rFonts w:hint="eastAsia"/>
                    </w:rPr>
                    <w:t>网址：http://www.raztb.com/</w:t>
                  </w:r>
                </w:p>
              </w:tc>
            </w:tr>
          </w:tbl>
          <w:p>
            <w:pPr>
              <w:jc w:val="center"/>
            </w:pPr>
          </w:p>
        </w:tc>
      </w:tr>
    </w:tbl>
    <w:p/>
    <w:p>
      <w:pPr>
        <w:snapToGrid w:val="0"/>
        <w:spacing w:line="340" w:lineRule="exact"/>
        <w:jc w:val="center"/>
        <w:rPr>
          <w:rFonts w:ascii="宋体" w:hAnsi="宋体"/>
          <w:b/>
          <w:bCs/>
          <w:sz w:val="28"/>
        </w:rPr>
      </w:pPr>
    </w:p>
    <w:p>
      <w:pPr>
        <w:pStyle w:val="3"/>
        <w:keepNext w:val="0"/>
        <w:keepLines w:val="0"/>
        <w:pageBreakBefore/>
        <w:spacing w:before="312" w:beforeLines="100" w:after="312" w:afterLines="100" w:line="240" w:lineRule="auto"/>
        <w:jc w:val="center"/>
        <w:rPr>
          <w:rFonts w:hAnsi="宋体" w:eastAsia="宋体" w:cs="宋体"/>
          <w:sz w:val="28"/>
          <w:szCs w:val="36"/>
        </w:rPr>
      </w:pPr>
      <w:bookmarkStart w:id="372" w:name="_Toc29343"/>
      <w:bookmarkStart w:id="373" w:name="_Toc20247"/>
      <w:bookmarkStart w:id="374" w:name="_Toc24363"/>
      <w:bookmarkStart w:id="375" w:name="_Toc15479"/>
      <w:bookmarkStart w:id="376" w:name="_Toc16135"/>
      <w:bookmarkStart w:id="377" w:name="_Toc19240"/>
      <w:r>
        <w:rPr>
          <w:rFonts w:hint="eastAsia" w:hAnsi="宋体" w:eastAsia="宋体" w:cs="宋体"/>
          <w:sz w:val="28"/>
          <w:szCs w:val="36"/>
        </w:rPr>
        <w:t>第五部分  磋商响应文件格式</w:t>
      </w:r>
      <w:bookmarkEnd w:id="372"/>
      <w:bookmarkEnd w:id="373"/>
      <w:bookmarkEnd w:id="374"/>
      <w:bookmarkEnd w:id="375"/>
      <w:bookmarkEnd w:id="376"/>
      <w:bookmarkEnd w:id="377"/>
    </w:p>
    <w:p>
      <w:pPr>
        <w:snapToGrid w:val="0"/>
        <w:spacing w:before="624" w:beforeLines="200" w:after="156" w:afterLines="50"/>
        <w:jc w:val="center"/>
        <w:outlineLvl w:val="1"/>
        <w:rPr>
          <w:rFonts w:ascii="宋体" w:hAnsi="宋体" w:eastAsia="宋体" w:cs="宋体"/>
          <w:b/>
          <w:bCs/>
          <w:sz w:val="28"/>
        </w:rPr>
      </w:pPr>
      <w:bookmarkStart w:id="378" w:name="_Toc30728"/>
      <w:bookmarkStart w:id="379" w:name="_Toc11041"/>
      <w:bookmarkStart w:id="380" w:name="_Toc22646"/>
      <w:bookmarkStart w:id="381" w:name="_Toc23685"/>
      <w:bookmarkStart w:id="382" w:name="_Toc12132"/>
      <w:bookmarkStart w:id="383" w:name="_Toc10201"/>
      <w:bookmarkStart w:id="384" w:name="_Toc17367"/>
      <w:bookmarkStart w:id="385" w:name="_Toc3067"/>
      <w:r>
        <w:rPr>
          <w:rFonts w:hint="eastAsia" w:ascii="宋体" w:hAnsi="宋体" w:eastAsia="宋体" w:cs="宋体"/>
          <w:b/>
          <w:bCs/>
          <w:sz w:val="28"/>
        </w:rPr>
        <w:t>磋商供应商提交磋商响应文件须知</w:t>
      </w:r>
      <w:bookmarkEnd w:id="378"/>
      <w:bookmarkEnd w:id="379"/>
      <w:bookmarkEnd w:id="380"/>
      <w:bookmarkEnd w:id="381"/>
      <w:bookmarkEnd w:id="382"/>
      <w:bookmarkEnd w:id="383"/>
      <w:bookmarkEnd w:id="384"/>
      <w:bookmarkEnd w:id="385"/>
    </w:p>
    <w:p>
      <w:pPr>
        <w:snapToGrid w:val="0"/>
        <w:jc w:val="center"/>
        <w:rPr>
          <w:rFonts w:ascii="宋体" w:hAnsi="宋体" w:eastAsia="宋体" w:cs="宋体"/>
          <w:sz w:val="28"/>
          <w:szCs w:val="21"/>
        </w:rPr>
      </w:pPr>
    </w:p>
    <w:p>
      <w:pPr>
        <w:pStyle w:val="33"/>
        <w:snapToGrid w:val="0"/>
        <w:spacing w:line="400" w:lineRule="exact"/>
        <w:ind w:firstLine="0" w:firstLineChars="0"/>
        <w:rPr>
          <w:rFonts w:ascii="宋体" w:hAnsi="宋体" w:eastAsia="宋体" w:cs="宋体"/>
          <w:szCs w:val="22"/>
        </w:rPr>
      </w:pPr>
      <w:r>
        <w:rPr>
          <w:rFonts w:hint="eastAsia" w:ascii="宋体" w:hAnsi="宋体" w:eastAsia="宋体" w:cs="宋体"/>
          <w:szCs w:val="22"/>
        </w:rPr>
        <w:t>1、磋商供应商应严格按照磋商响应文件的组成提交下述规定的全部格式文件以及其他有关资料，混乱的编排导致磋商响应文件被误读或采购机构、磋商小组查找不到有效文件是磋商供应商的风险。</w:t>
      </w:r>
    </w:p>
    <w:p>
      <w:pPr>
        <w:pStyle w:val="33"/>
        <w:snapToGrid w:val="0"/>
        <w:spacing w:line="400" w:lineRule="exact"/>
        <w:ind w:firstLine="0" w:firstLineChars="0"/>
        <w:outlineLvl w:val="1"/>
        <w:rPr>
          <w:rFonts w:ascii="宋体" w:hAnsi="宋体" w:eastAsia="宋体" w:cs="宋体"/>
          <w:szCs w:val="22"/>
        </w:rPr>
      </w:pPr>
      <w:bookmarkStart w:id="386" w:name="_Toc4833"/>
      <w:bookmarkStart w:id="387" w:name="_Toc17398"/>
      <w:bookmarkStart w:id="388" w:name="_Toc5521"/>
      <w:bookmarkStart w:id="389" w:name="_Toc24815"/>
      <w:bookmarkStart w:id="390" w:name="_Toc2242"/>
      <w:bookmarkStart w:id="391" w:name="_Toc14939"/>
      <w:bookmarkStart w:id="392" w:name="_Toc8092"/>
      <w:bookmarkStart w:id="393" w:name="_Toc7418"/>
      <w:r>
        <w:rPr>
          <w:rFonts w:hint="eastAsia" w:ascii="宋体" w:hAnsi="宋体" w:eastAsia="宋体" w:cs="宋体"/>
          <w:szCs w:val="22"/>
        </w:rPr>
        <w:t>2、所附表格中要求回答的全部问题和/或信息都必须正面回答。</w:t>
      </w:r>
      <w:bookmarkEnd w:id="386"/>
      <w:bookmarkEnd w:id="387"/>
      <w:bookmarkEnd w:id="388"/>
      <w:bookmarkEnd w:id="389"/>
      <w:bookmarkEnd w:id="390"/>
      <w:bookmarkEnd w:id="391"/>
      <w:bookmarkEnd w:id="392"/>
      <w:bookmarkEnd w:id="393"/>
    </w:p>
    <w:p>
      <w:pPr>
        <w:pStyle w:val="33"/>
        <w:snapToGrid w:val="0"/>
        <w:spacing w:line="400" w:lineRule="exact"/>
        <w:ind w:firstLine="0" w:firstLineChars="0"/>
        <w:rPr>
          <w:rFonts w:ascii="宋体" w:hAnsi="宋体" w:eastAsia="宋体" w:cs="宋体"/>
          <w:szCs w:val="22"/>
        </w:rPr>
      </w:pPr>
      <w:r>
        <w:rPr>
          <w:rFonts w:hint="eastAsia" w:ascii="宋体" w:hAnsi="宋体" w:eastAsia="宋体" w:cs="宋体"/>
          <w:szCs w:val="22"/>
        </w:rPr>
        <w:t>3、本资格声明的签字人应保证全部声明和问题的回答是真实的和准确的。</w:t>
      </w:r>
    </w:p>
    <w:p>
      <w:pPr>
        <w:pStyle w:val="33"/>
        <w:snapToGrid w:val="0"/>
        <w:spacing w:line="400" w:lineRule="exact"/>
        <w:ind w:firstLine="0" w:firstLineChars="0"/>
        <w:rPr>
          <w:rFonts w:ascii="宋体" w:hAnsi="宋体" w:eastAsia="宋体" w:cs="宋体"/>
          <w:szCs w:val="22"/>
        </w:rPr>
      </w:pPr>
      <w:r>
        <w:rPr>
          <w:rFonts w:hint="eastAsia" w:ascii="宋体" w:hAnsi="宋体" w:eastAsia="宋体" w:cs="宋体"/>
          <w:szCs w:val="22"/>
        </w:rPr>
        <w:t>4、采购机构将应用磋商供应商提交的资料根据自己的判断和考虑决定磋商供应商履行合同的合格性及能力。</w:t>
      </w:r>
    </w:p>
    <w:p>
      <w:pPr>
        <w:pStyle w:val="33"/>
        <w:snapToGrid w:val="0"/>
        <w:spacing w:line="400" w:lineRule="exact"/>
        <w:ind w:firstLine="0" w:firstLineChars="0"/>
        <w:rPr>
          <w:rFonts w:ascii="宋体" w:hAnsi="宋体" w:eastAsia="宋体" w:cs="宋体"/>
          <w:szCs w:val="22"/>
        </w:rPr>
      </w:pPr>
      <w:r>
        <w:rPr>
          <w:rFonts w:hint="eastAsia" w:ascii="宋体" w:hAnsi="宋体" w:eastAsia="宋体" w:cs="宋体"/>
          <w:szCs w:val="22"/>
        </w:rPr>
        <w:t>5、磋商供应商提交的材料将被保密保存，但不退还。</w:t>
      </w:r>
    </w:p>
    <w:p>
      <w:pPr>
        <w:pStyle w:val="33"/>
        <w:snapToGrid w:val="0"/>
        <w:spacing w:line="400" w:lineRule="exact"/>
        <w:ind w:firstLine="0" w:firstLineChars="0"/>
        <w:rPr>
          <w:rFonts w:ascii="宋体" w:hAnsi="宋体" w:eastAsia="宋体" w:cs="宋体"/>
          <w:szCs w:val="22"/>
        </w:rPr>
      </w:pPr>
      <w:r>
        <w:rPr>
          <w:rFonts w:hint="eastAsia"/>
        </w:rPr>
        <w:t>6、全部文件应按磋商供应商须知中规定的语言和份数提交。</w:t>
      </w:r>
    </w:p>
    <w:p>
      <w:pPr>
        <w:snapToGrid w:val="0"/>
        <w:spacing w:line="340" w:lineRule="exact"/>
        <w:rPr>
          <w:rFonts w:ascii="宋体" w:hAnsi="宋体"/>
          <w:b/>
          <w:bCs/>
          <w:sz w:val="28"/>
        </w:rPr>
      </w:pPr>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pPr>
    </w:p>
    <w:p/>
    <w:p/>
    <w:p>
      <w:pPr>
        <w:jc w:val="center"/>
        <w:outlineLvl w:val="2"/>
        <w:rPr>
          <w:rFonts w:ascii="宋体" w:hAnsi="宋体" w:eastAsia="宋体" w:cs="宋体"/>
          <w:b/>
          <w:bCs/>
          <w:sz w:val="28"/>
          <w:szCs w:val="28"/>
        </w:rPr>
      </w:pPr>
      <w:bookmarkStart w:id="394" w:name="_Toc16581"/>
      <w:bookmarkStart w:id="395" w:name="_Toc9700"/>
      <w:bookmarkStart w:id="396" w:name="_Toc28512"/>
      <w:bookmarkStart w:id="397" w:name="_Toc19899"/>
      <w:bookmarkStart w:id="398" w:name="_Toc17896"/>
      <w:bookmarkStart w:id="399" w:name="_Toc122"/>
      <w:bookmarkStart w:id="400" w:name="_Toc156"/>
      <w:bookmarkStart w:id="401" w:name="_Toc14319"/>
      <w:bookmarkStart w:id="402" w:name="_Toc1009"/>
      <w:r>
        <w:rPr>
          <w:rFonts w:hint="eastAsia" w:ascii="宋体" w:hAnsi="宋体" w:eastAsia="宋体" w:cs="宋体"/>
          <w:b/>
          <w:bCs/>
          <w:sz w:val="28"/>
          <w:szCs w:val="28"/>
        </w:rPr>
        <w:t>附件一  资格、资质证明文件</w:t>
      </w:r>
      <w:bookmarkEnd w:id="394"/>
      <w:bookmarkEnd w:id="395"/>
      <w:bookmarkEnd w:id="396"/>
      <w:bookmarkEnd w:id="397"/>
      <w:bookmarkEnd w:id="398"/>
      <w:bookmarkEnd w:id="399"/>
      <w:bookmarkEnd w:id="400"/>
      <w:bookmarkEnd w:id="401"/>
      <w:bookmarkEnd w:id="402"/>
    </w:p>
    <w:p>
      <w:pPr>
        <w:spacing w:before="312" w:beforeLines="100" w:after="156" w:afterLines="50"/>
        <w:ind w:right="-11"/>
        <w:jc w:val="center"/>
        <w:outlineLvl w:val="2"/>
        <w:rPr>
          <w:rFonts w:ascii="宋体" w:hAnsi="宋体" w:eastAsia="宋体" w:cs="宋体"/>
          <w:b/>
          <w:bCs/>
          <w:sz w:val="24"/>
        </w:rPr>
      </w:pPr>
      <w:bookmarkStart w:id="403" w:name="_Toc19034"/>
      <w:bookmarkStart w:id="404" w:name="_Toc21562"/>
      <w:bookmarkStart w:id="405" w:name="_Toc31313"/>
      <w:bookmarkStart w:id="406" w:name="_Toc20488"/>
      <w:bookmarkStart w:id="407" w:name="_Toc25534"/>
      <w:bookmarkStart w:id="408" w:name="_Toc30033"/>
      <w:bookmarkStart w:id="409" w:name="_Toc31421"/>
      <w:r>
        <w:rPr>
          <w:rFonts w:hint="eastAsia" w:ascii="宋体" w:hAnsi="宋体" w:eastAsia="宋体" w:cs="宋体"/>
          <w:b/>
          <w:bCs/>
          <w:sz w:val="24"/>
        </w:rPr>
        <w:t>（一） 关于资格、资质证明文件的声明函</w:t>
      </w:r>
      <w:bookmarkEnd w:id="403"/>
      <w:bookmarkEnd w:id="404"/>
      <w:bookmarkEnd w:id="405"/>
      <w:bookmarkEnd w:id="406"/>
      <w:bookmarkEnd w:id="407"/>
      <w:bookmarkEnd w:id="408"/>
      <w:bookmarkEnd w:id="409"/>
    </w:p>
    <w:p>
      <w:pPr>
        <w:pStyle w:val="4"/>
        <w:overflowPunct w:val="0"/>
        <w:spacing w:line="360" w:lineRule="auto"/>
        <w:ind w:right="-21" w:rightChars="-10" w:firstLine="0"/>
        <w:rPr>
          <w:rFonts w:ascii="宋体" w:hAnsi="宋体" w:eastAsia="宋体" w:cs="宋体"/>
        </w:rPr>
      </w:pPr>
    </w:p>
    <w:p>
      <w:pPr>
        <w:pStyle w:val="4"/>
        <w:overflowPunct w:val="0"/>
        <w:spacing w:line="360" w:lineRule="auto"/>
        <w:ind w:right="-21" w:rightChars="-10" w:firstLine="0"/>
        <w:rPr>
          <w:rFonts w:ascii="宋体" w:hAnsi="宋体" w:eastAsia="宋体" w:cs="宋体"/>
        </w:rPr>
      </w:pPr>
      <w:r>
        <w:rPr>
          <w:rFonts w:hint="eastAsia" w:ascii="宋体" w:hAnsi="宋体" w:eastAsia="宋体" w:cs="宋体"/>
          <w:lang w:eastAsia="zh-CN"/>
        </w:rPr>
        <w:t>瑞安市公安局</w:t>
      </w:r>
      <w:r>
        <w:rPr>
          <w:rFonts w:hint="eastAsia" w:ascii="宋体" w:hAnsi="宋体" w:eastAsia="宋体" w:cs="宋体"/>
        </w:rPr>
        <w:t>：</w:t>
      </w:r>
    </w:p>
    <w:p>
      <w:pPr>
        <w:pStyle w:val="4"/>
        <w:overflowPunct w:val="0"/>
        <w:spacing w:line="360" w:lineRule="auto"/>
        <w:ind w:right="-21" w:rightChars="-10" w:firstLine="480"/>
        <w:rPr>
          <w:rFonts w:ascii="宋体" w:hAnsi="宋体" w:eastAsia="宋体" w:cs="宋体"/>
        </w:rPr>
      </w:pPr>
    </w:p>
    <w:p>
      <w:pPr>
        <w:pStyle w:val="4"/>
        <w:overflowPunct w:val="0"/>
        <w:spacing w:line="360" w:lineRule="auto"/>
        <w:ind w:right="-21" w:rightChars="-10" w:firstLine="400" w:firstLineChars="200"/>
        <w:rPr>
          <w:rFonts w:ascii="宋体" w:hAnsi="宋体" w:eastAsia="宋体" w:cs="宋体"/>
        </w:rPr>
      </w:pPr>
      <w:r>
        <w:rPr>
          <w:rFonts w:hint="eastAsia" w:ascii="宋体" w:hAnsi="宋体" w:eastAsia="宋体" w:cs="宋体"/>
        </w:rPr>
        <w:t>本公司愿就由贵单位组织实施的</w:t>
      </w:r>
      <w:r>
        <w:rPr>
          <w:rFonts w:hint="eastAsia" w:ascii="宋体" w:hAnsi="宋体" w:eastAsia="宋体" w:cs="宋体"/>
          <w:u w:val="single"/>
        </w:rPr>
        <w:t xml:space="preserve">                       </w:t>
      </w:r>
      <w:r>
        <w:rPr>
          <w:rFonts w:hint="eastAsia" w:ascii="宋体" w:hAnsi="宋体" w:eastAsia="宋体" w:cs="宋体"/>
        </w:rPr>
        <w:t>项目编号为</w:t>
      </w:r>
      <w:r>
        <w:rPr>
          <w:rFonts w:hint="eastAsia" w:ascii="宋体" w:hAnsi="宋体" w:eastAsia="宋体" w:cs="宋体"/>
          <w:u w:val="single"/>
        </w:rPr>
        <w:t xml:space="preserve">             </w:t>
      </w:r>
      <w:r>
        <w:rPr>
          <w:rFonts w:hint="eastAsia" w:ascii="宋体" w:hAnsi="宋体" w:eastAsia="宋体" w:cs="宋体"/>
        </w:rPr>
        <w:t>号的</w:t>
      </w:r>
      <w:r>
        <w:rPr>
          <w:rFonts w:hint="eastAsia" w:ascii="宋体" w:hAnsi="宋体" w:eastAsia="宋体" w:cs="宋体"/>
          <w:lang w:val="en-US" w:eastAsia="zh-CN"/>
        </w:rPr>
        <w:t>采购</w:t>
      </w:r>
      <w:r>
        <w:rPr>
          <w:rFonts w:hint="eastAsia" w:ascii="宋体" w:hAnsi="宋体" w:eastAsia="宋体" w:cs="宋体"/>
        </w:rPr>
        <w:t>活动进行磋商。本公司所提交的磋商响应文件中所有关于磋商资格的文件、证明和陈述均是真实的、准确的。若与真实情况不符，本公司愿意承担由此而产生的一切后果。</w:t>
      </w:r>
    </w:p>
    <w:p>
      <w:pPr>
        <w:pStyle w:val="4"/>
        <w:overflowPunct w:val="0"/>
        <w:spacing w:line="360" w:lineRule="auto"/>
        <w:ind w:right="-21" w:rightChars="-10" w:firstLine="480"/>
        <w:rPr>
          <w:rFonts w:ascii="宋体" w:hAnsi="宋体" w:eastAsia="宋体" w:cs="宋体"/>
        </w:rPr>
      </w:pP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日      期：    年   月     日</w:t>
      </w:r>
    </w:p>
    <w:p>
      <w:pPr>
        <w:spacing w:before="312" w:beforeLines="100" w:after="156" w:afterLines="50"/>
        <w:ind w:right="-11"/>
        <w:rPr>
          <w:rFonts w:ascii="宋体" w:hAnsi="宋体" w:eastAsia="宋体" w:cs="宋体"/>
          <w:b/>
          <w:bCs/>
          <w:sz w:val="24"/>
        </w:rPr>
      </w:pPr>
    </w:p>
    <w:p>
      <w:pPr>
        <w:spacing w:before="312" w:beforeLines="100" w:after="156" w:afterLines="50"/>
        <w:ind w:right="-11"/>
        <w:jc w:val="center"/>
        <w:outlineLvl w:val="2"/>
        <w:rPr>
          <w:rFonts w:ascii="宋体" w:hAnsi="宋体" w:eastAsia="宋体" w:cs="宋体"/>
          <w:b/>
          <w:bCs/>
          <w:sz w:val="24"/>
        </w:rPr>
      </w:pPr>
      <w:bookmarkStart w:id="410" w:name="_Toc1317"/>
      <w:bookmarkStart w:id="411" w:name="_Toc22731"/>
      <w:bookmarkStart w:id="412" w:name="_Toc23509"/>
      <w:bookmarkStart w:id="413" w:name="_Toc9021"/>
      <w:bookmarkStart w:id="414" w:name="_Toc13249"/>
      <w:bookmarkStart w:id="415" w:name="_Toc16970"/>
      <w:bookmarkStart w:id="416" w:name="_Toc1248"/>
      <w:r>
        <w:rPr>
          <w:rFonts w:hint="eastAsia" w:ascii="宋体" w:hAnsi="宋体" w:eastAsia="宋体" w:cs="宋体"/>
          <w:b/>
          <w:bCs/>
          <w:sz w:val="24"/>
        </w:rPr>
        <w:t>（二） 其它证明文件</w:t>
      </w:r>
      <w:bookmarkEnd w:id="410"/>
      <w:bookmarkEnd w:id="411"/>
      <w:bookmarkEnd w:id="412"/>
      <w:bookmarkEnd w:id="413"/>
      <w:bookmarkEnd w:id="414"/>
      <w:bookmarkEnd w:id="415"/>
      <w:bookmarkEnd w:id="416"/>
    </w:p>
    <w:p>
      <w:pPr>
        <w:pStyle w:val="9"/>
        <w:numPr>
          <w:ilvl w:val="0"/>
          <w:numId w:val="24"/>
        </w:numPr>
        <w:spacing w:line="400" w:lineRule="atLeast"/>
        <w:outlineLvl w:val="3"/>
        <w:rPr>
          <w:rFonts w:ascii="宋体" w:hAnsi="宋体" w:eastAsia="宋体" w:cs="宋体"/>
          <w:b/>
          <w:bCs/>
          <w:sz w:val="21"/>
          <w:szCs w:val="21"/>
        </w:rPr>
      </w:pPr>
      <w:r>
        <w:rPr>
          <w:rFonts w:hint="eastAsia" w:ascii="宋体" w:hAnsi="宋体" w:eastAsia="宋体" w:cs="宋体"/>
          <w:b/>
          <w:bCs/>
          <w:sz w:val="21"/>
          <w:szCs w:val="21"/>
        </w:rPr>
        <w:t>出具符合以下情况的证明材料扫描件（五选一）</w:t>
      </w:r>
    </w:p>
    <w:p>
      <w:pPr>
        <w:pStyle w:val="9"/>
        <w:spacing w:line="400" w:lineRule="atLeast"/>
        <w:ind w:left="631" w:leftChars="200" w:hanging="211" w:hangingChars="100"/>
        <w:rPr>
          <w:rFonts w:ascii="宋体" w:hAnsi="宋体" w:eastAsia="宋体" w:cs="宋体"/>
          <w:b/>
          <w:bCs/>
          <w:sz w:val="21"/>
          <w:szCs w:val="21"/>
        </w:rPr>
      </w:pPr>
      <w:r>
        <w:rPr>
          <w:rFonts w:hint="eastAsia" w:ascii="宋体" w:hAnsi="宋体" w:eastAsia="宋体" w:cs="宋体"/>
          <w:b/>
          <w:bCs/>
          <w:sz w:val="21"/>
          <w:szCs w:val="21"/>
        </w:rPr>
        <w:t>①如磋商供应商是企业（包括合伙企业），提供在工商部门注册的有效“企业法人营业执照”或“营业执照”；</w:t>
      </w:r>
    </w:p>
    <w:p>
      <w:pPr>
        <w:pStyle w:val="9"/>
        <w:spacing w:line="40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②如磋商供应商是事业单位，提供有效的“事业单位法人证书”；</w:t>
      </w:r>
    </w:p>
    <w:p>
      <w:pPr>
        <w:pStyle w:val="9"/>
        <w:spacing w:line="40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③如磋商供应商是非企业专业服务机构的，提供执业许可证等证明文件；</w:t>
      </w:r>
    </w:p>
    <w:p>
      <w:pPr>
        <w:pStyle w:val="9"/>
        <w:spacing w:line="40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④如磋商供应商是个体工商户，提供有效的“个体工商户营业执照”；</w:t>
      </w:r>
    </w:p>
    <w:p>
      <w:pPr>
        <w:pStyle w:val="9"/>
        <w:spacing w:line="400" w:lineRule="atLeast"/>
        <w:ind w:left="631" w:leftChars="200" w:hanging="211" w:hangingChars="100"/>
        <w:rPr>
          <w:rFonts w:ascii="宋体" w:hAnsi="宋体" w:eastAsia="宋体" w:cs="宋体"/>
          <w:b/>
          <w:bCs/>
          <w:sz w:val="21"/>
          <w:szCs w:val="21"/>
        </w:rPr>
      </w:pPr>
      <w:r>
        <w:rPr>
          <w:rFonts w:hint="eastAsia" w:ascii="宋体" w:hAnsi="宋体" w:eastAsia="宋体" w:cs="宋体"/>
          <w:b/>
          <w:bCs/>
          <w:sz w:val="21"/>
          <w:szCs w:val="21"/>
        </w:rPr>
        <w:t>⑤如磋商供应商是自然人，提供有效的自然人身份证明（居民身份证正反面或公安机关出具的临时居民身份证正反面或港澳台胞证或证照）。</w:t>
      </w:r>
    </w:p>
    <w:p>
      <w:pPr>
        <w:pStyle w:val="9"/>
        <w:numPr>
          <w:ilvl w:val="0"/>
          <w:numId w:val="24"/>
        </w:numPr>
        <w:spacing w:line="400" w:lineRule="atLeast"/>
        <w:rPr>
          <w:rFonts w:ascii="宋体" w:hAnsi="宋体" w:eastAsia="宋体" w:cs="宋体"/>
          <w:b/>
          <w:bCs/>
          <w:sz w:val="21"/>
          <w:szCs w:val="21"/>
        </w:rPr>
      </w:pPr>
      <w:r>
        <w:rPr>
          <w:rFonts w:hint="eastAsia" w:ascii="宋体" w:hAnsi="宋体" w:eastAsia="宋体" w:cs="宋体"/>
          <w:b/>
          <w:bCs/>
          <w:sz w:val="21"/>
          <w:szCs w:val="21"/>
        </w:rPr>
        <w:t>供应商相关资质证明文件扫描件；</w:t>
      </w:r>
    </w:p>
    <w:p>
      <w:pPr>
        <w:pStyle w:val="9"/>
        <w:numPr>
          <w:ilvl w:val="0"/>
          <w:numId w:val="24"/>
        </w:numPr>
        <w:spacing w:line="400" w:lineRule="atLeast"/>
        <w:rPr>
          <w:rFonts w:ascii="宋体" w:hAnsi="宋体" w:eastAsia="宋体" w:cs="宋体"/>
          <w:b/>
          <w:bCs/>
          <w:sz w:val="21"/>
          <w:szCs w:val="21"/>
        </w:rPr>
      </w:pPr>
      <w:r>
        <w:rPr>
          <w:rFonts w:hint="eastAsia" w:ascii="宋体" w:hAnsi="宋体" w:eastAsia="宋体" w:cs="宋体"/>
          <w:b/>
          <w:bCs/>
          <w:sz w:val="21"/>
          <w:szCs w:val="21"/>
        </w:rPr>
        <w:t>项目负责人相关证书扫描件（如有）；</w:t>
      </w:r>
    </w:p>
    <w:p>
      <w:pPr>
        <w:pStyle w:val="9"/>
        <w:numPr>
          <w:ilvl w:val="0"/>
          <w:numId w:val="24"/>
        </w:numPr>
        <w:spacing w:line="400" w:lineRule="atLeast"/>
        <w:rPr>
          <w:rFonts w:ascii="宋体" w:hAnsi="宋体" w:eastAsia="宋体" w:cs="宋体"/>
          <w:b/>
          <w:bCs/>
          <w:kern w:val="0"/>
          <w:sz w:val="21"/>
          <w:szCs w:val="21"/>
        </w:rPr>
      </w:pPr>
      <w:r>
        <w:rPr>
          <w:rFonts w:hint="eastAsia" w:ascii="宋体" w:hAnsi="宋体" w:eastAsia="宋体" w:cs="宋体"/>
          <w:b/>
          <w:bCs/>
          <w:sz w:val="21"/>
          <w:szCs w:val="21"/>
        </w:rPr>
        <w:t>供应商的其他证书扫描件（如有）。</w:t>
      </w:r>
    </w:p>
    <w:p>
      <w:pPr>
        <w:pStyle w:val="27"/>
        <w:spacing w:line="400" w:lineRule="exact"/>
        <w:rPr>
          <w:rFonts w:hAnsi="宋体" w:eastAsia="宋体" w:cs="宋体"/>
          <w:b/>
          <w:bCs/>
        </w:rPr>
      </w:pPr>
    </w:p>
    <w:p>
      <w:pPr>
        <w:pStyle w:val="3"/>
        <w:rPr>
          <w:rFonts w:hAnsi="宋体" w:eastAsia="宋体" w:cs="宋体"/>
          <w:bCs/>
          <w:sz w:val="21"/>
          <w:szCs w:val="21"/>
        </w:rPr>
      </w:pPr>
      <w:bookmarkStart w:id="417" w:name="_Toc12068"/>
      <w:bookmarkStart w:id="418" w:name="_Toc28486"/>
      <w:bookmarkStart w:id="419" w:name="_Toc22048"/>
      <w:bookmarkStart w:id="420" w:name="_Toc28949"/>
      <w:r>
        <w:rPr>
          <w:rFonts w:hint="eastAsia" w:hAnsi="宋体" w:eastAsia="宋体" w:cs="宋体"/>
          <w:bCs/>
          <w:sz w:val="21"/>
          <w:szCs w:val="21"/>
        </w:rPr>
        <w:t>备注：以上所需的各种证书、证件、证明、执照等证明材料均须加盖供应商公章。</w:t>
      </w:r>
      <w:bookmarkEnd w:id="417"/>
      <w:bookmarkEnd w:id="418"/>
      <w:bookmarkEnd w:id="419"/>
      <w:bookmarkEnd w:id="420"/>
    </w:p>
    <w:p>
      <w:pPr>
        <w:pStyle w:val="4"/>
        <w:rPr>
          <w:rFonts w:ascii="宋体" w:hAnsi="宋体" w:eastAsia="宋体" w:cs="宋体"/>
          <w:b/>
          <w:bCs/>
          <w:sz w:val="21"/>
          <w:szCs w:val="21"/>
        </w:rPr>
      </w:pPr>
    </w:p>
    <w:p>
      <w:pPr>
        <w:jc w:val="center"/>
        <w:outlineLvl w:val="2"/>
        <w:rPr>
          <w:rFonts w:ascii="宋体" w:hAnsi="宋体" w:eastAsia="宋体" w:cs="宋体"/>
          <w:b/>
          <w:bCs/>
          <w:sz w:val="28"/>
          <w:szCs w:val="28"/>
        </w:rPr>
      </w:pPr>
      <w:bookmarkStart w:id="421" w:name="_Toc5464"/>
      <w:bookmarkStart w:id="422" w:name="_Toc32722"/>
      <w:bookmarkStart w:id="423" w:name="_Toc9828"/>
      <w:bookmarkStart w:id="424" w:name="_Toc4048"/>
      <w:bookmarkStart w:id="425" w:name="_Toc6171"/>
      <w:bookmarkStart w:id="426" w:name="_Toc16532"/>
      <w:bookmarkStart w:id="427" w:name="_Toc1967"/>
      <w:bookmarkStart w:id="428" w:name="_Toc9057"/>
      <w:bookmarkStart w:id="429" w:name="_Toc10203"/>
      <w:r>
        <w:rPr>
          <w:rFonts w:hint="eastAsia" w:ascii="宋体" w:hAnsi="宋体" w:eastAsia="宋体" w:cs="宋体"/>
          <w:b/>
          <w:bCs/>
          <w:sz w:val="28"/>
          <w:szCs w:val="28"/>
        </w:rPr>
        <w:t>附件二  关于满足《中华人民共和国政府采购法》第二十二条规定的</w:t>
      </w:r>
      <w:bookmarkEnd w:id="421"/>
      <w:bookmarkEnd w:id="422"/>
      <w:bookmarkEnd w:id="423"/>
      <w:bookmarkEnd w:id="424"/>
      <w:bookmarkEnd w:id="425"/>
      <w:bookmarkEnd w:id="426"/>
      <w:bookmarkEnd w:id="427"/>
      <w:bookmarkEnd w:id="428"/>
    </w:p>
    <w:p>
      <w:pPr>
        <w:jc w:val="center"/>
        <w:outlineLvl w:val="1"/>
        <w:rPr>
          <w:rFonts w:ascii="宋体" w:hAnsi="宋体" w:eastAsia="宋体" w:cs="宋体"/>
          <w:b/>
          <w:bCs/>
          <w:sz w:val="28"/>
          <w:szCs w:val="28"/>
        </w:rPr>
      </w:pPr>
      <w:bookmarkStart w:id="430" w:name="_Toc12976"/>
      <w:bookmarkStart w:id="431" w:name="_Toc31909"/>
      <w:bookmarkStart w:id="432" w:name="_Toc7964"/>
      <w:bookmarkStart w:id="433" w:name="_Toc13171"/>
      <w:bookmarkStart w:id="434" w:name="_Toc8955"/>
      <w:bookmarkStart w:id="435" w:name="_Toc7246"/>
      <w:bookmarkStart w:id="436" w:name="_Toc12691"/>
      <w:bookmarkStart w:id="437" w:name="_Toc21851"/>
      <w:bookmarkStart w:id="438" w:name="_Toc9507"/>
      <w:bookmarkStart w:id="439" w:name="_Toc9510"/>
      <w:bookmarkStart w:id="440" w:name="_Toc5866"/>
      <w:bookmarkStart w:id="441" w:name="_Toc21525"/>
      <w:bookmarkStart w:id="442" w:name="_Toc5178"/>
      <w:r>
        <w:rPr>
          <w:rFonts w:hint="eastAsia" w:ascii="宋体" w:hAnsi="宋体" w:eastAsia="宋体" w:cs="宋体"/>
          <w:b/>
          <w:bCs/>
          <w:sz w:val="28"/>
          <w:szCs w:val="28"/>
        </w:rPr>
        <w:t>承诺函</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rPr>
          <w:rFonts w:ascii="宋体" w:hAnsi="宋体" w:eastAsia="宋体" w:cs="宋体"/>
        </w:rPr>
      </w:pPr>
    </w:p>
    <w:p>
      <w:pPr>
        <w:spacing w:line="276" w:lineRule="auto"/>
        <w:rPr>
          <w:rFonts w:ascii="宋体" w:hAnsi="宋体" w:eastAsia="宋体" w:cs="宋体"/>
          <w:bCs/>
        </w:rPr>
      </w:pPr>
      <w:r>
        <w:rPr>
          <w:rFonts w:hint="eastAsia" w:ascii="宋体" w:hAnsi="宋体" w:eastAsia="宋体" w:cs="宋体"/>
          <w:bCs/>
          <w:lang w:eastAsia="zh-CN"/>
        </w:rPr>
        <w:t>瑞安市公安局</w:t>
      </w:r>
      <w:r>
        <w:rPr>
          <w:rFonts w:hint="eastAsia" w:ascii="宋体" w:hAnsi="宋体" w:eastAsia="宋体" w:cs="宋体"/>
          <w:bCs/>
        </w:rPr>
        <w:t>：</w:t>
      </w:r>
    </w:p>
    <w:p>
      <w:pPr>
        <w:snapToGrid w:val="0"/>
        <w:spacing w:before="156" w:beforeLines="50" w:after="50" w:line="276" w:lineRule="auto"/>
        <w:rPr>
          <w:rFonts w:ascii="宋体" w:hAnsi="宋体" w:eastAsia="宋体" w:cs="宋体"/>
          <w:szCs w:val="21"/>
        </w:rPr>
      </w:pPr>
      <w:r>
        <w:rPr>
          <w:rFonts w:hint="eastAsia" w:ascii="宋体" w:hAnsi="宋体" w:eastAsia="宋体" w:cs="宋体"/>
          <w:szCs w:val="21"/>
        </w:rPr>
        <w:t>浙江综盛项目管理有限公司：</w:t>
      </w:r>
    </w:p>
    <w:p>
      <w:pPr>
        <w:rPr>
          <w:rFonts w:ascii="宋体" w:hAnsi="宋体" w:eastAsia="宋体" w:cs="宋体"/>
        </w:rPr>
      </w:pPr>
    </w:p>
    <w:p>
      <w:pPr>
        <w:spacing w:line="360" w:lineRule="auto"/>
        <w:ind w:firstLine="420" w:firstLineChars="200"/>
        <w:rPr>
          <w:rStyle w:val="30"/>
          <w:rFonts w:ascii="宋体" w:hAnsi="宋体" w:eastAsia="宋体" w:cs="宋体"/>
        </w:rPr>
      </w:pPr>
      <w:r>
        <w:rPr>
          <w:rStyle w:val="30"/>
          <w:rFonts w:hint="eastAsia" w:ascii="宋体" w:hAnsi="宋体" w:eastAsia="宋体" w:cs="宋体"/>
        </w:rPr>
        <w:t>我公司参与</w:t>
      </w:r>
      <w:r>
        <w:rPr>
          <w:rStyle w:val="30"/>
          <w:rFonts w:hint="eastAsia" w:ascii="宋体" w:hAnsi="宋体" w:eastAsia="宋体" w:cs="宋体"/>
          <w:u w:val="single"/>
        </w:rPr>
        <w:t xml:space="preserve">        项目名称        </w:t>
      </w:r>
      <w:r>
        <w:rPr>
          <w:rStyle w:val="30"/>
          <w:rFonts w:hint="eastAsia" w:ascii="宋体" w:hAnsi="宋体" w:eastAsia="宋体" w:cs="宋体"/>
        </w:rPr>
        <w:t>（项目编号：</w:t>
      </w:r>
      <w:r>
        <w:rPr>
          <w:rStyle w:val="30"/>
          <w:rFonts w:hint="eastAsia" w:ascii="宋体" w:hAnsi="宋体" w:eastAsia="宋体" w:cs="宋体"/>
          <w:u w:val="single"/>
        </w:rPr>
        <w:t xml:space="preserve">                  </w:t>
      </w:r>
      <w:r>
        <w:rPr>
          <w:rStyle w:val="30"/>
          <w:rFonts w:hint="eastAsia" w:ascii="宋体" w:hAnsi="宋体" w:eastAsia="宋体" w:cs="宋体"/>
        </w:rPr>
        <w:t>）投标，郑重承诺具备以下条件：</w:t>
      </w:r>
    </w:p>
    <w:p>
      <w:pPr>
        <w:numPr>
          <w:ilvl w:val="0"/>
          <w:numId w:val="25"/>
        </w:numPr>
        <w:spacing w:line="360" w:lineRule="auto"/>
        <w:rPr>
          <w:rStyle w:val="30"/>
          <w:rFonts w:ascii="宋体" w:hAnsi="宋体" w:eastAsia="宋体" w:cs="宋体"/>
        </w:rPr>
      </w:pPr>
      <w:r>
        <w:rPr>
          <w:rStyle w:val="30"/>
          <w:rFonts w:hint="eastAsia" w:ascii="宋体" w:hAnsi="宋体" w:eastAsia="宋体" w:cs="宋体"/>
        </w:rPr>
        <w:t>具有独立承担民事责任的能力；</w:t>
      </w:r>
    </w:p>
    <w:p>
      <w:pPr>
        <w:numPr>
          <w:ilvl w:val="0"/>
          <w:numId w:val="25"/>
        </w:numPr>
        <w:spacing w:line="360" w:lineRule="auto"/>
        <w:rPr>
          <w:rStyle w:val="30"/>
          <w:rFonts w:ascii="宋体" w:hAnsi="宋体" w:eastAsia="宋体" w:cs="宋体"/>
        </w:rPr>
      </w:pPr>
      <w:r>
        <w:rPr>
          <w:rStyle w:val="30"/>
          <w:rFonts w:hint="eastAsia" w:ascii="宋体" w:hAnsi="宋体" w:eastAsia="宋体" w:cs="宋体"/>
        </w:rPr>
        <w:t>具有良好的商业信誉和健全的财务会计制度；</w:t>
      </w:r>
    </w:p>
    <w:p>
      <w:pPr>
        <w:numPr>
          <w:ilvl w:val="0"/>
          <w:numId w:val="25"/>
        </w:numPr>
        <w:spacing w:line="360" w:lineRule="auto"/>
        <w:rPr>
          <w:rStyle w:val="30"/>
          <w:rFonts w:ascii="宋体" w:hAnsi="宋体" w:eastAsia="宋体" w:cs="宋体"/>
        </w:rPr>
      </w:pPr>
      <w:r>
        <w:rPr>
          <w:rStyle w:val="30"/>
          <w:rFonts w:hint="eastAsia" w:ascii="宋体" w:hAnsi="宋体" w:eastAsia="宋体" w:cs="宋体"/>
        </w:rPr>
        <w:t>具有履行合同所必需的设备和专业技术能力；</w:t>
      </w:r>
    </w:p>
    <w:p>
      <w:pPr>
        <w:numPr>
          <w:ilvl w:val="0"/>
          <w:numId w:val="25"/>
        </w:numPr>
        <w:spacing w:line="360" w:lineRule="auto"/>
        <w:rPr>
          <w:rStyle w:val="30"/>
          <w:rFonts w:ascii="宋体" w:hAnsi="宋体" w:eastAsia="宋体" w:cs="宋体"/>
        </w:rPr>
      </w:pPr>
      <w:r>
        <w:rPr>
          <w:rStyle w:val="30"/>
          <w:rFonts w:hint="eastAsia" w:ascii="宋体" w:hAnsi="宋体" w:eastAsia="宋体" w:cs="宋体"/>
        </w:rPr>
        <w:t>有依法缴纳税收和社会保障资金的良好记录；</w:t>
      </w:r>
    </w:p>
    <w:p>
      <w:pPr>
        <w:numPr>
          <w:ilvl w:val="0"/>
          <w:numId w:val="25"/>
        </w:numPr>
        <w:spacing w:line="360" w:lineRule="auto"/>
        <w:rPr>
          <w:rStyle w:val="30"/>
          <w:rFonts w:ascii="宋体" w:hAnsi="宋体" w:eastAsia="宋体" w:cs="宋体"/>
        </w:rPr>
      </w:pPr>
      <w:r>
        <w:rPr>
          <w:rStyle w:val="30"/>
          <w:rFonts w:hint="eastAsia" w:ascii="宋体" w:hAnsi="宋体" w:eastAsia="宋体" w:cs="宋体"/>
        </w:rPr>
        <w:t>参加政府采购活动前三年内，在经营活动中没有重大违法记录；</w:t>
      </w:r>
    </w:p>
    <w:p>
      <w:pPr>
        <w:numPr>
          <w:ilvl w:val="0"/>
          <w:numId w:val="25"/>
        </w:numPr>
        <w:spacing w:line="360" w:lineRule="auto"/>
        <w:outlineLvl w:val="2"/>
        <w:rPr>
          <w:rStyle w:val="30"/>
          <w:rFonts w:ascii="宋体" w:hAnsi="宋体" w:eastAsia="宋体" w:cs="宋体"/>
        </w:rPr>
      </w:pPr>
      <w:bookmarkStart w:id="443" w:name="_Toc20673"/>
      <w:bookmarkStart w:id="444" w:name="_Toc6253"/>
      <w:bookmarkStart w:id="445" w:name="_Toc20650"/>
      <w:bookmarkStart w:id="446" w:name="_Toc22451"/>
      <w:bookmarkStart w:id="447" w:name="_Toc18820"/>
      <w:bookmarkStart w:id="448" w:name="_Toc9392"/>
      <w:bookmarkStart w:id="449" w:name="_Toc17639"/>
      <w:bookmarkStart w:id="450" w:name="_Toc7954"/>
      <w:r>
        <w:rPr>
          <w:rStyle w:val="30"/>
          <w:rFonts w:hint="eastAsia" w:ascii="宋体" w:hAnsi="宋体" w:eastAsia="宋体" w:cs="宋体"/>
        </w:rPr>
        <w:t>法律、行政法规规定的其他条件。</w:t>
      </w:r>
      <w:bookmarkEnd w:id="443"/>
      <w:bookmarkEnd w:id="444"/>
      <w:bookmarkEnd w:id="445"/>
      <w:bookmarkEnd w:id="446"/>
      <w:bookmarkEnd w:id="447"/>
      <w:bookmarkEnd w:id="448"/>
      <w:bookmarkEnd w:id="449"/>
      <w:bookmarkEnd w:id="450"/>
    </w:p>
    <w:p>
      <w:pPr>
        <w:spacing w:line="360" w:lineRule="auto"/>
        <w:ind w:firstLine="422" w:firstLineChars="200"/>
        <w:rPr>
          <w:rStyle w:val="30"/>
          <w:rFonts w:ascii="宋体" w:hAnsi="宋体" w:eastAsia="宋体" w:cs="宋体"/>
        </w:rPr>
      </w:pPr>
      <w:r>
        <w:rPr>
          <w:rStyle w:val="30"/>
          <w:rFonts w:hint="eastAsia" w:ascii="宋体" w:hAnsi="宋体" w:eastAsia="宋体" w:cs="宋体"/>
          <w:b/>
          <w:bCs/>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30"/>
          <w:rFonts w:hint="eastAsia" w:ascii="宋体" w:hAnsi="宋体" w:eastAsia="宋体" w:cs="宋体"/>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spacing w:line="360" w:lineRule="auto"/>
        <w:ind w:firstLine="420" w:firstLineChars="200"/>
        <w:rPr>
          <w:rStyle w:val="30"/>
          <w:rFonts w:ascii="宋体" w:hAnsi="宋体" w:eastAsia="宋体" w:cs="宋体"/>
        </w:rPr>
      </w:pPr>
      <w:r>
        <w:rPr>
          <w:rStyle w:val="30"/>
          <w:rFonts w:hint="eastAsia" w:ascii="宋体" w:hAnsi="宋体" w:eastAsia="宋体" w:cs="宋体"/>
        </w:rPr>
        <w:t>我单位已知晓前述法律规定，对此无任何异议。</w:t>
      </w:r>
    </w:p>
    <w:p>
      <w:pPr>
        <w:ind w:firstLine="420" w:firstLineChars="200"/>
        <w:rPr>
          <w:rStyle w:val="30"/>
          <w:rFonts w:ascii="宋体" w:hAnsi="宋体" w:eastAsia="宋体" w:cs="宋体"/>
        </w:rPr>
      </w:pPr>
    </w:p>
    <w:p>
      <w:pPr>
        <w:ind w:firstLine="420" w:firstLineChars="200"/>
        <w:rPr>
          <w:rStyle w:val="30"/>
          <w:rFonts w:ascii="宋体" w:hAnsi="宋体" w:eastAsia="宋体" w:cs="宋体"/>
        </w:rPr>
      </w:pPr>
    </w:p>
    <w:p>
      <w:pPr>
        <w:tabs>
          <w:tab w:val="left" w:pos="4635"/>
        </w:tabs>
        <w:spacing w:line="360" w:lineRule="auto"/>
        <w:ind w:left="4601" w:leftChars="2191" w:right="93" w:firstLine="16" w:firstLineChars="8"/>
        <w:rPr>
          <w:rFonts w:ascii="宋体" w:hAnsi="宋体" w:eastAsia="宋体" w:cs="宋体"/>
          <w:szCs w:val="22"/>
        </w:rPr>
      </w:pPr>
      <w:r>
        <w:rPr>
          <w:rFonts w:hint="eastAsia" w:ascii="宋体" w:hAnsi="宋体" w:eastAsia="宋体" w:cs="宋体"/>
          <w:szCs w:val="22"/>
        </w:rPr>
        <w:t>磋商供应商全称（电子签章）：</w:t>
      </w:r>
    </w:p>
    <w:p>
      <w:pPr>
        <w:tabs>
          <w:tab w:val="left" w:pos="4635"/>
        </w:tabs>
        <w:spacing w:line="360" w:lineRule="auto"/>
        <w:ind w:left="4601" w:leftChars="2191" w:right="93" w:firstLine="16" w:firstLineChars="8"/>
        <w:rPr>
          <w:rFonts w:ascii="宋体" w:hAnsi="宋体" w:eastAsia="宋体" w:cs="宋体"/>
          <w:szCs w:val="22"/>
        </w:rPr>
      </w:pPr>
      <w:r>
        <w:rPr>
          <w:rFonts w:hint="eastAsia" w:ascii="宋体" w:hAnsi="宋体" w:eastAsia="宋体" w:cs="宋体"/>
          <w:szCs w:val="22"/>
        </w:rPr>
        <w:t>日  期：</w:t>
      </w:r>
    </w:p>
    <w:p>
      <w:pPr>
        <w:rPr>
          <w:rStyle w:val="30"/>
          <w:rFonts w:ascii="宋体" w:hAnsi="宋体" w:eastAsia="宋体" w:cs="宋体"/>
          <w:b/>
          <w:bCs/>
        </w:rPr>
      </w:pPr>
    </w:p>
    <w:p>
      <w:pPr>
        <w:rPr>
          <w:rStyle w:val="30"/>
          <w:rFonts w:ascii="宋体" w:hAnsi="宋体" w:eastAsia="宋体" w:cs="宋体"/>
          <w:b/>
          <w:bCs/>
        </w:rPr>
      </w:pPr>
    </w:p>
    <w:p>
      <w:pPr>
        <w:pStyle w:val="8"/>
        <w:rPr>
          <w:lang w:val="en-US"/>
        </w:rPr>
      </w:pPr>
      <w:bookmarkStart w:id="451" w:name="_Toc27711"/>
      <w:bookmarkStart w:id="452" w:name="_Toc31133"/>
      <w:bookmarkStart w:id="453" w:name="_Toc2466"/>
      <w:r>
        <w:rPr>
          <w:rStyle w:val="30"/>
          <w:rFonts w:hint="eastAsia" w:ascii="宋体" w:hAnsi="宋体" w:eastAsia="宋体" w:cs="宋体"/>
          <w:sz w:val="21"/>
          <w:szCs w:val="21"/>
        </w:rPr>
        <w:t>注：1、▲本承诺函必须提供。</w:t>
      </w:r>
      <w:bookmarkEnd w:id="451"/>
      <w:bookmarkEnd w:id="452"/>
      <w:bookmarkEnd w:id="453"/>
    </w:p>
    <w:p/>
    <w:p>
      <w:pPr>
        <w:pStyle w:val="3"/>
      </w:pPr>
      <w:bookmarkStart w:id="454" w:name="_Toc21943"/>
      <w:bookmarkStart w:id="455" w:name="_Toc19370"/>
      <w:bookmarkStart w:id="456" w:name="_Toc21758"/>
      <w:bookmarkStart w:id="457" w:name="_Toc10761"/>
      <w:bookmarkStart w:id="458" w:name="_Toc19849"/>
    </w:p>
    <w:p>
      <w:pPr>
        <w:pStyle w:val="4"/>
      </w:pPr>
    </w:p>
    <w:p>
      <w:pPr>
        <w:jc w:val="center"/>
        <w:outlineLvl w:val="1"/>
        <w:rPr>
          <w:rFonts w:ascii="宋体" w:hAnsi="宋体" w:eastAsia="宋体" w:cs="宋体"/>
          <w:b/>
          <w:bCs/>
          <w:sz w:val="28"/>
          <w:szCs w:val="28"/>
        </w:rPr>
      </w:pPr>
      <w:bookmarkStart w:id="459" w:name="_Toc10372"/>
      <w:bookmarkStart w:id="460" w:name="_Toc31579"/>
      <w:bookmarkStart w:id="461" w:name="_Toc25118"/>
      <w:r>
        <w:rPr>
          <w:rFonts w:hint="eastAsia" w:ascii="宋体" w:hAnsi="宋体" w:eastAsia="宋体" w:cs="宋体"/>
          <w:b/>
          <w:bCs/>
          <w:sz w:val="28"/>
          <w:szCs w:val="28"/>
        </w:rPr>
        <w:t>附件三-1  法定代表人授权委托书</w:t>
      </w:r>
      <w:bookmarkEnd w:id="454"/>
      <w:bookmarkEnd w:id="455"/>
      <w:bookmarkEnd w:id="456"/>
      <w:bookmarkEnd w:id="457"/>
      <w:bookmarkEnd w:id="458"/>
      <w:bookmarkEnd w:id="459"/>
      <w:bookmarkEnd w:id="460"/>
      <w:bookmarkEnd w:id="461"/>
    </w:p>
    <w:p>
      <w:pPr>
        <w:spacing w:line="276" w:lineRule="auto"/>
        <w:rPr>
          <w:rFonts w:ascii="宋体" w:hAnsi="宋体" w:eastAsia="宋体" w:cs="宋体"/>
          <w:bCs/>
        </w:rPr>
      </w:pPr>
      <w:r>
        <w:rPr>
          <w:rFonts w:hint="eastAsia" w:ascii="宋体" w:hAnsi="宋体" w:eastAsia="宋体" w:cs="宋体"/>
          <w:bCs/>
          <w:lang w:eastAsia="zh-CN"/>
        </w:rPr>
        <w:t>瑞安市公安局</w:t>
      </w:r>
      <w:r>
        <w:rPr>
          <w:rFonts w:hint="eastAsia" w:ascii="宋体" w:hAnsi="宋体" w:eastAsia="宋体" w:cs="宋体"/>
          <w:bCs/>
        </w:rPr>
        <w:t>：</w:t>
      </w:r>
    </w:p>
    <w:p>
      <w:pPr>
        <w:snapToGrid w:val="0"/>
        <w:spacing w:before="156" w:beforeLines="50" w:after="50" w:line="276" w:lineRule="auto"/>
        <w:rPr>
          <w:rFonts w:ascii="宋体" w:hAnsi="宋体" w:eastAsia="宋体" w:cs="宋体"/>
          <w:szCs w:val="21"/>
        </w:rPr>
      </w:pPr>
      <w:r>
        <w:rPr>
          <w:rFonts w:hint="eastAsia" w:ascii="宋体" w:hAnsi="宋体" w:eastAsia="宋体" w:cs="宋体"/>
          <w:szCs w:val="21"/>
        </w:rPr>
        <w:t>浙江综盛项目管理有限公司：</w:t>
      </w:r>
    </w:p>
    <w:p>
      <w:pPr>
        <w:spacing w:line="360" w:lineRule="auto"/>
        <w:ind w:firstLine="426" w:firstLineChars="203"/>
        <w:rPr>
          <w:rFonts w:ascii="宋体" w:hAnsi="宋体" w:eastAsia="宋体" w:cs="宋体"/>
        </w:rPr>
      </w:pPr>
      <w:r>
        <w:rPr>
          <w:rFonts w:hint="eastAsia" w:ascii="宋体" w:hAnsi="宋体" w:eastAsia="宋体" w:cs="宋体"/>
        </w:rPr>
        <w:t>本授权委托书声明：我</w:t>
      </w:r>
      <w:r>
        <w:rPr>
          <w:rFonts w:hint="eastAsia" w:ascii="宋体" w:hAnsi="宋体" w:eastAsia="宋体" w:cs="宋体"/>
          <w:u w:val="single"/>
        </w:rPr>
        <w:t xml:space="preserve">   （法人代表姓名）  </w:t>
      </w:r>
      <w:r>
        <w:rPr>
          <w:rFonts w:hint="eastAsia" w:ascii="宋体" w:hAnsi="宋体" w:eastAsia="宋体" w:cs="宋体"/>
        </w:rPr>
        <w:t>系</w:t>
      </w:r>
      <w:r>
        <w:rPr>
          <w:rFonts w:hint="eastAsia" w:ascii="宋体" w:hAnsi="宋体" w:eastAsia="宋体" w:cs="宋体"/>
          <w:u w:val="single"/>
        </w:rPr>
        <w:t xml:space="preserve">  （磋商供应商名称）  </w:t>
      </w:r>
      <w:r>
        <w:rPr>
          <w:rFonts w:hint="eastAsia" w:ascii="宋体" w:hAnsi="宋体" w:eastAsia="宋体" w:cs="宋体"/>
        </w:rPr>
        <w:t>的法定代表人，现授权委托本单位正式职工</w:t>
      </w:r>
      <w:r>
        <w:rPr>
          <w:rFonts w:hint="eastAsia" w:ascii="宋体" w:hAnsi="宋体" w:eastAsia="宋体" w:cs="宋体"/>
          <w:u w:val="single"/>
        </w:rPr>
        <w:t xml:space="preserve">    （授权代表姓名）    </w:t>
      </w:r>
      <w:r>
        <w:rPr>
          <w:rFonts w:hint="eastAsia" w:ascii="宋体" w:hAnsi="宋体" w:eastAsia="宋体" w:cs="宋体"/>
        </w:rPr>
        <w:t>为我公司法定代表人授权代表，参加贵处组织的</w:t>
      </w:r>
      <w:r>
        <w:rPr>
          <w:rFonts w:hint="eastAsia" w:ascii="宋体" w:hAnsi="宋体" w:eastAsia="宋体" w:cs="宋体"/>
          <w:u w:val="single"/>
        </w:rPr>
        <w:t xml:space="preserve">（项目编号）          </w:t>
      </w:r>
      <w:r>
        <w:rPr>
          <w:rFonts w:hint="eastAsia" w:ascii="宋体" w:hAnsi="宋体" w:eastAsia="宋体" w:cs="宋体"/>
        </w:rPr>
        <w:t xml:space="preserve">项目投标，全权处理本次招投标活动中的一切事宜，并代表我方全权办理针对上述项目的投标、开标、评标、签约等具体事务和签署相关文件。   </w:t>
      </w:r>
    </w:p>
    <w:p>
      <w:pPr>
        <w:spacing w:line="360" w:lineRule="auto"/>
        <w:ind w:left="283" w:leftChars="135" w:firstLine="140" w:firstLineChars="67"/>
        <w:rPr>
          <w:rFonts w:ascii="宋体" w:hAnsi="宋体" w:eastAsia="宋体" w:cs="宋体"/>
        </w:rPr>
      </w:pPr>
      <w:r>
        <w:rPr>
          <w:rFonts w:hint="eastAsia" w:ascii="宋体" w:hAnsi="宋体" w:eastAsia="宋体" w:cs="宋体"/>
        </w:rPr>
        <w:t>我方对被授权人的签名负全部责任。</w:t>
      </w:r>
    </w:p>
    <w:p>
      <w:pPr>
        <w:spacing w:line="360" w:lineRule="auto"/>
        <w:ind w:firstLine="420" w:firstLineChars="200"/>
        <w:rPr>
          <w:rFonts w:ascii="宋体" w:hAnsi="宋体" w:eastAsia="宋体" w:cs="宋体"/>
        </w:rPr>
      </w:pPr>
      <w:r>
        <w:rPr>
          <w:rFonts w:hint="eastAsia" w:ascii="宋体" w:hAnsi="宋体" w:eastAsia="宋体" w:cs="宋体"/>
        </w:rPr>
        <w:t>在撤销授权的书面通知以前，本授权委托书一直有效。被授权人在授权委托书有效期内签署的所有文件不因授权的撤销而失效。</w:t>
      </w:r>
    </w:p>
    <w:p>
      <w:pPr>
        <w:spacing w:line="360" w:lineRule="auto"/>
        <w:ind w:firstLine="420" w:firstLineChars="200"/>
        <w:rPr>
          <w:rFonts w:ascii="宋体" w:hAnsi="宋体" w:eastAsia="宋体" w:cs="宋体"/>
        </w:rPr>
      </w:pPr>
      <w:r>
        <w:rPr>
          <w:rFonts w:hint="eastAsia" w:ascii="宋体" w:hAnsi="宋体" w:eastAsia="宋体" w:cs="宋体"/>
        </w:rPr>
        <w:t>授权代表无转委托权，特此委托。</w:t>
      </w:r>
    </w:p>
    <w:p>
      <w:pPr>
        <w:spacing w:line="276" w:lineRule="auto"/>
        <w:ind w:firstLine="697"/>
        <w:rPr>
          <w:rFonts w:ascii="宋体" w:hAnsi="宋体" w:eastAsia="宋体" w:cs="宋体"/>
        </w:rPr>
      </w:pPr>
    </w:p>
    <w:p>
      <w:pPr>
        <w:spacing w:before="312" w:beforeLines="100" w:after="312" w:afterLines="100" w:line="400" w:lineRule="atLeast"/>
        <w:ind w:firstLine="697"/>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140970</wp:posOffset>
                </wp:positionV>
                <wp:extent cx="2324100" cy="35337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0" y="0"/>
                          <a:ext cx="2324100" cy="353377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
                          <w:p/>
                          <w:p/>
                          <w:p>
                            <w:pPr>
                              <w:jc w:val="center"/>
                            </w:pPr>
                            <w:r>
                              <w:rPr>
                                <w:rFonts w:hint="eastAsia"/>
                              </w:rPr>
                              <w:t>授权代表身份证复印件（正反两面）</w:t>
                            </w:r>
                          </w:p>
                        </w:txbxContent>
                      </wps:txbx>
                      <wps:bodyPr upright="1"/>
                    </wps:wsp>
                  </a:graphicData>
                </a:graphic>
              </wp:anchor>
            </w:drawing>
          </mc:Choice>
          <mc:Fallback>
            <w:pict>
              <v:shape id="_x0000_s1026" o:spid="_x0000_s1026" o:spt="202" type="#_x0000_t202" style="position:absolute;left:0pt;margin-left:-22.15pt;margin-top:11.1pt;height:278.25pt;width:183pt;z-index:251661312;mso-width-relative:page;mso-height-relative:page;" fillcolor="#FFFFFF" filled="t" stroked="t" coordsize="21600,21600" o:gfxdata="UEsDBAoAAAAAAIdO4kAAAAAAAAAAAAAAAAAEAAAAZHJzL1BLAwQUAAAACACHTuJAZM7nTNoAAAAK AQAADwAAAGRycy9kb3ducmV2LnhtbE2Py07DMBBF90j8gzVIbFDrvGjSkEkXSCDYQUF068bTJMKP YLtp+XvMCpaje3TvmWZz1orN5PxoDUK6TICR6awcTY/w/vawqID5IIwUyhpC+CYPm/byohG1tCfz SvM29CyWGF8LhCGEqebcdwNp4Zd2IhOzg3VahHi6nksnTrFcK54lyYprMZq4MIiJ7gfqPrdHjVAV T/POP+cvH93qoNbhppwfvxzi9VWa3AELdA5/MPzqR3Voo9PeHo30TCEsiiKPKEKWZcAikGdpCWyP cFtWJfC24f9faH8AUEsDBBQAAAAIAIdO4kDNgSpECwIAADcEAAAOAAAAZHJzL2Uyb0RvYy54bWyt U02u0zAQ3iNxB8t7mjSlPIiaPglK2SBAenAA13YSS/6Tx23TC8ANWLFhz7l6jjd2+vp+YNEFWThj z+dvZr4ZL64Ho8lOBlDONnQ6KSmRljuhbNfQb1/XL15TApFZwbSzsqEHCfR6+fzZYu9rWbneaSED QRIL9d43tI/R10UBvJeGwcR5adHZumBYxG3oChHYHtmNLqqyfFXsXRA+OC4B8HQ1OumJMVxC6NpW cblyfGukjSNrkJpFLAl65YEuc7ZtK3n83LYgI9ENxUpjXjEI2pu0FssFq7vAfK/4KQV2SQpPajJM WQx6plqxyMg2qL+ojOLBgWvjhDtTjIVkRbCKaflEm5ueeZlrQanBn0WH/0fLP+2+BKJEQytKLDPY 8OPPH8dff46/v5MqybP3UCPqxiMuDm/dgENzdw54mKoe2mDSH+sh6EdxD2dx5RAJx8NqVr2cluji 6JvNZ7Orq3niKe6v+wDxg3SGJKOhAbuXRWW7jxBH6B0kRQOnlVgrrfMmdJt3OpAdw06v83difwTT luwb+mZezTERhuPb4tigaTxKALbL8R7dgIfEZf7+RZwSWzHoxwQyQ4Kx2qgoQ7Z6ycR7K0g8eJTZ 4uuiKRkjBSVa4mNMVkZGpvQlSNROW5Qw9WjsRbLisBmQJpkbJw7Yt60PqutR0ty5DMd5ytqfZj8N 7MN9Jr1/78t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ZM7nTNoAAAAKAQAADwAAAAAAAAABACAA AAAiAAAAZHJzL2Rvd25yZXYueG1sUEsBAhQAFAAAAAgAh07iQM2BKkQLAgAANwQAAA4AAAAAAAAA AQAgAAAAKQEAAGRycy9lMm9Eb2MueG1sUEsFBgAAAAAGAAYAWQEAAKYFAAAAAA== ">
                <v:fill on="t" focussize="0,0"/>
                <v:stroke color="#000000" joinstyle="miter"/>
                <v:imagedata o:title=""/>
                <o:lock v:ext="edit" aspectratio="f"/>
                <v:textbox>
                  <w:txbxContent>
                    <w:p/>
                    <w:p/>
                    <w:p/>
                    <w:p/>
                    <w:p/>
                    <w:p/>
                    <w:p/>
                    <w:p/>
                    <w:p/>
                    <w:p>
                      <w:pPr>
                        <w:jc w:val="center"/>
                      </w:pPr>
                      <w:r>
                        <w:rPr>
                          <w:rFonts w:hint="eastAsia"/>
                        </w:rPr>
                        <w:t>授权代表身份证复印件（正反两面）</w:t>
                      </w:r>
                    </w:p>
                  </w:txbxContent>
                </v:textbox>
              </v:shape>
            </w:pict>
          </mc:Fallback>
        </mc:AlternateContent>
      </w:r>
    </w:p>
    <w:p>
      <w:pPr>
        <w:spacing w:before="312" w:beforeLines="100" w:after="312" w:afterLines="100" w:line="400" w:lineRule="atLeast"/>
        <w:ind w:left="2100" w:leftChars="1000" w:firstLine="1365" w:firstLineChars="650"/>
        <w:rPr>
          <w:rFonts w:ascii="宋体" w:hAnsi="宋体" w:eastAsia="宋体" w:cs="宋体"/>
          <w:szCs w:val="21"/>
          <w:u w:val="single"/>
        </w:rPr>
      </w:pPr>
      <w:r>
        <w:rPr>
          <w:rFonts w:hint="eastAsia" w:ascii="宋体" w:hAnsi="宋体" w:eastAsia="宋体" w:cs="宋体"/>
          <w:szCs w:val="21"/>
        </w:rPr>
        <w:t>授权代表：</w:t>
      </w:r>
      <w:r>
        <w:rPr>
          <w:rFonts w:hint="eastAsia" w:ascii="宋体" w:hAnsi="宋体" w:eastAsia="宋体" w:cs="宋体"/>
          <w:szCs w:val="21"/>
          <w:u w:val="single"/>
        </w:rPr>
        <w:t xml:space="preserve">        </w:t>
      </w:r>
      <w:r>
        <w:rPr>
          <w:rFonts w:hint="eastAsia" w:ascii="宋体" w:hAnsi="宋体" w:eastAsia="宋体" w:cs="宋体"/>
          <w:szCs w:val="21"/>
        </w:rPr>
        <w:t>性别 ：</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before="312" w:beforeLines="100" w:after="312" w:afterLines="100" w:line="400" w:lineRule="atLeast"/>
        <w:ind w:left="2100" w:leftChars="1000" w:firstLine="1365" w:firstLineChars="650"/>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before="312" w:beforeLines="100" w:after="312" w:afterLines="100" w:line="400" w:lineRule="atLeast"/>
        <w:ind w:left="2100" w:leftChars="1000" w:firstLine="1365" w:firstLineChars="650"/>
        <w:rPr>
          <w:rFonts w:ascii="宋体" w:hAnsi="宋体" w:eastAsia="宋体" w:cs="宋体"/>
          <w:szCs w:val="21"/>
          <w:u w:val="single"/>
        </w:rPr>
      </w:pPr>
      <w:r>
        <w:rPr>
          <w:rFonts w:hint="eastAsia" w:ascii="宋体" w:hAnsi="宋体" w:eastAsia="宋体" w:cs="宋体"/>
          <w:szCs w:val="21"/>
        </w:rPr>
        <w:t>详细通讯地址：</w:t>
      </w:r>
      <w:r>
        <w:rPr>
          <w:rFonts w:hint="eastAsia" w:ascii="宋体" w:hAnsi="宋体" w:eastAsia="宋体" w:cs="宋体"/>
          <w:szCs w:val="21"/>
          <w:u w:val="single"/>
        </w:rPr>
        <w:t xml:space="preserve">              </w:t>
      </w:r>
      <w:r>
        <w:rPr>
          <w:rFonts w:hint="eastAsia" w:ascii="宋体" w:hAnsi="宋体" w:eastAsia="宋体" w:cs="宋体"/>
          <w:szCs w:val="21"/>
        </w:rPr>
        <w:t>邮政编码：</w:t>
      </w:r>
      <w:r>
        <w:rPr>
          <w:rFonts w:hint="eastAsia" w:ascii="宋体" w:hAnsi="宋体" w:eastAsia="宋体" w:cs="宋体"/>
          <w:szCs w:val="21"/>
          <w:u w:val="single"/>
        </w:rPr>
        <w:t xml:space="preserve">             </w:t>
      </w:r>
    </w:p>
    <w:p>
      <w:pPr>
        <w:spacing w:before="312" w:beforeLines="100" w:after="312" w:afterLines="100" w:line="400" w:lineRule="atLeast"/>
        <w:ind w:firstLine="3465" w:firstLineChars="1650"/>
        <w:rPr>
          <w:rFonts w:ascii="宋体" w:hAnsi="宋体" w:eastAsia="宋体" w:cs="宋体"/>
          <w:szCs w:val="21"/>
          <w:u w:val="single"/>
        </w:rPr>
      </w:pPr>
      <w:r>
        <w:rPr>
          <w:rFonts w:hint="eastAsia" w:ascii="宋体" w:hAnsi="宋体" w:eastAsia="宋体" w:cs="宋体"/>
          <w:szCs w:val="21"/>
        </w:rPr>
        <w:t xml:space="preserve">手机号码： </w:t>
      </w:r>
      <w:r>
        <w:rPr>
          <w:rFonts w:hint="eastAsia" w:ascii="宋体" w:hAnsi="宋体" w:eastAsia="宋体" w:cs="宋体"/>
          <w:szCs w:val="21"/>
          <w:u w:val="single"/>
        </w:rPr>
        <w:t xml:space="preserve">              </w:t>
      </w:r>
      <w:r>
        <w:rPr>
          <w:rFonts w:hint="eastAsia" w:ascii="宋体" w:hAnsi="宋体" w:eastAsia="宋体" w:cs="宋体"/>
          <w:szCs w:val="21"/>
        </w:rPr>
        <w:t>电子邮箱：</w:t>
      </w:r>
      <w:r>
        <w:rPr>
          <w:rFonts w:hint="eastAsia" w:ascii="宋体" w:hAnsi="宋体" w:eastAsia="宋体" w:cs="宋体"/>
          <w:szCs w:val="21"/>
          <w:u w:val="single"/>
        </w:rPr>
        <w:t xml:space="preserve">              </w:t>
      </w:r>
    </w:p>
    <w:p>
      <w:pPr>
        <w:spacing w:before="312" w:beforeLines="100" w:after="312" w:afterLines="100" w:line="400" w:lineRule="atLeast"/>
        <w:ind w:firstLine="3465" w:firstLineChars="1650"/>
        <w:rPr>
          <w:rFonts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传    真：</w:t>
      </w:r>
      <w:r>
        <w:rPr>
          <w:rFonts w:hint="eastAsia" w:ascii="宋体" w:hAnsi="宋体" w:eastAsia="宋体" w:cs="宋体"/>
          <w:szCs w:val="21"/>
          <w:u w:val="single"/>
        </w:rPr>
        <w:t xml:space="preserve">             </w:t>
      </w:r>
    </w:p>
    <w:p>
      <w:pPr>
        <w:spacing w:before="312" w:beforeLines="100" w:after="312" w:afterLines="100" w:line="400" w:lineRule="atLeast"/>
        <w:ind w:left="1" w:firstLine="403" w:firstLineChars="192"/>
        <w:rPr>
          <w:rFonts w:ascii="宋体" w:hAnsi="宋体" w:eastAsia="宋体" w:cs="宋体"/>
          <w:szCs w:val="21"/>
        </w:rPr>
      </w:pPr>
      <w:r>
        <w:rPr>
          <w:rFonts w:hint="eastAsia" w:ascii="宋体" w:hAnsi="宋体" w:eastAsia="宋体" w:cs="宋体"/>
          <w:szCs w:val="21"/>
        </w:rPr>
        <w:t xml:space="preserve">                             磋商供应商：</w:t>
      </w:r>
      <w:r>
        <w:rPr>
          <w:rFonts w:hint="eastAsia" w:ascii="宋体" w:hAnsi="宋体" w:eastAsia="宋体" w:cs="宋体"/>
          <w:szCs w:val="21"/>
          <w:u w:val="single"/>
        </w:rPr>
        <w:t xml:space="preserve">                 （</w:t>
      </w:r>
      <w:r>
        <w:rPr>
          <w:rFonts w:hint="eastAsia" w:ascii="宋体" w:hAnsi="宋体" w:eastAsia="宋体" w:cs="宋体"/>
          <w:u w:val="single"/>
        </w:rPr>
        <w:t>盖电子签章）</w:t>
      </w:r>
    </w:p>
    <w:p>
      <w:pPr>
        <w:spacing w:before="312" w:beforeLines="100" w:after="312" w:afterLines="100" w:line="400" w:lineRule="atLeast"/>
        <w:ind w:left="2100" w:right="420" w:firstLine="1365" w:firstLineChars="650"/>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（签字或盖章）</w:t>
      </w:r>
    </w:p>
    <w:p>
      <w:pPr>
        <w:spacing w:before="312" w:beforeLines="100" w:after="312" w:afterLines="100" w:line="400" w:lineRule="atLeast"/>
        <w:ind w:firstLine="3150" w:firstLineChars="1500"/>
        <w:jc w:val="right"/>
        <w:rPr>
          <w:rFonts w:ascii="宋体" w:hAnsi="宋体" w:eastAsia="宋体" w:cs="宋体"/>
          <w:szCs w:val="21"/>
        </w:rPr>
      </w:pPr>
    </w:p>
    <w:p>
      <w:pPr>
        <w:spacing w:before="312" w:beforeLines="100" w:after="312" w:afterLines="100" w:line="400" w:lineRule="atLeast"/>
        <w:ind w:firstLine="3150" w:firstLineChars="1500"/>
        <w:jc w:val="right"/>
        <w:rPr>
          <w:rFonts w:ascii="宋体" w:hAnsi="宋体" w:eastAsia="宋体" w:cs="宋体"/>
          <w:szCs w:val="21"/>
        </w:rPr>
      </w:pPr>
    </w:p>
    <w:p>
      <w:pPr>
        <w:spacing w:before="312" w:beforeLines="100" w:after="312" w:afterLines="100" w:line="400" w:lineRule="atLeast"/>
        <w:ind w:firstLine="3150" w:firstLineChars="1500"/>
        <w:jc w:val="right"/>
        <w:rPr>
          <w:rFonts w:ascii="宋体" w:hAnsi="宋体" w:eastAsia="宋体" w:cs="宋体"/>
          <w:b/>
          <w:bCs/>
          <w:sz w:val="28"/>
          <w:szCs w:val="28"/>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bookmarkStart w:id="462" w:name="_Toc29170"/>
      <w:bookmarkStart w:id="463" w:name="_Toc19590"/>
      <w:bookmarkStart w:id="464" w:name="_Toc27037135"/>
      <w:bookmarkStart w:id="465" w:name="_Toc5271"/>
      <w:bookmarkStart w:id="466" w:name="_Toc15488"/>
      <w:bookmarkStart w:id="467" w:name="_Toc31384"/>
      <w:bookmarkStart w:id="468" w:name="_Toc10391"/>
      <w:bookmarkStart w:id="469" w:name="_Toc486931327"/>
      <w:bookmarkStart w:id="470" w:name="_Toc2075"/>
      <w:bookmarkStart w:id="471" w:name="_Toc27035996"/>
    </w:p>
    <w:p>
      <w:pPr>
        <w:jc w:val="center"/>
        <w:outlineLvl w:val="1"/>
        <w:rPr>
          <w:rFonts w:ascii="宋体" w:hAnsi="宋体" w:eastAsia="宋体" w:cs="宋体"/>
          <w:b/>
          <w:bCs/>
          <w:sz w:val="28"/>
          <w:szCs w:val="28"/>
        </w:rPr>
      </w:pPr>
      <w:bookmarkStart w:id="472" w:name="_Toc18364"/>
      <w:bookmarkStart w:id="473" w:name="_Toc12958"/>
      <w:bookmarkStart w:id="474" w:name="_Toc25995"/>
      <w:r>
        <w:rPr>
          <w:rFonts w:hint="eastAsia" w:ascii="宋体" w:hAnsi="宋体" w:eastAsia="宋体" w:cs="宋体"/>
          <w:b/>
          <w:bCs/>
          <w:sz w:val="28"/>
          <w:szCs w:val="28"/>
        </w:rPr>
        <w:t>附件三-2  法定代表人身份证明</w:t>
      </w:r>
      <w:bookmarkEnd w:id="462"/>
      <w:bookmarkEnd w:id="463"/>
      <w:bookmarkEnd w:id="464"/>
      <w:bookmarkEnd w:id="465"/>
      <w:bookmarkEnd w:id="466"/>
      <w:bookmarkEnd w:id="467"/>
      <w:bookmarkEnd w:id="468"/>
      <w:bookmarkEnd w:id="469"/>
      <w:bookmarkEnd w:id="470"/>
      <w:bookmarkEnd w:id="471"/>
      <w:bookmarkEnd w:id="472"/>
      <w:bookmarkEnd w:id="473"/>
      <w:bookmarkEnd w:id="474"/>
    </w:p>
    <w:p>
      <w:pPr>
        <w:rPr>
          <w:rFonts w:ascii="宋体" w:hAnsi="宋体" w:eastAsia="宋体" w:cs="宋体"/>
        </w:rPr>
      </w:pPr>
    </w:p>
    <w:p>
      <w:pPr>
        <w:spacing w:line="360" w:lineRule="auto"/>
        <w:rPr>
          <w:rFonts w:ascii="宋体" w:hAnsi="宋体" w:eastAsia="宋体" w:cs="宋体"/>
          <w:szCs w:val="21"/>
        </w:rPr>
      </w:pPr>
      <w:r>
        <w:rPr>
          <w:rFonts w:hint="eastAsia" w:ascii="宋体" w:hAnsi="宋体" w:eastAsia="宋体" w:cs="宋体"/>
          <w:szCs w:val="21"/>
        </w:rPr>
        <w:t>申 请 人：</w:t>
      </w:r>
      <w:r>
        <w:rPr>
          <w:rFonts w:hint="eastAsia" w:ascii="宋体" w:hAnsi="宋体" w:eastAsia="宋体" w:cs="宋体"/>
          <w:szCs w:val="21"/>
          <w:u w:val="single"/>
        </w:rPr>
        <w:t xml:space="preserve">                                                       </w:t>
      </w:r>
    </w:p>
    <w:p>
      <w:pPr>
        <w:spacing w:line="360" w:lineRule="auto"/>
        <w:rPr>
          <w:rFonts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性    别：</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（申请人名称）的法定代表人。</w:t>
      </w:r>
    </w:p>
    <w:p>
      <w:pPr>
        <w:spacing w:line="360" w:lineRule="auto"/>
        <w:rPr>
          <w:rFonts w:ascii="宋体" w:hAnsi="宋体" w:eastAsia="宋体" w:cs="宋体"/>
          <w:szCs w:val="21"/>
        </w:rPr>
      </w:pPr>
      <w:r>
        <w:rPr>
          <w:rFonts w:hint="eastAsia" w:ascii="宋体" w:hAnsi="宋体" w:eastAsia="宋体" w:cs="宋体"/>
          <w:szCs w:val="21"/>
        </w:rPr>
        <w:t>特此证明。</w:t>
      </w:r>
    </w:p>
    <w:p>
      <w:pPr>
        <w:spacing w:line="360" w:lineRule="exact"/>
        <w:rPr>
          <w:rFonts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2128520</wp:posOffset>
                </wp:positionH>
                <wp:positionV relativeFrom="paragraph">
                  <wp:posOffset>61595</wp:posOffset>
                </wp:positionV>
                <wp:extent cx="3529330" cy="2476500"/>
                <wp:effectExtent l="5080" t="4445" r="8890" b="14605"/>
                <wp:wrapNone/>
                <wp:docPr id="3" name="文本框 3"/>
                <wp:cNvGraphicFramePr/>
                <a:graphic xmlns:a="http://schemas.openxmlformats.org/drawingml/2006/main">
                  <a:graphicData uri="http://schemas.microsoft.com/office/word/2010/wordprocessingShape">
                    <wps:wsp>
                      <wps:cNvSpPr txBox="1"/>
                      <wps:spPr>
                        <a:xfrm>
                          <a:off x="0" y="0"/>
                          <a:ext cx="3529330" cy="247650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r>
                              <w:rPr>
                                <w:rFonts w:hint="eastAsia" w:ascii="新宋体" w:hAnsi="新宋体" w:eastAsia="新宋体"/>
                                <w:sz w:val="22"/>
                              </w:rPr>
                              <w:t>法定代表人身份证复印件粘贴处（正反两面）：</w:t>
                            </w: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pPr>
                          </w:p>
                          <w:p/>
                          <w:p/>
                          <w:p/>
                          <w:p/>
                          <w:p/>
                          <w:p/>
                        </w:txbxContent>
                      </wps:txbx>
                      <wps:bodyPr upright="1"/>
                    </wps:wsp>
                  </a:graphicData>
                </a:graphic>
              </wp:anchor>
            </w:drawing>
          </mc:Choice>
          <mc:Fallback>
            <w:pict>
              <v:shape id="_x0000_s1026" o:spid="_x0000_s1026" o:spt="202" type="#_x0000_t202" style="position:absolute;left:0pt;margin-left:167.6pt;margin-top:4.85pt;height:195pt;width:277.9pt;z-index:251662336;mso-width-relative:page;mso-height-relative:page;" filled="f" stroked="t" coordsize="21600,21600" o:gfxdata="UEsDBAoAAAAAAIdO4kAAAAAAAAAAAAAAAAAEAAAAZHJzL1BLAwQUAAAACACHTuJAz5t2p9UAAAAJ AQAADwAAAGRycy9kb3ducmV2LnhtbE2PS0/EMAyE70j8h8hI3Nj0Iei2NN0DC3coC1zdxttW5FE1 2Qf8eswJjvaMx9/Um7M14khLmLxTkK4SEOR6ryc3KNi9Pt2sQYSITqPxjhR8UYBNc3lRY6X9yb3Q sY2D4BAXKlQwxjhXUoZ+JIth5WdyrO39YjHyuAxSL3jicGtkliR30uLk+MOIMz2M1H+2B8sY2ccu 3z63VBTY5dvH77dy/26Uur5Kk3sQkc7xzwy/+HwDDTN1/uB0EEZBnt9mbFVQFiBYX5cpd+tYKHkj m1r+b9D8AFBLAwQUAAAACACHTuJAmuRHTAgCAAAOBAAADgAAAGRycy9lMm9Eb2MueG1srVPNbhMx EL4j8Q6W72TThBQaZVMJQrkgQCo8gGPP7lrynzxOdvMC8AacuHDnufIcHXvTFMqlB/bgHXvG38z3 zXh1PVjD9hBRe1fzi8mUM3DSK+3amn/9cvPiNWeYhFPCeAc1PwDy6/XzZ6s+LGHmO28UREYgDpd9 qHmXUlhWFcoOrMCJD+DI2fhoRaJtbCsVRU/o1lSz6fSy6n1UIXoJiHS6GZ38hBifAuibRkvYeLmz 4NKIGsGIRJSw0wH5ulTbNCDTp6ZBSMzUnJimslISsrd5rdYrsWyjCJ2WpxLEU0p4xMkK7SjpGWoj kmC7qP+BslpGj75JE+ltNRIpihCLi+kjbW47EaBwIakxnEXH/wcrP+4/R6ZVzeecOWGp4ccf348/ fx9/fWPzLE8fcElRt4Hi0vDGDzQ09+dIh5n10ESb/8SHkZ/EPZzFhSExSYfzxexqPieXJN/s5avL xbTIXz1cDxHTe/CWZaPmkbpXRBX7D5ioFAq9D8nZnL/RxpQOGsf6ml8tZgvCFzSVDU0DmTYQM3Rt gUFvtMpX8mWM7fatiWwv8mSUL7OiFH+F5Xwbgd0YV1zjzFidIJbcHQj1zimWDoHUc/RoeC7GguLM AL2xbJXIJLR5SiQVYRzVkqUfJc5WGrYDwWRz69WB2rELUbcdKVUaUsJpTAqJ00jnOfxzX0AfnvH6 Dl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M+bdqfVAAAACQEAAA8AAAAAAAAAAQAgAAAAIgAAAGRy cy9kb3ducmV2LnhtbFBLAQIUABQAAAAIAIdO4kCa5EdMCAIAAA4EAAAOAAAAAAAAAAEAIAAAACQB AABkcnMvZTJvRG9jLnhtbFBLBQYAAAAABgAGAFkBAACeBQAAAAA= ">
                <v:fill on="f" focussize="0,0"/>
                <v:stroke color="#000000" joinstyle="miter"/>
                <v:imagedata o:title=""/>
                <o:lock v:ext="edit" aspectratio="f"/>
                <v:textbox>
                  <w:txbxContent>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r>
                        <w:rPr>
                          <w:rFonts w:hint="eastAsia" w:ascii="新宋体" w:hAnsi="新宋体" w:eastAsia="新宋体"/>
                          <w:sz w:val="22"/>
                        </w:rPr>
                        <w:t>法定代表人身份证复印件粘贴处（正反两面）：</w:t>
                      </w: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pPr>
                    </w:p>
                    <w:p/>
                    <w:p/>
                    <w:p/>
                    <w:p/>
                    <w:p/>
                    <w:p/>
                  </w:txbxContent>
                </v:textbox>
              </v:shape>
            </w:pict>
          </mc:Fallback>
        </mc:AlternateContent>
      </w:r>
    </w:p>
    <w:p>
      <w:pPr>
        <w:wordWrap w:val="0"/>
        <w:rPr>
          <w:rFonts w:ascii="宋体" w:hAnsi="宋体" w:eastAsia="宋体" w:cs="宋体"/>
        </w:rPr>
      </w:pPr>
      <w:r>
        <w:rPr>
          <w:rFonts w:hint="eastAsia" w:ascii="宋体" w:hAnsi="宋体" w:eastAsia="宋体" w:cs="宋体"/>
          <w:szCs w:val="21"/>
        </w:rPr>
        <w:t xml:space="preserve">           </w:t>
      </w:r>
    </w:p>
    <w:p>
      <w:pPr>
        <w:tabs>
          <w:tab w:val="left" w:pos="4532"/>
        </w:tabs>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tabs>
          <w:tab w:val="left" w:pos="720"/>
          <w:tab w:val="left" w:pos="900"/>
        </w:tabs>
        <w:spacing w:line="360" w:lineRule="auto"/>
        <w:ind w:firstLine="4624" w:firstLineChars="2202"/>
        <w:rPr>
          <w:rFonts w:ascii="宋体" w:hAnsi="宋体" w:eastAsia="宋体" w:cs="宋体"/>
        </w:rPr>
      </w:pPr>
    </w:p>
    <w:p>
      <w:pPr>
        <w:tabs>
          <w:tab w:val="left" w:pos="720"/>
          <w:tab w:val="left" w:pos="900"/>
        </w:tabs>
        <w:spacing w:line="360" w:lineRule="auto"/>
        <w:ind w:firstLine="4624" w:firstLineChars="2202"/>
        <w:rPr>
          <w:rFonts w:ascii="宋体" w:hAnsi="宋体" w:eastAsia="宋体" w:cs="宋体"/>
        </w:rPr>
      </w:pPr>
    </w:p>
    <w:p>
      <w:pPr>
        <w:tabs>
          <w:tab w:val="left" w:pos="720"/>
          <w:tab w:val="left" w:pos="900"/>
        </w:tabs>
        <w:spacing w:line="360" w:lineRule="auto"/>
        <w:ind w:firstLine="4624" w:firstLineChars="2202"/>
        <w:rPr>
          <w:rFonts w:ascii="宋体" w:hAnsi="宋体" w:eastAsia="宋体" w:cs="宋体"/>
        </w:rPr>
      </w:pPr>
    </w:p>
    <w:p>
      <w:pPr>
        <w:tabs>
          <w:tab w:val="left" w:pos="720"/>
          <w:tab w:val="left" w:pos="900"/>
        </w:tabs>
        <w:spacing w:line="360" w:lineRule="auto"/>
        <w:ind w:firstLine="3990" w:firstLineChars="1900"/>
        <w:rPr>
          <w:rFonts w:ascii="宋体" w:hAnsi="宋体" w:eastAsia="宋体" w:cs="宋体"/>
        </w:rPr>
      </w:pPr>
    </w:p>
    <w:p>
      <w:pPr>
        <w:tabs>
          <w:tab w:val="left" w:pos="720"/>
          <w:tab w:val="left" w:pos="900"/>
        </w:tabs>
        <w:spacing w:line="360" w:lineRule="auto"/>
        <w:ind w:firstLine="3990" w:firstLineChars="1900"/>
        <w:rPr>
          <w:rFonts w:ascii="宋体" w:hAnsi="宋体" w:eastAsia="宋体" w:cs="宋体"/>
        </w:rPr>
      </w:pPr>
      <w:r>
        <w:rPr>
          <w:rFonts w:hint="eastAsia" w:ascii="宋体" w:hAnsi="宋体" w:eastAsia="宋体" w:cs="宋体"/>
        </w:rPr>
        <w:t>磋商供应商：</w:t>
      </w:r>
      <w:r>
        <w:rPr>
          <w:rFonts w:hint="eastAsia" w:ascii="宋体" w:hAnsi="宋体" w:eastAsia="宋体" w:cs="宋体"/>
          <w:u w:val="single"/>
        </w:rPr>
        <w:t xml:space="preserve">        （盖电子签章）</w:t>
      </w:r>
    </w:p>
    <w:p>
      <w:pPr>
        <w:tabs>
          <w:tab w:val="left" w:pos="720"/>
          <w:tab w:val="left" w:pos="900"/>
        </w:tabs>
        <w:spacing w:line="360" w:lineRule="auto"/>
        <w:ind w:firstLine="3990" w:firstLineChars="1900"/>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rPr>
          <w:rFonts w:ascii="宋体" w:hAnsi="宋体" w:eastAsia="宋体" w:cs="宋体"/>
        </w:rPr>
      </w:pPr>
    </w:p>
    <w:p>
      <w:bookmarkStart w:id="475" w:name="_Toc27902"/>
      <w:bookmarkStart w:id="476" w:name="_Toc18986"/>
      <w:bookmarkStart w:id="477" w:name="_Toc5697"/>
      <w:bookmarkStart w:id="478" w:name="_Toc1064"/>
      <w:bookmarkStart w:id="479" w:name="_Toc24422"/>
    </w:p>
    <w:p>
      <w:pPr>
        <w:widowControl/>
        <w:spacing w:before="156" w:beforeLines="50" w:after="312" w:afterLines="100"/>
        <w:jc w:val="center"/>
        <w:outlineLvl w:val="1"/>
        <w:rPr>
          <w:rFonts w:hint="eastAsia" w:ascii="宋体" w:hAnsi="宋体" w:eastAsia="宋体" w:cs="宋体"/>
          <w:b/>
          <w:bCs/>
          <w:kern w:val="0"/>
          <w:sz w:val="28"/>
          <w:szCs w:val="28"/>
        </w:rPr>
      </w:pPr>
    </w:p>
    <w:p>
      <w:pPr>
        <w:widowControl/>
        <w:spacing w:before="156" w:beforeLines="50" w:after="312" w:afterLines="100"/>
        <w:jc w:val="center"/>
        <w:outlineLvl w:val="1"/>
        <w:rPr>
          <w:rFonts w:ascii="宋体" w:hAnsi="宋体" w:eastAsia="宋体" w:cs="宋体"/>
          <w:b/>
          <w:bCs/>
          <w:kern w:val="0"/>
          <w:sz w:val="28"/>
          <w:szCs w:val="28"/>
        </w:rPr>
      </w:pPr>
      <w:bookmarkStart w:id="480" w:name="_Toc20980"/>
      <w:r>
        <w:rPr>
          <w:rFonts w:hint="eastAsia" w:ascii="宋体" w:hAnsi="宋体" w:eastAsia="宋体" w:cs="宋体"/>
          <w:b/>
          <w:bCs/>
          <w:kern w:val="0"/>
          <w:sz w:val="28"/>
          <w:szCs w:val="28"/>
        </w:rPr>
        <w:t>附件四    中小企业声明函（货物）</w:t>
      </w:r>
      <w:bookmarkEnd w:id="480"/>
    </w:p>
    <w:p>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本公司（联合体）郑重声明，根据《政府采购促进中小企业发展管理办法》（财库﹝2020﹞46 号）的规定，本公司（联合体）参加</w:t>
      </w:r>
      <w:r>
        <w:rPr>
          <w:rFonts w:hint="eastAsia" w:ascii="宋体" w:hAnsi="宋体" w:eastAsia="宋体" w:cs="宋体"/>
          <w:kern w:val="0"/>
          <w:szCs w:val="21"/>
          <w:u w:val="single"/>
          <w:lang w:bidi="ar"/>
        </w:rPr>
        <w:t>（单位名称）</w:t>
      </w:r>
      <w:r>
        <w:rPr>
          <w:rFonts w:hint="eastAsia" w:ascii="宋体" w:hAnsi="宋体" w:eastAsia="宋体" w:cs="宋体"/>
          <w:kern w:val="0"/>
          <w:szCs w:val="21"/>
          <w:lang w:bidi="ar"/>
        </w:rPr>
        <w:t>的</w:t>
      </w:r>
      <w:r>
        <w:rPr>
          <w:rFonts w:hint="eastAsia" w:ascii="宋体" w:hAnsi="宋体" w:eastAsia="宋体" w:cs="宋体"/>
          <w:kern w:val="0"/>
          <w:szCs w:val="21"/>
          <w:u w:val="single"/>
          <w:lang w:bidi="ar"/>
        </w:rPr>
        <w:t>（项目名称）</w:t>
      </w:r>
      <w:r>
        <w:rPr>
          <w:rFonts w:hint="eastAsia" w:ascii="宋体" w:hAnsi="宋体" w:eastAsia="宋体" w:cs="宋体"/>
          <w:kern w:val="0"/>
          <w:szCs w:val="21"/>
          <w:lang w:bidi="ar"/>
        </w:rPr>
        <w:t>采购活动，</w:t>
      </w:r>
      <w:r>
        <w:rPr>
          <w:rFonts w:hint="eastAsia" w:ascii="宋体" w:hAnsi="宋体"/>
          <w:b/>
          <w:bCs/>
          <w:szCs w:val="21"/>
        </w:rPr>
        <w:t>提供的货物全部由符合政策要求的中小企业制造</w:t>
      </w:r>
      <w:r>
        <w:rPr>
          <w:rFonts w:hint="eastAsia" w:ascii="宋体" w:hAnsi="宋体"/>
          <w:szCs w:val="21"/>
        </w:rPr>
        <w:t>。</w:t>
      </w:r>
      <w:r>
        <w:rPr>
          <w:rFonts w:hint="eastAsia" w:ascii="宋体" w:hAnsi="宋体" w:eastAsia="宋体" w:cs="宋体"/>
          <w:kern w:val="0"/>
          <w:szCs w:val="21"/>
          <w:lang w:bidi="ar"/>
        </w:rPr>
        <w:t>相关企业（含联合体中的中小企业、签订分包意向协议的中小企业）的具体情况如下：</w:t>
      </w:r>
    </w:p>
    <w:p>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1. </w:t>
      </w:r>
      <w:r>
        <w:rPr>
          <w:rFonts w:hint="eastAsia" w:ascii="宋体" w:hAnsi="宋体" w:eastAsia="宋体" w:cs="宋体"/>
          <w:kern w:val="0"/>
          <w:szCs w:val="21"/>
          <w:u w:val="single"/>
          <w:lang w:bidi="ar"/>
        </w:rPr>
        <w:t>（标的名称）</w:t>
      </w:r>
      <w:r>
        <w:rPr>
          <w:rFonts w:hint="eastAsia" w:ascii="宋体" w:hAnsi="宋体" w:eastAsia="宋体" w:cs="宋体"/>
          <w:kern w:val="0"/>
          <w:szCs w:val="21"/>
          <w:lang w:bidi="ar"/>
        </w:rPr>
        <w:t xml:space="preserve"> ，属于</w:t>
      </w:r>
      <w:r>
        <w:rPr>
          <w:rFonts w:hint="eastAsia" w:ascii="宋体" w:hAnsi="宋体" w:eastAsia="宋体" w:cs="宋体"/>
          <w:kern w:val="0"/>
          <w:szCs w:val="21"/>
          <w:u w:val="single"/>
          <w:lang w:bidi="ar"/>
        </w:rPr>
        <w:t>（采购文件中明确的所属行业）</w:t>
      </w:r>
      <w:r>
        <w:rPr>
          <w:rFonts w:hint="eastAsia" w:ascii="宋体" w:hAnsi="宋体" w:eastAsia="宋体" w:cs="宋体"/>
          <w:kern w:val="0"/>
          <w:szCs w:val="21"/>
          <w:lang w:bidi="ar"/>
        </w:rPr>
        <w:t>；</w:t>
      </w:r>
      <w:r>
        <w:rPr>
          <w:rFonts w:hint="eastAsia" w:ascii="宋体" w:hAnsi="宋体"/>
          <w:szCs w:val="21"/>
        </w:rPr>
        <w:t>制造商</w:t>
      </w:r>
      <w:r>
        <w:rPr>
          <w:rFonts w:hint="eastAsia" w:ascii="宋体" w:hAnsi="宋体" w:eastAsia="宋体" w:cs="宋体"/>
          <w:kern w:val="0"/>
          <w:szCs w:val="21"/>
          <w:lang w:bidi="ar"/>
        </w:rPr>
        <w:t>为</w:t>
      </w:r>
      <w:r>
        <w:rPr>
          <w:rFonts w:hint="eastAsia" w:ascii="宋体" w:hAnsi="宋体" w:eastAsia="宋体" w:cs="宋体"/>
          <w:kern w:val="0"/>
          <w:szCs w:val="21"/>
          <w:u w:val="single"/>
          <w:lang w:bidi="ar"/>
        </w:rPr>
        <w:t>（企业名称）</w:t>
      </w:r>
      <w:r>
        <w:rPr>
          <w:rFonts w:hint="eastAsia" w:ascii="宋体" w:hAnsi="宋体" w:eastAsia="宋体" w:cs="宋体"/>
          <w:kern w:val="0"/>
          <w:szCs w:val="21"/>
          <w:lang w:bidi="ar"/>
        </w:rPr>
        <w:t>，从业人员</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人，营业收入为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万元，资产总额为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w:t>
      </w:r>
      <w:r>
        <w:rPr>
          <w:rFonts w:hint="eastAsia" w:ascii="宋体" w:hAnsi="宋体" w:eastAsia="宋体" w:cs="宋体"/>
          <w:kern w:val="0"/>
          <w:szCs w:val="21"/>
          <w:vertAlign w:val="superscript"/>
          <w:lang w:bidi="ar"/>
        </w:rPr>
        <w:t>1</w:t>
      </w:r>
      <w:r>
        <w:rPr>
          <w:rFonts w:hint="eastAsia" w:ascii="宋体" w:hAnsi="宋体" w:eastAsia="宋体" w:cs="宋体"/>
          <w:kern w:val="0"/>
          <w:szCs w:val="21"/>
          <w:lang w:bidi="ar"/>
        </w:rPr>
        <w:t>，属于</w:t>
      </w:r>
      <w:r>
        <w:rPr>
          <w:rFonts w:hint="eastAsia" w:ascii="宋体" w:hAnsi="宋体" w:eastAsia="宋体" w:cs="宋体"/>
          <w:kern w:val="0"/>
          <w:szCs w:val="21"/>
          <w:u w:val="single"/>
          <w:lang w:bidi="ar"/>
        </w:rPr>
        <w:t>（中型企业、小型企业、微型企业）</w:t>
      </w:r>
      <w:r>
        <w:rPr>
          <w:rFonts w:hint="eastAsia" w:ascii="宋体" w:hAnsi="宋体" w:eastAsia="宋体" w:cs="宋体"/>
          <w:kern w:val="0"/>
          <w:szCs w:val="21"/>
          <w:lang w:bidi="ar"/>
        </w:rPr>
        <w:t xml:space="preserve">； </w:t>
      </w:r>
    </w:p>
    <w:p>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2. </w:t>
      </w:r>
      <w:r>
        <w:rPr>
          <w:rFonts w:hint="eastAsia" w:ascii="宋体" w:hAnsi="宋体" w:eastAsia="宋体" w:cs="宋体"/>
          <w:kern w:val="0"/>
          <w:szCs w:val="21"/>
          <w:u w:val="single"/>
          <w:lang w:bidi="ar"/>
        </w:rPr>
        <w:t>（标的名称）</w:t>
      </w:r>
      <w:r>
        <w:rPr>
          <w:rFonts w:hint="eastAsia" w:ascii="宋体" w:hAnsi="宋体" w:eastAsia="宋体" w:cs="宋体"/>
          <w:kern w:val="0"/>
          <w:szCs w:val="21"/>
          <w:lang w:bidi="ar"/>
        </w:rPr>
        <w:t xml:space="preserve"> ，属于</w:t>
      </w:r>
      <w:r>
        <w:rPr>
          <w:rFonts w:hint="eastAsia" w:ascii="宋体" w:hAnsi="宋体" w:eastAsia="宋体" w:cs="宋体"/>
          <w:kern w:val="0"/>
          <w:szCs w:val="21"/>
          <w:u w:val="single"/>
          <w:lang w:bidi="ar"/>
        </w:rPr>
        <w:t>（采购文件中明确的所属行业）</w:t>
      </w:r>
      <w:r>
        <w:rPr>
          <w:rFonts w:hint="eastAsia" w:ascii="宋体" w:hAnsi="宋体" w:eastAsia="宋体" w:cs="宋体"/>
          <w:kern w:val="0"/>
          <w:szCs w:val="21"/>
          <w:lang w:bidi="ar"/>
        </w:rPr>
        <w:t>；</w:t>
      </w:r>
      <w:r>
        <w:rPr>
          <w:rFonts w:hint="eastAsia" w:ascii="宋体" w:hAnsi="宋体"/>
          <w:szCs w:val="21"/>
        </w:rPr>
        <w:t>制造商</w:t>
      </w:r>
      <w:r>
        <w:rPr>
          <w:rFonts w:hint="eastAsia" w:ascii="宋体" w:hAnsi="宋体" w:eastAsia="宋体" w:cs="宋体"/>
          <w:kern w:val="0"/>
          <w:szCs w:val="21"/>
          <w:lang w:bidi="ar"/>
        </w:rPr>
        <w:t>为</w:t>
      </w:r>
      <w:r>
        <w:rPr>
          <w:rFonts w:hint="eastAsia" w:ascii="宋体" w:hAnsi="宋体" w:eastAsia="宋体" w:cs="宋体"/>
          <w:kern w:val="0"/>
          <w:szCs w:val="21"/>
          <w:u w:val="single"/>
          <w:lang w:bidi="ar"/>
        </w:rPr>
        <w:t>（企业名称）</w:t>
      </w:r>
      <w:r>
        <w:rPr>
          <w:rFonts w:hint="eastAsia" w:ascii="宋体" w:hAnsi="宋体" w:eastAsia="宋体" w:cs="宋体"/>
          <w:kern w:val="0"/>
          <w:szCs w:val="21"/>
          <w:lang w:bidi="ar"/>
        </w:rPr>
        <w:t>，从业人员</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人，营业收入为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万元，资产总额为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万元，属于</w:t>
      </w:r>
      <w:r>
        <w:rPr>
          <w:rFonts w:hint="eastAsia" w:ascii="宋体" w:hAnsi="宋体" w:eastAsia="宋体" w:cs="宋体"/>
          <w:kern w:val="0"/>
          <w:szCs w:val="21"/>
          <w:u w:val="single"/>
          <w:lang w:bidi="ar"/>
        </w:rPr>
        <w:t>（中型企业、小型企业、微型企业）</w:t>
      </w:r>
      <w:r>
        <w:rPr>
          <w:rFonts w:hint="eastAsia" w:ascii="宋体" w:hAnsi="宋体" w:eastAsia="宋体" w:cs="宋体"/>
          <w:kern w:val="0"/>
          <w:szCs w:val="21"/>
          <w:lang w:bidi="ar"/>
        </w:rPr>
        <w:t xml:space="preserve">； </w:t>
      </w:r>
    </w:p>
    <w:p>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w:t>
      </w:r>
    </w:p>
    <w:p>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以上企业，不属于大企业的分支机构，不存在控股股东为大企业的情形，也不存在与大企业的负责人为同一人的情形。</w:t>
      </w:r>
    </w:p>
    <w:p>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本企业对上述声明内容的真实性负责。如有虚假，将依法承担相应责任。 </w:t>
      </w:r>
    </w:p>
    <w:p>
      <w:pPr>
        <w:widowControl/>
        <w:spacing w:line="360" w:lineRule="auto"/>
        <w:jc w:val="left"/>
        <w:rPr>
          <w:rFonts w:ascii="宋体" w:hAnsi="宋体" w:eastAsia="宋体" w:cs="宋体"/>
          <w:kern w:val="0"/>
          <w:szCs w:val="21"/>
          <w:lang w:bidi="ar"/>
        </w:rPr>
      </w:pPr>
    </w:p>
    <w:p>
      <w:pPr>
        <w:bidi w:val="0"/>
        <w:spacing w:line="480" w:lineRule="auto"/>
        <w:jc w:val="center"/>
      </w:pPr>
      <w:r>
        <w:rPr>
          <w:rFonts w:hint="eastAsia"/>
          <w:lang w:val="en-US" w:eastAsia="zh-CN"/>
        </w:rPr>
        <w:t xml:space="preserve">                                      </w:t>
      </w:r>
      <w:r>
        <w:rPr>
          <w:rFonts w:hint="eastAsia"/>
        </w:rPr>
        <w:t>磋商供应商全称（盖电子签章）：</w:t>
      </w:r>
    </w:p>
    <w:p>
      <w:pPr>
        <w:bidi w:val="0"/>
        <w:spacing w:line="480" w:lineRule="auto"/>
        <w:jc w:val="center"/>
      </w:pPr>
      <w:r>
        <w:rPr>
          <w:rFonts w:hint="eastAsia"/>
          <w:lang w:val="en-US" w:eastAsia="zh-CN"/>
        </w:rPr>
        <w:t xml:space="preserve">                                            </w:t>
      </w:r>
      <w:r>
        <w:rPr>
          <w:rFonts w:hint="eastAsia"/>
        </w:rPr>
        <w:t>法定代表人或授权代表（签字或盖章）：</w:t>
      </w:r>
    </w:p>
    <w:p>
      <w:pPr>
        <w:bidi w:val="0"/>
        <w:spacing w:line="480" w:lineRule="auto"/>
        <w:jc w:val="center"/>
      </w:pPr>
      <w:r>
        <w:rPr>
          <w:rFonts w:hint="eastAsia"/>
          <w:lang w:val="en-US" w:eastAsia="zh-CN"/>
        </w:rPr>
        <w:t xml:space="preserve">                                     </w:t>
      </w:r>
      <w:r>
        <w:rPr>
          <w:rFonts w:hint="eastAsia"/>
        </w:rPr>
        <w:t>日      期：    年   月   日</w:t>
      </w:r>
      <w:r>
        <w:rPr>
          <w:rFonts w:hint="eastAsia"/>
          <w:lang w:val="en-US" w:eastAsia="zh-CN"/>
        </w:rPr>
        <w:t xml:space="preserve"> </w:t>
      </w:r>
      <w:r>
        <w:rPr>
          <w:rFonts w:hint="eastAsia"/>
        </w:rPr>
        <w:t xml:space="preserve"> </w:t>
      </w:r>
    </w:p>
    <w:p>
      <w:pPr>
        <w:spacing w:line="360" w:lineRule="auto"/>
        <w:rPr>
          <w:rFonts w:hint="eastAsia"/>
          <w:b/>
          <w:bCs/>
          <w:szCs w:val="21"/>
        </w:rPr>
      </w:pPr>
    </w:p>
    <w:p>
      <w:pPr>
        <w:spacing w:line="360" w:lineRule="auto"/>
        <w:rPr>
          <w:rFonts w:hint="eastAsia"/>
          <w:b/>
          <w:bCs/>
          <w:szCs w:val="21"/>
        </w:rPr>
      </w:pPr>
    </w:p>
    <w:p>
      <w:pPr>
        <w:spacing w:line="360" w:lineRule="auto"/>
        <w:rPr>
          <w:b/>
          <w:bCs/>
          <w:szCs w:val="21"/>
        </w:rPr>
      </w:pPr>
      <w:r>
        <w:rPr>
          <w:rFonts w:hint="eastAsia"/>
          <w:b/>
          <w:bCs/>
          <w:szCs w:val="21"/>
        </w:rPr>
        <w:t>1、从业人员、营业收入、资产总额填报上一年度数据，无上一年度数据的新成立企业可不填报。</w:t>
      </w:r>
    </w:p>
    <w:p>
      <w:pPr>
        <w:spacing w:line="360" w:lineRule="auto"/>
        <w:rPr>
          <w:b/>
          <w:bCs/>
          <w:sz w:val="22"/>
          <w:szCs w:val="21"/>
        </w:rPr>
      </w:pPr>
      <w:r>
        <w:rPr>
          <w:rFonts w:hint="eastAsia"/>
          <w:b/>
          <w:bCs/>
          <w:szCs w:val="21"/>
        </w:rPr>
        <w:t>2、中小微型企业划分标准参照国家统计局印发的《统计上大中小微型企业划分办法（2017）》。</w:t>
      </w:r>
    </w:p>
    <w:p>
      <w:pPr>
        <w:widowControl/>
        <w:spacing w:after="312" w:afterLines="100"/>
        <w:jc w:val="center"/>
        <w:outlineLvl w:val="1"/>
        <w:rPr>
          <w:rFonts w:ascii="宋体" w:hAnsi="宋体" w:eastAsia="宋体" w:cs="宋体"/>
        </w:rPr>
      </w:pPr>
      <w:r>
        <w:rPr>
          <w:rFonts w:hint="eastAsia" w:ascii="宋体" w:hAnsi="宋体" w:eastAsia="宋体" w:cs="宋体"/>
        </w:rPr>
        <w:br w:type="page"/>
      </w:r>
      <w:bookmarkStart w:id="481" w:name="_Toc19583"/>
      <w:r>
        <w:rPr>
          <w:rFonts w:hint="eastAsia" w:ascii="宋体" w:hAnsi="宋体" w:eastAsia="宋体" w:cs="宋体"/>
          <w:b/>
          <w:bCs/>
          <w:kern w:val="0"/>
          <w:sz w:val="28"/>
          <w:szCs w:val="28"/>
        </w:rPr>
        <w:t>附件五    残疾人福利性单位声明函</w:t>
      </w:r>
      <w:bookmarkEnd w:id="481"/>
    </w:p>
    <w:p>
      <w:pPr>
        <w:spacing w:line="588" w:lineRule="exact"/>
        <w:rPr>
          <w:rFonts w:ascii="宋体" w:hAnsi="宋体" w:eastAsia="宋体" w:cs="宋体"/>
          <w:b/>
          <w:spacing w:val="6"/>
          <w:sz w:val="30"/>
          <w:szCs w:val="30"/>
        </w:rPr>
      </w:pPr>
    </w:p>
    <w:p>
      <w:pPr>
        <w:widowControl/>
        <w:spacing w:line="600" w:lineRule="exact"/>
        <w:ind w:firstLine="420" w:firstLineChars="200"/>
        <w:rPr>
          <w:rFonts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u w:val="none"/>
        </w:rPr>
        <w:t>__________单位的___________</w:t>
      </w:r>
      <w:r>
        <w:rPr>
          <w:rFonts w:hint="eastAsia" w:ascii="宋体" w:hAnsi="宋体" w:eastAsia="宋体" w:cs="宋体"/>
        </w:rPr>
        <w:t>项目采购活动提供服务（由本单位承担工程/提供本单位制造的货物），或者提供其他残疾人福利性单位</w:t>
      </w:r>
      <w:r>
        <w:rPr>
          <w:rFonts w:hint="eastAsia" w:ascii="宋体" w:hAnsi="宋体" w:eastAsia="宋体" w:cs="宋体"/>
          <w:lang w:val="en-US" w:eastAsia="zh-CN"/>
        </w:rPr>
        <w:t>的服务</w:t>
      </w:r>
      <w:r>
        <w:rPr>
          <w:rFonts w:hint="eastAsia" w:ascii="宋体" w:hAnsi="宋体" w:eastAsia="宋体" w:cs="宋体"/>
        </w:rPr>
        <w:t>（不包括使用非残疾人福利性单位注册商标的货物）。</w:t>
      </w:r>
    </w:p>
    <w:p>
      <w:pPr>
        <w:widowControl/>
        <w:spacing w:line="600" w:lineRule="exact"/>
        <w:ind w:firstLine="420" w:firstLineChars="200"/>
        <w:rPr>
          <w:rFonts w:ascii="宋体" w:hAnsi="宋体" w:eastAsia="宋体" w:cs="宋体"/>
        </w:rPr>
      </w:pPr>
      <w:r>
        <w:rPr>
          <w:rFonts w:hint="eastAsia" w:ascii="宋体" w:hAnsi="宋体" w:eastAsia="宋体" w:cs="宋体"/>
        </w:rPr>
        <w:t>本单位对上述声明的真实性负责。如有虚假，将依法承担相应责任。</w:t>
      </w:r>
    </w:p>
    <w:p>
      <w:pPr>
        <w:spacing w:line="588" w:lineRule="exact"/>
        <w:ind w:firstLine="624" w:firstLineChars="200"/>
        <w:rPr>
          <w:rFonts w:ascii="宋体" w:hAnsi="宋体" w:eastAsia="宋体" w:cs="宋体"/>
          <w:spacing w:val="6"/>
          <w:sz w:val="30"/>
          <w:szCs w:val="30"/>
        </w:rPr>
      </w:pPr>
    </w:p>
    <w:p>
      <w:pPr>
        <w:spacing w:line="588" w:lineRule="exact"/>
        <w:ind w:firstLine="624" w:firstLineChars="200"/>
        <w:rPr>
          <w:rFonts w:ascii="宋体" w:hAnsi="宋体" w:eastAsia="宋体" w:cs="宋体"/>
          <w:spacing w:val="6"/>
          <w:sz w:val="30"/>
          <w:szCs w:val="30"/>
        </w:rPr>
      </w:pPr>
    </w:p>
    <w:p>
      <w:pPr>
        <w:rPr>
          <w:rFonts w:ascii="宋体" w:hAnsi="宋体" w:eastAsia="宋体" w:cs="宋体"/>
        </w:rPr>
      </w:pPr>
      <w:r>
        <w:rPr>
          <w:rFonts w:hint="eastAsia" w:ascii="宋体" w:hAnsi="宋体" w:eastAsia="宋体" w:cs="宋体"/>
          <w:spacing w:val="6"/>
          <w:sz w:val="30"/>
          <w:szCs w:val="30"/>
        </w:rPr>
        <w:t xml:space="preserve">                        </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日      期：    年   月   日</w:t>
      </w:r>
    </w:p>
    <w:p>
      <w:pPr>
        <w:rPr>
          <w:rFonts w:ascii="宋体" w:hAnsi="宋体" w:eastAsia="宋体" w:cs="宋体"/>
        </w:rPr>
      </w:pPr>
    </w:p>
    <w:p>
      <w:pPr>
        <w:rPr>
          <w:rFonts w:ascii="宋体" w:hAnsi="宋体" w:eastAsia="宋体" w:cs="宋体"/>
        </w:rPr>
      </w:pPr>
    </w:p>
    <w:p>
      <w:pPr>
        <w:numPr>
          <w:ilvl w:val="0"/>
          <w:numId w:val="26"/>
        </w:numPr>
        <w:tabs>
          <w:tab w:val="left" w:pos="420"/>
          <w:tab w:val="clear" w:pos="1244"/>
        </w:tabs>
        <w:spacing w:before="100" w:beforeAutospacing="1" w:after="100" w:afterAutospacing="1" w:line="432" w:lineRule="auto"/>
        <w:ind w:hanging="1244"/>
        <w:outlineLvl w:val="1"/>
        <w:rPr>
          <w:rFonts w:ascii="宋体" w:hAnsi="宋体" w:eastAsia="宋体" w:cs="宋体"/>
          <w:b/>
          <w:szCs w:val="21"/>
        </w:rPr>
      </w:pPr>
      <w:bookmarkStart w:id="482" w:name="_Toc7035"/>
      <w:r>
        <w:rPr>
          <w:rFonts w:hint="eastAsia" w:ascii="宋体" w:hAnsi="宋体" w:eastAsia="宋体" w:cs="宋体"/>
          <w:b/>
          <w:szCs w:val="21"/>
        </w:rPr>
        <w:t>残疾人福利性单位属于小型、微型企业的，不重复享受政策。</w:t>
      </w:r>
      <w:bookmarkEnd w:id="482"/>
    </w:p>
    <w:p>
      <w:pPr>
        <w:numPr>
          <w:ilvl w:val="0"/>
          <w:numId w:val="26"/>
        </w:numPr>
        <w:tabs>
          <w:tab w:val="left" w:pos="420"/>
          <w:tab w:val="clear" w:pos="1244"/>
        </w:tabs>
        <w:spacing w:before="100" w:beforeAutospacing="1" w:after="100" w:afterAutospacing="1" w:line="432" w:lineRule="auto"/>
        <w:ind w:hanging="1244"/>
        <w:rPr>
          <w:rFonts w:ascii="宋体" w:hAnsi="宋体" w:eastAsia="宋体" w:cs="宋体"/>
          <w:b/>
          <w:szCs w:val="21"/>
        </w:rPr>
      </w:pPr>
      <w:r>
        <w:rPr>
          <w:rFonts w:hint="eastAsia" w:ascii="宋体" w:hAnsi="宋体" w:eastAsia="宋体" w:cs="宋体"/>
          <w:b/>
          <w:szCs w:val="21"/>
        </w:rPr>
        <w:t>如中标人声明为残疾人福利性单位，本声明函将随中标结果同时公告，接受社会监督。</w:t>
      </w:r>
    </w:p>
    <w:p>
      <w:pPr>
        <w:rPr>
          <w:rFonts w:ascii="宋体" w:hAnsi="宋体" w:eastAsia="宋体" w:cs="宋体"/>
        </w:rPr>
      </w:pPr>
    </w:p>
    <w:p>
      <w:pPr>
        <w:pStyle w:val="27"/>
        <w:rPr>
          <w:rFonts w:ascii="宋体" w:hAnsi="宋体" w:eastAsia="宋体" w:cs="宋体"/>
        </w:rPr>
      </w:pPr>
    </w:p>
    <w:p>
      <w:pPr>
        <w:pStyle w:val="9"/>
        <w:rPr>
          <w:rFonts w:ascii="宋体" w:hAnsi="宋体" w:eastAsia="宋体" w:cs="宋体"/>
        </w:rPr>
      </w:pPr>
    </w:p>
    <w:p>
      <w:pPr>
        <w:pStyle w:val="10"/>
        <w:rPr>
          <w:rFonts w:ascii="宋体" w:hAnsi="宋体" w:eastAsia="宋体" w:cs="宋体"/>
        </w:rPr>
      </w:pPr>
    </w:p>
    <w:p>
      <w:pPr>
        <w:pStyle w:val="19"/>
      </w:pPr>
    </w:p>
    <w:bookmarkEnd w:id="475"/>
    <w:bookmarkEnd w:id="476"/>
    <w:bookmarkEnd w:id="477"/>
    <w:bookmarkEnd w:id="478"/>
    <w:bookmarkEnd w:id="479"/>
    <w:p>
      <w:pPr>
        <w:jc w:val="both"/>
        <w:outlineLvl w:val="2"/>
        <w:rPr>
          <w:rFonts w:hint="eastAsia" w:ascii="宋体" w:hAnsi="宋体" w:eastAsia="宋体" w:cs="宋体"/>
          <w:b/>
          <w:bCs/>
          <w:sz w:val="28"/>
          <w:szCs w:val="28"/>
        </w:rPr>
      </w:pPr>
      <w:bookmarkStart w:id="483" w:name="_Toc17341"/>
      <w:bookmarkStart w:id="484" w:name="_Toc5596"/>
      <w:bookmarkStart w:id="485" w:name="_Toc10289"/>
      <w:bookmarkStart w:id="486" w:name="_Toc15664"/>
      <w:bookmarkStart w:id="487" w:name="_Toc30506"/>
      <w:bookmarkStart w:id="488" w:name="_Toc31327"/>
      <w:bookmarkStart w:id="489" w:name="_Toc17490"/>
      <w:bookmarkStart w:id="490" w:name="_Toc1246"/>
    </w:p>
    <w:p>
      <w:pPr>
        <w:jc w:val="center"/>
        <w:outlineLvl w:val="2"/>
        <w:rPr>
          <w:rFonts w:ascii="宋体" w:hAnsi="宋体" w:eastAsia="宋体" w:cs="宋体"/>
          <w:b/>
          <w:bCs/>
          <w:sz w:val="28"/>
          <w:szCs w:val="28"/>
        </w:rPr>
      </w:pPr>
      <w:bookmarkStart w:id="491" w:name="_Toc14563"/>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 xml:space="preserve">    磋商响应函</w:t>
      </w:r>
      <w:bookmarkEnd w:id="483"/>
      <w:bookmarkEnd w:id="484"/>
      <w:bookmarkEnd w:id="485"/>
      <w:bookmarkEnd w:id="486"/>
      <w:bookmarkEnd w:id="487"/>
      <w:bookmarkEnd w:id="488"/>
      <w:bookmarkEnd w:id="489"/>
      <w:bookmarkEnd w:id="490"/>
      <w:bookmarkEnd w:id="491"/>
    </w:p>
    <w:p>
      <w:pPr>
        <w:spacing w:line="360" w:lineRule="auto"/>
        <w:rPr>
          <w:rFonts w:ascii="宋体" w:hAnsi="宋体" w:eastAsia="宋体" w:cs="宋体"/>
          <w:u w:val="single"/>
        </w:rPr>
      </w:pPr>
      <w:r>
        <w:rPr>
          <w:rFonts w:hint="eastAsia" w:ascii="宋体" w:hAnsi="宋体" w:eastAsia="宋体" w:cs="宋体"/>
          <w:u w:val="single"/>
          <w:lang w:eastAsia="zh-CN"/>
        </w:rPr>
        <w:t>瑞安市公安局</w:t>
      </w:r>
      <w:r>
        <w:rPr>
          <w:rFonts w:hint="eastAsia" w:ascii="宋体" w:hAnsi="宋体" w:eastAsia="宋体" w:cs="宋体"/>
        </w:rPr>
        <w:t>：</w:t>
      </w:r>
    </w:p>
    <w:p>
      <w:pPr>
        <w:spacing w:line="360" w:lineRule="auto"/>
        <w:ind w:firstLine="411" w:firstLineChars="196"/>
        <w:rPr>
          <w:rFonts w:ascii="宋体" w:hAnsi="宋体" w:eastAsia="宋体" w:cs="宋体"/>
        </w:rPr>
      </w:pPr>
      <w:r>
        <w:rPr>
          <w:rFonts w:hint="eastAsia" w:ascii="宋体" w:hAnsi="宋体" w:eastAsia="宋体" w:cs="宋体"/>
          <w:u w:val="single"/>
        </w:rPr>
        <w:t xml:space="preserve">（磋商供应商全称）  </w:t>
      </w:r>
      <w:r>
        <w:rPr>
          <w:rFonts w:hint="eastAsia" w:ascii="宋体" w:hAnsi="宋体" w:eastAsia="宋体" w:cs="宋体"/>
        </w:rPr>
        <w:t xml:space="preserve"> 授权 </w:t>
      </w:r>
      <w:r>
        <w:rPr>
          <w:rFonts w:hint="eastAsia" w:ascii="宋体" w:hAnsi="宋体" w:eastAsia="宋体" w:cs="宋体"/>
          <w:u w:val="single"/>
        </w:rPr>
        <w:t xml:space="preserve">   （授权代表名称、职务、职称）    </w:t>
      </w:r>
      <w:r>
        <w:rPr>
          <w:rFonts w:hint="eastAsia" w:ascii="宋体" w:hAnsi="宋体" w:eastAsia="宋体" w:cs="宋体"/>
        </w:rPr>
        <w:t xml:space="preserve"> 为本公司授权代表，参加贵方组织的</w:t>
      </w:r>
      <w:r>
        <w:rPr>
          <w:rFonts w:hint="eastAsia" w:ascii="宋体" w:hAnsi="宋体" w:eastAsia="宋体" w:cs="宋体"/>
          <w:u w:val="single"/>
        </w:rPr>
        <w:t xml:space="preserve"> </w:t>
      </w:r>
      <w:r>
        <w:rPr>
          <w:rFonts w:hint="eastAsia" w:ascii="宋体" w:hAnsi="宋体" w:eastAsia="宋体" w:cs="宋体"/>
          <w:u w:val="single"/>
          <w:lang w:eastAsia="zh-CN"/>
        </w:rPr>
        <w:t>瑞安市公安局便携式无人机防御反制设备采购项目</w:t>
      </w:r>
      <w:r>
        <w:rPr>
          <w:rFonts w:hint="eastAsia" w:ascii="宋体" w:hAnsi="宋体" w:eastAsia="宋体" w:cs="宋体"/>
          <w:u w:val="single"/>
        </w:rPr>
        <w:t xml:space="preserve"> </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）竞争性磋商采购的有关活动，进行磋商。为此：</w:t>
      </w:r>
    </w:p>
    <w:p>
      <w:pPr>
        <w:pStyle w:val="33"/>
        <w:numPr>
          <w:ilvl w:val="1"/>
          <w:numId w:val="27"/>
        </w:numPr>
        <w:spacing w:line="360" w:lineRule="auto"/>
        <w:ind w:left="851" w:firstLineChars="0"/>
        <w:rPr>
          <w:rFonts w:ascii="宋体" w:hAnsi="宋体" w:eastAsia="宋体" w:cs="宋体"/>
        </w:rPr>
      </w:pPr>
      <w:r>
        <w:rPr>
          <w:rFonts w:hint="eastAsia" w:ascii="宋体" w:hAnsi="宋体" w:eastAsia="宋体" w:cs="宋体"/>
        </w:rPr>
        <w:t>提供磋商须知规定的全部磋商响应文件。</w:t>
      </w:r>
    </w:p>
    <w:p>
      <w:pPr>
        <w:pStyle w:val="33"/>
        <w:numPr>
          <w:ilvl w:val="1"/>
          <w:numId w:val="27"/>
        </w:numPr>
        <w:spacing w:line="360" w:lineRule="auto"/>
        <w:ind w:left="851" w:firstLineChars="0"/>
        <w:rPr>
          <w:rFonts w:ascii="宋体" w:hAnsi="宋体" w:eastAsia="宋体" w:cs="宋体"/>
        </w:rPr>
      </w:pPr>
      <w:r>
        <w:rPr>
          <w:rFonts w:hint="eastAsia" w:ascii="宋体" w:hAnsi="宋体" w:eastAsia="宋体" w:cs="宋体"/>
        </w:rPr>
        <w:t>据此函，签字人兹宣布同意如下：</w:t>
      </w:r>
    </w:p>
    <w:p>
      <w:pPr>
        <w:pStyle w:val="33"/>
        <w:numPr>
          <w:ilvl w:val="0"/>
          <w:numId w:val="0"/>
        </w:numPr>
        <w:spacing w:line="360" w:lineRule="auto"/>
        <w:ind w:left="871" w:leftChars="0"/>
        <w:rPr>
          <w:rFonts w:ascii="宋体" w:hAnsi="宋体" w:eastAsia="宋体" w:cs="宋体"/>
        </w:rPr>
      </w:pPr>
      <w:r>
        <w:rPr>
          <w:rFonts w:hint="eastAsia" w:ascii="宋体" w:hAnsi="宋体" w:eastAsia="宋体" w:cs="宋体"/>
          <w:szCs w:val="21"/>
          <w:lang w:val="en-US" w:eastAsia="zh-CN"/>
        </w:rPr>
        <w:t xml:space="preserve">① </w:t>
      </w:r>
      <w:r>
        <w:rPr>
          <w:rFonts w:hint="eastAsia" w:ascii="宋体" w:hAnsi="宋体" w:eastAsia="宋体" w:cs="宋体"/>
          <w:szCs w:val="21"/>
        </w:rPr>
        <w:t>该项目的磋商报价</w:t>
      </w:r>
      <w:r>
        <w:rPr>
          <w:rFonts w:hint="eastAsia" w:ascii="宋体" w:hAnsi="宋体" w:eastAsia="宋体" w:cs="宋体"/>
        </w:rPr>
        <w:t xml:space="preserve">以最后一轮报价为准； </w:t>
      </w:r>
    </w:p>
    <w:p>
      <w:pPr>
        <w:pStyle w:val="33"/>
        <w:numPr>
          <w:ilvl w:val="0"/>
          <w:numId w:val="0"/>
        </w:numPr>
        <w:spacing w:line="360" w:lineRule="auto"/>
        <w:ind w:left="871" w:leftChars="0"/>
        <w:rPr>
          <w:rFonts w:ascii="宋体" w:hAnsi="宋体" w:eastAsia="宋体" w:cs="宋体"/>
        </w:rPr>
      </w:pPr>
      <w:r>
        <w:rPr>
          <w:rFonts w:hint="eastAsia" w:ascii="宋体" w:hAnsi="宋体" w:eastAsia="宋体" w:cs="宋体"/>
          <w:lang w:val="en-US" w:eastAsia="zh-CN"/>
        </w:rPr>
        <w:t xml:space="preserve">② </w:t>
      </w:r>
      <w:r>
        <w:rPr>
          <w:rFonts w:hint="eastAsia" w:ascii="宋体" w:hAnsi="宋体" w:eastAsia="宋体" w:cs="宋体"/>
        </w:rPr>
        <w:t>保证遵守竞争性磋商的磋商文件中的有关规定。</w:t>
      </w:r>
    </w:p>
    <w:p>
      <w:pPr>
        <w:pStyle w:val="33"/>
        <w:numPr>
          <w:ilvl w:val="0"/>
          <w:numId w:val="0"/>
        </w:numPr>
        <w:spacing w:line="360" w:lineRule="auto"/>
        <w:ind w:left="871" w:leftChars="0"/>
        <w:rPr>
          <w:rFonts w:ascii="宋体" w:hAnsi="宋体" w:eastAsia="宋体" w:cs="宋体"/>
        </w:rPr>
      </w:pPr>
      <w:r>
        <w:rPr>
          <w:rFonts w:hint="eastAsia" w:ascii="宋体" w:hAnsi="宋体" w:eastAsia="宋体" w:cs="宋体"/>
          <w:lang w:val="en-US" w:eastAsia="zh-CN"/>
        </w:rPr>
        <w:t xml:space="preserve">③ </w:t>
      </w:r>
      <w:r>
        <w:rPr>
          <w:rFonts w:hint="eastAsia" w:ascii="宋体" w:hAnsi="宋体" w:eastAsia="宋体" w:cs="宋体"/>
        </w:rPr>
        <w:t>保证严格执行双方所签的服务合同，并承担全部规定的责任义务。</w:t>
      </w:r>
    </w:p>
    <w:p>
      <w:pPr>
        <w:pStyle w:val="33"/>
        <w:numPr>
          <w:ilvl w:val="0"/>
          <w:numId w:val="0"/>
        </w:numPr>
        <w:spacing w:line="360" w:lineRule="auto"/>
        <w:ind w:left="871" w:leftChars="0"/>
        <w:rPr>
          <w:rFonts w:ascii="宋体" w:hAnsi="宋体" w:eastAsia="宋体" w:cs="宋体"/>
        </w:rPr>
      </w:pPr>
      <w:r>
        <w:rPr>
          <w:rFonts w:hint="eastAsia" w:ascii="宋体" w:hAnsi="宋体" w:eastAsia="宋体" w:cs="宋体"/>
          <w:lang w:val="en-US" w:eastAsia="zh-CN"/>
        </w:rPr>
        <w:t xml:space="preserve">④ </w:t>
      </w:r>
      <w:r>
        <w:rPr>
          <w:rFonts w:hint="eastAsia" w:ascii="宋体" w:hAnsi="宋体" w:eastAsia="宋体" w:cs="宋体"/>
        </w:rPr>
        <w:t>磋商供应商已详细审查全部竞争性磋商文件，包括竞争性磋商文件补充文件（如果有的话）。我们完全理解并同意放弃对这方面有不明及误解的权力。</w:t>
      </w:r>
    </w:p>
    <w:p>
      <w:pPr>
        <w:pStyle w:val="33"/>
        <w:numPr>
          <w:ilvl w:val="0"/>
          <w:numId w:val="0"/>
        </w:numPr>
        <w:spacing w:line="360" w:lineRule="auto"/>
        <w:ind w:left="871" w:leftChars="0"/>
        <w:rPr>
          <w:rFonts w:ascii="宋体" w:hAnsi="宋体" w:eastAsia="宋体" w:cs="宋体"/>
        </w:rPr>
      </w:pPr>
      <w:r>
        <w:rPr>
          <w:rFonts w:hint="eastAsia" w:ascii="宋体" w:hAnsi="宋体" w:eastAsia="宋体" w:cs="宋体"/>
          <w:lang w:val="en-US" w:eastAsia="zh-CN"/>
        </w:rPr>
        <w:t xml:space="preserve">⑤ </w:t>
      </w:r>
      <w:r>
        <w:rPr>
          <w:rFonts w:hint="eastAsia" w:ascii="宋体" w:hAnsi="宋体" w:eastAsia="宋体" w:cs="宋体"/>
        </w:rPr>
        <w:t>愿意向贵方提供任何与该项磋商有关的数据、情况和技术资料，完全理解贵方不一定接受最低价的投标或收到的任何投标。</w:t>
      </w:r>
    </w:p>
    <w:p>
      <w:pPr>
        <w:pStyle w:val="33"/>
        <w:numPr>
          <w:ilvl w:val="0"/>
          <w:numId w:val="0"/>
        </w:numPr>
        <w:spacing w:line="360" w:lineRule="auto"/>
        <w:ind w:left="871" w:leftChars="0"/>
        <w:rPr>
          <w:rFonts w:ascii="宋体" w:hAnsi="宋体" w:eastAsia="宋体" w:cs="宋体"/>
        </w:rPr>
      </w:pPr>
      <w:r>
        <w:rPr>
          <w:rFonts w:hint="eastAsia" w:ascii="宋体" w:hAnsi="宋体" w:eastAsia="宋体" w:cs="宋体"/>
          <w:lang w:val="en-US" w:eastAsia="zh-CN"/>
        </w:rPr>
        <w:t xml:space="preserve">⑥ </w:t>
      </w:r>
      <w:r>
        <w:rPr>
          <w:rFonts w:hint="eastAsia" w:ascii="宋体" w:hAnsi="宋体" w:eastAsia="宋体" w:cs="宋体"/>
        </w:rPr>
        <w:t>本磋商自磋商截止时间之日起</w:t>
      </w:r>
      <w:r>
        <w:rPr>
          <w:rFonts w:hint="eastAsia" w:ascii="宋体" w:hAnsi="宋体" w:eastAsia="宋体" w:cs="宋体"/>
          <w:u w:val="single"/>
        </w:rPr>
        <w:t>90</w:t>
      </w:r>
      <w:r>
        <w:rPr>
          <w:rFonts w:hint="eastAsia" w:ascii="宋体" w:hAnsi="宋体" w:eastAsia="宋体" w:cs="宋体"/>
        </w:rPr>
        <w:t>日历天有效。</w:t>
      </w:r>
    </w:p>
    <w:p>
      <w:pPr>
        <w:pStyle w:val="33"/>
        <w:numPr>
          <w:ilvl w:val="0"/>
          <w:numId w:val="0"/>
        </w:numPr>
        <w:spacing w:line="360" w:lineRule="auto"/>
        <w:ind w:left="871" w:leftChars="0"/>
        <w:rPr>
          <w:rFonts w:ascii="宋体" w:hAnsi="宋体" w:eastAsia="宋体" w:cs="宋体"/>
          <w:szCs w:val="21"/>
        </w:rPr>
      </w:pPr>
      <w:r>
        <w:rPr>
          <w:rFonts w:hint="eastAsia" w:ascii="宋体" w:hAnsi="宋体" w:eastAsia="宋体" w:cs="宋体"/>
          <w:szCs w:val="21"/>
          <w:lang w:val="en-US" w:eastAsia="zh-CN"/>
        </w:rPr>
        <w:t xml:space="preserve">⑦ </w:t>
      </w:r>
      <w:r>
        <w:rPr>
          <w:rFonts w:hint="eastAsia" w:ascii="宋体" w:hAnsi="宋体" w:eastAsia="宋体" w:cs="宋体"/>
          <w:szCs w:val="21"/>
        </w:rPr>
        <w:t>与本磋商有关的正式通讯地址为：</w:t>
      </w:r>
      <w:r>
        <w:rPr>
          <w:rFonts w:hint="eastAsia" w:ascii="宋体" w:hAnsi="宋体" w:eastAsia="宋体" w:cs="宋体"/>
          <w:szCs w:val="21"/>
          <w:u w:val="single"/>
        </w:rPr>
        <w:t xml:space="preserve">                                           </w:t>
      </w:r>
    </w:p>
    <w:p>
      <w:pPr>
        <w:spacing w:line="360" w:lineRule="auto"/>
        <w:ind w:left="1276"/>
        <w:rPr>
          <w:rFonts w:ascii="宋体" w:hAnsi="宋体" w:eastAsia="宋体" w:cs="宋体"/>
        </w:rPr>
      </w:pPr>
      <w:r>
        <w:rPr>
          <w:rFonts w:hint="eastAsia" w:ascii="宋体" w:hAnsi="宋体" w:eastAsia="宋体" w:cs="宋体"/>
        </w:rPr>
        <w:t>邮编：</w:t>
      </w:r>
      <w:r>
        <w:rPr>
          <w:rFonts w:hint="eastAsia" w:ascii="宋体" w:hAnsi="宋体" w:eastAsia="宋体" w:cs="宋体"/>
          <w:u w:val="single"/>
        </w:rPr>
        <w:t xml:space="preserve">              </w:t>
      </w: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w:t>
      </w:r>
    </w:p>
    <w:p>
      <w:pPr>
        <w:spacing w:line="480" w:lineRule="auto"/>
        <w:ind w:firstLine="5250" w:firstLineChars="2500"/>
        <w:rPr>
          <w:rFonts w:ascii="宋体" w:hAnsi="宋体" w:eastAsia="宋体" w:cs="宋体"/>
        </w:rPr>
      </w:pPr>
    </w:p>
    <w:p>
      <w:pPr>
        <w:spacing w:line="480" w:lineRule="auto"/>
        <w:ind w:firstLine="5250" w:firstLineChars="2500"/>
        <w:rPr>
          <w:rFonts w:ascii="宋体" w:hAnsi="宋体" w:eastAsia="宋体" w:cs="宋体"/>
        </w:rPr>
      </w:pP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日      期：    年   月     日</w:t>
      </w:r>
    </w:p>
    <w:p>
      <w:pPr>
        <w:pStyle w:val="9"/>
        <w:rPr>
          <w:rFonts w:ascii="宋体" w:hAnsi="宋体" w:eastAsia="宋体" w:cs="宋体"/>
        </w:rPr>
      </w:pPr>
    </w:p>
    <w:p>
      <w:pPr>
        <w:rPr>
          <w:rFonts w:ascii="宋体" w:hAnsi="宋体" w:eastAsia="宋体" w:cs="宋体"/>
        </w:rPr>
      </w:pPr>
    </w:p>
    <w:p>
      <w:pPr>
        <w:pStyle w:val="2"/>
      </w:pPr>
    </w:p>
    <w:p>
      <w:pPr>
        <w:rPr>
          <w:rFonts w:ascii="宋体" w:hAnsi="宋体" w:eastAsia="宋体" w:cs="宋体"/>
        </w:rPr>
      </w:pPr>
    </w:p>
    <w:p>
      <w:pPr>
        <w:pStyle w:val="5"/>
        <w:jc w:val="center"/>
        <w:rPr>
          <w:rFonts w:ascii="宋体" w:hAnsi="宋体" w:eastAsia="宋体" w:cs="宋体"/>
          <w:b/>
          <w:sz w:val="28"/>
          <w:szCs w:val="28"/>
        </w:rPr>
      </w:pPr>
      <w:bookmarkStart w:id="492" w:name="_Toc6776"/>
      <w:bookmarkStart w:id="493" w:name="_Toc12038"/>
      <w:r>
        <w:rPr>
          <w:rFonts w:hint="eastAsia" w:ascii="宋体" w:hAnsi="宋体" w:eastAsia="宋体" w:cs="宋体"/>
          <w:b/>
          <w:sz w:val="28"/>
          <w:szCs w:val="28"/>
        </w:rPr>
        <w:t>附件</w:t>
      </w:r>
      <w:r>
        <w:rPr>
          <w:rFonts w:hint="eastAsia" w:ascii="宋体" w:hAnsi="宋体" w:eastAsia="宋体" w:cs="宋体"/>
          <w:b/>
          <w:sz w:val="28"/>
          <w:szCs w:val="28"/>
          <w:lang w:val="en-US" w:eastAsia="zh-CN"/>
        </w:rPr>
        <w:t>七</w:t>
      </w:r>
      <w:r>
        <w:rPr>
          <w:rFonts w:hint="eastAsia" w:ascii="宋体" w:hAnsi="宋体" w:eastAsia="宋体" w:cs="宋体"/>
          <w:b/>
          <w:sz w:val="28"/>
          <w:szCs w:val="28"/>
        </w:rPr>
        <w:t xml:space="preserve">    磋商供应商情况一览表</w:t>
      </w:r>
      <w:bookmarkEnd w:id="492"/>
      <w:bookmarkEnd w:id="493"/>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911"/>
        <w:gridCol w:w="145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95" w:type="dxa"/>
            <w:tcBorders>
              <w:top w:val="single" w:color="auto" w:sz="4" w:space="0"/>
              <w:left w:val="single" w:color="auto" w:sz="4"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供应商名称</w:t>
            </w:r>
          </w:p>
        </w:tc>
        <w:tc>
          <w:tcPr>
            <w:tcW w:w="6418" w:type="dxa"/>
            <w:gridSpan w:val="3"/>
            <w:tcBorders>
              <w:top w:val="single" w:color="auto" w:sz="4" w:space="0"/>
              <w:left w:val="single" w:color="auto" w:sz="6" w:space="0"/>
              <w:bottom w:val="single" w:color="auto" w:sz="6"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19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单位地址</w:t>
            </w:r>
          </w:p>
        </w:tc>
        <w:tc>
          <w:tcPr>
            <w:tcW w:w="291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电话</w:t>
            </w:r>
          </w:p>
        </w:tc>
        <w:tc>
          <w:tcPr>
            <w:tcW w:w="204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19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企业资质</w:t>
            </w:r>
          </w:p>
        </w:tc>
        <w:tc>
          <w:tcPr>
            <w:tcW w:w="641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9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法定代表人</w:t>
            </w:r>
          </w:p>
        </w:tc>
        <w:tc>
          <w:tcPr>
            <w:tcW w:w="291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项目负责人</w:t>
            </w:r>
          </w:p>
        </w:tc>
        <w:tc>
          <w:tcPr>
            <w:tcW w:w="204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95" w:type="dxa"/>
            <w:tcBorders>
              <w:top w:val="single" w:color="auto" w:sz="6" w:space="0"/>
              <w:left w:val="single" w:color="auto" w:sz="4" w:space="0"/>
              <w:right w:val="single" w:color="auto" w:sz="6" w:space="0"/>
            </w:tcBorders>
            <w:vAlign w:val="center"/>
          </w:tcPr>
          <w:p>
            <w:pPr>
              <w:jc w:val="center"/>
              <w:rPr>
                <w:rFonts w:ascii="宋体" w:hAnsi="宋体" w:cs="宋体"/>
                <w:b/>
                <w:bCs/>
              </w:rPr>
            </w:pPr>
            <w:r>
              <w:rPr>
                <w:rFonts w:hint="eastAsia" w:ascii="宋体" w:hAnsi="宋体" w:cs="宋体"/>
                <w:b/>
                <w:bCs/>
              </w:rPr>
              <w:t>职工人数</w:t>
            </w:r>
          </w:p>
        </w:tc>
        <w:tc>
          <w:tcPr>
            <w:tcW w:w="2911" w:type="dxa"/>
            <w:tcBorders>
              <w:top w:val="single" w:color="auto" w:sz="6" w:space="0"/>
              <w:left w:val="single" w:color="auto" w:sz="6" w:space="0"/>
              <w:right w:val="single" w:color="auto" w:sz="4" w:space="0"/>
            </w:tcBorders>
            <w:vAlign w:val="center"/>
          </w:tcPr>
          <w:p>
            <w:pPr>
              <w:jc w:val="center"/>
              <w:rPr>
                <w:rFonts w:ascii="宋体" w:hAnsi="宋体" w:cs="宋体"/>
              </w:rPr>
            </w:pPr>
          </w:p>
        </w:tc>
        <w:tc>
          <w:tcPr>
            <w:tcW w:w="1459" w:type="dxa"/>
            <w:tcBorders>
              <w:top w:val="single" w:color="auto" w:sz="6" w:space="0"/>
              <w:left w:val="single" w:color="auto" w:sz="6" w:space="0"/>
              <w:right w:val="single" w:color="auto" w:sz="4" w:space="0"/>
            </w:tcBorders>
            <w:vAlign w:val="center"/>
          </w:tcPr>
          <w:p>
            <w:pPr>
              <w:jc w:val="center"/>
              <w:rPr>
                <w:rFonts w:ascii="宋体" w:hAnsi="宋体" w:cs="宋体"/>
                <w:b/>
                <w:bCs/>
              </w:rPr>
            </w:pPr>
            <w:r>
              <w:rPr>
                <w:rFonts w:hint="eastAsia" w:ascii="宋体" w:hAnsi="宋体" w:cs="宋体"/>
                <w:b/>
                <w:bCs/>
              </w:rPr>
              <w:t>管理人员</w:t>
            </w:r>
          </w:p>
        </w:tc>
        <w:tc>
          <w:tcPr>
            <w:tcW w:w="204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19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授权委托代理人</w:t>
            </w:r>
          </w:p>
        </w:tc>
        <w:tc>
          <w:tcPr>
            <w:tcW w:w="291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电话</w:t>
            </w:r>
          </w:p>
        </w:tc>
        <w:tc>
          <w:tcPr>
            <w:tcW w:w="204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9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驻瑞分支机构（如有）</w:t>
            </w:r>
          </w:p>
        </w:tc>
        <w:tc>
          <w:tcPr>
            <w:tcW w:w="641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19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驻瑞负责人</w:t>
            </w:r>
          </w:p>
        </w:tc>
        <w:tc>
          <w:tcPr>
            <w:tcW w:w="291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b/>
                <w:bCs/>
              </w:rPr>
              <w:t>电话</w:t>
            </w:r>
          </w:p>
        </w:tc>
        <w:tc>
          <w:tcPr>
            <w:tcW w:w="204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trPr>
        <w:tc>
          <w:tcPr>
            <w:tcW w:w="219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b/>
                <w:bCs/>
              </w:rPr>
            </w:pPr>
            <w:r>
              <w:rPr>
                <w:rFonts w:hint="eastAsia" w:ascii="宋体" w:hAnsi="宋体" w:cs="宋体"/>
                <w:b/>
                <w:bCs/>
              </w:rPr>
              <w:t>企业概况</w:t>
            </w:r>
          </w:p>
        </w:tc>
        <w:tc>
          <w:tcPr>
            <w:tcW w:w="6418" w:type="dxa"/>
            <w:gridSpan w:val="3"/>
            <w:tcBorders>
              <w:top w:val="single" w:color="auto" w:sz="6" w:space="0"/>
              <w:left w:val="single" w:color="auto" w:sz="6" w:space="0"/>
              <w:bottom w:val="single" w:color="auto" w:sz="6" w:space="0"/>
              <w:right w:val="single" w:color="auto" w:sz="4" w:space="0"/>
            </w:tcBorders>
            <w:vAlign w:val="center"/>
          </w:tcPr>
          <w:p>
            <w:pPr>
              <w:rPr>
                <w:rFonts w:ascii="宋体" w:hAnsi="宋体" w:cs="宋体"/>
              </w:rPr>
            </w:pPr>
            <w:r>
              <w:rPr>
                <w:rFonts w:hint="eastAsia" w:ascii="宋体" w:hAnsi="宋体" w:cs="宋体"/>
              </w:rPr>
              <w:t xml:space="preserve">                      </w:t>
            </w:r>
          </w:p>
          <w:p>
            <w:pPr>
              <w:jc w:val="center"/>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5" w:hRule="atLeast"/>
        </w:trPr>
        <w:tc>
          <w:tcPr>
            <w:tcW w:w="8613" w:type="dxa"/>
            <w:gridSpan w:val="4"/>
            <w:tcBorders>
              <w:top w:val="single" w:color="auto" w:sz="6" w:space="0"/>
              <w:left w:val="single" w:color="auto" w:sz="4" w:space="0"/>
              <w:bottom w:val="single" w:color="auto" w:sz="4" w:space="0"/>
              <w:right w:val="single" w:color="auto" w:sz="4" w:space="0"/>
            </w:tcBorders>
          </w:tcPr>
          <w:p>
            <w:pPr>
              <w:spacing w:line="360" w:lineRule="auto"/>
              <w:rPr>
                <w:rFonts w:ascii="宋体" w:hAnsi="宋体" w:cs="宋体"/>
                <w:b/>
                <w:bCs/>
              </w:rPr>
            </w:pPr>
          </w:p>
          <w:p>
            <w:pPr>
              <w:spacing w:line="360" w:lineRule="auto"/>
              <w:rPr>
                <w:rFonts w:ascii="宋体" w:hAnsi="宋体" w:cs="宋体"/>
                <w:b/>
                <w:bCs/>
              </w:rPr>
            </w:pPr>
            <w:r>
              <w:rPr>
                <w:rFonts w:hint="eastAsia" w:ascii="宋体" w:hAnsi="宋体" w:cs="宋体"/>
                <w:b/>
                <w:bCs/>
              </w:rPr>
              <w:t>上述表格填写均已经过核对，确信没有疏漏或差错。</w:t>
            </w:r>
          </w:p>
          <w:p>
            <w:pPr>
              <w:rPr>
                <w:rFonts w:ascii="宋体" w:hAnsi="宋体" w:cs="宋体"/>
              </w:rPr>
            </w:pPr>
          </w:p>
          <w:p>
            <w:pPr>
              <w:ind w:firstLine="6090" w:firstLineChars="2900"/>
              <w:rPr>
                <w:rFonts w:ascii="宋体" w:hAnsi="宋体" w:cs="宋体"/>
              </w:rPr>
            </w:pPr>
          </w:p>
          <w:p>
            <w:pPr>
              <w:spacing w:before="312" w:beforeLines="100" w:after="312" w:afterLines="100" w:line="400" w:lineRule="atLeast"/>
              <w:jc w:val="right"/>
              <w:rPr>
                <w:rFonts w:ascii="宋体" w:hAnsi="宋体"/>
                <w:szCs w:val="21"/>
              </w:rPr>
            </w:pPr>
            <w:r>
              <w:rPr>
                <w:rFonts w:hint="eastAsia" w:ascii="宋体" w:hAnsi="宋体"/>
                <w:szCs w:val="21"/>
              </w:rPr>
              <w:t>-磋商供应商全称（盖电子签章）：</w:t>
            </w:r>
          </w:p>
          <w:p>
            <w:pPr>
              <w:ind w:firstLine="6720" w:firstLineChars="3200"/>
              <w:jc w:val="right"/>
              <w:rPr>
                <w:rFonts w:ascii="宋体" w:hAnsi="宋体"/>
                <w:szCs w:val="21"/>
              </w:rPr>
            </w:pPr>
            <w:r>
              <w:rPr>
                <w:rFonts w:hint="eastAsia" w:ascii="宋体" w:hAnsi="宋体"/>
                <w:szCs w:val="21"/>
              </w:rPr>
              <w:t xml:space="preserve">                                          </w:t>
            </w:r>
          </w:p>
          <w:p>
            <w:pPr>
              <w:jc w:val="center"/>
              <w:rPr>
                <w:rFonts w:ascii="宋体" w:hAnsi="宋体" w:cs="宋体"/>
              </w:rPr>
            </w:pPr>
            <w:r>
              <w:rPr>
                <w:rFonts w:hint="eastAsia" w:ascii="宋体" w:hAnsi="宋体"/>
                <w:szCs w:val="21"/>
              </w:rPr>
              <w:t xml:space="preserve">                                             日期：    年   月    日</w:t>
            </w:r>
          </w:p>
        </w:tc>
      </w:tr>
    </w:tbl>
    <w:p>
      <w:pPr>
        <w:rPr>
          <w:szCs w:val="21"/>
        </w:rPr>
      </w:pPr>
    </w:p>
    <w:p>
      <w:pPr>
        <w:jc w:val="center"/>
        <w:rPr>
          <w:rFonts w:ascii="宋体" w:hAnsi="宋体" w:eastAsia="宋体" w:cs="宋体"/>
          <w:b/>
          <w:bCs/>
          <w:sz w:val="28"/>
          <w:szCs w:val="28"/>
        </w:rPr>
      </w:pPr>
      <w:bookmarkStart w:id="494" w:name="_Toc32513"/>
      <w:bookmarkStart w:id="495" w:name="_Toc29033"/>
      <w:bookmarkStart w:id="496" w:name="_Toc21237"/>
      <w:bookmarkStart w:id="497" w:name="_Toc19345"/>
      <w:bookmarkStart w:id="498" w:name="_Toc8371"/>
      <w:bookmarkStart w:id="499" w:name="_Toc2385"/>
    </w:p>
    <w:p>
      <w:pPr>
        <w:pStyle w:val="2"/>
        <w:rPr>
          <w:rFonts w:ascii="宋体" w:hAnsi="宋体" w:eastAsia="宋体" w:cs="宋体"/>
          <w:b/>
          <w:bCs/>
          <w:sz w:val="28"/>
          <w:szCs w:val="28"/>
        </w:rPr>
      </w:pPr>
    </w:p>
    <w:p>
      <w:pPr>
        <w:pStyle w:val="2"/>
        <w:ind w:left="0" w:leftChars="0"/>
      </w:pPr>
    </w:p>
    <w:p>
      <w:pPr>
        <w:jc w:val="center"/>
        <w:outlineLvl w:val="1"/>
        <w:rPr>
          <w:rFonts w:ascii="宋体" w:hAnsi="宋体" w:eastAsia="宋体" w:cs="宋体"/>
          <w:b/>
          <w:bCs/>
          <w:sz w:val="28"/>
          <w:szCs w:val="28"/>
        </w:rPr>
      </w:pPr>
      <w:bookmarkStart w:id="500" w:name="_Toc16911"/>
      <w:bookmarkStart w:id="501" w:name="_Toc22845"/>
      <w:bookmarkStart w:id="502" w:name="_Toc28772"/>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 xml:space="preserve">    少量偏离表</w:t>
      </w:r>
      <w:bookmarkEnd w:id="494"/>
      <w:bookmarkEnd w:id="495"/>
      <w:bookmarkEnd w:id="496"/>
      <w:bookmarkEnd w:id="497"/>
      <w:bookmarkEnd w:id="498"/>
      <w:bookmarkEnd w:id="499"/>
      <w:bookmarkEnd w:id="500"/>
      <w:bookmarkEnd w:id="501"/>
      <w:bookmarkEnd w:id="502"/>
    </w:p>
    <w:p>
      <w:pPr>
        <w:pStyle w:val="4"/>
        <w:ind w:firstLine="400"/>
        <w:rPr>
          <w:rFonts w:ascii="宋体" w:hAnsi="宋体" w:eastAsia="宋体" w:cs="宋体"/>
        </w:rPr>
      </w:pPr>
    </w:p>
    <w:tbl>
      <w:tblPr>
        <w:tblStyle w:val="22"/>
        <w:tblW w:w="84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035"/>
        <w:gridCol w:w="3268"/>
        <w:gridCol w:w="12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11" w:type="dxa"/>
            <w:tcBorders>
              <w:top w:val="single" w:color="auto" w:sz="12" w:space="0"/>
              <w:bottom w:val="single" w:color="auto" w:sz="12" w:space="0"/>
            </w:tcBorders>
            <w:vAlign w:val="center"/>
          </w:tcPr>
          <w:p>
            <w:pPr>
              <w:jc w:val="center"/>
              <w:rPr>
                <w:rFonts w:ascii="宋体" w:hAnsi="宋体" w:eastAsia="宋体" w:cs="宋体"/>
                <w:b/>
                <w:bCs/>
              </w:rPr>
            </w:pPr>
            <w:r>
              <w:rPr>
                <w:rFonts w:hint="eastAsia" w:ascii="宋体" w:hAnsi="宋体" w:eastAsia="宋体" w:cs="宋体"/>
                <w:b/>
                <w:bCs/>
              </w:rPr>
              <w:t>序号</w:t>
            </w:r>
          </w:p>
        </w:tc>
        <w:tc>
          <w:tcPr>
            <w:tcW w:w="3035" w:type="dxa"/>
            <w:tcBorders>
              <w:top w:val="single" w:color="auto" w:sz="12" w:space="0"/>
              <w:bottom w:val="single" w:color="auto" w:sz="12" w:space="0"/>
            </w:tcBorders>
            <w:vAlign w:val="center"/>
          </w:tcPr>
          <w:p>
            <w:pPr>
              <w:jc w:val="center"/>
              <w:rPr>
                <w:rFonts w:ascii="宋体" w:hAnsi="宋体" w:eastAsia="宋体" w:cs="宋体"/>
                <w:b/>
                <w:bCs/>
              </w:rPr>
            </w:pPr>
            <w:r>
              <w:rPr>
                <w:rFonts w:hint="eastAsia" w:ascii="宋体" w:hAnsi="宋体" w:eastAsia="宋体" w:cs="宋体"/>
                <w:b/>
                <w:bCs/>
              </w:rPr>
              <w:t>磋商文件重述</w:t>
            </w:r>
          </w:p>
        </w:tc>
        <w:tc>
          <w:tcPr>
            <w:tcW w:w="3268" w:type="dxa"/>
            <w:tcBorders>
              <w:top w:val="single" w:color="auto" w:sz="12" w:space="0"/>
              <w:bottom w:val="single" w:color="auto" w:sz="12" w:space="0"/>
            </w:tcBorders>
            <w:vAlign w:val="center"/>
          </w:tcPr>
          <w:p>
            <w:pPr>
              <w:jc w:val="center"/>
              <w:rPr>
                <w:rFonts w:ascii="宋体" w:hAnsi="宋体" w:eastAsia="宋体" w:cs="宋体"/>
                <w:b/>
                <w:bCs/>
              </w:rPr>
            </w:pPr>
            <w:r>
              <w:rPr>
                <w:rFonts w:hint="eastAsia" w:ascii="宋体" w:hAnsi="宋体" w:eastAsia="宋体" w:cs="宋体"/>
                <w:b/>
                <w:bCs/>
              </w:rPr>
              <w:t>对应磋商响应文件偏离</w:t>
            </w:r>
          </w:p>
        </w:tc>
        <w:tc>
          <w:tcPr>
            <w:tcW w:w="1282" w:type="dxa"/>
            <w:tcBorders>
              <w:top w:val="single" w:color="auto" w:sz="12" w:space="0"/>
              <w:bottom w:val="single" w:color="auto" w:sz="12" w:space="0"/>
            </w:tcBorders>
            <w:vAlign w:val="center"/>
          </w:tcPr>
          <w:p>
            <w:pPr>
              <w:jc w:val="center"/>
              <w:rPr>
                <w:rFonts w:ascii="宋体" w:hAnsi="宋体" w:eastAsia="宋体" w:cs="宋体"/>
                <w:b/>
                <w:bCs/>
              </w:rPr>
            </w:pPr>
            <w:r>
              <w:rPr>
                <w:rFonts w:hint="eastAsia" w:ascii="宋体" w:hAnsi="宋体" w:eastAsia="宋体" w:cs="宋体"/>
                <w:b/>
                <w:bCs/>
              </w:rPr>
              <w:t>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7" w:hRule="atLeast"/>
          <w:jc w:val="center"/>
        </w:trPr>
        <w:tc>
          <w:tcPr>
            <w:tcW w:w="911" w:type="dxa"/>
            <w:tcBorders>
              <w:top w:val="single" w:color="auto" w:sz="12" w:space="0"/>
            </w:tcBorders>
          </w:tcPr>
          <w:p>
            <w:pPr>
              <w:ind w:firstLine="592"/>
              <w:rPr>
                <w:rFonts w:ascii="宋体" w:hAnsi="宋体" w:eastAsia="宋体" w:cs="宋体"/>
              </w:rPr>
            </w:pPr>
          </w:p>
        </w:tc>
        <w:tc>
          <w:tcPr>
            <w:tcW w:w="3035" w:type="dxa"/>
            <w:tcBorders>
              <w:top w:val="single" w:color="auto" w:sz="12" w:space="0"/>
            </w:tcBorders>
          </w:tcPr>
          <w:p>
            <w:pPr>
              <w:ind w:firstLine="592"/>
              <w:rPr>
                <w:rFonts w:ascii="宋体" w:hAnsi="宋体" w:eastAsia="宋体" w:cs="宋体"/>
              </w:rPr>
            </w:pPr>
          </w:p>
        </w:tc>
        <w:tc>
          <w:tcPr>
            <w:tcW w:w="3268" w:type="dxa"/>
            <w:tcBorders>
              <w:top w:val="single" w:color="auto" w:sz="12" w:space="0"/>
            </w:tcBorders>
          </w:tcPr>
          <w:p>
            <w:pPr>
              <w:ind w:firstLine="592"/>
              <w:rPr>
                <w:rFonts w:ascii="宋体" w:hAnsi="宋体" w:eastAsia="宋体" w:cs="宋体"/>
              </w:rPr>
            </w:pPr>
          </w:p>
        </w:tc>
        <w:tc>
          <w:tcPr>
            <w:tcW w:w="1282" w:type="dxa"/>
            <w:tcBorders>
              <w:top w:val="single" w:color="auto" w:sz="12" w:space="0"/>
            </w:tcBorders>
          </w:tcPr>
          <w:p>
            <w:pPr>
              <w:ind w:firstLine="592"/>
              <w:rPr>
                <w:rFonts w:ascii="宋体" w:hAnsi="宋体" w:eastAsia="宋体" w:cs="宋体"/>
              </w:rPr>
            </w:pPr>
          </w:p>
        </w:tc>
      </w:tr>
    </w:tbl>
    <w:p>
      <w:pPr>
        <w:pStyle w:val="18"/>
        <w:tabs>
          <w:tab w:val="left" w:pos="945"/>
        </w:tabs>
        <w:rPr>
          <w:rFonts w:eastAsia="宋体" w:cs="宋体"/>
        </w:rPr>
      </w:pPr>
    </w:p>
    <w:p>
      <w:pPr>
        <w:pStyle w:val="18"/>
        <w:tabs>
          <w:tab w:val="left" w:pos="945"/>
        </w:tabs>
        <w:rPr>
          <w:rFonts w:eastAsia="宋体" w:cs="宋体"/>
        </w:rPr>
      </w:pPr>
      <w:r>
        <w:rPr>
          <w:rFonts w:hint="eastAsia" w:eastAsia="宋体" w:cs="宋体"/>
        </w:rPr>
        <w:t>注：如不填写，则视为完全响应磋商文件的技术及商务要求。</w:t>
      </w:r>
    </w:p>
    <w:p>
      <w:pPr>
        <w:spacing w:after="156" w:afterLines="50" w:line="400" w:lineRule="exact"/>
        <w:ind w:firstLine="4412" w:firstLineChars="2101"/>
        <w:rPr>
          <w:rFonts w:ascii="宋体" w:hAnsi="宋体" w:eastAsia="宋体" w:cs="宋体"/>
          <w:szCs w:val="21"/>
        </w:rPr>
      </w:pPr>
    </w:p>
    <w:p>
      <w:pPr>
        <w:spacing w:after="156" w:afterLines="50" w:line="400" w:lineRule="exact"/>
        <w:ind w:firstLine="4412" w:firstLineChars="2101"/>
        <w:rPr>
          <w:rFonts w:ascii="宋体" w:hAnsi="宋体" w:eastAsia="宋体" w:cs="宋体"/>
          <w:szCs w:val="21"/>
        </w:rPr>
      </w:pP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pPr>
        <w:ind w:firstLine="4620" w:firstLineChars="2200"/>
      </w:pPr>
      <w:r>
        <w:rPr>
          <w:rFonts w:hint="eastAsia"/>
        </w:rPr>
        <w:t>日      期：    年   月     日</w:t>
      </w:r>
    </w:p>
    <w:p>
      <w:pPr>
        <w:rPr>
          <w:b/>
          <w:bCs/>
          <w:sz w:val="28"/>
          <w:szCs w:val="28"/>
        </w:rPr>
      </w:pPr>
      <w:bookmarkStart w:id="503" w:name="_Toc6757"/>
    </w:p>
    <w:p>
      <w:pPr>
        <w:jc w:val="center"/>
        <w:outlineLvl w:val="1"/>
      </w:pPr>
      <w:bookmarkStart w:id="504" w:name="_Toc3491"/>
      <w:r>
        <w:rPr>
          <w:rFonts w:hint="eastAsia"/>
          <w:b/>
          <w:bCs/>
          <w:sz w:val="28"/>
          <w:szCs w:val="28"/>
        </w:rPr>
        <w:t>附件</w:t>
      </w:r>
      <w:r>
        <w:rPr>
          <w:rFonts w:hint="eastAsia"/>
          <w:b/>
          <w:bCs/>
          <w:sz w:val="28"/>
          <w:szCs w:val="28"/>
          <w:lang w:val="en-US" w:eastAsia="zh-CN"/>
        </w:rPr>
        <w:t>九</w:t>
      </w:r>
      <w:r>
        <w:rPr>
          <w:rFonts w:hint="eastAsia"/>
          <w:b/>
          <w:bCs/>
          <w:sz w:val="28"/>
          <w:szCs w:val="28"/>
        </w:rPr>
        <w:t xml:space="preserve">    </w:t>
      </w:r>
      <w:bookmarkEnd w:id="503"/>
      <w:r>
        <w:rPr>
          <w:rFonts w:hint="eastAsia"/>
          <w:b/>
          <w:bCs/>
          <w:sz w:val="28"/>
          <w:szCs w:val="28"/>
        </w:rPr>
        <w:t>随机备品、备件、专用工具清单</w:t>
      </w:r>
      <w:bookmarkEnd w:id="504"/>
    </w:p>
    <w:p>
      <w:pPr>
        <w:pStyle w:val="4"/>
        <w:spacing w:line="400" w:lineRule="exact"/>
        <w:ind w:firstLine="211" w:firstLineChars="100"/>
        <w:rPr>
          <w:rFonts w:ascii="宋体" w:hAnsi="宋体" w:cs="宋体"/>
          <w:b/>
          <w:sz w:val="21"/>
          <w:szCs w:val="21"/>
        </w:rPr>
      </w:pPr>
      <w:r>
        <w:rPr>
          <w:rFonts w:hint="eastAsia" w:ascii="宋体" w:hAnsi="宋体" w:cs="宋体"/>
          <w:b/>
          <w:sz w:val="21"/>
          <w:szCs w:val="21"/>
        </w:rPr>
        <w:t>项目名称：                                              项目编号：</w:t>
      </w:r>
    </w:p>
    <w:tbl>
      <w:tblPr>
        <w:tblStyle w:val="22"/>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46"/>
        <w:gridCol w:w="1837"/>
        <w:gridCol w:w="1361"/>
        <w:gridCol w:w="184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57" w:type="dxa"/>
            <w:shd w:val="clear" w:color="auto" w:fill="FFFFFF"/>
            <w:vAlign w:val="center"/>
          </w:tcPr>
          <w:p>
            <w:pPr>
              <w:spacing w:line="400" w:lineRule="exact"/>
              <w:jc w:val="center"/>
              <w:rPr>
                <w:rFonts w:ascii="新宋体" w:hAnsi="新宋体" w:eastAsia="新宋体"/>
                <w:b/>
                <w:bCs/>
                <w:sz w:val="22"/>
              </w:rPr>
            </w:pPr>
            <w:r>
              <w:rPr>
                <w:rFonts w:hint="eastAsia" w:ascii="新宋体" w:hAnsi="新宋体" w:eastAsia="新宋体"/>
                <w:b/>
                <w:bCs/>
                <w:sz w:val="22"/>
              </w:rPr>
              <w:t>序号</w:t>
            </w:r>
          </w:p>
        </w:tc>
        <w:tc>
          <w:tcPr>
            <w:tcW w:w="1746" w:type="dxa"/>
            <w:shd w:val="clear" w:color="auto" w:fill="FFFFFF"/>
            <w:vAlign w:val="center"/>
          </w:tcPr>
          <w:p>
            <w:pPr>
              <w:spacing w:line="400" w:lineRule="exact"/>
              <w:jc w:val="center"/>
              <w:rPr>
                <w:rFonts w:ascii="新宋体" w:hAnsi="新宋体" w:eastAsia="新宋体"/>
                <w:b/>
                <w:bCs/>
                <w:sz w:val="22"/>
              </w:rPr>
            </w:pPr>
            <w:r>
              <w:rPr>
                <w:rFonts w:hint="eastAsia" w:ascii="新宋体" w:hAnsi="新宋体" w:eastAsia="新宋体"/>
                <w:b/>
                <w:bCs/>
                <w:sz w:val="22"/>
              </w:rPr>
              <w:t>名  称</w:t>
            </w:r>
          </w:p>
        </w:tc>
        <w:tc>
          <w:tcPr>
            <w:tcW w:w="1837" w:type="dxa"/>
            <w:shd w:val="clear" w:color="auto" w:fill="FFFFFF"/>
            <w:vAlign w:val="center"/>
          </w:tcPr>
          <w:p>
            <w:pPr>
              <w:spacing w:line="400" w:lineRule="exact"/>
              <w:jc w:val="center"/>
              <w:rPr>
                <w:rFonts w:ascii="新宋体" w:hAnsi="新宋体" w:eastAsia="新宋体"/>
                <w:b/>
                <w:bCs/>
                <w:sz w:val="22"/>
              </w:rPr>
            </w:pPr>
            <w:r>
              <w:rPr>
                <w:rFonts w:hint="eastAsia" w:ascii="新宋体" w:hAnsi="新宋体" w:eastAsia="新宋体"/>
                <w:b/>
                <w:bCs/>
                <w:sz w:val="22"/>
              </w:rPr>
              <w:t>规格型号</w:t>
            </w:r>
          </w:p>
        </w:tc>
        <w:tc>
          <w:tcPr>
            <w:tcW w:w="1361" w:type="dxa"/>
            <w:shd w:val="clear" w:color="auto" w:fill="FFFFFF"/>
            <w:vAlign w:val="center"/>
          </w:tcPr>
          <w:p>
            <w:pPr>
              <w:spacing w:line="400" w:lineRule="exact"/>
              <w:jc w:val="center"/>
              <w:rPr>
                <w:rFonts w:ascii="新宋体" w:hAnsi="新宋体" w:eastAsia="新宋体"/>
                <w:b/>
                <w:bCs/>
                <w:sz w:val="22"/>
              </w:rPr>
            </w:pPr>
            <w:r>
              <w:rPr>
                <w:rFonts w:hint="eastAsia" w:ascii="新宋体" w:hAnsi="新宋体" w:eastAsia="新宋体"/>
                <w:b/>
                <w:bCs/>
                <w:sz w:val="22"/>
              </w:rPr>
              <w:t>数量</w:t>
            </w:r>
          </w:p>
        </w:tc>
        <w:tc>
          <w:tcPr>
            <w:tcW w:w="1846" w:type="dxa"/>
            <w:shd w:val="clear" w:color="auto" w:fill="FFFFFF"/>
            <w:vAlign w:val="center"/>
          </w:tcPr>
          <w:p>
            <w:pPr>
              <w:spacing w:line="400" w:lineRule="exact"/>
              <w:jc w:val="center"/>
              <w:rPr>
                <w:rFonts w:ascii="新宋体" w:hAnsi="新宋体" w:eastAsia="新宋体"/>
                <w:b/>
                <w:bCs/>
                <w:sz w:val="22"/>
              </w:rPr>
            </w:pPr>
            <w:r>
              <w:rPr>
                <w:rFonts w:hint="eastAsia" w:ascii="新宋体" w:hAnsi="新宋体" w:eastAsia="新宋体"/>
                <w:b/>
                <w:bCs/>
                <w:sz w:val="22"/>
              </w:rPr>
              <w:t>原产地/制造商</w:t>
            </w:r>
          </w:p>
        </w:tc>
        <w:tc>
          <w:tcPr>
            <w:tcW w:w="1062" w:type="dxa"/>
            <w:shd w:val="clear" w:color="auto" w:fill="FFFFFF"/>
            <w:vAlign w:val="center"/>
          </w:tcPr>
          <w:p>
            <w:pPr>
              <w:spacing w:line="400" w:lineRule="exact"/>
              <w:jc w:val="center"/>
              <w:rPr>
                <w:rFonts w:ascii="新宋体" w:hAnsi="新宋体" w:eastAsia="新宋体"/>
                <w:b/>
                <w:bCs/>
                <w:sz w:val="22"/>
              </w:rPr>
            </w:pPr>
            <w:r>
              <w:rPr>
                <w:rFonts w:hint="eastAsia" w:ascii="新宋体" w:hAnsi="新宋体" w:eastAsia="新宋体"/>
                <w:b/>
                <w:bCs/>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vAlign w:val="center"/>
          </w:tcPr>
          <w:p>
            <w:pPr>
              <w:spacing w:line="400" w:lineRule="exact"/>
              <w:jc w:val="center"/>
              <w:rPr>
                <w:rFonts w:ascii="新宋体" w:hAnsi="新宋体" w:eastAsia="新宋体"/>
                <w:sz w:val="22"/>
              </w:rPr>
            </w:pPr>
          </w:p>
        </w:tc>
        <w:tc>
          <w:tcPr>
            <w:tcW w:w="1746" w:type="dxa"/>
          </w:tcPr>
          <w:p>
            <w:pPr>
              <w:spacing w:line="400" w:lineRule="exact"/>
              <w:rPr>
                <w:rFonts w:ascii="新宋体" w:hAnsi="新宋体" w:eastAsia="新宋体"/>
                <w:sz w:val="22"/>
              </w:rPr>
            </w:pPr>
          </w:p>
        </w:tc>
        <w:tc>
          <w:tcPr>
            <w:tcW w:w="1837" w:type="dxa"/>
          </w:tcPr>
          <w:p>
            <w:pPr>
              <w:spacing w:line="400" w:lineRule="exact"/>
              <w:rPr>
                <w:rFonts w:ascii="新宋体" w:hAnsi="新宋体" w:eastAsia="新宋体"/>
                <w:sz w:val="22"/>
              </w:rPr>
            </w:pPr>
          </w:p>
        </w:tc>
        <w:tc>
          <w:tcPr>
            <w:tcW w:w="1361" w:type="dxa"/>
          </w:tcPr>
          <w:p>
            <w:pPr>
              <w:spacing w:line="400" w:lineRule="exact"/>
              <w:rPr>
                <w:rFonts w:ascii="新宋体" w:hAnsi="新宋体" w:eastAsia="新宋体"/>
                <w:sz w:val="22"/>
              </w:rPr>
            </w:pPr>
          </w:p>
        </w:tc>
        <w:tc>
          <w:tcPr>
            <w:tcW w:w="1846" w:type="dxa"/>
          </w:tcPr>
          <w:p>
            <w:pPr>
              <w:spacing w:line="400" w:lineRule="exact"/>
              <w:rPr>
                <w:rFonts w:ascii="新宋体" w:hAnsi="新宋体" w:eastAsia="新宋体"/>
                <w:sz w:val="22"/>
              </w:rPr>
            </w:pPr>
          </w:p>
        </w:tc>
        <w:tc>
          <w:tcPr>
            <w:tcW w:w="1062" w:type="dxa"/>
          </w:tcPr>
          <w:p>
            <w:pPr>
              <w:spacing w:line="400" w:lineRule="exact"/>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vAlign w:val="center"/>
          </w:tcPr>
          <w:p>
            <w:pPr>
              <w:spacing w:line="400" w:lineRule="exact"/>
              <w:jc w:val="center"/>
              <w:rPr>
                <w:rFonts w:ascii="新宋体" w:hAnsi="新宋体" w:eastAsia="新宋体"/>
                <w:sz w:val="22"/>
              </w:rPr>
            </w:pPr>
          </w:p>
        </w:tc>
        <w:tc>
          <w:tcPr>
            <w:tcW w:w="1746" w:type="dxa"/>
          </w:tcPr>
          <w:p>
            <w:pPr>
              <w:spacing w:line="400" w:lineRule="exact"/>
              <w:rPr>
                <w:rFonts w:ascii="新宋体" w:hAnsi="新宋体" w:eastAsia="新宋体"/>
                <w:sz w:val="22"/>
              </w:rPr>
            </w:pPr>
          </w:p>
        </w:tc>
        <w:tc>
          <w:tcPr>
            <w:tcW w:w="1837" w:type="dxa"/>
          </w:tcPr>
          <w:p>
            <w:pPr>
              <w:spacing w:line="400" w:lineRule="exact"/>
              <w:rPr>
                <w:rFonts w:ascii="新宋体" w:hAnsi="新宋体" w:eastAsia="新宋体"/>
                <w:sz w:val="22"/>
              </w:rPr>
            </w:pPr>
          </w:p>
        </w:tc>
        <w:tc>
          <w:tcPr>
            <w:tcW w:w="1361" w:type="dxa"/>
          </w:tcPr>
          <w:p>
            <w:pPr>
              <w:spacing w:line="400" w:lineRule="exact"/>
              <w:rPr>
                <w:rFonts w:ascii="新宋体" w:hAnsi="新宋体" w:eastAsia="新宋体"/>
                <w:sz w:val="22"/>
              </w:rPr>
            </w:pPr>
          </w:p>
        </w:tc>
        <w:tc>
          <w:tcPr>
            <w:tcW w:w="1846" w:type="dxa"/>
          </w:tcPr>
          <w:p>
            <w:pPr>
              <w:spacing w:line="400" w:lineRule="exact"/>
              <w:rPr>
                <w:rFonts w:ascii="新宋体" w:hAnsi="新宋体" w:eastAsia="新宋体"/>
                <w:sz w:val="22"/>
              </w:rPr>
            </w:pPr>
          </w:p>
        </w:tc>
        <w:tc>
          <w:tcPr>
            <w:tcW w:w="1062" w:type="dxa"/>
          </w:tcPr>
          <w:p>
            <w:pPr>
              <w:spacing w:line="400" w:lineRule="exact"/>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vAlign w:val="center"/>
          </w:tcPr>
          <w:p>
            <w:pPr>
              <w:spacing w:line="400" w:lineRule="exact"/>
              <w:jc w:val="center"/>
              <w:rPr>
                <w:rFonts w:ascii="新宋体" w:hAnsi="新宋体" w:eastAsia="新宋体"/>
                <w:sz w:val="22"/>
              </w:rPr>
            </w:pPr>
          </w:p>
        </w:tc>
        <w:tc>
          <w:tcPr>
            <w:tcW w:w="1746" w:type="dxa"/>
          </w:tcPr>
          <w:p>
            <w:pPr>
              <w:spacing w:line="400" w:lineRule="exact"/>
              <w:rPr>
                <w:rFonts w:ascii="新宋体" w:hAnsi="新宋体" w:eastAsia="新宋体"/>
                <w:sz w:val="22"/>
              </w:rPr>
            </w:pPr>
          </w:p>
        </w:tc>
        <w:tc>
          <w:tcPr>
            <w:tcW w:w="1837" w:type="dxa"/>
          </w:tcPr>
          <w:p>
            <w:pPr>
              <w:spacing w:line="400" w:lineRule="exact"/>
              <w:rPr>
                <w:rFonts w:ascii="新宋体" w:hAnsi="新宋体" w:eastAsia="新宋体"/>
                <w:sz w:val="22"/>
              </w:rPr>
            </w:pPr>
          </w:p>
        </w:tc>
        <w:tc>
          <w:tcPr>
            <w:tcW w:w="1361" w:type="dxa"/>
          </w:tcPr>
          <w:p>
            <w:pPr>
              <w:spacing w:line="400" w:lineRule="exact"/>
              <w:rPr>
                <w:rFonts w:ascii="新宋体" w:hAnsi="新宋体" w:eastAsia="新宋体"/>
                <w:sz w:val="22"/>
              </w:rPr>
            </w:pPr>
          </w:p>
        </w:tc>
        <w:tc>
          <w:tcPr>
            <w:tcW w:w="1846" w:type="dxa"/>
          </w:tcPr>
          <w:p>
            <w:pPr>
              <w:spacing w:line="400" w:lineRule="exact"/>
              <w:rPr>
                <w:rFonts w:ascii="新宋体" w:hAnsi="新宋体" w:eastAsia="新宋体"/>
                <w:sz w:val="22"/>
              </w:rPr>
            </w:pPr>
          </w:p>
        </w:tc>
        <w:tc>
          <w:tcPr>
            <w:tcW w:w="1062" w:type="dxa"/>
          </w:tcPr>
          <w:p>
            <w:pPr>
              <w:spacing w:line="400" w:lineRule="exact"/>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vAlign w:val="center"/>
          </w:tcPr>
          <w:p>
            <w:pPr>
              <w:spacing w:line="400" w:lineRule="exact"/>
              <w:jc w:val="center"/>
              <w:rPr>
                <w:rFonts w:ascii="新宋体" w:hAnsi="新宋体" w:eastAsia="新宋体"/>
                <w:sz w:val="22"/>
              </w:rPr>
            </w:pPr>
          </w:p>
        </w:tc>
        <w:tc>
          <w:tcPr>
            <w:tcW w:w="1746" w:type="dxa"/>
          </w:tcPr>
          <w:p>
            <w:pPr>
              <w:spacing w:line="400" w:lineRule="exact"/>
              <w:rPr>
                <w:rFonts w:ascii="新宋体" w:hAnsi="新宋体" w:eastAsia="新宋体"/>
                <w:sz w:val="22"/>
              </w:rPr>
            </w:pPr>
          </w:p>
        </w:tc>
        <w:tc>
          <w:tcPr>
            <w:tcW w:w="1837" w:type="dxa"/>
          </w:tcPr>
          <w:p>
            <w:pPr>
              <w:spacing w:line="400" w:lineRule="exact"/>
              <w:rPr>
                <w:rFonts w:ascii="新宋体" w:hAnsi="新宋体" w:eastAsia="新宋体"/>
                <w:sz w:val="22"/>
              </w:rPr>
            </w:pPr>
          </w:p>
        </w:tc>
        <w:tc>
          <w:tcPr>
            <w:tcW w:w="1361" w:type="dxa"/>
          </w:tcPr>
          <w:p>
            <w:pPr>
              <w:spacing w:line="400" w:lineRule="exact"/>
              <w:rPr>
                <w:rFonts w:ascii="新宋体" w:hAnsi="新宋体" w:eastAsia="新宋体"/>
                <w:sz w:val="22"/>
              </w:rPr>
            </w:pPr>
          </w:p>
        </w:tc>
        <w:tc>
          <w:tcPr>
            <w:tcW w:w="1846" w:type="dxa"/>
          </w:tcPr>
          <w:p>
            <w:pPr>
              <w:spacing w:line="400" w:lineRule="exact"/>
              <w:rPr>
                <w:rFonts w:ascii="新宋体" w:hAnsi="新宋体" w:eastAsia="新宋体"/>
                <w:sz w:val="22"/>
              </w:rPr>
            </w:pPr>
          </w:p>
        </w:tc>
        <w:tc>
          <w:tcPr>
            <w:tcW w:w="1062" w:type="dxa"/>
          </w:tcPr>
          <w:p>
            <w:pPr>
              <w:spacing w:line="400" w:lineRule="exact"/>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vAlign w:val="center"/>
          </w:tcPr>
          <w:p>
            <w:pPr>
              <w:spacing w:line="400" w:lineRule="exact"/>
              <w:jc w:val="center"/>
              <w:rPr>
                <w:rFonts w:ascii="新宋体" w:hAnsi="新宋体" w:eastAsia="新宋体"/>
                <w:sz w:val="22"/>
              </w:rPr>
            </w:pPr>
          </w:p>
        </w:tc>
        <w:tc>
          <w:tcPr>
            <w:tcW w:w="1746" w:type="dxa"/>
          </w:tcPr>
          <w:p>
            <w:pPr>
              <w:spacing w:line="400" w:lineRule="exact"/>
              <w:rPr>
                <w:rFonts w:ascii="新宋体" w:hAnsi="新宋体" w:eastAsia="新宋体"/>
                <w:sz w:val="22"/>
              </w:rPr>
            </w:pPr>
          </w:p>
        </w:tc>
        <w:tc>
          <w:tcPr>
            <w:tcW w:w="1837" w:type="dxa"/>
          </w:tcPr>
          <w:p>
            <w:pPr>
              <w:spacing w:line="400" w:lineRule="exact"/>
              <w:rPr>
                <w:rFonts w:ascii="新宋体" w:hAnsi="新宋体" w:eastAsia="新宋体"/>
                <w:sz w:val="22"/>
              </w:rPr>
            </w:pPr>
          </w:p>
        </w:tc>
        <w:tc>
          <w:tcPr>
            <w:tcW w:w="1361" w:type="dxa"/>
          </w:tcPr>
          <w:p>
            <w:pPr>
              <w:spacing w:line="400" w:lineRule="exact"/>
              <w:rPr>
                <w:rFonts w:ascii="新宋体" w:hAnsi="新宋体" w:eastAsia="新宋体"/>
                <w:sz w:val="22"/>
              </w:rPr>
            </w:pPr>
          </w:p>
        </w:tc>
        <w:tc>
          <w:tcPr>
            <w:tcW w:w="1846" w:type="dxa"/>
          </w:tcPr>
          <w:p>
            <w:pPr>
              <w:spacing w:line="400" w:lineRule="exact"/>
              <w:rPr>
                <w:rFonts w:ascii="新宋体" w:hAnsi="新宋体" w:eastAsia="新宋体"/>
                <w:sz w:val="22"/>
              </w:rPr>
            </w:pPr>
          </w:p>
        </w:tc>
        <w:tc>
          <w:tcPr>
            <w:tcW w:w="1062" w:type="dxa"/>
          </w:tcPr>
          <w:p>
            <w:pPr>
              <w:spacing w:line="400" w:lineRule="exact"/>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vAlign w:val="center"/>
          </w:tcPr>
          <w:p>
            <w:pPr>
              <w:spacing w:line="400" w:lineRule="exact"/>
              <w:jc w:val="center"/>
              <w:rPr>
                <w:rFonts w:ascii="新宋体" w:hAnsi="新宋体" w:eastAsia="新宋体"/>
                <w:sz w:val="22"/>
              </w:rPr>
            </w:pPr>
          </w:p>
        </w:tc>
        <w:tc>
          <w:tcPr>
            <w:tcW w:w="1746" w:type="dxa"/>
          </w:tcPr>
          <w:p>
            <w:pPr>
              <w:spacing w:line="400" w:lineRule="exact"/>
              <w:rPr>
                <w:rFonts w:ascii="新宋体" w:hAnsi="新宋体" w:eastAsia="新宋体"/>
                <w:sz w:val="22"/>
              </w:rPr>
            </w:pPr>
          </w:p>
        </w:tc>
        <w:tc>
          <w:tcPr>
            <w:tcW w:w="1837" w:type="dxa"/>
          </w:tcPr>
          <w:p>
            <w:pPr>
              <w:spacing w:line="400" w:lineRule="exact"/>
              <w:rPr>
                <w:rFonts w:ascii="新宋体" w:hAnsi="新宋体" w:eastAsia="新宋体"/>
                <w:sz w:val="22"/>
              </w:rPr>
            </w:pPr>
          </w:p>
        </w:tc>
        <w:tc>
          <w:tcPr>
            <w:tcW w:w="1361" w:type="dxa"/>
          </w:tcPr>
          <w:p>
            <w:pPr>
              <w:spacing w:line="400" w:lineRule="exact"/>
              <w:rPr>
                <w:rFonts w:ascii="新宋体" w:hAnsi="新宋体" w:eastAsia="新宋体"/>
                <w:sz w:val="22"/>
              </w:rPr>
            </w:pPr>
          </w:p>
        </w:tc>
        <w:tc>
          <w:tcPr>
            <w:tcW w:w="1846" w:type="dxa"/>
          </w:tcPr>
          <w:p>
            <w:pPr>
              <w:spacing w:line="400" w:lineRule="exact"/>
              <w:rPr>
                <w:rFonts w:ascii="新宋体" w:hAnsi="新宋体" w:eastAsia="新宋体"/>
                <w:sz w:val="22"/>
              </w:rPr>
            </w:pPr>
          </w:p>
        </w:tc>
        <w:tc>
          <w:tcPr>
            <w:tcW w:w="1062" w:type="dxa"/>
          </w:tcPr>
          <w:p>
            <w:pPr>
              <w:spacing w:line="400" w:lineRule="exact"/>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vAlign w:val="center"/>
          </w:tcPr>
          <w:p>
            <w:pPr>
              <w:spacing w:line="400" w:lineRule="exact"/>
              <w:jc w:val="center"/>
              <w:rPr>
                <w:rFonts w:ascii="新宋体" w:hAnsi="新宋体" w:eastAsia="新宋体"/>
                <w:sz w:val="22"/>
              </w:rPr>
            </w:pPr>
          </w:p>
        </w:tc>
        <w:tc>
          <w:tcPr>
            <w:tcW w:w="1746" w:type="dxa"/>
          </w:tcPr>
          <w:p>
            <w:pPr>
              <w:spacing w:line="400" w:lineRule="exact"/>
              <w:rPr>
                <w:rFonts w:ascii="新宋体" w:hAnsi="新宋体" w:eastAsia="新宋体"/>
                <w:sz w:val="22"/>
              </w:rPr>
            </w:pPr>
          </w:p>
        </w:tc>
        <w:tc>
          <w:tcPr>
            <w:tcW w:w="1837" w:type="dxa"/>
          </w:tcPr>
          <w:p>
            <w:pPr>
              <w:spacing w:line="400" w:lineRule="exact"/>
              <w:rPr>
                <w:rFonts w:ascii="新宋体" w:hAnsi="新宋体" w:eastAsia="新宋体"/>
                <w:sz w:val="22"/>
              </w:rPr>
            </w:pPr>
          </w:p>
        </w:tc>
        <w:tc>
          <w:tcPr>
            <w:tcW w:w="1361" w:type="dxa"/>
          </w:tcPr>
          <w:p>
            <w:pPr>
              <w:spacing w:line="400" w:lineRule="exact"/>
              <w:rPr>
                <w:rFonts w:ascii="新宋体" w:hAnsi="新宋体" w:eastAsia="新宋体"/>
                <w:sz w:val="22"/>
              </w:rPr>
            </w:pPr>
          </w:p>
        </w:tc>
        <w:tc>
          <w:tcPr>
            <w:tcW w:w="1846" w:type="dxa"/>
          </w:tcPr>
          <w:p>
            <w:pPr>
              <w:spacing w:line="400" w:lineRule="exact"/>
              <w:rPr>
                <w:rFonts w:ascii="新宋体" w:hAnsi="新宋体" w:eastAsia="新宋体"/>
                <w:sz w:val="22"/>
              </w:rPr>
            </w:pPr>
          </w:p>
        </w:tc>
        <w:tc>
          <w:tcPr>
            <w:tcW w:w="1062" w:type="dxa"/>
          </w:tcPr>
          <w:p>
            <w:pPr>
              <w:spacing w:line="400" w:lineRule="exact"/>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vAlign w:val="center"/>
          </w:tcPr>
          <w:p>
            <w:pPr>
              <w:spacing w:line="400" w:lineRule="exact"/>
              <w:jc w:val="center"/>
              <w:rPr>
                <w:rFonts w:ascii="新宋体" w:hAnsi="新宋体" w:eastAsia="新宋体"/>
                <w:sz w:val="22"/>
              </w:rPr>
            </w:pPr>
          </w:p>
        </w:tc>
        <w:tc>
          <w:tcPr>
            <w:tcW w:w="1746" w:type="dxa"/>
          </w:tcPr>
          <w:p>
            <w:pPr>
              <w:spacing w:line="400" w:lineRule="exact"/>
              <w:rPr>
                <w:rFonts w:ascii="新宋体" w:hAnsi="新宋体" w:eastAsia="新宋体"/>
                <w:sz w:val="22"/>
              </w:rPr>
            </w:pPr>
          </w:p>
        </w:tc>
        <w:tc>
          <w:tcPr>
            <w:tcW w:w="1837" w:type="dxa"/>
          </w:tcPr>
          <w:p>
            <w:pPr>
              <w:spacing w:line="400" w:lineRule="exact"/>
              <w:rPr>
                <w:rFonts w:ascii="新宋体" w:hAnsi="新宋体" w:eastAsia="新宋体"/>
                <w:sz w:val="22"/>
              </w:rPr>
            </w:pPr>
          </w:p>
        </w:tc>
        <w:tc>
          <w:tcPr>
            <w:tcW w:w="1361" w:type="dxa"/>
          </w:tcPr>
          <w:p>
            <w:pPr>
              <w:spacing w:line="400" w:lineRule="exact"/>
              <w:rPr>
                <w:rFonts w:ascii="新宋体" w:hAnsi="新宋体" w:eastAsia="新宋体"/>
                <w:sz w:val="22"/>
              </w:rPr>
            </w:pPr>
          </w:p>
        </w:tc>
        <w:tc>
          <w:tcPr>
            <w:tcW w:w="1846" w:type="dxa"/>
          </w:tcPr>
          <w:p>
            <w:pPr>
              <w:spacing w:line="400" w:lineRule="exact"/>
              <w:rPr>
                <w:rFonts w:ascii="新宋体" w:hAnsi="新宋体" w:eastAsia="新宋体"/>
                <w:sz w:val="22"/>
              </w:rPr>
            </w:pPr>
          </w:p>
        </w:tc>
        <w:tc>
          <w:tcPr>
            <w:tcW w:w="1062" w:type="dxa"/>
          </w:tcPr>
          <w:p>
            <w:pPr>
              <w:spacing w:line="400" w:lineRule="exact"/>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7" w:type="dxa"/>
            <w:vAlign w:val="center"/>
          </w:tcPr>
          <w:p>
            <w:pPr>
              <w:spacing w:line="400" w:lineRule="exact"/>
              <w:jc w:val="center"/>
              <w:rPr>
                <w:rFonts w:ascii="新宋体" w:hAnsi="新宋体" w:eastAsia="新宋体"/>
                <w:sz w:val="22"/>
              </w:rPr>
            </w:pPr>
          </w:p>
        </w:tc>
        <w:tc>
          <w:tcPr>
            <w:tcW w:w="1746" w:type="dxa"/>
          </w:tcPr>
          <w:p>
            <w:pPr>
              <w:spacing w:line="400" w:lineRule="exact"/>
              <w:rPr>
                <w:rFonts w:ascii="新宋体" w:hAnsi="新宋体" w:eastAsia="新宋体"/>
                <w:sz w:val="22"/>
              </w:rPr>
            </w:pPr>
          </w:p>
        </w:tc>
        <w:tc>
          <w:tcPr>
            <w:tcW w:w="1837" w:type="dxa"/>
          </w:tcPr>
          <w:p>
            <w:pPr>
              <w:spacing w:line="400" w:lineRule="exact"/>
              <w:rPr>
                <w:rFonts w:ascii="新宋体" w:hAnsi="新宋体" w:eastAsia="新宋体"/>
                <w:sz w:val="22"/>
              </w:rPr>
            </w:pPr>
          </w:p>
        </w:tc>
        <w:tc>
          <w:tcPr>
            <w:tcW w:w="1361" w:type="dxa"/>
          </w:tcPr>
          <w:p>
            <w:pPr>
              <w:spacing w:line="400" w:lineRule="exact"/>
              <w:rPr>
                <w:rFonts w:ascii="新宋体" w:hAnsi="新宋体" w:eastAsia="新宋体"/>
                <w:sz w:val="22"/>
              </w:rPr>
            </w:pPr>
          </w:p>
        </w:tc>
        <w:tc>
          <w:tcPr>
            <w:tcW w:w="1846" w:type="dxa"/>
          </w:tcPr>
          <w:p>
            <w:pPr>
              <w:spacing w:line="400" w:lineRule="exact"/>
              <w:rPr>
                <w:rFonts w:ascii="新宋体" w:hAnsi="新宋体" w:eastAsia="新宋体"/>
                <w:sz w:val="22"/>
              </w:rPr>
            </w:pPr>
          </w:p>
        </w:tc>
        <w:tc>
          <w:tcPr>
            <w:tcW w:w="1062" w:type="dxa"/>
          </w:tcPr>
          <w:p>
            <w:pPr>
              <w:spacing w:line="400" w:lineRule="exact"/>
              <w:rPr>
                <w:rFonts w:ascii="新宋体" w:hAnsi="新宋体" w:eastAsia="新宋体"/>
                <w:sz w:val="22"/>
              </w:rPr>
            </w:pPr>
          </w:p>
        </w:tc>
      </w:tr>
    </w:tbl>
    <w:p>
      <w:pPr>
        <w:pStyle w:val="4"/>
        <w:spacing w:line="400" w:lineRule="exact"/>
        <w:ind w:firstLine="0"/>
        <w:rPr>
          <w:rFonts w:ascii="宋体" w:hAnsi="宋体"/>
          <w:sz w:val="21"/>
          <w:szCs w:val="21"/>
        </w:rPr>
      </w:pPr>
      <w:r>
        <w:rPr>
          <w:rFonts w:hint="eastAsia" w:ascii="宋体" w:hAnsi="宋体"/>
          <w:sz w:val="21"/>
          <w:szCs w:val="21"/>
        </w:rPr>
        <w:t>注：1. 本表所列为随产品所带的附件及备品备件。</w:t>
      </w:r>
    </w:p>
    <w:p>
      <w:pPr>
        <w:pStyle w:val="4"/>
        <w:spacing w:line="400" w:lineRule="exact"/>
        <w:ind w:firstLineChars="200"/>
        <w:rPr>
          <w:rFonts w:ascii="宋体" w:hAnsi="宋体"/>
          <w:sz w:val="21"/>
          <w:szCs w:val="21"/>
        </w:rPr>
      </w:pPr>
      <w:r>
        <w:rPr>
          <w:rFonts w:hint="eastAsia" w:ascii="宋体" w:hAnsi="宋体"/>
          <w:sz w:val="21"/>
          <w:szCs w:val="21"/>
        </w:rPr>
        <w:t>2. 本表中所列价格应计入投标报价。</w:t>
      </w:r>
    </w:p>
    <w:p>
      <w:pPr>
        <w:pStyle w:val="4"/>
        <w:spacing w:line="400" w:lineRule="exact"/>
        <w:ind w:firstLineChars="200"/>
        <w:rPr>
          <w:rFonts w:ascii="宋体" w:hAnsi="宋体"/>
          <w:sz w:val="21"/>
          <w:szCs w:val="21"/>
        </w:rPr>
      </w:pPr>
      <w:r>
        <w:rPr>
          <w:rFonts w:hint="eastAsia" w:ascii="宋体" w:hAnsi="宋体"/>
          <w:sz w:val="21"/>
          <w:szCs w:val="21"/>
        </w:rPr>
        <w:t>3. 此表仅提供了表格形式，磋商供应商应根据需要准备足够数量的表格来填写。</w:t>
      </w:r>
    </w:p>
    <w:p>
      <w:pPr>
        <w:pStyle w:val="4"/>
        <w:spacing w:line="400" w:lineRule="exact"/>
        <w:rPr>
          <w:b/>
          <w:bCs/>
        </w:rPr>
      </w:pPr>
      <w:r>
        <w:rPr>
          <w:rFonts w:hint="eastAsia" w:ascii="宋体" w:hAnsi="宋体"/>
          <w:sz w:val="21"/>
          <w:szCs w:val="21"/>
        </w:rPr>
        <w:t>4. 产品验收时，实到的随机备品备件的产地等应与此一览表一一对应。</w:t>
      </w:r>
    </w:p>
    <w:p>
      <w:pPr>
        <w:pStyle w:val="2"/>
      </w:pPr>
    </w:p>
    <w:p>
      <w:pPr>
        <w:pStyle w:val="8"/>
        <w:rPr>
          <w:lang w:val="en-US"/>
        </w:rPr>
      </w:pP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pPr>
        <w:ind w:firstLine="4620" w:firstLineChars="2200"/>
        <w:rPr>
          <w:rFonts w:ascii="Arial" w:hAnsi="Arial" w:cs="Arial"/>
          <w:sz w:val="28"/>
        </w:rPr>
      </w:pPr>
      <w:r>
        <w:rPr>
          <w:rFonts w:hint="eastAsia"/>
        </w:rPr>
        <w:t>日      期：    年   月     日</w:t>
      </w:r>
      <w:bookmarkStart w:id="505" w:name="_Toc10692"/>
      <w:bookmarkStart w:id="506" w:name="_Toc22134"/>
    </w:p>
    <w:p/>
    <w:p/>
    <w:p>
      <w:pPr>
        <w:pStyle w:val="3"/>
        <w:jc w:val="center"/>
        <w:rPr>
          <w:rFonts w:ascii="Arial" w:hAnsi="Arial" w:cs="Arial"/>
          <w:sz w:val="28"/>
        </w:rPr>
      </w:pPr>
      <w:bookmarkStart w:id="507" w:name="_Toc3200"/>
      <w:r>
        <w:rPr>
          <w:rFonts w:ascii="Arial" w:hAnsi="Arial" w:cs="Arial"/>
          <w:sz w:val="28"/>
        </w:rPr>
        <w:t>附件</w:t>
      </w:r>
      <w:r>
        <w:rPr>
          <w:rFonts w:hint="eastAsia" w:ascii="Arial" w:hAnsi="Arial" w:cs="Arial"/>
          <w:sz w:val="28"/>
          <w:lang w:val="en-US" w:eastAsia="zh-CN"/>
        </w:rPr>
        <w:t>十</w:t>
      </w:r>
      <w:r>
        <w:rPr>
          <w:rFonts w:hint="eastAsia" w:ascii="Arial" w:hAnsi="Arial" w:cs="Arial"/>
          <w:sz w:val="28"/>
        </w:rPr>
        <w:t xml:space="preserve">  </w:t>
      </w:r>
      <w:bookmarkEnd w:id="505"/>
      <w:bookmarkEnd w:id="506"/>
      <w:r>
        <w:rPr>
          <w:rFonts w:hint="eastAsia" w:ascii="Arial" w:hAnsi="Arial" w:cs="Arial"/>
          <w:sz w:val="28"/>
        </w:rPr>
        <w:t xml:space="preserve">  详细产品供货清单</w:t>
      </w:r>
      <w:bookmarkEnd w:id="507"/>
    </w:p>
    <w:p>
      <w:pPr>
        <w:widowControl/>
        <w:spacing w:before="156" w:beforeLines="50" w:line="360" w:lineRule="auto"/>
        <w:ind w:right="-11"/>
        <w:rPr>
          <w:b/>
          <w:bCs/>
          <w:sz w:val="30"/>
        </w:rPr>
      </w:pPr>
      <w:r>
        <w:rPr>
          <w:rFonts w:hint="eastAsia" w:ascii="宋体" w:hAnsi="宋体"/>
          <w:b/>
          <w:szCs w:val="21"/>
        </w:rPr>
        <w:t xml:space="preserve">项目名称：                              </w:t>
      </w:r>
      <w:r>
        <w:rPr>
          <w:rFonts w:ascii="宋体" w:hAnsi="宋体"/>
          <w:b/>
          <w:szCs w:val="21"/>
        </w:rPr>
        <w:t xml:space="preserve">    </w:t>
      </w:r>
      <w:r>
        <w:rPr>
          <w:rFonts w:hint="eastAsia" w:ascii="宋体" w:hAnsi="宋体"/>
          <w:b/>
          <w:szCs w:val="21"/>
        </w:rPr>
        <w:t xml:space="preserve">       项目编号：</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65"/>
        <w:gridCol w:w="1524"/>
        <w:gridCol w:w="1201"/>
        <w:gridCol w:w="1233"/>
        <w:gridCol w:w="916"/>
        <w:gridCol w:w="103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23" w:type="dxa"/>
            <w:vAlign w:val="center"/>
          </w:tcPr>
          <w:p>
            <w:pPr>
              <w:tabs>
                <w:tab w:val="left" w:pos="6551"/>
              </w:tabs>
              <w:jc w:val="center"/>
              <w:rPr>
                <w:rFonts w:ascii="新宋体" w:hAnsi="新宋体" w:eastAsia="新宋体"/>
                <w:b/>
                <w:bCs/>
                <w:sz w:val="22"/>
              </w:rPr>
            </w:pPr>
            <w:r>
              <w:rPr>
                <w:rFonts w:hint="eastAsia" w:ascii="新宋体" w:hAnsi="新宋体" w:eastAsia="新宋体"/>
                <w:b/>
                <w:bCs/>
                <w:sz w:val="22"/>
              </w:rPr>
              <w:t>序号</w:t>
            </w:r>
          </w:p>
        </w:tc>
        <w:tc>
          <w:tcPr>
            <w:tcW w:w="1465" w:type="dxa"/>
            <w:vAlign w:val="center"/>
          </w:tcPr>
          <w:p>
            <w:pPr>
              <w:tabs>
                <w:tab w:val="left" w:pos="6551"/>
              </w:tabs>
              <w:jc w:val="center"/>
              <w:rPr>
                <w:rFonts w:ascii="新宋体" w:hAnsi="新宋体" w:eastAsia="新宋体"/>
                <w:b/>
                <w:bCs/>
                <w:sz w:val="22"/>
              </w:rPr>
            </w:pPr>
            <w:r>
              <w:rPr>
                <w:rFonts w:hint="eastAsia" w:ascii="新宋体" w:hAnsi="新宋体" w:eastAsia="新宋体"/>
                <w:b/>
                <w:bCs/>
                <w:sz w:val="22"/>
              </w:rPr>
              <w:t>产品名称</w:t>
            </w:r>
          </w:p>
        </w:tc>
        <w:tc>
          <w:tcPr>
            <w:tcW w:w="1524" w:type="dxa"/>
            <w:vAlign w:val="center"/>
          </w:tcPr>
          <w:p>
            <w:pPr>
              <w:tabs>
                <w:tab w:val="left" w:pos="6551"/>
              </w:tabs>
              <w:jc w:val="center"/>
              <w:rPr>
                <w:rFonts w:ascii="新宋体" w:hAnsi="新宋体" w:eastAsia="新宋体"/>
                <w:b/>
                <w:bCs/>
                <w:sz w:val="22"/>
              </w:rPr>
            </w:pPr>
            <w:r>
              <w:rPr>
                <w:rFonts w:hint="eastAsia" w:ascii="新宋体" w:hAnsi="新宋体" w:eastAsia="新宋体"/>
                <w:b/>
                <w:bCs/>
                <w:sz w:val="22"/>
              </w:rPr>
              <w:t>型号规格</w:t>
            </w:r>
          </w:p>
        </w:tc>
        <w:tc>
          <w:tcPr>
            <w:tcW w:w="1201" w:type="dxa"/>
            <w:vAlign w:val="center"/>
          </w:tcPr>
          <w:p>
            <w:pPr>
              <w:tabs>
                <w:tab w:val="left" w:pos="6551"/>
              </w:tabs>
              <w:jc w:val="center"/>
              <w:rPr>
                <w:rFonts w:ascii="新宋体" w:hAnsi="新宋体" w:eastAsia="新宋体"/>
                <w:b/>
                <w:bCs/>
                <w:sz w:val="22"/>
              </w:rPr>
            </w:pPr>
            <w:r>
              <w:rPr>
                <w:rFonts w:hint="eastAsia" w:ascii="新宋体" w:hAnsi="新宋体" w:eastAsia="新宋体"/>
                <w:b/>
                <w:bCs/>
                <w:sz w:val="22"/>
              </w:rPr>
              <w:t>品牌</w:t>
            </w:r>
          </w:p>
          <w:p>
            <w:pPr>
              <w:tabs>
                <w:tab w:val="left" w:pos="6551"/>
              </w:tabs>
              <w:jc w:val="center"/>
              <w:rPr>
                <w:rFonts w:ascii="新宋体" w:hAnsi="新宋体" w:eastAsia="新宋体"/>
                <w:b/>
                <w:bCs/>
                <w:sz w:val="22"/>
              </w:rPr>
            </w:pPr>
            <w:r>
              <w:rPr>
                <w:rFonts w:hint="eastAsia" w:ascii="新宋体" w:hAnsi="新宋体" w:eastAsia="新宋体"/>
                <w:b/>
                <w:bCs/>
                <w:sz w:val="22"/>
              </w:rPr>
              <w:t>生产厂商</w:t>
            </w:r>
          </w:p>
        </w:tc>
        <w:tc>
          <w:tcPr>
            <w:tcW w:w="1233" w:type="dxa"/>
            <w:vAlign w:val="center"/>
          </w:tcPr>
          <w:p>
            <w:pPr>
              <w:tabs>
                <w:tab w:val="left" w:pos="6551"/>
              </w:tabs>
              <w:jc w:val="center"/>
              <w:rPr>
                <w:rFonts w:ascii="新宋体" w:hAnsi="新宋体" w:eastAsia="新宋体"/>
                <w:b/>
                <w:bCs/>
                <w:sz w:val="22"/>
              </w:rPr>
            </w:pPr>
            <w:r>
              <w:rPr>
                <w:rFonts w:ascii="Arial" w:hAnsi="Arial" w:cs="Arial"/>
                <w:b/>
                <w:bCs/>
              </w:rPr>
              <w:t>详细配置说明</w:t>
            </w:r>
          </w:p>
        </w:tc>
        <w:tc>
          <w:tcPr>
            <w:tcW w:w="916" w:type="dxa"/>
            <w:vAlign w:val="center"/>
          </w:tcPr>
          <w:p>
            <w:pPr>
              <w:tabs>
                <w:tab w:val="left" w:pos="6551"/>
              </w:tabs>
              <w:jc w:val="center"/>
              <w:rPr>
                <w:rFonts w:ascii="新宋体" w:hAnsi="新宋体" w:eastAsia="新宋体"/>
                <w:b/>
                <w:bCs/>
                <w:sz w:val="22"/>
              </w:rPr>
            </w:pPr>
            <w:r>
              <w:rPr>
                <w:rFonts w:hint="eastAsia" w:ascii="新宋体" w:hAnsi="新宋体" w:eastAsia="新宋体"/>
                <w:b/>
                <w:bCs/>
                <w:sz w:val="22"/>
              </w:rPr>
              <w:t>单位</w:t>
            </w:r>
          </w:p>
        </w:tc>
        <w:tc>
          <w:tcPr>
            <w:tcW w:w="1035" w:type="dxa"/>
            <w:vAlign w:val="center"/>
          </w:tcPr>
          <w:p>
            <w:pPr>
              <w:jc w:val="center"/>
              <w:rPr>
                <w:rFonts w:ascii="Arial" w:hAnsi="Arial" w:cs="Arial"/>
                <w:b/>
                <w:szCs w:val="21"/>
              </w:rPr>
            </w:pPr>
            <w:r>
              <w:rPr>
                <w:rFonts w:hint="eastAsia" w:ascii="新宋体" w:hAnsi="新宋体" w:eastAsia="新宋体"/>
                <w:b/>
                <w:bCs/>
                <w:sz w:val="22"/>
              </w:rPr>
              <w:t>数量</w:t>
            </w:r>
          </w:p>
        </w:tc>
        <w:tc>
          <w:tcPr>
            <w:tcW w:w="1098" w:type="dxa"/>
            <w:vAlign w:val="center"/>
          </w:tcPr>
          <w:p>
            <w:pPr>
              <w:tabs>
                <w:tab w:val="left" w:pos="6551"/>
              </w:tabs>
              <w:jc w:val="center"/>
              <w:rPr>
                <w:rFonts w:ascii="新宋体" w:hAnsi="新宋体" w:eastAsia="新宋体"/>
                <w:b/>
                <w:bCs/>
                <w:sz w:val="22"/>
              </w:rPr>
            </w:pPr>
            <w:r>
              <w:rPr>
                <w:rFonts w:hint="eastAsia" w:ascii="新宋体" w:hAnsi="新宋体" w:eastAsia="新宋体"/>
                <w:b/>
                <w:bCs/>
                <w:sz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jc w:val="center"/>
              <w:rPr>
                <w:rFonts w:ascii="新宋体" w:hAnsi="新宋体" w:eastAsia="新宋体"/>
                <w:bCs/>
                <w:sz w:val="22"/>
              </w:rPr>
            </w:pPr>
          </w:p>
        </w:tc>
        <w:tc>
          <w:tcPr>
            <w:tcW w:w="1098" w:type="dxa"/>
            <w:vAlign w:val="center"/>
          </w:tcPr>
          <w:p>
            <w:pPr>
              <w:tabs>
                <w:tab w:val="left" w:pos="6551"/>
              </w:tabs>
              <w:jc w:val="center"/>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vAlign w:val="center"/>
          </w:tcPr>
          <w:p>
            <w:pPr>
              <w:tabs>
                <w:tab w:val="left" w:pos="6551"/>
              </w:tabs>
              <w:jc w:val="center"/>
              <w:rPr>
                <w:rFonts w:ascii="新宋体" w:hAnsi="新宋体" w:eastAsia="新宋体"/>
                <w:bCs/>
                <w:sz w:val="22"/>
              </w:rPr>
            </w:pPr>
          </w:p>
        </w:tc>
        <w:tc>
          <w:tcPr>
            <w:tcW w:w="1465" w:type="dxa"/>
            <w:vAlign w:val="center"/>
          </w:tcPr>
          <w:p>
            <w:pPr>
              <w:tabs>
                <w:tab w:val="left" w:pos="6551"/>
              </w:tabs>
              <w:jc w:val="center"/>
              <w:rPr>
                <w:rFonts w:ascii="新宋体" w:hAnsi="新宋体" w:eastAsia="新宋体"/>
                <w:bCs/>
                <w:sz w:val="22"/>
              </w:rPr>
            </w:pPr>
          </w:p>
        </w:tc>
        <w:tc>
          <w:tcPr>
            <w:tcW w:w="1524" w:type="dxa"/>
            <w:vAlign w:val="center"/>
          </w:tcPr>
          <w:p>
            <w:pPr>
              <w:tabs>
                <w:tab w:val="left" w:pos="6551"/>
              </w:tabs>
              <w:jc w:val="center"/>
              <w:rPr>
                <w:rFonts w:ascii="新宋体" w:hAnsi="新宋体" w:eastAsia="新宋体"/>
                <w:bCs/>
                <w:sz w:val="22"/>
              </w:rPr>
            </w:pPr>
          </w:p>
        </w:tc>
        <w:tc>
          <w:tcPr>
            <w:tcW w:w="1201" w:type="dxa"/>
            <w:vAlign w:val="center"/>
          </w:tcPr>
          <w:p>
            <w:pPr>
              <w:tabs>
                <w:tab w:val="left" w:pos="6551"/>
              </w:tabs>
              <w:jc w:val="center"/>
              <w:rPr>
                <w:rFonts w:ascii="新宋体" w:hAnsi="新宋体" w:eastAsia="新宋体"/>
                <w:bCs/>
                <w:sz w:val="22"/>
              </w:rPr>
            </w:pPr>
          </w:p>
        </w:tc>
        <w:tc>
          <w:tcPr>
            <w:tcW w:w="1233" w:type="dxa"/>
            <w:vAlign w:val="center"/>
          </w:tcPr>
          <w:p>
            <w:pPr>
              <w:tabs>
                <w:tab w:val="left" w:pos="6551"/>
              </w:tabs>
              <w:jc w:val="center"/>
              <w:rPr>
                <w:rFonts w:ascii="新宋体" w:hAnsi="新宋体" w:eastAsia="新宋体"/>
                <w:bCs/>
                <w:sz w:val="22"/>
              </w:rPr>
            </w:pPr>
          </w:p>
        </w:tc>
        <w:tc>
          <w:tcPr>
            <w:tcW w:w="916" w:type="dxa"/>
            <w:vAlign w:val="center"/>
          </w:tcPr>
          <w:p>
            <w:pPr>
              <w:tabs>
                <w:tab w:val="left" w:pos="6551"/>
              </w:tabs>
              <w:jc w:val="center"/>
              <w:rPr>
                <w:rFonts w:ascii="新宋体" w:hAnsi="新宋体" w:eastAsia="新宋体"/>
                <w:bCs/>
                <w:sz w:val="22"/>
              </w:rPr>
            </w:pPr>
          </w:p>
        </w:tc>
        <w:tc>
          <w:tcPr>
            <w:tcW w:w="1035" w:type="dxa"/>
            <w:vAlign w:val="center"/>
          </w:tcPr>
          <w:p>
            <w:pPr>
              <w:tabs>
                <w:tab w:val="left" w:pos="6551"/>
              </w:tabs>
              <w:ind w:firstLine="433" w:firstLineChars="196"/>
              <w:jc w:val="center"/>
              <w:rPr>
                <w:rFonts w:ascii="新宋体" w:hAnsi="新宋体" w:eastAsia="新宋体"/>
                <w:b/>
                <w:bCs/>
                <w:sz w:val="22"/>
              </w:rPr>
            </w:pPr>
          </w:p>
        </w:tc>
        <w:tc>
          <w:tcPr>
            <w:tcW w:w="1098" w:type="dxa"/>
            <w:vAlign w:val="center"/>
          </w:tcPr>
          <w:p>
            <w:pPr>
              <w:tabs>
                <w:tab w:val="left" w:pos="6551"/>
              </w:tabs>
              <w:jc w:val="center"/>
              <w:rPr>
                <w:rFonts w:ascii="新宋体" w:hAnsi="新宋体" w:eastAsia="新宋体"/>
                <w:bCs/>
                <w:sz w:val="22"/>
              </w:rPr>
            </w:pPr>
          </w:p>
        </w:tc>
      </w:tr>
    </w:tbl>
    <w:p>
      <w:pPr>
        <w:pStyle w:val="4"/>
        <w:spacing w:line="360" w:lineRule="auto"/>
        <w:ind w:firstLine="0"/>
        <w:outlineLvl w:val="1"/>
        <w:rPr>
          <w:b/>
          <w:bCs/>
        </w:rPr>
      </w:pPr>
      <w:bookmarkStart w:id="508" w:name="_Toc30999"/>
      <w:bookmarkStart w:id="509" w:name="_Toc23601"/>
      <w:bookmarkStart w:id="510" w:name="_Toc29209"/>
      <w:r>
        <w:rPr>
          <w:rFonts w:ascii="宋体" w:hAnsi="宋体" w:cs="Arial"/>
          <w:b/>
          <w:szCs w:val="21"/>
        </w:rPr>
        <w:t>注：</w:t>
      </w:r>
      <w:r>
        <w:rPr>
          <w:rFonts w:hint="eastAsia" w:ascii="_x000B__x000C_" w:hAnsi="_x000B__x000C_"/>
          <w:szCs w:val="21"/>
        </w:rPr>
        <w:t>▲</w:t>
      </w:r>
      <w:r>
        <w:rPr>
          <w:rFonts w:hint="eastAsia" w:ascii="新宋体" w:hAnsi="新宋体" w:eastAsia="新宋体"/>
          <w:b/>
          <w:sz w:val="22"/>
        </w:rPr>
        <w:t>不提供产品清单将视为没有实质性响应磋商文件。</w:t>
      </w:r>
      <w:bookmarkEnd w:id="508"/>
      <w:bookmarkEnd w:id="509"/>
      <w:bookmarkEnd w:id="510"/>
    </w:p>
    <w:p>
      <w:pPr>
        <w:spacing w:line="360" w:lineRule="auto"/>
      </w:pPr>
    </w:p>
    <w:p>
      <w:pPr>
        <w:pStyle w:val="3"/>
      </w:pP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pPr>
        <w:ind w:firstLine="4620" w:firstLineChars="2200"/>
      </w:pPr>
      <w:r>
        <w:rPr>
          <w:rFonts w:hint="eastAsia"/>
        </w:rPr>
        <w:t>日      期：    年   月     日</w:t>
      </w:r>
    </w:p>
    <w:p/>
    <w:p>
      <w:pPr>
        <w:pStyle w:val="4"/>
      </w:pPr>
    </w:p>
    <w:p>
      <w:pPr>
        <w:pStyle w:val="5"/>
        <w:jc w:val="center"/>
        <w:rPr>
          <w:rFonts w:ascii="Arial" w:hAnsi="Arial" w:cs="Arial"/>
          <w:b/>
          <w:bCs w:val="0"/>
          <w:sz w:val="28"/>
        </w:rPr>
      </w:pPr>
      <w:bookmarkStart w:id="511" w:name="_Toc27756"/>
      <w:bookmarkStart w:id="512" w:name="_Toc26356"/>
      <w:bookmarkStart w:id="513" w:name="_Toc28867"/>
      <w:bookmarkStart w:id="514" w:name="_Toc6987"/>
      <w:bookmarkStart w:id="515" w:name="_Toc22717"/>
      <w:bookmarkStart w:id="516" w:name="_Toc28518"/>
      <w:r>
        <w:rPr>
          <w:rFonts w:ascii="Arial" w:hAnsi="Arial" w:cs="Arial"/>
          <w:b/>
          <w:bCs w:val="0"/>
          <w:sz w:val="28"/>
        </w:rPr>
        <w:t>附件</w:t>
      </w:r>
      <w:r>
        <w:rPr>
          <w:rFonts w:hint="eastAsia" w:ascii="Arial" w:hAnsi="Arial" w:cs="Arial"/>
          <w:b/>
          <w:bCs w:val="0"/>
          <w:sz w:val="28"/>
          <w:lang w:val="en-US" w:eastAsia="zh-CN"/>
        </w:rPr>
        <w:t xml:space="preserve">十一 </w:t>
      </w:r>
      <w:r>
        <w:rPr>
          <w:rFonts w:hint="eastAsia" w:ascii="Arial" w:hAnsi="Arial" w:cs="Arial"/>
          <w:b/>
          <w:bCs w:val="0"/>
          <w:sz w:val="28"/>
        </w:rPr>
        <w:t xml:space="preserve"> </w:t>
      </w:r>
      <w:r>
        <w:rPr>
          <w:rFonts w:ascii="Arial" w:hAnsi="Arial" w:cs="Arial"/>
          <w:b/>
          <w:bCs w:val="0"/>
          <w:sz w:val="28"/>
        </w:rPr>
        <w:t xml:space="preserve"> </w:t>
      </w:r>
      <w:r>
        <w:rPr>
          <w:rFonts w:hint="eastAsia" w:ascii="Arial" w:hAnsi="Arial" w:cs="Arial"/>
          <w:b/>
          <w:bCs w:val="0"/>
          <w:sz w:val="28"/>
        </w:rPr>
        <w:t>磋商供应商自</w:t>
      </w:r>
      <w:r>
        <w:rPr>
          <w:rFonts w:hint="eastAsia" w:ascii="Arial" w:hAnsi="Arial" w:cs="Arial"/>
          <w:b/>
          <w:bCs w:val="0"/>
          <w:kern w:val="28"/>
          <w:sz w:val="28"/>
          <w:szCs w:val="28"/>
        </w:rPr>
        <w:t>2020年1</w:t>
      </w:r>
      <w:r>
        <w:rPr>
          <w:rFonts w:ascii="Arial" w:hAnsi="Arial" w:cs="Arial"/>
          <w:b/>
          <w:bCs w:val="0"/>
          <w:kern w:val="28"/>
          <w:sz w:val="28"/>
          <w:szCs w:val="28"/>
        </w:rPr>
        <w:t>月</w:t>
      </w:r>
      <w:r>
        <w:rPr>
          <w:rFonts w:hint="eastAsia" w:ascii="Arial" w:hAnsi="Arial" w:cs="Arial"/>
          <w:b/>
          <w:bCs w:val="0"/>
          <w:kern w:val="28"/>
          <w:sz w:val="28"/>
          <w:szCs w:val="28"/>
        </w:rPr>
        <w:t>1日</w:t>
      </w:r>
      <w:r>
        <w:rPr>
          <w:rFonts w:ascii="Arial" w:hAnsi="Arial" w:cs="Arial"/>
          <w:b/>
          <w:bCs w:val="0"/>
          <w:sz w:val="28"/>
        </w:rPr>
        <w:t>以来同类业绩一览表</w:t>
      </w:r>
      <w:bookmarkEnd w:id="511"/>
      <w:bookmarkEnd w:id="512"/>
      <w:bookmarkEnd w:id="513"/>
      <w:bookmarkEnd w:id="514"/>
      <w:bookmarkEnd w:id="515"/>
      <w:bookmarkEnd w:id="5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48"/>
        <w:gridCol w:w="1764"/>
        <w:gridCol w:w="1203"/>
        <w:gridCol w:w="1093"/>
        <w:gridCol w:w="109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r>
              <w:rPr>
                <w:rFonts w:ascii="Arial" w:hAnsi="Arial" w:cs="Arial"/>
                <w:b/>
                <w:bCs/>
                <w:sz w:val="22"/>
              </w:rPr>
              <w:t>序号</w:t>
            </w:r>
          </w:p>
        </w:tc>
        <w:tc>
          <w:tcPr>
            <w:tcW w:w="1948" w:type="dxa"/>
            <w:vAlign w:val="center"/>
          </w:tcPr>
          <w:p>
            <w:pPr>
              <w:spacing w:line="380" w:lineRule="exact"/>
              <w:jc w:val="center"/>
              <w:rPr>
                <w:rFonts w:ascii="Arial" w:hAnsi="Arial" w:cs="Arial"/>
                <w:b/>
                <w:bCs/>
                <w:sz w:val="22"/>
              </w:rPr>
            </w:pPr>
            <w:r>
              <w:rPr>
                <w:rFonts w:ascii="Arial" w:hAnsi="Arial" w:cs="Arial"/>
                <w:b/>
                <w:bCs/>
                <w:sz w:val="22"/>
              </w:rPr>
              <w:t>项目名称</w:t>
            </w:r>
          </w:p>
        </w:tc>
        <w:tc>
          <w:tcPr>
            <w:tcW w:w="1764" w:type="dxa"/>
            <w:vAlign w:val="center"/>
          </w:tcPr>
          <w:p>
            <w:pPr>
              <w:spacing w:line="380" w:lineRule="exact"/>
              <w:jc w:val="center"/>
              <w:rPr>
                <w:rFonts w:ascii="Arial" w:hAnsi="Arial" w:cs="Arial"/>
                <w:b/>
                <w:bCs/>
                <w:sz w:val="22"/>
              </w:rPr>
            </w:pPr>
            <w:r>
              <w:rPr>
                <w:rFonts w:ascii="Arial" w:hAnsi="Arial" w:cs="Arial"/>
                <w:b/>
                <w:bCs/>
                <w:sz w:val="22"/>
              </w:rPr>
              <w:t>用户单位</w:t>
            </w:r>
          </w:p>
        </w:tc>
        <w:tc>
          <w:tcPr>
            <w:tcW w:w="1203" w:type="dxa"/>
            <w:vAlign w:val="center"/>
          </w:tcPr>
          <w:p>
            <w:pPr>
              <w:spacing w:line="380" w:lineRule="exact"/>
              <w:jc w:val="center"/>
              <w:rPr>
                <w:rFonts w:ascii="Arial" w:hAnsi="Arial" w:cs="Arial"/>
                <w:b/>
                <w:bCs/>
                <w:sz w:val="22"/>
              </w:rPr>
            </w:pPr>
            <w:r>
              <w:rPr>
                <w:rFonts w:ascii="Arial" w:hAnsi="Arial" w:cs="Arial"/>
                <w:b/>
                <w:bCs/>
                <w:sz w:val="22"/>
              </w:rPr>
              <w:t>合同金额</w:t>
            </w:r>
          </w:p>
        </w:tc>
        <w:tc>
          <w:tcPr>
            <w:tcW w:w="1093" w:type="dxa"/>
            <w:vAlign w:val="center"/>
          </w:tcPr>
          <w:p>
            <w:pPr>
              <w:spacing w:line="380" w:lineRule="exact"/>
              <w:jc w:val="center"/>
              <w:rPr>
                <w:rFonts w:ascii="Arial" w:hAnsi="Arial" w:cs="Arial"/>
                <w:b/>
                <w:bCs/>
                <w:sz w:val="22"/>
              </w:rPr>
            </w:pPr>
            <w:r>
              <w:rPr>
                <w:rFonts w:ascii="Arial" w:hAnsi="Arial" w:cs="Arial"/>
                <w:b/>
                <w:bCs/>
                <w:sz w:val="22"/>
              </w:rPr>
              <w:t>数量</w:t>
            </w:r>
          </w:p>
        </w:tc>
        <w:tc>
          <w:tcPr>
            <w:tcW w:w="1093" w:type="dxa"/>
            <w:vAlign w:val="center"/>
          </w:tcPr>
          <w:p>
            <w:pPr>
              <w:spacing w:line="380" w:lineRule="exact"/>
              <w:jc w:val="center"/>
              <w:rPr>
                <w:rFonts w:ascii="Arial" w:hAnsi="Arial" w:cs="Arial"/>
                <w:b/>
                <w:bCs/>
                <w:sz w:val="22"/>
              </w:rPr>
            </w:pPr>
            <w:r>
              <w:rPr>
                <w:rFonts w:ascii="Arial" w:hAnsi="Arial" w:cs="Arial"/>
                <w:b/>
                <w:bCs/>
                <w:sz w:val="22"/>
              </w:rPr>
              <w:t>合同签订时间</w:t>
            </w:r>
          </w:p>
        </w:tc>
        <w:tc>
          <w:tcPr>
            <w:tcW w:w="1440" w:type="dxa"/>
            <w:vAlign w:val="center"/>
          </w:tcPr>
          <w:p>
            <w:pPr>
              <w:spacing w:line="380" w:lineRule="exact"/>
              <w:jc w:val="center"/>
              <w:rPr>
                <w:rFonts w:ascii="Arial" w:hAnsi="Arial" w:cs="Arial"/>
                <w:b/>
                <w:bCs/>
                <w:sz w:val="22"/>
              </w:rPr>
            </w:pPr>
            <w:r>
              <w:rPr>
                <w:rFonts w:ascii="Arial" w:hAnsi="Arial" w:cs="Arial"/>
                <w:b/>
                <w:bCs/>
                <w:sz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pPr>
              <w:spacing w:line="380" w:lineRule="exact"/>
              <w:jc w:val="center"/>
              <w:rPr>
                <w:rFonts w:ascii="Arial" w:hAnsi="Arial" w:cs="Arial"/>
                <w:b/>
                <w:bCs/>
                <w:sz w:val="22"/>
              </w:rPr>
            </w:pPr>
          </w:p>
        </w:tc>
        <w:tc>
          <w:tcPr>
            <w:tcW w:w="1948" w:type="dxa"/>
            <w:vAlign w:val="center"/>
          </w:tcPr>
          <w:p>
            <w:pPr>
              <w:spacing w:line="380" w:lineRule="exact"/>
              <w:jc w:val="center"/>
              <w:rPr>
                <w:rFonts w:ascii="Arial" w:hAnsi="Arial" w:cs="Arial"/>
                <w:b/>
                <w:bCs/>
                <w:sz w:val="22"/>
              </w:rPr>
            </w:pPr>
          </w:p>
        </w:tc>
        <w:tc>
          <w:tcPr>
            <w:tcW w:w="1764" w:type="dxa"/>
            <w:vAlign w:val="center"/>
          </w:tcPr>
          <w:p>
            <w:pPr>
              <w:spacing w:line="380" w:lineRule="exact"/>
              <w:jc w:val="center"/>
              <w:rPr>
                <w:rFonts w:ascii="Arial" w:hAnsi="Arial" w:cs="Arial"/>
                <w:b/>
                <w:bCs/>
                <w:sz w:val="22"/>
              </w:rPr>
            </w:pPr>
          </w:p>
        </w:tc>
        <w:tc>
          <w:tcPr>
            <w:tcW w:w="120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093" w:type="dxa"/>
            <w:vAlign w:val="center"/>
          </w:tcPr>
          <w:p>
            <w:pPr>
              <w:spacing w:line="380" w:lineRule="exact"/>
              <w:jc w:val="center"/>
              <w:rPr>
                <w:rFonts w:ascii="Arial" w:hAnsi="Arial" w:cs="Arial"/>
                <w:b/>
                <w:bCs/>
                <w:sz w:val="22"/>
              </w:rPr>
            </w:pPr>
          </w:p>
        </w:tc>
        <w:tc>
          <w:tcPr>
            <w:tcW w:w="1440" w:type="dxa"/>
            <w:vAlign w:val="center"/>
          </w:tcPr>
          <w:p>
            <w:pPr>
              <w:spacing w:line="380" w:lineRule="exact"/>
              <w:jc w:val="center"/>
              <w:rPr>
                <w:rFonts w:ascii="Arial" w:hAnsi="Arial" w:cs="Arial"/>
                <w:b/>
                <w:bCs/>
                <w:sz w:val="22"/>
              </w:rPr>
            </w:pPr>
          </w:p>
        </w:tc>
      </w:tr>
    </w:tbl>
    <w:p>
      <w:pPr>
        <w:autoSpaceDE w:val="0"/>
        <w:autoSpaceDN w:val="0"/>
        <w:adjustRightInd w:val="0"/>
        <w:spacing w:line="360" w:lineRule="auto"/>
        <w:rPr>
          <w:rFonts w:ascii="Arial" w:hAnsi="Arial" w:cs="Arial"/>
          <w:b/>
          <w:bCs/>
          <w:szCs w:val="21"/>
          <w:lang w:val="zh-CN"/>
        </w:rPr>
      </w:pPr>
      <w:r>
        <w:rPr>
          <w:rFonts w:ascii="Arial" w:hAnsi="Arial" w:cs="Arial"/>
          <w:b/>
          <w:szCs w:val="21"/>
        </w:rPr>
        <w:t>注：</w:t>
      </w:r>
      <w:r>
        <w:rPr>
          <w:rFonts w:hint="eastAsia" w:ascii="宋体" w:hAnsi="宋体" w:cs="Arial"/>
          <w:b/>
          <w:szCs w:val="21"/>
        </w:rPr>
        <w:t>①业绩有效性认定：提供中标通知书和合同扫描件并加盖电子签章，或者提供合同和发票扫描件并加盖电子签章；②业绩认定时间以合同的签订时间为准。</w:t>
      </w:r>
    </w:p>
    <w:p>
      <w:pPr>
        <w:rPr>
          <w:rFonts w:ascii="Arial" w:hAnsi="Arial" w:cs="Arial"/>
        </w:rPr>
      </w:pPr>
    </w:p>
    <w:p>
      <w:pPr>
        <w:spacing w:before="312" w:beforeLines="100" w:after="312" w:afterLines="100" w:line="400" w:lineRule="atLeast"/>
        <w:ind w:firstLine="4200" w:firstLineChars="2000"/>
        <w:rPr>
          <w:rFonts w:ascii="Arial" w:hAnsi="Arial" w:cs="Arial"/>
          <w:szCs w:val="21"/>
        </w:rPr>
      </w:pPr>
      <w:r>
        <w:rPr>
          <w:rFonts w:ascii="Arial" w:hAnsi="Arial" w:cs="Arial"/>
          <w:szCs w:val="21"/>
        </w:rPr>
        <w:t>磋商供应商全称（</w:t>
      </w:r>
      <w:r>
        <w:rPr>
          <w:rFonts w:hint="eastAsia" w:ascii="宋体" w:hAnsi="宋体" w:eastAsia="宋体" w:cs="宋体"/>
        </w:rPr>
        <w:t>盖电子签章</w:t>
      </w:r>
      <w:r>
        <w:rPr>
          <w:rFonts w:ascii="Arial" w:hAnsi="Arial" w:cs="Arial"/>
          <w:szCs w:val="21"/>
        </w:rPr>
        <w:t>）：</w:t>
      </w:r>
    </w:p>
    <w:p>
      <w:pPr>
        <w:spacing w:before="312" w:beforeLines="100" w:after="312" w:afterLines="100" w:line="400" w:lineRule="atLeast"/>
        <w:rPr>
          <w:rFonts w:ascii="Arial" w:hAnsi="Arial" w:cs="Arial"/>
          <w:szCs w:val="21"/>
        </w:rPr>
      </w:pPr>
      <w:r>
        <w:rPr>
          <w:rFonts w:ascii="Arial" w:hAnsi="Arial" w:cs="Arial"/>
          <w:szCs w:val="21"/>
        </w:rPr>
        <w:t xml:space="preserve">                                        法定代表人或授权代表（签字或盖章）：</w:t>
      </w:r>
    </w:p>
    <w:p>
      <w:pPr>
        <w:jc w:val="center"/>
        <w:rPr>
          <w:rFonts w:ascii="Arial" w:hAnsi="Arial" w:cs="Arial"/>
          <w:szCs w:val="21"/>
        </w:rPr>
      </w:pPr>
      <w:r>
        <w:rPr>
          <w:rFonts w:hint="eastAsia" w:ascii="Arial" w:hAnsi="Arial" w:cs="Arial"/>
          <w:szCs w:val="21"/>
        </w:rPr>
        <w:t xml:space="preserve">                  </w:t>
      </w:r>
      <w:r>
        <w:rPr>
          <w:rFonts w:ascii="Arial" w:hAnsi="Arial" w:cs="Arial"/>
          <w:szCs w:val="21"/>
        </w:rPr>
        <w:t>日 期：    年   月    日</w:t>
      </w:r>
    </w:p>
    <w:p>
      <w:pPr>
        <w:rPr>
          <w:rFonts w:ascii="Arial" w:hAnsi="Arial" w:cs="Arial"/>
          <w:szCs w:val="21"/>
        </w:rPr>
      </w:pPr>
    </w:p>
    <w:p>
      <w:pPr>
        <w:spacing w:before="312" w:beforeLines="100" w:after="312" w:afterLines="100" w:line="400" w:lineRule="atLeast"/>
        <w:jc w:val="center"/>
        <w:outlineLvl w:val="1"/>
        <w:rPr>
          <w:sz w:val="28"/>
          <w:szCs w:val="28"/>
        </w:rPr>
      </w:pPr>
      <w:bookmarkStart w:id="517" w:name="_Toc32019"/>
      <w:r>
        <w:rPr>
          <w:rFonts w:hint="eastAsia" w:ascii="宋体" w:hAnsi="宋体" w:cs="宋体"/>
          <w:b/>
          <w:bCs/>
          <w:sz w:val="28"/>
          <w:szCs w:val="28"/>
        </w:rPr>
        <w:t>附件十二  报价一览表</w:t>
      </w:r>
      <w:bookmarkEnd w:id="517"/>
    </w:p>
    <w:p>
      <w:pPr>
        <w:pStyle w:val="4"/>
        <w:spacing w:line="400" w:lineRule="exact"/>
        <w:ind w:firstLine="0"/>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项目名称：                                                 项目编号：</w:t>
      </w:r>
    </w:p>
    <w:tbl>
      <w:tblPr>
        <w:tblStyle w:val="2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116"/>
        <w:gridCol w:w="2125"/>
        <w:gridCol w:w="1364"/>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739" w:type="dxa"/>
            <w:vAlign w:val="center"/>
          </w:tcPr>
          <w:p>
            <w:pPr>
              <w:spacing w:line="240" w:lineRule="atLeast"/>
              <w:ind w:right="-21" w:rightChars="-10"/>
              <w:jc w:val="center"/>
              <w:rPr>
                <w:rFonts w:ascii="宋体" w:hAnsi="宋体"/>
                <w:szCs w:val="21"/>
              </w:rPr>
            </w:pPr>
            <w:r>
              <w:rPr>
                <w:rFonts w:hint="eastAsia" w:ascii="宋体" w:hAnsi="宋体"/>
                <w:szCs w:val="21"/>
              </w:rPr>
              <w:t>项目名称</w:t>
            </w:r>
          </w:p>
        </w:tc>
        <w:tc>
          <w:tcPr>
            <w:tcW w:w="2116" w:type="dxa"/>
            <w:vAlign w:val="center"/>
          </w:tcPr>
          <w:p>
            <w:pPr>
              <w:spacing w:line="240" w:lineRule="atLeast"/>
              <w:ind w:right="-21" w:rightChars="-10"/>
              <w:jc w:val="center"/>
              <w:rPr>
                <w:rFonts w:hint="eastAsia" w:ascii="宋体" w:hAnsi="宋体" w:eastAsia="宋体"/>
                <w:szCs w:val="21"/>
                <w:lang w:val="en-US" w:eastAsia="zh-CN"/>
              </w:rPr>
            </w:pPr>
            <w:r>
              <w:rPr>
                <w:rFonts w:hint="eastAsia" w:ascii="宋体" w:hAnsi="宋体" w:eastAsia="宋体"/>
                <w:szCs w:val="21"/>
                <w:lang w:val="en-US" w:eastAsia="zh-CN"/>
              </w:rPr>
              <w:t>投标总价</w:t>
            </w:r>
          </w:p>
          <w:p>
            <w:pPr>
              <w:spacing w:line="240" w:lineRule="atLeast"/>
              <w:ind w:right="-21" w:rightChars="-10"/>
              <w:jc w:val="center"/>
              <w:rPr>
                <w:rFonts w:hint="default" w:ascii="宋体" w:hAnsi="宋体" w:eastAsia="宋体"/>
                <w:szCs w:val="21"/>
                <w:lang w:val="en-US" w:eastAsia="zh-CN"/>
              </w:rPr>
            </w:pPr>
            <w:r>
              <w:rPr>
                <w:rFonts w:hint="eastAsia" w:ascii="宋体" w:hAnsi="宋体" w:eastAsia="宋体"/>
                <w:szCs w:val="21"/>
                <w:lang w:val="en-US" w:eastAsia="zh-CN"/>
              </w:rPr>
              <w:t>（人民币/元）</w:t>
            </w:r>
          </w:p>
        </w:tc>
        <w:tc>
          <w:tcPr>
            <w:tcW w:w="2125" w:type="dxa"/>
            <w:vAlign w:val="center"/>
          </w:tcPr>
          <w:p>
            <w:pPr>
              <w:spacing w:line="240" w:lineRule="atLeast"/>
              <w:ind w:right="-21" w:rightChars="-10"/>
              <w:jc w:val="center"/>
              <w:rPr>
                <w:rFonts w:hint="eastAsia" w:ascii="宋体" w:hAnsi="宋体" w:eastAsia="宋体"/>
                <w:szCs w:val="21"/>
                <w:lang w:val="en-US" w:eastAsia="zh-CN"/>
              </w:rPr>
            </w:pPr>
            <w:r>
              <w:rPr>
                <w:rFonts w:hint="eastAsia" w:ascii="宋体" w:hAnsi="宋体" w:eastAsia="宋体"/>
                <w:szCs w:val="21"/>
                <w:lang w:val="en-US" w:eastAsia="zh-CN"/>
              </w:rPr>
              <w:t>最高限价</w:t>
            </w:r>
          </w:p>
          <w:p>
            <w:pPr>
              <w:spacing w:line="240" w:lineRule="atLeast"/>
              <w:ind w:right="-21" w:rightChars="-10"/>
              <w:jc w:val="center"/>
              <w:rPr>
                <w:rFonts w:hint="default" w:ascii="宋体" w:hAnsi="宋体" w:eastAsia="宋体"/>
                <w:szCs w:val="21"/>
                <w:lang w:val="en-US" w:eastAsia="zh-CN"/>
              </w:rPr>
            </w:pPr>
            <w:r>
              <w:rPr>
                <w:rFonts w:hint="eastAsia" w:ascii="宋体" w:hAnsi="宋体" w:eastAsia="宋体"/>
                <w:szCs w:val="21"/>
                <w:lang w:val="en-US" w:eastAsia="zh-CN"/>
              </w:rPr>
              <w:t>（人民币/元）</w:t>
            </w:r>
          </w:p>
        </w:tc>
        <w:tc>
          <w:tcPr>
            <w:tcW w:w="1364" w:type="dxa"/>
            <w:vAlign w:val="center"/>
          </w:tcPr>
          <w:p>
            <w:pPr>
              <w:spacing w:line="240" w:lineRule="atLeast"/>
              <w:ind w:right="-21" w:rightChars="-10"/>
              <w:jc w:val="center"/>
              <w:rPr>
                <w:rFonts w:ascii="宋体" w:hAnsi="宋体" w:cs="宋体"/>
                <w:szCs w:val="21"/>
              </w:rPr>
            </w:pPr>
            <w:r>
              <w:rPr>
                <w:rFonts w:hint="eastAsia" w:ascii="宋体" w:hAnsi="宋体" w:eastAsia="宋体" w:cs="宋体"/>
                <w:szCs w:val="21"/>
              </w:rPr>
              <w:t>供货时间</w:t>
            </w:r>
          </w:p>
        </w:tc>
        <w:tc>
          <w:tcPr>
            <w:tcW w:w="1875" w:type="dxa"/>
            <w:vAlign w:val="center"/>
          </w:tcPr>
          <w:p>
            <w:pPr>
              <w:spacing w:line="240" w:lineRule="atLeast"/>
              <w:ind w:right="-21" w:rightChars="-10"/>
              <w:jc w:val="center"/>
              <w:rPr>
                <w:rFonts w:ascii="宋体" w:hAnsi="宋体" w:eastAsia="宋体"/>
                <w:bCs/>
                <w:szCs w:val="21"/>
              </w:rPr>
            </w:pPr>
            <w:r>
              <w:rPr>
                <w:rFonts w:hint="eastAsia" w:ascii="宋体" w:hAnsi="宋体"/>
                <w:bCs/>
                <w:szCs w:val="21"/>
              </w:rPr>
              <w:t>免费质保期限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739" w:type="dxa"/>
            <w:vAlign w:val="center"/>
          </w:tcPr>
          <w:p>
            <w:pPr>
              <w:spacing w:line="360" w:lineRule="auto"/>
              <w:ind w:right="-21" w:rightChars="-10"/>
              <w:jc w:val="center"/>
              <w:rPr>
                <w:rFonts w:ascii="宋体" w:hAnsi="宋体"/>
                <w:szCs w:val="21"/>
              </w:rPr>
            </w:pPr>
          </w:p>
        </w:tc>
        <w:tc>
          <w:tcPr>
            <w:tcW w:w="2116" w:type="dxa"/>
            <w:vAlign w:val="center"/>
          </w:tcPr>
          <w:p>
            <w:pPr>
              <w:bidi w:val="0"/>
              <w:rPr>
                <w:rFonts w:hint="eastAsia"/>
                <w:lang w:val="en-US" w:eastAsia="zh-CN"/>
              </w:rPr>
            </w:pPr>
            <w:r>
              <w:rPr>
                <w:rFonts w:hint="eastAsia"/>
                <w:lang w:val="en-US" w:eastAsia="zh-CN"/>
              </w:rPr>
              <w:t>小写：</w:t>
            </w:r>
          </w:p>
          <w:p>
            <w:pPr>
              <w:bidi w:val="0"/>
              <w:rPr>
                <w:rFonts w:hint="default"/>
                <w:lang w:val="en-US" w:eastAsia="zh-CN"/>
              </w:rPr>
            </w:pPr>
            <w:r>
              <w:rPr>
                <w:rFonts w:hint="eastAsia"/>
                <w:lang w:val="en-US" w:eastAsia="zh-CN"/>
              </w:rPr>
              <w:t>大写：</w:t>
            </w:r>
          </w:p>
        </w:tc>
        <w:tc>
          <w:tcPr>
            <w:tcW w:w="2125" w:type="dxa"/>
            <w:vAlign w:val="center"/>
          </w:tcPr>
          <w:p>
            <w:pPr>
              <w:spacing w:line="360" w:lineRule="auto"/>
              <w:ind w:right="-21" w:rightChars="-10"/>
              <w:jc w:val="center"/>
              <w:rPr>
                <w:rFonts w:hint="default" w:ascii="宋体" w:hAnsi="宋体" w:eastAsia="宋体"/>
                <w:szCs w:val="21"/>
                <w:lang w:val="en-US"/>
              </w:rPr>
            </w:pPr>
            <w:r>
              <w:rPr>
                <w:rFonts w:hint="eastAsia"/>
                <w:b w:val="0"/>
                <w:bCs w:val="0"/>
                <w:lang w:val="en-US" w:eastAsia="zh-CN"/>
              </w:rPr>
              <w:t>合计：1030000</w:t>
            </w:r>
          </w:p>
        </w:tc>
        <w:tc>
          <w:tcPr>
            <w:tcW w:w="1364" w:type="dxa"/>
            <w:vAlign w:val="center"/>
          </w:tcPr>
          <w:p>
            <w:pPr>
              <w:spacing w:line="360" w:lineRule="auto"/>
              <w:ind w:right="-21" w:rightChars="-10"/>
              <w:jc w:val="center"/>
              <w:rPr>
                <w:rFonts w:ascii="宋体" w:hAnsi="宋体" w:cs="宋体"/>
                <w:szCs w:val="21"/>
              </w:rPr>
            </w:pPr>
          </w:p>
        </w:tc>
        <w:tc>
          <w:tcPr>
            <w:tcW w:w="1875" w:type="dxa"/>
            <w:vAlign w:val="center"/>
          </w:tcPr>
          <w:p>
            <w:pPr>
              <w:spacing w:line="360" w:lineRule="auto"/>
              <w:ind w:right="-21" w:rightChars="-10"/>
              <w:jc w:val="center"/>
              <w:rPr>
                <w:rFonts w:ascii="宋体" w:hAnsi="宋体"/>
                <w:szCs w:val="21"/>
              </w:rPr>
            </w:pPr>
          </w:p>
        </w:tc>
      </w:tr>
    </w:tbl>
    <w:p>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注：</w:t>
      </w:r>
    </w:p>
    <w:p>
      <w:pPr>
        <w:spacing w:line="360" w:lineRule="auto"/>
        <w:ind w:left="210" w:leftChars="100"/>
        <w:rPr>
          <w:rFonts w:ascii="宋体" w:hAnsi="宋体" w:eastAsia="宋体" w:cs="宋体"/>
          <w:szCs w:val="21"/>
        </w:rPr>
      </w:pPr>
      <w:r>
        <w:rPr>
          <w:rFonts w:hint="eastAsia" w:ascii="宋体" w:hAnsi="宋体" w:eastAsia="宋体" w:cs="宋体"/>
          <w:szCs w:val="21"/>
        </w:rPr>
        <w:t>1.磋商供应商的报价应为承包完成本次采购需完成全部工作所发生的所有费用，并承担一切风险责任。包括本次项目实施所需的采购、供货、轮换、备品备件、包装、落款喷漆</w:t>
      </w:r>
      <w:r>
        <w:rPr>
          <w:rFonts w:hint="eastAsia" w:ascii="宋体" w:hAnsi="宋体" w:eastAsia="宋体" w:cs="宋体"/>
          <w:szCs w:val="21"/>
          <w:lang w:eastAsia="zh-CN"/>
        </w:rPr>
        <w:t>、</w:t>
      </w:r>
      <w:r>
        <w:rPr>
          <w:rFonts w:hint="eastAsia" w:ascii="宋体" w:hAnsi="宋体" w:eastAsia="宋体" w:cs="宋体"/>
          <w:szCs w:val="21"/>
          <w:lang w:val="en-US" w:eastAsia="zh-CN"/>
        </w:rPr>
        <w:t>平台接口费</w:t>
      </w:r>
      <w:r>
        <w:rPr>
          <w:rFonts w:hint="eastAsia" w:ascii="宋体" w:hAnsi="宋体" w:eastAsia="宋体" w:cs="宋体"/>
          <w:szCs w:val="21"/>
        </w:rPr>
        <w:t>、运输、装卸、保险、货到就位以及验收、质保期服务、利润和税金、政策性文件规定费用及合同包含的所有风险、责任等所有费用等一切费用。</w:t>
      </w:r>
    </w:p>
    <w:p>
      <w:pPr>
        <w:spacing w:line="360" w:lineRule="auto"/>
        <w:ind w:firstLine="210" w:firstLineChars="1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投标总价超过最高限价的</w:t>
      </w:r>
      <w:r>
        <w:rPr>
          <w:rFonts w:hint="eastAsia" w:ascii="宋体" w:hAnsi="宋体" w:eastAsia="宋体" w:cs="宋体"/>
          <w:szCs w:val="21"/>
        </w:rPr>
        <w:t>，作无效标处理。</w:t>
      </w:r>
    </w:p>
    <w:p>
      <w:pPr>
        <w:spacing w:line="360" w:lineRule="auto"/>
        <w:ind w:firstLine="210" w:firstLineChars="100"/>
        <w:rPr>
          <w:rFonts w:ascii="宋体" w:hAnsi="宋体" w:eastAsia="宋体" w:cs="宋体"/>
          <w:szCs w:val="21"/>
        </w:rPr>
      </w:pPr>
      <w:r>
        <w:rPr>
          <w:rFonts w:hint="eastAsia" w:ascii="宋体" w:hAnsi="宋体" w:eastAsia="宋体" w:cs="宋体"/>
          <w:szCs w:val="21"/>
        </w:rPr>
        <w:t>3.此表不得自行增减内容。</w:t>
      </w:r>
    </w:p>
    <w:p>
      <w:pPr>
        <w:spacing w:line="360" w:lineRule="auto"/>
        <w:ind w:firstLine="210" w:firstLineChars="100"/>
        <w:rPr>
          <w:rFonts w:ascii="宋体" w:hAnsi="宋体" w:eastAsia="宋体" w:cs="宋体"/>
          <w:szCs w:val="21"/>
        </w:rPr>
      </w:pPr>
      <w:r>
        <w:rPr>
          <w:rFonts w:hint="eastAsia" w:ascii="宋体" w:hAnsi="宋体" w:eastAsia="宋体" w:cs="宋体"/>
          <w:szCs w:val="21"/>
        </w:rPr>
        <w:t>4.▲不提供此表的报价，视为没有实质性响应磋商文件要求。</w:t>
      </w:r>
    </w:p>
    <w:p>
      <w:pPr>
        <w:spacing w:line="360" w:lineRule="auto"/>
        <w:ind w:firstLine="210" w:firstLineChars="100"/>
        <w:rPr>
          <w:rFonts w:ascii="宋体" w:hAnsi="宋体"/>
          <w:szCs w:val="21"/>
        </w:rPr>
      </w:pPr>
      <w:r>
        <w:rPr>
          <w:rFonts w:hint="eastAsia" w:ascii="宋体" w:hAnsi="宋体" w:eastAsia="宋体" w:cs="宋体"/>
          <w:szCs w:val="21"/>
          <w:lang w:val="en-US" w:eastAsia="zh-CN"/>
        </w:rPr>
        <w:t>5</w:t>
      </w:r>
      <w:r>
        <w:rPr>
          <w:rFonts w:hint="eastAsia" w:ascii="宋体" w:hAnsi="宋体" w:eastAsia="宋体" w:cs="宋体"/>
          <w:szCs w:val="21"/>
        </w:rPr>
        <w:t>.该表中</w:t>
      </w:r>
      <w:r>
        <w:rPr>
          <w:rFonts w:hint="eastAsia" w:ascii="宋体" w:hAnsi="宋体" w:eastAsia="宋体" w:cs="宋体"/>
          <w:szCs w:val="21"/>
          <w:lang w:val="en-US" w:eastAsia="zh-CN"/>
        </w:rPr>
        <w:t>投标总价</w:t>
      </w:r>
      <w:r>
        <w:rPr>
          <w:rFonts w:hint="eastAsia" w:ascii="宋体" w:hAnsi="宋体" w:eastAsia="宋体" w:cs="宋体"/>
          <w:szCs w:val="21"/>
        </w:rPr>
        <w:t>应与附件十三“投标分项报价表”中</w:t>
      </w:r>
      <w:r>
        <w:rPr>
          <w:rFonts w:hint="eastAsia" w:ascii="宋体" w:hAnsi="宋体" w:eastAsia="宋体" w:cs="宋体"/>
          <w:i w:val="0"/>
          <w:iCs w:val="0"/>
          <w:color w:val="000000"/>
          <w:kern w:val="0"/>
          <w:sz w:val="22"/>
          <w:szCs w:val="22"/>
          <w:u w:val="none"/>
          <w:lang w:val="en-US" w:eastAsia="zh-CN" w:bidi="ar"/>
        </w:rPr>
        <w:t>投标总价</w:t>
      </w:r>
      <w:r>
        <w:rPr>
          <w:rFonts w:hint="eastAsia" w:ascii="宋体" w:hAnsi="宋体" w:eastAsia="宋体" w:cs="宋体"/>
          <w:szCs w:val="21"/>
        </w:rPr>
        <w:t>相一致。</w:t>
      </w:r>
    </w:p>
    <w:p>
      <w:pPr>
        <w:spacing w:before="312" w:beforeLines="100" w:after="312" w:afterLines="100" w:line="400" w:lineRule="atLeast"/>
        <w:ind w:left="4620" w:leftChars="2200"/>
        <w:rPr>
          <w:rFonts w:ascii="宋体" w:hAnsi="宋体"/>
          <w:szCs w:val="21"/>
        </w:rPr>
      </w:pPr>
    </w:p>
    <w:p>
      <w:pPr>
        <w:spacing w:before="312" w:beforeLines="100" w:after="312" w:afterLines="100" w:line="400" w:lineRule="atLeast"/>
        <w:ind w:left="4620" w:leftChars="2200"/>
        <w:rPr>
          <w:rFonts w:ascii="宋体" w:hAnsi="宋体"/>
          <w:szCs w:val="21"/>
        </w:rPr>
      </w:pPr>
      <w:r>
        <w:rPr>
          <w:rFonts w:hint="eastAsia" w:ascii="宋体" w:hAnsi="宋体"/>
          <w:szCs w:val="21"/>
        </w:rPr>
        <w:t>磋商供应商全称（</w:t>
      </w:r>
      <w:r>
        <w:rPr>
          <w:rFonts w:hint="eastAsia" w:ascii="宋体" w:hAnsi="宋体" w:eastAsia="宋体" w:cs="宋体"/>
        </w:rPr>
        <w:t>盖电子签章</w:t>
      </w:r>
      <w:r>
        <w:rPr>
          <w:rFonts w:hint="eastAsia" w:ascii="宋体" w:hAnsi="宋体"/>
          <w:szCs w:val="21"/>
        </w:rPr>
        <w:t>）：</w:t>
      </w:r>
    </w:p>
    <w:p>
      <w:pPr>
        <w:spacing w:before="312" w:beforeLines="100" w:after="312" w:afterLines="100" w:line="400" w:lineRule="atLeast"/>
        <w:ind w:firstLine="4620" w:firstLineChars="2200"/>
        <w:rPr>
          <w:rFonts w:ascii="宋体" w:hAnsi="宋体"/>
          <w:szCs w:val="21"/>
        </w:rPr>
      </w:pPr>
      <w:r>
        <w:rPr>
          <w:rFonts w:hint="eastAsia" w:ascii="宋体" w:hAnsi="宋体"/>
          <w:szCs w:val="21"/>
        </w:rPr>
        <w:t>法定代表人或授权代表（签字或盖章）：</w:t>
      </w:r>
    </w:p>
    <w:p>
      <w:pPr>
        <w:spacing w:before="312" w:beforeLines="100" w:after="312" w:afterLines="100" w:line="400" w:lineRule="atLeast"/>
        <w:ind w:left="4620" w:leftChars="2200"/>
        <w:rPr>
          <w:rFonts w:ascii="宋体" w:hAnsi="宋体"/>
          <w:szCs w:val="21"/>
        </w:rPr>
      </w:pPr>
      <w:r>
        <w:rPr>
          <w:rFonts w:hint="eastAsia" w:ascii="宋体" w:hAnsi="宋体"/>
          <w:szCs w:val="21"/>
        </w:rPr>
        <w:t>日期：    年   月    日</w:t>
      </w:r>
    </w:p>
    <w:p/>
    <w:p>
      <w:pPr>
        <w:pStyle w:val="8"/>
      </w:pPr>
    </w:p>
    <w:p/>
    <w:p>
      <w:pPr>
        <w:pStyle w:val="8"/>
      </w:pPr>
    </w:p>
    <w:p>
      <w:pPr>
        <w:pStyle w:val="3"/>
      </w:pPr>
    </w:p>
    <w:p>
      <w:pPr>
        <w:pStyle w:val="4"/>
      </w:pPr>
    </w:p>
    <w:p>
      <w:pPr>
        <w:pStyle w:val="5"/>
        <w:spacing w:before="140" w:after="140"/>
        <w:jc w:val="center"/>
        <w:rPr>
          <w:rFonts w:ascii="Arial" w:hAnsi="Arial" w:cs="Arial"/>
          <w:sz w:val="28"/>
        </w:rPr>
      </w:pPr>
      <w:bookmarkStart w:id="518" w:name="_Toc29568"/>
      <w:bookmarkStart w:id="519" w:name="_Toc4957"/>
      <w:bookmarkStart w:id="520" w:name="_Toc27512"/>
      <w:bookmarkStart w:id="521" w:name="_Toc26168"/>
      <w:bookmarkStart w:id="522" w:name="_Toc20137"/>
      <w:bookmarkStart w:id="523" w:name="_Toc30148"/>
      <w:bookmarkStart w:id="524" w:name="_Toc27570"/>
      <w:r>
        <w:rPr>
          <w:rFonts w:ascii="Arial" w:hAnsi="Arial" w:cs="Arial"/>
          <w:b/>
          <w:bCs w:val="0"/>
          <w:sz w:val="28"/>
        </w:rPr>
        <w:t>附件</w:t>
      </w:r>
      <w:r>
        <w:rPr>
          <w:rFonts w:hint="eastAsia" w:ascii="Arial" w:hAnsi="Arial" w:cs="Arial"/>
          <w:b/>
          <w:bCs w:val="0"/>
          <w:sz w:val="28"/>
        </w:rPr>
        <w:t xml:space="preserve">十三  </w:t>
      </w:r>
      <w:r>
        <w:rPr>
          <w:rFonts w:ascii="Arial" w:hAnsi="Arial" w:cs="Arial"/>
          <w:b/>
          <w:bCs w:val="0"/>
          <w:sz w:val="28"/>
        </w:rPr>
        <w:t>投标分项报价表</w:t>
      </w:r>
      <w:bookmarkEnd w:id="518"/>
      <w:bookmarkEnd w:id="519"/>
      <w:bookmarkEnd w:id="520"/>
      <w:bookmarkEnd w:id="521"/>
      <w:bookmarkEnd w:id="522"/>
      <w:bookmarkEnd w:id="523"/>
      <w:bookmarkEnd w:id="524"/>
    </w:p>
    <w:p>
      <w:pPr>
        <w:spacing w:line="380" w:lineRule="exact"/>
        <w:ind w:firstLine="632" w:firstLineChars="300"/>
        <w:rPr>
          <w:rFonts w:asciiTheme="minorHAnsi" w:hAnsiTheme="minorHAnsi" w:eastAsiaTheme="minorEastAsia" w:cstheme="minorBidi"/>
          <w:kern w:val="2"/>
          <w:sz w:val="21"/>
          <w:szCs w:val="24"/>
          <w:lang w:val="en-US" w:eastAsia="zh-CN" w:bidi="ar-SA"/>
        </w:rPr>
      </w:pPr>
      <w:r>
        <w:rPr>
          <w:rFonts w:ascii="Arial" w:hAnsi="Arial" w:cs="Arial"/>
          <w:b/>
          <w:bCs/>
          <w:szCs w:val="21"/>
        </w:rPr>
        <w:t xml:space="preserve">项目名称： </w:t>
      </w:r>
      <w:r>
        <w:rPr>
          <w:rFonts w:ascii="Arial" w:hAnsi="Arial" w:cs="Arial"/>
          <w:szCs w:val="21"/>
        </w:rPr>
        <w:t xml:space="preserve">                                       </w:t>
      </w:r>
      <w:r>
        <w:rPr>
          <w:rFonts w:ascii="Arial" w:hAnsi="Arial" w:cs="Arial"/>
          <w:b/>
          <w:bCs/>
          <w:szCs w:val="21"/>
        </w:rPr>
        <w:t>项目编号：</w:t>
      </w:r>
      <w:r>
        <w:rPr>
          <w:rFonts w:ascii="Arial" w:hAnsi="Arial" w:cs="Arial"/>
          <w:szCs w:val="21"/>
        </w:rPr>
        <w:t xml:space="preserve"> </w:t>
      </w:r>
    </w:p>
    <w:tbl>
      <w:tblPr>
        <w:tblStyle w:val="22"/>
        <w:tblpPr w:leftFromText="180" w:rightFromText="180" w:vertAnchor="text" w:horzAnchor="page" w:tblpXSpec="center" w:tblpY="462"/>
        <w:tblOverlap w:val="never"/>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148"/>
        <w:gridCol w:w="897"/>
        <w:gridCol w:w="1218"/>
        <w:gridCol w:w="145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7" w:type="dxa"/>
            <w:vAlign w:val="center"/>
          </w:tcPr>
          <w:p>
            <w:pPr>
              <w:bidi w:val="0"/>
              <w:jc w:val="center"/>
              <w:rPr>
                <w:rFonts w:ascii="宋体" w:hAnsi="宋体" w:cs="宋体"/>
                <w:b/>
                <w:bCs/>
                <w:szCs w:val="21"/>
              </w:rPr>
            </w:pPr>
            <w:r>
              <w:rPr>
                <w:rFonts w:hint="eastAsia"/>
                <w:b/>
                <w:bCs/>
              </w:rPr>
              <w:t>序号</w:t>
            </w:r>
          </w:p>
        </w:tc>
        <w:tc>
          <w:tcPr>
            <w:tcW w:w="3148" w:type="dxa"/>
            <w:vAlign w:val="center"/>
          </w:tcPr>
          <w:p>
            <w:pPr>
              <w:bidi w:val="0"/>
              <w:jc w:val="center"/>
              <w:rPr>
                <w:rFonts w:ascii="宋体" w:hAnsi="宋体" w:cs="宋体"/>
                <w:b/>
                <w:bCs/>
                <w:szCs w:val="21"/>
              </w:rPr>
            </w:pPr>
            <w:r>
              <w:rPr>
                <w:rFonts w:hint="eastAsia"/>
                <w:b/>
                <w:bCs/>
              </w:rPr>
              <w:t>产品名称</w:t>
            </w:r>
          </w:p>
        </w:tc>
        <w:tc>
          <w:tcPr>
            <w:tcW w:w="897" w:type="dxa"/>
            <w:vAlign w:val="center"/>
          </w:tcPr>
          <w:p>
            <w:pPr>
              <w:bidi w:val="0"/>
              <w:jc w:val="center"/>
              <w:rPr>
                <w:rFonts w:ascii="宋体" w:hAnsi="宋体" w:cs="宋体"/>
                <w:b/>
                <w:bCs/>
                <w:szCs w:val="21"/>
              </w:rPr>
            </w:pPr>
            <w:r>
              <w:rPr>
                <w:rFonts w:hint="eastAsia"/>
                <w:b/>
                <w:bCs/>
              </w:rPr>
              <w:t>单位</w:t>
            </w:r>
          </w:p>
        </w:tc>
        <w:tc>
          <w:tcPr>
            <w:tcW w:w="1218" w:type="dxa"/>
            <w:vAlign w:val="center"/>
          </w:tcPr>
          <w:p>
            <w:pPr>
              <w:bidi w:val="0"/>
              <w:jc w:val="center"/>
              <w:rPr>
                <w:rFonts w:hint="eastAsia" w:eastAsiaTheme="minorEastAsia"/>
                <w:b/>
                <w:bCs/>
                <w:lang w:val="en-US" w:eastAsia="zh-CN"/>
              </w:rPr>
            </w:pPr>
            <w:r>
              <w:rPr>
                <w:rFonts w:hint="eastAsia"/>
                <w:b/>
                <w:bCs/>
                <w:lang w:val="en-US" w:eastAsia="zh-CN"/>
              </w:rPr>
              <w:t>数量</w:t>
            </w:r>
          </w:p>
        </w:tc>
        <w:tc>
          <w:tcPr>
            <w:tcW w:w="1455" w:type="dxa"/>
            <w:vAlign w:val="center"/>
          </w:tcPr>
          <w:p>
            <w:pPr>
              <w:spacing w:line="360" w:lineRule="exact"/>
              <w:jc w:val="center"/>
              <w:rPr>
                <w:rFonts w:ascii="宋体" w:hAnsi="宋体" w:eastAsia="宋体" w:cs="宋体"/>
                <w:b/>
                <w:szCs w:val="21"/>
              </w:rPr>
            </w:pPr>
            <w:r>
              <w:rPr>
                <w:rFonts w:hint="eastAsia" w:ascii="宋体" w:hAnsi="宋体" w:eastAsia="宋体" w:cs="宋体"/>
                <w:b/>
                <w:szCs w:val="21"/>
              </w:rPr>
              <w:t>综合单价</w:t>
            </w:r>
          </w:p>
          <w:p>
            <w:pPr>
              <w:spacing w:line="360" w:lineRule="exact"/>
              <w:jc w:val="center"/>
              <w:rPr>
                <w:rFonts w:ascii="宋体" w:hAnsi="宋体" w:cs="宋体"/>
                <w:b/>
                <w:bCs/>
                <w:szCs w:val="21"/>
              </w:rPr>
            </w:pPr>
            <w:r>
              <w:rPr>
                <w:rFonts w:hint="eastAsia" w:ascii="宋体" w:hAnsi="宋体" w:eastAsia="宋体" w:cs="宋体"/>
                <w:b/>
                <w:szCs w:val="21"/>
              </w:rPr>
              <w:t>（人民币元）</w:t>
            </w:r>
          </w:p>
        </w:tc>
        <w:tc>
          <w:tcPr>
            <w:tcW w:w="1751" w:type="dxa"/>
            <w:vAlign w:val="center"/>
          </w:tcPr>
          <w:p>
            <w:pPr>
              <w:spacing w:line="360" w:lineRule="exact"/>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1</w:t>
            </w:r>
          </w:p>
        </w:tc>
        <w:tc>
          <w:tcPr>
            <w:tcW w:w="3148" w:type="dxa"/>
            <w:vAlign w:val="center"/>
          </w:tcPr>
          <w:p>
            <w:pPr>
              <w:bidi w:val="0"/>
              <w:jc w:val="center"/>
              <w:rPr>
                <w:color w:val="000000"/>
                <w:sz w:val="20"/>
                <w:szCs w:val="20"/>
              </w:rPr>
            </w:pPr>
            <w:r>
              <w:rPr>
                <w:rFonts w:hint="eastAsia"/>
              </w:rPr>
              <w:t>手提式无人机侦测定位设备</w:t>
            </w:r>
          </w:p>
        </w:tc>
        <w:tc>
          <w:tcPr>
            <w:tcW w:w="897" w:type="dxa"/>
            <w:vAlign w:val="center"/>
          </w:tcPr>
          <w:p>
            <w:pPr>
              <w:bidi w:val="0"/>
              <w:jc w:val="center"/>
              <w:rPr>
                <w:rFonts w:ascii="宋体" w:hAnsi="宋体" w:cs="宋体"/>
                <w:color w:val="000000"/>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1</w:t>
            </w:r>
          </w:p>
        </w:tc>
        <w:tc>
          <w:tcPr>
            <w:tcW w:w="1455" w:type="dxa"/>
            <w:vAlign w:val="center"/>
          </w:tcPr>
          <w:p>
            <w:pPr>
              <w:jc w:val="center"/>
              <w:rPr>
                <w:color w:val="000000"/>
                <w:sz w:val="20"/>
                <w:szCs w:val="20"/>
              </w:rPr>
            </w:pPr>
          </w:p>
        </w:tc>
        <w:tc>
          <w:tcPr>
            <w:tcW w:w="1751"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2</w:t>
            </w:r>
          </w:p>
        </w:tc>
        <w:tc>
          <w:tcPr>
            <w:tcW w:w="3148" w:type="dxa"/>
            <w:vAlign w:val="center"/>
          </w:tcPr>
          <w:p>
            <w:pPr>
              <w:bidi w:val="0"/>
              <w:jc w:val="center"/>
              <w:rPr>
                <w:color w:val="000000"/>
                <w:sz w:val="20"/>
                <w:szCs w:val="20"/>
              </w:rPr>
            </w:pPr>
            <w:r>
              <w:rPr>
                <w:rFonts w:hint="eastAsia"/>
              </w:rPr>
              <w:t>多用途大功率无人机反制设备</w:t>
            </w:r>
          </w:p>
        </w:tc>
        <w:tc>
          <w:tcPr>
            <w:tcW w:w="897" w:type="dxa"/>
            <w:vAlign w:val="center"/>
          </w:tcPr>
          <w:p>
            <w:pPr>
              <w:bidi w:val="0"/>
              <w:jc w:val="center"/>
              <w:rPr>
                <w:rFonts w:ascii="宋体" w:hAnsi="宋体" w:cs="宋体"/>
                <w:color w:val="000000"/>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1</w:t>
            </w:r>
          </w:p>
        </w:tc>
        <w:tc>
          <w:tcPr>
            <w:tcW w:w="1455" w:type="dxa"/>
            <w:vAlign w:val="center"/>
          </w:tcPr>
          <w:p>
            <w:pPr>
              <w:jc w:val="center"/>
              <w:rPr>
                <w:color w:val="000000"/>
                <w:sz w:val="20"/>
                <w:szCs w:val="20"/>
              </w:rPr>
            </w:pPr>
          </w:p>
        </w:tc>
        <w:tc>
          <w:tcPr>
            <w:tcW w:w="1751"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3</w:t>
            </w:r>
          </w:p>
        </w:tc>
        <w:tc>
          <w:tcPr>
            <w:tcW w:w="3148" w:type="dxa"/>
            <w:vAlign w:val="center"/>
          </w:tcPr>
          <w:p>
            <w:pPr>
              <w:bidi w:val="0"/>
              <w:jc w:val="center"/>
              <w:rPr>
                <w:color w:val="000000"/>
                <w:sz w:val="20"/>
                <w:szCs w:val="20"/>
              </w:rPr>
            </w:pPr>
            <w:r>
              <w:rPr>
                <w:rFonts w:hint="eastAsia"/>
              </w:rPr>
              <w:t>穿越机反制设备</w:t>
            </w:r>
          </w:p>
        </w:tc>
        <w:tc>
          <w:tcPr>
            <w:tcW w:w="897" w:type="dxa"/>
            <w:vAlign w:val="center"/>
          </w:tcPr>
          <w:p>
            <w:pPr>
              <w:bidi w:val="0"/>
              <w:jc w:val="center"/>
              <w:rPr>
                <w:rFonts w:ascii="宋体" w:hAnsi="宋体" w:cs="宋体"/>
                <w:color w:val="000000"/>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1</w:t>
            </w:r>
          </w:p>
        </w:tc>
        <w:tc>
          <w:tcPr>
            <w:tcW w:w="1455" w:type="dxa"/>
            <w:vAlign w:val="center"/>
          </w:tcPr>
          <w:p>
            <w:pPr>
              <w:jc w:val="center"/>
              <w:rPr>
                <w:color w:val="000000"/>
                <w:sz w:val="20"/>
                <w:szCs w:val="20"/>
              </w:rPr>
            </w:pPr>
          </w:p>
        </w:tc>
        <w:tc>
          <w:tcPr>
            <w:tcW w:w="1751"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4</w:t>
            </w:r>
          </w:p>
        </w:tc>
        <w:tc>
          <w:tcPr>
            <w:tcW w:w="3148" w:type="dxa"/>
            <w:vAlign w:val="center"/>
          </w:tcPr>
          <w:p>
            <w:pPr>
              <w:bidi w:val="0"/>
              <w:jc w:val="center"/>
              <w:rPr>
                <w:color w:val="000000"/>
                <w:sz w:val="20"/>
                <w:szCs w:val="20"/>
              </w:rPr>
            </w:pPr>
            <w:r>
              <w:rPr>
                <w:rFonts w:hint="eastAsia"/>
              </w:rPr>
              <w:t>便携式无人机侦测反制设备</w:t>
            </w:r>
          </w:p>
        </w:tc>
        <w:tc>
          <w:tcPr>
            <w:tcW w:w="897" w:type="dxa"/>
            <w:vAlign w:val="center"/>
          </w:tcPr>
          <w:p>
            <w:pPr>
              <w:bidi w:val="0"/>
              <w:jc w:val="center"/>
              <w:rPr>
                <w:rFonts w:ascii="宋体" w:hAnsi="宋体" w:cs="宋体"/>
                <w:color w:val="000000"/>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2</w:t>
            </w:r>
          </w:p>
        </w:tc>
        <w:tc>
          <w:tcPr>
            <w:tcW w:w="1455" w:type="dxa"/>
            <w:vAlign w:val="center"/>
          </w:tcPr>
          <w:p>
            <w:pPr>
              <w:jc w:val="center"/>
              <w:rPr>
                <w:color w:val="000000"/>
                <w:sz w:val="20"/>
                <w:szCs w:val="20"/>
              </w:rPr>
            </w:pPr>
          </w:p>
        </w:tc>
        <w:tc>
          <w:tcPr>
            <w:tcW w:w="1751"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ascii="宋体" w:hAnsi="宋体" w:cs="宋体"/>
                <w:color w:val="000000"/>
                <w:sz w:val="20"/>
                <w:szCs w:val="20"/>
              </w:rPr>
            </w:pPr>
            <w:r>
              <w:rPr>
                <w:rFonts w:hint="eastAsia"/>
                <w:lang w:val="en-US" w:eastAsia="zh-CN"/>
              </w:rPr>
              <w:t>5</w:t>
            </w:r>
          </w:p>
        </w:tc>
        <w:tc>
          <w:tcPr>
            <w:tcW w:w="3148" w:type="dxa"/>
            <w:vAlign w:val="center"/>
          </w:tcPr>
          <w:p>
            <w:pPr>
              <w:bidi w:val="0"/>
              <w:jc w:val="center"/>
              <w:rPr>
                <w:color w:val="000000"/>
                <w:sz w:val="20"/>
                <w:szCs w:val="20"/>
              </w:rPr>
            </w:pPr>
            <w:r>
              <w:rPr>
                <w:rFonts w:hint="eastAsia"/>
              </w:rPr>
              <w:t>无人机侦测反制设备管控平台</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1</w:t>
            </w:r>
          </w:p>
        </w:tc>
        <w:tc>
          <w:tcPr>
            <w:tcW w:w="1455" w:type="dxa"/>
            <w:vAlign w:val="center"/>
          </w:tcPr>
          <w:p>
            <w:pPr>
              <w:jc w:val="center"/>
              <w:rPr>
                <w:sz w:val="20"/>
                <w:szCs w:val="20"/>
              </w:rPr>
            </w:pPr>
          </w:p>
        </w:tc>
        <w:tc>
          <w:tcPr>
            <w:tcW w:w="175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Align w:val="center"/>
          </w:tcPr>
          <w:p>
            <w:pPr>
              <w:bidi w:val="0"/>
              <w:jc w:val="center"/>
              <w:rPr>
                <w:rFonts w:hint="eastAsia"/>
                <w:color w:val="000000"/>
                <w:sz w:val="20"/>
                <w:szCs w:val="20"/>
              </w:rPr>
            </w:pPr>
            <w:r>
              <w:rPr>
                <w:rFonts w:hint="eastAsia"/>
                <w:lang w:val="en-US" w:eastAsia="zh-CN"/>
              </w:rPr>
              <w:t>6</w:t>
            </w:r>
          </w:p>
        </w:tc>
        <w:tc>
          <w:tcPr>
            <w:tcW w:w="3148" w:type="dxa"/>
            <w:vAlign w:val="center"/>
          </w:tcPr>
          <w:p>
            <w:pPr>
              <w:bidi w:val="0"/>
              <w:jc w:val="center"/>
              <w:rPr>
                <w:color w:val="000000"/>
                <w:sz w:val="20"/>
                <w:szCs w:val="20"/>
              </w:rPr>
            </w:pPr>
            <w:r>
              <w:rPr>
                <w:rFonts w:hint="eastAsia"/>
              </w:rPr>
              <w:t>网络（4G/5G专网卡）</w:t>
            </w:r>
          </w:p>
        </w:tc>
        <w:tc>
          <w:tcPr>
            <w:tcW w:w="897" w:type="dxa"/>
            <w:vAlign w:val="center"/>
          </w:tcPr>
          <w:p>
            <w:pPr>
              <w:bidi w:val="0"/>
              <w:jc w:val="center"/>
              <w:rPr>
                <w:rFonts w:ascii="宋体" w:hAnsi="宋体" w:cs="宋体"/>
                <w:sz w:val="20"/>
                <w:szCs w:val="20"/>
              </w:rPr>
            </w:pPr>
            <w:r>
              <w:rPr>
                <w:rFonts w:hint="eastAsia"/>
                <w:lang w:val="en-US" w:eastAsia="zh-CN"/>
              </w:rPr>
              <w:t>张</w:t>
            </w:r>
          </w:p>
        </w:tc>
        <w:tc>
          <w:tcPr>
            <w:tcW w:w="1218" w:type="dxa"/>
            <w:vAlign w:val="center"/>
          </w:tcPr>
          <w:p>
            <w:pPr>
              <w:bidi w:val="0"/>
              <w:jc w:val="center"/>
              <w:rPr>
                <w:rFonts w:hint="eastAsia"/>
                <w:lang w:val="en-US" w:eastAsia="zh-CN"/>
              </w:rPr>
            </w:pPr>
            <w:r>
              <w:rPr>
                <w:rFonts w:hint="eastAsia"/>
                <w:lang w:val="en-US" w:eastAsia="zh-CN"/>
              </w:rPr>
              <w:t>5</w:t>
            </w:r>
          </w:p>
        </w:tc>
        <w:tc>
          <w:tcPr>
            <w:tcW w:w="1455" w:type="dxa"/>
            <w:vAlign w:val="center"/>
          </w:tcPr>
          <w:p>
            <w:pPr>
              <w:jc w:val="center"/>
              <w:rPr>
                <w:sz w:val="20"/>
                <w:szCs w:val="20"/>
              </w:rPr>
            </w:pPr>
          </w:p>
        </w:tc>
        <w:tc>
          <w:tcPr>
            <w:tcW w:w="175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eastAsia"/>
                <w:color w:val="000000"/>
                <w:sz w:val="20"/>
                <w:szCs w:val="20"/>
              </w:rPr>
            </w:pPr>
            <w:r>
              <w:rPr>
                <w:rFonts w:hint="eastAsia"/>
                <w:lang w:val="en-US" w:eastAsia="zh-CN"/>
              </w:rPr>
              <w:t>7</w:t>
            </w:r>
          </w:p>
        </w:tc>
        <w:tc>
          <w:tcPr>
            <w:tcW w:w="8469" w:type="dxa"/>
            <w:gridSpan w:val="5"/>
            <w:vAlign w:val="center"/>
          </w:tcPr>
          <w:p>
            <w:pPr>
              <w:jc w:val="center"/>
              <w:rPr>
                <w:sz w:val="20"/>
                <w:szCs w:val="20"/>
              </w:rPr>
            </w:pPr>
            <w:r>
              <w:rPr>
                <w:rFonts w:hint="eastAsia"/>
                <w:b w:val="0"/>
                <w:bCs w:val="0"/>
              </w:rPr>
              <w:t>物理打击反制设备</w:t>
            </w:r>
            <w:r>
              <w:rPr>
                <w:rFonts w:hint="eastAsia"/>
                <w:b w:val="0"/>
                <w:bCs w:val="0"/>
                <w:lang w:eastAsia="zh-CN"/>
              </w:rPr>
              <w:t>：</w:t>
            </w:r>
            <w:r>
              <w:rPr>
                <w:rFonts w:hint="eastAsia"/>
              </w:rPr>
              <w:t>穿越机（5寸）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rPr>
              <w:t>竞速机架套装</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6</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机架套装</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电机：2207 1950KV</w:t>
            </w:r>
          </w:p>
        </w:tc>
        <w:tc>
          <w:tcPr>
            <w:tcW w:w="897" w:type="dxa"/>
            <w:vAlign w:val="center"/>
          </w:tcPr>
          <w:p>
            <w:pPr>
              <w:bidi w:val="0"/>
              <w:jc w:val="center"/>
              <w:rPr>
                <w:rFonts w:ascii="宋体" w:hAnsi="宋体" w:cs="宋体"/>
                <w:sz w:val="20"/>
                <w:szCs w:val="20"/>
              </w:rPr>
            </w:pPr>
            <w:r>
              <w:rPr>
                <w:rFonts w:hint="eastAsia"/>
                <w:lang w:val="en-US" w:eastAsia="zh-CN"/>
              </w:rPr>
              <w:t>个</w:t>
            </w:r>
          </w:p>
        </w:tc>
        <w:tc>
          <w:tcPr>
            <w:tcW w:w="1218" w:type="dxa"/>
            <w:vAlign w:val="center"/>
          </w:tcPr>
          <w:p>
            <w:pPr>
              <w:bidi w:val="0"/>
              <w:jc w:val="center"/>
              <w:rPr>
                <w:rFonts w:hint="eastAsia"/>
                <w:lang w:val="en-US" w:eastAsia="zh-CN"/>
              </w:rPr>
            </w:pPr>
            <w:r>
              <w:rPr>
                <w:rFonts w:hint="eastAsia"/>
                <w:lang w:val="en-US" w:eastAsia="zh-CN"/>
              </w:rPr>
              <w:t>24</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飞塔：飞行控制器和电调组合</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6</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天空端图传套装</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6</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备用桨叶</w:t>
            </w:r>
          </w:p>
        </w:tc>
        <w:tc>
          <w:tcPr>
            <w:tcW w:w="897" w:type="dxa"/>
            <w:vAlign w:val="center"/>
          </w:tcPr>
          <w:p>
            <w:pPr>
              <w:bidi w:val="0"/>
              <w:jc w:val="center"/>
              <w:rPr>
                <w:rFonts w:ascii="宋体" w:hAnsi="宋体" w:cs="宋体"/>
                <w:sz w:val="20"/>
                <w:szCs w:val="20"/>
              </w:rPr>
            </w:pPr>
            <w:r>
              <w:rPr>
                <w:rFonts w:hint="eastAsia"/>
                <w:lang w:val="en-US" w:eastAsia="zh-CN"/>
              </w:rPr>
              <w:t>包</w:t>
            </w:r>
          </w:p>
        </w:tc>
        <w:tc>
          <w:tcPr>
            <w:tcW w:w="1218" w:type="dxa"/>
            <w:vAlign w:val="center"/>
          </w:tcPr>
          <w:p>
            <w:pPr>
              <w:bidi w:val="0"/>
              <w:jc w:val="center"/>
              <w:rPr>
                <w:rFonts w:hint="eastAsia"/>
                <w:lang w:val="en-US" w:eastAsia="zh-CN"/>
              </w:rPr>
            </w:pPr>
            <w:r>
              <w:rPr>
                <w:rFonts w:hint="eastAsia"/>
                <w:lang w:val="en-US" w:eastAsia="zh-CN"/>
              </w:rPr>
              <w:t>15</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电池</w:t>
            </w:r>
          </w:p>
        </w:tc>
        <w:tc>
          <w:tcPr>
            <w:tcW w:w="897" w:type="dxa"/>
            <w:vAlign w:val="center"/>
          </w:tcPr>
          <w:p>
            <w:pPr>
              <w:bidi w:val="0"/>
              <w:jc w:val="center"/>
              <w:rPr>
                <w:rFonts w:ascii="宋体" w:hAnsi="宋体" w:cs="宋体"/>
                <w:sz w:val="20"/>
                <w:szCs w:val="20"/>
              </w:rPr>
            </w:pPr>
            <w:r>
              <w:rPr>
                <w:rFonts w:hint="eastAsia"/>
                <w:lang w:val="en-US" w:eastAsia="zh-CN"/>
              </w:rPr>
              <w:t>块</w:t>
            </w:r>
          </w:p>
        </w:tc>
        <w:tc>
          <w:tcPr>
            <w:tcW w:w="1218" w:type="dxa"/>
            <w:vAlign w:val="center"/>
          </w:tcPr>
          <w:p>
            <w:pPr>
              <w:bidi w:val="0"/>
              <w:jc w:val="center"/>
              <w:rPr>
                <w:rFonts w:hint="eastAsia"/>
                <w:lang w:val="en-US" w:eastAsia="zh-CN"/>
              </w:rPr>
            </w:pPr>
            <w:r>
              <w:rPr>
                <w:rFonts w:hint="eastAsia"/>
                <w:lang w:val="en-US" w:eastAsia="zh-CN"/>
              </w:rPr>
              <w:t>12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外场电包</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eastAsia"/>
                <w:color w:val="000000"/>
                <w:sz w:val="20"/>
                <w:szCs w:val="20"/>
              </w:rPr>
            </w:pPr>
            <w:r>
              <w:rPr>
                <w:rFonts w:hint="eastAsia"/>
                <w:lang w:val="en-US" w:eastAsia="zh-CN"/>
              </w:rPr>
              <w:t>8</w:t>
            </w:r>
          </w:p>
        </w:tc>
        <w:tc>
          <w:tcPr>
            <w:tcW w:w="8469" w:type="dxa"/>
            <w:gridSpan w:val="5"/>
            <w:vAlign w:val="center"/>
          </w:tcPr>
          <w:p>
            <w:pPr>
              <w:jc w:val="center"/>
              <w:rPr>
                <w:sz w:val="20"/>
                <w:szCs w:val="20"/>
              </w:rPr>
            </w:pPr>
            <w:r>
              <w:rPr>
                <w:rFonts w:hint="eastAsia"/>
                <w:b w:val="0"/>
                <w:bCs w:val="0"/>
              </w:rPr>
              <w:t>物理打击反制设备</w:t>
            </w:r>
            <w:r>
              <w:rPr>
                <w:rFonts w:hint="eastAsia"/>
                <w:b w:val="0"/>
                <w:bCs w:val="0"/>
                <w:lang w:eastAsia="zh-CN"/>
              </w:rPr>
              <w:t>：</w:t>
            </w:r>
            <w:r>
              <w:rPr>
                <w:rFonts w:hint="eastAsia" w:ascii="宋体" w:hAnsi="宋体" w:eastAsia="宋体" w:cs="宋体"/>
                <w:i w:val="0"/>
                <w:iCs w:val="0"/>
                <w:color w:val="000000"/>
                <w:kern w:val="0"/>
                <w:sz w:val="22"/>
                <w:szCs w:val="22"/>
                <w:u w:val="none"/>
                <w:lang w:val="en-US" w:eastAsia="zh-CN" w:bidi="ar"/>
              </w:rPr>
              <w:t>穿越机（3.5寸）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机架套装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电机</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飞塔</w:t>
            </w:r>
          </w:p>
        </w:tc>
        <w:tc>
          <w:tcPr>
            <w:tcW w:w="897" w:type="dxa"/>
            <w:vAlign w:val="center"/>
          </w:tcPr>
          <w:p>
            <w:pPr>
              <w:bidi w:val="0"/>
              <w:jc w:val="center"/>
              <w:rPr>
                <w:rFonts w:ascii="宋体" w:hAnsi="宋体" w:cs="宋体"/>
                <w:sz w:val="20"/>
                <w:szCs w:val="20"/>
              </w:rPr>
            </w:pPr>
            <w:r>
              <w:rPr>
                <w:rFonts w:hint="eastAsia"/>
                <w:lang w:val="en-US" w:eastAsia="zh-CN"/>
              </w:rPr>
              <w:t>套</w:t>
            </w:r>
          </w:p>
        </w:tc>
        <w:tc>
          <w:tcPr>
            <w:tcW w:w="1218" w:type="dxa"/>
            <w:vAlign w:val="center"/>
          </w:tcPr>
          <w:p>
            <w:pPr>
              <w:bidi w:val="0"/>
              <w:jc w:val="center"/>
              <w:rPr>
                <w:rFonts w:hint="eastAsia"/>
                <w:lang w:val="en-US" w:eastAsia="zh-CN"/>
              </w:rPr>
            </w:pPr>
            <w:r>
              <w:rPr>
                <w:rFonts w:hint="eastAsia"/>
                <w:lang w:val="en-US" w:eastAsia="zh-CN"/>
              </w:rPr>
              <w:t>6</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天空端图传</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接收机天线</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备用桨叶</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包</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eastAsia"/>
                <w:color w:val="000000"/>
                <w:sz w:val="20"/>
                <w:szCs w:val="20"/>
              </w:rPr>
            </w:pPr>
            <w:r>
              <w:rPr>
                <w:rFonts w:hint="eastAsia"/>
                <w:lang w:val="en-US" w:eastAsia="zh-CN"/>
              </w:rPr>
              <w:t>9</w:t>
            </w:r>
          </w:p>
        </w:tc>
        <w:tc>
          <w:tcPr>
            <w:tcW w:w="8469" w:type="dxa"/>
            <w:gridSpan w:val="5"/>
            <w:vAlign w:val="center"/>
          </w:tcPr>
          <w:p>
            <w:pPr>
              <w:jc w:val="center"/>
              <w:rPr>
                <w:sz w:val="20"/>
                <w:szCs w:val="20"/>
              </w:rPr>
            </w:pPr>
            <w:r>
              <w:rPr>
                <w:rFonts w:hint="eastAsia"/>
                <w:b w:val="0"/>
                <w:bCs w:val="0"/>
              </w:rPr>
              <w:t>物理打击反制设备</w:t>
            </w:r>
            <w:r>
              <w:rPr>
                <w:rFonts w:hint="eastAsia"/>
                <w:b w:val="0"/>
                <w:bCs w:val="0"/>
                <w:lang w:eastAsia="zh-CN"/>
              </w:rPr>
              <w:t>：</w:t>
            </w:r>
            <w:r>
              <w:rPr>
                <w:rFonts w:hint="eastAsia" w:ascii="宋体" w:hAnsi="宋体" w:eastAsia="宋体" w:cs="宋体"/>
                <w:i w:val="0"/>
                <w:iCs w:val="0"/>
                <w:color w:val="000000"/>
                <w:kern w:val="0"/>
                <w:sz w:val="22"/>
                <w:szCs w:val="22"/>
                <w:u w:val="none"/>
                <w:lang w:val="en-US" w:eastAsia="zh-CN" w:bidi="ar"/>
              </w:rPr>
              <w:t>穿越机（2.5寸）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机架电机套装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天空端图传套装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桨叶</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包</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电池</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eastAsia"/>
                <w:color w:val="000000"/>
                <w:sz w:val="20"/>
                <w:szCs w:val="20"/>
              </w:rPr>
            </w:pPr>
            <w:r>
              <w:rPr>
                <w:rFonts w:hint="eastAsia"/>
                <w:lang w:val="en-US" w:eastAsia="zh-CN"/>
              </w:rPr>
              <w:t>10</w:t>
            </w:r>
          </w:p>
        </w:tc>
        <w:tc>
          <w:tcPr>
            <w:tcW w:w="8469" w:type="dxa"/>
            <w:gridSpan w:val="5"/>
            <w:vAlign w:val="center"/>
          </w:tcPr>
          <w:p>
            <w:pPr>
              <w:jc w:val="center"/>
              <w:rPr>
                <w:sz w:val="20"/>
                <w:szCs w:val="20"/>
              </w:rPr>
            </w:pPr>
            <w:r>
              <w:rPr>
                <w:rFonts w:hint="eastAsia" w:ascii="宋体" w:hAnsi="宋体" w:eastAsia="宋体" w:cs="宋体"/>
                <w:i w:val="0"/>
                <w:iCs w:val="0"/>
                <w:color w:val="000000"/>
                <w:kern w:val="0"/>
                <w:sz w:val="22"/>
                <w:szCs w:val="22"/>
                <w:u w:val="none"/>
                <w:lang w:val="en-US" w:eastAsia="zh-CN" w:bidi="ar"/>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遥控器1</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增程高频头</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遥控器2</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高频头套装</w:t>
            </w:r>
          </w:p>
        </w:tc>
        <w:tc>
          <w:tcPr>
            <w:tcW w:w="897" w:type="dxa"/>
            <w:vAlign w:val="center"/>
          </w:tcPr>
          <w:p>
            <w:pPr>
              <w:bidi w:val="0"/>
              <w:jc w:val="center"/>
              <w:rPr>
                <w:rFonts w:ascii="宋体" w:hAnsi="宋体" w:cs="宋体"/>
                <w:sz w:val="20"/>
                <w:szCs w:val="20"/>
              </w:rPr>
            </w:pPr>
            <w:r>
              <w:rPr>
                <w:rFonts w:hint="eastAsia"/>
              </w:rPr>
              <w:t>套</w:t>
            </w:r>
          </w:p>
        </w:tc>
        <w:tc>
          <w:tcPr>
            <w:tcW w:w="1218" w:type="dxa"/>
            <w:vAlign w:val="center"/>
          </w:tcPr>
          <w:p>
            <w:pPr>
              <w:bidi w:val="0"/>
              <w:jc w:val="center"/>
              <w:rPr>
                <w:rFonts w:hint="eastAsia" w:eastAsiaTheme="minorEastAsia"/>
                <w:lang w:val="en-US" w:eastAsia="zh-CN"/>
              </w:rPr>
            </w:pPr>
            <w:r>
              <w:rPr>
                <w:rFonts w:hint="eastAsia"/>
                <w:lang w:val="en-US" w:eastAsia="zh-CN"/>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遥控器3</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飞行眼镜1</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飞行眼镜2</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default"/>
                <w:color w:val="000000"/>
                <w:sz w:val="20"/>
                <w:szCs w:val="20"/>
                <w:lang w:val="en-US"/>
              </w:rPr>
            </w:pPr>
            <w:r>
              <w:rPr>
                <w:rFonts w:hint="eastAsia"/>
                <w:lang w:val="en-US" w:eastAsia="zh-CN"/>
              </w:rPr>
              <w:t>11</w:t>
            </w:r>
          </w:p>
        </w:tc>
        <w:tc>
          <w:tcPr>
            <w:tcW w:w="8469" w:type="dxa"/>
            <w:gridSpan w:val="5"/>
            <w:vAlign w:val="center"/>
          </w:tcPr>
          <w:p>
            <w:pPr>
              <w:jc w:val="center"/>
              <w:rPr>
                <w:sz w:val="20"/>
                <w:szCs w:val="20"/>
              </w:rPr>
            </w:pPr>
            <w:r>
              <w:rPr>
                <w:rFonts w:hint="eastAsia"/>
                <w:lang w:val="en-US" w:eastAsia="zh-CN"/>
              </w:rPr>
              <w:t>维护工具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Style w:val="40"/>
                <w:rFonts w:hint="eastAsia" w:ascii="宋体" w:hAnsi="宋体" w:eastAsia="宋体" w:cs="宋体"/>
                <w:sz w:val="22"/>
                <w:szCs w:val="22"/>
                <w:lang w:val="en-US" w:eastAsia="zh-CN" w:bidi="ar"/>
              </w:rPr>
              <w:t>智能平衡充电器</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电池防爆箱</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航模遥控设备箱</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穿越机双肩收纳包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焊台</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电烙铁</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eastAsia"/>
                <w:color w:val="000000"/>
                <w:sz w:val="20"/>
                <w:szCs w:val="20"/>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焊锡丝</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卷</w:t>
            </w:r>
          </w:p>
        </w:tc>
        <w:tc>
          <w:tcPr>
            <w:tcW w:w="1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eastAsiaTheme="minorEastAsia"/>
                <w:color w:val="000000"/>
                <w:sz w:val="20"/>
                <w:szCs w:val="20"/>
                <w:lang w:val="en-US" w:eastAsia="zh-CN"/>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万用表</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个</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热缩管</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盒</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洞洞板</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张</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零件盒</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只</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防静电工作台</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电动螺丝刀套装</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热风枪</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支</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螺丝、螺母</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盒</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3D打印机</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调参笔记本电脑</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台</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keepNext w:val="0"/>
              <w:keepLines w:val="0"/>
              <w:widowControl/>
              <w:suppressLineNumbers w:val="0"/>
              <w:jc w:val="center"/>
              <w:textAlignment w:val="center"/>
              <w:rPr>
                <w:rFonts w:hint="default"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镊子</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55" w:type="dxa"/>
            <w:vAlign w:val="center"/>
          </w:tcPr>
          <w:p>
            <w:pPr>
              <w:jc w:val="center"/>
              <w:rPr>
                <w:sz w:val="20"/>
                <w:szCs w:val="20"/>
              </w:rPr>
            </w:pPr>
          </w:p>
        </w:tc>
        <w:tc>
          <w:tcPr>
            <w:tcW w:w="1751" w:type="dxa"/>
            <w:vAlign w:val="center"/>
          </w:tcPr>
          <w:p>
            <w:pPr>
              <w:jc w:val="center"/>
              <w:rPr>
                <w:rFonts w:hint="default"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剥线钳</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把</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455" w:type="dxa"/>
            <w:vAlign w:val="center"/>
          </w:tcPr>
          <w:p>
            <w:pPr>
              <w:jc w:val="center"/>
              <w:rPr>
                <w:sz w:val="20"/>
                <w:szCs w:val="20"/>
              </w:rPr>
            </w:pPr>
          </w:p>
        </w:tc>
        <w:tc>
          <w:tcPr>
            <w:tcW w:w="175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游标卡尺</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把</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restart"/>
            <w:vAlign w:val="center"/>
          </w:tcPr>
          <w:p>
            <w:pPr>
              <w:bidi w:val="0"/>
              <w:jc w:val="center"/>
              <w:rPr>
                <w:rFonts w:hint="default"/>
                <w:color w:val="000000"/>
                <w:sz w:val="20"/>
                <w:szCs w:val="20"/>
                <w:lang w:val="en-US"/>
              </w:rPr>
            </w:pPr>
            <w:r>
              <w:rPr>
                <w:rFonts w:hint="eastAsia"/>
                <w:lang w:val="en-US" w:eastAsia="zh-CN"/>
              </w:rPr>
              <w:t>12</w:t>
            </w:r>
          </w:p>
        </w:tc>
        <w:tc>
          <w:tcPr>
            <w:tcW w:w="3148" w:type="dxa"/>
            <w:vAlign w:val="center"/>
          </w:tcPr>
          <w:p>
            <w:pPr>
              <w:bidi w:val="0"/>
              <w:jc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靶机1</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靶机2</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sz w:val="22"/>
                <w:szCs w:val="22"/>
                <w:u w:val="none"/>
                <w:lang w:val="en-US" w:eastAsia="zh-CN"/>
              </w:rPr>
              <w:t>1</w:t>
            </w:r>
          </w:p>
        </w:tc>
        <w:tc>
          <w:tcPr>
            <w:tcW w:w="1455" w:type="dxa"/>
            <w:vAlign w:val="center"/>
          </w:tcPr>
          <w:p>
            <w:pPr>
              <w:jc w:val="center"/>
              <w:rPr>
                <w:sz w:val="20"/>
                <w:szCs w:val="20"/>
              </w:rPr>
            </w:pPr>
          </w:p>
        </w:tc>
        <w:tc>
          <w:tcPr>
            <w:tcW w:w="175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靶机3</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7" w:type="dxa"/>
            <w:vMerge w:val="continue"/>
            <w:vAlign w:val="center"/>
          </w:tcPr>
          <w:p>
            <w:pPr>
              <w:bidi w:val="0"/>
              <w:jc w:val="center"/>
              <w:rPr>
                <w:rFonts w:hint="default"/>
                <w:color w:val="000000"/>
                <w:sz w:val="20"/>
                <w:szCs w:val="20"/>
                <w:lang w:val="en-US"/>
              </w:rPr>
            </w:pPr>
          </w:p>
        </w:tc>
        <w:tc>
          <w:tcPr>
            <w:tcW w:w="3148" w:type="dxa"/>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靶机4</w:t>
            </w:r>
          </w:p>
        </w:tc>
        <w:tc>
          <w:tcPr>
            <w:tcW w:w="897" w:type="dxa"/>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套</w:t>
            </w:r>
          </w:p>
        </w:tc>
        <w:tc>
          <w:tcPr>
            <w:tcW w:w="1218"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55" w:type="dxa"/>
            <w:vAlign w:val="center"/>
          </w:tcPr>
          <w:p>
            <w:pPr>
              <w:jc w:val="center"/>
              <w:rPr>
                <w:sz w:val="20"/>
                <w:szCs w:val="20"/>
              </w:rPr>
            </w:pPr>
          </w:p>
        </w:tc>
        <w:tc>
          <w:tcPr>
            <w:tcW w:w="175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90" w:type="dxa"/>
            <w:gridSpan w:val="4"/>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投标总价</w:t>
            </w:r>
          </w:p>
        </w:tc>
        <w:tc>
          <w:tcPr>
            <w:tcW w:w="3206" w:type="dxa"/>
            <w:gridSpan w:val="2"/>
            <w:vAlign w:val="center"/>
          </w:tcPr>
          <w:p>
            <w:pPr>
              <w:jc w:val="center"/>
              <w:rPr>
                <w:sz w:val="20"/>
                <w:szCs w:val="20"/>
              </w:rPr>
            </w:pPr>
          </w:p>
        </w:tc>
      </w:tr>
    </w:tbl>
    <w:p>
      <w:pPr>
        <w:spacing w:line="360" w:lineRule="auto"/>
        <w:rPr>
          <w:rFonts w:hint="eastAsia" w:ascii="Arial" w:hAnsi="Arial" w:cs="Arial"/>
          <w:bCs/>
          <w:szCs w:val="21"/>
        </w:rPr>
      </w:pPr>
    </w:p>
    <w:p>
      <w:pPr>
        <w:spacing w:line="360" w:lineRule="auto"/>
        <w:rPr>
          <w:rFonts w:hint="eastAsia" w:ascii="Arial" w:hAnsi="Arial" w:cs="Arial"/>
          <w:bCs/>
          <w:szCs w:val="21"/>
        </w:rPr>
      </w:pPr>
    </w:p>
    <w:p>
      <w:pPr>
        <w:spacing w:line="360" w:lineRule="auto"/>
        <w:rPr>
          <w:rFonts w:ascii="Arial" w:hAnsi="Arial" w:cs="Arial"/>
          <w:bCs/>
          <w:szCs w:val="21"/>
        </w:rPr>
      </w:pPr>
      <w:r>
        <w:rPr>
          <w:rFonts w:hint="eastAsia" w:ascii="Arial" w:hAnsi="Arial" w:cs="Arial"/>
          <w:bCs/>
          <w:szCs w:val="21"/>
        </w:rPr>
        <w:t>注：</w:t>
      </w:r>
    </w:p>
    <w:p>
      <w:pPr>
        <w:spacing w:line="360" w:lineRule="auto"/>
      </w:pPr>
      <w:r>
        <w:rPr>
          <w:rFonts w:hint="eastAsia" w:ascii="Arial" w:hAnsi="Arial" w:cs="Arial"/>
          <w:bCs/>
          <w:szCs w:val="21"/>
        </w:rPr>
        <w:t>1、磋商供应商的报价应为承包完成本次采购需完成全部工作所发生的所有费用，并承担一切风险责任。包括本次项目实施所需的采购、供货、轮换、备品备件、包装、落款喷漆、</w:t>
      </w:r>
      <w:r>
        <w:rPr>
          <w:rFonts w:hint="eastAsia" w:ascii="Arial" w:hAnsi="Arial" w:cs="Arial"/>
          <w:bCs/>
          <w:szCs w:val="21"/>
          <w:lang w:val="en-US" w:eastAsia="zh-CN"/>
        </w:rPr>
        <w:t>平台接口费、</w:t>
      </w:r>
      <w:r>
        <w:rPr>
          <w:rFonts w:hint="eastAsia" w:ascii="Arial" w:hAnsi="Arial" w:cs="Arial"/>
          <w:bCs/>
          <w:szCs w:val="21"/>
        </w:rPr>
        <w:t>运输、装卸、保险、货到就位以及验收、质保期服务、利润和税金、政策性文件规定费用及合同包含的所有风险、责任等所有费用等一切费用。</w:t>
      </w:r>
    </w:p>
    <w:p>
      <w:pPr>
        <w:spacing w:line="360" w:lineRule="auto"/>
        <w:rPr>
          <w:sz w:val="20"/>
        </w:rPr>
      </w:pPr>
      <w:r>
        <w:rPr>
          <w:rFonts w:hint="eastAsia" w:ascii="宋体" w:hAnsi="宋体" w:eastAsia="宋体" w:cs="Arial"/>
          <w:b/>
          <w:szCs w:val="21"/>
          <w:lang w:val="en-US" w:eastAsia="zh-CN"/>
        </w:rPr>
        <w:t>2</w:t>
      </w:r>
      <w:r>
        <w:rPr>
          <w:rFonts w:hint="eastAsia" w:ascii="宋体" w:hAnsi="宋体" w:eastAsia="宋体" w:cs="Arial"/>
          <w:b/>
          <w:szCs w:val="21"/>
        </w:rPr>
        <w:t>、▲</w:t>
      </w:r>
      <w:r>
        <w:rPr>
          <w:rFonts w:hint="eastAsia" w:ascii="宋体" w:hAnsi="宋体" w:eastAsia="宋体" w:cs="Arial"/>
          <w:b/>
          <w:szCs w:val="21"/>
          <w:lang w:eastAsia="zh-CN"/>
        </w:rPr>
        <w:t>投标</w:t>
      </w:r>
      <w:r>
        <w:rPr>
          <w:rFonts w:hint="eastAsia" w:ascii="宋体" w:hAnsi="宋体" w:eastAsia="宋体" w:cs="Arial"/>
          <w:b/>
          <w:szCs w:val="21"/>
          <w:lang w:val="en-US" w:eastAsia="zh-CN"/>
        </w:rPr>
        <w:t>总价</w:t>
      </w:r>
      <w:r>
        <w:rPr>
          <w:rFonts w:hint="eastAsia" w:ascii="宋体" w:hAnsi="宋体" w:eastAsia="宋体" w:cs="Arial"/>
          <w:b/>
          <w:szCs w:val="21"/>
          <w:lang w:eastAsia="zh-CN"/>
        </w:rPr>
        <w:t>超过最高限价的</w:t>
      </w:r>
      <w:r>
        <w:rPr>
          <w:rFonts w:hint="eastAsia" w:ascii="宋体" w:hAnsi="宋体" w:eastAsia="宋体" w:cs="Arial"/>
          <w:b/>
          <w:szCs w:val="21"/>
        </w:rPr>
        <w:t>，作无效标处理。</w:t>
      </w:r>
    </w:p>
    <w:p>
      <w:pPr>
        <w:spacing w:line="360" w:lineRule="auto"/>
      </w:pPr>
      <w:r>
        <w:rPr>
          <w:rFonts w:hint="eastAsia"/>
          <w:b/>
          <w:bCs/>
          <w:lang w:val="en-US" w:eastAsia="zh-CN"/>
        </w:rPr>
        <w:t>3</w:t>
      </w:r>
      <w:r>
        <w:rPr>
          <w:rFonts w:hint="eastAsia"/>
          <w:b/>
          <w:bCs/>
        </w:rPr>
        <w:t>、</w:t>
      </w:r>
      <w:r>
        <w:rPr>
          <w:b/>
          <w:bCs/>
        </w:rPr>
        <w:t>▲不提供此表的报价，视为没有实质性响应磋商文件要求。</w:t>
      </w:r>
    </w:p>
    <w:p>
      <w:pPr>
        <w:spacing w:line="360" w:lineRule="auto"/>
        <w:outlineLvl w:val="1"/>
        <w:rPr>
          <w:rFonts w:ascii="宋体" w:hAnsi="宋体" w:eastAsia="宋体" w:cs="宋体"/>
          <w:szCs w:val="21"/>
        </w:rPr>
      </w:pPr>
      <w:bookmarkStart w:id="525" w:name="_Toc20566"/>
      <w:r>
        <w:rPr>
          <w:rFonts w:hint="eastAsia"/>
          <w:lang w:val="en-US" w:eastAsia="zh-CN"/>
        </w:rPr>
        <w:t>4</w:t>
      </w:r>
      <w:r>
        <w:rPr>
          <w:rFonts w:hint="eastAsia"/>
        </w:rPr>
        <w:t>、</w:t>
      </w:r>
      <w:r>
        <w:t>该表中</w:t>
      </w:r>
      <w:r>
        <w:rPr>
          <w:rFonts w:hint="eastAsia" w:ascii="宋体" w:hAnsi="宋体" w:eastAsia="宋体" w:cs="宋体"/>
          <w:i w:val="0"/>
          <w:iCs w:val="0"/>
          <w:color w:val="000000"/>
          <w:kern w:val="0"/>
          <w:sz w:val="22"/>
          <w:szCs w:val="22"/>
          <w:u w:val="none"/>
          <w:lang w:val="en-US" w:eastAsia="zh-CN" w:bidi="ar"/>
        </w:rPr>
        <w:t>投标总价</w:t>
      </w:r>
      <w:r>
        <w:t>应与附件十</w:t>
      </w:r>
      <w:r>
        <w:rPr>
          <w:rFonts w:hint="eastAsia"/>
        </w:rPr>
        <w:t>二“</w:t>
      </w:r>
      <w:r>
        <w:t>报价</w:t>
      </w:r>
      <w:r>
        <w:rPr>
          <w:rFonts w:hint="eastAsia"/>
        </w:rPr>
        <w:t>一览</w:t>
      </w:r>
      <w:r>
        <w:t>表</w:t>
      </w:r>
      <w:r>
        <w:rPr>
          <w:rFonts w:hint="eastAsia"/>
        </w:rPr>
        <w:t>”</w:t>
      </w:r>
      <w:r>
        <w:t>中对应</w:t>
      </w:r>
      <w:r>
        <w:rPr>
          <w:rFonts w:hint="eastAsia" w:ascii="宋体" w:hAnsi="宋体" w:eastAsia="宋体" w:cs="宋体"/>
          <w:i w:val="0"/>
          <w:iCs w:val="0"/>
          <w:color w:val="000000"/>
          <w:kern w:val="0"/>
          <w:sz w:val="22"/>
          <w:szCs w:val="22"/>
          <w:u w:val="none"/>
          <w:lang w:val="en-US" w:eastAsia="zh-CN" w:bidi="ar"/>
        </w:rPr>
        <w:t>投标总价</w:t>
      </w:r>
      <w:r>
        <w:t>相一致。</w:t>
      </w:r>
      <w:bookmarkEnd w:id="525"/>
    </w:p>
    <w:p>
      <w:pPr>
        <w:spacing w:before="156" w:beforeLines="50" w:line="360" w:lineRule="auto"/>
        <w:jc w:val="right"/>
        <w:rPr>
          <w:rFonts w:ascii="Arial" w:hAnsi="Arial" w:cs="Arial"/>
          <w:sz w:val="20"/>
          <w:szCs w:val="20"/>
        </w:rPr>
      </w:pPr>
    </w:p>
    <w:p>
      <w:pPr>
        <w:spacing w:before="156" w:beforeLines="50" w:line="360" w:lineRule="auto"/>
        <w:jc w:val="center"/>
        <w:rPr>
          <w:rFonts w:ascii="Arial" w:hAnsi="Arial" w:cs="Arial"/>
          <w:sz w:val="20"/>
          <w:szCs w:val="20"/>
        </w:rPr>
      </w:pPr>
      <w:r>
        <w:rPr>
          <w:rFonts w:hint="eastAsia" w:ascii="Arial" w:hAnsi="Arial" w:cs="Arial"/>
          <w:sz w:val="20"/>
          <w:szCs w:val="20"/>
        </w:rPr>
        <w:t xml:space="preserve">                                                 </w:t>
      </w:r>
      <w:r>
        <w:rPr>
          <w:rFonts w:ascii="Arial" w:hAnsi="Arial" w:cs="Arial"/>
          <w:sz w:val="20"/>
          <w:szCs w:val="20"/>
        </w:rPr>
        <w:t>磋商供应商全称（</w:t>
      </w:r>
      <w:r>
        <w:rPr>
          <w:rFonts w:hint="eastAsia" w:ascii="宋体" w:hAnsi="宋体" w:eastAsia="宋体" w:cs="宋体"/>
        </w:rPr>
        <w:t>盖电子签章</w:t>
      </w:r>
      <w:r>
        <w:rPr>
          <w:rFonts w:ascii="Arial" w:hAnsi="Arial" w:cs="Arial"/>
          <w:sz w:val="20"/>
          <w:szCs w:val="20"/>
        </w:rPr>
        <w:t>）：</w:t>
      </w:r>
    </w:p>
    <w:p>
      <w:pPr>
        <w:spacing w:line="360" w:lineRule="auto"/>
        <w:jc w:val="right"/>
        <w:rPr>
          <w:rFonts w:ascii="Arial" w:hAnsi="Arial" w:cs="Arial"/>
          <w:sz w:val="20"/>
          <w:szCs w:val="20"/>
        </w:rPr>
      </w:pPr>
      <w:r>
        <w:rPr>
          <w:rFonts w:ascii="Arial" w:hAnsi="Arial" w:cs="Arial"/>
          <w:sz w:val="20"/>
          <w:szCs w:val="20"/>
        </w:rPr>
        <w:t xml:space="preserve">                                       法定代表人或授权代表（签字或盖章）：</w:t>
      </w:r>
    </w:p>
    <w:p>
      <w:pPr>
        <w:spacing w:line="360" w:lineRule="auto"/>
        <w:ind w:firstLine="4000" w:firstLineChars="2000"/>
        <w:jc w:val="center"/>
        <w:rPr>
          <w:rFonts w:ascii="Arial" w:hAnsi="Arial" w:cs="Arial"/>
          <w:sz w:val="20"/>
          <w:szCs w:val="20"/>
        </w:rPr>
      </w:pPr>
      <w:r>
        <w:rPr>
          <w:rFonts w:hint="eastAsia" w:ascii="Arial" w:hAnsi="Arial" w:cs="Arial"/>
          <w:sz w:val="20"/>
          <w:szCs w:val="20"/>
        </w:rPr>
        <w:t xml:space="preserve">     </w:t>
      </w:r>
      <w:r>
        <w:rPr>
          <w:rFonts w:ascii="Arial" w:hAnsi="Arial" w:cs="Arial"/>
          <w:sz w:val="20"/>
          <w:szCs w:val="20"/>
        </w:rPr>
        <w:t xml:space="preserve">日 </w:t>
      </w:r>
      <w:r>
        <w:rPr>
          <w:rFonts w:hint="eastAsia" w:ascii="Arial" w:hAnsi="Arial" w:cs="Arial"/>
          <w:sz w:val="20"/>
          <w:szCs w:val="20"/>
        </w:rPr>
        <w:t xml:space="preserve">   </w:t>
      </w:r>
      <w:r>
        <w:rPr>
          <w:rFonts w:ascii="Arial" w:hAnsi="Arial" w:cs="Arial"/>
          <w:sz w:val="20"/>
          <w:szCs w:val="20"/>
        </w:rPr>
        <w:t>期：    年   月    日</w:t>
      </w:r>
    </w:p>
    <w:p>
      <w:pPr>
        <w:pStyle w:val="5"/>
        <w:jc w:val="center"/>
        <w:rPr>
          <w:rFonts w:ascii="Arial" w:hAnsi="Arial" w:cs="Arial"/>
          <w:sz w:val="28"/>
        </w:rPr>
        <w:sectPr>
          <w:footerReference r:id="rId6" w:type="default"/>
          <w:pgSz w:w="11906" w:h="16838"/>
          <w:pgMar w:top="1246" w:right="1291" w:bottom="1434" w:left="1575" w:header="680" w:footer="992" w:gutter="0"/>
          <w:cols w:space="720" w:num="1"/>
          <w:docGrid w:type="lines" w:linePitch="312" w:charSpace="0"/>
        </w:sectPr>
      </w:pPr>
    </w:p>
    <w:p>
      <w:pPr>
        <w:pStyle w:val="3"/>
        <w:keepNext w:val="0"/>
        <w:keepLines w:val="0"/>
        <w:spacing w:after="156" w:afterLines="50" w:line="400" w:lineRule="exact"/>
        <w:jc w:val="center"/>
        <w:rPr>
          <w:rFonts w:hAnsi="宋体" w:eastAsia="宋体" w:cs="宋体"/>
          <w:sz w:val="28"/>
          <w:szCs w:val="36"/>
        </w:rPr>
      </w:pPr>
      <w:bookmarkStart w:id="526" w:name="_Toc17650"/>
      <w:bookmarkStart w:id="527" w:name="_Toc28862"/>
      <w:bookmarkStart w:id="528" w:name="_Toc24828"/>
      <w:bookmarkStart w:id="529" w:name="_Toc1683"/>
      <w:bookmarkStart w:id="530" w:name="_Toc5084"/>
      <w:bookmarkStart w:id="531" w:name="_Toc9567"/>
      <w:r>
        <w:rPr>
          <w:rFonts w:hint="eastAsia" w:hAnsi="宋体" w:eastAsia="宋体" w:cs="宋体"/>
          <w:sz w:val="28"/>
          <w:szCs w:val="36"/>
        </w:rPr>
        <w:t>第六部</w:t>
      </w:r>
      <w:r>
        <w:rPr>
          <w:rFonts w:hint="eastAsia" w:hAnsi="宋体" w:eastAsia="宋体" w:cs="宋体"/>
          <w:sz w:val="28"/>
          <w:szCs w:val="36"/>
          <w:lang w:val="en-US" w:eastAsia="zh-CN"/>
        </w:rPr>
        <w:t>分</w:t>
      </w:r>
      <w:r>
        <w:rPr>
          <w:rFonts w:hint="eastAsia" w:hAnsi="宋体" w:eastAsia="宋体" w:cs="宋体"/>
          <w:sz w:val="28"/>
          <w:szCs w:val="36"/>
        </w:rPr>
        <w:t xml:space="preserve">  评定办法</w:t>
      </w:r>
      <w:bookmarkEnd w:id="526"/>
      <w:bookmarkEnd w:id="527"/>
      <w:bookmarkEnd w:id="528"/>
      <w:bookmarkEnd w:id="529"/>
      <w:bookmarkEnd w:id="530"/>
      <w:bookmarkEnd w:id="531"/>
    </w:p>
    <w:p>
      <w:pPr>
        <w:spacing w:line="400" w:lineRule="exact"/>
        <w:ind w:firstLine="420" w:firstLineChars="200"/>
        <w:rPr>
          <w:rFonts w:ascii="宋体" w:hAnsi="宋体" w:eastAsia="宋体" w:cs="宋体"/>
          <w:bCs/>
          <w:kern w:val="28"/>
        </w:rPr>
      </w:pPr>
      <w:r>
        <w:rPr>
          <w:rFonts w:hint="eastAsia" w:ascii="宋体" w:hAnsi="宋体" w:eastAsia="宋体" w:cs="宋体"/>
          <w:bCs/>
          <w:kern w:val="28"/>
        </w:rPr>
        <w:t>根据《中华人民共和国政府采购法》、《政府采购竞争性磋商采购方式管理暂行办法》和本项目磋商文件，按照公平、公正、科学、择优的原则选择成交人，特制定本办法。</w:t>
      </w:r>
    </w:p>
    <w:p>
      <w:pPr>
        <w:spacing w:line="400" w:lineRule="exact"/>
        <w:ind w:firstLine="422" w:firstLineChars="200"/>
        <w:outlineLvl w:val="1"/>
        <w:rPr>
          <w:rFonts w:ascii="宋体" w:hAnsi="宋体" w:eastAsia="宋体" w:cs="宋体"/>
          <w:b/>
          <w:bCs/>
          <w:kern w:val="28"/>
        </w:rPr>
      </w:pPr>
      <w:bookmarkStart w:id="532" w:name="_Toc5708"/>
      <w:r>
        <w:rPr>
          <w:rFonts w:hint="eastAsia" w:ascii="宋体" w:hAnsi="宋体" w:eastAsia="宋体" w:cs="宋体"/>
          <w:b/>
          <w:bCs/>
          <w:kern w:val="28"/>
        </w:rPr>
        <w:t>一、评定原则</w:t>
      </w:r>
      <w:bookmarkEnd w:id="532"/>
    </w:p>
    <w:p>
      <w:pPr>
        <w:spacing w:line="400" w:lineRule="exact"/>
        <w:ind w:firstLine="420" w:firstLineChars="200"/>
        <w:rPr>
          <w:rFonts w:ascii="宋体" w:hAnsi="宋体" w:eastAsia="宋体" w:cs="宋体"/>
          <w:bCs/>
          <w:kern w:val="28"/>
        </w:rPr>
      </w:pPr>
      <w:r>
        <w:rPr>
          <w:rFonts w:hint="eastAsia" w:ascii="宋体" w:hAnsi="宋体" w:eastAsia="宋体" w:cs="宋体"/>
          <w:bCs/>
          <w:kern w:val="28"/>
        </w:rPr>
        <w:t>评审工作遵循公平、公正、民主、科学的原则和诚实、信誉、效率的服务原则。本着科学、严谨的态度，认真进行评审，择优选定服务单位。确保服务质量，节约投资，最大限度的保护当事人权益，严格按照磋商文件的商务、技术要求，对磋商响应文件进行综合评定，编写评标报告。评定人员必须严格遵守保密规定，不得泄漏评定的有关情况，不得索贿受贿，不得接受吃请和礼品，不得参加影响公正评标的有关活动。磋商供应商不得以任何方式干扰采购工作的进行，一经发现其磋商响应文件将被否决。</w:t>
      </w:r>
    </w:p>
    <w:p>
      <w:pPr>
        <w:spacing w:line="400" w:lineRule="exact"/>
        <w:ind w:firstLine="422" w:firstLineChars="200"/>
        <w:outlineLvl w:val="1"/>
        <w:rPr>
          <w:rFonts w:ascii="宋体" w:hAnsi="宋体" w:eastAsia="宋体" w:cs="宋体"/>
          <w:b/>
          <w:bCs/>
          <w:kern w:val="28"/>
        </w:rPr>
      </w:pPr>
      <w:bookmarkStart w:id="533" w:name="_Toc29445"/>
      <w:r>
        <w:rPr>
          <w:rFonts w:hint="eastAsia" w:ascii="宋体" w:hAnsi="宋体" w:eastAsia="宋体" w:cs="宋体"/>
          <w:b/>
          <w:bCs/>
          <w:kern w:val="28"/>
        </w:rPr>
        <w:t>二、评标组织</w:t>
      </w:r>
      <w:bookmarkEnd w:id="533"/>
    </w:p>
    <w:p>
      <w:pPr>
        <w:spacing w:line="400" w:lineRule="exact"/>
        <w:ind w:firstLine="420" w:firstLineChars="200"/>
        <w:rPr>
          <w:rFonts w:ascii="宋体" w:hAnsi="宋体" w:eastAsia="宋体" w:cs="宋体"/>
          <w:bCs/>
          <w:kern w:val="28"/>
        </w:rPr>
      </w:pPr>
      <w:r>
        <w:rPr>
          <w:rFonts w:hint="eastAsia" w:ascii="宋体" w:hAnsi="宋体" w:eastAsia="宋体" w:cs="宋体"/>
          <w:bCs/>
          <w:kern w:val="28"/>
        </w:rPr>
        <w:t>开标后，首先采购人或采购代理机构对磋商响应文件进行资格性检查；接着磋商小组对符合资格的供应商进行符合性审查，以确定是否对磋商文件的要求作出响应凡磋商供应商资格不符合磋商文件要求；磋商响应文件内容和格式严重不符合有关规定或不响应磋商文件要求者，经磋商小组认定作为无效投标，不再进入后续磋商。对磋商文件完善后，由磋商小组对磋商供应商进行询标，磋商供应商做出书面答复作为磋商响应文件的补充文件。</w:t>
      </w:r>
    </w:p>
    <w:p>
      <w:pPr>
        <w:spacing w:line="400" w:lineRule="exact"/>
        <w:ind w:firstLine="420" w:firstLineChars="200"/>
        <w:rPr>
          <w:rFonts w:ascii="宋体" w:hAnsi="宋体" w:eastAsia="宋体" w:cs="宋体"/>
          <w:bCs/>
          <w:kern w:val="28"/>
        </w:rPr>
      </w:pPr>
      <w:r>
        <w:rPr>
          <w:rFonts w:hint="eastAsia" w:ascii="宋体" w:hAnsi="宋体" w:eastAsia="宋体" w:cs="宋体"/>
        </w:rPr>
        <w:t>经资格性检查和符合性检查后，开、评标期间出现符合资格条件的供应商或者对磋商文件作出实质响应的供应商（有效供应商）不足三家的，按政府</w:t>
      </w:r>
      <w:r>
        <w:rPr>
          <w:rFonts w:hint="eastAsia" w:ascii="宋体" w:hAnsi="宋体" w:eastAsia="宋体" w:cs="宋体"/>
          <w:szCs w:val="21"/>
        </w:rPr>
        <w:t>采购法律法规有关规定，依法继续进行或转为其它政府采购人式进行采购，或宣布本次招标失败，重新组织招标。</w:t>
      </w:r>
    </w:p>
    <w:p>
      <w:pPr>
        <w:spacing w:line="400" w:lineRule="exact"/>
        <w:ind w:firstLine="422" w:firstLineChars="200"/>
        <w:outlineLvl w:val="1"/>
        <w:rPr>
          <w:rFonts w:ascii="宋体" w:hAnsi="宋体" w:eastAsia="宋体" w:cs="宋体"/>
          <w:b/>
          <w:bCs/>
          <w:kern w:val="28"/>
        </w:rPr>
      </w:pPr>
      <w:bookmarkStart w:id="534" w:name="_Toc4000"/>
      <w:r>
        <w:rPr>
          <w:rFonts w:hint="eastAsia" w:ascii="宋体" w:hAnsi="宋体" w:eastAsia="宋体" w:cs="宋体"/>
          <w:b/>
          <w:bCs/>
          <w:kern w:val="28"/>
        </w:rPr>
        <w:t>三、评定办法</w:t>
      </w:r>
      <w:bookmarkEnd w:id="534"/>
    </w:p>
    <w:p>
      <w:pPr>
        <w:spacing w:line="400" w:lineRule="exact"/>
        <w:ind w:firstLine="420" w:firstLineChars="200"/>
        <w:rPr>
          <w:rFonts w:ascii="宋体" w:hAnsi="宋体" w:eastAsia="宋体" w:cs="宋体"/>
          <w:bCs/>
          <w:kern w:val="28"/>
        </w:rPr>
      </w:pPr>
      <w:r>
        <w:rPr>
          <w:rFonts w:hint="eastAsia" w:ascii="宋体" w:hAnsi="宋体" w:eastAsia="宋体" w:cs="宋体"/>
          <w:bCs/>
          <w:kern w:val="28"/>
        </w:rPr>
        <w:t>本次评标采用综合评分法，总分为100分，其中报价分30分、商务技术分70分。合格供应商的评标得分为各项目汇总得分。评分过程中数值计算采用四舍五入法，并保留小数2位。</w:t>
      </w:r>
    </w:p>
    <w:tbl>
      <w:tblPr>
        <w:tblStyle w:val="22"/>
        <w:tblpPr w:leftFromText="180" w:rightFromText="180" w:vertAnchor="text" w:horzAnchor="page" w:tblpXSpec="center" w:tblpY="814"/>
        <w:tblOverlap w:val="never"/>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459"/>
        <w:gridCol w:w="914"/>
        <w:gridCol w:w="1551"/>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421" w:type="pct"/>
            <w:vAlign w:val="center"/>
          </w:tcPr>
          <w:p>
            <w:pPr>
              <w:ind w:right="3"/>
              <w:jc w:val="center"/>
              <w:rPr>
                <w:rFonts w:ascii="宋体" w:hAnsi="宋体" w:eastAsia="宋体" w:cs="宋体"/>
                <w:b/>
                <w:bCs/>
                <w:szCs w:val="21"/>
              </w:rPr>
            </w:pPr>
            <w:r>
              <w:rPr>
                <w:rFonts w:hint="eastAsia" w:ascii="宋体" w:hAnsi="宋体" w:eastAsia="宋体" w:cs="宋体"/>
                <w:b/>
                <w:bCs/>
                <w:szCs w:val="21"/>
              </w:rPr>
              <w:t>序号</w:t>
            </w:r>
          </w:p>
        </w:tc>
        <w:tc>
          <w:tcPr>
            <w:tcW w:w="819" w:type="pct"/>
            <w:vAlign w:val="center"/>
          </w:tcPr>
          <w:p>
            <w:pPr>
              <w:ind w:right="3"/>
              <w:jc w:val="center"/>
              <w:rPr>
                <w:rFonts w:ascii="宋体" w:hAnsi="宋体" w:eastAsia="宋体" w:cs="宋体"/>
                <w:b/>
                <w:bCs/>
                <w:szCs w:val="21"/>
              </w:rPr>
            </w:pPr>
            <w:r>
              <w:rPr>
                <w:rFonts w:hint="eastAsia" w:ascii="宋体" w:hAnsi="宋体" w:eastAsia="宋体" w:cs="宋体"/>
                <w:b/>
                <w:bCs/>
                <w:szCs w:val="21"/>
              </w:rPr>
              <w:t>评审</w:t>
            </w:r>
          </w:p>
          <w:p>
            <w:pPr>
              <w:ind w:right="3"/>
              <w:jc w:val="center"/>
              <w:rPr>
                <w:rFonts w:ascii="宋体" w:hAnsi="宋体" w:eastAsia="宋体" w:cs="宋体"/>
                <w:b/>
                <w:bCs/>
                <w:szCs w:val="21"/>
              </w:rPr>
            </w:pPr>
            <w:r>
              <w:rPr>
                <w:rFonts w:hint="eastAsia" w:ascii="宋体" w:hAnsi="宋体" w:eastAsia="宋体" w:cs="宋体"/>
                <w:b/>
                <w:bCs/>
                <w:szCs w:val="21"/>
              </w:rPr>
              <w:t>类型</w:t>
            </w:r>
          </w:p>
        </w:tc>
        <w:tc>
          <w:tcPr>
            <w:tcW w:w="1384" w:type="pct"/>
            <w:gridSpan w:val="2"/>
            <w:vAlign w:val="center"/>
          </w:tcPr>
          <w:p>
            <w:pPr>
              <w:pStyle w:val="4"/>
              <w:ind w:firstLine="0"/>
              <w:jc w:val="center"/>
              <w:rPr>
                <w:rFonts w:ascii="宋体" w:hAnsi="宋体" w:eastAsia="宋体" w:cs="宋体"/>
                <w:b/>
                <w:bCs/>
                <w:sz w:val="21"/>
                <w:szCs w:val="21"/>
              </w:rPr>
            </w:pPr>
            <w:r>
              <w:rPr>
                <w:rFonts w:hint="eastAsia" w:ascii="宋体" w:hAnsi="宋体" w:eastAsia="宋体" w:cs="宋体"/>
                <w:b/>
                <w:bCs/>
                <w:sz w:val="21"/>
                <w:szCs w:val="21"/>
              </w:rPr>
              <w:t>评审内容</w:t>
            </w:r>
          </w:p>
        </w:tc>
        <w:tc>
          <w:tcPr>
            <w:tcW w:w="2374" w:type="pct"/>
            <w:vAlign w:val="center"/>
          </w:tcPr>
          <w:p>
            <w:pPr>
              <w:pStyle w:val="4"/>
              <w:ind w:firstLine="0"/>
              <w:jc w:val="center"/>
              <w:rPr>
                <w:rFonts w:ascii="宋体" w:hAnsi="宋体" w:eastAsia="宋体" w:cs="宋体"/>
                <w:b/>
                <w:bCs/>
                <w:sz w:val="21"/>
                <w:szCs w:val="21"/>
              </w:rPr>
            </w:pPr>
            <w:r>
              <w:rPr>
                <w:rFonts w:hint="eastAsia" w:ascii="宋体" w:hAnsi="宋体" w:eastAsia="宋体" w:cs="宋体"/>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21" w:type="pct"/>
            <w:vMerge w:val="restart"/>
            <w:vAlign w:val="center"/>
          </w:tcPr>
          <w:p>
            <w:pPr>
              <w:ind w:right="3"/>
              <w:jc w:val="center"/>
              <w:rPr>
                <w:rFonts w:ascii="宋体" w:hAnsi="宋体" w:eastAsia="宋体" w:cs="宋体"/>
                <w:spacing w:val="4"/>
                <w:szCs w:val="21"/>
              </w:rPr>
            </w:pPr>
            <w:r>
              <w:rPr>
                <w:rFonts w:hint="eastAsia" w:ascii="宋体" w:hAnsi="宋体" w:eastAsia="宋体" w:cs="宋体"/>
                <w:spacing w:val="4"/>
                <w:szCs w:val="21"/>
              </w:rPr>
              <w:t>1</w:t>
            </w:r>
          </w:p>
        </w:tc>
        <w:tc>
          <w:tcPr>
            <w:tcW w:w="819" w:type="pct"/>
            <w:vMerge w:val="restart"/>
            <w:vAlign w:val="center"/>
          </w:tcPr>
          <w:p>
            <w:pPr>
              <w:ind w:right="3"/>
              <w:jc w:val="center"/>
              <w:rPr>
                <w:rFonts w:ascii="宋体" w:hAnsi="宋体" w:eastAsia="宋体" w:cs="宋体"/>
                <w:b/>
                <w:bCs/>
                <w:kern w:val="28"/>
                <w:szCs w:val="21"/>
              </w:rPr>
            </w:pPr>
            <w:r>
              <w:rPr>
                <w:rFonts w:hint="eastAsia" w:ascii="宋体" w:hAnsi="宋体" w:eastAsia="宋体" w:cs="宋体"/>
                <w:b/>
                <w:szCs w:val="21"/>
              </w:rPr>
              <w:t>资格</w:t>
            </w:r>
            <w:r>
              <w:rPr>
                <w:rFonts w:hint="eastAsia" w:ascii="宋体" w:hAnsi="宋体" w:eastAsia="宋体" w:cs="宋体"/>
                <w:b/>
                <w:bCs/>
                <w:kern w:val="28"/>
                <w:szCs w:val="21"/>
              </w:rPr>
              <w:t>性</w:t>
            </w:r>
          </w:p>
          <w:p>
            <w:pPr>
              <w:ind w:right="3"/>
              <w:jc w:val="center"/>
              <w:rPr>
                <w:rFonts w:ascii="宋体" w:hAnsi="宋体" w:eastAsia="宋体" w:cs="宋体"/>
                <w:b/>
                <w:spacing w:val="4"/>
                <w:szCs w:val="21"/>
              </w:rPr>
            </w:pPr>
            <w:r>
              <w:rPr>
                <w:rFonts w:hint="eastAsia" w:ascii="宋体" w:hAnsi="宋体" w:eastAsia="宋体" w:cs="宋体"/>
                <w:b/>
                <w:bCs/>
                <w:kern w:val="28"/>
                <w:szCs w:val="21"/>
              </w:rPr>
              <w:t>检查</w:t>
            </w:r>
          </w:p>
        </w:tc>
        <w:tc>
          <w:tcPr>
            <w:tcW w:w="1384" w:type="pct"/>
            <w:gridSpan w:val="2"/>
            <w:vAlign w:val="center"/>
          </w:tcPr>
          <w:p>
            <w:pPr>
              <w:pStyle w:val="4"/>
              <w:ind w:firstLine="0"/>
              <w:jc w:val="center"/>
              <w:rPr>
                <w:rFonts w:ascii="宋体" w:hAnsi="宋体" w:eastAsia="宋体" w:cs="宋体"/>
                <w:sz w:val="21"/>
                <w:szCs w:val="21"/>
              </w:rPr>
            </w:pPr>
            <w:r>
              <w:rPr>
                <w:rFonts w:hint="eastAsia" w:ascii="宋体" w:hAnsi="宋体" w:eastAsia="宋体" w:cs="宋体"/>
                <w:sz w:val="21"/>
                <w:szCs w:val="21"/>
              </w:rPr>
              <w:t>营业执照</w:t>
            </w:r>
          </w:p>
        </w:tc>
        <w:tc>
          <w:tcPr>
            <w:tcW w:w="2374" w:type="pct"/>
            <w:vAlign w:val="center"/>
          </w:tcPr>
          <w:p>
            <w:pPr>
              <w:pStyle w:val="4"/>
              <w:ind w:firstLine="0"/>
              <w:jc w:val="center"/>
              <w:rPr>
                <w:rFonts w:ascii="宋体" w:hAnsi="宋体" w:eastAsia="宋体" w:cs="宋体"/>
                <w:sz w:val="21"/>
                <w:szCs w:val="21"/>
              </w:rPr>
            </w:pPr>
            <w:r>
              <w:rPr>
                <w:rFonts w:hint="eastAsia" w:ascii="宋体" w:hAnsi="宋体" w:eastAsia="宋体" w:cs="宋体"/>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421" w:type="pct"/>
            <w:vMerge w:val="continue"/>
            <w:vAlign w:val="center"/>
          </w:tcPr>
          <w:p>
            <w:pPr>
              <w:ind w:right="3"/>
              <w:jc w:val="center"/>
              <w:rPr>
                <w:rFonts w:ascii="宋体" w:hAnsi="宋体" w:eastAsia="宋体" w:cs="宋体"/>
                <w:spacing w:val="4"/>
                <w:szCs w:val="21"/>
              </w:rPr>
            </w:pPr>
          </w:p>
        </w:tc>
        <w:tc>
          <w:tcPr>
            <w:tcW w:w="819" w:type="pct"/>
            <w:vMerge w:val="continue"/>
            <w:vAlign w:val="center"/>
          </w:tcPr>
          <w:p>
            <w:pPr>
              <w:ind w:right="3"/>
              <w:jc w:val="center"/>
              <w:rPr>
                <w:rFonts w:ascii="宋体" w:hAnsi="宋体" w:eastAsia="宋体" w:cs="宋体"/>
                <w:b/>
                <w:szCs w:val="21"/>
              </w:rPr>
            </w:pPr>
          </w:p>
        </w:tc>
        <w:tc>
          <w:tcPr>
            <w:tcW w:w="1384" w:type="pct"/>
            <w:gridSpan w:val="2"/>
            <w:vAlign w:val="center"/>
          </w:tcPr>
          <w:p>
            <w:pPr>
              <w:pStyle w:val="4"/>
              <w:ind w:firstLine="0"/>
              <w:jc w:val="center"/>
              <w:rPr>
                <w:rFonts w:ascii="宋体" w:hAnsi="宋体" w:eastAsia="宋体" w:cs="宋体"/>
                <w:sz w:val="21"/>
                <w:szCs w:val="21"/>
              </w:rPr>
            </w:pPr>
            <w:r>
              <w:rPr>
                <w:rFonts w:hint="eastAsia" w:ascii="宋体" w:hAnsi="宋体" w:eastAsia="宋体" w:cs="宋体"/>
                <w:sz w:val="21"/>
                <w:szCs w:val="21"/>
              </w:rPr>
              <w:t>供应商资格</w:t>
            </w:r>
          </w:p>
        </w:tc>
        <w:tc>
          <w:tcPr>
            <w:tcW w:w="2374" w:type="pct"/>
            <w:vAlign w:val="center"/>
          </w:tcPr>
          <w:p>
            <w:pPr>
              <w:pStyle w:val="4"/>
              <w:ind w:firstLine="0"/>
              <w:jc w:val="center"/>
              <w:rPr>
                <w:rFonts w:ascii="宋体" w:hAnsi="宋体" w:eastAsia="宋体" w:cs="宋体"/>
                <w:sz w:val="21"/>
                <w:szCs w:val="21"/>
              </w:rPr>
            </w:pPr>
            <w:r>
              <w:rPr>
                <w:rFonts w:hint="eastAsia" w:ascii="宋体" w:hAnsi="宋体" w:eastAsia="宋体" w:cs="宋体"/>
                <w:sz w:val="21"/>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421" w:type="pct"/>
            <w:vMerge w:val="continue"/>
            <w:vAlign w:val="center"/>
          </w:tcPr>
          <w:p>
            <w:pPr>
              <w:ind w:right="3"/>
              <w:jc w:val="center"/>
              <w:rPr>
                <w:rFonts w:ascii="宋体" w:hAnsi="宋体" w:eastAsia="宋体" w:cs="宋体"/>
                <w:spacing w:val="4"/>
                <w:szCs w:val="21"/>
              </w:rPr>
            </w:pPr>
          </w:p>
        </w:tc>
        <w:tc>
          <w:tcPr>
            <w:tcW w:w="819" w:type="pct"/>
            <w:vMerge w:val="continue"/>
            <w:vAlign w:val="center"/>
          </w:tcPr>
          <w:p>
            <w:pPr>
              <w:ind w:right="3"/>
              <w:jc w:val="center"/>
              <w:rPr>
                <w:rFonts w:ascii="宋体" w:hAnsi="宋体" w:eastAsia="宋体" w:cs="宋体"/>
                <w:b/>
                <w:szCs w:val="21"/>
              </w:rPr>
            </w:pPr>
          </w:p>
        </w:tc>
        <w:tc>
          <w:tcPr>
            <w:tcW w:w="1384" w:type="pct"/>
            <w:gridSpan w:val="2"/>
            <w:vAlign w:val="center"/>
          </w:tcPr>
          <w:p>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法定代表人授权委托书或法定代表人身份证明</w:t>
            </w:r>
          </w:p>
        </w:tc>
        <w:tc>
          <w:tcPr>
            <w:tcW w:w="2374" w:type="pct"/>
            <w:vAlign w:val="center"/>
          </w:tcPr>
          <w:p>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421" w:type="pct"/>
            <w:vMerge w:val="continue"/>
            <w:vAlign w:val="center"/>
          </w:tcPr>
          <w:p>
            <w:pPr>
              <w:ind w:right="3"/>
              <w:jc w:val="center"/>
              <w:rPr>
                <w:rFonts w:ascii="宋体" w:hAnsi="宋体" w:eastAsia="宋体" w:cs="宋体"/>
                <w:spacing w:val="4"/>
                <w:szCs w:val="21"/>
              </w:rPr>
            </w:pPr>
          </w:p>
        </w:tc>
        <w:tc>
          <w:tcPr>
            <w:tcW w:w="819" w:type="pct"/>
            <w:vMerge w:val="continue"/>
            <w:vAlign w:val="center"/>
          </w:tcPr>
          <w:p>
            <w:pPr>
              <w:ind w:right="3"/>
              <w:jc w:val="center"/>
              <w:rPr>
                <w:rFonts w:ascii="宋体" w:hAnsi="宋体" w:eastAsia="宋体" w:cs="宋体"/>
                <w:b/>
                <w:szCs w:val="21"/>
              </w:rPr>
            </w:pPr>
          </w:p>
        </w:tc>
        <w:tc>
          <w:tcPr>
            <w:tcW w:w="1384" w:type="pct"/>
            <w:gridSpan w:val="2"/>
            <w:vAlign w:val="center"/>
          </w:tcPr>
          <w:p>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特定资格</w:t>
            </w:r>
          </w:p>
        </w:tc>
        <w:tc>
          <w:tcPr>
            <w:tcW w:w="2374" w:type="pct"/>
            <w:vAlign w:val="center"/>
          </w:tcPr>
          <w:p>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421" w:type="pct"/>
            <w:vMerge w:val="continue"/>
            <w:vAlign w:val="center"/>
          </w:tcPr>
          <w:p>
            <w:pPr>
              <w:ind w:right="3"/>
              <w:jc w:val="center"/>
              <w:rPr>
                <w:rFonts w:ascii="宋体" w:hAnsi="宋体" w:eastAsia="宋体" w:cs="宋体"/>
                <w:spacing w:val="4"/>
                <w:szCs w:val="21"/>
              </w:rPr>
            </w:pPr>
          </w:p>
        </w:tc>
        <w:tc>
          <w:tcPr>
            <w:tcW w:w="819" w:type="pct"/>
            <w:vMerge w:val="continue"/>
            <w:vAlign w:val="center"/>
          </w:tcPr>
          <w:p>
            <w:pPr>
              <w:ind w:right="3"/>
              <w:jc w:val="center"/>
              <w:rPr>
                <w:rFonts w:ascii="宋体" w:hAnsi="宋体" w:eastAsia="宋体" w:cs="宋体"/>
                <w:b/>
                <w:szCs w:val="21"/>
              </w:rPr>
            </w:pPr>
          </w:p>
        </w:tc>
        <w:tc>
          <w:tcPr>
            <w:tcW w:w="1384" w:type="pct"/>
            <w:gridSpan w:val="2"/>
            <w:vAlign w:val="center"/>
          </w:tcPr>
          <w:p>
            <w:pPr>
              <w:pStyle w:val="4"/>
              <w:spacing w:line="32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中小企业声明函</w:t>
            </w:r>
          </w:p>
        </w:tc>
        <w:tc>
          <w:tcPr>
            <w:tcW w:w="2374" w:type="pct"/>
            <w:vAlign w:val="center"/>
          </w:tcPr>
          <w:p>
            <w:pPr>
              <w:pStyle w:val="4"/>
              <w:spacing w:line="32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421" w:type="pct"/>
            <w:vMerge w:val="continue"/>
            <w:vAlign w:val="center"/>
          </w:tcPr>
          <w:p>
            <w:pPr>
              <w:ind w:right="3"/>
              <w:jc w:val="center"/>
              <w:rPr>
                <w:rFonts w:ascii="宋体" w:hAnsi="宋体" w:eastAsia="宋体" w:cs="宋体"/>
                <w:szCs w:val="21"/>
              </w:rPr>
            </w:pPr>
          </w:p>
        </w:tc>
        <w:tc>
          <w:tcPr>
            <w:tcW w:w="819" w:type="pct"/>
            <w:vMerge w:val="continue"/>
            <w:vAlign w:val="center"/>
          </w:tcPr>
          <w:p>
            <w:pPr>
              <w:ind w:right="3"/>
              <w:jc w:val="center"/>
              <w:rPr>
                <w:rFonts w:ascii="宋体" w:hAnsi="宋体" w:eastAsia="宋体" w:cs="宋体"/>
                <w:szCs w:val="21"/>
              </w:rPr>
            </w:pPr>
          </w:p>
        </w:tc>
        <w:tc>
          <w:tcPr>
            <w:tcW w:w="1384" w:type="pct"/>
            <w:gridSpan w:val="2"/>
            <w:vAlign w:val="center"/>
          </w:tcPr>
          <w:p>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提供关于《中华人民共和国政府采购法》第二十二条规定的承诺函</w:t>
            </w:r>
          </w:p>
        </w:tc>
        <w:tc>
          <w:tcPr>
            <w:tcW w:w="2374" w:type="pct"/>
            <w:vAlign w:val="center"/>
          </w:tcPr>
          <w:p>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1" w:type="pct"/>
            <w:vMerge w:val="continue"/>
            <w:vAlign w:val="center"/>
          </w:tcPr>
          <w:p>
            <w:pPr>
              <w:ind w:right="3"/>
              <w:jc w:val="center"/>
              <w:rPr>
                <w:rFonts w:ascii="宋体" w:hAnsi="宋体" w:eastAsia="宋体" w:cs="宋体"/>
                <w:szCs w:val="21"/>
              </w:rPr>
            </w:pPr>
          </w:p>
        </w:tc>
        <w:tc>
          <w:tcPr>
            <w:tcW w:w="819" w:type="pct"/>
            <w:vMerge w:val="continue"/>
            <w:vAlign w:val="center"/>
          </w:tcPr>
          <w:p>
            <w:pPr>
              <w:ind w:right="3"/>
              <w:jc w:val="center"/>
              <w:rPr>
                <w:rFonts w:ascii="宋体" w:hAnsi="宋体" w:eastAsia="宋体" w:cs="宋体"/>
                <w:szCs w:val="21"/>
              </w:rPr>
            </w:pPr>
          </w:p>
        </w:tc>
        <w:tc>
          <w:tcPr>
            <w:tcW w:w="1384" w:type="pct"/>
            <w:gridSpan w:val="2"/>
            <w:vAlign w:val="center"/>
          </w:tcPr>
          <w:p>
            <w:pPr>
              <w:pStyle w:val="4"/>
              <w:widowControl/>
              <w:spacing w:line="400" w:lineRule="exact"/>
              <w:ind w:firstLine="0"/>
              <w:jc w:val="center"/>
              <w:rPr>
                <w:rFonts w:ascii="宋体" w:hAnsi="宋体" w:eastAsia="宋体" w:cs="宋体"/>
                <w:sz w:val="21"/>
                <w:szCs w:val="21"/>
              </w:rPr>
            </w:pPr>
            <w:r>
              <w:rPr>
                <w:rFonts w:hint="eastAsia" w:ascii="宋体" w:hAnsi="宋体" w:eastAsia="宋体" w:cs="宋体"/>
                <w:sz w:val="21"/>
                <w:szCs w:val="21"/>
              </w:rPr>
              <w:t>未被“信用中国”、“中国政府采购网”、列入失信被执行人、重大违法案件当事人名单、政府采购严重违法失信行为记录名单。（以采购组织机构在开标当日在“信用中国”（www.creditchina.goV.cn）、中国政府采购网（www.ccgp.goV.cn）网页查询记录为准。）</w:t>
            </w:r>
          </w:p>
        </w:tc>
        <w:tc>
          <w:tcPr>
            <w:tcW w:w="2374" w:type="pct"/>
            <w:vAlign w:val="center"/>
          </w:tcPr>
          <w:p>
            <w:pPr>
              <w:pStyle w:val="4"/>
              <w:widowControl/>
              <w:spacing w:line="400" w:lineRule="exact"/>
              <w:ind w:firstLine="0"/>
              <w:jc w:val="center"/>
              <w:rPr>
                <w:rFonts w:ascii="宋体" w:hAnsi="宋体" w:eastAsia="宋体" w:cs="宋体"/>
                <w:sz w:val="21"/>
                <w:szCs w:val="21"/>
              </w:rPr>
            </w:pPr>
            <w:r>
              <w:rPr>
                <w:rFonts w:hint="eastAsia" w:ascii="宋体" w:hAnsi="宋体" w:eastAsia="宋体" w:cs="宋体"/>
                <w:sz w:val="21"/>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421" w:type="pct"/>
            <w:vMerge w:val="restart"/>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r>
              <w:rPr>
                <w:rFonts w:hint="eastAsia" w:ascii="宋体" w:hAnsi="宋体" w:eastAsia="宋体" w:cs="宋体"/>
                <w:szCs w:val="21"/>
              </w:rPr>
              <w:t>2</w:t>
            </w:r>
          </w:p>
        </w:tc>
        <w:tc>
          <w:tcPr>
            <w:tcW w:w="819" w:type="pct"/>
            <w:vMerge w:val="restart"/>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b/>
                <w:bCs/>
                <w:kern w:val="28"/>
                <w:szCs w:val="21"/>
              </w:rPr>
            </w:pPr>
            <w:r>
              <w:rPr>
                <w:rFonts w:hint="eastAsia" w:ascii="宋体" w:hAnsi="宋体" w:eastAsia="宋体" w:cs="宋体"/>
                <w:b/>
                <w:bCs/>
                <w:kern w:val="28"/>
                <w:szCs w:val="21"/>
              </w:rPr>
              <w:t>符合性</w:t>
            </w:r>
          </w:p>
          <w:p>
            <w:pPr>
              <w:ind w:right="3"/>
              <w:jc w:val="center"/>
              <w:rPr>
                <w:rFonts w:ascii="宋体" w:hAnsi="宋体" w:eastAsia="宋体" w:cs="宋体"/>
                <w:b/>
                <w:szCs w:val="21"/>
              </w:rPr>
            </w:pPr>
            <w:r>
              <w:rPr>
                <w:rFonts w:hint="eastAsia" w:ascii="宋体" w:hAnsi="宋体" w:eastAsia="宋体" w:cs="宋体"/>
                <w:b/>
                <w:bCs/>
                <w:kern w:val="28"/>
                <w:szCs w:val="21"/>
              </w:rPr>
              <w:t>检查</w:t>
            </w:r>
          </w:p>
        </w:tc>
        <w:tc>
          <w:tcPr>
            <w:tcW w:w="1384" w:type="pct"/>
            <w:gridSpan w:val="2"/>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eastAsia="宋体" w:cs="宋体"/>
                <w:sz w:val="21"/>
                <w:szCs w:val="21"/>
              </w:rPr>
            </w:pPr>
            <w:r>
              <w:rPr>
                <w:rFonts w:hint="eastAsia" w:ascii="宋体" w:hAnsi="宋体" w:eastAsia="宋体" w:cs="宋体"/>
                <w:sz w:val="21"/>
                <w:szCs w:val="21"/>
              </w:rPr>
              <w:t>供应商名称</w:t>
            </w:r>
          </w:p>
        </w:tc>
        <w:tc>
          <w:tcPr>
            <w:tcW w:w="2374" w:type="pct"/>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eastAsia="宋体" w:cs="宋体"/>
                <w:sz w:val="21"/>
                <w:szCs w:val="21"/>
              </w:rPr>
            </w:pPr>
            <w:r>
              <w:rPr>
                <w:rFonts w:hint="eastAsia" w:ascii="宋体" w:hAnsi="宋体" w:eastAsia="宋体" w:cs="宋体"/>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819"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138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磋商响应函签字盖章</w:t>
            </w:r>
          </w:p>
        </w:tc>
        <w:tc>
          <w:tcPr>
            <w:tcW w:w="237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有法定代表人或其授权代表签字</w:t>
            </w:r>
          </w:p>
          <w:p>
            <w:pPr>
              <w:jc w:val="center"/>
              <w:rPr>
                <w:szCs w:val="21"/>
              </w:rPr>
            </w:pPr>
            <w:r>
              <w:rPr>
                <w:rFonts w:hint="eastAsia"/>
                <w:szCs w:val="21"/>
              </w:rPr>
              <w:t>并加盖电子签章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819"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138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磋商响应文件格式</w:t>
            </w:r>
          </w:p>
        </w:tc>
        <w:tc>
          <w:tcPr>
            <w:tcW w:w="237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符合第五部分“磋商响应文件格式”的要求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819"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1384" w:type="pct"/>
            <w:gridSpan w:val="2"/>
            <w:tcBorders>
              <w:top w:val="single" w:color="auto" w:sz="4" w:space="0"/>
              <w:left w:val="single" w:color="auto" w:sz="4" w:space="0"/>
              <w:bottom w:val="single" w:color="auto" w:sz="4" w:space="0"/>
              <w:right w:val="single" w:color="auto" w:sz="4" w:space="0"/>
            </w:tcBorders>
            <w:vAlign w:val="center"/>
          </w:tcPr>
          <w:p>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磋商响应文件编制</w:t>
            </w:r>
          </w:p>
        </w:tc>
        <w:tc>
          <w:tcPr>
            <w:tcW w:w="237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资格审查部分、商务技术部分和报价部分</w:t>
            </w:r>
          </w:p>
          <w:p>
            <w:pPr>
              <w:jc w:val="center"/>
              <w:rPr>
                <w:szCs w:val="21"/>
              </w:rPr>
            </w:pPr>
            <w:r>
              <w:rPr>
                <w:rFonts w:hint="eastAsia"/>
                <w:szCs w:val="21"/>
              </w:rPr>
              <w:t>三部分内容分开制作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819"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138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投标有效期</w:t>
            </w:r>
          </w:p>
        </w:tc>
        <w:tc>
          <w:tcPr>
            <w:tcW w:w="237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819" w:type="pct"/>
            <w:vMerge w:val="continue"/>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eastAsia="宋体" w:cs="宋体"/>
                <w:szCs w:val="21"/>
              </w:rPr>
            </w:pPr>
          </w:p>
        </w:tc>
        <w:tc>
          <w:tcPr>
            <w:tcW w:w="1384" w:type="pct"/>
            <w:gridSpan w:val="2"/>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eastAsia="宋体" w:cs="宋体"/>
                <w:sz w:val="21"/>
                <w:szCs w:val="21"/>
              </w:rPr>
            </w:pPr>
            <w:r>
              <w:rPr>
                <w:rFonts w:hint="eastAsia" w:ascii="宋体" w:hAnsi="宋体" w:eastAsia="宋体" w:cs="宋体"/>
                <w:sz w:val="21"/>
                <w:szCs w:val="21"/>
              </w:rPr>
              <w:t>磋商响应文件实质性</w:t>
            </w:r>
          </w:p>
          <w:p>
            <w:pPr>
              <w:pStyle w:val="4"/>
              <w:ind w:firstLine="0"/>
              <w:jc w:val="center"/>
              <w:rPr>
                <w:rFonts w:ascii="宋体" w:hAnsi="宋体" w:eastAsia="宋体" w:cs="宋体"/>
                <w:sz w:val="21"/>
                <w:szCs w:val="21"/>
              </w:rPr>
            </w:pPr>
            <w:r>
              <w:rPr>
                <w:rFonts w:hint="eastAsia" w:ascii="宋体" w:hAnsi="宋体" w:eastAsia="宋体" w:cs="宋体"/>
                <w:sz w:val="21"/>
                <w:szCs w:val="21"/>
              </w:rPr>
              <w:t>内容</w:t>
            </w:r>
          </w:p>
        </w:tc>
        <w:tc>
          <w:tcPr>
            <w:tcW w:w="2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实质性响应磋商文件要求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ascii="宋体" w:hAnsi="宋体" w:eastAsia="宋体" w:cs="宋体"/>
                <w:szCs w:val="21"/>
              </w:rPr>
            </w:pPr>
            <w:r>
              <w:rPr>
                <w:rFonts w:hint="eastAsia" w:ascii="宋体" w:hAnsi="宋体" w:eastAsia="宋体" w:cs="宋体"/>
                <w:szCs w:val="21"/>
              </w:rPr>
              <w:t>3</w:t>
            </w:r>
          </w:p>
        </w:tc>
        <w:tc>
          <w:tcPr>
            <w:tcW w:w="819" w:type="pct"/>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ascii="宋体" w:hAnsi="宋体" w:eastAsia="宋体" w:cs="宋体"/>
                <w:b/>
                <w:szCs w:val="21"/>
              </w:rPr>
            </w:pPr>
            <w:r>
              <w:rPr>
                <w:rFonts w:hint="eastAsia" w:ascii="宋体" w:hAnsi="宋体" w:eastAsia="宋体" w:cs="宋体"/>
                <w:b/>
                <w:szCs w:val="21"/>
              </w:rPr>
              <w:t>无效标</w:t>
            </w:r>
          </w:p>
          <w:p>
            <w:pPr>
              <w:spacing w:line="360" w:lineRule="exact"/>
              <w:ind w:right="3"/>
              <w:jc w:val="center"/>
              <w:rPr>
                <w:rFonts w:ascii="宋体" w:hAnsi="宋体" w:eastAsia="宋体" w:cs="宋体"/>
                <w:b/>
                <w:szCs w:val="21"/>
              </w:rPr>
            </w:pPr>
            <w:r>
              <w:rPr>
                <w:rFonts w:hint="eastAsia" w:ascii="宋体" w:hAnsi="宋体" w:eastAsia="宋体" w:cs="宋体"/>
                <w:b/>
                <w:szCs w:val="21"/>
              </w:rPr>
              <w:t>条款</w:t>
            </w:r>
          </w:p>
        </w:tc>
        <w:tc>
          <w:tcPr>
            <w:tcW w:w="3758"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rPr>
            </w:pPr>
            <w:r>
              <w:rPr>
                <w:rFonts w:hint="eastAsia"/>
              </w:rPr>
              <w:t>(1)报价不是固定的或超过预算金额的或超过最高限价的；</w:t>
            </w:r>
          </w:p>
          <w:p>
            <w:pPr>
              <w:spacing w:line="360" w:lineRule="auto"/>
              <w:rPr>
                <w:rFonts w:hint="eastAsia"/>
              </w:rPr>
            </w:pPr>
            <w:r>
              <w:rPr>
                <w:rFonts w:hint="eastAsia"/>
              </w:rPr>
              <w:t>(2)未在报价时限内提交最后报价的；</w:t>
            </w:r>
          </w:p>
          <w:p>
            <w:pPr>
              <w:spacing w:line="360" w:lineRule="auto"/>
              <w:rPr>
                <w:rFonts w:hint="eastAsia"/>
              </w:rPr>
            </w:pPr>
            <w:r>
              <w:rPr>
                <w:rFonts w:hint="eastAsia"/>
              </w:rPr>
              <w:t>(3)磋商小组认为响应文件未实质性响应磋商文件的要求的；</w:t>
            </w:r>
          </w:p>
          <w:p>
            <w:pPr>
              <w:spacing w:line="360" w:lineRule="auto"/>
              <w:rPr>
                <w:rFonts w:hint="eastAsia"/>
              </w:rPr>
            </w:pPr>
            <w:r>
              <w:rPr>
                <w:rFonts w:hint="eastAsia"/>
              </w:rPr>
              <w:t>(4)响应文件中载明的</w:t>
            </w:r>
            <w:r>
              <w:rPr>
                <w:rFonts w:hint="eastAsia"/>
                <w:lang w:val="en-US" w:eastAsia="zh-CN"/>
              </w:rPr>
              <w:t>供货期限</w:t>
            </w:r>
            <w:r>
              <w:rPr>
                <w:rFonts w:hint="eastAsia"/>
              </w:rPr>
              <w:t>超过磋商文件中规定的</w:t>
            </w:r>
            <w:r>
              <w:rPr>
                <w:rFonts w:hint="eastAsia"/>
                <w:lang w:val="en-US" w:eastAsia="zh-CN"/>
              </w:rPr>
              <w:t>供货期限</w:t>
            </w:r>
            <w:r>
              <w:rPr>
                <w:rFonts w:hint="eastAsia"/>
              </w:rPr>
              <w:t>；</w:t>
            </w:r>
          </w:p>
          <w:p>
            <w:pPr>
              <w:spacing w:line="360" w:lineRule="auto"/>
              <w:rPr>
                <w:rFonts w:hint="eastAsia"/>
              </w:rPr>
            </w:pPr>
            <w:r>
              <w:rPr>
                <w:rFonts w:hint="eastAsia"/>
              </w:rPr>
              <w:t>(5)在报价评审中，发现价格计算有误，又不接受磋商小组修正的报价；</w:t>
            </w:r>
          </w:p>
          <w:p>
            <w:pPr>
              <w:spacing w:line="360" w:lineRule="auto"/>
              <w:rPr>
                <w:rFonts w:hint="eastAsia"/>
              </w:rPr>
            </w:pPr>
            <w:r>
              <w:rPr>
                <w:rFonts w:hint="eastAsia"/>
              </w:rPr>
              <w:t>(6)不具备磋商文件中规定资格要求的；</w:t>
            </w:r>
          </w:p>
          <w:p>
            <w:pPr>
              <w:spacing w:line="360" w:lineRule="auto"/>
              <w:rPr>
                <w:rFonts w:hint="eastAsia"/>
              </w:rPr>
            </w:pPr>
            <w:r>
              <w:rPr>
                <w:rFonts w:hint="eastAsia"/>
              </w:rPr>
              <w:t>(7)未按规定提供关于满足《中华人民共和国政府采购法》第二十二条规定的承诺函的；</w:t>
            </w:r>
          </w:p>
          <w:p>
            <w:pPr>
              <w:spacing w:line="360" w:lineRule="auto"/>
              <w:rPr>
                <w:rFonts w:hint="eastAsia"/>
              </w:rPr>
            </w:pPr>
            <w:r>
              <w:rPr>
                <w:rFonts w:hint="eastAsia"/>
              </w:rPr>
              <w:t>(8)投标截止时间止，供应商仅递交了“备份响应文件”而未将电子加密投标文件上传至“政府采购云平台”的；</w:t>
            </w:r>
          </w:p>
          <w:p>
            <w:pPr>
              <w:spacing w:line="360" w:lineRule="auto"/>
              <w:rPr>
                <w:rFonts w:hint="eastAsia"/>
              </w:rPr>
            </w:pPr>
            <w:r>
              <w:rPr>
                <w:rFonts w:hint="eastAsia"/>
              </w:rPr>
              <w:t>(9)电子响应文件解密失败的，且未在规定时间内提交备份响应文件的；</w:t>
            </w:r>
          </w:p>
          <w:p>
            <w:pPr>
              <w:spacing w:line="360" w:lineRule="auto"/>
              <w:rPr>
                <w:rFonts w:hint="eastAsia"/>
              </w:rPr>
            </w:pPr>
            <w:r>
              <w:rPr>
                <w:rFonts w:hint="eastAsia"/>
              </w:rPr>
              <w:t>(10)未提供中小型企业声明函或磋商供应商不属于中小型企业的；</w:t>
            </w:r>
          </w:p>
          <w:p>
            <w:pPr>
              <w:spacing w:line="360" w:lineRule="auto"/>
              <w:rPr>
                <w:rFonts w:hint="eastAsia"/>
              </w:rPr>
            </w:pPr>
            <w:r>
              <w:rPr>
                <w:rFonts w:hint="eastAsia"/>
              </w:rPr>
              <w:t>(11)资格性审查、符合性审查不符合要求的；</w:t>
            </w:r>
          </w:p>
          <w:p>
            <w:pPr>
              <w:spacing w:line="360" w:lineRule="auto"/>
              <w:rPr>
                <w:rFonts w:hint="eastAsia"/>
              </w:rPr>
            </w:pPr>
            <w:r>
              <w:rPr>
                <w:rFonts w:hint="eastAsia"/>
              </w:rPr>
              <w:t>(12)存在串标、抬标或弄虚作假情况的；</w:t>
            </w:r>
          </w:p>
          <w:p>
            <w:pPr>
              <w:spacing w:line="360" w:lineRule="auto"/>
              <w:rPr>
                <w:rFonts w:hint="eastAsia"/>
              </w:rPr>
            </w:pPr>
            <w:r>
              <w:rPr>
                <w:rFonts w:hint="eastAsia"/>
              </w:rPr>
              <w:t xml:space="preserve">(13)磋商响应文件中需签字或盖章的地方未加盖磋商供应商单位全称的电子签章，或使用投标专用章、合同章等类似图章代替，或未经法定代表人或其委托代理人签字或盖章； </w:t>
            </w:r>
          </w:p>
          <w:p>
            <w:pPr>
              <w:spacing w:line="360" w:lineRule="auto"/>
              <w:rPr>
                <w:rFonts w:hint="eastAsia"/>
              </w:rPr>
            </w:pPr>
            <w:r>
              <w:rPr>
                <w:rFonts w:hint="eastAsia"/>
              </w:rPr>
              <w:t>(14)磋商响应文件存在一个或一个以上备选（替代）投标方案的；</w:t>
            </w:r>
          </w:p>
          <w:p>
            <w:pPr>
              <w:spacing w:line="360" w:lineRule="auto"/>
              <w:rPr>
                <w:rFonts w:hint="eastAsia"/>
              </w:rPr>
            </w:pPr>
            <w:r>
              <w:rPr>
                <w:rFonts w:hint="eastAsia"/>
              </w:rPr>
              <w:t>(15)在磋商结束前，磋商供应商发生重大变化或变更，未及时告知采购人或不再具备磋商文件规定的资格条件或者其投标影响招标公正性的；</w:t>
            </w:r>
          </w:p>
          <w:p>
            <w:pPr>
              <w:spacing w:line="360" w:lineRule="auto"/>
              <w:rPr>
                <w:rFonts w:hint="eastAsia"/>
              </w:rPr>
            </w:pPr>
            <w:r>
              <w:rPr>
                <w:rFonts w:hint="eastAsia"/>
              </w:rPr>
              <w:t>(16)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pPr>
              <w:spacing w:line="360" w:lineRule="auto"/>
              <w:rPr>
                <w:rFonts w:hint="eastAsia"/>
              </w:rPr>
            </w:pPr>
            <w:r>
              <w:rPr>
                <w:rFonts w:hint="eastAsia"/>
              </w:rPr>
              <w:t>(17)不是法定代表人未在磋商响应文件中提供有效法定代表人授权委托书的；</w:t>
            </w:r>
          </w:p>
          <w:p>
            <w:pPr>
              <w:spacing w:line="360" w:lineRule="auto"/>
              <w:rPr>
                <w:rFonts w:hint="eastAsia"/>
              </w:rPr>
            </w:pPr>
            <w:r>
              <w:rPr>
                <w:rFonts w:hint="eastAsia"/>
              </w:rPr>
              <w:t>(18)被列入失信被执行人、重大税收违法案件当事人名单、政府采购严重违法失信行为记录名单的；</w:t>
            </w:r>
          </w:p>
          <w:p>
            <w:pPr>
              <w:spacing w:line="360" w:lineRule="auto"/>
            </w:pPr>
            <w:r>
              <w:rPr>
                <w:rFonts w:hint="eastAsia"/>
              </w:rPr>
              <w:t>(1</w:t>
            </w:r>
            <w:r>
              <w:rPr>
                <w:rFonts w:hint="eastAsia"/>
                <w:lang w:val="en-US" w:eastAsia="zh-CN"/>
              </w:rPr>
              <w:t>9</w:t>
            </w:r>
            <w:r>
              <w:rPr>
                <w:rFonts w:hint="eastAsia"/>
              </w:rPr>
              <w:t>)不符合法律、法规和磋商文件中规定的其他实质性要求的。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tcBorders>
              <w:top w:val="single" w:color="auto" w:sz="4" w:space="0"/>
            </w:tcBorders>
            <w:vAlign w:val="center"/>
          </w:tcPr>
          <w:p>
            <w:pPr>
              <w:spacing w:line="360" w:lineRule="exact"/>
              <w:jc w:val="center"/>
              <w:rPr>
                <w:rFonts w:ascii="宋体" w:hAnsi="宋体" w:eastAsia="宋体" w:cs="宋体"/>
                <w:b/>
                <w:kern w:val="28"/>
                <w:szCs w:val="21"/>
              </w:rPr>
            </w:pPr>
            <w:r>
              <w:rPr>
                <w:rFonts w:hint="eastAsia" w:ascii="宋体" w:hAnsi="宋体" w:eastAsia="宋体" w:cs="宋体"/>
                <w:b/>
                <w:kern w:val="28"/>
                <w:szCs w:val="21"/>
              </w:rPr>
              <w:t>序号</w:t>
            </w:r>
          </w:p>
        </w:tc>
        <w:tc>
          <w:tcPr>
            <w:tcW w:w="819" w:type="pct"/>
            <w:tcBorders>
              <w:top w:val="single" w:color="auto" w:sz="4" w:space="0"/>
            </w:tcBorders>
            <w:vAlign w:val="center"/>
          </w:tcPr>
          <w:p>
            <w:pPr>
              <w:spacing w:line="360" w:lineRule="exact"/>
              <w:jc w:val="center"/>
              <w:rPr>
                <w:rFonts w:ascii="宋体" w:hAnsi="宋体" w:eastAsia="宋体" w:cs="宋体"/>
                <w:b/>
                <w:kern w:val="28"/>
                <w:szCs w:val="21"/>
              </w:rPr>
            </w:pPr>
            <w:r>
              <w:rPr>
                <w:rFonts w:hint="eastAsia" w:ascii="宋体" w:hAnsi="宋体" w:eastAsia="宋体" w:cs="宋体"/>
                <w:b/>
                <w:kern w:val="28"/>
                <w:szCs w:val="21"/>
              </w:rPr>
              <w:t>评审内容及分值</w:t>
            </w:r>
          </w:p>
        </w:tc>
        <w:tc>
          <w:tcPr>
            <w:tcW w:w="3758" w:type="pct"/>
            <w:gridSpan w:val="3"/>
            <w:tcBorders>
              <w:top w:val="single" w:color="auto" w:sz="4" w:space="0"/>
            </w:tcBorders>
            <w:vAlign w:val="center"/>
          </w:tcPr>
          <w:p>
            <w:pPr>
              <w:spacing w:line="360" w:lineRule="exact"/>
              <w:jc w:val="center"/>
              <w:rPr>
                <w:rFonts w:ascii="宋体" w:hAnsi="宋体" w:eastAsia="宋体" w:cs="宋体"/>
                <w:b/>
                <w:kern w:val="28"/>
                <w:szCs w:val="21"/>
              </w:rPr>
            </w:pPr>
            <w:r>
              <w:rPr>
                <w:rFonts w:hint="eastAsia" w:ascii="宋体" w:hAnsi="宋体" w:eastAsia="宋体" w:cs="宋体"/>
                <w:b/>
                <w:kern w:val="28"/>
                <w:szCs w:val="21"/>
              </w:rPr>
              <w:t>合计30分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421" w:type="pct"/>
            <w:vAlign w:val="center"/>
          </w:tcPr>
          <w:p>
            <w:pPr>
              <w:spacing w:line="400" w:lineRule="exact"/>
              <w:jc w:val="center"/>
              <w:rPr>
                <w:rFonts w:ascii="宋体" w:hAnsi="宋体" w:eastAsia="宋体" w:cs="宋体"/>
                <w:bCs/>
                <w:kern w:val="28"/>
                <w:szCs w:val="21"/>
              </w:rPr>
            </w:pPr>
            <w:r>
              <w:rPr>
                <w:rFonts w:hint="eastAsia" w:ascii="宋体" w:hAnsi="宋体" w:eastAsia="宋体" w:cs="宋体"/>
                <w:bCs/>
                <w:kern w:val="28"/>
                <w:szCs w:val="21"/>
              </w:rPr>
              <w:t>4</w:t>
            </w:r>
          </w:p>
        </w:tc>
        <w:tc>
          <w:tcPr>
            <w:tcW w:w="819" w:type="pct"/>
            <w:vAlign w:val="center"/>
          </w:tcPr>
          <w:p>
            <w:pPr>
              <w:spacing w:line="370" w:lineRule="exact"/>
              <w:jc w:val="center"/>
              <w:rPr>
                <w:rFonts w:ascii="宋体" w:hAnsi="宋体" w:eastAsia="宋体" w:cs="宋体"/>
                <w:bCs/>
                <w:kern w:val="28"/>
                <w:szCs w:val="21"/>
              </w:rPr>
            </w:pPr>
            <w:r>
              <w:rPr>
                <w:rFonts w:hint="eastAsia" w:ascii="宋体" w:hAnsi="宋体" w:eastAsia="宋体" w:cs="宋体"/>
                <w:b/>
                <w:kern w:val="28"/>
                <w:szCs w:val="21"/>
              </w:rPr>
              <w:t>报价分</w:t>
            </w:r>
          </w:p>
        </w:tc>
        <w:tc>
          <w:tcPr>
            <w:tcW w:w="3758" w:type="pct"/>
            <w:gridSpan w:val="3"/>
            <w:vAlign w:val="center"/>
          </w:tcPr>
          <w:p>
            <w:pPr>
              <w:spacing w:line="360" w:lineRule="auto"/>
              <w:rPr>
                <w:rFonts w:hint="eastAsia" w:ascii="宋体" w:hAnsi="宋体" w:cs="Arial"/>
                <w:szCs w:val="21"/>
              </w:rPr>
            </w:pPr>
            <w:r>
              <w:rPr>
                <w:rFonts w:hint="eastAsia" w:ascii="宋体" w:hAnsi="宋体" w:cs="Arial"/>
                <w:szCs w:val="21"/>
              </w:rPr>
              <w:t>资格及符合性审查通过并且技术商务标合格的投标单位参加报价评分。</w:t>
            </w:r>
          </w:p>
          <w:p>
            <w:pPr>
              <w:spacing w:line="360" w:lineRule="auto"/>
              <w:rPr>
                <w:rFonts w:ascii="宋体" w:hAnsi="宋体" w:eastAsia="宋体" w:cs="宋体"/>
                <w:bCs/>
                <w:kern w:val="28"/>
                <w:szCs w:val="21"/>
              </w:rPr>
            </w:pPr>
            <w:r>
              <w:rPr>
                <w:rFonts w:hint="eastAsia" w:ascii="宋体" w:hAnsi="宋体" w:cs="Arial"/>
                <w:szCs w:val="21"/>
              </w:rPr>
              <w:t>价格分统一采用低价优先法计算，即满足竞争性磋商文件要求且磋商价格最低的磋商报价(即评标价=投标报价)为评标基准价，其价格分为满分。其他供应商的价格分统一按照下列公式计算：磋商报价得分=（评标基准价/评标价）*价格权值*100。计算分数时四舍五入取小数点后两位。（价格权值指价格分值占总分值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000" w:type="pct"/>
            <w:gridSpan w:val="5"/>
            <w:vAlign w:val="center"/>
          </w:tcPr>
          <w:p>
            <w:pPr>
              <w:spacing w:line="360" w:lineRule="auto"/>
              <w:rPr>
                <w:rFonts w:ascii="宋体" w:hAnsi="宋体" w:eastAsia="宋体" w:cs="宋体"/>
                <w:bCs/>
                <w:kern w:val="28"/>
                <w:szCs w:val="21"/>
              </w:rPr>
            </w:pPr>
            <w:r>
              <w:rPr>
                <w:rFonts w:hint="eastAsia" w:ascii="宋体" w:hAnsi="宋体" w:eastAsia="宋体" w:cs="宋体"/>
                <w:bCs/>
                <w:kern w:val="28"/>
                <w:szCs w:val="21"/>
              </w:rPr>
              <w:t>初审时发现价格计算有误，将按下述原则修正：</w:t>
            </w:r>
          </w:p>
          <w:p>
            <w:pPr>
              <w:widowControl/>
              <w:snapToGrid w:val="0"/>
              <w:spacing w:line="360" w:lineRule="auto"/>
              <w:rPr>
                <w:rFonts w:ascii="宋体" w:hAnsi="宋体" w:eastAsia="宋体" w:cs="宋体"/>
                <w:szCs w:val="21"/>
              </w:rPr>
            </w:pPr>
            <w:r>
              <w:rPr>
                <w:rFonts w:hint="eastAsia" w:ascii="宋体" w:hAnsi="宋体" w:eastAsia="宋体" w:cs="宋体"/>
                <w:szCs w:val="21"/>
              </w:rPr>
              <w:t>（1）报价文件上传的价格和报价一览表里填写的金额不一致时，以磋商供应商上传的报价文件为准，对磋商供应商的报价进行修正。</w:t>
            </w:r>
          </w:p>
          <w:p>
            <w:pPr>
              <w:widowControl/>
              <w:snapToGrid w:val="0"/>
              <w:spacing w:line="360" w:lineRule="auto"/>
              <w:rPr>
                <w:rFonts w:ascii="宋体" w:hAnsi="宋体" w:eastAsia="宋体" w:cs="宋体"/>
                <w:szCs w:val="21"/>
              </w:rPr>
            </w:pPr>
            <w:r>
              <w:rPr>
                <w:rFonts w:hint="eastAsia" w:ascii="宋体" w:hAnsi="宋体" w:eastAsia="宋体" w:cs="宋体"/>
                <w:szCs w:val="21"/>
              </w:rPr>
              <w:t>（2）大写金额和小写金额不一致的，以大写金额为准；</w:t>
            </w:r>
          </w:p>
          <w:p>
            <w:pPr>
              <w:widowControl/>
              <w:snapToGrid w:val="0"/>
              <w:spacing w:line="360" w:lineRule="auto"/>
              <w:rPr>
                <w:rFonts w:ascii="宋体" w:hAnsi="宋体" w:eastAsia="宋体" w:cs="宋体"/>
                <w:szCs w:val="21"/>
              </w:rPr>
            </w:pPr>
            <w:r>
              <w:rPr>
                <w:rFonts w:hint="eastAsia" w:ascii="宋体" w:hAnsi="宋体" w:eastAsia="宋体" w:cs="宋体"/>
                <w:szCs w:val="21"/>
              </w:rPr>
              <w:t>（3）单价金额小数点或者百分比有明显错位的，以最终报价一览表的总价为准，并修正单价；</w:t>
            </w:r>
          </w:p>
          <w:p>
            <w:pPr>
              <w:widowControl/>
              <w:snapToGrid w:val="0"/>
              <w:spacing w:line="360" w:lineRule="auto"/>
              <w:rPr>
                <w:rFonts w:ascii="宋体" w:hAnsi="宋体" w:eastAsia="宋体" w:cs="宋体"/>
                <w:szCs w:val="21"/>
              </w:rPr>
            </w:pPr>
            <w:r>
              <w:rPr>
                <w:rFonts w:hint="eastAsia" w:ascii="宋体" w:hAnsi="宋体" w:eastAsia="宋体" w:cs="宋体"/>
                <w:szCs w:val="21"/>
              </w:rPr>
              <w:t>（4）总价金额与按单价汇总金额不一致的，以单价金额计算结果为准。</w:t>
            </w:r>
          </w:p>
          <w:p>
            <w:pPr>
              <w:widowControl/>
              <w:snapToGrid w:val="0"/>
              <w:spacing w:line="360" w:lineRule="auto"/>
              <w:rPr>
                <w:rFonts w:ascii="宋体" w:hAnsi="宋体" w:eastAsia="宋体" w:cs="宋体"/>
                <w:szCs w:val="21"/>
              </w:rPr>
            </w:pPr>
            <w:r>
              <w:rPr>
                <w:rFonts w:hint="eastAsia" w:ascii="宋体" w:hAnsi="宋体" w:eastAsia="宋体" w:cs="宋体"/>
                <w:szCs w:val="21"/>
              </w:rPr>
              <w:t>（5）如以文字表示的数据与数字表示的有差别，以文字为准修正数字。</w:t>
            </w:r>
          </w:p>
          <w:p>
            <w:pPr>
              <w:widowControl/>
              <w:snapToGrid w:val="0"/>
              <w:spacing w:line="360" w:lineRule="auto"/>
              <w:rPr>
                <w:rFonts w:ascii="宋体" w:hAnsi="宋体" w:eastAsia="宋体" w:cs="宋体"/>
                <w:szCs w:val="21"/>
              </w:rPr>
            </w:pPr>
            <w:r>
              <w:rPr>
                <w:rFonts w:hint="eastAsia" w:ascii="宋体" w:hAnsi="宋体" w:eastAsia="宋体" w:cs="宋体"/>
                <w:szCs w:val="21"/>
              </w:rPr>
              <w:t>（6）开评标供应商在报价文件上传的价格和报价一览表里填写的金额不一致时，以供应商上传的报价文件为准，对磋商供应商的报价进行修正。</w:t>
            </w:r>
          </w:p>
          <w:p>
            <w:pPr>
              <w:widowControl/>
              <w:snapToGrid w:val="0"/>
              <w:spacing w:line="360" w:lineRule="auto"/>
              <w:rPr>
                <w:rFonts w:ascii="宋体" w:hAnsi="宋体" w:eastAsia="宋体" w:cs="宋体"/>
                <w:szCs w:val="21"/>
              </w:rPr>
            </w:pPr>
            <w:r>
              <w:rPr>
                <w:rFonts w:hint="eastAsia" w:ascii="宋体" w:hAnsi="宋体" w:eastAsia="宋体" w:cs="宋体"/>
                <w:szCs w:val="21"/>
                <w:u w:val="wave"/>
              </w:rPr>
              <w:t>（7）▲如磋商供应商缺漏项价格比例达到投标报价的5%（含）以上时，属于重大偏离，磋商小组将对其投标按无效标处理。</w:t>
            </w:r>
          </w:p>
          <w:p>
            <w:pPr>
              <w:widowControl/>
              <w:snapToGrid w:val="0"/>
              <w:spacing w:line="360" w:lineRule="auto"/>
              <w:rPr>
                <w:rFonts w:ascii="宋体" w:hAnsi="宋体" w:eastAsia="宋体" w:cs="宋体"/>
                <w:szCs w:val="21"/>
              </w:rPr>
            </w:pPr>
            <w:r>
              <w:rPr>
                <w:rFonts w:hint="eastAsia" w:ascii="宋体" w:hAnsi="宋体" w:eastAsia="宋体" w:cs="宋体"/>
                <w:szCs w:val="21"/>
              </w:rPr>
              <w:t xml:space="preserve">（8）如磋商供应商的磋商响应文件前后矛盾，磋商小组会将作出不利于磋商供应商的修正。 </w:t>
            </w:r>
          </w:p>
          <w:p>
            <w:pPr>
              <w:spacing w:line="360" w:lineRule="auto"/>
              <w:rPr>
                <w:rFonts w:ascii="宋体" w:hAnsi="宋体" w:eastAsia="宋体" w:cs="宋体"/>
                <w:bCs/>
                <w:kern w:val="28"/>
                <w:szCs w:val="21"/>
              </w:rPr>
            </w:pPr>
            <w:r>
              <w:rPr>
                <w:rFonts w:hint="eastAsia" w:ascii="宋体" w:hAnsi="宋体" w:eastAsia="宋体" w:cs="宋体"/>
                <w:bCs/>
                <w:kern w:val="28"/>
                <w:szCs w:val="21"/>
              </w:rPr>
              <w:t>注：（1）~（6）同时出现两种以上不一致的，按照前款规定的顺序修正。修正后的报价按照相关法律规定经磋商供应商确认后产生约束力，磋商供应商在规定时间内不确认的，其磋商响应文件作无效处理。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ascii="宋体" w:hAnsi="宋体" w:eastAsia="宋体" w:cs="宋体"/>
                <w:b/>
                <w:szCs w:val="21"/>
              </w:rPr>
            </w:pPr>
            <w:r>
              <w:rPr>
                <w:rFonts w:hint="eastAsia" w:ascii="宋体" w:hAnsi="宋体" w:eastAsia="宋体" w:cs="宋体"/>
                <w:b/>
                <w:szCs w:val="21"/>
              </w:rPr>
              <w:t>5</w:t>
            </w:r>
          </w:p>
        </w:tc>
        <w:tc>
          <w:tcPr>
            <w:tcW w:w="819" w:type="pct"/>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ascii="宋体" w:hAnsi="宋体" w:eastAsia="宋体" w:cs="宋体"/>
                <w:b/>
                <w:szCs w:val="21"/>
              </w:rPr>
            </w:pPr>
            <w:r>
              <w:rPr>
                <w:rFonts w:hint="eastAsia" w:ascii="宋体" w:hAnsi="宋体" w:eastAsia="宋体" w:cs="宋体"/>
                <w:b/>
                <w:szCs w:val="21"/>
              </w:rPr>
              <w:t>商务技术</w:t>
            </w:r>
          </w:p>
          <w:p>
            <w:pPr>
              <w:spacing w:line="360" w:lineRule="exact"/>
              <w:ind w:right="3"/>
              <w:jc w:val="center"/>
              <w:rPr>
                <w:rFonts w:ascii="宋体" w:hAnsi="宋体" w:eastAsia="宋体" w:cs="宋体"/>
                <w:b/>
                <w:szCs w:val="21"/>
              </w:rPr>
            </w:pPr>
            <w:r>
              <w:rPr>
                <w:rFonts w:hint="eastAsia" w:ascii="宋体" w:hAnsi="宋体" w:eastAsia="宋体" w:cs="宋体"/>
                <w:b/>
                <w:szCs w:val="21"/>
              </w:rPr>
              <w:t>评分</w:t>
            </w:r>
          </w:p>
        </w:tc>
        <w:tc>
          <w:tcPr>
            <w:tcW w:w="3758" w:type="pct"/>
            <w:gridSpan w:val="3"/>
            <w:tcBorders>
              <w:top w:val="single" w:color="auto" w:sz="4" w:space="0"/>
              <w:left w:val="single" w:color="auto" w:sz="4" w:space="0"/>
              <w:bottom w:val="single" w:color="auto" w:sz="4" w:space="0"/>
              <w:right w:val="single" w:color="auto" w:sz="4" w:space="0"/>
            </w:tcBorders>
            <w:vAlign w:val="center"/>
          </w:tcPr>
          <w:p>
            <w:pPr>
              <w:tabs>
                <w:tab w:val="left" w:pos="993"/>
                <w:tab w:val="left" w:pos="1276"/>
              </w:tabs>
              <w:spacing w:line="360" w:lineRule="exact"/>
              <w:jc w:val="center"/>
              <w:rPr>
                <w:rFonts w:ascii="宋体" w:hAnsi="宋体" w:eastAsia="宋体" w:cs="宋体"/>
                <w:b/>
                <w:szCs w:val="21"/>
              </w:rPr>
            </w:pPr>
            <w:r>
              <w:rPr>
                <w:rFonts w:hint="eastAsia" w:ascii="宋体" w:hAnsi="宋体" w:eastAsia="宋体" w:cs="宋体"/>
                <w:b/>
                <w:szCs w:val="21"/>
              </w:rPr>
              <w:t>合计70分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vAlign w:val="center"/>
          </w:tcPr>
          <w:p>
            <w:pPr>
              <w:spacing w:line="360" w:lineRule="exact"/>
              <w:ind w:left="-50"/>
              <w:jc w:val="center"/>
              <w:rPr>
                <w:rFonts w:ascii="宋体" w:hAnsi="宋体" w:eastAsia="宋体" w:cs="宋体"/>
                <w:snapToGrid w:val="0"/>
                <w:szCs w:val="21"/>
              </w:rPr>
            </w:pPr>
          </w:p>
        </w:tc>
        <w:tc>
          <w:tcPr>
            <w:tcW w:w="819" w:type="pct"/>
            <w:vAlign w:val="center"/>
          </w:tcPr>
          <w:p>
            <w:pPr>
              <w:spacing w:line="360" w:lineRule="exact"/>
              <w:ind w:left="-50"/>
              <w:jc w:val="center"/>
              <w:rPr>
                <w:rFonts w:ascii="宋体" w:hAnsi="宋体" w:eastAsia="宋体" w:cs="宋体"/>
                <w:b/>
                <w:bCs/>
                <w:snapToGrid w:val="0"/>
                <w:szCs w:val="21"/>
              </w:rPr>
            </w:pPr>
            <w:r>
              <w:rPr>
                <w:rFonts w:hint="eastAsia" w:ascii="宋体" w:hAnsi="宋体" w:eastAsia="宋体" w:cs="宋体"/>
                <w:b/>
                <w:bCs/>
                <w:snapToGrid w:val="0"/>
                <w:szCs w:val="21"/>
              </w:rPr>
              <w:t>评分内容</w:t>
            </w:r>
          </w:p>
        </w:tc>
        <w:tc>
          <w:tcPr>
            <w:tcW w:w="513" w:type="pct"/>
            <w:vAlign w:val="center"/>
          </w:tcPr>
          <w:p>
            <w:pPr>
              <w:spacing w:line="360" w:lineRule="exact"/>
              <w:ind w:left="-50"/>
              <w:jc w:val="center"/>
              <w:rPr>
                <w:rFonts w:ascii="宋体" w:hAnsi="宋体" w:eastAsia="宋体" w:cs="宋体"/>
                <w:b/>
                <w:bCs/>
                <w:snapToGrid w:val="0"/>
                <w:szCs w:val="21"/>
              </w:rPr>
            </w:pPr>
            <w:r>
              <w:rPr>
                <w:rFonts w:hint="eastAsia" w:ascii="宋体" w:hAnsi="宋体" w:eastAsia="宋体" w:cs="宋体"/>
                <w:b/>
                <w:bCs/>
                <w:snapToGrid w:val="0"/>
                <w:szCs w:val="21"/>
              </w:rPr>
              <w:t>分数值</w:t>
            </w:r>
          </w:p>
        </w:tc>
        <w:tc>
          <w:tcPr>
            <w:tcW w:w="3245" w:type="pct"/>
            <w:gridSpan w:val="2"/>
            <w:vAlign w:val="center"/>
          </w:tcPr>
          <w:p>
            <w:pPr>
              <w:spacing w:line="360" w:lineRule="exact"/>
              <w:ind w:left="-50"/>
              <w:jc w:val="center"/>
              <w:rPr>
                <w:rFonts w:ascii="宋体" w:hAnsi="宋体" w:eastAsia="宋体" w:cs="宋体"/>
                <w:snapToGrid w:val="0"/>
                <w:szCs w:val="21"/>
              </w:rPr>
            </w:pPr>
            <w:r>
              <w:rPr>
                <w:rFonts w:hint="eastAsia" w:ascii="宋体" w:hAnsi="宋体" w:eastAsia="宋体" w:cs="宋体"/>
                <w:b/>
                <w:bCs/>
                <w:szCs w:val="21"/>
              </w:rPr>
              <w:t>评定原则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vAlign w:val="center"/>
          </w:tcPr>
          <w:p>
            <w:pPr>
              <w:spacing w:line="360" w:lineRule="exac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5.1</w:t>
            </w:r>
          </w:p>
        </w:tc>
        <w:tc>
          <w:tcPr>
            <w:tcW w:w="819" w:type="pct"/>
            <w:vAlign w:val="center"/>
          </w:tcPr>
          <w:p>
            <w:pPr>
              <w:spacing w:line="360" w:lineRule="exact"/>
              <w:jc w:val="center"/>
              <w:rPr>
                <w:rFonts w:ascii="宋体" w:hAnsi="宋体" w:eastAsia="宋体" w:cs="宋体"/>
                <w:snapToGrid w:val="0"/>
                <w:szCs w:val="21"/>
                <w:highlight w:val="none"/>
              </w:rPr>
            </w:pPr>
            <w:r>
              <w:rPr>
                <w:rFonts w:hint="eastAsia" w:ascii="新宋体" w:hAnsi="新宋体" w:eastAsia="新宋体" w:cs="Arial Black"/>
                <w:snapToGrid w:val="0"/>
                <w:szCs w:val="21"/>
                <w:highlight w:val="none"/>
              </w:rPr>
              <w:t>磋商供应商业绩</w:t>
            </w:r>
          </w:p>
        </w:tc>
        <w:tc>
          <w:tcPr>
            <w:tcW w:w="513" w:type="pct"/>
            <w:vAlign w:val="center"/>
          </w:tcPr>
          <w:p>
            <w:pPr>
              <w:spacing w:line="360" w:lineRule="exac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0-3分</w:t>
            </w:r>
          </w:p>
        </w:tc>
        <w:tc>
          <w:tcPr>
            <w:tcW w:w="3245" w:type="pct"/>
            <w:gridSpan w:val="2"/>
            <w:vAlign w:val="center"/>
          </w:tcPr>
          <w:p>
            <w:pPr>
              <w:spacing w:line="360" w:lineRule="auto"/>
              <w:jc w:val="left"/>
              <w:rPr>
                <w:highlight w:val="none"/>
              </w:rPr>
            </w:pPr>
            <w:r>
              <w:rPr>
                <w:rFonts w:hint="eastAsia"/>
                <w:highlight w:val="none"/>
              </w:rPr>
              <w:t>磋商供应商自2020年1月1日以来类似项目业绩的证明材料，提供一个得1分，最高得分3分。</w:t>
            </w:r>
          </w:p>
          <w:p>
            <w:pPr>
              <w:spacing w:line="360" w:lineRule="auto"/>
              <w:jc w:val="left"/>
              <w:rPr>
                <w:b/>
                <w:bCs/>
                <w:highlight w:val="none"/>
              </w:rPr>
            </w:pPr>
            <w:r>
              <w:rPr>
                <w:rFonts w:hint="eastAsia"/>
                <w:b/>
                <w:bCs/>
                <w:highlight w:val="none"/>
              </w:rPr>
              <w:t>（①业绩有效性认定：提供中标通知书和合同扫描件并加盖电子签章，或者提供合同和发票扫描件并加盖电子签章；②业绩认定时间以合同的签订时间为准。）</w:t>
            </w:r>
          </w:p>
          <w:p>
            <w:pPr>
              <w:spacing w:line="360" w:lineRule="auto"/>
              <w:rPr>
                <w:highlight w:val="none"/>
              </w:rPr>
            </w:pPr>
            <w:r>
              <w:rPr>
                <w:rFonts w:hint="eastAsia"/>
                <w:highlight w:val="none"/>
              </w:rPr>
              <w:t>投标产品为对省级以上主管部门认定的首台套产品，自纳入《省推广应用指导目录》起三年内参加政府采购活动，视同已具备相应销售业绩，本项得满分。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421" w:type="pct"/>
            <w:vAlign w:val="center"/>
          </w:tcPr>
          <w:p>
            <w:pPr>
              <w:spacing w:line="360" w:lineRule="exac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5.2</w:t>
            </w:r>
          </w:p>
        </w:tc>
        <w:tc>
          <w:tcPr>
            <w:tcW w:w="819" w:type="pct"/>
            <w:vAlign w:val="center"/>
          </w:tcPr>
          <w:p>
            <w:pPr>
              <w:spacing w:line="360" w:lineRule="auto"/>
              <w:jc w:val="center"/>
              <w:rPr>
                <w:rFonts w:ascii="新宋体" w:hAnsi="新宋体" w:eastAsia="新宋体" w:cs="Arial Black"/>
                <w:snapToGrid w:val="0"/>
                <w:szCs w:val="21"/>
                <w:highlight w:val="none"/>
              </w:rPr>
            </w:pPr>
            <w:r>
              <w:rPr>
                <w:rFonts w:hint="eastAsia" w:ascii="新宋体" w:hAnsi="新宋体" w:eastAsia="新宋体" w:cs="Arial Black"/>
                <w:snapToGrid w:val="0"/>
                <w:szCs w:val="21"/>
                <w:highlight w:val="none"/>
              </w:rPr>
              <w:t>投标供应商综合实力</w:t>
            </w:r>
          </w:p>
        </w:tc>
        <w:tc>
          <w:tcPr>
            <w:tcW w:w="513" w:type="pct"/>
            <w:vAlign w:val="center"/>
          </w:tcPr>
          <w:p>
            <w:pPr>
              <w:spacing w:line="360" w:lineRule="exac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0-3分</w:t>
            </w:r>
          </w:p>
        </w:tc>
        <w:tc>
          <w:tcPr>
            <w:tcW w:w="3245" w:type="pct"/>
            <w:gridSpan w:val="2"/>
            <w:vAlign w:val="center"/>
          </w:tcPr>
          <w:p>
            <w:pPr>
              <w:spacing w:line="360" w:lineRule="auto"/>
              <w:ind w:left="-50"/>
              <w:jc w:val="left"/>
              <w:rPr>
                <w:rFonts w:hint="eastAsia" w:ascii="新宋体" w:hAnsi="新宋体" w:eastAsia="新宋体" w:cs="Arial Black"/>
                <w:snapToGrid w:val="0"/>
                <w:szCs w:val="21"/>
                <w:highlight w:val="none"/>
              </w:rPr>
            </w:pPr>
            <w:r>
              <w:rPr>
                <w:rFonts w:hint="eastAsia" w:ascii="新宋体" w:hAnsi="新宋体" w:eastAsia="新宋体" w:cs="Arial Black"/>
                <w:snapToGrid w:val="0"/>
                <w:szCs w:val="21"/>
                <w:highlight w:val="none"/>
                <w:lang w:val="en-US" w:eastAsia="zh-CN"/>
              </w:rPr>
              <w:t>1、</w:t>
            </w:r>
            <w:r>
              <w:rPr>
                <w:rFonts w:hint="eastAsia" w:ascii="新宋体" w:hAnsi="新宋体" w:eastAsia="新宋体" w:cs="Arial Black"/>
                <w:snapToGrid w:val="0"/>
                <w:szCs w:val="21"/>
                <w:highlight w:val="none"/>
              </w:rPr>
              <w:t>投标供应商具有有效期内职业健康安全管理体系认证证书的得1分；</w:t>
            </w:r>
          </w:p>
          <w:p>
            <w:pPr>
              <w:spacing w:line="360" w:lineRule="auto"/>
              <w:ind w:left="-50"/>
              <w:jc w:val="left"/>
              <w:rPr>
                <w:rFonts w:hint="eastAsia" w:ascii="新宋体" w:hAnsi="新宋体" w:eastAsia="新宋体" w:cs="Arial Black"/>
                <w:snapToGrid w:val="0"/>
                <w:szCs w:val="21"/>
                <w:highlight w:val="none"/>
              </w:rPr>
            </w:pPr>
            <w:r>
              <w:rPr>
                <w:rFonts w:hint="eastAsia" w:ascii="新宋体" w:hAnsi="新宋体" w:eastAsia="新宋体" w:cs="Arial Black"/>
                <w:snapToGrid w:val="0"/>
                <w:szCs w:val="21"/>
                <w:highlight w:val="none"/>
                <w:lang w:val="en-US" w:eastAsia="zh-CN"/>
              </w:rPr>
              <w:t>2、</w:t>
            </w:r>
            <w:r>
              <w:rPr>
                <w:rFonts w:hint="eastAsia" w:ascii="新宋体" w:hAnsi="新宋体" w:eastAsia="新宋体" w:cs="Arial Black"/>
                <w:snapToGrid w:val="0"/>
                <w:szCs w:val="21"/>
                <w:highlight w:val="none"/>
              </w:rPr>
              <w:t>投标供应商具有有效期内质量管理体系认证证书的得1分；</w:t>
            </w:r>
          </w:p>
          <w:p>
            <w:pPr>
              <w:spacing w:line="360" w:lineRule="auto"/>
              <w:ind w:left="-50"/>
              <w:jc w:val="left"/>
              <w:rPr>
                <w:rFonts w:ascii="新宋体" w:hAnsi="新宋体" w:eastAsia="新宋体" w:cs="Arial Black"/>
                <w:snapToGrid w:val="0"/>
                <w:szCs w:val="21"/>
                <w:highlight w:val="none"/>
              </w:rPr>
            </w:pPr>
            <w:r>
              <w:rPr>
                <w:rFonts w:hint="eastAsia" w:ascii="新宋体" w:hAnsi="新宋体" w:eastAsia="新宋体" w:cs="Arial Black"/>
                <w:snapToGrid w:val="0"/>
                <w:szCs w:val="21"/>
                <w:highlight w:val="none"/>
                <w:lang w:val="en-US" w:eastAsia="zh-CN"/>
              </w:rPr>
              <w:t>3、</w:t>
            </w:r>
            <w:r>
              <w:rPr>
                <w:rFonts w:hint="eastAsia" w:ascii="新宋体" w:hAnsi="新宋体" w:eastAsia="新宋体" w:cs="Arial Black"/>
                <w:snapToGrid w:val="0"/>
                <w:szCs w:val="21"/>
                <w:highlight w:val="none"/>
              </w:rPr>
              <w:t>投标供应商具有有效期内环境管理体系认证证书的得1分。</w:t>
            </w:r>
          </w:p>
          <w:p>
            <w:pPr>
              <w:spacing w:line="360" w:lineRule="auto"/>
              <w:ind w:left="-50"/>
              <w:jc w:val="left"/>
              <w:rPr>
                <w:rFonts w:ascii="新宋体" w:hAnsi="新宋体" w:eastAsia="新宋体" w:cs="Arial Black"/>
                <w:b/>
                <w:bCs/>
                <w:snapToGrid w:val="0"/>
                <w:szCs w:val="21"/>
                <w:highlight w:val="none"/>
              </w:rPr>
            </w:pPr>
            <w:r>
              <w:rPr>
                <w:rFonts w:hint="eastAsia" w:ascii="新宋体" w:hAnsi="新宋体" w:eastAsia="新宋体" w:cs="Arial Black"/>
                <w:b/>
                <w:bCs/>
                <w:snapToGrid w:val="0"/>
                <w:szCs w:val="21"/>
                <w:highlight w:val="none"/>
              </w:rPr>
              <w:t>(注：须提供相关证明材料，否则不得分。）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vAlign w:val="center"/>
          </w:tcPr>
          <w:p>
            <w:pPr>
              <w:spacing w:line="360" w:lineRule="exact"/>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5.3</w:t>
            </w:r>
          </w:p>
        </w:tc>
        <w:tc>
          <w:tcPr>
            <w:tcW w:w="819" w:type="pct"/>
            <w:vAlign w:val="center"/>
          </w:tcPr>
          <w:p>
            <w:pPr>
              <w:spacing w:line="360" w:lineRule="auto"/>
              <w:ind w:left="-50" w:leftChars="0"/>
              <w:jc w:val="center"/>
              <w:rPr>
                <w:rFonts w:hint="default" w:ascii="新宋体" w:hAnsi="新宋体" w:eastAsia="新宋体" w:cs="Arial Black"/>
                <w:snapToGrid w:val="0"/>
                <w:szCs w:val="21"/>
                <w:lang w:val="en-US" w:eastAsia="zh-CN"/>
              </w:rPr>
            </w:pPr>
            <w:r>
              <w:rPr>
                <w:rFonts w:hint="eastAsia" w:ascii="宋体" w:hAnsi="宋体" w:eastAsia="宋体" w:cs="宋体"/>
              </w:rPr>
              <w:t>环保节能政策</w:t>
            </w:r>
          </w:p>
        </w:tc>
        <w:tc>
          <w:tcPr>
            <w:tcW w:w="513" w:type="pct"/>
            <w:vAlign w:val="center"/>
          </w:tcPr>
          <w:p>
            <w:pPr>
              <w:spacing w:line="360" w:lineRule="auto"/>
              <w:ind w:left="-50" w:leftChars="0"/>
              <w:jc w:val="center"/>
              <w:rPr>
                <w:rFonts w:hint="default" w:ascii="宋体" w:hAnsi="宋体" w:eastAsia="宋体" w:cs="宋体"/>
                <w:snapToGrid w:val="0"/>
                <w:szCs w:val="21"/>
                <w:lang w:val="en-US" w:eastAsia="zh-CN"/>
              </w:rPr>
            </w:pPr>
            <w:r>
              <w:rPr>
                <w:rFonts w:hint="eastAsia" w:ascii="宋体" w:hAnsi="宋体" w:eastAsia="宋体" w:cs="宋体"/>
                <w:snapToGrid w:val="0"/>
                <w:szCs w:val="21"/>
              </w:rPr>
              <w:t>0-1分</w:t>
            </w:r>
          </w:p>
        </w:tc>
        <w:tc>
          <w:tcPr>
            <w:tcW w:w="3245" w:type="pct"/>
            <w:gridSpan w:val="2"/>
            <w:vAlign w:val="center"/>
          </w:tcPr>
          <w:p>
            <w:pPr>
              <w:spacing w:line="360" w:lineRule="auto"/>
            </w:pPr>
            <w:r>
              <w:rPr>
                <w:rFonts w:hint="eastAsia"/>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w:t>
            </w:r>
          </w:p>
          <w:p>
            <w:pPr>
              <w:spacing w:line="360" w:lineRule="auto"/>
              <w:rPr>
                <w:rFonts w:hint="eastAsia" w:ascii="新宋体" w:hAnsi="新宋体" w:eastAsia="新宋体" w:cs="Arial Black"/>
                <w:b/>
                <w:bCs/>
                <w:snapToGrid w:val="0"/>
                <w:szCs w:val="21"/>
                <w:lang w:eastAsia="zh-CN"/>
              </w:rPr>
            </w:pPr>
            <w:r>
              <w:rPr>
                <w:rFonts w:hint="eastAsia"/>
                <w:b/>
                <w:bCs/>
              </w:rPr>
              <w:t>注：提供国家确定的认证机构出具的、处于有效期之内的节能产品、环境标志产品认证证书扫描件。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21" w:type="pct"/>
            <w:vAlign w:val="center"/>
          </w:tcPr>
          <w:p>
            <w:pPr>
              <w:spacing w:line="360" w:lineRule="exact"/>
              <w:ind w:left="-50"/>
              <w:jc w:val="center"/>
              <w:rPr>
                <w:rFonts w:hint="eastAsia" w:ascii="宋体" w:hAnsi="宋体" w:eastAsia="宋体" w:cs="宋体"/>
                <w:snapToGrid w:val="0"/>
                <w:szCs w:val="21"/>
                <w:lang w:eastAsia="zh-CN"/>
              </w:rPr>
            </w:pPr>
            <w:r>
              <w:rPr>
                <w:rFonts w:hint="eastAsia" w:ascii="宋体" w:hAnsi="宋体" w:eastAsia="宋体" w:cs="宋体"/>
                <w:snapToGrid w:val="0"/>
                <w:szCs w:val="21"/>
              </w:rPr>
              <w:t>5.</w:t>
            </w:r>
            <w:r>
              <w:rPr>
                <w:rFonts w:hint="eastAsia" w:ascii="宋体" w:hAnsi="宋体" w:eastAsia="宋体" w:cs="宋体"/>
                <w:snapToGrid w:val="0"/>
                <w:szCs w:val="21"/>
                <w:lang w:val="en-US" w:eastAsia="zh-CN"/>
              </w:rPr>
              <w:t>4</w:t>
            </w:r>
          </w:p>
        </w:tc>
        <w:tc>
          <w:tcPr>
            <w:tcW w:w="819" w:type="pct"/>
            <w:vAlign w:val="center"/>
          </w:tcPr>
          <w:p>
            <w:pPr>
              <w:spacing w:line="360" w:lineRule="auto"/>
              <w:ind w:left="-50"/>
              <w:jc w:val="center"/>
              <w:rPr>
                <w:rFonts w:ascii="新宋体" w:hAnsi="新宋体" w:eastAsia="新宋体" w:cs="Arial Black"/>
                <w:snapToGrid w:val="0"/>
                <w:color w:val="auto"/>
                <w:szCs w:val="21"/>
              </w:rPr>
            </w:pPr>
            <w:r>
              <w:rPr>
                <w:rFonts w:hint="eastAsia" w:ascii="新宋体" w:hAnsi="新宋体" w:eastAsia="新宋体" w:cs="Arial Black"/>
                <w:snapToGrid w:val="0"/>
                <w:color w:val="auto"/>
                <w:szCs w:val="21"/>
              </w:rPr>
              <w:t>投标产品</w:t>
            </w:r>
          </w:p>
          <w:p>
            <w:pPr>
              <w:spacing w:line="360" w:lineRule="auto"/>
              <w:ind w:left="-50"/>
              <w:jc w:val="center"/>
              <w:rPr>
                <w:rFonts w:ascii="新宋体" w:hAnsi="新宋体" w:eastAsia="新宋体" w:cs="Arial Black"/>
                <w:snapToGrid w:val="0"/>
                <w:color w:val="auto"/>
                <w:szCs w:val="21"/>
              </w:rPr>
            </w:pPr>
            <w:r>
              <w:rPr>
                <w:rFonts w:hint="eastAsia" w:ascii="新宋体" w:hAnsi="新宋体" w:eastAsia="新宋体" w:cs="Arial Black"/>
                <w:snapToGrid w:val="0"/>
                <w:color w:val="auto"/>
                <w:szCs w:val="21"/>
              </w:rPr>
              <w:t>性能及技术</w:t>
            </w:r>
          </w:p>
          <w:p>
            <w:pPr>
              <w:spacing w:line="360" w:lineRule="auto"/>
              <w:ind w:left="-50"/>
              <w:jc w:val="center"/>
              <w:rPr>
                <w:rFonts w:ascii="新宋体" w:hAnsi="新宋体" w:eastAsia="新宋体" w:cs="Arial Black"/>
                <w:snapToGrid w:val="0"/>
                <w:color w:val="auto"/>
                <w:szCs w:val="21"/>
              </w:rPr>
            </w:pPr>
            <w:r>
              <w:rPr>
                <w:rFonts w:hint="eastAsia" w:ascii="新宋体" w:hAnsi="新宋体" w:eastAsia="新宋体" w:cs="Arial Black"/>
                <w:snapToGrid w:val="0"/>
                <w:color w:val="auto"/>
                <w:szCs w:val="21"/>
              </w:rPr>
              <w:t>指标情况</w:t>
            </w:r>
          </w:p>
        </w:tc>
        <w:tc>
          <w:tcPr>
            <w:tcW w:w="513" w:type="pct"/>
            <w:vAlign w:val="center"/>
          </w:tcPr>
          <w:p>
            <w:pPr>
              <w:spacing w:line="360" w:lineRule="auto"/>
              <w:ind w:left="-50"/>
              <w:jc w:val="center"/>
              <w:rPr>
                <w:rFonts w:ascii="宋体" w:hAnsi="宋体" w:eastAsia="宋体" w:cs="宋体"/>
                <w:snapToGrid w:val="0"/>
                <w:color w:val="auto"/>
                <w:szCs w:val="21"/>
              </w:rPr>
            </w:pPr>
            <w:r>
              <w:rPr>
                <w:rFonts w:hint="eastAsia" w:ascii="宋体" w:hAnsi="宋体" w:eastAsia="宋体" w:cs="宋体"/>
                <w:snapToGrid w:val="0"/>
                <w:color w:val="auto"/>
                <w:szCs w:val="21"/>
              </w:rPr>
              <w:t>0-</w:t>
            </w:r>
            <w:r>
              <w:rPr>
                <w:rFonts w:hint="eastAsia" w:ascii="宋体" w:hAnsi="宋体" w:eastAsia="宋体" w:cs="宋体"/>
                <w:snapToGrid w:val="0"/>
                <w:color w:val="auto"/>
                <w:szCs w:val="21"/>
                <w:lang w:val="en-US" w:eastAsia="zh-CN"/>
              </w:rPr>
              <w:t>34</w:t>
            </w:r>
            <w:r>
              <w:rPr>
                <w:rFonts w:hint="eastAsia" w:ascii="宋体" w:hAnsi="宋体" w:eastAsia="宋体" w:cs="宋体"/>
                <w:snapToGrid w:val="0"/>
                <w:color w:val="auto"/>
                <w:szCs w:val="21"/>
              </w:rPr>
              <w:t>分</w:t>
            </w:r>
          </w:p>
        </w:tc>
        <w:tc>
          <w:tcPr>
            <w:tcW w:w="3245" w:type="pct"/>
            <w:gridSpan w:val="2"/>
            <w:vAlign w:val="center"/>
          </w:tcPr>
          <w:p>
            <w:pPr>
              <w:spacing w:line="360" w:lineRule="auto"/>
              <w:rPr>
                <w:rFonts w:ascii="新宋体" w:hAnsi="新宋体" w:eastAsia="新宋体" w:cs="Arial Black"/>
                <w:b/>
                <w:bCs/>
                <w:snapToGrid w:val="0"/>
                <w:color w:val="auto"/>
                <w:szCs w:val="21"/>
              </w:rPr>
            </w:pPr>
            <w:r>
              <w:rPr>
                <w:rFonts w:hint="eastAsia" w:ascii="新宋体" w:hAnsi="新宋体" w:eastAsia="新宋体" w:cs="Arial Black"/>
                <w:snapToGrid w:val="0"/>
                <w:color w:val="auto"/>
                <w:szCs w:val="21"/>
              </w:rPr>
              <w:t>全部符合磋商文件第三部分竞争性磋商内容及要求中“采购参数”技术参数的得</w:t>
            </w:r>
            <w:r>
              <w:rPr>
                <w:rFonts w:hint="eastAsia" w:ascii="新宋体" w:hAnsi="新宋体" w:eastAsia="新宋体" w:cs="Arial Black"/>
                <w:snapToGrid w:val="0"/>
                <w:color w:val="auto"/>
                <w:szCs w:val="21"/>
                <w:lang w:val="en-US" w:eastAsia="zh-CN"/>
              </w:rPr>
              <w:t>34</w:t>
            </w:r>
            <w:r>
              <w:rPr>
                <w:rFonts w:hint="eastAsia" w:ascii="新宋体" w:hAnsi="新宋体" w:eastAsia="新宋体" w:cs="Arial Black"/>
                <w:snapToGrid w:val="0"/>
                <w:color w:val="auto"/>
                <w:szCs w:val="21"/>
              </w:rPr>
              <w:t>分，加“▲”号的为实质性条款，不允许负偏离，加“△”号的条款</w:t>
            </w:r>
            <w:r>
              <w:rPr>
                <w:rFonts w:hint="eastAsia" w:ascii="新宋体" w:hAnsi="新宋体" w:eastAsia="新宋体" w:cs="Arial Black"/>
                <w:snapToGrid w:val="0"/>
                <w:color w:val="auto"/>
                <w:szCs w:val="21"/>
                <w:lang w:eastAsia="zh-CN"/>
              </w:rPr>
              <w:t>，</w:t>
            </w:r>
            <w:r>
              <w:rPr>
                <w:rFonts w:hint="eastAsia" w:ascii="新宋体" w:hAnsi="新宋体" w:eastAsia="新宋体" w:cs="Arial Black"/>
                <w:snapToGrid w:val="0"/>
                <w:color w:val="auto"/>
                <w:szCs w:val="21"/>
              </w:rPr>
              <w:t>每负偏离一项扣</w:t>
            </w:r>
            <w:r>
              <w:rPr>
                <w:rFonts w:hint="eastAsia" w:ascii="新宋体" w:hAnsi="新宋体" w:eastAsia="新宋体" w:cs="Arial Black"/>
                <w:snapToGrid w:val="0"/>
                <w:color w:val="auto"/>
                <w:szCs w:val="21"/>
                <w:lang w:val="en-US" w:eastAsia="zh-CN"/>
              </w:rPr>
              <w:t>0.</w:t>
            </w:r>
            <w:r>
              <w:rPr>
                <w:rFonts w:hint="eastAsia" w:ascii="新宋体" w:hAnsi="新宋体" w:eastAsia="新宋体" w:cs="Arial Black"/>
                <w:snapToGrid w:val="0"/>
                <w:color w:val="auto"/>
                <w:szCs w:val="21"/>
              </w:rPr>
              <w:t>5分，加“★”</w:t>
            </w:r>
            <w:r>
              <w:rPr>
                <w:rFonts w:hint="eastAsia" w:ascii="新宋体" w:hAnsi="新宋体" w:eastAsia="新宋体" w:cs="Arial Black"/>
                <w:snapToGrid w:val="0"/>
                <w:color w:val="auto"/>
                <w:szCs w:val="21"/>
                <w:lang w:val="en-US" w:eastAsia="zh-CN"/>
              </w:rPr>
              <w:t>号</w:t>
            </w:r>
            <w:r>
              <w:rPr>
                <w:rFonts w:hint="eastAsia" w:ascii="新宋体" w:hAnsi="新宋体" w:eastAsia="新宋体" w:cs="Arial Black"/>
                <w:snapToGrid w:val="0"/>
                <w:color w:val="auto"/>
                <w:szCs w:val="21"/>
              </w:rPr>
              <w:t>的条款，每负偏离一项扣</w:t>
            </w:r>
            <w:r>
              <w:rPr>
                <w:rFonts w:hint="eastAsia" w:ascii="新宋体" w:hAnsi="新宋体" w:eastAsia="新宋体" w:cs="Arial Black"/>
                <w:snapToGrid w:val="0"/>
                <w:color w:val="auto"/>
                <w:szCs w:val="21"/>
                <w:lang w:val="en-US" w:eastAsia="zh-CN"/>
              </w:rPr>
              <w:t>1</w:t>
            </w:r>
            <w:r>
              <w:rPr>
                <w:rFonts w:hint="eastAsia" w:ascii="新宋体" w:hAnsi="新宋体" w:eastAsia="新宋体" w:cs="Arial Black"/>
                <w:snapToGrid w:val="0"/>
                <w:color w:val="auto"/>
                <w:szCs w:val="21"/>
              </w:rPr>
              <w:t>分，</w:t>
            </w:r>
            <w:r>
              <w:rPr>
                <w:rFonts w:hint="eastAsia" w:ascii="新宋体" w:hAnsi="新宋体" w:eastAsia="新宋体" w:cs="Arial Black"/>
                <w:snapToGrid w:val="0"/>
                <w:color w:val="auto"/>
                <w:szCs w:val="21"/>
                <w:lang w:val="en-US" w:eastAsia="zh-CN"/>
              </w:rPr>
              <w:t>其余参数不计分，</w:t>
            </w:r>
            <w:r>
              <w:rPr>
                <w:rFonts w:hint="eastAsia" w:ascii="新宋体" w:hAnsi="新宋体" w:eastAsia="新宋体" w:cs="Arial Black"/>
                <w:snapToGrid w:val="0"/>
                <w:color w:val="auto"/>
                <w:szCs w:val="21"/>
              </w:rPr>
              <w:t>要求提供检验或检测报告的实质性条款必须在检验报告中体现，否则视为负偏离。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21" w:type="pct"/>
            <w:vMerge w:val="restart"/>
            <w:vAlign w:val="center"/>
          </w:tcPr>
          <w:p>
            <w:pPr>
              <w:spacing w:line="360" w:lineRule="exact"/>
              <w:ind w:left="-50"/>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5.5</w:t>
            </w:r>
          </w:p>
        </w:tc>
        <w:tc>
          <w:tcPr>
            <w:tcW w:w="819" w:type="pct"/>
            <w:vMerge w:val="restart"/>
            <w:vAlign w:val="center"/>
          </w:tcPr>
          <w:p>
            <w:pPr>
              <w:spacing w:line="360" w:lineRule="auto"/>
              <w:ind w:left="-50"/>
              <w:jc w:val="center"/>
              <w:rPr>
                <w:rFonts w:hint="eastAsia" w:ascii="新宋体" w:hAnsi="新宋体" w:eastAsia="新宋体" w:cs="Arial Black"/>
                <w:snapToGrid w:val="0"/>
                <w:color w:val="auto"/>
                <w:szCs w:val="21"/>
                <w:lang w:val="en-US" w:eastAsia="zh-CN"/>
              </w:rPr>
            </w:pPr>
            <w:r>
              <w:rPr>
                <w:rFonts w:hint="eastAsia" w:ascii="新宋体" w:hAnsi="新宋体" w:eastAsia="新宋体" w:cs="Arial Black"/>
                <w:snapToGrid w:val="0"/>
                <w:color w:val="auto"/>
                <w:szCs w:val="21"/>
                <w:lang w:val="en-US" w:eastAsia="zh-CN"/>
              </w:rPr>
              <w:t>视频演示</w:t>
            </w:r>
          </w:p>
        </w:tc>
        <w:tc>
          <w:tcPr>
            <w:tcW w:w="513" w:type="pct"/>
            <w:vMerge w:val="restart"/>
            <w:vAlign w:val="center"/>
          </w:tcPr>
          <w:p>
            <w:pPr>
              <w:spacing w:line="360" w:lineRule="auto"/>
              <w:ind w:left="-50"/>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0-9分</w:t>
            </w:r>
          </w:p>
        </w:tc>
        <w:tc>
          <w:tcPr>
            <w:tcW w:w="3245" w:type="pct"/>
            <w:gridSpan w:val="2"/>
            <w:vAlign w:val="center"/>
          </w:tcPr>
          <w:p>
            <w:pPr>
              <w:bidi w:val="0"/>
              <w:spacing w:line="360" w:lineRule="auto"/>
              <w:rPr>
                <w:rFonts w:hint="default" w:eastAsia="新宋体"/>
                <w:lang w:val="en-US" w:eastAsia="zh-CN"/>
              </w:rPr>
            </w:pPr>
            <w:r>
              <w:rPr>
                <w:rFonts w:hint="eastAsia" w:ascii="新宋体" w:hAnsi="新宋体" w:eastAsia="新宋体" w:cs="Arial Black"/>
                <w:snapToGrid w:val="0"/>
                <w:color w:val="auto"/>
                <w:szCs w:val="21"/>
                <w:lang w:val="en-US" w:eastAsia="zh-CN"/>
              </w:rPr>
              <w:t>视频演示</w:t>
            </w:r>
            <w:r>
              <w:rPr>
                <w:rFonts w:hint="eastAsia" w:ascii="新宋体" w:hAnsi="新宋体" w:eastAsia="新宋体" w:cs="Arial Black"/>
                <w:snapToGrid w:val="0"/>
                <w:color w:val="auto"/>
                <w:szCs w:val="21"/>
              </w:rPr>
              <w:t>全部符合</w:t>
            </w:r>
            <w:r>
              <w:rPr>
                <w:rFonts w:hint="eastAsia" w:ascii="新宋体" w:hAnsi="新宋体" w:eastAsia="新宋体" w:cs="Arial Black"/>
                <w:snapToGrid w:val="0"/>
                <w:color w:val="auto"/>
                <w:szCs w:val="21"/>
                <w:lang w:val="en-US" w:eastAsia="zh-CN"/>
              </w:rPr>
              <w:t>评分要求得9分，每负偏离一项扣0.5分，未提供视为不得分。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21" w:type="pct"/>
            <w:vMerge w:val="continue"/>
            <w:vAlign w:val="center"/>
          </w:tcPr>
          <w:p>
            <w:pPr>
              <w:spacing w:line="360" w:lineRule="exact"/>
              <w:ind w:left="-50"/>
              <w:jc w:val="center"/>
              <w:rPr>
                <w:rFonts w:hint="default" w:ascii="宋体" w:hAnsi="宋体" w:eastAsia="宋体" w:cs="宋体"/>
                <w:snapToGrid w:val="0"/>
                <w:szCs w:val="21"/>
                <w:lang w:val="en-US" w:eastAsia="zh-CN"/>
              </w:rPr>
            </w:pPr>
          </w:p>
        </w:tc>
        <w:tc>
          <w:tcPr>
            <w:tcW w:w="819" w:type="pct"/>
            <w:vMerge w:val="continue"/>
            <w:vAlign w:val="center"/>
          </w:tcPr>
          <w:p>
            <w:pPr>
              <w:spacing w:line="360" w:lineRule="auto"/>
              <w:ind w:left="-50"/>
              <w:jc w:val="center"/>
              <w:rPr>
                <w:rFonts w:hint="eastAsia" w:ascii="新宋体" w:hAnsi="新宋体" w:eastAsia="新宋体" w:cs="Arial Black"/>
                <w:snapToGrid w:val="0"/>
                <w:color w:val="auto"/>
                <w:szCs w:val="21"/>
                <w:lang w:val="en-US" w:eastAsia="zh-CN"/>
              </w:rPr>
            </w:pPr>
          </w:p>
        </w:tc>
        <w:tc>
          <w:tcPr>
            <w:tcW w:w="513" w:type="pct"/>
            <w:vMerge w:val="continue"/>
            <w:vAlign w:val="center"/>
          </w:tcPr>
          <w:p>
            <w:pPr>
              <w:spacing w:line="360" w:lineRule="auto"/>
              <w:ind w:left="-50"/>
              <w:jc w:val="center"/>
              <w:rPr>
                <w:rFonts w:hint="default" w:ascii="宋体" w:hAnsi="宋体" w:eastAsia="宋体" w:cs="宋体"/>
                <w:snapToGrid w:val="0"/>
                <w:color w:val="auto"/>
                <w:szCs w:val="21"/>
                <w:lang w:val="en-US" w:eastAsia="zh-CN"/>
              </w:rPr>
            </w:pPr>
          </w:p>
        </w:tc>
        <w:tc>
          <w:tcPr>
            <w:tcW w:w="3245" w:type="pct"/>
            <w:gridSpan w:val="2"/>
            <w:vAlign w:val="center"/>
          </w:tcPr>
          <w:p>
            <w:pPr>
              <w:bidi w:val="0"/>
              <w:spacing w:line="360" w:lineRule="auto"/>
              <w:rPr>
                <w:rFonts w:hint="eastAsia"/>
                <w:b/>
                <w:bCs/>
                <w:lang w:eastAsia="zh-CN"/>
              </w:rPr>
            </w:pPr>
            <w:r>
              <w:rPr>
                <w:rFonts w:hint="eastAsia"/>
                <w:b/>
                <w:bCs/>
              </w:rPr>
              <w:t>手提式无人机侦测定位设备</w:t>
            </w:r>
            <w:r>
              <w:rPr>
                <w:rFonts w:hint="eastAsia"/>
                <w:b/>
                <w:bCs/>
                <w:lang w:eastAsia="zh-CN"/>
              </w:rPr>
              <w:t>：</w:t>
            </w:r>
          </w:p>
          <w:p>
            <w:pPr>
              <w:bidi w:val="0"/>
              <w:spacing w:line="360" w:lineRule="auto"/>
              <w:rPr>
                <w:rFonts w:hint="eastAsia"/>
                <w:lang w:val="en-US" w:eastAsia="zh-CN"/>
              </w:rPr>
            </w:pPr>
            <w:r>
              <w:rPr>
                <w:rFonts w:hint="eastAsia"/>
                <w:lang w:val="en-US" w:eastAsia="zh-CN"/>
              </w:rPr>
              <w:t>① 支持在线和离线地图，能在电子地图上以图标方式显示探测到的无人机位置、飞手位置、返航点，并能显示飞行轨迹。</w:t>
            </w:r>
          </w:p>
          <w:p>
            <w:pPr>
              <w:bidi w:val="0"/>
              <w:spacing w:line="360" w:lineRule="auto"/>
              <w:rPr>
                <w:rFonts w:hint="eastAsia"/>
                <w:lang w:val="en-US" w:eastAsia="zh-CN"/>
              </w:rPr>
            </w:pPr>
            <w:r>
              <w:rPr>
                <w:rFonts w:hint="eastAsia"/>
                <w:lang w:val="en-US" w:eastAsia="zh-CN"/>
              </w:rPr>
              <w:t>② 具有入侵目标轨迹回放功能，具备入侵记录列表，可通过时间、轨迹ID等维度选择播放入侵目标轨迹，播放速度可进行倍速设置，支持同一时间段或邻近时间的多架次入侵目标同时进行轨迹回放。</w:t>
            </w:r>
          </w:p>
          <w:p>
            <w:pPr>
              <w:bidi w:val="0"/>
              <w:spacing w:line="360" w:lineRule="auto"/>
              <w:rPr>
                <w:rFonts w:hint="default"/>
                <w:lang w:val="en-US" w:eastAsia="zh-CN"/>
              </w:rPr>
            </w:pPr>
            <w:r>
              <w:rPr>
                <w:rFonts w:hint="eastAsia"/>
                <w:lang w:val="en-US" w:eastAsia="zh-CN"/>
              </w:rPr>
              <w:t>③ 轨迹跟踪功能：可跟踪市场主流品牌无人机，并在电子地图上显示无人机的实时飞行轨迹。</w:t>
            </w:r>
          </w:p>
          <w:p>
            <w:pPr>
              <w:bidi w:val="0"/>
              <w:spacing w:line="360" w:lineRule="auto"/>
              <w:rPr>
                <w:rFonts w:hint="eastAsia"/>
                <w:lang w:val="en-US" w:eastAsia="zh-CN"/>
              </w:rPr>
            </w:pPr>
            <w:r>
              <w:rPr>
                <w:rFonts w:hint="eastAsia"/>
                <w:lang w:val="en-US" w:eastAsia="zh-CN"/>
              </w:rPr>
              <w:t>④ 组网功能：支持多台（≥2台）设备组网，并可接入后端管控服务平台对多台设备进行统一管理，能将探测到的无人机信息、飞手位置和无人机轨迹等结果数据进行融合。</w:t>
            </w:r>
          </w:p>
          <w:p>
            <w:pPr>
              <w:bidi w:val="0"/>
              <w:spacing w:line="360" w:lineRule="auto"/>
              <w:rPr>
                <w:rFonts w:hint="default"/>
                <w:lang w:val="en-US" w:eastAsia="zh-CN"/>
              </w:rPr>
            </w:pPr>
            <w:r>
              <w:rPr>
                <w:rFonts w:hint="eastAsia"/>
                <w:lang w:val="en-US" w:eastAsia="zh-CN"/>
              </w:rPr>
              <w:t>⑤ 具备多目标跳频信号跟踪能力：目标无人机改变工作频段后，设备仍能自动跟踪、并识别为同一架次无人机，并在电子地图上显示为同一条轨迹，可同时跳频跟踪目标数≥5架次。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21" w:type="pct"/>
            <w:vMerge w:val="continue"/>
            <w:vAlign w:val="center"/>
          </w:tcPr>
          <w:p>
            <w:pPr>
              <w:spacing w:line="360" w:lineRule="auto"/>
            </w:pPr>
          </w:p>
        </w:tc>
        <w:tc>
          <w:tcPr>
            <w:tcW w:w="819" w:type="pct"/>
            <w:vMerge w:val="continue"/>
            <w:vAlign w:val="center"/>
          </w:tcPr>
          <w:p>
            <w:pPr>
              <w:spacing w:line="360" w:lineRule="auto"/>
            </w:pPr>
          </w:p>
        </w:tc>
        <w:tc>
          <w:tcPr>
            <w:tcW w:w="513" w:type="pct"/>
            <w:vMerge w:val="continue"/>
            <w:vAlign w:val="center"/>
          </w:tcPr>
          <w:p>
            <w:pPr>
              <w:spacing w:line="360" w:lineRule="auto"/>
            </w:pPr>
          </w:p>
        </w:tc>
        <w:tc>
          <w:tcPr>
            <w:tcW w:w="3245" w:type="pct"/>
            <w:gridSpan w:val="2"/>
            <w:vAlign w:val="center"/>
          </w:tcPr>
          <w:p>
            <w:pPr>
              <w:bidi w:val="0"/>
              <w:spacing w:line="360" w:lineRule="auto"/>
              <w:rPr>
                <w:rFonts w:hint="eastAsia"/>
                <w:b/>
                <w:bCs/>
                <w:lang w:eastAsia="zh-CN"/>
              </w:rPr>
            </w:pPr>
            <w:r>
              <w:rPr>
                <w:rFonts w:hint="eastAsia"/>
                <w:b/>
                <w:bCs/>
              </w:rPr>
              <w:t>多用途大功率无人机</w:t>
            </w:r>
            <w:r>
              <w:rPr>
                <w:rFonts w:hint="eastAsia"/>
                <w:b/>
                <w:bCs/>
                <w:lang w:eastAsia="zh-CN"/>
              </w:rPr>
              <w:t>：</w:t>
            </w:r>
          </w:p>
          <w:p>
            <w:pPr>
              <w:bidi w:val="0"/>
              <w:spacing w:line="360" w:lineRule="auto"/>
              <w:rPr>
                <w:rFonts w:hint="eastAsia"/>
                <w:lang w:val="en-US" w:eastAsia="zh-CN"/>
              </w:rPr>
            </w:pPr>
            <w:r>
              <w:rPr>
                <w:rFonts w:hint="eastAsia"/>
                <w:lang w:val="en-US" w:eastAsia="zh-CN"/>
              </w:rPr>
              <w:t xml:space="preserve">① </w:t>
            </w:r>
            <w:r>
              <w:rPr>
                <w:rFonts w:hint="eastAsia"/>
              </w:rPr>
              <w:t>反制设备</w:t>
            </w:r>
            <w:r>
              <w:rPr>
                <w:rFonts w:hint="eastAsia"/>
                <w:lang w:val="en-US" w:eastAsia="zh-CN"/>
              </w:rPr>
              <w:t>外观：背负式箱式主机，配备全向天线与手持定向天线，金属机身一体散热。标配人体裁剪背负框架，有效减轻背负重量。</w:t>
            </w:r>
          </w:p>
          <w:p>
            <w:pPr>
              <w:bidi w:val="0"/>
              <w:spacing w:line="360" w:lineRule="auto"/>
              <w:rPr>
                <w:rFonts w:hint="eastAsia"/>
                <w:lang w:val="en-US" w:eastAsia="zh-CN"/>
              </w:rPr>
            </w:pPr>
            <w:r>
              <w:rPr>
                <w:rFonts w:hint="eastAsia"/>
                <w:lang w:val="en-US" w:eastAsia="zh-CN"/>
              </w:rPr>
              <w:t>② 提供改装为车载式服务，结合全向天线，形成移动的保护罩。</w:t>
            </w:r>
          </w:p>
          <w:p>
            <w:pPr>
              <w:keepNext w:val="0"/>
              <w:keepLines w:val="0"/>
              <w:widowControl/>
              <w:numPr>
                <w:ilvl w:val="0"/>
                <w:numId w:val="0"/>
              </w:numPr>
              <w:suppressLineNumbers w:val="0"/>
              <w:spacing w:line="360" w:lineRule="auto"/>
              <w:jc w:val="left"/>
              <w:textAlignment w:val="center"/>
              <w:rPr>
                <w:rFonts w:hint="default"/>
                <w:lang w:val="en-US"/>
              </w:rPr>
            </w:pPr>
            <w:r>
              <w:rPr>
                <w:rFonts w:hint="eastAsia"/>
                <w:lang w:val="en-US" w:eastAsia="zh-CN"/>
              </w:rPr>
              <w:t xml:space="preserve">③ </w:t>
            </w:r>
            <w:r>
              <w:rPr>
                <w:rFonts w:hint="eastAsia" w:ascii="宋体" w:hAnsi="宋体" w:eastAsia="宋体" w:cs="宋体"/>
                <w:i w:val="0"/>
                <w:iCs w:val="0"/>
                <w:color w:val="000000"/>
                <w:kern w:val="0"/>
                <w:sz w:val="21"/>
                <w:szCs w:val="21"/>
                <w:u w:val="none"/>
                <w:lang w:val="en-US" w:eastAsia="zh-CN" w:bidi="ar"/>
              </w:rPr>
              <w:t>功能：通过定向或全向发射多频段的电子干扰信号，对市场上主流型号无人机的无线电遥控信号、导航信号、数据传输信号实施压制。定向模式与全向模式之间可随时切换。基本干扰频段包括900MHz（全段）、1.3GHz（全段）、1.5GHz（全球四大导航系统 L1 频段）、2.4GHz（全段）、5.8GHz（全段），可同时上述多频（或更多频段）干扰。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21" w:type="pct"/>
            <w:vMerge w:val="continue"/>
            <w:vAlign w:val="center"/>
          </w:tcPr>
          <w:p>
            <w:pPr>
              <w:spacing w:line="360" w:lineRule="auto"/>
              <w:rPr>
                <w:rFonts w:hint="eastAsia" w:ascii="新宋体" w:hAnsi="新宋体" w:eastAsia="新宋体" w:cs="Arial Black"/>
                <w:snapToGrid w:val="0"/>
                <w:color w:val="auto"/>
                <w:szCs w:val="21"/>
              </w:rPr>
            </w:pPr>
          </w:p>
        </w:tc>
        <w:tc>
          <w:tcPr>
            <w:tcW w:w="819" w:type="pct"/>
            <w:vMerge w:val="continue"/>
            <w:vAlign w:val="center"/>
          </w:tcPr>
          <w:p>
            <w:pPr>
              <w:spacing w:line="360" w:lineRule="auto"/>
              <w:rPr>
                <w:rFonts w:hint="eastAsia" w:ascii="新宋体" w:hAnsi="新宋体" w:eastAsia="新宋体" w:cs="Arial Black"/>
                <w:snapToGrid w:val="0"/>
                <w:color w:val="auto"/>
                <w:szCs w:val="21"/>
              </w:rPr>
            </w:pPr>
          </w:p>
        </w:tc>
        <w:tc>
          <w:tcPr>
            <w:tcW w:w="513" w:type="pct"/>
            <w:vMerge w:val="continue"/>
            <w:vAlign w:val="center"/>
          </w:tcPr>
          <w:p>
            <w:pPr>
              <w:spacing w:line="360" w:lineRule="auto"/>
              <w:rPr>
                <w:rFonts w:hint="eastAsia" w:ascii="新宋体" w:hAnsi="新宋体" w:eastAsia="新宋体" w:cs="Arial Black"/>
                <w:snapToGrid w:val="0"/>
                <w:color w:val="auto"/>
                <w:szCs w:val="21"/>
              </w:rPr>
            </w:pPr>
          </w:p>
        </w:tc>
        <w:tc>
          <w:tcPr>
            <w:tcW w:w="3245" w:type="pct"/>
            <w:gridSpan w:val="2"/>
            <w:vAlign w:val="center"/>
          </w:tcPr>
          <w:p>
            <w:pPr>
              <w:bidi w:val="0"/>
              <w:spacing w:line="360" w:lineRule="auto"/>
              <w:rPr>
                <w:rFonts w:hint="eastAsia"/>
                <w:b/>
                <w:bCs/>
              </w:rPr>
            </w:pPr>
            <w:r>
              <w:rPr>
                <w:rFonts w:hint="eastAsia"/>
                <w:b/>
                <w:bCs/>
                <w:lang w:val="en-US" w:eastAsia="zh-CN"/>
              </w:rPr>
              <w:t>穿越机反制设备：</w:t>
            </w:r>
          </w:p>
          <w:p>
            <w:pPr>
              <w:bidi w:val="0"/>
              <w:spacing w:line="360" w:lineRule="auto"/>
              <w:rPr>
                <w:rFonts w:hint="default"/>
                <w:lang w:val="en-US" w:eastAsia="zh-CN"/>
              </w:rPr>
            </w:pPr>
            <w:r>
              <w:rPr>
                <w:rFonts w:hint="eastAsia"/>
                <w:lang w:val="en-US" w:eastAsia="zh-CN"/>
              </w:rPr>
              <w:t>① 电池状态监测功能：具备电池状态监测功能，可监控并显示电池电量、温度、电压。</w:t>
            </w:r>
          </w:p>
          <w:p>
            <w:pPr>
              <w:bidi w:val="0"/>
              <w:spacing w:line="360" w:lineRule="auto"/>
              <w:rPr>
                <w:rFonts w:hint="default"/>
                <w:lang w:val="en-US" w:eastAsia="zh-CN"/>
              </w:rPr>
            </w:pPr>
            <w:r>
              <w:rPr>
                <w:rFonts w:hint="eastAsia"/>
                <w:lang w:val="en-US" w:eastAsia="zh-CN"/>
              </w:rPr>
              <w:t>② 发射反馈功能：发射干扰信号时，主机屏幕应能同步显示攻击提示画面。</w:t>
            </w:r>
          </w:p>
          <w:p>
            <w:pPr>
              <w:bidi w:val="0"/>
              <w:spacing w:line="360" w:lineRule="auto"/>
              <w:rPr>
                <w:rFonts w:hint="default"/>
                <w:lang w:val="en-US" w:eastAsia="zh-CN"/>
              </w:rPr>
            </w:pPr>
            <w:r>
              <w:rPr>
                <w:rFonts w:hint="eastAsia"/>
                <w:lang w:val="en-US" w:eastAsia="zh-CN"/>
              </w:rPr>
              <w:t>③ 文字告警功能：进行干扰发射时，应能推送由文字符构成的告警信息至FPV飞行眼镜或视频接收器。</w:t>
            </w:r>
          </w:p>
          <w:p>
            <w:pPr>
              <w:bidi w:val="0"/>
              <w:spacing w:line="360" w:lineRule="auto"/>
              <w:rPr>
                <w:rFonts w:hint="default"/>
                <w:lang w:val="en-US" w:eastAsia="zh-CN"/>
              </w:rPr>
            </w:pPr>
            <w:r>
              <w:rPr>
                <w:rFonts w:hint="eastAsia"/>
                <w:lang w:val="en-US" w:eastAsia="zh-CN"/>
              </w:rPr>
              <w:t>④ 眩目功能：具备眩目功能。推送文字符告警同时应能使视频接收器或FPV飞行眼镜产生白色闪屏。</w:t>
            </w:r>
          </w:p>
          <w:p>
            <w:pPr>
              <w:bidi w:val="0"/>
              <w:spacing w:line="360" w:lineRule="auto"/>
              <w:rPr>
                <w:rFonts w:hint="default"/>
                <w:lang w:val="en-US" w:eastAsia="zh-CN"/>
              </w:rPr>
            </w:pPr>
            <w:r>
              <w:rPr>
                <w:rFonts w:hint="eastAsia"/>
                <w:lang w:val="en-US" w:eastAsia="zh-CN"/>
              </w:rPr>
              <w:t>⑤ 图传接管功能：具备图传接管功能。在侦测获取到穿越机的图传信号时，可将穿越机视角画面显示在主机显示屏上。</w:t>
            </w:r>
          </w:p>
          <w:p>
            <w:pPr>
              <w:bidi w:val="0"/>
              <w:spacing w:line="360" w:lineRule="auto"/>
              <w:rPr>
                <w:rFonts w:hint="default"/>
                <w:lang w:val="en-US" w:eastAsia="zh-CN"/>
              </w:rPr>
            </w:pPr>
            <w:r>
              <w:rPr>
                <w:rFonts w:hint="eastAsia"/>
                <w:lang w:val="en-US" w:eastAsia="zh-CN"/>
              </w:rPr>
              <w:t xml:space="preserve">⑥ 攻击效果确认功能：具备攻击效果确认功能。当主机自动退出攻击模式后，显示屏应能显示干扰频点所对应的图传信号画面，确认干扰攻击效果。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21" w:type="pct"/>
            <w:vMerge w:val="continue"/>
            <w:vAlign w:val="center"/>
          </w:tcPr>
          <w:p>
            <w:pPr>
              <w:spacing w:line="360" w:lineRule="auto"/>
              <w:rPr>
                <w:rFonts w:hint="eastAsia" w:ascii="新宋体" w:hAnsi="新宋体" w:eastAsia="新宋体" w:cs="Arial Black"/>
                <w:snapToGrid w:val="0"/>
                <w:color w:val="auto"/>
                <w:szCs w:val="21"/>
              </w:rPr>
            </w:pPr>
          </w:p>
        </w:tc>
        <w:tc>
          <w:tcPr>
            <w:tcW w:w="819" w:type="pct"/>
            <w:vMerge w:val="continue"/>
            <w:vAlign w:val="center"/>
          </w:tcPr>
          <w:p>
            <w:pPr>
              <w:spacing w:line="360" w:lineRule="auto"/>
              <w:rPr>
                <w:rFonts w:hint="eastAsia" w:ascii="新宋体" w:hAnsi="新宋体" w:eastAsia="新宋体" w:cs="Arial Black"/>
                <w:snapToGrid w:val="0"/>
                <w:color w:val="auto"/>
                <w:szCs w:val="21"/>
              </w:rPr>
            </w:pPr>
          </w:p>
        </w:tc>
        <w:tc>
          <w:tcPr>
            <w:tcW w:w="513" w:type="pct"/>
            <w:vMerge w:val="continue"/>
            <w:vAlign w:val="center"/>
          </w:tcPr>
          <w:p>
            <w:pPr>
              <w:spacing w:line="360" w:lineRule="auto"/>
              <w:rPr>
                <w:rFonts w:hint="eastAsia" w:ascii="新宋体" w:hAnsi="新宋体" w:eastAsia="新宋体" w:cs="Arial Black"/>
                <w:snapToGrid w:val="0"/>
                <w:color w:val="auto"/>
                <w:szCs w:val="21"/>
              </w:rPr>
            </w:pPr>
          </w:p>
        </w:tc>
        <w:tc>
          <w:tcPr>
            <w:tcW w:w="3245" w:type="pct"/>
            <w:gridSpan w:val="2"/>
            <w:vAlign w:val="center"/>
          </w:tcPr>
          <w:p>
            <w:pPr>
              <w:bidi w:val="0"/>
              <w:spacing w:line="360" w:lineRule="auto"/>
              <w:rPr>
                <w:rFonts w:hint="eastAsia"/>
                <w:b/>
                <w:bCs/>
                <w:lang w:val="en-US" w:eastAsia="zh-CN"/>
              </w:rPr>
            </w:pPr>
            <w:r>
              <w:rPr>
                <w:rFonts w:hint="eastAsia"/>
                <w:b/>
                <w:bCs/>
                <w:lang w:val="en-US" w:eastAsia="zh-CN"/>
              </w:rPr>
              <w:t>便携式无人机侦测反制设备：</w:t>
            </w:r>
          </w:p>
          <w:p>
            <w:pPr>
              <w:bidi w:val="0"/>
              <w:spacing w:line="360" w:lineRule="auto"/>
              <w:rPr>
                <w:rFonts w:hint="default"/>
                <w:lang w:val="en-US" w:eastAsia="zh-CN"/>
              </w:rPr>
            </w:pPr>
            <w:r>
              <w:rPr>
                <w:rFonts w:hint="eastAsia"/>
                <w:lang w:val="en-US" w:eastAsia="zh-CN"/>
              </w:rPr>
              <w:t>① 支持4G通讯，可接入无人机侦测反制管控平台，并远程查看设备经纬度、电量等信息。</w:t>
            </w:r>
          </w:p>
          <w:p>
            <w:pPr>
              <w:bidi w:val="0"/>
              <w:spacing w:line="360" w:lineRule="auto"/>
              <w:rPr>
                <w:rFonts w:hint="eastAsia"/>
              </w:rPr>
            </w:pPr>
            <w:r>
              <w:rPr>
                <w:rFonts w:hint="eastAsia"/>
                <w:lang w:val="en-US" w:eastAsia="zh-CN"/>
              </w:rPr>
              <w:t>② 支持自定义发射信号频段，范围为300MHz-2500MHz。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21" w:type="pct"/>
            <w:vMerge w:val="continue"/>
            <w:vAlign w:val="center"/>
          </w:tcPr>
          <w:p>
            <w:pPr>
              <w:spacing w:line="360" w:lineRule="auto"/>
              <w:rPr>
                <w:rFonts w:hint="eastAsia" w:ascii="新宋体" w:hAnsi="新宋体" w:eastAsia="新宋体" w:cs="Arial Black"/>
                <w:snapToGrid w:val="0"/>
                <w:color w:val="auto"/>
                <w:szCs w:val="21"/>
              </w:rPr>
            </w:pPr>
          </w:p>
        </w:tc>
        <w:tc>
          <w:tcPr>
            <w:tcW w:w="819" w:type="pct"/>
            <w:vMerge w:val="continue"/>
            <w:vAlign w:val="center"/>
          </w:tcPr>
          <w:p>
            <w:pPr>
              <w:spacing w:line="360" w:lineRule="auto"/>
              <w:rPr>
                <w:rFonts w:hint="eastAsia" w:ascii="新宋体" w:hAnsi="新宋体" w:eastAsia="新宋体" w:cs="Arial Black"/>
                <w:snapToGrid w:val="0"/>
                <w:color w:val="auto"/>
                <w:szCs w:val="21"/>
              </w:rPr>
            </w:pPr>
          </w:p>
        </w:tc>
        <w:tc>
          <w:tcPr>
            <w:tcW w:w="513" w:type="pct"/>
            <w:vMerge w:val="continue"/>
            <w:vAlign w:val="center"/>
          </w:tcPr>
          <w:p>
            <w:pPr>
              <w:spacing w:line="360" w:lineRule="auto"/>
              <w:rPr>
                <w:rFonts w:hint="eastAsia" w:ascii="新宋体" w:hAnsi="新宋体" w:eastAsia="新宋体" w:cs="Arial Black"/>
                <w:snapToGrid w:val="0"/>
                <w:color w:val="auto"/>
                <w:szCs w:val="21"/>
              </w:rPr>
            </w:pPr>
          </w:p>
        </w:tc>
        <w:tc>
          <w:tcPr>
            <w:tcW w:w="3245" w:type="pct"/>
            <w:gridSpan w:val="2"/>
            <w:vAlign w:val="center"/>
          </w:tcPr>
          <w:p>
            <w:pPr>
              <w:bidi w:val="0"/>
              <w:spacing w:line="360" w:lineRule="auto"/>
              <w:rPr>
                <w:rFonts w:hint="eastAsia"/>
                <w:b/>
                <w:bCs/>
                <w:lang w:val="en-US" w:eastAsia="zh-CN"/>
              </w:rPr>
            </w:pPr>
            <w:r>
              <w:rPr>
                <w:rFonts w:hint="eastAsia"/>
                <w:b/>
                <w:bCs/>
                <w:lang w:val="en-US" w:eastAsia="zh-CN"/>
              </w:rPr>
              <w:t>无人机侦测反制设备管控平台：</w:t>
            </w:r>
          </w:p>
          <w:p>
            <w:pPr>
              <w:bidi w:val="0"/>
              <w:spacing w:line="360" w:lineRule="auto"/>
              <w:rPr>
                <w:rFonts w:hint="default"/>
                <w:lang w:val="en-US" w:eastAsia="zh-CN"/>
              </w:rPr>
            </w:pPr>
            <w:r>
              <w:rPr>
                <w:rFonts w:hint="eastAsia"/>
                <w:lang w:val="en-US" w:eastAsia="zh-CN"/>
              </w:rPr>
              <w:t>① 系统实现黑飞排查、飞行备案、临时安保任务、重大安保任务、亚运场馆专题、警用无人机管理、无人值守防御、无人机航线管理等功能。</w:t>
            </w:r>
          </w:p>
          <w:p>
            <w:pPr>
              <w:bidi w:val="0"/>
              <w:spacing w:line="360" w:lineRule="auto"/>
              <w:rPr>
                <w:rFonts w:hint="eastAsia"/>
                <w:lang w:val="en-US" w:eastAsia="zh-CN"/>
              </w:rPr>
            </w:pPr>
            <w:r>
              <w:rPr>
                <w:rFonts w:hint="eastAsia"/>
                <w:lang w:val="en-US" w:eastAsia="zh-CN"/>
              </w:rPr>
              <w:t>② 系统具备统一指挥调度、发放电子身份证、侦测、取证、驱离、打击、精准定位监视以及警戒防控任务管理等功能，能对目标区域无人机飞行进行有效管控。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21" w:type="pct"/>
            <w:vAlign w:val="center"/>
          </w:tcPr>
          <w:p>
            <w:pPr>
              <w:spacing w:line="360" w:lineRule="auto"/>
              <w:jc w:val="center"/>
              <w:rPr>
                <w:rFonts w:hint="eastAsia" w:eastAsiaTheme="minorEastAsia"/>
                <w:lang w:eastAsia="zh-CN"/>
              </w:rPr>
            </w:pPr>
            <w:r>
              <w:rPr>
                <w:rFonts w:hint="eastAsia"/>
              </w:rPr>
              <w:t>5.</w:t>
            </w:r>
            <w:r>
              <w:rPr>
                <w:rFonts w:hint="eastAsia"/>
                <w:lang w:val="en-US" w:eastAsia="zh-CN"/>
              </w:rPr>
              <w:t>6</w:t>
            </w:r>
          </w:p>
        </w:tc>
        <w:tc>
          <w:tcPr>
            <w:tcW w:w="819" w:type="pct"/>
            <w:vAlign w:val="center"/>
          </w:tcPr>
          <w:p>
            <w:pPr>
              <w:spacing w:line="360" w:lineRule="auto"/>
              <w:jc w:val="center"/>
              <w:rPr>
                <w:rFonts w:ascii="宋体" w:hAnsi="宋体" w:eastAsia="宋体" w:cs="宋体"/>
              </w:rPr>
            </w:pPr>
            <w:r>
              <w:rPr>
                <w:rFonts w:hint="eastAsia"/>
              </w:rPr>
              <w:t>供货方案</w:t>
            </w:r>
          </w:p>
        </w:tc>
        <w:tc>
          <w:tcPr>
            <w:tcW w:w="513" w:type="pct"/>
            <w:vAlign w:val="center"/>
          </w:tcPr>
          <w:p>
            <w:pPr>
              <w:spacing w:line="360" w:lineRule="auto"/>
              <w:jc w:val="center"/>
              <w:rPr>
                <w:rFonts w:ascii="宋体" w:hAnsi="宋体" w:eastAsia="宋体" w:cs="宋体"/>
                <w:snapToGrid w:val="0"/>
                <w:szCs w:val="21"/>
              </w:rPr>
            </w:pPr>
            <w:r>
              <w:rPr>
                <w:rFonts w:hint="eastAsia" w:ascii="宋体" w:hAnsi="宋体" w:eastAsia="宋体" w:cs="宋体"/>
                <w:snapToGrid w:val="0"/>
                <w:color w:val="auto"/>
                <w:szCs w:val="21"/>
              </w:rPr>
              <w:t>0-</w:t>
            </w:r>
            <w:r>
              <w:rPr>
                <w:rFonts w:hint="eastAsia" w:ascii="宋体" w:hAnsi="宋体" w:eastAsia="宋体" w:cs="宋体"/>
                <w:snapToGrid w:val="0"/>
                <w:color w:val="auto"/>
                <w:szCs w:val="21"/>
                <w:lang w:val="en-US" w:eastAsia="zh-CN"/>
              </w:rPr>
              <w:t>4</w:t>
            </w:r>
            <w:r>
              <w:rPr>
                <w:rFonts w:hint="eastAsia" w:ascii="宋体" w:hAnsi="宋体" w:eastAsia="宋体" w:cs="宋体"/>
                <w:snapToGrid w:val="0"/>
                <w:color w:val="auto"/>
                <w:szCs w:val="21"/>
              </w:rPr>
              <w:t>分</w:t>
            </w:r>
          </w:p>
        </w:tc>
        <w:tc>
          <w:tcPr>
            <w:tcW w:w="3245" w:type="pct"/>
            <w:gridSpan w:val="2"/>
            <w:vAlign w:val="center"/>
          </w:tcPr>
          <w:p>
            <w:pPr>
              <w:widowControl/>
              <w:spacing w:line="360" w:lineRule="auto"/>
              <w:rPr>
                <w:b/>
                <w:bCs/>
              </w:rPr>
            </w:pPr>
            <w:r>
              <w:rPr>
                <w:rFonts w:hint="eastAsia"/>
                <w:b/>
                <w:bCs/>
              </w:rPr>
              <w:t>根据投标人的</w:t>
            </w:r>
            <w:r>
              <w:rPr>
                <w:rFonts w:hint="eastAsia"/>
                <w:b/>
                <w:bCs/>
                <w:lang w:val="en-US" w:eastAsia="zh-CN"/>
              </w:rPr>
              <w:t>供货</w:t>
            </w:r>
            <w:bookmarkStart w:id="559" w:name="_GoBack"/>
            <w:bookmarkEnd w:id="559"/>
            <w:r>
              <w:rPr>
                <w:rFonts w:hint="eastAsia"/>
                <w:b/>
                <w:bCs/>
              </w:rPr>
              <w:t>方案进行评价:</w:t>
            </w:r>
          </w:p>
          <w:p>
            <w:pPr>
              <w:spacing w:line="360" w:lineRule="auto"/>
              <w:rPr>
                <w:rFonts w:hint="eastAsia"/>
                <w:b w:val="0"/>
                <w:bCs w:val="0"/>
              </w:rPr>
            </w:pPr>
            <w:r>
              <w:rPr>
                <w:rFonts w:hint="eastAsia"/>
                <w:b w:val="0"/>
                <w:bCs w:val="0"/>
              </w:rPr>
              <w:t>① 供货方案具有针对性，根据项目实际需求情况提出详细、具体、明确的供货流程、供货方式等，且在供货后提供详细、流畅、完整的</w:t>
            </w:r>
            <w:r>
              <w:rPr>
                <w:rFonts w:hint="eastAsia"/>
                <w:b w:val="0"/>
                <w:bCs w:val="0"/>
                <w:lang w:val="en-US" w:eastAsia="zh-CN"/>
              </w:rPr>
              <w:t>使用说明</w:t>
            </w:r>
            <w:r>
              <w:rPr>
                <w:rFonts w:hint="eastAsia"/>
                <w:b w:val="0"/>
                <w:bCs w:val="0"/>
              </w:rPr>
              <w:t>的，得2-</w:t>
            </w:r>
            <w:r>
              <w:rPr>
                <w:rFonts w:hint="eastAsia"/>
                <w:b w:val="0"/>
                <w:bCs w:val="0"/>
                <w:lang w:val="en-US" w:eastAsia="zh-CN"/>
              </w:rPr>
              <w:t>4</w:t>
            </w:r>
            <w:r>
              <w:rPr>
                <w:rFonts w:hint="eastAsia"/>
                <w:b w:val="0"/>
                <w:bCs w:val="0"/>
              </w:rPr>
              <w:t>分。</w:t>
            </w:r>
          </w:p>
          <w:p>
            <w:pPr>
              <w:spacing w:line="360" w:lineRule="auto"/>
              <w:rPr>
                <w:rFonts w:hint="eastAsia"/>
                <w:b w:val="0"/>
                <w:bCs w:val="0"/>
              </w:rPr>
            </w:pPr>
            <w:r>
              <w:rPr>
                <w:rFonts w:hint="eastAsia"/>
                <w:b w:val="0"/>
                <w:bCs w:val="0"/>
              </w:rPr>
              <w:t>② 供货方案较为简单，但基本能符合项目需求，有提出完整的供货流程、供货方式等的，得1-2分。</w:t>
            </w:r>
          </w:p>
          <w:p>
            <w:pPr>
              <w:spacing w:line="360" w:lineRule="auto"/>
              <w:rPr>
                <w:rFonts w:hint="eastAsia"/>
                <w:b w:val="0"/>
                <w:bCs w:val="0"/>
              </w:rPr>
            </w:pPr>
            <w:r>
              <w:rPr>
                <w:rFonts w:hint="eastAsia"/>
                <w:b w:val="0"/>
                <w:bCs w:val="0"/>
              </w:rPr>
              <w:t>③ 供货方案十分简单，且没有针对性的，得0-1分。</w:t>
            </w:r>
          </w:p>
          <w:p>
            <w:pPr>
              <w:spacing w:line="360" w:lineRule="auto"/>
            </w:pPr>
            <w:r>
              <w:rPr>
                <w:rFonts w:hint="eastAsia"/>
                <w:b w:val="0"/>
                <w:bCs w:val="0"/>
              </w:rPr>
              <w:t>④ 未提供方案或者方案不可行或不符合项目需求的不得分。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21" w:type="pct"/>
            <w:vAlign w:val="center"/>
          </w:tcPr>
          <w:p>
            <w:pPr>
              <w:spacing w:line="360" w:lineRule="auto"/>
              <w:jc w:val="center"/>
              <w:rPr>
                <w:rFonts w:hint="eastAsia" w:ascii="宋体" w:hAnsi="宋体" w:eastAsia="宋体" w:cs="宋体"/>
                <w:lang w:eastAsia="zh-CN"/>
              </w:rPr>
            </w:pPr>
            <w:r>
              <w:rPr>
                <w:rFonts w:hint="eastAsia" w:ascii="宋体" w:hAnsi="宋体" w:eastAsia="宋体" w:cs="宋体"/>
              </w:rPr>
              <w:t>5.</w:t>
            </w:r>
            <w:r>
              <w:rPr>
                <w:rFonts w:hint="eastAsia" w:ascii="宋体" w:hAnsi="宋体" w:eastAsia="宋体" w:cs="宋体"/>
                <w:lang w:val="en-US" w:eastAsia="zh-CN"/>
              </w:rPr>
              <w:t>7</w:t>
            </w:r>
          </w:p>
        </w:tc>
        <w:tc>
          <w:tcPr>
            <w:tcW w:w="819" w:type="pct"/>
            <w:vAlign w:val="center"/>
          </w:tcPr>
          <w:p>
            <w:pPr>
              <w:spacing w:line="360" w:lineRule="auto"/>
              <w:jc w:val="center"/>
              <w:rPr>
                <w:rFonts w:hint="eastAsia"/>
              </w:rPr>
            </w:pPr>
            <w:r>
              <w:rPr>
                <w:rFonts w:hint="eastAsia"/>
              </w:rPr>
              <w:t>售后方案及质量保证</w:t>
            </w:r>
          </w:p>
          <w:p>
            <w:pPr>
              <w:spacing w:line="360" w:lineRule="auto"/>
              <w:jc w:val="center"/>
              <w:rPr>
                <w:rFonts w:ascii="宋体" w:hAnsi="宋体" w:eastAsia="宋体" w:cs="宋体"/>
              </w:rPr>
            </w:pPr>
            <w:r>
              <w:rPr>
                <w:rFonts w:hint="eastAsia"/>
              </w:rPr>
              <w:t>措施</w:t>
            </w:r>
          </w:p>
        </w:tc>
        <w:tc>
          <w:tcPr>
            <w:tcW w:w="513" w:type="pct"/>
            <w:vAlign w:val="center"/>
          </w:tcPr>
          <w:p>
            <w:pPr>
              <w:spacing w:line="360" w:lineRule="auto"/>
              <w:jc w:val="center"/>
              <w:rPr>
                <w:rFonts w:ascii="宋体" w:hAnsi="宋体" w:eastAsia="宋体" w:cs="宋体"/>
                <w:snapToGrid w:val="0"/>
                <w:szCs w:val="21"/>
              </w:rPr>
            </w:pPr>
            <w:r>
              <w:rPr>
                <w:rFonts w:hint="eastAsia" w:ascii="宋体" w:hAnsi="宋体" w:eastAsia="宋体" w:cs="宋体"/>
                <w:snapToGrid w:val="0"/>
                <w:szCs w:val="21"/>
              </w:rPr>
              <w:t>0-</w:t>
            </w:r>
            <w:r>
              <w:rPr>
                <w:rFonts w:hint="eastAsia" w:ascii="宋体" w:hAnsi="宋体" w:eastAsia="宋体" w:cs="宋体"/>
                <w:snapToGrid w:val="0"/>
                <w:szCs w:val="21"/>
                <w:lang w:val="en-US" w:eastAsia="zh-CN"/>
              </w:rPr>
              <w:t>4</w:t>
            </w:r>
            <w:r>
              <w:rPr>
                <w:rFonts w:hint="eastAsia" w:ascii="宋体" w:hAnsi="宋体" w:eastAsia="宋体" w:cs="宋体"/>
                <w:snapToGrid w:val="0"/>
                <w:szCs w:val="21"/>
              </w:rPr>
              <w:t>分</w:t>
            </w:r>
          </w:p>
        </w:tc>
        <w:tc>
          <w:tcPr>
            <w:tcW w:w="3245" w:type="pct"/>
            <w:gridSpan w:val="2"/>
            <w:vAlign w:val="center"/>
          </w:tcPr>
          <w:p>
            <w:pPr>
              <w:widowControl/>
              <w:spacing w:line="360" w:lineRule="auto"/>
              <w:rPr>
                <w:b/>
                <w:bCs/>
              </w:rPr>
            </w:pPr>
            <w:r>
              <w:rPr>
                <w:rFonts w:hint="eastAsia"/>
                <w:b/>
                <w:bCs/>
              </w:rPr>
              <w:t>根据投标人的售后方案进行评价:</w:t>
            </w:r>
          </w:p>
          <w:p>
            <w:pPr>
              <w:widowControl/>
              <w:spacing w:line="360" w:lineRule="auto"/>
            </w:pPr>
            <w:r>
              <w:rPr>
                <w:rFonts w:hint="eastAsia"/>
              </w:rPr>
              <w:t>① 对产品供应后可能出现的问题有事先预估评判，并制定相应的售后方案，有相应的人力、物力投入安排，能够避免售后问题出现或出现问题能及时有效处理</w:t>
            </w:r>
            <w:r>
              <w:rPr>
                <w:rFonts w:hint="eastAsia"/>
                <w:lang w:eastAsia="zh-CN"/>
              </w:rPr>
              <w:t>，</w:t>
            </w:r>
            <w:r>
              <w:rPr>
                <w:rFonts w:hint="eastAsia"/>
                <w:lang w:val="en-US" w:eastAsia="zh-CN"/>
              </w:rPr>
              <w:t>售后响应时间短，在采购人当地有满足要求的售后点</w:t>
            </w:r>
            <w:r>
              <w:rPr>
                <w:rFonts w:hint="eastAsia"/>
              </w:rPr>
              <w:t>的，得</w:t>
            </w:r>
            <w:r>
              <w:rPr>
                <w:rFonts w:hint="eastAsia"/>
                <w:lang w:val="en-US" w:eastAsia="zh-CN"/>
              </w:rPr>
              <w:t>2-4</w:t>
            </w:r>
            <w:r>
              <w:rPr>
                <w:rFonts w:hint="eastAsia"/>
              </w:rPr>
              <w:t>分。</w:t>
            </w:r>
          </w:p>
          <w:p>
            <w:pPr>
              <w:widowControl/>
              <w:spacing w:line="360" w:lineRule="auto"/>
            </w:pPr>
            <w:r>
              <w:rPr>
                <w:rFonts w:hint="eastAsia"/>
              </w:rPr>
              <w:t>② 有提出产品供应后可能出现的问题，但制定的售后方案较为简单的，有</w:t>
            </w:r>
            <w:r>
              <w:t>少量</w:t>
            </w:r>
            <w:r>
              <w:rPr>
                <w:rFonts w:hint="eastAsia"/>
              </w:rPr>
              <w:t>的人力、物力投入安排</w:t>
            </w:r>
            <w:r>
              <w:rPr>
                <w:rFonts w:hint="eastAsia"/>
                <w:lang w:eastAsia="zh-CN"/>
              </w:rPr>
              <w:t>，</w:t>
            </w:r>
            <w:r>
              <w:rPr>
                <w:rFonts w:hint="eastAsia"/>
                <w:lang w:val="en-US" w:eastAsia="zh-CN"/>
              </w:rPr>
              <w:t>在采购人当地有售后点</w:t>
            </w:r>
            <w:r>
              <w:t>的</w:t>
            </w:r>
            <w:r>
              <w:rPr>
                <w:rFonts w:hint="eastAsia"/>
                <w:lang w:eastAsia="zh-CN"/>
              </w:rPr>
              <w:t>，</w:t>
            </w:r>
            <w:r>
              <w:rPr>
                <w:rFonts w:hint="eastAsia"/>
              </w:rPr>
              <w:t>得</w:t>
            </w:r>
            <w:r>
              <w:rPr>
                <w:rFonts w:hint="eastAsia"/>
                <w:lang w:val="en-US" w:eastAsia="zh-CN"/>
              </w:rPr>
              <w:t>1-2</w:t>
            </w:r>
            <w:r>
              <w:rPr>
                <w:rFonts w:hint="eastAsia"/>
              </w:rPr>
              <w:t>分。</w:t>
            </w:r>
          </w:p>
          <w:p>
            <w:pPr>
              <w:widowControl/>
              <w:spacing w:line="360" w:lineRule="auto"/>
            </w:pPr>
            <w:r>
              <w:rPr>
                <w:rFonts w:hint="eastAsia"/>
              </w:rPr>
              <w:t>③ 售后方案简单，未配置人员</w:t>
            </w:r>
            <w:r>
              <w:rPr>
                <w:rFonts w:hint="eastAsia"/>
                <w:lang w:val="en-US" w:eastAsia="zh-CN"/>
              </w:rPr>
              <w:t>和物力，响应时间长</w:t>
            </w:r>
            <w:r>
              <w:rPr>
                <w:rFonts w:hint="eastAsia"/>
                <w:lang w:eastAsia="zh-CN"/>
              </w:rPr>
              <w:t>，</w:t>
            </w:r>
            <w:r>
              <w:rPr>
                <w:rFonts w:hint="eastAsia"/>
                <w:lang w:val="en-US" w:eastAsia="zh-CN"/>
              </w:rPr>
              <w:t>在采购人当地也无售后点</w:t>
            </w:r>
            <w:r>
              <w:rPr>
                <w:rFonts w:hint="eastAsia"/>
              </w:rPr>
              <w:t>的，得0-</w:t>
            </w:r>
            <w:r>
              <w:rPr>
                <w:rFonts w:hint="eastAsia"/>
                <w:lang w:val="en-US" w:eastAsia="zh-CN"/>
              </w:rPr>
              <w:t>1</w:t>
            </w:r>
            <w:r>
              <w:rPr>
                <w:rFonts w:hint="eastAsia"/>
              </w:rPr>
              <w:t>分。</w:t>
            </w:r>
          </w:p>
          <w:p>
            <w:pPr>
              <w:widowControl/>
              <w:spacing w:line="360" w:lineRule="auto"/>
            </w:pPr>
            <w:r>
              <w:rPr>
                <w:rFonts w:hint="eastAsia"/>
              </w:rPr>
              <w:t>④ 未提供方案或者方案不可行或不符合项目需求的不得分。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21" w:type="pct"/>
            <w:vAlign w:val="center"/>
          </w:tcPr>
          <w:p>
            <w:pPr>
              <w:spacing w:line="360" w:lineRule="auto"/>
              <w:jc w:val="center"/>
              <w:rPr>
                <w:rFonts w:hint="eastAsia" w:ascii="宋体" w:hAnsi="宋体" w:eastAsia="宋体" w:cs="宋体"/>
                <w:lang w:eastAsia="zh-CN"/>
              </w:rPr>
            </w:pPr>
            <w:r>
              <w:rPr>
                <w:rFonts w:hint="eastAsia" w:ascii="宋体" w:hAnsi="宋体" w:eastAsia="宋体" w:cs="宋体"/>
              </w:rPr>
              <w:t>5.</w:t>
            </w:r>
            <w:r>
              <w:rPr>
                <w:rFonts w:hint="eastAsia" w:ascii="宋体" w:hAnsi="宋体" w:eastAsia="宋体" w:cs="宋体"/>
                <w:lang w:val="en-US" w:eastAsia="zh-CN"/>
              </w:rPr>
              <w:t>8</w:t>
            </w:r>
          </w:p>
        </w:tc>
        <w:tc>
          <w:tcPr>
            <w:tcW w:w="819" w:type="pct"/>
            <w:vAlign w:val="center"/>
          </w:tcPr>
          <w:p>
            <w:pPr>
              <w:adjustRightInd w:val="0"/>
              <w:spacing w:line="360" w:lineRule="auto"/>
              <w:jc w:val="center"/>
              <w:rPr>
                <w:rFonts w:hint="eastAsia"/>
                <w:lang w:val="en-US" w:eastAsia="zh-CN"/>
              </w:rPr>
            </w:pPr>
            <w:r>
              <w:rPr>
                <w:rFonts w:hint="eastAsia"/>
                <w:lang w:val="en-US" w:eastAsia="zh-CN"/>
              </w:rPr>
              <w:t>日常维护</w:t>
            </w:r>
          </w:p>
          <w:p>
            <w:pPr>
              <w:adjustRightInd w:val="0"/>
              <w:spacing w:line="360" w:lineRule="auto"/>
              <w:jc w:val="center"/>
              <w:rPr>
                <w:rFonts w:ascii="新宋体" w:hAnsi="新宋体" w:eastAsia="新宋体" w:cs="Arial Unicode MS"/>
                <w:snapToGrid w:val="0"/>
                <w:szCs w:val="21"/>
              </w:rPr>
            </w:pPr>
            <w:r>
              <w:rPr>
                <w:rFonts w:hint="eastAsia"/>
              </w:rPr>
              <w:t>方案</w:t>
            </w:r>
          </w:p>
        </w:tc>
        <w:tc>
          <w:tcPr>
            <w:tcW w:w="513" w:type="pct"/>
            <w:vAlign w:val="center"/>
          </w:tcPr>
          <w:p>
            <w:pPr>
              <w:spacing w:line="360" w:lineRule="auto"/>
              <w:ind w:right="3"/>
              <w:jc w:val="center"/>
              <w:rPr>
                <w:rFonts w:ascii="宋体" w:hAnsi="宋体" w:eastAsia="宋体" w:cs="宋体"/>
                <w:snapToGrid w:val="0"/>
                <w:szCs w:val="21"/>
              </w:rPr>
            </w:pPr>
            <w:r>
              <w:rPr>
                <w:rFonts w:hint="eastAsia" w:ascii="宋体" w:hAnsi="宋体" w:cs="宋体"/>
                <w:bCs/>
                <w:color w:val="auto"/>
                <w:kern w:val="28"/>
                <w:szCs w:val="21"/>
              </w:rPr>
              <w:t>0-</w:t>
            </w:r>
            <w:r>
              <w:rPr>
                <w:rFonts w:hint="eastAsia" w:ascii="宋体" w:hAnsi="宋体" w:cs="宋体"/>
                <w:bCs/>
                <w:color w:val="auto"/>
                <w:kern w:val="28"/>
                <w:szCs w:val="21"/>
                <w:lang w:val="en-US" w:eastAsia="zh-CN"/>
              </w:rPr>
              <w:t>4</w:t>
            </w:r>
            <w:r>
              <w:rPr>
                <w:rFonts w:hint="eastAsia" w:ascii="宋体" w:hAnsi="宋体" w:cs="宋体"/>
                <w:bCs/>
                <w:kern w:val="28"/>
                <w:szCs w:val="21"/>
              </w:rPr>
              <w:t>分</w:t>
            </w:r>
          </w:p>
        </w:tc>
        <w:tc>
          <w:tcPr>
            <w:tcW w:w="3245" w:type="pct"/>
            <w:gridSpan w:val="2"/>
            <w:vAlign w:val="center"/>
          </w:tcPr>
          <w:p>
            <w:pPr>
              <w:spacing w:line="360" w:lineRule="auto"/>
              <w:rPr>
                <w:b/>
                <w:bCs/>
              </w:rPr>
            </w:pPr>
            <w:r>
              <w:rPr>
                <w:rFonts w:hint="eastAsia"/>
                <w:b/>
                <w:bCs/>
              </w:rPr>
              <w:t>根据投标人的</w:t>
            </w:r>
            <w:r>
              <w:rPr>
                <w:rFonts w:hint="eastAsia"/>
                <w:b/>
                <w:bCs/>
                <w:lang w:val="en-US" w:eastAsia="zh-CN"/>
              </w:rPr>
              <w:t>日常维护</w:t>
            </w:r>
            <w:r>
              <w:rPr>
                <w:rFonts w:hint="eastAsia"/>
                <w:b/>
                <w:bCs/>
              </w:rPr>
              <w:t>方案进行评价：</w:t>
            </w:r>
          </w:p>
          <w:p>
            <w:pPr>
              <w:widowControl/>
              <w:spacing w:line="360" w:lineRule="auto"/>
            </w:pPr>
            <w:r>
              <w:rPr>
                <w:rFonts w:hint="eastAsia"/>
              </w:rPr>
              <w:t>① 对产品的</w:t>
            </w:r>
            <w:r>
              <w:rPr>
                <w:rFonts w:hint="eastAsia"/>
                <w:lang w:val="en-US" w:eastAsia="zh-CN"/>
              </w:rPr>
              <w:t>日常维护</w:t>
            </w:r>
            <w:r>
              <w:rPr>
                <w:rFonts w:hint="eastAsia"/>
              </w:rPr>
              <w:t>有配置</w:t>
            </w:r>
            <w:r>
              <w:rPr>
                <w:rFonts w:hint="eastAsia"/>
                <w:lang w:val="en-US" w:eastAsia="zh-CN"/>
              </w:rPr>
              <w:t>固定的</w:t>
            </w:r>
            <w:r>
              <w:rPr>
                <w:rFonts w:hint="eastAsia"/>
              </w:rPr>
              <w:t>专门的人员</w:t>
            </w:r>
            <w:r>
              <w:rPr>
                <w:rFonts w:hint="eastAsia"/>
                <w:lang w:eastAsia="zh-CN"/>
              </w:rPr>
              <w:t>，</w:t>
            </w:r>
            <w:r>
              <w:rPr>
                <w:rFonts w:hint="eastAsia"/>
              </w:rPr>
              <w:t>且有完整的</w:t>
            </w:r>
            <w:r>
              <w:rPr>
                <w:rFonts w:hint="eastAsia"/>
                <w:lang w:val="en-US" w:eastAsia="zh-CN"/>
              </w:rPr>
              <w:t>定期维护计划，对维护的难点和重点有满足项目实际情况的分析和规划，在维护中有充足的配件可供更换</w:t>
            </w:r>
            <w:r>
              <w:rPr>
                <w:rFonts w:hint="eastAsia"/>
              </w:rPr>
              <w:t>的，得</w:t>
            </w:r>
            <w:r>
              <w:rPr>
                <w:rFonts w:hint="eastAsia"/>
                <w:lang w:val="en-US" w:eastAsia="zh-CN"/>
              </w:rPr>
              <w:t>2-4</w:t>
            </w:r>
            <w:r>
              <w:rPr>
                <w:rFonts w:hint="eastAsia"/>
              </w:rPr>
              <w:t>分。</w:t>
            </w:r>
          </w:p>
          <w:p>
            <w:pPr>
              <w:widowControl/>
              <w:spacing w:line="360" w:lineRule="auto"/>
            </w:pPr>
            <w:r>
              <w:rPr>
                <w:rFonts w:hint="eastAsia"/>
              </w:rPr>
              <w:t>② 有较完整的</w:t>
            </w:r>
            <w:r>
              <w:rPr>
                <w:rFonts w:hint="eastAsia"/>
                <w:lang w:val="en-US" w:eastAsia="zh-CN"/>
              </w:rPr>
              <w:t>维护</w:t>
            </w:r>
            <w:r>
              <w:rPr>
                <w:rFonts w:hint="eastAsia"/>
              </w:rPr>
              <w:t>方案</w:t>
            </w:r>
            <w:r>
              <w:rPr>
                <w:rFonts w:hint="eastAsia"/>
                <w:lang w:eastAsia="zh-CN"/>
              </w:rPr>
              <w:t>，</w:t>
            </w:r>
            <w:r>
              <w:rPr>
                <w:rFonts w:hint="eastAsia"/>
                <w:lang w:val="en-US" w:eastAsia="zh-CN"/>
              </w:rPr>
              <w:t>还有配置专门的维护人员，有配置配件供采购人更换</w:t>
            </w:r>
            <w:r>
              <w:rPr>
                <w:rFonts w:hint="eastAsia"/>
              </w:rPr>
              <w:t>的，得</w:t>
            </w:r>
            <w:r>
              <w:rPr>
                <w:rFonts w:hint="eastAsia"/>
                <w:lang w:val="en-US" w:eastAsia="zh-CN"/>
              </w:rPr>
              <w:t>1-2</w:t>
            </w:r>
            <w:r>
              <w:rPr>
                <w:rFonts w:hint="eastAsia"/>
              </w:rPr>
              <w:t>分。</w:t>
            </w:r>
          </w:p>
          <w:p>
            <w:pPr>
              <w:widowControl/>
              <w:spacing w:line="360" w:lineRule="auto"/>
            </w:pPr>
            <w:r>
              <w:rPr>
                <w:rFonts w:hint="eastAsia"/>
              </w:rPr>
              <w:t xml:space="preserve">③ </w:t>
            </w:r>
            <w:r>
              <w:rPr>
                <w:rFonts w:hint="eastAsia"/>
                <w:lang w:val="en-US" w:eastAsia="zh-CN"/>
              </w:rPr>
              <w:t>维护方案简单，未有专门人员负责常规维护的</w:t>
            </w:r>
            <w:r>
              <w:rPr>
                <w:rFonts w:hint="eastAsia"/>
              </w:rPr>
              <w:t>，得</w:t>
            </w:r>
            <w:r>
              <w:rPr>
                <w:rFonts w:hint="eastAsia"/>
                <w:lang w:val="en-US" w:eastAsia="zh-CN"/>
              </w:rPr>
              <w:t>0-1</w:t>
            </w:r>
            <w:r>
              <w:rPr>
                <w:rFonts w:hint="eastAsia"/>
              </w:rPr>
              <w:t>分。</w:t>
            </w:r>
          </w:p>
          <w:p>
            <w:pPr>
              <w:spacing w:line="360" w:lineRule="auto"/>
            </w:pPr>
            <w:r>
              <w:rPr>
                <w:rFonts w:hint="eastAsia"/>
              </w:rPr>
              <w:t>④ 未提供方案或方案不可行或不符合项目需求的不得分。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21" w:type="pct"/>
            <w:vAlign w:val="center"/>
          </w:tcPr>
          <w:p>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5.9</w:t>
            </w:r>
          </w:p>
        </w:tc>
        <w:tc>
          <w:tcPr>
            <w:tcW w:w="1459" w:type="dxa"/>
            <w:vAlign w:val="center"/>
          </w:tcPr>
          <w:p>
            <w:pPr>
              <w:adjustRightInd w:val="0"/>
              <w:spacing w:line="360" w:lineRule="auto"/>
              <w:jc w:val="center"/>
              <w:rPr>
                <w:rFonts w:hint="eastAsia"/>
              </w:rPr>
            </w:pPr>
            <w:r>
              <w:rPr>
                <w:rFonts w:hint="eastAsia"/>
                <w:highlight w:val="none"/>
              </w:rPr>
              <w:t>验收方案</w:t>
            </w:r>
          </w:p>
        </w:tc>
        <w:tc>
          <w:tcPr>
            <w:tcW w:w="914" w:type="dxa"/>
            <w:vAlign w:val="center"/>
          </w:tcPr>
          <w:p>
            <w:pPr>
              <w:spacing w:line="360" w:lineRule="auto"/>
              <w:ind w:right="3" w:rightChars="0"/>
              <w:jc w:val="center"/>
              <w:rPr>
                <w:rFonts w:hint="eastAsia" w:ascii="宋体" w:hAnsi="宋体" w:cs="宋体"/>
                <w:bCs/>
                <w:color w:val="auto"/>
                <w:kern w:val="28"/>
                <w:szCs w:val="21"/>
              </w:rPr>
            </w:pPr>
            <w:r>
              <w:rPr>
                <w:rFonts w:hint="eastAsia" w:ascii="宋体" w:hAnsi="宋体" w:cs="宋体"/>
                <w:bCs/>
                <w:color w:val="auto"/>
                <w:kern w:val="28"/>
                <w:szCs w:val="21"/>
                <w:highlight w:val="none"/>
              </w:rPr>
              <w:t>0-</w:t>
            </w:r>
            <w:r>
              <w:rPr>
                <w:rFonts w:hint="eastAsia" w:ascii="宋体" w:hAnsi="宋体" w:cs="宋体"/>
                <w:bCs/>
                <w:color w:val="auto"/>
                <w:kern w:val="28"/>
                <w:szCs w:val="21"/>
                <w:highlight w:val="none"/>
                <w:lang w:val="en-US" w:eastAsia="zh-CN"/>
              </w:rPr>
              <w:t>4</w:t>
            </w:r>
            <w:r>
              <w:rPr>
                <w:rFonts w:hint="eastAsia" w:ascii="宋体" w:hAnsi="宋体" w:cs="宋体"/>
                <w:bCs/>
                <w:kern w:val="28"/>
                <w:szCs w:val="21"/>
                <w:highlight w:val="none"/>
              </w:rPr>
              <w:t>分</w:t>
            </w:r>
          </w:p>
        </w:tc>
        <w:tc>
          <w:tcPr>
            <w:tcW w:w="5780" w:type="dxa"/>
            <w:gridSpan w:val="2"/>
            <w:vAlign w:val="center"/>
          </w:tcPr>
          <w:p>
            <w:pPr>
              <w:spacing w:line="360" w:lineRule="auto"/>
              <w:rPr>
                <w:b/>
                <w:bCs/>
                <w:highlight w:val="none"/>
              </w:rPr>
            </w:pPr>
            <w:r>
              <w:rPr>
                <w:rFonts w:hint="eastAsia"/>
                <w:b/>
                <w:bCs/>
                <w:highlight w:val="none"/>
              </w:rPr>
              <w:t>根据投标人的验收方案进行评价：</w:t>
            </w:r>
          </w:p>
          <w:p>
            <w:pPr>
              <w:widowControl/>
              <w:spacing w:line="360" w:lineRule="auto"/>
              <w:rPr>
                <w:highlight w:val="none"/>
              </w:rPr>
            </w:pPr>
            <w:r>
              <w:rPr>
                <w:rFonts w:hint="eastAsia"/>
                <w:highlight w:val="none"/>
              </w:rPr>
              <w:t>① 对产品的验收有配置专门的人员与采购人对接，且有完整的验收流程和验收方案</w:t>
            </w:r>
            <w:r>
              <w:rPr>
                <w:rFonts w:hint="eastAsia"/>
                <w:highlight w:val="none"/>
                <w:lang w:eastAsia="zh-CN"/>
              </w:rPr>
              <w:t>，</w:t>
            </w:r>
            <w:r>
              <w:rPr>
                <w:rFonts w:hint="eastAsia"/>
                <w:highlight w:val="none"/>
                <w:lang w:val="en-US" w:eastAsia="zh-CN"/>
              </w:rPr>
              <w:t>以及针对不同产品的验收有不同的验收标准和验收方案</w:t>
            </w:r>
            <w:r>
              <w:rPr>
                <w:rFonts w:hint="eastAsia"/>
                <w:highlight w:val="none"/>
              </w:rPr>
              <w:t>的，得</w:t>
            </w:r>
            <w:r>
              <w:rPr>
                <w:rFonts w:hint="eastAsia"/>
                <w:highlight w:val="none"/>
                <w:lang w:val="en-US" w:eastAsia="zh-CN"/>
              </w:rPr>
              <w:t>2-4</w:t>
            </w:r>
            <w:r>
              <w:rPr>
                <w:rFonts w:hint="eastAsia"/>
                <w:highlight w:val="none"/>
              </w:rPr>
              <w:t>分。</w:t>
            </w:r>
          </w:p>
          <w:p>
            <w:pPr>
              <w:widowControl/>
              <w:spacing w:line="360" w:lineRule="auto"/>
              <w:rPr>
                <w:highlight w:val="none"/>
              </w:rPr>
            </w:pPr>
            <w:r>
              <w:rPr>
                <w:rFonts w:hint="eastAsia"/>
                <w:highlight w:val="none"/>
              </w:rPr>
              <w:t>② 有较完整的验收流程和验收方案的，有人员对接验收事宜的，</w:t>
            </w:r>
            <w:r>
              <w:rPr>
                <w:rFonts w:hint="eastAsia"/>
                <w:highlight w:val="none"/>
                <w:lang w:val="en-US" w:eastAsia="zh-CN"/>
              </w:rPr>
              <w:t>较符合本项目需求的，</w:t>
            </w:r>
            <w:r>
              <w:rPr>
                <w:rFonts w:hint="eastAsia"/>
                <w:highlight w:val="none"/>
              </w:rPr>
              <w:t>得</w:t>
            </w:r>
            <w:r>
              <w:rPr>
                <w:rFonts w:hint="eastAsia"/>
                <w:highlight w:val="none"/>
                <w:lang w:val="en-US" w:eastAsia="zh-CN"/>
              </w:rPr>
              <w:t>1-2</w:t>
            </w:r>
            <w:r>
              <w:rPr>
                <w:rFonts w:hint="eastAsia"/>
                <w:highlight w:val="none"/>
              </w:rPr>
              <w:t>分。</w:t>
            </w:r>
          </w:p>
          <w:p>
            <w:pPr>
              <w:widowControl/>
              <w:spacing w:line="360" w:lineRule="auto"/>
              <w:rPr>
                <w:highlight w:val="none"/>
              </w:rPr>
            </w:pPr>
            <w:r>
              <w:rPr>
                <w:rFonts w:hint="eastAsia"/>
                <w:highlight w:val="none"/>
              </w:rPr>
              <w:t>③ 验收方案十分简单，未配置人员的</w:t>
            </w:r>
            <w:r>
              <w:rPr>
                <w:rFonts w:hint="eastAsia"/>
                <w:highlight w:val="none"/>
                <w:lang w:val="en-US" w:eastAsia="zh-CN"/>
              </w:rPr>
              <w:t>，</w:t>
            </w:r>
            <w:r>
              <w:rPr>
                <w:rFonts w:hint="eastAsia"/>
                <w:highlight w:val="none"/>
              </w:rPr>
              <w:t>得</w:t>
            </w:r>
            <w:r>
              <w:rPr>
                <w:rFonts w:hint="eastAsia"/>
                <w:highlight w:val="none"/>
                <w:lang w:val="en-US" w:eastAsia="zh-CN"/>
              </w:rPr>
              <w:t>0-1</w:t>
            </w:r>
            <w:r>
              <w:rPr>
                <w:rFonts w:hint="eastAsia"/>
                <w:highlight w:val="none"/>
              </w:rPr>
              <w:t>分。</w:t>
            </w:r>
          </w:p>
          <w:p>
            <w:pPr>
              <w:spacing w:line="360" w:lineRule="auto"/>
              <w:rPr>
                <w:rFonts w:hint="eastAsia"/>
              </w:rPr>
            </w:pPr>
            <w:r>
              <w:rPr>
                <w:rFonts w:hint="eastAsia"/>
                <w:highlight w:val="none"/>
              </w:rPr>
              <w:t>④ 未提供方案或方案不可行或不符合项目需求的不得分。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21" w:type="pct"/>
            <w:vAlign w:val="center"/>
          </w:tcPr>
          <w:p>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5.10</w:t>
            </w:r>
          </w:p>
        </w:tc>
        <w:tc>
          <w:tcPr>
            <w:tcW w:w="1459" w:type="dxa"/>
            <w:vAlign w:val="center"/>
          </w:tcPr>
          <w:p>
            <w:pPr>
              <w:adjustRightInd w:val="0"/>
              <w:spacing w:line="360" w:lineRule="auto"/>
              <w:jc w:val="center"/>
              <w:rPr>
                <w:rFonts w:hint="default" w:eastAsiaTheme="minorEastAsia"/>
                <w:highlight w:val="none"/>
                <w:lang w:val="en-US" w:eastAsia="zh-CN"/>
              </w:rPr>
            </w:pPr>
            <w:r>
              <w:rPr>
                <w:rFonts w:hint="eastAsia"/>
                <w:highlight w:val="none"/>
                <w:lang w:val="en-US" w:eastAsia="zh-CN"/>
              </w:rPr>
              <w:t>培训方案</w:t>
            </w:r>
          </w:p>
        </w:tc>
        <w:tc>
          <w:tcPr>
            <w:tcW w:w="914" w:type="dxa"/>
            <w:vAlign w:val="center"/>
          </w:tcPr>
          <w:p>
            <w:pPr>
              <w:spacing w:line="360" w:lineRule="auto"/>
              <w:ind w:right="3" w:rightChars="0"/>
              <w:jc w:val="center"/>
              <w:rPr>
                <w:rFonts w:hint="default" w:ascii="宋体" w:hAnsi="宋体" w:cs="宋体" w:eastAsiaTheme="minorEastAsia"/>
                <w:bCs/>
                <w:color w:val="auto"/>
                <w:kern w:val="28"/>
                <w:szCs w:val="21"/>
                <w:highlight w:val="none"/>
                <w:lang w:val="en-US" w:eastAsia="zh-CN"/>
              </w:rPr>
            </w:pPr>
            <w:r>
              <w:rPr>
                <w:rFonts w:hint="eastAsia" w:ascii="宋体" w:hAnsi="宋体" w:cs="宋体"/>
                <w:bCs/>
                <w:color w:val="auto"/>
                <w:kern w:val="28"/>
                <w:szCs w:val="21"/>
                <w:highlight w:val="none"/>
                <w:lang w:val="en-US" w:eastAsia="zh-CN"/>
              </w:rPr>
              <w:t>0-4分</w:t>
            </w:r>
          </w:p>
        </w:tc>
        <w:tc>
          <w:tcPr>
            <w:tcW w:w="5780" w:type="dxa"/>
            <w:gridSpan w:val="2"/>
            <w:vAlign w:val="center"/>
          </w:tcPr>
          <w:p>
            <w:pPr>
              <w:numPr>
                <w:ilvl w:val="0"/>
                <w:numId w:val="0"/>
              </w:numPr>
              <w:spacing w:line="360" w:lineRule="auto"/>
              <w:rPr>
                <w:rFonts w:hint="eastAsia"/>
                <w:lang w:val="en-US" w:eastAsia="zh-CN"/>
              </w:rPr>
            </w:pPr>
            <w:r>
              <w:rPr>
                <w:rFonts w:hint="eastAsia"/>
                <w:b/>
                <w:bCs/>
                <w:highlight w:val="none"/>
              </w:rPr>
              <w:t>根据投标人的</w:t>
            </w:r>
            <w:r>
              <w:rPr>
                <w:rFonts w:hint="eastAsia"/>
                <w:b/>
                <w:bCs/>
                <w:highlight w:val="none"/>
                <w:lang w:val="en-US" w:eastAsia="zh-CN"/>
              </w:rPr>
              <w:t>培训</w:t>
            </w:r>
            <w:r>
              <w:rPr>
                <w:rFonts w:hint="eastAsia"/>
                <w:b/>
                <w:bCs/>
                <w:highlight w:val="none"/>
              </w:rPr>
              <w:t>方案进行评价：</w:t>
            </w:r>
          </w:p>
          <w:p>
            <w:pPr>
              <w:numPr>
                <w:ilvl w:val="0"/>
                <w:numId w:val="0"/>
              </w:numPr>
              <w:spacing w:line="360" w:lineRule="auto"/>
              <w:rPr>
                <w:rFonts w:hint="eastAsia"/>
                <w:lang w:val="en-US" w:eastAsia="zh-CN"/>
              </w:rPr>
            </w:pPr>
            <w:r>
              <w:rPr>
                <w:rFonts w:hint="eastAsia"/>
                <w:lang w:val="en-US" w:eastAsia="zh-CN"/>
              </w:rPr>
              <w:t>① 安排的培训人员有丰富的行业经验，且有详细的培训计划和培训方案的，能在短时间内对项目产品的使用人员进行指导和培训的，得2-4分。</w:t>
            </w:r>
          </w:p>
          <w:p>
            <w:pPr>
              <w:bidi w:val="0"/>
              <w:spacing w:line="360" w:lineRule="auto"/>
              <w:rPr>
                <w:rFonts w:hint="eastAsia"/>
                <w:lang w:val="en-US" w:eastAsia="zh-CN"/>
              </w:rPr>
            </w:pPr>
            <w:r>
              <w:rPr>
                <w:rFonts w:hint="eastAsia"/>
                <w:lang w:val="en-US" w:eastAsia="zh-CN"/>
              </w:rPr>
              <w:t>② 培训方案符合本项目要求，有安排相应的人员负责培训，但培训方案较为简单的，得1-2分。</w:t>
            </w:r>
          </w:p>
          <w:p>
            <w:pPr>
              <w:bidi w:val="0"/>
              <w:spacing w:line="360" w:lineRule="auto"/>
            </w:pPr>
            <w:r>
              <w:rPr>
                <w:rFonts w:hint="eastAsia"/>
                <w:lang w:val="en-US" w:eastAsia="zh-CN"/>
              </w:rPr>
              <w:t>③ 培训</w:t>
            </w:r>
            <w:r>
              <w:rPr>
                <w:rFonts w:hint="eastAsia"/>
              </w:rPr>
              <w:t>方案十分简单，未配置人员的，得</w:t>
            </w:r>
            <w:r>
              <w:rPr>
                <w:rFonts w:hint="eastAsia"/>
                <w:lang w:val="en-US" w:eastAsia="zh-CN"/>
              </w:rPr>
              <w:t>0-1</w:t>
            </w:r>
            <w:r>
              <w:rPr>
                <w:rFonts w:hint="eastAsia"/>
              </w:rPr>
              <w:t>分。</w:t>
            </w:r>
          </w:p>
          <w:p>
            <w:pPr>
              <w:bidi w:val="0"/>
              <w:spacing w:line="360" w:lineRule="auto"/>
              <w:rPr>
                <w:rFonts w:hint="default"/>
                <w:lang w:val="en-US" w:eastAsia="zh-CN"/>
              </w:rPr>
            </w:pPr>
            <w:r>
              <w:rPr>
                <w:rFonts w:hint="eastAsia"/>
              </w:rPr>
              <w:t>④ 未提供方案或方案不可行或不符合项目需求的不得分。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5"/>
            <w:vAlign w:val="center"/>
          </w:tcPr>
          <w:p>
            <w:pPr>
              <w:spacing w:line="360" w:lineRule="auto"/>
              <w:rPr>
                <w:rFonts w:eastAsia="宋体"/>
              </w:rPr>
            </w:pPr>
            <w:r>
              <w:rPr>
                <w:rFonts w:hint="eastAsia" w:ascii="宋体" w:hAnsi="宋体" w:eastAsia="宋体" w:cs="宋体"/>
                <w:b/>
                <w:spacing w:val="-6"/>
                <w:kern w:val="28"/>
                <w:szCs w:val="21"/>
              </w:rPr>
              <w:t>注：所有证明资料、承诺、计划、方案等不提供视为不得分，且均需提供扫描件加盖公章。</w:t>
            </w:r>
          </w:p>
        </w:tc>
      </w:tr>
    </w:tbl>
    <w:p>
      <w:pPr>
        <w:spacing w:line="360" w:lineRule="auto"/>
        <w:rPr>
          <w:rFonts w:ascii="宋体" w:hAnsi="宋体" w:eastAsia="宋体" w:cs="宋体"/>
          <w:bCs/>
          <w:kern w:val="28"/>
        </w:rPr>
      </w:pPr>
      <w:r>
        <w:rPr>
          <w:rFonts w:hint="eastAsia" w:ascii="宋体" w:hAnsi="宋体" w:eastAsia="宋体" w:cs="宋体"/>
          <w:bCs/>
          <w:kern w:val="28"/>
        </w:rPr>
        <w:t>磋商程序详见第二部分磋商供应商须知“（六）磋商与评审”</w:t>
      </w:r>
    </w:p>
    <w:p>
      <w:pPr>
        <w:spacing w:line="360" w:lineRule="auto"/>
        <w:rPr>
          <w:rFonts w:ascii="宋体" w:hAnsi="宋体" w:eastAsia="宋体" w:cs="宋体"/>
          <w:bCs/>
          <w:kern w:val="28"/>
        </w:rPr>
      </w:pPr>
      <w:r>
        <w:rPr>
          <w:rFonts w:hint="eastAsia" w:ascii="宋体" w:hAnsi="宋体" w:eastAsia="宋体" w:cs="宋体"/>
          <w:bCs/>
          <w:kern w:val="28"/>
        </w:rPr>
        <w:t>注：以上单位、人员各类证明文件扫描件均需加盖电子签章，附在响应文件中；提供材料不真实、不完整或伪造证明材料的，后果自负。</w:t>
      </w:r>
    </w:p>
    <w:p>
      <w:pPr>
        <w:spacing w:line="360" w:lineRule="auto"/>
        <w:rPr>
          <w:rFonts w:ascii="宋体" w:hAnsi="宋体" w:eastAsia="宋体" w:cs="宋体"/>
          <w:b/>
          <w:kern w:val="28"/>
        </w:rPr>
      </w:pPr>
      <w:r>
        <w:rPr>
          <w:rFonts w:hint="eastAsia" w:ascii="宋体" w:hAnsi="宋体" w:eastAsia="宋体" w:cs="宋体"/>
          <w:b/>
          <w:kern w:val="28"/>
        </w:rPr>
        <w:t>综合得分的计算：</w:t>
      </w:r>
    </w:p>
    <w:p>
      <w:pPr>
        <w:spacing w:line="360" w:lineRule="auto"/>
        <w:rPr>
          <w:rFonts w:ascii="宋体" w:hAnsi="宋体" w:eastAsia="宋体" w:cs="宋体"/>
          <w:bCs/>
          <w:kern w:val="28"/>
        </w:rPr>
      </w:pPr>
      <w:r>
        <w:rPr>
          <w:rFonts w:hint="eastAsia" w:ascii="宋体" w:hAnsi="宋体" w:eastAsia="宋体" w:cs="宋体"/>
          <w:bCs/>
          <w:kern w:val="28"/>
        </w:rPr>
        <w:t>商务分得分根据磋商文件约定的因素和方法进行计算，商务分得分=A</w:t>
      </w:r>
    </w:p>
    <w:p>
      <w:pPr>
        <w:spacing w:line="360" w:lineRule="auto"/>
        <w:rPr>
          <w:rFonts w:ascii="宋体" w:hAnsi="宋体" w:eastAsia="宋体" w:cs="宋体"/>
          <w:bCs/>
          <w:kern w:val="28"/>
        </w:rPr>
      </w:pPr>
      <w:r>
        <w:rPr>
          <w:rFonts w:hint="eastAsia" w:ascii="宋体" w:hAnsi="宋体" w:eastAsia="宋体" w:cs="宋体"/>
          <w:bCs/>
          <w:kern w:val="28"/>
        </w:rPr>
        <w:t>技术资信分得分按照磋商小组成员的独立评分结果汇总数算术平均分=B</w:t>
      </w:r>
    </w:p>
    <w:p>
      <w:pPr>
        <w:spacing w:line="360" w:lineRule="auto"/>
        <w:rPr>
          <w:rFonts w:ascii="宋体" w:hAnsi="宋体" w:eastAsia="宋体" w:cs="宋体"/>
          <w:bCs/>
          <w:kern w:val="28"/>
        </w:rPr>
      </w:pPr>
      <w:r>
        <w:rPr>
          <w:rFonts w:hint="eastAsia" w:ascii="宋体" w:hAnsi="宋体" w:eastAsia="宋体" w:cs="宋体"/>
          <w:bCs/>
          <w:kern w:val="28"/>
        </w:rPr>
        <w:t>综合得分=A+B</w:t>
      </w:r>
    </w:p>
    <w:p>
      <w:pPr>
        <w:spacing w:line="360" w:lineRule="auto"/>
        <w:outlineLvl w:val="1"/>
        <w:rPr>
          <w:rFonts w:ascii="宋体" w:hAnsi="宋体" w:eastAsia="宋体" w:cs="宋体"/>
          <w:b/>
          <w:bCs/>
          <w:kern w:val="28"/>
        </w:rPr>
      </w:pPr>
      <w:bookmarkStart w:id="535" w:name="_Toc24104"/>
      <w:r>
        <w:rPr>
          <w:rFonts w:hint="eastAsia" w:ascii="宋体" w:hAnsi="宋体" w:eastAsia="宋体" w:cs="宋体"/>
          <w:b/>
          <w:bCs/>
          <w:kern w:val="28"/>
        </w:rPr>
        <w:t>四、评定结果</w:t>
      </w:r>
      <w:bookmarkEnd w:id="535"/>
    </w:p>
    <w:p>
      <w:pPr>
        <w:tabs>
          <w:tab w:val="left" w:pos="851"/>
        </w:tabs>
        <w:spacing w:line="360" w:lineRule="auto"/>
        <w:ind w:firstLine="420" w:firstLineChars="200"/>
        <w:rPr>
          <w:rFonts w:ascii="宋体" w:hAnsi="宋体" w:eastAsia="宋体" w:cs="宋体"/>
        </w:rPr>
      </w:pPr>
      <w:r>
        <w:rPr>
          <w:rFonts w:hint="eastAsia" w:ascii="宋体" w:hAnsi="宋体" w:eastAsia="宋体" w:cs="宋体"/>
        </w:rPr>
        <w:t>本次采购根据有效磋商供应商的综合评分从高到低原则，确定一个成交预选供应商，其他有效供应商依次确定为成交备选供应商。综合得分相同的，按投标报价由低到高顺序排列；合计得分且投标报价相同的，则由采购人代表在所有得分均相同者中随机抽取其中一名为名次优先者，依法予以确认为成交供应商。</w:t>
      </w:r>
    </w:p>
    <w:p>
      <w:pPr>
        <w:spacing w:line="360" w:lineRule="auto"/>
        <w:outlineLvl w:val="1"/>
        <w:rPr>
          <w:rFonts w:ascii="宋体" w:hAnsi="宋体" w:eastAsia="宋体" w:cs="宋体"/>
          <w:b/>
          <w:bCs/>
          <w:kern w:val="28"/>
        </w:rPr>
      </w:pPr>
      <w:bookmarkStart w:id="536" w:name="_Toc3956"/>
      <w:r>
        <w:rPr>
          <w:rFonts w:hint="eastAsia" w:ascii="宋体" w:hAnsi="宋体" w:eastAsia="宋体" w:cs="宋体"/>
          <w:b/>
          <w:bCs/>
          <w:kern w:val="28"/>
        </w:rPr>
        <w:t>五、磋商供应商的义务</w:t>
      </w:r>
      <w:bookmarkEnd w:id="536"/>
    </w:p>
    <w:p>
      <w:pPr>
        <w:spacing w:line="360" w:lineRule="auto"/>
        <w:ind w:firstLine="420" w:firstLineChars="200"/>
        <w:rPr>
          <w:rFonts w:ascii="宋体" w:hAnsi="宋体" w:eastAsia="宋体" w:cs="宋体"/>
          <w:bCs/>
          <w:kern w:val="28"/>
        </w:rPr>
      </w:pPr>
      <w:r>
        <w:rPr>
          <w:rFonts w:hint="eastAsia" w:ascii="宋体" w:hAnsi="宋体" w:eastAsia="宋体" w:cs="宋体"/>
          <w:bCs/>
          <w:kern w:val="28"/>
        </w:rPr>
        <w:t>磋商供应商应随时随地答复磋商小组的询标，解答包括有关的商务、技术问题等。磋商结束，所有评定资料存采购机构备案。</w:t>
      </w:r>
    </w:p>
    <w:p>
      <w:pPr>
        <w:pStyle w:val="4"/>
        <w:ind w:left="0" w:leftChars="0" w:firstLine="0" w:firstLineChars="0"/>
      </w:pPr>
    </w:p>
    <w:p>
      <w:pPr>
        <w:pStyle w:val="3"/>
        <w:keepNext w:val="0"/>
        <w:keepLines w:val="0"/>
        <w:pageBreakBefore/>
        <w:shd w:val="clear" w:color="auto" w:fill="FFFFFF"/>
        <w:spacing w:before="156" w:beforeLines="50" w:after="156" w:afterLines="50" w:line="400" w:lineRule="atLeast"/>
        <w:jc w:val="center"/>
        <w:rPr>
          <w:bCs/>
          <w:sz w:val="32"/>
          <w:szCs w:val="28"/>
        </w:rPr>
      </w:pPr>
      <w:bookmarkStart w:id="537" w:name="_Toc23969"/>
      <w:bookmarkStart w:id="538" w:name="_Toc75352678"/>
      <w:bookmarkStart w:id="539" w:name="_Toc26049"/>
      <w:bookmarkStart w:id="540" w:name="_Toc13745"/>
      <w:bookmarkStart w:id="541" w:name="_Toc79686188"/>
      <w:bookmarkStart w:id="542" w:name="_Toc9663"/>
      <w:bookmarkStart w:id="543" w:name="_Toc76399195"/>
      <w:bookmarkStart w:id="544" w:name="_Toc18198"/>
      <w:r>
        <w:rPr>
          <w:rFonts w:hint="eastAsia" w:hAnsi="宋体"/>
          <w:bCs/>
          <w:sz w:val="28"/>
          <w:szCs w:val="36"/>
        </w:rPr>
        <w:t>第七部分  信贷政策</w:t>
      </w:r>
      <w:bookmarkEnd w:id="537"/>
      <w:bookmarkEnd w:id="538"/>
      <w:bookmarkEnd w:id="539"/>
      <w:bookmarkEnd w:id="540"/>
      <w:bookmarkEnd w:id="541"/>
      <w:bookmarkEnd w:id="542"/>
      <w:bookmarkEnd w:id="543"/>
      <w:bookmarkEnd w:id="544"/>
    </w:p>
    <w:p>
      <w:pPr>
        <w:widowControl/>
        <w:spacing w:line="400" w:lineRule="exact"/>
        <w:ind w:left="-199" w:leftChars="-95" w:firstLine="420" w:firstLineChars="200"/>
        <w:rPr>
          <w:rFonts w:ascii="宋体" w:hAnsi="宋体" w:cs="宋体"/>
          <w:szCs w:val="21"/>
        </w:rPr>
      </w:pPr>
      <w:r>
        <w:rPr>
          <w:rFonts w:hint="eastAsia" w:ascii="宋体" w:hAnsi="宋体" w:cs="宋体"/>
          <w:szCs w:val="21"/>
        </w:rPr>
        <w:t>温州市财政局关于温州市政府采购支持中小企业信用融资的通知（温财采〔</w:t>
      </w:r>
      <w:r>
        <w:rPr>
          <w:rFonts w:ascii="宋体" w:hAnsi="宋体" w:cs="宋体"/>
          <w:szCs w:val="21"/>
        </w:rPr>
        <w:t>2020</w:t>
      </w:r>
      <w:r>
        <w:rPr>
          <w:rFonts w:hint="eastAsia" w:ascii="宋体" w:hAnsi="宋体" w:cs="宋体"/>
          <w:szCs w:val="21"/>
        </w:rPr>
        <w:t>〕</w:t>
      </w:r>
      <w:r>
        <w:rPr>
          <w:rFonts w:ascii="宋体" w:hAnsi="宋体" w:cs="宋体"/>
          <w:szCs w:val="21"/>
        </w:rPr>
        <w:t>3</w:t>
      </w:r>
      <w:r>
        <w:rPr>
          <w:rFonts w:hint="eastAsia" w:ascii="宋体" w:hAnsi="宋体" w:cs="宋体"/>
          <w:szCs w:val="21"/>
        </w:rPr>
        <w:t>号），中标单位如需要融资，可联系以下银行：</w:t>
      </w:r>
    </w:p>
    <w:p>
      <w:pPr>
        <w:widowControl/>
        <w:spacing w:before="156" w:beforeLines="50" w:after="156" w:afterLines="50"/>
        <w:jc w:val="center"/>
        <w:outlineLvl w:val="1"/>
        <w:rPr>
          <w:rFonts w:ascii="黑体" w:hAnsi="黑体" w:eastAsia="黑体" w:cs="黑体"/>
          <w:sz w:val="28"/>
          <w:szCs w:val="28"/>
        </w:rPr>
      </w:pPr>
      <w:bookmarkStart w:id="545" w:name="_Toc28302"/>
      <w:bookmarkStart w:id="546" w:name="_Toc15690"/>
      <w:bookmarkStart w:id="547" w:name="_Toc22303"/>
      <w:bookmarkStart w:id="548" w:name="_Toc22054"/>
      <w:bookmarkStart w:id="549" w:name="_Toc5898"/>
      <w:bookmarkStart w:id="550" w:name="_Toc26724"/>
      <w:r>
        <w:rPr>
          <w:rFonts w:hint="eastAsia" w:ascii="黑体" w:hAnsi="黑体" w:eastAsia="黑体" w:cs="黑体"/>
          <w:sz w:val="28"/>
          <w:szCs w:val="28"/>
        </w:rPr>
        <w:t>温州市政府采购支持中小企业信用融资合作银行</w:t>
      </w:r>
      <w:bookmarkEnd w:id="545"/>
      <w:bookmarkEnd w:id="546"/>
      <w:bookmarkEnd w:id="547"/>
      <w:bookmarkEnd w:id="548"/>
      <w:bookmarkEnd w:id="549"/>
      <w:bookmarkEnd w:id="550"/>
    </w:p>
    <w:tbl>
      <w:tblPr>
        <w:tblStyle w:val="22"/>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611"/>
        <w:gridCol w:w="10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1112" w:type="dxa"/>
            <w:vAlign w:val="center"/>
          </w:tcPr>
          <w:p>
            <w:pPr>
              <w:pStyle w:val="34"/>
              <w:spacing w:line="360" w:lineRule="exact"/>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银行名称</w:t>
            </w:r>
          </w:p>
        </w:tc>
        <w:tc>
          <w:tcPr>
            <w:tcW w:w="5611" w:type="dxa"/>
            <w:vAlign w:val="center"/>
          </w:tcPr>
          <w:p>
            <w:pPr>
              <w:pStyle w:val="34"/>
              <w:spacing w:line="360" w:lineRule="exact"/>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产品特点（不超过120字）</w:t>
            </w:r>
          </w:p>
        </w:tc>
        <w:tc>
          <w:tcPr>
            <w:tcW w:w="1020" w:type="dxa"/>
            <w:vAlign w:val="center"/>
          </w:tcPr>
          <w:p>
            <w:pPr>
              <w:pStyle w:val="34"/>
              <w:spacing w:line="360" w:lineRule="exact"/>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经办人</w:t>
            </w:r>
          </w:p>
        </w:tc>
        <w:tc>
          <w:tcPr>
            <w:tcW w:w="1680" w:type="dxa"/>
            <w:vAlign w:val="center"/>
          </w:tcPr>
          <w:p>
            <w:pPr>
              <w:spacing w:line="360" w:lineRule="exact"/>
              <w:jc w:val="center"/>
              <w:rPr>
                <w:rFonts w:ascii="宋体" w:hAnsi="宋体" w:cs="宋体"/>
                <w:b/>
                <w:bCs/>
                <w:szCs w:val="21"/>
              </w:rPr>
            </w:pPr>
            <w:r>
              <w:rPr>
                <w:rFonts w:hint="eastAsia" w:ascii="宋体" w:hAnsi="宋体" w:cs="宋体"/>
                <w:b/>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112" w:type="dxa"/>
            <w:vAlign w:val="center"/>
          </w:tcPr>
          <w:p>
            <w:pPr>
              <w:spacing w:line="360" w:lineRule="exact"/>
              <w:jc w:val="center"/>
              <w:rPr>
                <w:rFonts w:ascii="宋体" w:hAnsi="宋体" w:cs="宋体"/>
                <w:szCs w:val="21"/>
              </w:rPr>
            </w:pPr>
            <w:r>
              <w:rPr>
                <w:rFonts w:hint="eastAsia" w:ascii="宋体" w:hAnsi="宋体" w:cs="宋体"/>
                <w:szCs w:val="21"/>
              </w:rPr>
              <w:t>中国建设银行股份有限公司温州分行</w:t>
            </w:r>
          </w:p>
        </w:tc>
        <w:tc>
          <w:tcPr>
            <w:tcW w:w="5611" w:type="dxa"/>
            <w:vAlign w:val="center"/>
          </w:tcPr>
          <w:p>
            <w:pPr>
              <w:spacing w:line="360" w:lineRule="exact"/>
              <w:rPr>
                <w:rFonts w:ascii="宋体" w:hAnsi="宋体" w:cs="宋体"/>
                <w:szCs w:val="21"/>
              </w:rPr>
            </w:pPr>
            <w:r>
              <w:rPr>
                <w:rFonts w:hint="eastAsia" w:ascii="宋体" w:hAnsi="宋体" w:cs="宋体"/>
                <w:szCs w:val="21"/>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张经理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0577-65819553（瑞安）</w:t>
            </w:r>
          </w:p>
          <w:p>
            <w:pPr>
              <w:spacing w:line="360" w:lineRule="exact"/>
              <w:jc w:val="center"/>
              <w:rPr>
                <w:rFonts w:ascii="宋体" w:hAnsi="宋体" w:cs="宋体"/>
                <w:szCs w:val="21"/>
              </w:rPr>
            </w:pPr>
            <w:r>
              <w:rPr>
                <w:rFonts w:hint="eastAsia" w:ascii="宋体" w:hAnsi="宋体" w:cs="宋体"/>
                <w:szCs w:val="21"/>
              </w:rPr>
              <w:t>0577-88093286（温州）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中国工商银行股份有限公司温州分行</w:t>
            </w:r>
          </w:p>
        </w:tc>
        <w:tc>
          <w:tcPr>
            <w:tcW w:w="5611" w:type="dxa"/>
            <w:vAlign w:val="center"/>
          </w:tcPr>
          <w:p>
            <w:pPr>
              <w:spacing w:line="360" w:lineRule="exact"/>
              <w:rPr>
                <w:rFonts w:ascii="宋体" w:hAnsi="宋体" w:cs="宋体"/>
                <w:szCs w:val="21"/>
              </w:rPr>
            </w:pPr>
            <w:r>
              <w:rPr>
                <w:rFonts w:hint="eastAsia" w:ascii="宋体" w:hAnsi="宋体" w:cs="宋体"/>
                <w:szCs w:val="21"/>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20"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王经理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中国邮政储蓄银行股份有限公司温州市分行</w:t>
            </w:r>
          </w:p>
        </w:tc>
        <w:tc>
          <w:tcPr>
            <w:tcW w:w="5611" w:type="dxa"/>
            <w:vAlign w:val="center"/>
          </w:tcPr>
          <w:p>
            <w:pPr>
              <w:spacing w:line="360" w:lineRule="exact"/>
              <w:rPr>
                <w:rFonts w:ascii="宋体" w:hAnsi="宋体" w:cs="宋体"/>
                <w:szCs w:val="21"/>
              </w:rPr>
            </w:pPr>
            <w:r>
              <w:rPr>
                <w:rFonts w:hint="eastAsia" w:ascii="宋体" w:hAnsi="宋体" w:cs="宋体"/>
                <w:szCs w:val="21"/>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郑经理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中国民生银行股份有限公司温州分行</w:t>
            </w:r>
          </w:p>
        </w:tc>
        <w:tc>
          <w:tcPr>
            <w:tcW w:w="5611" w:type="dxa"/>
            <w:vAlign w:val="center"/>
          </w:tcPr>
          <w:p>
            <w:pPr>
              <w:spacing w:line="360" w:lineRule="exact"/>
              <w:rPr>
                <w:rFonts w:ascii="宋体" w:hAnsi="宋体" w:cs="宋体"/>
                <w:szCs w:val="21"/>
              </w:rPr>
            </w:pPr>
            <w:r>
              <w:rPr>
                <w:rFonts w:hint="eastAsia" w:ascii="宋体" w:hAnsi="宋体" w:cs="宋体"/>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项经理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宁波银行股份有限公司温州分行</w:t>
            </w:r>
          </w:p>
        </w:tc>
        <w:tc>
          <w:tcPr>
            <w:tcW w:w="5611" w:type="dxa"/>
            <w:vAlign w:val="center"/>
          </w:tcPr>
          <w:p>
            <w:pPr>
              <w:spacing w:line="360" w:lineRule="exact"/>
              <w:rPr>
                <w:rFonts w:ascii="宋体" w:hAnsi="宋体" w:cs="宋体"/>
                <w:szCs w:val="21"/>
              </w:rPr>
            </w:pPr>
            <w:r>
              <w:rPr>
                <w:rFonts w:hint="eastAsia" w:ascii="宋体" w:hAnsi="宋体" w:cs="宋体"/>
                <w:szCs w:val="21"/>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陈经理</w:t>
            </w:r>
          </w:p>
        </w:tc>
        <w:tc>
          <w:tcPr>
            <w:tcW w:w="1680" w:type="dxa"/>
            <w:vAlign w:val="center"/>
          </w:tcPr>
          <w:p>
            <w:pPr>
              <w:jc w:val="center"/>
              <w:rPr>
                <w:rFonts w:ascii="宋体" w:hAnsi="宋体" w:cs="宋体"/>
                <w:szCs w:val="21"/>
              </w:rPr>
            </w:pPr>
            <w:r>
              <w:rPr>
                <w:rFonts w:hint="eastAsia"/>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杭州银行股份有限公司温州分行</w:t>
            </w:r>
          </w:p>
        </w:tc>
        <w:tc>
          <w:tcPr>
            <w:tcW w:w="5611" w:type="dxa"/>
            <w:vAlign w:val="center"/>
          </w:tcPr>
          <w:p>
            <w:pPr>
              <w:spacing w:line="360" w:lineRule="exact"/>
              <w:rPr>
                <w:rFonts w:ascii="宋体" w:hAnsi="宋体" w:cs="宋体"/>
                <w:bCs/>
                <w:szCs w:val="21"/>
              </w:rPr>
            </w:pPr>
            <w:r>
              <w:rPr>
                <w:rFonts w:hint="eastAsia" w:ascii="宋体" w:hAnsi="宋体" w:cs="宋体"/>
                <w:bCs/>
                <w:szCs w:val="21"/>
              </w:rPr>
              <w:t>门槛低：纯信用，平台注册入库并取得采购合同即可申请</w:t>
            </w:r>
          </w:p>
          <w:p>
            <w:pPr>
              <w:spacing w:line="360" w:lineRule="exact"/>
              <w:rPr>
                <w:rFonts w:ascii="宋体" w:hAnsi="宋体" w:cs="宋体"/>
                <w:bCs/>
                <w:szCs w:val="21"/>
              </w:rPr>
            </w:pPr>
            <w:r>
              <w:rPr>
                <w:rFonts w:hint="eastAsia" w:ascii="宋体" w:hAnsi="宋体" w:cs="宋体"/>
                <w:bCs/>
                <w:szCs w:val="21"/>
              </w:rPr>
              <w:t>手续简：线上申请+线上签约，足不出户</w:t>
            </w:r>
          </w:p>
          <w:p>
            <w:pPr>
              <w:spacing w:line="360" w:lineRule="exact"/>
              <w:rPr>
                <w:rFonts w:ascii="宋体" w:hAnsi="宋体" w:cs="宋体"/>
                <w:bCs/>
                <w:szCs w:val="21"/>
              </w:rPr>
            </w:pPr>
            <w:r>
              <w:rPr>
                <w:rFonts w:hint="eastAsia" w:ascii="宋体" w:hAnsi="宋体" w:cs="宋体"/>
                <w:bCs/>
                <w:szCs w:val="21"/>
              </w:rPr>
              <w:t>利率优：按优于一般中小企业贷款利率执行</w:t>
            </w:r>
          </w:p>
          <w:p>
            <w:pPr>
              <w:spacing w:line="360" w:lineRule="exact"/>
              <w:rPr>
                <w:rFonts w:ascii="宋体" w:hAnsi="宋体" w:cs="宋体"/>
                <w:szCs w:val="21"/>
              </w:rPr>
            </w:pPr>
            <w:r>
              <w:rPr>
                <w:rFonts w:hint="eastAsia" w:ascii="宋体" w:hAnsi="宋体" w:cs="宋体"/>
                <w:bCs/>
                <w:szCs w:val="21"/>
              </w:rPr>
              <w:t>额度高：最高为合同金额的80%</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叶经理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招商银行股份有限公司温州分行</w:t>
            </w:r>
          </w:p>
        </w:tc>
        <w:tc>
          <w:tcPr>
            <w:tcW w:w="5611" w:type="dxa"/>
            <w:vAlign w:val="center"/>
          </w:tcPr>
          <w:p>
            <w:pPr>
              <w:spacing w:line="360" w:lineRule="exact"/>
              <w:rPr>
                <w:rFonts w:ascii="宋体" w:hAnsi="宋体" w:cs="宋体"/>
                <w:szCs w:val="21"/>
              </w:rPr>
            </w:pPr>
            <w:r>
              <w:rPr>
                <w:rFonts w:hint="eastAsia" w:ascii="宋体" w:hAnsi="宋体" w:cs="宋体"/>
                <w:szCs w:val="21"/>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陈经理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兴业银行股份有限公司温州分行</w:t>
            </w:r>
          </w:p>
        </w:tc>
        <w:tc>
          <w:tcPr>
            <w:tcW w:w="5611" w:type="dxa"/>
            <w:vAlign w:val="center"/>
          </w:tcPr>
          <w:p>
            <w:pPr>
              <w:pStyle w:val="34"/>
              <w:widowControl/>
              <w:spacing w:line="360" w:lineRule="exact"/>
              <w:ind w:firstLine="0" w:firstLineChars="0"/>
              <w:rPr>
                <w:rFonts w:ascii="宋体" w:hAnsi="宋体" w:eastAsia="宋体" w:cs="宋体"/>
                <w:bCs/>
                <w:kern w:val="0"/>
                <w:sz w:val="21"/>
                <w:szCs w:val="21"/>
              </w:rPr>
            </w:pPr>
            <w:r>
              <w:rPr>
                <w:rFonts w:hint="eastAsia" w:ascii="宋体" w:hAnsi="宋体" w:eastAsia="宋体" w:cs="宋体"/>
                <w:bCs/>
                <w:kern w:val="0"/>
                <w:sz w:val="21"/>
                <w:szCs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张经理</w:t>
            </w:r>
          </w:p>
          <w:p>
            <w:pPr>
              <w:spacing w:line="360" w:lineRule="exact"/>
              <w:jc w:val="center"/>
              <w:rPr>
                <w:rFonts w:ascii="宋体" w:hAnsi="宋体" w:cs="宋体"/>
                <w:szCs w:val="21"/>
              </w:rPr>
            </w:pPr>
            <w:r>
              <w:rPr>
                <w:rFonts w:hint="eastAsia" w:ascii="宋体" w:hAnsi="宋体" w:cs="宋体"/>
                <w:szCs w:val="21"/>
              </w:rPr>
              <w:t>陈经理</w:t>
            </w:r>
          </w:p>
        </w:tc>
        <w:tc>
          <w:tcPr>
            <w:tcW w:w="1680"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0577-88369368/13857713118</w:t>
            </w:r>
          </w:p>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温州银行股份有限公司温州分行</w:t>
            </w:r>
          </w:p>
        </w:tc>
        <w:tc>
          <w:tcPr>
            <w:tcW w:w="5611" w:type="dxa"/>
            <w:vAlign w:val="center"/>
          </w:tcPr>
          <w:p>
            <w:pPr>
              <w:spacing w:line="360" w:lineRule="exact"/>
              <w:rPr>
                <w:rFonts w:ascii="宋体" w:hAnsi="宋体" w:cs="宋体"/>
                <w:bCs/>
                <w:szCs w:val="21"/>
              </w:rPr>
            </w:pPr>
            <w:r>
              <w:rPr>
                <w:rFonts w:hint="eastAsia" w:ascii="宋体" w:hAnsi="宋体" w:cs="宋体"/>
                <w:bCs/>
                <w:szCs w:val="21"/>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陈经理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温州银行股份有限公司鹿城分行</w:t>
            </w:r>
          </w:p>
        </w:tc>
        <w:tc>
          <w:tcPr>
            <w:tcW w:w="5611" w:type="dxa"/>
            <w:vAlign w:val="center"/>
          </w:tcPr>
          <w:p>
            <w:pPr>
              <w:spacing w:line="360" w:lineRule="exact"/>
              <w:rPr>
                <w:rFonts w:ascii="宋体" w:hAnsi="宋体" w:cs="宋体"/>
                <w:szCs w:val="21"/>
              </w:rPr>
            </w:pPr>
            <w:r>
              <w:rPr>
                <w:rFonts w:hint="eastAsia" w:ascii="宋体" w:hAnsi="宋体" w:cs="宋体"/>
                <w:szCs w:val="21"/>
              </w:rPr>
              <w:t>政采订单贷：1、面向政府采购项目供应商，满足供应商资金周转需求，凭中标通知书即可申请，2、秒知额高，最高可贷500万元，单笔业务金额可贷中标金额的80%，</w:t>
            </w:r>
          </w:p>
          <w:p>
            <w:pPr>
              <w:pStyle w:val="28"/>
              <w:spacing w:line="360" w:lineRule="exact"/>
              <w:ind w:left="5" w:firstLine="0" w:firstLineChars="0"/>
              <w:rPr>
                <w:rFonts w:ascii="宋体" w:hAnsi="宋体" w:cs="宋体"/>
                <w:szCs w:val="21"/>
              </w:rPr>
            </w:pPr>
            <w:r>
              <w:rPr>
                <w:rFonts w:hint="eastAsia" w:ascii="宋体" w:hAnsi="宋体" w:cs="宋体"/>
                <w:szCs w:val="21"/>
              </w:rPr>
              <w:t>最长期限可贷1年。信保贷：1、额度最高可达500万元</w:t>
            </w:r>
          </w:p>
          <w:p>
            <w:pPr>
              <w:spacing w:line="360" w:lineRule="exact"/>
              <w:rPr>
                <w:rFonts w:ascii="宋体" w:hAnsi="宋体" w:cs="宋体"/>
                <w:szCs w:val="21"/>
              </w:rPr>
            </w:pPr>
            <w:r>
              <w:rPr>
                <w:rFonts w:hint="eastAsia" w:ascii="宋体" w:hAnsi="宋体" w:cs="宋体"/>
                <w:szCs w:val="21"/>
              </w:rPr>
              <w:t>2、担保灵活，信用贷款3、贷款年利率至少可享受本单位一般性中小企业信用贷款利率基础上下浮10 %</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戴经理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交通银行股份有限公司温州分行</w:t>
            </w:r>
          </w:p>
        </w:tc>
        <w:tc>
          <w:tcPr>
            <w:tcW w:w="5611" w:type="dxa"/>
            <w:vAlign w:val="center"/>
          </w:tcPr>
          <w:p>
            <w:pPr>
              <w:spacing w:line="360" w:lineRule="exact"/>
              <w:rPr>
                <w:rFonts w:ascii="宋体" w:hAnsi="宋体" w:cs="宋体"/>
                <w:szCs w:val="21"/>
              </w:rPr>
            </w:pPr>
            <w:r>
              <w:rPr>
                <w:rFonts w:hint="eastAsia" w:ascii="宋体" w:hAnsi="宋体" w:cs="宋体"/>
                <w:szCs w:val="21"/>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缪经理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12" w:type="dxa"/>
            <w:vAlign w:val="center"/>
          </w:tcPr>
          <w:p>
            <w:pPr>
              <w:pStyle w:val="34"/>
              <w:widowControl/>
              <w:spacing w:line="36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上海浦东发展银行股份有限公司温州分行</w:t>
            </w:r>
          </w:p>
        </w:tc>
        <w:tc>
          <w:tcPr>
            <w:tcW w:w="5611" w:type="dxa"/>
            <w:vAlign w:val="center"/>
          </w:tcPr>
          <w:p>
            <w:pPr>
              <w:spacing w:line="360" w:lineRule="exact"/>
              <w:rPr>
                <w:rFonts w:ascii="宋体" w:hAnsi="宋体" w:cs="宋体"/>
                <w:bCs/>
                <w:szCs w:val="21"/>
              </w:rPr>
            </w:pPr>
            <w:r>
              <w:rPr>
                <w:rFonts w:hint="eastAsia" w:ascii="宋体" w:hAnsi="宋体" w:cs="宋体"/>
                <w:bCs/>
                <w:szCs w:val="21"/>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spacing w:line="360" w:lineRule="exact"/>
              <w:rPr>
                <w:rFonts w:ascii="宋体" w:hAnsi="宋体" w:cs="宋体"/>
                <w:szCs w:val="21"/>
              </w:rPr>
            </w:pPr>
            <w:r>
              <w:rPr>
                <w:rFonts w:hint="eastAsia" w:ascii="宋体" w:hAnsi="宋体" w:cs="宋体"/>
                <w:bCs/>
                <w:szCs w:val="21"/>
              </w:rPr>
              <w:t>所需材料：企业基础证件、相关中标文件（中标通知书 、采购合同等）、其他必要文件</w:t>
            </w:r>
          </w:p>
        </w:tc>
        <w:tc>
          <w:tcPr>
            <w:tcW w:w="1020" w:type="dxa"/>
            <w:vAlign w:val="center"/>
          </w:tcPr>
          <w:p>
            <w:pPr>
              <w:spacing w:line="360" w:lineRule="exact"/>
              <w:jc w:val="center"/>
              <w:rPr>
                <w:rFonts w:ascii="宋体" w:hAnsi="宋体" w:cs="宋体"/>
                <w:szCs w:val="21"/>
              </w:rPr>
            </w:pPr>
            <w:r>
              <w:rPr>
                <w:rFonts w:hint="eastAsia" w:ascii="宋体" w:hAnsi="宋体" w:cs="宋体"/>
                <w:szCs w:val="21"/>
              </w:rPr>
              <w:t>叶经理</w:t>
            </w:r>
          </w:p>
        </w:tc>
        <w:tc>
          <w:tcPr>
            <w:tcW w:w="1680" w:type="dxa"/>
            <w:vAlign w:val="center"/>
          </w:tcPr>
          <w:p>
            <w:pPr>
              <w:spacing w:line="360" w:lineRule="exact"/>
              <w:jc w:val="center"/>
              <w:rPr>
                <w:rFonts w:ascii="宋体" w:hAnsi="宋体" w:cs="宋体"/>
                <w:szCs w:val="21"/>
              </w:rPr>
            </w:pPr>
            <w:r>
              <w:rPr>
                <w:rFonts w:hint="eastAsia" w:ascii="宋体" w:hAnsi="宋体" w:cs="宋体"/>
                <w:szCs w:val="21"/>
              </w:rPr>
              <w:t>0577-55570829</w:t>
            </w:r>
          </w:p>
        </w:tc>
      </w:tr>
    </w:tbl>
    <w:p>
      <w:pPr>
        <w:widowControl/>
        <w:spacing w:before="78" w:beforeLines="25"/>
        <w:jc w:val="center"/>
        <w:rPr>
          <w:rFonts w:ascii="黑体" w:hAnsi="黑体" w:eastAsia="黑体" w:cs="黑体"/>
          <w:sz w:val="30"/>
          <w:szCs w:val="30"/>
        </w:rPr>
      </w:pPr>
      <w:bookmarkStart w:id="551" w:name="_Toc27890"/>
      <w:bookmarkStart w:id="552" w:name="_Toc17671"/>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p>
    <w:p>
      <w:pPr>
        <w:widowControl/>
        <w:spacing w:before="78" w:beforeLines="25"/>
        <w:jc w:val="center"/>
        <w:rPr>
          <w:rFonts w:ascii="黑体" w:hAnsi="黑体" w:eastAsia="黑体" w:cs="黑体"/>
          <w:sz w:val="30"/>
          <w:szCs w:val="30"/>
        </w:rPr>
      </w:pPr>
      <w:r>
        <w:rPr>
          <w:rFonts w:hint="eastAsia" w:ascii="黑体" w:hAnsi="黑体" w:eastAsia="黑体" w:cs="黑体"/>
          <w:sz w:val="30"/>
          <w:szCs w:val="30"/>
        </w:rPr>
        <w:t>温州市政府采购信用融资意向银行选择表</w:t>
      </w:r>
      <w:bookmarkEnd w:id="551"/>
      <w:bookmarkEnd w:id="552"/>
    </w:p>
    <w:p>
      <w:pPr>
        <w:widowControl/>
        <w:spacing w:before="156" w:beforeLines="50" w:after="156" w:afterLines="50"/>
        <w:jc w:val="center"/>
        <w:rPr>
          <w:rFonts w:ascii="黑体" w:hAnsi="黑体" w:eastAsia="黑体" w:cs="黑体"/>
          <w:sz w:val="24"/>
        </w:rPr>
      </w:pPr>
      <w:bookmarkStart w:id="553" w:name="_Toc13252"/>
      <w:bookmarkStart w:id="554" w:name="_Toc10603"/>
      <w:r>
        <w:rPr>
          <w:rFonts w:hint="eastAsia" w:ascii="黑体" w:hAnsi="黑体" w:eastAsia="黑体" w:cs="黑体"/>
          <w:sz w:val="22"/>
          <w:szCs w:val="22"/>
        </w:rPr>
        <w:t>（温州市供应商填写）</w:t>
      </w:r>
      <w:bookmarkEnd w:id="553"/>
      <w:bookmarkEnd w:id="554"/>
    </w:p>
    <w:tbl>
      <w:tblPr>
        <w:tblStyle w:val="22"/>
        <w:tblW w:w="8631"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411"/>
        <w:gridCol w:w="1131"/>
        <w:gridCol w:w="191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企业名称</w:t>
            </w:r>
          </w:p>
        </w:tc>
        <w:tc>
          <w:tcPr>
            <w:tcW w:w="6957" w:type="dxa"/>
            <w:gridSpan w:val="4"/>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企业注册地</w:t>
            </w:r>
          </w:p>
        </w:tc>
        <w:tc>
          <w:tcPr>
            <w:tcW w:w="3542"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c>
          <w:tcPr>
            <w:tcW w:w="1919" w:type="dxa"/>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是否有融资意向</w:t>
            </w:r>
          </w:p>
        </w:tc>
        <w:tc>
          <w:tcPr>
            <w:tcW w:w="1496" w:type="dxa"/>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融资联系人</w:t>
            </w:r>
          </w:p>
        </w:tc>
        <w:tc>
          <w:tcPr>
            <w:tcW w:w="2411" w:type="dxa"/>
            <w:vAlign w:val="center"/>
          </w:tcPr>
          <w:p>
            <w:pPr>
              <w:pStyle w:val="34"/>
              <w:snapToGrid w:val="0"/>
              <w:spacing w:line="240" w:lineRule="auto"/>
              <w:ind w:firstLine="0" w:firstLineChars="0"/>
              <w:jc w:val="center"/>
              <w:rPr>
                <w:rFonts w:ascii="宋体" w:hAnsi="宋体" w:eastAsia="宋体" w:cs="宋体"/>
                <w:bCs/>
                <w:kern w:val="0"/>
                <w:sz w:val="21"/>
                <w:szCs w:val="20"/>
              </w:rPr>
            </w:pPr>
          </w:p>
        </w:tc>
        <w:tc>
          <w:tcPr>
            <w:tcW w:w="1131" w:type="dxa"/>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联系方式</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
                <w:kern w:val="0"/>
                <w:sz w:val="21"/>
                <w:szCs w:val="20"/>
              </w:rPr>
            </w:pPr>
            <w:r>
              <w:rPr>
                <w:rFonts w:hint="eastAsia" w:ascii="宋体" w:hAnsi="宋体" w:eastAsia="宋体" w:cs="宋体"/>
                <w:b/>
                <w:kern w:val="0"/>
                <w:sz w:val="21"/>
                <w:szCs w:val="20"/>
              </w:rPr>
              <w:t>温州市政府采购信用融资合作银行</w:t>
            </w:r>
          </w:p>
        </w:tc>
        <w:tc>
          <w:tcPr>
            <w:tcW w:w="3415" w:type="dxa"/>
            <w:gridSpan w:val="2"/>
            <w:vAlign w:val="center"/>
          </w:tcPr>
          <w:p>
            <w:pPr>
              <w:pStyle w:val="34"/>
              <w:snapToGrid w:val="0"/>
              <w:spacing w:line="240" w:lineRule="auto"/>
              <w:ind w:firstLine="0" w:firstLineChars="0"/>
              <w:jc w:val="center"/>
              <w:rPr>
                <w:rFonts w:ascii="宋体" w:hAnsi="宋体" w:eastAsia="宋体" w:cs="宋体"/>
                <w:b/>
                <w:kern w:val="0"/>
                <w:sz w:val="21"/>
                <w:szCs w:val="20"/>
              </w:rPr>
            </w:pPr>
            <w:r>
              <w:rPr>
                <w:rFonts w:hint="eastAsia" w:ascii="宋体" w:hAnsi="宋体" w:eastAsia="宋体" w:cs="宋体"/>
                <w:b/>
                <w:kern w:val="0"/>
                <w:sz w:val="21"/>
                <w:szCs w:val="20"/>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温州银行股份有限公司温州分行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温州银行股份有限公司鹿城分行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中国工商银行股份有限公司温州分行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216" w:type="dxa"/>
            <w:gridSpan w:val="3"/>
            <w:vAlign w:val="center"/>
          </w:tcPr>
          <w:p>
            <w:pPr>
              <w:snapToGrid w:val="0"/>
              <w:jc w:val="center"/>
              <w:rPr>
                <w:rFonts w:ascii="宋体" w:hAnsi="宋体" w:cs="宋体"/>
                <w:bCs/>
              </w:rPr>
            </w:pPr>
            <w:r>
              <w:rPr>
                <w:rFonts w:hint="eastAsia" w:ascii="宋体" w:hAnsi="宋体" w:cs="宋体"/>
                <w:bCs/>
              </w:rPr>
              <w:t>中国建设银行股份有限公司温州分行</w:t>
            </w:r>
          </w:p>
        </w:tc>
        <w:tc>
          <w:tcPr>
            <w:tcW w:w="3415" w:type="dxa"/>
            <w:gridSpan w:val="2"/>
            <w:vAlign w:val="center"/>
          </w:tcPr>
          <w:p>
            <w:pPr>
              <w:snapToGrid w:val="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中国邮政储蓄银行股份有限公司温州市分行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中国民生银行股份有限公司温州分行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宁波银行股份有限公司温州分行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杭州银行股份有限公司温州分行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招商银行股份有限公司温州分行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兴业银行股份有限公司温州分行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交通银行股份有限公司温州分行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216" w:type="dxa"/>
            <w:gridSpan w:val="3"/>
            <w:vAlign w:val="center"/>
          </w:tcPr>
          <w:p>
            <w:pPr>
              <w:pStyle w:val="34"/>
              <w:snapToGrid w:val="0"/>
              <w:spacing w:line="240" w:lineRule="auto"/>
              <w:ind w:firstLine="0" w:firstLineChars="0"/>
              <w:jc w:val="center"/>
              <w:rPr>
                <w:rFonts w:ascii="宋体" w:hAnsi="宋体" w:eastAsia="宋体" w:cs="宋体"/>
                <w:bCs/>
                <w:kern w:val="0"/>
                <w:sz w:val="21"/>
                <w:szCs w:val="20"/>
              </w:rPr>
            </w:pPr>
            <w:r>
              <w:rPr>
                <w:rFonts w:hint="eastAsia" w:ascii="宋体" w:hAnsi="宋体" w:eastAsia="宋体" w:cs="宋体"/>
                <w:bCs/>
                <w:kern w:val="0"/>
                <w:sz w:val="21"/>
                <w:szCs w:val="20"/>
              </w:rPr>
              <w:t>上海浦东发展银行股份有限公司温州分行</w:t>
            </w:r>
          </w:p>
        </w:tc>
        <w:tc>
          <w:tcPr>
            <w:tcW w:w="3415" w:type="dxa"/>
            <w:gridSpan w:val="2"/>
            <w:vAlign w:val="center"/>
          </w:tcPr>
          <w:p>
            <w:pPr>
              <w:pStyle w:val="34"/>
              <w:snapToGrid w:val="0"/>
              <w:spacing w:line="240" w:lineRule="auto"/>
              <w:ind w:firstLine="0" w:firstLineChars="0"/>
              <w:jc w:val="center"/>
              <w:rPr>
                <w:rFonts w:ascii="宋体" w:hAnsi="宋体" w:eastAsia="宋体" w:cs="宋体"/>
                <w:bCs/>
                <w:kern w:val="0"/>
                <w:sz w:val="21"/>
                <w:szCs w:val="20"/>
              </w:rPr>
            </w:pPr>
          </w:p>
        </w:tc>
      </w:tr>
    </w:tbl>
    <w:p>
      <w:pPr>
        <w:rPr>
          <w:rFonts w:ascii="宋体" w:hAnsi="宋体" w:cs="宋体"/>
          <w:bCs/>
        </w:rPr>
      </w:pPr>
      <w:r>
        <w:rPr>
          <w:rFonts w:hint="eastAsia" w:ascii="宋体" w:hAnsi="宋体" w:cs="宋体"/>
          <w:bCs/>
        </w:rPr>
        <w:t>注：1、本表填写对象为注册地在温州市域内的供应商。</w:t>
      </w:r>
    </w:p>
    <w:p>
      <w:pPr>
        <w:ind w:left="420" w:leftChars="200"/>
        <w:rPr>
          <w:rFonts w:ascii="宋体" w:hAnsi="宋体" w:cs="宋体"/>
          <w:bCs/>
        </w:rPr>
      </w:pPr>
      <w:r>
        <w:rPr>
          <w:rFonts w:hint="eastAsia" w:ascii="宋体" w:hAnsi="宋体" w:cs="宋体"/>
          <w:bCs/>
        </w:rPr>
        <w:t>2、财政部门根据企业自行选择，将本表及企业相关信息推送至相对应的融资意向银行经办人。</w:t>
      </w:r>
    </w:p>
    <w:p>
      <w:pPr>
        <w:pStyle w:val="27"/>
        <w:adjustRightInd/>
        <w:spacing w:line="240" w:lineRule="auto"/>
        <w:ind w:left="420" w:leftChars="200"/>
        <w:textAlignment w:val="auto"/>
        <w:outlineLvl w:val="1"/>
      </w:pPr>
      <w:bookmarkStart w:id="555" w:name="_Toc11635"/>
      <w:bookmarkStart w:id="556" w:name="_Toc30290"/>
      <w:bookmarkStart w:id="557" w:name="_Toc6937"/>
      <w:bookmarkStart w:id="558" w:name="_Toc29431"/>
      <w:r>
        <w:rPr>
          <w:rFonts w:hint="eastAsia"/>
        </w:rPr>
        <w:t>3、</w:t>
      </w:r>
      <w:r>
        <w:rPr>
          <w:rFonts w:hint="eastAsia" w:hAnsi="宋体"/>
          <w:sz w:val="22"/>
        </w:rPr>
        <w:t>供应商填表后发送至racgb@126.com</w:t>
      </w:r>
      <w:bookmarkEnd w:id="555"/>
      <w:bookmarkEnd w:id="556"/>
      <w:bookmarkEnd w:id="557"/>
      <w:bookmarkEnd w:id="558"/>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cMibgsAgAAVQQAAA4AAABkcnMvZTJvRG9jLnhtbK1UzY7TMBC+I/EO lu80aVl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5RoplCwU/fv51+ /Dr9/Equojyt9TNEPVjEhe6t6dA0w7nHYWTdVU7FL/gQ+CHu8SKu6ALh8dJ0Mp3mcHH4hg3ws8fr 1vnwThhFolFQh+olUdlh40MfOoTEbNqsGylTBaUmbUGvX7/J04WLB+BSI0ck0T82WqHbdmdmW1Me QcyZvjO85esGyTfMh3vm0Ap4MIYl3GGppEESc7YoqY378q/zGI8KwUtJi9YqqMYkUSLfa1QOgGEw 3GBsB0Pv1a1Br44xhJYnExdckINZOaM+Y4KWMQdcTHNkKmgYzNvQtzcmkIvlMgWh1ywLG/1geYSO 4nm73AcImHSNovRKnLVCt6XKnCcjtvOf+xT1+DdY/AZ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FwyJuCwCAABVBAAADgAAAAAAAAABACAAAAAfAQAAZHJzL2Uyb0RvYy54bWxQSwUGAAAAAAYA BgBZAQAAvQUAAAAA ">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9j2DAsAgAAV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PQa5aFrd5ZHqGj eN6ujgECtrpGUToleq3QbW1l+smI7fznvo16+hssHwF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r2PYMCwCAABVBAAADgAAAAAAAAABACAAAAAfAQAAZHJzL2Uyb0RvYy54bWxQSwUGAAAAAAYA BgBZAQAAvQUAAAAA ">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utlineLvl w:val="0"/>
      <w:rPr>
        <w:sz w:val="10"/>
        <w:szCs w:val="16"/>
      </w:rPr>
    </w:pPr>
    <w:r>
      <w:rPr>
        <w:rFonts w:hint="eastAsia"/>
        <w:sz w:val="20"/>
        <w:szCs w:val="20"/>
        <w:lang w:eastAsia="zh-CN"/>
      </w:rPr>
      <w:t>瑞安市公安局便携式无人机防御反制设备采购项目</w:t>
    </w:r>
    <w:r>
      <w:rPr>
        <w:rFonts w:hint="eastAsia"/>
        <w:sz w:val="20"/>
        <w:szCs w:val="20"/>
      </w:rPr>
      <w:t xml:space="preserve">     </w:t>
    </w:r>
    <w:r>
      <w:rPr>
        <w:rFonts w:hint="eastAsia"/>
        <w:sz w:val="20"/>
        <w:szCs w:val="20"/>
        <w:lang w:val="en-US" w:eastAsia="zh-CN"/>
      </w:rPr>
      <w:t xml:space="preserve">        </w:t>
    </w:r>
    <w:r>
      <w:rPr>
        <w:rFonts w:hint="eastAsia"/>
        <w:sz w:val="20"/>
        <w:szCs w:val="22"/>
      </w:rPr>
      <w:t>浙江综盛项目管理有限公司制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utlineLvl w:val="0"/>
      <w:rPr>
        <w:sz w:val="10"/>
        <w:szCs w:val="16"/>
      </w:rPr>
    </w:pPr>
    <w:r>
      <w:rPr>
        <w:rFonts w:hint="eastAsia"/>
        <w:sz w:val="20"/>
        <w:szCs w:val="20"/>
        <w:lang w:eastAsia="zh-CN"/>
      </w:rPr>
      <w:t>瑞安市公安局便携式无人机防御反制设备采购项目</w:t>
    </w:r>
    <w:r>
      <w:rPr>
        <w:rFonts w:hint="eastAsia"/>
        <w:sz w:val="20"/>
        <w:szCs w:val="20"/>
      </w:rPr>
      <w:t xml:space="preserve">      </w:t>
    </w:r>
    <w:r>
      <w:rPr>
        <w:rFonts w:hint="eastAsia"/>
        <w:sz w:val="20"/>
        <w:szCs w:val="20"/>
        <w:lang w:val="en-US" w:eastAsia="zh-CN"/>
      </w:rPr>
      <w:t xml:space="preserve">       </w:t>
    </w:r>
    <w:r>
      <w:rPr>
        <w:rFonts w:hint="eastAsia"/>
        <w:sz w:val="20"/>
        <w:szCs w:val="22"/>
      </w:rPr>
      <w:t>浙江综盛项目管理有限公司制</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7CED6"/>
    <w:multiLevelType w:val="singleLevel"/>
    <w:tmpl w:val="81F7CED6"/>
    <w:lvl w:ilvl="0" w:tentative="0">
      <w:start w:val="1"/>
      <w:numFmt w:val="decimal"/>
      <w:lvlText w:val="(%1)"/>
      <w:lvlJc w:val="left"/>
      <w:pPr>
        <w:ind w:left="425" w:hanging="425"/>
      </w:pPr>
      <w:rPr>
        <w:rFonts w:hint="default"/>
      </w:rPr>
    </w:lvl>
  </w:abstractNum>
  <w:abstractNum w:abstractNumId="1">
    <w:nsid w:val="84A24ADA"/>
    <w:multiLevelType w:val="multilevel"/>
    <w:tmpl w:val="84A24ADA"/>
    <w:lvl w:ilvl="0" w:tentative="0">
      <w:start w:val="1"/>
      <w:numFmt w:val="decimal"/>
      <w:suff w:val="nothing"/>
      <w:lvlText w:val="（%1）"/>
      <w:lvlJc w:val="left"/>
      <w:pPr>
        <w:tabs>
          <w:tab w:val="left" w:pos="420"/>
        </w:tabs>
        <w:ind w:left="1138"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2">
    <w:nsid w:val="93D77E27"/>
    <w:multiLevelType w:val="singleLevel"/>
    <w:tmpl w:val="93D77E27"/>
    <w:lvl w:ilvl="0" w:tentative="0">
      <w:start w:val="1"/>
      <w:numFmt w:val="decimal"/>
      <w:suff w:val="space"/>
      <w:lvlText w:val="%1."/>
      <w:lvlJc w:val="left"/>
    </w:lvl>
  </w:abstractNum>
  <w:abstractNum w:abstractNumId="3">
    <w:nsid w:val="9FF36C32"/>
    <w:multiLevelType w:val="singleLevel"/>
    <w:tmpl w:val="9FF36C32"/>
    <w:lvl w:ilvl="0" w:tentative="0">
      <w:start w:val="2"/>
      <w:numFmt w:val="chineseCounting"/>
      <w:suff w:val="nothing"/>
      <w:lvlText w:val="%1、"/>
      <w:lvlJc w:val="left"/>
      <w:rPr>
        <w:rFonts w:hint="eastAsia"/>
      </w:rPr>
    </w:lvl>
  </w:abstractNum>
  <w:abstractNum w:abstractNumId="4">
    <w:nsid w:val="BDD12A83"/>
    <w:multiLevelType w:val="multilevel"/>
    <w:tmpl w:val="BDD12A83"/>
    <w:lvl w:ilvl="0" w:tentative="0">
      <w:start w:val="1"/>
      <w:numFmt w:val="decimal"/>
      <w:suff w:val="space"/>
      <w:lvlText w:val="（%1）"/>
      <w:lvlJc w:val="left"/>
      <w:pPr>
        <w:tabs>
          <w:tab w:val="left" w:pos="420"/>
        </w:tabs>
        <w:ind w:left="0" w:firstLine="0"/>
      </w:pPr>
      <w:rPr>
        <w:rFonts w:hint="default" w:cs="Times New Roman"/>
        <w:color w:val="auto"/>
        <w:sz w:val="21"/>
        <w:lang w:val="en-US"/>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C6607F19"/>
    <w:multiLevelType w:val="singleLevel"/>
    <w:tmpl w:val="C6607F19"/>
    <w:lvl w:ilvl="0" w:tentative="0">
      <w:start w:val="1"/>
      <w:numFmt w:val="decimal"/>
      <w:suff w:val="nothing"/>
      <w:lvlText w:val="%1、"/>
      <w:lvlJc w:val="left"/>
    </w:lvl>
  </w:abstractNum>
  <w:abstractNum w:abstractNumId="6">
    <w:nsid w:val="DB6A8EA1"/>
    <w:multiLevelType w:val="singleLevel"/>
    <w:tmpl w:val="DB6A8EA1"/>
    <w:lvl w:ilvl="0" w:tentative="0">
      <w:start w:val="1"/>
      <w:numFmt w:val="decimal"/>
      <w:suff w:val="space"/>
      <w:lvlText w:val="%1."/>
      <w:lvlJc w:val="left"/>
    </w:lvl>
  </w:abstractNum>
  <w:abstractNum w:abstractNumId="7">
    <w:nsid w:val="E4BBD852"/>
    <w:multiLevelType w:val="singleLevel"/>
    <w:tmpl w:val="E4BBD852"/>
    <w:lvl w:ilvl="0" w:tentative="0">
      <w:start w:val="1"/>
      <w:numFmt w:val="decimal"/>
      <w:lvlText w:val="%1."/>
      <w:lvlJc w:val="left"/>
      <w:pPr>
        <w:tabs>
          <w:tab w:val="left" w:pos="312"/>
        </w:tabs>
      </w:pPr>
    </w:lvl>
  </w:abstractNum>
  <w:abstractNum w:abstractNumId="8">
    <w:nsid w:val="EA48FFAD"/>
    <w:multiLevelType w:val="singleLevel"/>
    <w:tmpl w:val="EA48FFAD"/>
    <w:lvl w:ilvl="0" w:tentative="0">
      <w:start w:val="1"/>
      <w:numFmt w:val="decimal"/>
      <w:lvlText w:val="(%1)"/>
      <w:lvlJc w:val="left"/>
      <w:pPr>
        <w:ind w:left="425" w:hanging="425"/>
      </w:pPr>
      <w:rPr>
        <w:rFonts w:hint="default"/>
      </w:rPr>
    </w:lvl>
  </w:abstractNum>
  <w:abstractNum w:abstractNumId="9">
    <w:nsid w:val="FC8332B9"/>
    <w:multiLevelType w:val="singleLevel"/>
    <w:tmpl w:val="FC8332B9"/>
    <w:lvl w:ilvl="0" w:tentative="0">
      <w:start w:val="1"/>
      <w:numFmt w:val="decimal"/>
      <w:suff w:val="nothing"/>
      <w:lvlText w:val="（%1）"/>
      <w:lvlJc w:val="left"/>
    </w:lvl>
  </w:abstractNum>
  <w:abstractNum w:abstractNumId="10">
    <w:nsid w:val="00000015"/>
    <w:multiLevelType w:val="singleLevel"/>
    <w:tmpl w:val="00000015"/>
    <w:lvl w:ilvl="0" w:tentative="0">
      <w:start w:val="1"/>
      <w:numFmt w:val="decimal"/>
      <w:lvlText w:val="（%1）"/>
      <w:lvlJc w:val="left"/>
      <w:pPr>
        <w:ind w:left="420" w:hanging="420"/>
      </w:pPr>
      <w:rPr>
        <w:rFonts w:hint="eastAsia"/>
        <w:color w:val="auto"/>
        <w:lang w:val="en-US"/>
      </w:rPr>
    </w:lvl>
  </w:abstractNum>
  <w:abstractNum w:abstractNumId="11">
    <w:nsid w:val="00000019"/>
    <w:multiLevelType w:val="multilevel"/>
    <w:tmpl w:val="0000001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0000001A"/>
    <w:multiLevelType w:val="multilevel"/>
    <w:tmpl w:val="0000001A"/>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000001C"/>
    <w:multiLevelType w:val="multilevel"/>
    <w:tmpl w:val="0000001C"/>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E"/>
    <w:multiLevelType w:val="multilevel"/>
    <w:tmpl w:val="0000001E"/>
    <w:lvl w:ilvl="0" w:tentative="0">
      <w:start w:val="1"/>
      <w:numFmt w:val="decimal"/>
      <w:lvlText w:val="（%1）"/>
      <w:lvlJc w:val="left"/>
      <w:pPr>
        <w:ind w:left="1560" w:hanging="720"/>
      </w:pPr>
      <w:rPr>
        <w:rFonts w:hint="default" w:cs="Times New Roman"/>
        <w:color w:val="auto"/>
        <w:sz w:val="21"/>
      </w:rPr>
    </w:lvl>
    <w:lvl w:ilvl="1" w:tentative="0">
      <w:start w:val="1"/>
      <w:numFmt w:val="decimal"/>
      <w:lvlText w:val="2.%2"/>
      <w:lvlJc w:val="left"/>
      <w:pPr>
        <w:ind w:left="1620" w:hanging="360"/>
      </w:pPr>
      <w:rPr>
        <w:rFonts w:hint="eastAsia" w:cs="Times New Roman"/>
        <w:color w:val="auto"/>
      </w:rPr>
    </w:lvl>
    <w:lvl w:ilvl="2" w:tentative="0">
      <w:start w:val="1"/>
      <w:numFmt w:val="decimalEnclosedCircle"/>
      <w:lvlText w:val="%3"/>
      <w:lvlJc w:val="left"/>
      <w:pPr>
        <w:ind w:left="2085" w:hanging="405"/>
      </w:pPr>
      <w:rPr>
        <w:rFonts w:hint="default" w:hAnsi="宋体"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5">
    <w:nsid w:val="0F1A6F35"/>
    <w:multiLevelType w:val="singleLevel"/>
    <w:tmpl w:val="0F1A6F35"/>
    <w:lvl w:ilvl="0" w:tentative="0">
      <w:start w:val="1"/>
      <w:numFmt w:val="decimal"/>
      <w:suff w:val="nothing"/>
      <w:lvlText w:val="（%1）"/>
      <w:lvlJc w:val="left"/>
    </w:lvl>
  </w:abstractNum>
  <w:abstractNum w:abstractNumId="16">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17">
    <w:nsid w:val="35223091"/>
    <w:multiLevelType w:val="singleLevel"/>
    <w:tmpl w:val="35223091"/>
    <w:lvl w:ilvl="0" w:tentative="0">
      <w:start w:val="1"/>
      <w:numFmt w:val="decimal"/>
      <w:lvlText w:val="(%1)"/>
      <w:lvlJc w:val="left"/>
      <w:pPr>
        <w:ind w:left="425" w:hanging="425"/>
      </w:pPr>
      <w:rPr>
        <w:rFonts w:hint="default"/>
      </w:rPr>
    </w:lvl>
  </w:abstractNum>
  <w:abstractNum w:abstractNumId="18">
    <w:nsid w:val="3E0A99FA"/>
    <w:multiLevelType w:val="multilevel"/>
    <w:tmpl w:val="3E0A99FA"/>
    <w:lvl w:ilvl="0" w:tentative="0">
      <w:start w:val="1"/>
      <w:numFmt w:val="decimal"/>
      <w:suff w:val="nothing"/>
      <w:lvlText w:val="（%1）"/>
      <w:lvlJc w:val="left"/>
      <w:pPr>
        <w:tabs>
          <w:tab w:val="left" w:pos="420"/>
        </w:tabs>
        <w:ind w:left="1260"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19">
    <w:nsid w:val="4F50C2A5"/>
    <w:multiLevelType w:val="singleLevel"/>
    <w:tmpl w:val="4F50C2A5"/>
    <w:lvl w:ilvl="0" w:tentative="0">
      <w:start w:val="1"/>
      <w:numFmt w:val="decimal"/>
      <w:suff w:val="space"/>
      <w:lvlText w:val="%1."/>
      <w:lvlJc w:val="left"/>
    </w:lvl>
  </w:abstractNum>
  <w:abstractNum w:abstractNumId="20">
    <w:nsid w:val="557FD3DA"/>
    <w:multiLevelType w:val="singleLevel"/>
    <w:tmpl w:val="557FD3DA"/>
    <w:lvl w:ilvl="0" w:tentative="0">
      <w:start w:val="3"/>
      <w:numFmt w:val="chineseCounting"/>
      <w:suff w:val="nothing"/>
      <w:lvlText w:val="%1、"/>
      <w:lvlJc w:val="left"/>
    </w:lvl>
  </w:abstractNum>
  <w:abstractNum w:abstractNumId="21">
    <w:nsid w:val="593C976F"/>
    <w:multiLevelType w:val="singleLevel"/>
    <w:tmpl w:val="593C976F"/>
    <w:lvl w:ilvl="0" w:tentative="0">
      <w:start w:val="1"/>
      <w:numFmt w:val="chineseCounting"/>
      <w:suff w:val="nothing"/>
      <w:lvlText w:val="（%1）"/>
      <w:lvlJc w:val="left"/>
    </w:lvl>
  </w:abstractNum>
  <w:abstractNum w:abstractNumId="22">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23">
    <w:nsid w:val="653B3AB0"/>
    <w:multiLevelType w:val="singleLevel"/>
    <w:tmpl w:val="653B3AB0"/>
    <w:lvl w:ilvl="0" w:tentative="0">
      <w:start w:val="3"/>
      <w:numFmt w:val="decimal"/>
      <w:suff w:val="nothing"/>
      <w:lvlText w:val="%1、"/>
      <w:lvlJc w:val="left"/>
    </w:lvl>
  </w:abstractNum>
  <w:abstractNum w:abstractNumId="24">
    <w:nsid w:val="6BE89767"/>
    <w:multiLevelType w:val="singleLevel"/>
    <w:tmpl w:val="6BE89767"/>
    <w:lvl w:ilvl="0" w:tentative="0">
      <w:start w:val="1"/>
      <w:numFmt w:val="decimal"/>
      <w:suff w:val="space"/>
      <w:lvlText w:val="%1）"/>
      <w:lvlJc w:val="left"/>
    </w:lvl>
  </w:abstractNum>
  <w:abstractNum w:abstractNumId="25">
    <w:nsid w:val="792E58DD"/>
    <w:multiLevelType w:val="multilevel"/>
    <w:tmpl w:val="792E58D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6">
    <w:nsid w:val="7D0529F4"/>
    <w:multiLevelType w:val="singleLevel"/>
    <w:tmpl w:val="7D0529F4"/>
    <w:lvl w:ilvl="0" w:tentative="0">
      <w:start w:val="1"/>
      <w:numFmt w:val="decimal"/>
      <w:lvlText w:val="%1."/>
      <w:lvlJc w:val="left"/>
      <w:pPr>
        <w:tabs>
          <w:tab w:val="left" w:pos="454"/>
        </w:tabs>
        <w:ind w:left="454" w:hanging="454"/>
      </w:pPr>
      <w:rPr>
        <w:rFonts w:hint="default"/>
      </w:rPr>
    </w:lvl>
  </w:abstractNum>
  <w:num w:numId="1">
    <w:abstractNumId w:val="25"/>
  </w:num>
  <w:num w:numId="2">
    <w:abstractNumId w:val="26"/>
  </w:num>
  <w:num w:numId="3">
    <w:abstractNumId w:val="15"/>
  </w:num>
  <w:num w:numId="4">
    <w:abstractNumId w:val="2"/>
  </w:num>
  <w:num w:numId="5">
    <w:abstractNumId w:val="7"/>
  </w:num>
  <w:num w:numId="6">
    <w:abstractNumId w:val="9"/>
  </w:num>
  <w:num w:numId="7">
    <w:abstractNumId w:val="16"/>
  </w:num>
  <w:num w:numId="8">
    <w:abstractNumId w:val="19"/>
  </w:num>
  <w:num w:numId="9">
    <w:abstractNumId w:val="6"/>
  </w:num>
  <w:num w:numId="10">
    <w:abstractNumId w:val="20"/>
  </w:num>
  <w:num w:numId="11">
    <w:abstractNumId w:val="11"/>
  </w:num>
  <w:num w:numId="12">
    <w:abstractNumId w:val="8"/>
  </w:num>
  <w:num w:numId="13">
    <w:abstractNumId w:val="24"/>
  </w:num>
  <w:num w:numId="14">
    <w:abstractNumId w:val="3"/>
  </w:num>
  <w:num w:numId="15">
    <w:abstractNumId w:val="18"/>
  </w:num>
  <w:num w:numId="16">
    <w:abstractNumId w:val="1"/>
  </w:num>
  <w:num w:numId="17">
    <w:abstractNumId w:val="12"/>
  </w:num>
  <w:num w:numId="18">
    <w:abstractNumId w:val="4"/>
  </w:num>
  <w:num w:numId="19">
    <w:abstractNumId w:val="17"/>
  </w:num>
  <w:num w:numId="20">
    <w:abstractNumId w:val="10"/>
  </w:num>
  <w:num w:numId="21">
    <w:abstractNumId w:val="23"/>
  </w:num>
  <w:num w:numId="22">
    <w:abstractNumId w:val="5"/>
  </w:num>
  <w:num w:numId="23">
    <w:abstractNumId w:val="13"/>
  </w:num>
  <w:num w:numId="24">
    <w:abstractNumId w:val="0"/>
  </w:num>
  <w:num w:numId="25">
    <w:abstractNumId w:val="21"/>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zUyYjI4ZWJhMTZhNzAxMTBmMjE4NWU5OGQ5ZjQifQ=="/>
  </w:docVars>
  <w:rsids>
    <w:rsidRoot w:val="00172A27"/>
    <w:rsid w:val="00090BCD"/>
    <w:rsid w:val="000A3650"/>
    <w:rsid w:val="00172A27"/>
    <w:rsid w:val="00300696"/>
    <w:rsid w:val="003A4BFF"/>
    <w:rsid w:val="0044359B"/>
    <w:rsid w:val="004A2937"/>
    <w:rsid w:val="004A7BA3"/>
    <w:rsid w:val="004F5025"/>
    <w:rsid w:val="0050194F"/>
    <w:rsid w:val="00684AC0"/>
    <w:rsid w:val="006C67E0"/>
    <w:rsid w:val="006E36D2"/>
    <w:rsid w:val="006E7126"/>
    <w:rsid w:val="006F08CC"/>
    <w:rsid w:val="007008FB"/>
    <w:rsid w:val="00747160"/>
    <w:rsid w:val="007E3B23"/>
    <w:rsid w:val="00841983"/>
    <w:rsid w:val="008603C8"/>
    <w:rsid w:val="008F595A"/>
    <w:rsid w:val="009100CC"/>
    <w:rsid w:val="0099239F"/>
    <w:rsid w:val="009C103A"/>
    <w:rsid w:val="00B35908"/>
    <w:rsid w:val="00B90914"/>
    <w:rsid w:val="00C77216"/>
    <w:rsid w:val="00D03EF6"/>
    <w:rsid w:val="00D71C4D"/>
    <w:rsid w:val="00E10DF8"/>
    <w:rsid w:val="00E15B04"/>
    <w:rsid w:val="00E2661F"/>
    <w:rsid w:val="00E31922"/>
    <w:rsid w:val="00E66034"/>
    <w:rsid w:val="00EE5A38"/>
    <w:rsid w:val="00F97B73"/>
    <w:rsid w:val="00FC648B"/>
    <w:rsid w:val="013E61E2"/>
    <w:rsid w:val="022F3B03"/>
    <w:rsid w:val="04765173"/>
    <w:rsid w:val="04AA4AF1"/>
    <w:rsid w:val="04E07664"/>
    <w:rsid w:val="069C0DFA"/>
    <w:rsid w:val="082816B3"/>
    <w:rsid w:val="0B386398"/>
    <w:rsid w:val="0B415BB4"/>
    <w:rsid w:val="0C02402F"/>
    <w:rsid w:val="0CDF1CB3"/>
    <w:rsid w:val="0D9E55CB"/>
    <w:rsid w:val="10E970A6"/>
    <w:rsid w:val="1297040D"/>
    <w:rsid w:val="16BA3C04"/>
    <w:rsid w:val="176B0F38"/>
    <w:rsid w:val="188E2F11"/>
    <w:rsid w:val="197F4F5D"/>
    <w:rsid w:val="198F4CE6"/>
    <w:rsid w:val="19C50E3F"/>
    <w:rsid w:val="1CFD0161"/>
    <w:rsid w:val="1D7F0830"/>
    <w:rsid w:val="1E674A6D"/>
    <w:rsid w:val="206C2914"/>
    <w:rsid w:val="22361F36"/>
    <w:rsid w:val="230E4364"/>
    <w:rsid w:val="24CC1BD3"/>
    <w:rsid w:val="28CB21A2"/>
    <w:rsid w:val="2A3872AD"/>
    <w:rsid w:val="2B8F395A"/>
    <w:rsid w:val="2C1D57E6"/>
    <w:rsid w:val="2F44472E"/>
    <w:rsid w:val="30411220"/>
    <w:rsid w:val="31B61E9D"/>
    <w:rsid w:val="343926B5"/>
    <w:rsid w:val="39703384"/>
    <w:rsid w:val="39990705"/>
    <w:rsid w:val="3A1403A5"/>
    <w:rsid w:val="3BB21680"/>
    <w:rsid w:val="3BD755BE"/>
    <w:rsid w:val="3D2C725B"/>
    <w:rsid w:val="3EDC080D"/>
    <w:rsid w:val="40B37547"/>
    <w:rsid w:val="42C1492C"/>
    <w:rsid w:val="42D62822"/>
    <w:rsid w:val="43534AF9"/>
    <w:rsid w:val="4404518E"/>
    <w:rsid w:val="44C87556"/>
    <w:rsid w:val="452A0524"/>
    <w:rsid w:val="453E38A7"/>
    <w:rsid w:val="4546791A"/>
    <w:rsid w:val="47974345"/>
    <w:rsid w:val="48622265"/>
    <w:rsid w:val="4AA3150B"/>
    <w:rsid w:val="4AB15257"/>
    <w:rsid w:val="4AC434C7"/>
    <w:rsid w:val="4BCE1232"/>
    <w:rsid w:val="4BEA0061"/>
    <w:rsid w:val="4CF855F2"/>
    <w:rsid w:val="4D834C75"/>
    <w:rsid w:val="4D9A3B1E"/>
    <w:rsid w:val="4E80023A"/>
    <w:rsid w:val="4F400944"/>
    <w:rsid w:val="51C23892"/>
    <w:rsid w:val="528374C6"/>
    <w:rsid w:val="5A7574F1"/>
    <w:rsid w:val="5C1F347B"/>
    <w:rsid w:val="5E6321BE"/>
    <w:rsid w:val="5EB11275"/>
    <w:rsid w:val="5FC217B7"/>
    <w:rsid w:val="60313F38"/>
    <w:rsid w:val="61894C17"/>
    <w:rsid w:val="641A6D21"/>
    <w:rsid w:val="65F8267E"/>
    <w:rsid w:val="662717F2"/>
    <w:rsid w:val="67495959"/>
    <w:rsid w:val="680E630A"/>
    <w:rsid w:val="688F2A8A"/>
    <w:rsid w:val="690C1867"/>
    <w:rsid w:val="69491809"/>
    <w:rsid w:val="6C5145B9"/>
    <w:rsid w:val="6D465A44"/>
    <w:rsid w:val="6DA00081"/>
    <w:rsid w:val="6E041BA0"/>
    <w:rsid w:val="6FAA51AD"/>
    <w:rsid w:val="6FFB6495"/>
    <w:rsid w:val="7338355D"/>
    <w:rsid w:val="752C70F1"/>
    <w:rsid w:val="76800D71"/>
    <w:rsid w:val="76AD0257"/>
    <w:rsid w:val="76DD04FB"/>
    <w:rsid w:val="79671CDC"/>
    <w:rsid w:val="7ABA4FC4"/>
    <w:rsid w:val="7B352F27"/>
    <w:rsid w:val="7BDD3DB5"/>
    <w:rsid w:val="7CC540B3"/>
    <w:rsid w:val="7DCE63F6"/>
    <w:rsid w:val="7ED7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Next/>
      <w:keepLines/>
      <w:tabs>
        <w:tab w:val="left" w:pos="840"/>
      </w:tabs>
      <w:adjustRightInd w:val="0"/>
      <w:snapToGrid w:val="0"/>
      <w:spacing w:line="360" w:lineRule="auto"/>
      <w:outlineLvl w:val="0"/>
    </w:pPr>
    <w:rPr>
      <w:rFonts w:ascii="宋体"/>
      <w:b/>
      <w:kern w:val="44"/>
      <w:sz w:val="24"/>
    </w:rPr>
  </w:style>
  <w:style w:type="paragraph" w:styleId="5">
    <w:name w:val="heading 2"/>
    <w:basedOn w:val="1"/>
    <w:next w:val="1"/>
    <w:qFormat/>
    <w:uiPriority w:val="9"/>
    <w:pPr>
      <w:keepNext/>
      <w:keepLines/>
      <w:tabs>
        <w:tab w:val="left" w:pos="840"/>
      </w:tabs>
      <w:spacing w:before="260" w:after="260" w:line="416" w:lineRule="auto"/>
      <w:outlineLvl w:val="1"/>
    </w:pPr>
    <w:rPr>
      <w:rFonts w:ascii="Cambria" w:hAnsi="Cambria"/>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numPr>
        <w:ilvl w:val="3"/>
        <w:numId w:val="1"/>
      </w:numPr>
      <w:autoSpaceDE w:val="0"/>
      <w:autoSpaceDN w:val="0"/>
      <w:adjustRightInd w:val="0"/>
      <w:snapToGrid w:val="0"/>
      <w:spacing w:line="360" w:lineRule="auto"/>
      <w:outlineLvl w:val="3"/>
    </w:pPr>
    <w:rPr>
      <w:rFonts w:ascii="宋体" w:hAnsi="Arial"/>
      <w:color w:val="000000"/>
      <w:sz w:val="20"/>
    </w:rPr>
  </w:style>
  <w:style w:type="paragraph" w:styleId="8">
    <w:name w:val="heading 6"/>
    <w:basedOn w:val="1"/>
    <w:next w:val="1"/>
    <w:qFormat/>
    <w:uiPriority w:val="0"/>
    <w:pPr>
      <w:keepNext/>
      <w:keepLines/>
      <w:tabs>
        <w:tab w:val="left" w:pos="1152"/>
      </w:tabs>
      <w:spacing w:before="240" w:after="64" w:line="320" w:lineRule="auto"/>
      <w:ind w:left="425" w:hanging="425"/>
      <w:outlineLvl w:val="5"/>
    </w:pPr>
    <w:rPr>
      <w:rFonts w:ascii="Arial" w:hAnsi="Arial" w:eastAsia="黑体"/>
      <w:b/>
      <w:bCs/>
      <w:spacing w:val="6"/>
      <w:sz w:val="24"/>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4">
    <w:name w:val="Normal Indent"/>
    <w:basedOn w:val="1"/>
    <w:next w:val="1"/>
    <w:qFormat/>
    <w:uiPriority w:val="0"/>
    <w:pPr>
      <w:ind w:firstLine="420"/>
    </w:pPr>
    <w:rPr>
      <w:sz w:val="20"/>
    </w:rPr>
  </w:style>
  <w:style w:type="paragraph" w:styleId="9">
    <w:name w:val="Body Text"/>
    <w:basedOn w:val="1"/>
    <w:next w:val="10"/>
    <w:qFormat/>
    <w:uiPriority w:val="0"/>
    <w:pPr>
      <w:spacing w:line="360" w:lineRule="auto"/>
    </w:pPr>
    <w:rPr>
      <w:rFonts w:ascii="楷体_GB2312" w:eastAsia="楷体_GB2312"/>
      <w:sz w:val="32"/>
    </w:rPr>
  </w:style>
  <w:style w:type="paragraph" w:styleId="10">
    <w:name w:val="Body Text First Indent"/>
    <w:basedOn w:val="9"/>
    <w:next w:val="1"/>
    <w:qFormat/>
    <w:uiPriority w:val="99"/>
    <w:pPr>
      <w:tabs>
        <w:tab w:val="left" w:pos="482"/>
        <w:tab w:val="left" w:pos="2183"/>
        <w:tab w:val="left" w:pos="3884"/>
        <w:tab w:val="left" w:pos="5585"/>
      </w:tabs>
      <w:adjustRightInd w:val="0"/>
      <w:ind w:firstLine="482"/>
      <w:textAlignment w:val="baseline"/>
    </w:pPr>
    <w:rPr>
      <w:sz w:val="24"/>
    </w:rPr>
  </w:style>
  <w:style w:type="paragraph" w:styleId="11">
    <w:name w:val="List 2"/>
    <w:basedOn w:val="1"/>
    <w:qFormat/>
    <w:uiPriority w:val="0"/>
    <w:pPr>
      <w:ind w:left="100" w:leftChars="200" w:hanging="200" w:hangingChars="200"/>
    </w:pPr>
    <w:rPr>
      <w:rFonts w:ascii="Calibri" w:hAnsi="Calibri"/>
      <w:szCs w:val="22"/>
    </w:rPr>
  </w:style>
  <w:style w:type="paragraph" w:styleId="12">
    <w:name w:val="toc 3"/>
    <w:basedOn w:val="1"/>
    <w:next w:val="1"/>
    <w:qFormat/>
    <w:uiPriority w:val="0"/>
    <w:pPr>
      <w:ind w:left="840" w:leftChars="400"/>
    </w:pPr>
  </w:style>
  <w:style w:type="paragraph" w:styleId="13">
    <w:name w:val="Plain Text"/>
    <w:basedOn w:val="1"/>
    <w:next w:val="14"/>
    <w:qFormat/>
    <w:uiPriority w:val="99"/>
    <w:rPr>
      <w:rFonts w:ascii="宋体" w:hAnsi="Courier New"/>
      <w:szCs w:val="22"/>
    </w:rPr>
  </w:style>
  <w:style w:type="paragraph" w:styleId="14">
    <w:name w:val="toc 2"/>
    <w:basedOn w:val="1"/>
    <w:next w:val="1"/>
    <w:qFormat/>
    <w:uiPriority w:val="0"/>
    <w:pPr>
      <w:ind w:left="420" w:leftChars="200"/>
    </w:pPr>
  </w:style>
  <w:style w:type="paragraph" w:styleId="15">
    <w:name w:val="Balloon Text"/>
    <w:basedOn w:val="1"/>
    <w:link w:val="3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right" w:leader="middleDot" w:pos="8948"/>
      </w:tabs>
    </w:pPr>
    <w:rPr>
      <w:rFonts w:ascii="宋体" w:hAnsi="宋体"/>
      <w:b/>
      <w:bCs/>
      <w:caps/>
      <w:szCs w:val="21"/>
    </w:rPr>
  </w:style>
  <w:style w:type="paragraph" w:styleId="19">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0">
    <w:name w:val="Normal (Web)"/>
    <w:basedOn w:val="1"/>
    <w:qFormat/>
    <w:uiPriority w:val="0"/>
    <w:pPr>
      <w:spacing w:before="100" w:beforeAutospacing="1" w:after="100" w:afterAutospacing="1"/>
    </w:pPr>
    <w:rPr>
      <w:rFonts w:ascii="Arial Unicode MS" w:hAnsi="Arial Unicode MS" w:eastAsia="Times New Roman"/>
      <w:color w:val="000000"/>
      <w:sz w:val="24"/>
    </w:rPr>
  </w:style>
  <w:style w:type="paragraph" w:styleId="21">
    <w:name w:val="Body Text First Indent 2"/>
    <w:basedOn w:val="2"/>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qFormat/>
    <w:uiPriority w:val="99"/>
    <w:rPr>
      <w:rFonts w:hint="eastAsia" w:ascii="宋体" w:hAnsi="宋体" w:eastAsia="宋体" w:cs="宋体"/>
      <w:color w:val="000000"/>
      <w:sz w:val="18"/>
      <w:szCs w:val="18"/>
      <w:u w:val="none"/>
    </w:rPr>
  </w:style>
  <w:style w:type="paragraph" w:customStyle="1" w:styleId="27">
    <w:name w:val="表格文字"/>
    <w:basedOn w:val="13"/>
    <w:next w:val="9"/>
    <w:qFormat/>
    <w:uiPriority w:val="0"/>
    <w:pPr>
      <w:adjustRightInd w:val="0"/>
      <w:spacing w:line="420" w:lineRule="atLeast"/>
      <w:textAlignment w:val="baseline"/>
    </w:pPr>
  </w:style>
  <w:style w:type="paragraph" w:customStyle="1" w:styleId="28">
    <w:name w:val="列出段落1"/>
    <w:basedOn w:val="1"/>
    <w:qFormat/>
    <w:uiPriority w:val="0"/>
    <w:pPr>
      <w:ind w:firstLine="420" w:firstLineChars="200"/>
    </w:pPr>
  </w:style>
  <w:style w:type="character" w:customStyle="1" w:styleId="29">
    <w:name w:val="op-map-singlepoint-info-right1"/>
    <w:basedOn w:val="24"/>
    <w:qFormat/>
    <w:uiPriority w:val="0"/>
  </w:style>
  <w:style w:type="character" w:customStyle="1" w:styleId="30">
    <w:name w:val="NormalCharacter"/>
    <w:qFormat/>
    <w:uiPriority w:val="0"/>
  </w:style>
  <w:style w:type="paragraph" w:customStyle="1" w:styleId="31">
    <w:name w:val="纯文本1"/>
    <w:basedOn w:val="32"/>
    <w:qFormat/>
    <w:uiPriority w:val="0"/>
    <w:pPr>
      <w:widowControl/>
      <w:jc w:val="left"/>
    </w:pPr>
    <w:rPr>
      <w:rFonts w:ascii="宋体" w:hAnsi="Courier New"/>
    </w:rPr>
  </w:style>
  <w:style w:type="paragraph" w:customStyle="1" w:styleId="32">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
    <w:name w:val="中等深浅网格 1 - 强调文字颜色 21"/>
    <w:basedOn w:val="1"/>
    <w:qFormat/>
    <w:uiPriority w:val="34"/>
    <w:pPr>
      <w:ind w:firstLine="420" w:firstLineChars="200"/>
    </w:pPr>
  </w:style>
  <w:style w:type="paragraph" w:customStyle="1" w:styleId="34">
    <w:name w:val="l正文"/>
    <w:basedOn w:val="1"/>
    <w:qFormat/>
    <w:uiPriority w:val="0"/>
    <w:pPr>
      <w:spacing w:line="300" w:lineRule="auto"/>
      <w:ind w:firstLine="200" w:firstLineChars="200"/>
    </w:pPr>
    <w:rPr>
      <w:rFonts w:ascii="楷体_GB2312" w:hAnsi="Times" w:eastAsia="楷体_GB2312" w:cs="等线"/>
      <w:sz w:val="24"/>
    </w:rPr>
  </w:style>
  <w:style w:type="paragraph" w:customStyle="1" w:styleId="35">
    <w:name w:val="正文11"/>
    <w:next w:val="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6">
    <w:name w:val="批注框文本 Char"/>
    <w:basedOn w:val="24"/>
    <w:link w:val="15"/>
    <w:qFormat/>
    <w:uiPriority w:val="0"/>
    <w:rPr>
      <w:kern w:val="2"/>
      <w:sz w:val="18"/>
      <w:szCs w:val="18"/>
    </w:rPr>
  </w:style>
  <w:style w:type="paragraph" w:styleId="37">
    <w:name w:val="List Paragraph"/>
    <w:basedOn w:val="1"/>
    <w:unhideWhenUsed/>
    <w:qFormat/>
    <w:uiPriority w:val="99"/>
    <w:pPr>
      <w:ind w:firstLine="420" w:firstLineChars="200"/>
    </w:pPr>
  </w:style>
  <w:style w:type="character" w:customStyle="1" w:styleId="38">
    <w:name w:val="font21"/>
    <w:basedOn w:val="24"/>
    <w:qFormat/>
    <w:uiPriority w:val="0"/>
    <w:rPr>
      <w:rFonts w:hint="eastAsia" w:ascii="宋体" w:hAnsi="宋体" w:eastAsia="宋体" w:cs="宋体"/>
      <w:color w:val="000000"/>
      <w:sz w:val="20"/>
      <w:szCs w:val="20"/>
      <w:u w:val="none"/>
    </w:rPr>
  </w:style>
  <w:style w:type="character" w:customStyle="1" w:styleId="39">
    <w:name w:val="font01"/>
    <w:basedOn w:val="24"/>
    <w:qFormat/>
    <w:uiPriority w:val="0"/>
    <w:rPr>
      <w:rFonts w:hint="eastAsia" w:ascii="宋体" w:hAnsi="宋体" w:eastAsia="宋体" w:cs="宋体"/>
      <w:b/>
      <w:bCs/>
      <w:color w:val="000000"/>
      <w:sz w:val="20"/>
      <w:szCs w:val="20"/>
      <w:u w:val="none"/>
    </w:rPr>
  </w:style>
  <w:style w:type="character" w:customStyle="1" w:styleId="40">
    <w:name w:val="font11"/>
    <w:basedOn w:val="24"/>
    <w:qFormat/>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100</Pages>
  <Words>50837</Words>
  <Characters>56189</Characters>
  <Lines>371</Lines>
  <Paragraphs>104</Paragraphs>
  <TotalTime>0</TotalTime>
  <ScaleCrop>false</ScaleCrop>
  <LinksUpToDate>false</LinksUpToDate>
  <CharactersWithSpaces>63254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2023-03-08T02:59:00Z</dcterms:created>
  <dc:creator>天下为攻</dc:creator>
  <cp:lastModifiedBy>天下为攻</cp:lastModifiedBy>
  <dcterms:modified xsi:type="dcterms:W3CDTF">2023-07-06T03:30:16Z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9F5F350D22DB4B9E9CE5049CC16A7556</vt:lpwstr>
  </property>
</Properties>
</file>