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52"/>
          <w:szCs w:val="52"/>
        </w:rPr>
      </w:pPr>
      <w:bookmarkStart w:id="0" w:name="_Toc2776"/>
      <w:bookmarkStart w:id="1" w:name="_Toc19157"/>
    </w:p>
    <w:bookmarkEnd w:id="0"/>
    <w:bookmarkEnd w:id="1"/>
    <w:p>
      <w:pPr>
        <w:jc w:val="center"/>
        <w:rPr>
          <w:rFonts w:hint="eastAsia" w:eastAsiaTheme="minorEastAsia"/>
          <w:lang w:eastAsia="zh-CN"/>
        </w:rPr>
      </w:pPr>
      <w:r>
        <w:rPr>
          <w:rFonts w:hint="eastAsia" w:eastAsiaTheme="minorEastAsia"/>
          <w:b/>
          <w:bCs/>
          <w:sz w:val="52"/>
          <w:szCs w:val="52"/>
          <w:lang w:eastAsia="zh-CN"/>
        </w:rPr>
        <w:t>瑞安市汀田街道2023-2024年违章拆除及环境整治服务</w:t>
      </w:r>
    </w:p>
    <w:p>
      <w:pPr>
        <w:rPr>
          <w:rFonts w:hint="default"/>
        </w:rPr>
      </w:pPr>
    </w:p>
    <w:p>
      <w:pPr>
        <w:rPr>
          <w:rFonts w:hint="default"/>
        </w:rPr>
      </w:pPr>
    </w:p>
    <w:p>
      <w:pPr>
        <w:rPr>
          <w:rFonts w:hint="default"/>
        </w:rPr>
      </w:pPr>
    </w:p>
    <w:p>
      <w:pPr>
        <w:rPr>
          <w:rFonts w:hint="default"/>
        </w:rPr>
      </w:pPr>
    </w:p>
    <w:p>
      <w:pPr>
        <w:pStyle w:val="2"/>
        <w:rPr>
          <w:rFonts w:hint="default"/>
        </w:rPr>
      </w:pPr>
    </w:p>
    <w:p>
      <w:pPr>
        <w:rPr>
          <w:rFonts w:hint="default"/>
        </w:rPr>
      </w:pPr>
    </w:p>
    <w:p>
      <w:pPr>
        <w:rPr>
          <w:rFonts w:hint="default"/>
        </w:rPr>
      </w:pPr>
    </w:p>
    <w:p>
      <w:pPr>
        <w:rPr>
          <w:rFonts w:hint="default"/>
        </w:rPr>
      </w:pPr>
    </w:p>
    <w:p>
      <w:pPr>
        <w:jc w:val="center"/>
        <w:rPr>
          <w:rFonts w:hint="default" w:ascii="宋体" w:hAnsi="宋体" w:cs="宋体"/>
          <w:b/>
          <w:bCs/>
          <w:sz w:val="72"/>
        </w:rPr>
      </w:pPr>
      <w:r>
        <w:rPr>
          <w:rFonts w:ascii="宋体" w:hAnsi="宋体" w:cs="宋体"/>
          <w:b/>
          <w:bCs/>
          <w:sz w:val="72"/>
        </w:rPr>
        <w:t>磋 商 文 件</w:t>
      </w:r>
    </w:p>
    <w:p>
      <w:pPr>
        <w:jc w:val="center"/>
        <w:rPr>
          <w:rFonts w:hint="default"/>
        </w:rPr>
      </w:pPr>
      <w:r>
        <w:rPr>
          <w:rFonts w:ascii="宋体" w:hAnsi="宋体" w:cs="宋体"/>
          <w:b/>
          <w:bCs/>
          <w:sz w:val="36"/>
          <w:szCs w:val="36"/>
        </w:rPr>
        <w:t>（线上电子招投标）</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spacing w:line="360" w:lineRule="auto"/>
        <w:ind w:firstLine="640" w:firstLineChars="200"/>
        <w:rPr>
          <w:rFonts w:hint="default"/>
          <w:sz w:val="32"/>
          <w:szCs w:val="40"/>
        </w:rPr>
      </w:pPr>
      <w:r>
        <w:rPr>
          <w:sz w:val="32"/>
          <w:szCs w:val="40"/>
        </w:rPr>
        <w:t>项 目  编 号：</w:t>
      </w:r>
      <w:r>
        <w:rPr>
          <w:rFonts w:hint="eastAsia"/>
          <w:sz w:val="32"/>
          <w:szCs w:val="40"/>
          <w:lang w:eastAsia="zh-CN"/>
        </w:rPr>
        <w:t>zjzs20230808</w:t>
      </w:r>
      <w:r>
        <w:rPr>
          <w:sz w:val="32"/>
          <w:szCs w:val="40"/>
        </w:rPr>
        <w:t xml:space="preserve"> </w:t>
      </w:r>
    </w:p>
    <w:p>
      <w:pPr>
        <w:spacing w:line="360" w:lineRule="auto"/>
        <w:ind w:firstLine="640" w:firstLineChars="200"/>
        <w:rPr>
          <w:rFonts w:hint="default"/>
          <w:sz w:val="32"/>
          <w:szCs w:val="40"/>
        </w:rPr>
      </w:pPr>
      <w:r>
        <w:rPr>
          <w:sz w:val="32"/>
          <w:szCs w:val="40"/>
        </w:rPr>
        <w:t>采 购  方 式：竞争性磋商</w:t>
      </w:r>
    </w:p>
    <w:p>
      <w:pPr>
        <w:spacing w:line="360" w:lineRule="auto"/>
        <w:ind w:firstLine="640" w:firstLineChars="200"/>
        <w:rPr>
          <w:rFonts w:hint="eastAsia" w:eastAsia="宋体"/>
          <w:sz w:val="32"/>
          <w:szCs w:val="40"/>
          <w:lang w:eastAsia="zh-CN"/>
        </w:rPr>
      </w:pPr>
      <w:r>
        <w:rPr>
          <w:sz w:val="32"/>
          <w:szCs w:val="40"/>
        </w:rPr>
        <w:t>采   购   人：</w:t>
      </w:r>
      <w:r>
        <w:rPr>
          <w:rFonts w:hint="eastAsia"/>
          <w:sz w:val="32"/>
          <w:szCs w:val="40"/>
          <w:lang w:eastAsia="zh-CN"/>
        </w:rPr>
        <w:t>瑞安市汀田街道办事处</w:t>
      </w:r>
    </w:p>
    <w:p>
      <w:pPr>
        <w:ind w:firstLine="640" w:firstLineChars="200"/>
        <w:rPr>
          <w:rFonts w:hint="default"/>
          <w:sz w:val="32"/>
          <w:szCs w:val="40"/>
        </w:rPr>
      </w:pPr>
      <w:r>
        <w:rPr>
          <w:sz w:val="32"/>
          <w:szCs w:val="40"/>
        </w:rPr>
        <w:t>采购代理机构：浙江综盛项目管理有限公司</w:t>
      </w:r>
    </w:p>
    <w:p>
      <w:pPr>
        <w:rPr>
          <w:rFonts w:hint="default"/>
          <w:sz w:val="32"/>
          <w:szCs w:val="40"/>
        </w:rPr>
      </w:pPr>
    </w:p>
    <w:p>
      <w:pPr>
        <w:pStyle w:val="2"/>
        <w:rPr>
          <w:rFonts w:hint="default"/>
        </w:rPr>
      </w:pPr>
    </w:p>
    <w:p>
      <w:pPr>
        <w:jc w:val="center"/>
        <w:rPr>
          <w:rFonts w:hint="default"/>
          <w:b/>
          <w:bCs/>
          <w:sz w:val="52"/>
          <w:szCs w:val="52"/>
        </w:rPr>
      </w:pPr>
      <w:r>
        <w:rPr>
          <w:sz w:val="32"/>
          <w:szCs w:val="40"/>
        </w:rPr>
        <w:t>二○二三年</w:t>
      </w:r>
      <w:r>
        <w:rPr>
          <w:rFonts w:hint="eastAsia"/>
          <w:sz w:val="32"/>
          <w:szCs w:val="40"/>
          <w:lang w:val="en-US" w:eastAsia="zh-CN"/>
        </w:rPr>
        <w:t>八</w:t>
      </w:r>
      <w:r>
        <w:rPr>
          <w:sz w:val="32"/>
          <w:szCs w:val="40"/>
        </w:rPr>
        <w:t>月</w:t>
      </w:r>
    </w:p>
    <w:sdt>
      <w:sdtPr>
        <w:rPr>
          <w:rFonts w:ascii="宋体" w:hAnsi="宋体" w:cstheme="minorBidi"/>
          <w:szCs w:val="24"/>
        </w:rPr>
        <w:id w:val="147474826"/>
        <w15:color w:val="DBDBDB"/>
        <w:docPartObj>
          <w:docPartGallery w:val="Table of Contents"/>
          <w:docPartUnique/>
        </w:docPartObj>
      </w:sdtPr>
      <w:sdtEndPr>
        <w:rPr>
          <w:rFonts w:ascii="宋体" w:hAnsi="宋体" w:cstheme="minorBidi"/>
          <w:szCs w:val="24"/>
        </w:rPr>
      </w:sdtEndPr>
      <w:sdtContent>
        <w:p>
          <w:pPr>
            <w:jc w:val="center"/>
            <w:rPr>
              <w:rFonts w:hint="default"/>
            </w:rPr>
          </w:pPr>
          <w:r>
            <w:rPr>
              <w:rFonts w:ascii="宋体" w:hAnsi="宋体"/>
              <w:b/>
              <w:bCs/>
              <w:sz w:val="40"/>
              <w:szCs w:val="48"/>
            </w:rPr>
            <w:t>目 录</w:t>
          </w:r>
          <w:r>
            <w:fldChar w:fldCharType="begin"/>
          </w:r>
          <w:r>
            <w:instrText xml:space="preserve">TOC \o "1-3" \h \u </w:instrText>
          </w:r>
          <w:r>
            <w:fldChar w:fldCharType="separate"/>
          </w:r>
        </w:p>
        <w:p>
          <w:pPr>
            <w:pStyle w:val="17"/>
            <w:tabs>
              <w:tab w:val="right" w:leader="dot" w:pos="8306"/>
              <w:tab w:val="clear" w:pos="8948"/>
            </w:tabs>
            <w:spacing w:line="360" w:lineRule="auto"/>
            <w:rPr>
              <w:rFonts w:hint="default"/>
              <w:sz w:val="22"/>
              <w:szCs w:val="22"/>
            </w:rPr>
          </w:pPr>
          <w:r>
            <w:fldChar w:fldCharType="begin"/>
          </w:r>
          <w:r>
            <w:instrText xml:space="preserve"> HYPERLINK \l "_Toc22661" </w:instrText>
          </w:r>
          <w:r>
            <w:fldChar w:fldCharType="separate"/>
          </w:r>
          <w:r>
            <w:rPr>
              <w:rFonts w:cs="宋体"/>
              <w:sz w:val="22"/>
              <w:szCs w:val="40"/>
            </w:rPr>
            <w:t>第一部分  竞争性磋商公告</w:t>
          </w:r>
          <w:r>
            <w:rPr>
              <w:sz w:val="22"/>
              <w:szCs w:val="22"/>
            </w:rPr>
            <w:tab/>
          </w:r>
          <w:r>
            <w:rPr>
              <w:sz w:val="22"/>
              <w:szCs w:val="22"/>
            </w:rPr>
            <w:fldChar w:fldCharType="begin"/>
          </w:r>
          <w:r>
            <w:rPr>
              <w:sz w:val="22"/>
              <w:szCs w:val="22"/>
            </w:rPr>
            <w:instrText xml:space="preserve"> PAGEREF _Toc22661 \h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18"/>
            <w:tabs>
              <w:tab w:val="right" w:leader="dot" w:pos="8306"/>
            </w:tabs>
            <w:spacing w:line="360" w:lineRule="auto"/>
            <w:rPr>
              <w:rFonts w:hint="default"/>
              <w:sz w:val="22"/>
              <w:szCs w:val="21"/>
            </w:rPr>
          </w:pPr>
          <w:r>
            <w:fldChar w:fldCharType="begin"/>
          </w:r>
          <w:r>
            <w:instrText xml:space="preserve"> HYPERLINK \l "_Toc3715" </w:instrText>
          </w:r>
          <w:r>
            <w:fldChar w:fldCharType="separate"/>
          </w:r>
          <w:r>
            <w:rPr>
              <w:rFonts w:ascii="宋体" w:hAnsi="宋体" w:cs="宋体"/>
              <w:sz w:val="22"/>
              <w:szCs w:val="22"/>
            </w:rPr>
            <w:t>一、项目基本情况</w:t>
          </w:r>
          <w:r>
            <w:rPr>
              <w:sz w:val="22"/>
              <w:szCs w:val="21"/>
            </w:rPr>
            <w:tab/>
          </w:r>
          <w:r>
            <w:rPr>
              <w:sz w:val="22"/>
              <w:szCs w:val="21"/>
            </w:rPr>
            <w:fldChar w:fldCharType="begin"/>
          </w:r>
          <w:r>
            <w:rPr>
              <w:sz w:val="22"/>
              <w:szCs w:val="21"/>
            </w:rPr>
            <w:instrText xml:space="preserve"> PAGEREF _Toc3715 \h </w:instrText>
          </w:r>
          <w:r>
            <w:rPr>
              <w:sz w:val="22"/>
              <w:szCs w:val="21"/>
            </w:rPr>
            <w:fldChar w:fldCharType="separate"/>
          </w:r>
          <w:r>
            <w:rPr>
              <w:sz w:val="22"/>
              <w:szCs w:val="21"/>
            </w:rPr>
            <w:t>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"_Toc16698" </w:instrText>
          </w:r>
          <w:r>
            <w:fldChar w:fldCharType="separate"/>
          </w:r>
          <w:r>
            <w:rPr>
              <w:rFonts w:ascii="宋体" w:hAnsi="宋体" w:cs="宋体"/>
              <w:sz w:val="22"/>
              <w:szCs w:val="22"/>
            </w:rPr>
            <w:t>二、申请人的资格要求：</w:t>
          </w:r>
          <w:r>
            <w:rPr>
              <w:sz w:val="22"/>
              <w:szCs w:val="21"/>
            </w:rPr>
            <w:tab/>
          </w:r>
          <w:r>
            <w:rPr>
              <w:sz w:val="22"/>
              <w:szCs w:val="21"/>
            </w:rPr>
            <w:fldChar w:fldCharType="begin"/>
          </w:r>
          <w:r>
            <w:rPr>
              <w:sz w:val="22"/>
              <w:szCs w:val="21"/>
            </w:rPr>
            <w:instrText xml:space="preserve"> PAGEREF _Toc16698 \h </w:instrText>
          </w:r>
          <w:r>
            <w:rPr>
              <w:sz w:val="22"/>
              <w:szCs w:val="21"/>
            </w:rPr>
            <w:fldChar w:fldCharType="separate"/>
          </w:r>
          <w:r>
            <w:rPr>
              <w:sz w:val="22"/>
              <w:szCs w:val="21"/>
            </w:rPr>
            <w:t>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"_Toc32112" </w:instrText>
          </w:r>
          <w:r>
            <w:fldChar w:fldCharType="separate"/>
          </w:r>
          <w:r>
            <w:rPr>
              <w:rFonts w:ascii="宋体" w:hAnsi="宋体" w:cs="宋体"/>
              <w:sz w:val="22"/>
              <w:szCs w:val="22"/>
            </w:rPr>
            <w:t>三、获取（下载）采购文件</w:t>
          </w:r>
          <w:r>
            <w:rPr>
              <w:sz w:val="22"/>
              <w:szCs w:val="21"/>
            </w:rPr>
            <w:tab/>
          </w:r>
          <w:r>
            <w:rPr>
              <w:sz w:val="22"/>
              <w:szCs w:val="21"/>
            </w:rPr>
            <w:fldChar w:fldCharType="begin"/>
          </w:r>
          <w:r>
            <w:rPr>
              <w:sz w:val="22"/>
              <w:szCs w:val="21"/>
            </w:rPr>
            <w:instrText xml:space="preserve"> PAGEREF _Toc32112 \h </w:instrText>
          </w:r>
          <w:r>
            <w:rPr>
              <w:sz w:val="22"/>
              <w:szCs w:val="21"/>
            </w:rPr>
            <w:fldChar w:fldCharType="separate"/>
          </w:r>
          <w:r>
            <w:rPr>
              <w:sz w:val="22"/>
              <w:szCs w:val="21"/>
            </w:rPr>
            <w:t>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"_Toc5229" </w:instrText>
          </w:r>
          <w:r>
            <w:fldChar w:fldCharType="separate"/>
          </w:r>
          <w:r>
            <w:rPr>
              <w:rFonts w:ascii="宋体" w:hAnsi="宋体" w:cs="宋体"/>
              <w:sz w:val="22"/>
              <w:szCs w:val="22"/>
            </w:rPr>
            <w:t>四、响应文件提交（上传）</w:t>
          </w:r>
          <w:r>
            <w:rPr>
              <w:sz w:val="22"/>
              <w:szCs w:val="21"/>
            </w:rPr>
            <w:tab/>
          </w:r>
          <w:r>
            <w:rPr>
              <w:sz w:val="22"/>
              <w:szCs w:val="21"/>
            </w:rPr>
            <w:fldChar w:fldCharType="begin"/>
          </w:r>
          <w:r>
            <w:rPr>
              <w:sz w:val="22"/>
              <w:szCs w:val="21"/>
            </w:rPr>
            <w:instrText xml:space="preserve"> PAGEREF _Toc5229 \h </w:instrText>
          </w:r>
          <w:r>
            <w:rPr>
              <w:sz w:val="22"/>
              <w:szCs w:val="21"/>
            </w:rPr>
            <w:fldChar w:fldCharType="separate"/>
          </w:r>
          <w:r>
            <w:rPr>
              <w:sz w:val="22"/>
              <w:szCs w:val="21"/>
            </w:rPr>
            <w:t>2</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"_Toc21124" </w:instrText>
          </w:r>
          <w:r>
            <w:fldChar w:fldCharType="separate"/>
          </w:r>
          <w:r>
            <w:rPr>
              <w:rFonts w:ascii="宋体" w:hAnsi="宋体" w:cs="宋体"/>
              <w:sz w:val="22"/>
              <w:szCs w:val="22"/>
            </w:rPr>
            <w:t>五、响应文件开启</w:t>
          </w:r>
          <w:r>
            <w:rPr>
              <w:sz w:val="22"/>
              <w:szCs w:val="21"/>
            </w:rPr>
            <w:tab/>
          </w:r>
          <w:r>
            <w:rPr>
              <w:sz w:val="22"/>
              <w:szCs w:val="21"/>
            </w:rPr>
            <w:fldChar w:fldCharType="begin"/>
          </w:r>
          <w:r>
            <w:rPr>
              <w:sz w:val="22"/>
              <w:szCs w:val="21"/>
            </w:rPr>
            <w:instrText xml:space="preserve"> PAGEREF _Toc21124 \h </w:instrText>
          </w:r>
          <w:r>
            <w:rPr>
              <w:sz w:val="22"/>
              <w:szCs w:val="21"/>
            </w:rPr>
            <w:fldChar w:fldCharType="separate"/>
          </w:r>
          <w:r>
            <w:rPr>
              <w:sz w:val="22"/>
              <w:szCs w:val="21"/>
            </w:rPr>
            <w:t>2</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"_Toc7494" </w:instrText>
          </w:r>
          <w:r>
            <w:fldChar w:fldCharType="separate"/>
          </w:r>
          <w:r>
            <w:rPr>
              <w:rFonts w:ascii="宋体" w:hAnsi="宋体" w:cs="宋体"/>
              <w:sz w:val="22"/>
              <w:szCs w:val="22"/>
            </w:rPr>
            <w:t>六、公告期限</w:t>
          </w:r>
          <w:r>
            <w:rPr>
              <w:sz w:val="22"/>
              <w:szCs w:val="21"/>
            </w:rPr>
            <w:tab/>
          </w:r>
          <w:r>
            <w:rPr>
              <w:sz w:val="22"/>
              <w:szCs w:val="21"/>
            </w:rPr>
            <w:fldChar w:fldCharType="begin"/>
          </w:r>
          <w:r>
            <w:rPr>
              <w:sz w:val="22"/>
              <w:szCs w:val="21"/>
            </w:rPr>
            <w:instrText xml:space="preserve"> PAGEREF _Toc7494 \h </w:instrText>
          </w:r>
          <w:r>
            <w:rPr>
              <w:sz w:val="22"/>
              <w:szCs w:val="21"/>
            </w:rPr>
            <w:fldChar w:fldCharType="separate"/>
          </w:r>
          <w:r>
            <w:rPr>
              <w:sz w:val="22"/>
              <w:szCs w:val="21"/>
            </w:rPr>
            <w:t>2</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"_Toc17245" </w:instrText>
          </w:r>
          <w:r>
            <w:fldChar w:fldCharType="separate"/>
          </w:r>
          <w:r>
            <w:rPr>
              <w:rFonts w:ascii="宋体" w:hAnsi="宋体" w:cs="宋体"/>
              <w:sz w:val="22"/>
              <w:szCs w:val="22"/>
            </w:rPr>
            <w:t>七、其他补充事宜</w:t>
          </w:r>
          <w:r>
            <w:rPr>
              <w:sz w:val="22"/>
              <w:szCs w:val="21"/>
            </w:rPr>
            <w:tab/>
          </w:r>
          <w:r>
            <w:rPr>
              <w:sz w:val="22"/>
              <w:szCs w:val="21"/>
            </w:rPr>
            <w:fldChar w:fldCharType="begin"/>
          </w:r>
          <w:r>
            <w:rPr>
              <w:sz w:val="22"/>
              <w:szCs w:val="21"/>
            </w:rPr>
            <w:instrText xml:space="preserve"> PAGEREF _Toc17245 \h </w:instrText>
          </w:r>
          <w:r>
            <w:rPr>
              <w:sz w:val="22"/>
              <w:szCs w:val="21"/>
            </w:rPr>
            <w:fldChar w:fldCharType="separate"/>
          </w:r>
          <w:r>
            <w:rPr>
              <w:sz w:val="22"/>
              <w:szCs w:val="21"/>
            </w:rPr>
            <w:t>2</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"_Toc15795" </w:instrText>
          </w:r>
          <w:r>
            <w:fldChar w:fldCharType="separate"/>
          </w:r>
          <w:r>
            <w:rPr>
              <w:rFonts w:ascii="宋体" w:hAnsi="宋体" w:cs="宋体"/>
              <w:sz w:val="22"/>
              <w:szCs w:val="22"/>
            </w:rPr>
            <w:t>八、对本次采购提出询问、质疑、投诉，请按以下方式联系</w:t>
          </w:r>
          <w:r>
            <w:rPr>
              <w:sz w:val="22"/>
              <w:szCs w:val="21"/>
            </w:rPr>
            <w:tab/>
          </w:r>
          <w:r>
            <w:rPr>
              <w:sz w:val="22"/>
              <w:szCs w:val="21"/>
            </w:rPr>
            <w:fldChar w:fldCharType="begin"/>
          </w:r>
          <w:r>
            <w:rPr>
              <w:sz w:val="22"/>
              <w:szCs w:val="21"/>
            </w:rPr>
            <w:instrText xml:space="preserve"> PAGEREF _Toc15795 \h </w:instrText>
          </w:r>
          <w:r>
            <w:rPr>
              <w:sz w:val="22"/>
              <w:szCs w:val="21"/>
            </w:rPr>
            <w:fldChar w:fldCharType="separate"/>
          </w:r>
          <w:r>
            <w:rPr>
              <w:sz w:val="22"/>
              <w:szCs w:val="21"/>
            </w:rPr>
            <w:t>3</w:t>
          </w:r>
          <w:r>
            <w:rPr>
              <w:sz w:val="22"/>
              <w:szCs w:val="21"/>
            </w:rPr>
            <w:fldChar w:fldCharType="end"/>
          </w:r>
          <w:r>
            <w:rPr>
              <w:sz w:val="22"/>
              <w:szCs w:val="21"/>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"_Toc18894" </w:instrText>
          </w:r>
          <w:r>
            <w:fldChar w:fldCharType="separate"/>
          </w:r>
          <w:r>
            <w:rPr>
              <w:rFonts w:cs="宋体"/>
              <w:sz w:val="22"/>
              <w:szCs w:val="40"/>
            </w:rPr>
            <w:t>第二部分  磋商供应商须知</w:t>
          </w:r>
          <w:r>
            <w:rPr>
              <w:sz w:val="22"/>
              <w:szCs w:val="22"/>
            </w:rPr>
            <w:tab/>
          </w:r>
          <w:r>
            <w:rPr>
              <w:sz w:val="22"/>
              <w:szCs w:val="22"/>
            </w:rPr>
            <w:fldChar w:fldCharType="begin"/>
          </w:r>
          <w:r>
            <w:rPr>
              <w:sz w:val="22"/>
              <w:szCs w:val="22"/>
            </w:rPr>
            <w:instrText xml:space="preserve"> PAGEREF _Toc18894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"_Toc12629" </w:instrText>
          </w:r>
          <w:r>
            <w:fldChar w:fldCharType="separate"/>
          </w:r>
          <w:r>
            <w:rPr>
              <w:rFonts w:ascii="宋体" w:hAnsi="宋体" w:cs="宋体"/>
              <w:sz w:val="22"/>
              <w:szCs w:val="28"/>
            </w:rPr>
            <w:t>（一）磋商须知前附表</w:t>
          </w:r>
          <w:r>
            <w:rPr>
              <w:sz w:val="22"/>
              <w:szCs w:val="21"/>
            </w:rPr>
            <w:tab/>
          </w:r>
          <w:r>
            <w:rPr>
              <w:sz w:val="22"/>
              <w:szCs w:val="21"/>
            </w:rPr>
            <w:fldChar w:fldCharType="begin"/>
          </w:r>
          <w:r>
            <w:rPr>
              <w:sz w:val="22"/>
              <w:szCs w:val="21"/>
            </w:rPr>
            <w:instrText xml:space="preserve"> PAGEREF _Toc12629 \h </w:instrText>
          </w:r>
          <w:r>
            <w:rPr>
              <w:sz w:val="22"/>
              <w:szCs w:val="21"/>
            </w:rPr>
            <w:fldChar w:fldCharType="separate"/>
          </w:r>
          <w:r>
            <w:rPr>
              <w:sz w:val="22"/>
              <w:szCs w:val="21"/>
            </w:rPr>
            <w:t>5</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"_Toc27111" </w:instrText>
          </w:r>
          <w:r>
            <w:fldChar w:fldCharType="separate"/>
          </w:r>
          <w:r>
            <w:rPr>
              <w:rFonts w:ascii="宋体" w:hAnsi="宋体" w:cs="宋体"/>
              <w:sz w:val="22"/>
              <w:szCs w:val="28"/>
            </w:rPr>
            <w:t>（二）总   则</w:t>
          </w:r>
          <w:r>
            <w:rPr>
              <w:sz w:val="22"/>
              <w:szCs w:val="21"/>
            </w:rPr>
            <w:tab/>
          </w:r>
          <w:r>
            <w:rPr>
              <w:sz w:val="22"/>
              <w:szCs w:val="21"/>
            </w:rPr>
            <w:fldChar w:fldCharType="begin"/>
          </w:r>
          <w:r>
            <w:rPr>
              <w:sz w:val="22"/>
              <w:szCs w:val="21"/>
            </w:rPr>
            <w:instrText xml:space="preserve"> PAGEREF _Toc27111 \h </w:instrText>
          </w:r>
          <w:r>
            <w:rPr>
              <w:sz w:val="22"/>
              <w:szCs w:val="21"/>
            </w:rPr>
            <w:fldChar w:fldCharType="separate"/>
          </w:r>
          <w:r>
            <w:rPr>
              <w:sz w:val="22"/>
              <w:szCs w:val="21"/>
            </w:rPr>
            <w:t>13</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"_Toc16868" </w:instrText>
          </w:r>
          <w:r>
            <w:fldChar w:fldCharType="separate"/>
          </w:r>
          <w:r>
            <w:rPr>
              <w:rFonts w:hint="default" w:ascii="Arial" w:hAnsi="Arial" w:cs="宋体"/>
              <w:sz w:val="22"/>
              <w:szCs w:val="22"/>
            </w:rPr>
            <w:t xml:space="preserve">1. </w:t>
          </w:r>
          <w:r>
            <w:rPr>
              <w:rFonts w:ascii="宋体" w:hAnsi="宋体" w:cs="宋体"/>
              <w:sz w:val="22"/>
              <w:szCs w:val="22"/>
            </w:rPr>
            <w:t>说明</w:t>
          </w:r>
          <w:r>
            <w:rPr>
              <w:sz w:val="22"/>
              <w:szCs w:val="21"/>
            </w:rPr>
            <w:tab/>
          </w:r>
          <w:r>
            <w:rPr>
              <w:sz w:val="22"/>
              <w:szCs w:val="21"/>
            </w:rPr>
            <w:fldChar w:fldCharType="begin"/>
          </w:r>
          <w:r>
            <w:rPr>
              <w:sz w:val="22"/>
              <w:szCs w:val="21"/>
            </w:rPr>
            <w:instrText xml:space="preserve"> PAGEREF _Toc16868 \h </w:instrText>
          </w:r>
          <w:r>
            <w:rPr>
              <w:sz w:val="22"/>
              <w:szCs w:val="21"/>
            </w:rPr>
            <w:fldChar w:fldCharType="separate"/>
          </w:r>
          <w:r>
            <w:rPr>
              <w:sz w:val="22"/>
              <w:szCs w:val="21"/>
            </w:rPr>
            <w:t>13</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"_Toc5553" </w:instrText>
          </w:r>
          <w:r>
            <w:fldChar w:fldCharType="separate"/>
          </w:r>
          <w:r>
            <w:rPr>
              <w:rFonts w:hint="default" w:ascii="Arial" w:hAnsi="Arial" w:cs="宋体"/>
              <w:sz w:val="22"/>
              <w:szCs w:val="22"/>
            </w:rPr>
            <w:t xml:space="preserve">2. </w:t>
          </w:r>
          <w:r>
            <w:rPr>
              <w:rFonts w:ascii="宋体" w:hAnsi="宋体" w:cs="宋体"/>
              <w:sz w:val="22"/>
              <w:szCs w:val="22"/>
            </w:rPr>
            <w:t>定义及解释</w:t>
          </w:r>
          <w:r>
            <w:rPr>
              <w:sz w:val="22"/>
              <w:szCs w:val="21"/>
            </w:rPr>
            <w:tab/>
          </w:r>
          <w:r>
            <w:rPr>
              <w:sz w:val="22"/>
              <w:szCs w:val="21"/>
            </w:rPr>
            <w:fldChar w:fldCharType="begin"/>
          </w:r>
          <w:r>
            <w:rPr>
              <w:sz w:val="22"/>
              <w:szCs w:val="21"/>
            </w:rPr>
            <w:instrText xml:space="preserve"> PAGEREF _Toc5553 \h </w:instrText>
          </w:r>
          <w:r>
            <w:rPr>
              <w:sz w:val="22"/>
              <w:szCs w:val="21"/>
            </w:rPr>
            <w:fldChar w:fldCharType="separate"/>
          </w:r>
          <w:r>
            <w:rPr>
              <w:sz w:val="22"/>
              <w:szCs w:val="21"/>
            </w:rPr>
            <w:t>13</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"_Toc1199" </w:instrText>
          </w:r>
          <w:r>
            <w:fldChar w:fldCharType="separate"/>
          </w:r>
          <w:r>
            <w:rPr>
              <w:rFonts w:hint="default" w:ascii="Arial" w:hAnsi="Arial" w:cs="宋体"/>
              <w:sz w:val="22"/>
              <w:szCs w:val="22"/>
            </w:rPr>
            <w:t xml:space="preserve">3. </w:t>
          </w:r>
          <w:r>
            <w:rPr>
              <w:rFonts w:ascii="宋体" w:hAnsi="宋体" w:cs="宋体"/>
              <w:sz w:val="22"/>
              <w:szCs w:val="22"/>
            </w:rPr>
            <w:t>合格的磋商供应商</w:t>
          </w:r>
          <w:r>
            <w:rPr>
              <w:sz w:val="22"/>
              <w:szCs w:val="21"/>
            </w:rPr>
            <w:tab/>
          </w:r>
          <w:r>
            <w:rPr>
              <w:sz w:val="22"/>
              <w:szCs w:val="21"/>
            </w:rPr>
            <w:fldChar w:fldCharType="begin"/>
          </w:r>
          <w:r>
            <w:rPr>
              <w:sz w:val="22"/>
              <w:szCs w:val="21"/>
            </w:rPr>
            <w:instrText xml:space="preserve"> PAGEREF _Toc1199 \h </w:instrText>
          </w:r>
          <w:r>
            <w:rPr>
              <w:sz w:val="22"/>
              <w:szCs w:val="21"/>
            </w:rPr>
            <w:fldChar w:fldCharType="separate"/>
          </w:r>
          <w:r>
            <w:rPr>
              <w:sz w:val="22"/>
              <w:szCs w:val="21"/>
            </w:rPr>
            <w:t>13</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"_Toc16246" </w:instrText>
          </w:r>
          <w:r>
            <w:fldChar w:fldCharType="separate"/>
          </w:r>
          <w:r>
            <w:rPr>
              <w:rFonts w:hint="default" w:ascii="Arial" w:hAnsi="Arial" w:cs="宋体"/>
              <w:sz w:val="22"/>
              <w:szCs w:val="22"/>
            </w:rPr>
            <w:t xml:space="preserve">4. </w:t>
          </w:r>
          <w:r>
            <w:rPr>
              <w:rFonts w:ascii="宋体" w:hAnsi="宋体" w:cs="宋体"/>
              <w:sz w:val="22"/>
              <w:szCs w:val="22"/>
            </w:rPr>
            <w:t>中小企业认定</w:t>
          </w:r>
          <w:r>
            <w:rPr>
              <w:sz w:val="22"/>
              <w:szCs w:val="21"/>
            </w:rPr>
            <w:tab/>
          </w:r>
          <w:r>
            <w:rPr>
              <w:sz w:val="22"/>
              <w:szCs w:val="21"/>
            </w:rPr>
            <w:fldChar w:fldCharType="begin"/>
          </w:r>
          <w:r>
            <w:rPr>
              <w:sz w:val="22"/>
              <w:szCs w:val="21"/>
            </w:rPr>
            <w:instrText xml:space="preserve"> PAGEREF _Toc16246 \h </w:instrText>
          </w:r>
          <w:r>
            <w:rPr>
              <w:sz w:val="22"/>
              <w:szCs w:val="21"/>
            </w:rPr>
            <w:fldChar w:fldCharType="separate"/>
          </w:r>
          <w:r>
            <w:rPr>
              <w:sz w:val="22"/>
              <w:szCs w:val="21"/>
            </w:rPr>
            <w:t>13</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"_Toc25358" </w:instrText>
          </w:r>
          <w:r>
            <w:fldChar w:fldCharType="separate"/>
          </w:r>
          <w:r>
            <w:rPr>
              <w:rFonts w:hint="default" w:ascii="Arial" w:hAnsi="Arial" w:cs="宋体"/>
              <w:sz w:val="22"/>
              <w:szCs w:val="22"/>
            </w:rPr>
            <w:t xml:space="preserve">5. </w:t>
          </w:r>
          <w:r>
            <w:rPr>
              <w:rFonts w:ascii="宋体" w:hAnsi="宋体" w:cs="宋体"/>
              <w:sz w:val="22"/>
              <w:szCs w:val="22"/>
            </w:rPr>
            <w:t>信用记录</w:t>
          </w:r>
          <w:r>
            <w:rPr>
              <w:sz w:val="22"/>
              <w:szCs w:val="21"/>
            </w:rPr>
            <w:tab/>
          </w:r>
          <w:r>
            <w:rPr>
              <w:sz w:val="22"/>
              <w:szCs w:val="21"/>
            </w:rPr>
            <w:fldChar w:fldCharType="begin"/>
          </w:r>
          <w:r>
            <w:rPr>
              <w:sz w:val="22"/>
              <w:szCs w:val="21"/>
            </w:rPr>
            <w:instrText xml:space="preserve"> PAGEREF _Toc25358 \h </w:instrText>
          </w:r>
          <w:r>
            <w:rPr>
              <w:sz w:val="22"/>
              <w:szCs w:val="21"/>
            </w:rPr>
            <w:fldChar w:fldCharType="separate"/>
          </w:r>
          <w:r>
            <w:rPr>
              <w:sz w:val="22"/>
              <w:szCs w:val="21"/>
            </w:rPr>
            <w:t>14</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"_Toc31472" </w:instrText>
          </w:r>
          <w:r>
            <w:fldChar w:fldCharType="separate"/>
          </w:r>
          <w:r>
            <w:rPr>
              <w:rFonts w:hint="default" w:ascii="Arial" w:hAnsi="Arial" w:cs="宋体"/>
              <w:sz w:val="22"/>
              <w:szCs w:val="22"/>
            </w:rPr>
            <w:t xml:space="preserve">6. </w:t>
          </w:r>
          <w:r>
            <w:rPr>
              <w:rFonts w:ascii="宋体" w:hAnsi="宋体" w:cs="宋体"/>
              <w:sz w:val="22"/>
              <w:szCs w:val="22"/>
            </w:rPr>
            <w:t>保密与披露事项</w:t>
          </w:r>
          <w:r>
            <w:rPr>
              <w:sz w:val="22"/>
              <w:szCs w:val="21"/>
            </w:rPr>
            <w:tab/>
          </w:r>
          <w:r>
            <w:rPr>
              <w:sz w:val="22"/>
              <w:szCs w:val="21"/>
            </w:rPr>
            <w:fldChar w:fldCharType="begin"/>
          </w:r>
          <w:r>
            <w:rPr>
              <w:sz w:val="22"/>
              <w:szCs w:val="21"/>
            </w:rPr>
            <w:instrText xml:space="preserve"> PAGEREF _Toc31472 \h </w:instrText>
          </w:r>
          <w:r>
            <w:rPr>
              <w:sz w:val="22"/>
              <w:szCs w:val="21"/>
            </w:rPr>
            <w:fldChar w:fldCharType="separate"/>
          </w:r>
          <w:r>
            <w:rPr>
              <w:sz w:val="22"/>
              <w:szCs w:val="21"/>
            </w:rPr>
            <w:t>14</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"_Toc28670" </w:instrText>
          </w:r>
          <w:r>
            <w:fldChar w:fldCharType="separate"/>
          </w:r>
          <w:r>
            <w:rPr>
              <w:rFonts w:hint="default" w:ascii="Arial" w:hAnsi="Arial" w:cs="宋体"/>
              <w:sz w:val="22"/>
              <w:szCs w:val="22"/>
            </w:rPr>
            <w:t xml:space="preserve">7. </w:t>
          </w:r>
          <w:r>
            <w:rPr>
              <w:rFonts w:ascii="宋体" w:hAnsi="宋体" w:cs="宋体"/>
              <w:sz w:val="22"/>
              <w:szCs w:val="22"/>
            </w:rPr>
            <w:t>磋商费用</w:t>
          </w:r>
          <w:r>
            <w:rPr>
              <w:sz w:val="22"/>
              <w:szCs w:val="21"/>
            </w:rPr>
            <w:tab/>
          </w:r>
          <w:r>
            <w:rPr>
              <w:sz w:val="22"/>
              <w:szCs w:val="21"/>
            </w:rPr>
            <w:fldChar w:fldCharType="begin"/>
          </w:r>
          <w:r>
            <w:rPr>
              <w:sz w:val="22"/>
              <w:szCs w:val="21"/>
            </w:rPr>
            <w:instrText xml:space="preserve"> PAGEREF _Toc28670 \h </w:instrText>
          </w:r>
          <w:r>
            <w:rPr>
              <w:sz w:val="22"/>
              <w:szCs w:val="21"/>
            </w:rPr>
            <w:fldChar w:fldCharType="separate"/>
          </w:r>
          <w:r>
            <w:rPr>
              <w:sz w:val="22"/>
              <w:szCs w:val="21"/>
            </w:rPr>
            <w:t>14</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"_Toc19623" </w:instrText>
          </w:r>
          <w:r>
            <w:fldChar w:fldCharType="separate"/>
          </w:r>
          <w:r>
            <w:rPr>
              <w:rFonts w:ascii="宋体" w:hAnsi="宋体" w:cs="宋体"/>
              <w:sz w:val="22"/>
              <w:szCs w:val="28"/>
            </w:rPr>
            <w:t>（三）磋商文件说明</w:t>
          </w:r>
          <w:r>
            <w:rPr>
              <w:sz w:val="22"/>
              <w:szCs w:val="21"/>
            </w:rPr>
            <w:tab/>
          </w:r>
          <w:r>
            <w:rPr>
              <w:sz w:val="22"/>
              <w:szCs w:val="21"/>
            </w:rPr>
            <w:fldChar w:fldCharType="begin"/>
          </w:r>
          <w:r>
            <w:rPr>
              <w:sz w:val="22"/>
              <w:szCs w:val="21"/>
            </w:rPr>
            <w:instrText xml:space="preserve"> PAGEREF _Toc19623 \h </w:instrText>
          </w:r>
          <w:r>
            <w:rPr>
              <w:sz w:val="22"/>
              <w:szCs w:val="21"/>
            </w:rPr>
            <w:fldChar w:fldCharType="separate"/>
          </w:r>
          <w:r>
            <w:rPr>
              <w:sz w:val="22"/>
              <w:szCs w:val="21"/>
            </w:rPr>
            <w:t>15</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"_Toc27997" </w:instrText>
          </w:r>
          <w:r>
            <w:fldChar w:fldCharType="separate"/>
          </w:r>
          <w:r>
            <w:rPr>
              <w:rFonts w:hint="default" w:ascii="Arial" w:hAnsi="Arial" w:cs="宋体"/>
              <w:sz w:val="22"/>
              <w:szCs w:val="22"/>
            </w:rPr>
            <w:t xml:space="preserve">10. </w:t>
          </w:r>
          <w:r>
            <w:rPr>
              <w:rFonts w:ascii="宋体" w:hAnsi="宋体" w:cs="宋体"/>
              <w:sz w:val="22"/>
              <w:szCs w:val="22"/>
            </w:rPr>
            <w:t>磋商文件构成</w:t>
          </w:r>
          <w:r>
            <w:rPr>
              <w:sz w:val="22"/>
              <w:szCs w:val="21"/>
            </w:rPr>
            <w:tab/>
          </w:r>
          <w:r>
            <w:rPr>
              <w:sz w:val="22"/>
              <w:szCs w:val="21"/>
            </w:rPr>
            <w:fldChar w:fldCharType="begin"/>
          </w:r>
          <w:r>
            <w:rPr>
              <w:sz w:val="22"/>
              <w:szCs w:val="21"/>
            </w:rPr>
            <w:instrText xml:space="preserve"> PAGEREF _Toc27997 \h </w:instrText>
          </w:r>
          <w:r>
            <w:rPr>
              <w:sz w:val="22"/>
              <w:szCs w:val="21"/>
            </w:rPr>
            <w:fldChar w:fldCharType="separate"/>
          </w:r>
          <w:r>
            <w:rPr>
              <w:sz w:val="22"/>
              <w:szCs w:val="21"/>
            </w:rPr>
            <w:t>15</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"_Toc26776" </w:instrText>
          </w:r>
          <w:r>
            <w:fldChar w:fldCharType="separate"/>
          </w:r>
          <w:r>
            <w:rPr>
              <w:rFonts w:hint="default" w:ascii="Arial" w:hAnsi="Arial" w:cs="宋体"/>
              <w:sz w:val="22"/>
              <w:szCs w:val="22"/>
            </w:rPr>
            <w:t xml:space="preserve">11. </w:t>
          </w:r>
          <w:r>
            <w:rPr>
              <w:rFonts w:ascii="宋体" w:hAnsi="宋体" w:cs="宋体"/>
              <w:sz w:val="22"/>
              <w:szCs w:val="22"/>
            </w:rPr>
            <w:t>磋商文件的澄清</w:t>
          </w:r>
          <w:r>
            <w:rPr>
              <w:sz w:val="22"/>
              <w:szCs w:val="21"/>
            </w:rPr>
            <w:tab/>
          </w:r>
          <w:r>
            <w:rPr>
              <w:sz w:val="22"/>
              <w:szCs w:val="21"/>
            </w:rPr>
            <w:fldChar w:fldCharType="begin"/>
          </w:r>
          <w:r>
            <w:rPr>
              <w:sz w:val="22"/>
              <w:szCs w:val="21"/>
            </w:rPr>
            <w:instrText xml:space="preserve"> PAGEREF _Toc26776 \h </w:instrText>
          </w:r>
          <w:r>
            <w:rPr>
              <w:sz w:val="22"/>
              <w:szCs w:val="21"/>
            </w:rPr>
            <w:fldChar w:fldCharType="separate"/>
          </w:r>
          <w:r>
            <w:rPr>
              <w:sz w:val="22"/>
              <w:szCs w:val="21"/>
            </w:rPr>
            <w:t>15</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"_Toc6789" </w:instrText>
          </w:r>
          <w:r>
            <w:fldChar w:fldCharType="separate"/>
          </w:r>
          <w:r>
            <w:rPr>
              <w:rFonts w:ascii="宋体" w:hAnsi="宋体" w:cs="宋体"/>
              <w:sz w:val="22"/>
              <w:szCs w:val="28"/>
            </w:rPr>
            <w:t>（四）磋商响应文件的编制</w:t>
          </w:r>
          <w:r>
            <w:rPr>
              <w:sz w:val="22"/>
              <w:szCs w:val="21"/>
            </w:rPr>
            <w:tab/>
          </w:r>
          <w:r>
            <w:rPr>
              <w:sz w:val="22"/>
              <w:szCs w:val="21"/>
            </w:rPr>
            <w:fldChar w:fldCharType="begin"/>
          </w:r>
          <w:r>
            <w:rPr>
              <w:sz w:val="22"/>
              <w:szCs w:val="21"/>
            </w:rPr>
            <w:instrText xml:space="preserve"> PAGEREF _Toc6789 \h </w:instrText>
          </w:r>
          <w:r>
            <w:rPr>
              <w:sz w:val="22"/>
              <w:szCs w:val="21"/>
            </w:rPr>
            <w:fldChar w:fldCharType="separate"/>
          </w:r>
          <w:r>
            <w:rPr>
              <w:sz w:val="22"/>
              <w:szCs w:val="21"/>
            </w:rPr>
            <w:t>16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"_Toc9937" </w:instrText>
          </w:r>
          <w:r>
            <w:fldChar w:fldCharType="separate"/>
          </w:r>
          <w:r>
            <w:rPr>
              <w:rFonts w:hint="default" w:ascii="Arial" w:hAnsi="Arial" w:cs="宋体"/>
              <w:bCs/>
              <w:sz w:val="22"/>
              <w:szCs w:val="22"/>
            </w:rPr>
            <w:t xml:space="preserve">12. </w:t>
          </w:r>
          <w:r>
            <w:rPr>
              <w:rFonts w:ascii="宋体" w:hAnsi="宋体" w:cs="宋体"/>
              <w:bCs/>
              <w:sz w:val="22"/>
              <w:szCs w:val="22"/>
            </w:rPr>
            <w:t>磋商响应文件的说明</w:t>
          </w:r>
          <w:r>
            <w:rPr>
              <w:sz w:val="22"/>
              <w:szCs w:val="21"/>
            </w:rPr>
            <w:tab/>
          </w:r>
          <w:r>
            <w:rPr>
              <w:sz w:val="22"/>
              <w:szCs w:val="21"/>
            </w:rPr>
            <w:fldChar w:fldCharType="begin"/>
          </w:r>
          <w:r>
            <w:rPr>
              <w:sz w:val="22"/>
              <w:szCs w:val="21"/>
            </w:rPr>
            <w:instrText xml:space="preserve"> PAGEREF _Toc9937 \h </w:instrText>
          </w:r>
          <w:r>
            <w:rPr>
              <w:sz w:val="22"/>
              <w:szCs w:val="21"/>
            </w:rPr>
            <w:fldChar w:fldCharType="separate"/>
          </w:r>
          <w:r>
            <w:rPr>
              <w:sz w:val="22"/>
              <w:szCs w:val="21"/>
            </w:rPr>
            <w:t>16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"_Toc13536" </w:instrText>
          </w:r>
          <w:r>
            <w:fldChar w:fldCharType="separate"/>
          </w:r>
          <w:r>
            <w:rPr>
              <w:rFonts w:hint="default" w:ascii="Arial" w:hAnsi="Arial" w:cs="宋体"/>
              <w:bCs/>
              <w:sz w:val="22"/>
              <w:szCs w:val="21"/>
            </w:rPr>
            <w:t xml:space="preserve">13. </w:t>
          </w:r>
          <w:r>
            <w:rPr>
              <w:rFonts w:ascii="宋体" w:hAnsi="宋体" w:cs="宋体"/>
              <w:bCs/>
              <w:sz w:val="22"/>
              <w:szCs w:val="22"/>
            </w:rPr>
            <w:t>磋商响应文件的组成</w:t>
          </w:r>
          <w:r>
            <w:rPr>
              <w:sz w:val="22"/>
              <w:szCs w:val="21"/>
            </w:rPr>
            <w:tab/>
          </w:r>
          <w:r>
            <w:rPr>
              <w:sz w:val="22"/>
              <w:szCs w:val="21"/>
            </w:rPr>
            <w:fldChar w:fldCharType="begin"/>
          </w:r>
          <w:r>
            <w:rPr>
              <w:sz w:val="22"/>
              <w:szCs w:val="21"/>
            </w:rPr>
            <w:instrText xml:space="preserve"> PAGEREF _Toc13536 \h </w:instrText>
          </w:r>
          <w:r>
            <w:rPr>
              <w:sz w:val="22"/>
              <w:szCs w:val="21"/>
            </w:rPr>
            <w:fldChar w:fldCharType="separate"/>
          </w:r>
          <w:r>
            <w:rPr>
              <w:sz w:val="22"/>
              <w:szCs w:val="21"/>
            </w:rPr>
            <w:t>16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"_Toc26190" </w:instrText>
          </w:r>
          <w:r>
            <w:fldChar w:fldCharType="separate"/>
          </w:r>
          <w:r>
            <w:rPr>
              <w:rFonts w:hint="default" w:ascii="Arial" w:hAnsi="Arial" w:cs="宋体"/>
              <w:bCs/>
              <w:sz w:val="22"/>
              <w:szCs w:val="21"/>
            </w:rPr>
            <w:t xml:space="preserve">14. </w:t>
          </w:r>
          <w:r>
            <w:rPr>
              <w:rFonts w:ascii="宋体" w:hAnsi="宋体" w:cs="宋体"/>
              <w:bCs/>
              <w:sz w:val="22"/>
              <w:szCs w:val="22"/>
            </w:rPr>
            <w:t>磋商响应格式填写说明</w:t>
          </w:r>
          <w:r>
            <w:rPr>
              <w:sz w:val="22"/>
              <w:szCs w:val="21"/>
            </w:rPr>
            <w:tab/>
          </w:r>
          <w:r>
            <w:rPr>
              <w:sz w:val="22"/>
              <w:szCs w:val="21"/>
            </w:rPr>
            <w:fldChar w:fldCharType="begin"/>
          </w:r>
          <w:r>
            <w:rPr>
              <w:sz w:val="22"/>
              <w:szCs w:val="21"/>
            </w:rPr>
            <w:instrText xml:space="preserve"> PAGEREF _Toc26190 \h </w:instrText>
          </w:r>
          <w:r>
            <w:rPr>
              <w:sz w:val="22"/>
              <w:szCs w:val="21"/>
            </w:rPr>
            <w:fldChar w:fldCharType="separate"/>
          </w:r>
          <w:r>
            <w:rPr>
              <w:sz w:val="22"/>
              <w:szCs w:val="21"/>
            </w:rPr>
            <w:t>18</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"_Toc8681" </w:instrText>
          </w:r>
          <w:r>
            <w:fldChar w:fldCharType="separate"/>
          </w:r>
          <w:r>
            <w:rPr>
              <w:rFonts w:hint="default" w:ascii="Arial" w:hAnsi="Arial" w:cs="宋体"/>
              <w:sz w:val="22"/>
              <w:szCs w:val="21"/>
            </w:rPr>
            <w:t xml:space="preserve">15. </w:t>
          </w:r>
          <w:r>
            <w:rPr>
              <w:rFonts w:ascii="宋体" w:hAnsi="宋体" w:cs="宋体"/>
              <w:sz w:val="22"/>
              <w:szCs w:val="22"/>
            </w:rPr>
            <w:t>磋商有效期</w:t>
          </w:r>
          <w:r>
            <w:rPr>
              <w:sz w:val="22"/>
              <w:szCs w:val="21"/>
            </w:rPr>
            <w:tab/>
          </w:r>
          <w:r>
            <w:rPr>
              <w:sz w:val="22"/>
              <w:szCs w:val="21"/>
            </w:rPr>
            <w:fldChar w:fldCharType="begin"/>
          </w:r>
          <w:r>
            <w:rPr>
              <w:sz w:val="22"/>
              <w:szCs w:val="21"/>
            </w:rPr>
            <w:instrText xml:space="preserve"> PAGEREF _Toc8681 \h </w:instrText>
          </w:r>
          <w:r>
            <w:rPr>
              <w:sz w:val="22"/>
              <w:szCs w:val="21"/>
            </w:rPr>
            <w:fldChar w:fldCharType="separate"/>
          </w:r>
          <w:r>
            <w:rPr>
              <w:sz w:val="22"/>
              <w:szCs w:val="21"/>
            </w:rPr>
            <w:t>18</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"_Toc5975" </w:instrText>
          </w:r>
          <w:r>
            <w:fldChar w:fldCharType="separate"/>
          </w:r>
          <w:r>
            <w:rPr>
              <w:rFonts w:hint="default" w:ascii="Arial" w:hAnsi="Arial" w:cs="宋体"/>
              <w:sz w:val="22"/>
              <w:szCs w:val="21"/>
            </w:rPr>
            <w:t xml:space="preserve">16. </w:t>
          </w:r>
          <w:r>
            <w:rPr>
              <w:rFonts w:ascii="宋体" w:hAnsi="宋体" w:cs="宋体"/>
              <w:sz w:val="22"/>
              <w:szCs w:val="22"/>
            </w:rPr>
            <w:t>磋商报价</w:t>
          </w:r>
          <w:r>
            <w:rPr>
              <w:sz w:val="22"/>
              <w:szCs w:val="21"/>
            </w:rPr>
            <w:tab/>
          </w:r>
          <w:r>
            <w:rPr>
              <w:sz w:val="22"/>
              <w:szCs w:val="21"/>
            </w:rPr>
            <w:fldChar w:fldCharType="begin"/>
          </w:r>
          <w:r>
            <w:rPr>
              <w:sz w:val="22"/>
              <w:szCs w:val="21"/>
            </w:rPr>
            <w:instrText xml:space="preserve"> PAGEREF _Toc5975 \h </w:instrText>
          </w:r>
          <w:r>
            <w:rPr>
              <w:sz w:val="22"/>
              <w:szCs w:val="21"/>
            </w:rPr>
            <w:fldChar w:fldCharType="separate"/>
          </w:r>
          <w:r>
            <w:rPr>
              <w:sz w:val="22"/>
              <w:szCs w:val="21"/>
            </w:rPr>
            <w:t>18</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"_Toc13949" </w:instrText>
          </w:r>
          <w:r>
            <w:fldChar w:fldCharType="separate"/>
          </w:r>
          <w:r>
            <w:rPr>
              <w:rFonts w:hint="default" w:ascii="Arial" w:hAnsi="Arial" w:cs="宋体"/>
              <w:sz w:val="22"/>
              <w:szCs w:val="21"/>
            </w:rPr>
            <w:t xml:space="preserve">17. </w:t>
          </w:r>
          <w:r>
            <w:rPr>
              <w:rFonts w:ascii="宋体" w:hAnsi="宋体" w:cs="宋体"/>
              <w:sz w:val="22"/>
              <w:szCs w:val="22"/>
            </w:rPr>
            <w:t>磋商响应文件的式样和签署</w:t>
          </w:r>
          <w:r>
            <w:rPr>
              <w:sz w:val="22"/>
              <w:szCs w:val="21"/>
            </w:rPr>
            <w:tab/>
          </w:r>
          <w:r>
            <w:rPr>
              <w:sz w:val="22"/>
              <w:szCs w:val="21"/>
            </w:rPr>
            <w:fldChar w:fldCharType="begin"/>
          </w:r>
          <w:r>
            <w:rPr>
              <w:sz w:val="22"/>
              <w:szCs w:val="21"/>
            </w:rPr>
            <w:instrText xml:space="preserve"> PAGEREF _Toc13949 \h </w:instrText>
          </w:r>
          <w:r>
            <w:rPr>
              <w:sz w:val="22"/>
              <w:szCs w:val="21"/>
            </w:rPr>
            <w:fldChar w:fldCharType="separate"/>
          </w:r>
          <w:r>
            <w:rPr>
              <w:sz w:val="22"/>
              <w:szCs w:val="21"/>
            </w:rPr>
            <w:t>18</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"_Toc12844" </w:instrText>
          </w:r>
          <w:r>
            <w:fldChar w:fldCharType="separate"/>
          </w:r>
          <w:r>
            <w:rPr>
              <w:rFonts w:hint="default" w:ascii="Arial" w:hAnsi="Arial" w:cs="宋体"/>
              <w:bCs/>
              <w:sz w:val="22"/>
              <w:szCs w:val="21"/>
            </w:rPr>
            <w:t xml:space="preserve">18. </w:t>
          </w:r>
          <w:r>
            <w:rPr>
              <w:rFonts w:ascii="宋体" w:hAnsi="宋体" w:cs="宋体"/>
              <w:bCs/>
              <w:sz w:val="22"/>
              <w:szCs w:val="22"/>
            </w:rPr>
            <w:t>知识产权</w:t>
          </w:r>
          <w:r>
            <w:rPr>
              <w:sz w:val="22"/>
              <w:szCs w:val="21"/>
            </w:rPr>
            <w:tab/>
          </w:r>
          <w:r>
            <w:rPr>
              <w:sz w:val="22"/>
              <w:szCs w:val="21"/>
            </w:rPr>
            <w:fldChar w:fldCharType="begin"/>
          </w:r>
          <w:r>
            <w:rPr>
              <w:sz w:val="22"/>
              <w:szCs w:val="21"/>
            </w:rPr>
            <w:instrText xml:space="preserve"> PAGEREF _Toc12844 \h </w:instrText>
          </w:r>
          <w:r>
            <w:rPr>
              <w:sz w:val="22"/>
              <w:szCs w:val="21"/>
            </w:rPr>
            <w:fldChar w:fldCharType="separate"/>
          </w:r>
          <w:r>
            <w:rPr>
              <w:sz w:val="22"/>
              <w:szCs w:val="21"/>
            </w:rPr>
            <w:t>18</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"_Toc28008" </w:instrText>
          </w:r>
          <w:r>
            <w:fldChar w:fldCharType="separate"/>
          </w:r>
          <w:r>
            <w:rPr>
              <w:rFonts w:hint="default" w:ascii="Arial" w:hAnsi="Arial" w:cs="宋体"/>
              <w:bCs/>
              <w:sz w:val="22"/>
              <w:szCs w:val="21"/>
            </w:rPr>
            <w:t xml:space="preserve">19. </w:t>
          </w:r>
          <w:r>
            <w:rPr>
              <w:rFonts w:ascii="宋体" w:hAnsi="宋体" w:cs="宋体"/>
              <w:bCs/>
              <w:sz w:val="22"/>
              <w:szCs w:val="21"/>
            </w:rPr>
            <w:t>串通行为认定</w:t>
          </w:r>
          <w:r>
            <w:rPr>
              <w:sz w:val="22"/>
              <w:szCs w:val="21"/>
            </w:rPr>
            <w:tab/>
          </w:r>
          <w:r>
            <w:rPr>
              <w:sz w:val="22"/>
              <w:szCs w:val="21"/>
            </w:rPr>
            <w:fldChar w:fldCharType="begin"/>
          </w:r>
          <w:r>
            <w:rPr>
              <w:sz w:val="22"/>
              <w:szCs w:val="21"/>
            </w:rPr>
            <w:instrText xml:space="preserve"> PAGEREF _Toc28008 \h </w:instrText>
          </w:r>
          <w:r>
            <w:rPr>
              <w:sz w:val="22"/>
              <w:szCs w:val="21"/>
            </w:rPr>
            <w:fldChar w:fldCharType="separate"/>
          </w:r>
          <w:r>
            <w:rPr>
              <w:sz w:val="22"/>
              <w:szCs w:val="21"/>
            </w:rPr>
            <w:t>19</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"_Toc17356" </w:instrText>
          </w:r>
          <w:r>
            <w:fldChar w:fldCharType="separate"/>
          </w:r>
          <w:r>
            <w:rPr>
              <w:rFonts w:hint="default" w:ascii="Arial" w:hAnsi="Arial" w:cs="宋体"/>
              <w:bCs/>
              <w:sz w:val="22"/>
              <w:szCs w:val="21"/>
            </w:rPr>
            <w:t xml:space="preserve">20. </w:t>
          </w:r>
          <w:r>
            <w:rPr>
              <w:rFonts w:ascii="宋体" w:hAnsi="宋体" w:cs="宋体"/>
              <w:bCs/>
              <w:sz w:val="22"/>
              <w:szCs w:val="21"/>
            </w:rPr>
            <w:t>出现以下情形，中止电子交易活动：</w:t>
          </w:r>
          <w:r>
            <w:rPr>
              <w:sz w:val="22"/>
              <w:szCs w:val="21"/>
            </w:rPr>
            <w:tab/>
          </w:r>
          <w:r>
            <w:rPr>
              <w:sz w:val="22"/>
              <w:szCs w:val="21"/>
            </w:rPr>
            <w:fldChar w:fldCharType="begin"/>
          </w:r>
          <w:r>
            <w:rPr>
              <w:sz w:val="22"/>
              <w:szCs w:val="21"/>
            </w:rPr>
            <w:instrText xml:space="preserve"> PAGEREF _Toc17356 \h </w:instrText>
          </w:r>
          <w:r>
            <w:rPr>
              <w:sz w:val="22"/>
              <w:szCs w:val="21"/>
            </w:rPr>
            <w:fldChar w:fldCharType="separate"/>
          </w:r>
          <w:r>
            <w:rPr>
              <w:sz w:val="22"/>
              <w:szCs w:val="21"/>
            </w:rPr>
            <w:t>19</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"_Toc18953" </w:instrText>
          </w:r>
          <w:r>
            <w:fldChar w:fldCharType="separate"/>
          </w:r>
          <w:r>
            <w:rPr>
              <w:rFonts w:ascii="宋体" w:hAnsi="宋体" w:cs="宋体"/>
              <w:sz w:val="22"/>
              <w:szCs w:val="28"/>
            </w:rPr>
            <w:t>（五）磋商响应文件的递交</w:t>
          </w:r>
          <w:r>
            <w:rPr>
              <w:sz w:val="22"/>
              <w:szCs w:val="21"/>
            </w:rPr>
            <w:tab/>
          </w:r>
          <w:r>
            <w:rPr>
              <w:sz w:val="22"/>
              <w:szCs w:val="21"/>
            </w:rPr>
            <w:fldChar w:fldCharType="begin"/>
          </w:r>
          <w:r>
            <w:rPr>
              <w:sz w:val="22"/>
              <w:szCs w:val="21"/>
            </w:rPr>
            <w:instrText xml:space="preserve"> PAGEREF _Toc18953 \h </w:instrText>
          </w:r>
          <w:r>
            <w:rPr>
              <w:sz w:val="22"/>
              <w:szCs w:val="21"/>
            </w:rPr>
            <w:fldChar w:fldCharType="separate"/>
          </w:r>
          <w:r>
            <w:rPr>
              <w:sz w:val="22"/>
              <w:szCs w:val="21"/>
            </w:rPr>
            <w:t>20</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"_Toc8719" </w:instrText>
          </w:r>
          <w:r>
            <w:fldChar w:fldCharType="separate"/>
          </w:r>
          <w:r>
            <w:rPr>
              <w:rFonts w:hint="default" w:ascii="Arial" w:hAnsi="Arial" w:cs="宋体"/>
              <w:bCs/>
              <w:sz w:val="22"/>
              <w:szCs w:val="24"/>
            </w:rPr>
            <w:t xml:space="preserve">21. </w:t>
          </w:r>
          <w:r>
            <w:rPr>
              <w:rFonts w:ascii="宋体" w:hAnsi="宋体" w:cs="宋体"/>
              <w:bCs/>
              <w:sz w:val="22"/>
              <w:szCs w:val="21"/>
            </w:rPr>
            <w:t>响应文件的修改（补充）和撤回</w:t>
          </w:r>
          <w:r>
            <w:rPr>
              <w:sz w:val="22"/>
              <w:szCs w:val="21"/>
            </w:rPr>
            <w:tab/>
          </w:r>
          <w:r>
            <w:rPr>
              <w:sz w:val="22"/>
              <w:szCs w:val="21"/>
            </w:rPr>
            <w:fldChar w:fldCharType="begin"/>
          </w:r>
          <w:r>
            <w:rPr>
              <w:sz w:val="22"/>
              <w:szCs w:val="21"/>
            </w:rPr>
            <w:instrText xml:space="preserve"> PAGEREF _Toc8719 \h </w:instrText>
          </w:r>
          <w:r>
            <w:rPr>
              <w:sz w:val="22"/>
              <w:szCs w:val="21"/>
            </w:rPr>
            <w:fldChar w:fldCharType="separate"/>
          </w:r>
          <w:r>
            <w:rPr>
              <w:sz w:val="22"/>
              <w:szCs w:val="21"/>
            </w:rPr>
            <w:t>20</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"_Toc8538" </w:instrText>
          </w:r>
          <w:r>
            <w:fldChar w:fldCharType="separate"/>
          </w:r>
          <w:r>
            <w:rPr>
              <w:rFonts w:hint="default" w:ascii="Arial" w:hAnsi="Arial" w:cs="宋体"/>
              <w:sz w:val="22"/>
              <w:szCs w:val="21"/>
            </w:rPr>
            <w:t xml:space="preserve">22. </w:t>
          </w:r>
          <w:r>
            <w:rPr>
              <w:rFonts w:ascii="宋体" w:hAnsi="宋体" w:cs="宋体"/>
              <w:sz w:val="22"/>
              <w:szCs w:val="22"/>
            </w:rPr>
            <w:t>磋商截止时间</w:t>
          </w:r>
          <w:r>
            <w:rPr>
              <w:sz w:val="22"/>
              <w:szCs w:val="21"/>
            </w:rPr>
            <w:tab/>
          </w:r>
          <w:r>
            <w:rPr>
              <w:sz w:val="22"/>
              <w:szCs w:val="21"/>
            </w:rPr>
            <w:fldChar w:fldCharType="begin"/>
          </w:r>
          <w:r>
            <w:rPr>
              <w:sz w:val="22"/>
              <w:szCs w:val="21"/>
            </w:rPr>
            <w:instrText xml:space="preserve"> PAGEREF _Toc8538 \h </w:instrText>
          </w:r>
          <w:r>
            <w:rPr>
              <w:sz w:val="22"/>
              <w:szCs w:val="21"/>
            </w:rPr>
            <w:fldChar w:fldCharType="separate"/>
          </w:r>
          <w:r>
            <w:rPr>
              <w:sz w:val="22"/>
              <w:szCs w:val="21"/>
            </w:rPr>
            <w:t>20</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"_Toc21398" </w:instrText>
          </w:r>
          <w:r>
            <w:fldChar w:fldCharType="separate"/>
          </w:r>
          <w:r>
            <w:rPr>
              <w:rFonts w:ascii="宋体" w:hAnsi="宋体" w:cs="宋体"/>
              <w:sz w:val="22"/>
              <w:szCs w:val="28"/>
            </w:rPr>
            <w:t>（六）磋商与评审</w:t>
          </w:r>
          <w:r>
            <w:rPr>
              <w:sz w:val="22"/>
              <w:szCs w:val="21"/>
            </w:rPr>
            <w:tab/>
          </w:r>
          <w:r>
            <w:rPr>
              <w:sz w:val="22"/>
              <w:szCs w:val="21"/>
            </w:rPr>
            <w:fldChar w:fldCharType="begin"/>
          </w:r>
          <w:r>
            <w:rPr>
              <w:sz w:val="22"/>
              <w:szCs w:val="21"/>
            </w:rPr>
            <w:instrText xml:space="preserve"> PAGEREF _Toc21398 \h </w:instrText>
          </w:r>
          <w:r>
            <w:rPr>
              <w:sz w:val="22"/>
              <w:szCs w:val="21"/>
            </w:rPr>
            <w:fldChar w:fldCharType="separate"/>
          </w:r>
          <w:r>
            <w:rPr>
              <w:sz w:val="22"/>
              <w:szCs w:val="21"/>
            </w:rPr>
            <w:t>21</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"_Toc6651" </w:instrText>
          </w:r>
          <w:r>
            <w:fldChar w:fldCharType="separate"/>
          </w:r>
          <w:r>
            <w:rPr>
              <w:rFonts w:hint="default" w:ascii="Arial" w:hAnsi="Arial" w:cs="宋体"/>
              <w:sz w:val="22"/>
              <w:szCs w:val="22"/>
            </w:rPr>
            <w:t xml:space="preserve">23. </w:t>
          </w:r>
          <w:r>
            <w:rPr>
              <w:rFonts w:ascii="宋体" w:hAnsi="宋体" w:cs="宋体"/>
              <w:sz w:val="22"/>
              <w:szCs w:val="22"/>
            </w:rPr>
            <w:t>磋商</w:t>
          </w:r>
          <w:r>
            <w:rPr>
              <w:sz w:val="22"/>
              <w:szCs w:val="21"/>
            </w:rPr>
            <w:tab/>
          </w:r>
          <w:r>
            <w:rPr>
              <w:sz w:val="22"/>
              <w:szCs w:val="21"/>
            </w:rPr>
            <w:fldChar w:fldCharType="begin"/>
          </w:r>
          <w:r>
            <w:rPr>
              <w:sz w:val="22"/>
              <w:szCs w:val="21"/>
            </w:rPr>
            <w:instrText xml:space="preserve"> PAGEREF _Toc6651 \h </w:instrText>
          </w:r>
          <w:r>
            <w:rPr>
              <w:sz w:val="22"/>
              <w:szCs w:val="21"/>
            </w:rPr>
            <w:fldChar w:fldCharType="separate"/>
          </w:r>
          <w:r>
            <w:rPr>
              <w:sz w:val="22"/>
              <w:szCs w:val="21"/>
            </w:rPr>
            <w:t>21</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"_Toc10029" </w:instrText>
          </w:r>
          <w:r>
            <w:fldChar w:fldCharType="separate"/>
          </w:r>
          <w:r>
            <w:rPr>
              <w:rFonts w:hint="default" w:ascii="Arial" w:hAnsi="Arial" w:cs="宋体"/>
              <w:sz w:val="22"/>
              <w:szCs w:val="21"/>
            </w:rPr>
            <w:t xml:space="preserve">24. </w:t>
          </w:r>
          <w:r>
            <w:rPr>
              <w:rFonts w:ascii="宋体" w:hAnsi="宋体" w:cs="宋体"/>
              <w:sz w:val="22"/>
              <w:szCs w:val="21"/>
            </w:rPr>
            <w:t>开标程序</w:t>
          </w:r>
          <w:r>
            <w:rPr>
              <w:sz w:val="22"/>
              <w:szCs w:val="21"/>
            </w:rPr>
            <w:tab/>
          </w:r>
          <w:r>
            <w:rPr>
              <w:sz w:val="22"/>
              <w:szCs w:val="21"/>
            </w:rPr>
            <w:fldChar w:fldCharType="begin"/>
          </w:r>
          <w:r>
            <w:rPr>
              <w:sz w:val="22"/>
              <w:szCs w:val="21"/>
            </w:rPr>
            <w:instrText xml:space="preserve"> PAGEREF _Toc10029 \h </w:instrText>
          </w:r>
          <w:r>
            <w:rPr>
              <w:sz w:val="22"/>
              <w:szCs w:val="21"/>
            </w:rPr>
            <w:fldChar w:fldCharType="separate"/>
          </w:r>
          <w:r>
            <w:rPr>
              <w:sz w:val="22"/>
              <w:szCs w:val="21"/>
            </w:rPr>
            <w:t>21</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"_Toc14180" </w:instrText>
          </w:r>
          <w:r>
            <w:fldChar w:fldCharType="separate"/>
          </w:r>
          <w:r>
            <w:rPr>
              <w:rFonts w:hint="default" w:ascii="Arial" w:hAnsi="Arial" w:cs="宋体"/>
              <w:sz w:val="22"/>
              <w:szCs w:val="22"/>
            </w:rPr>
            <w:t xml:space="preserve">25. </w:t>
          </w:r>
          <w:r>
            <w:rPr>
              <w:rFonts w:ascii="宋体" w:hAnsi="宋体" w:cs="宋体"/>
              <w:sz w:val="22"/>
              <w:szCs w:val="22"/>
            </w:rPr>
            <w:t>磋商小组</w:t>
          </w:r>
          <w:r>
            <w:rPr>
              <w:sz w:val="22"/>
              <w:szCs w:val="21"/>
            </w:rPr>
            <w:tab/>
          </w:r>
          <w:r>
            <w:rPr>
              <w:sz w:val="22"/>
              <w:szCs w:val="21"/>
            </w:rPr>
            <w:fldChar w:fldCharType="begin"/>
          </w:r>
          <w:r>
            <w:rPr>
              <w:sz w:val="22"/>
              <w:szCs w:val="21"/>
            </w:rPr>
            <w:instrText xml:space="preserve"> PAGEREF _Toc14180 \h </w:instrText>
          </w:r>
          <w:r>
            <w:rPr>
              <w:sz w:val="22"/>
              <w:szCs w:val="21"/>
            </w:rPr>
            <w:fldChar w:fldCharType="separate"/>
          </w:r>
          <w:r>
            <w:rPr>
              <w:sz w:val="22"/>
              <w:szCs w:val="21"/>
            </w:rPr>
            <w:t>21</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"_Toc5260" </w:instrText>
          </w:r>
          <w:r>
            <w:fldChar w:fldCharType="separate"/>
          </w:r>
          <w:r>
            <w:rPr>
              <w:rFonts w:hint="default" w:ascii="Arial" w:hAnsi="Arial" w:cs="宋体"/>
              <w:sz w:val="22"/>
              <w:szCs w:val="22"/>
            </w:rPr>
            <w:t xml:space="preserve">26. </w:t>
          </w:r>
          <w:r>
            <w:rPr>
              <w:rFonts w:ascii="宋体" w:hAnsi="宋体" w:cs="宋体"/>
              <w:sz w:val="22"/>
              <w:szCs w:val="22"/>
            </w:rPr>
            <w:t>磋商工作程序</w:t>
          </w:r>
          <w:r>
            <w:rPr>
              <w:sz w:val="22"/>
              <w:szCs w:val="21"/>
            </w:rPr>
            <w:tab/>
          </w:r>
          <w:r>
            <w:rPr>
              <w:sz w:val="22"/>
              <w:szCs w:val="21"/>
            </w:rPr>
            <w:fldChar w:fldCharType="begin"/>
          </w:r>
          <w:r>
            <w:rPr>
              <w:sz w:val="22"/>
              <w:szCs w:val="21"/>
            </w:rPr>
            <w:instrText xml:space="preserve"> PAGEREF _Toc5260 \h </w:instrText>
          </w:r>
          <w:r>
            <w:rPr>
              <w:sz w:val="22"/>
              <w:szCs w:val="21"/>
            </w:rPr>
            <w:fldChar w:fldCharType="separate"/>
          </w:r>
          <w:r>
            <w:rPr>
              <w:sz w:val="22"/>
              <w:szCs w:val="21"/>
            </w:rPr>
            <w:t>21</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"_Toc29723" </w:instrText>
          </w:r>
          <w:r>
            <w:fldChar w:fldCharType="separate"/>
          </w:r>
          <w:r>
            <w:rPr>
              <w:rFonts w:hint="default" w:ascii="Arial" w:hAnsi="Arial" w:cs="宋体"/>
              <w:sz w:val="22"/>
              <w:szCs w:val="24"/>
            </w:rPr>
            <w:t xml:space="preserve">27. </w:t>
          </w:r>
          <w:r>
            <w:rPr>
              <w:rFonts w:ascii="宋体" w:hAnsi="宋体" w:cs="宋体"/>
              <w:sz w:val="22"/>
              <w:szCs w:val="21"/>
            </w:rPr>
            <w:t>评审</w:t>
          </w:r>
          <w:r>
            <w:rPr>
              <w:sz w:val="22"/>
              <w:szCs w:val="21"/>
            </w:rPr>
            <w:tab/>
          </w:r>
          <w:r>
            <w:rPr>
              <w:sz w:val="22"/>
              <w:szCs w:val="21"/>
            </w:rPr>
            <w:fldChar w:fldCharType="begin"/>
          </w:r>
          <w:r>
            <w:rPr>
              <w:sz w:val="22"/>
              <w:szCs w:val="21"/>
            </w:rPr>
            <w:instrText xml:space="preserve"> PAGEREF _Toc29723 \h </w:instrText>
          </w:r>
          <w:r>
            <w:rPr>
              <w:sz w:val="22"/>
              <w:szCs w:val="21"/>
            </w:rPr>
            <w:fldChar w:fldCharType="separate"/>
          </w:r>
          <w:r>
            <w:rPr>
              <w:sz w:val="22"/>
              <w:szCs w:val="21"/>
            </w:rPr>
            <w:t>22</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"_Toc20231" </w:instrText>
          </w:r>
          <w:r>
            <w:fldChar w:fldCharType="separate"/>
          </w:r>
          <w:r>
            <w:rPr>
              <w:rFonts w:hint="default" w:ascii="Arial" w:hAnsi="Arial" w:cs="宋体"/>
              <w:sz w:val="22"/>
              <w:szCs w:val="21"/>
            </w:rPr>
            <w:t xml:space="preserve">28. </w:t>
          </w:r>
          <w:r>
            <w:rPr>
              <w:rFonts w:ascii="宋体" w:hAnsi="宋体" w:cs="宋体"/>
              <w:sz w:val="22"/>
              <w:szCs w:val="21"/>
            </w:rPr>
            <w:t>成交供应商的确定</w:t>
          </w:r>
          <w:r>
            <w:rPr>
              <w:sz w:val="22"/>
              <w:szCs w:val="21"/>
            </w:rPr>
            <w:tab/>
          </w:r>
          <w:r>
            <w:rPr>
              <w:sz w:val="22"/>
              <w:szCs w:val="21"/>
            </w:rPr>
            <w:fldChar w:fldCharType="begin"/>
          </w:r>
          <w:r>
            <w:rPr>
              <w:sz w:val="22"/>
              <w:szCs w:val="21"/>
            </w:rPr>
            <w:instrText xml:space="preserve"> PAGEREF _Toc20231 \h </w:instrText>
          </w:r>
          <w:r>
            <w:rPr>
              <w:sz w:val="22"/>
              <w:szCs w:val="21"/>
            </w:rPr>
            <w:fldChar w:fldCharType="separate"/>
          </w:r>
          <w:r>
            <w:rPr>
              <w:sz w:val="22"/>
              <w:szCs w:val="21"/>
            </w:rPr>
            <w:t>24</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"_Toc30058" </w:instrText>
          </w:r>
          <w:r>
            <w:fldChar w:fldCharType="separate"/>
          </w:r>
          <w:r>
            <w:rPr>
              <w:rFonts w:hint="default" w:ascii="Arial" w:hAnsi="Arial" w:cs="宋体"/>
              <w:sz w:val="22"/>
              <w:szCs w:val="21"/>
            </w:rPr>
            <w:t xml:space="preserve">29. </w:t>
          </w:r>
          <w:r>
            <w:rPr>
              <w:rFonts w:ascii="宋体" w:hAnsi="宋体" w:cs="宋体"/>
              <w:sz w:val="22"/>
              <w:szCs w:val="21"/>
            </w:rPr>
            <w:t>评标过程保密</w:t>
          </w:r>
          <w:r>
            <w:rPr>
              <w:sz w:val="22"/>
              <w:szCs w:val="21"/>
            </w:rPr>
            <w:tab/>
          </w:r>
          <w:r>
            <w:rPr>
              <w:sz w:val="22"/>
              <w:szCs w:val="21"/>
            </w:rPr>
            <w:fldChar w:fldCharType="begin"/>
          </w:r>
          <w:r>
            <w:rPr>
              <w:sz w:val="22"/>
              <w:szCs w:val="21"/>
            </w:rPr>
            <w:instrText xml:space="preserve"> PAGEREF _Toc30058 \h </w:instrText>
          </w:r>
          <w:r>
            <w:rPr>
              <w:sz w:val="22"/>
              <w:szCs w:val="21"/>
            </w:rPr>
            <w:fldChar w:fldCharType="separate"/>
          </w:r>
          <w:r>
            <w:rPr>
              <w:sz w:val="22"/>
              <w:szCs w:val="21"/>
            </w:rPr>
            <w:t>24</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"_Toc12540" </w:instrText>
          </w:r>
          <w:r>
            <w:fldChar w:fldCharType="separate"/>
          </w:r>
          <w:r>
            <w:rPr>
              <w:rFonts w:hint="default" w:ascii="Arial" w:hAnsi="Arial" w:cs="宋体"/>
              <w:sz w:val="22"/>
              <w:szCs w:val="21"/>
            </w:rPr>
            <w:t xml:space="preserve">30. </w:t>
          </w:r>
          <w:r>
            <w:rPr>
              <w:rFonts w:ascii="宋体" w:hAnsi="宋体" w:cs="宋体"/>
              <w:sz w:val="22"/>
              <w:szCs w:val="21"/>
            </w:rPr>
            <w:t>否决任何或所有磋商的权利</w:t>
          </w:r>
          <w:r>
            <w:rPr>
              <w:sz w:val="22"/>
              <w:szCs w:val="21"/>
            </w:rPr>
            <w:tab/>
          </w:r>
          <w:r>
            <w:rPr>
              <w:sz w:val="22"/>
              <w:szCs w:val="21"/>
            </w:rPr>
            <w:fldChar w:fldCharType="begin"/>
          </w:r>
          <w:r>
            <w:rPr>
              <w:sz w:val="22"/>
              <w:szCs w:val="21"/>
            </w:rPr>
            <w:instrText xml:space="preserve"> PAGEREF _Toc12540 \h </w:instrText>
          </w:r>
          <w:r>
            <w:rPr>
              <w:sz w:val="22"/>
              <w:szCs w:val="21"/>
            </w:rPr>
            <w:fldChar w:fldCharType="separate"/>
          </w:r>
          <w:r>
            <w:rPr>
              <w:sz w:val="22"/>
              <w:szCs w:val="21"/>
            </w:rPr>
            <w:t>25</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"_Toc13704" </w:instrText>
          </w:r>
          <w:r>
            <w:fldChar w:fldCharType="separate"/>
          </w:r>
          <w:r>
            <w:rPr>
              <w:rFonts w:hint="default" w:ascii="Arial" w:hAnsi="Arial" w:cs="宋体"/>
              <w:sz w:val="22"/>
              <w:szCs w:val="21"/>
            </w:rPr>
            <w:t xml:space="preserve">31. </w:t>
          </w:r>
          <w:r>
            <w:rPr>
              <w:rFonts w:ascii="宋体" w:hAnsi="宋体" w:cs="宋体"/>
              <w:sz w:val="22"/>
              <w:szCs w:val="21"/>
            </w:rPr>
            <w:t>质疑与投诉</w:t>
          </w:r>
          <w:r>
            <w:rPr>
              <w:sz w:val="22"/>
              <w:szCs w:val="21"/>
            </w:rPr>
            <w:tab/>
          </w:r>
          <w:r>
            <w:rPr>
              <w:sz w:val="22"/>
              <w:szCs w:val="21"/>
            </w:rPr>
            <w:fldChar w:fldCharType="begin"/>
          </w:r>
          <w:r>
            <w:rPr>
              <w:sz w:val="22"/>
              <w:szCs w:val="21"/>
            </w:rPr>
            <w:instrText xml:space="preserve"> PAGEREF _Toc13704 \h </w:instrText>
          </w:r>
          <w:r>
            <w:rPr>
              <w:sz w:val="22"/>
              <w:szCs w:val="21"/>
            </w:rPr>
            <w:fldChar w:fldCharType="separate"/>
          </w:r>
          <w:r>
            <w:rPr>
              <w:sz w:val="22"/>
              <w:szCs w:val="21"/>
            </w:rPr>
            <w:t>25</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"_Toc30669" </w:instrText>
          </w:r>
          <w:r>
            <w:fldChar w:fldCharType="separate"/>
          </w:r>
          <w:r>
            <w:rPr>
              <w:rFonts w:ascii="宋体" w:hAnsi="宋体" w:cs="宋体"/>
              <w:sz w:val="22"/>
              <w:szCs w:val="28"/>
            </w:rPr>
            <w:t>（七）授予合同</w:t>
          </w:r>
          <w:r>
            <w:rPr>
              <w:sz w:val="22"/>
              <w:szCs w:val="21"/>
            </w:rPr>
            <w:tab/>
          </w:r>
          <w:r>
            <w:rPr>
              <w:sz w:val="22"/>
              <w:szCs w:val="21"/>
            </w:rPr>
            <w:fldChar w:fldCharType="begin"/>
          </w:r>
          <w:r>
            <w:rPr>
              <w:sz w:val="22"/>
              <w:szCs w:val="21"/>
            </w:rPr>
            <w:instrText xml:space="preserve"> PAGEREF _Toc30669 \h </w:instrText>
          </w:r>
          <w:r>
            <w:rPr>
              <w:sz w:val="22"/>
              <w:szCs w:val="21"/>
            </w:rPr>
            <w:fldChar w:fldCharType="separate"/>
          </w:r>
          <w:r>
            <w:rPr>
              <w:sz w:val="22"/>
              <w:szCs w:val="21"/>
            </w:rPr>
            <w:t>26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"_Toc8237" </w:instrText>
          </w:r>
          <w:r>
            <w:fldChar w:fldCharType="separate"/>
          </w:r>
          <w:r>
            <w:rPr>
              <w:rFonts w:hint="default" w:ascii="Arial" w:hAnsi="Arial" w:cs="宋体"/>
              <w:sz w:val="22"/>
              <w:szCs w:val="21"/>
            </w:rPr>
            <w:t xml:space="preserve">32. </w:t>
          </w:r>
          <w:r>
            <w:rPr>
              <w:rFonts w:ascii="宋体" w:hAnsi="宋体" w:cs="宋体"/>
              <w:sz w:val="22"/>
              <w:szCs w:val="21"/>
            </w:rPr>
            <w:t>成交通知</w:t>
          </w:r>
          <w:r>
            <w:rPr>
              <w:sz w:val="22"/>
              <w:szCs w:val="21"/>
            </w:rPr>
            <w:tab/>
          </w:r>
          <w:r>
            <w:rPr>
              <w:sz w:val="22"/>
              <w:szCs w:val="21"/>
            </w:rPr>
            <w:fldChar w:fldCharType="begin"/>
          </w:r>
          <w:r>
            <w:rPr>
              <w:sz w:val="22"/>
              <w:szCs w:val="21"/>
            </w:rPr>
            <w:instrText xml:space="preserve"> PAGEREF _Toc8237 \h </w:instrText>
          </w:r>
          <w:r>
            <w:rPr>
              <w:sz w:val="22"/>
              <w:szCs w:val="21"/>
            </w:rPr>
            <w:fldChar w:fldCharType="separate"/>
          </w:r>
          <w:r>
            <w:rPr>
              <w:sz w:val="22"/>
              <w:szCs w:val="21"/>
            </w:rPr>
            <w:t>26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"_Toc31920" </w:instrText>
          </w:r>
          <w:r>
            <w:fldChar w:fldCharType="separate"/>
          </w:r>
          <w:r>
            <w:rPr>
              <w:rFonts w:hint="default" w:ascii="Arial" w:hAnsi="Arial" w:cs="宋体"/>
              <w:sz w:val="22"/>
              <w:szCs w:val="21"/>
            </w:rPr>
            <w:t xml:space="preserve">33. </w:t>
          </w:r>
          <w:r>
            <w:rPr>
              <w:rFonts w:ascii="宋体" w:hAnsi="宋体" w:cs="宋体"/>
              <w:sz w:val="22"/>
              <w:szCs w:val="21"/>
            </w:rPr>
            <w:t>签订合同</w:t>
          </w:r>
          <w:r>
            <w:rPr>
              <w:sz w:val="22"/>
              <w:szCs w:val="21"/>
            </w:rPr>
            <w:tab/>
          </w:r>
          <w:r>
            <w:rPr>
              <w:sz w:val="22"/>
              <w:szCs w:val="21"/>
            </w:rPr>
            <w:fldChar w:fldCharType="begin"/>
          </w:r>
          <w:r>
            <w:rPr>
              <w:sz w:val="22"/>
              <w:szCs w:val="21"/>
            </w:rPr>
            <w:instrText xml:space="preserve"> PAGEREF _Toc31920 \h </w:instrText>
          </w:r>
          <w:r>
            <w:rPr>
              <w:sz w:val="22"/>
              <w:szCs w:val="21"/>
            </w:rPr>
            <w:fldChar w:fldCharType="separate"/>
          </w:r>
          <w:r>
            <w:rPr>
              <w:sz w:val="22"/>
              <w:szCs w:val="21"/>
            </w:rPr>
            <w:t>26</w:t>
          </w:r>
          <w:r>
            <w:rPr>
              <w:sz w:val="22"/>
              <w:szCs w:val="21"/>
            </w:rPr>
            <w:fldChar w:fldCharType="end"/>
          </w:r>
          <w:r>
            <w:rPr>
              <w:sz w:val="22"/>
              <w:szCs w:val="21"/>
            </w:rPr>
            <w:fldChar w:fldCharType="end"/>
          </w:r>
        </w:p>
        <w:p>
          <w:pPr>
            <w:pStyle w:val="13"/>
            <w:tabs>
              <w:tab w:val="right" w:leader="dot" w:pos="8306"/>
            </w:tabs>
            <w:spacing w:line="360" w:lineRule="auto"/>
            <w:rPr>
              <w:rFonts w:hint="default"/>
              <w:sz w:val="22"/>
              <w:szCs w:val="21"/>
            </w:rPr>
          </w:pPr>
          <w:r>
            <w:fldChar w:fldCharType="begin"/>
          </w:r>
          <w:r>
            <w:instrText xml:space="preserve"> HYPERLINK \l "_Toc15535" </w:instrText>
          </w:r>
          <w:r>
            <w:fldChar w:fldCharType="separate"/>
          </w:r>
          <w:r>
            <w:rPr>
              <w:rFonts w:hint="default" w:ascii="Arial" w:hAnsi="Arial" w:cs="宋体"/>
              <w:sz w:val="22"/>
              <w:szCs w:val="21"/>
            </w:rPr>
            <w:t xml:space="preserve">34. </w:t>
          </w:r>
          <w:r>
            <w:rPr>
              <w:rFonts w:ascii="宋体" w:hAnsi="宋体" w:cs="宋体"/>
              <w:sz w:val="22"/>
              <w:szCs w:val="21"/>
            </w:rPr>
            <w:t>代理服务费</w:t>
          </w:r>
          <w:r>
            <w:rPr>
              <w:sz w:val="22"/>
              <w:szCs w:val="21"/>
            </w:rPr>
            <w:tab/>
          </w:r>
          <w:r>
            <w:rPr>
              <w:sz w:val="22"/>
              <w:szCs w:val="21"/>
            </w:rPr>
            <w:fldChar w:fldCharType="begin"/>
          </w:r>
          <w:r>
            <w:rPr>
              <w:sz w:val="22"/>
              <w:szCs w:val="21"/>
            </w:rPr>
            <w:instrText xml:space="preserve"> PAGEREF _Toc15535 \h </w:instrText>
          </w:r>
          <w:r>
            <w:rPr>
              <w:sz w:val="22"/>
              <w:szCs w:val="21"/>
            </w:rPr>
            <w:fldChar w:fldCharType="separate"/>
          </w:r>
          <w:r>
            <w:rPr>
              <w:sz w:val="22"/>
              <w:szCs w:val="21"/>
            </w:rPr>
            <w:t>26</w:t>
          </w:r>
          <w:r>
            <w:rPr>
              <w:sz w:val="22"/>
              <w:szCs w:val="21"/>
            </w:rPr>
            <w:fldChar w:fldCharType="end"/>
          </w:r>
          <w:r>
            <w:rPr>
              <w:sz w:val="22"/>
              <w:szCs w:val="21"/>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"_Toc14541" </w:instrText>
          </w:r>
          <w:r>
            <w:fldChar w:fldCharType="separate"/>
          </w:r>
          <w:r>
            <w:rPr>
              <w:rFonts w:cs="宋体"/>
              <w:sz w:val="22"/>
              <w:szCs w:val="40"/>
            </w:rPr>
            <w:t>第三部分  竞争性磋商内容及要求</w:t>
          </w:r>
          <w:r>
            <w:rPr>
              <w:sz w:val="22"/>
              <w:szCs w:val="22"/>
            </w:rPr>
            <w:tab/>
          </w:r>
          <w:r>
            <w:rPr>
              <w:sz w:val="22"/>
              <w:szCs w:val="22"/>
            </w:rPr>
            <w:fldChar w:fldCharType="begin"/>
          </w:r>
          <w:r>
            <w:rPr>
              <w:sz w:val="22"/>
              <w:szCs w:val="22"/>
            </w:rPr>
            <w:instrText xml:space="preserve"> PAGEREF _Toc14541 \h </w:instrText>
          </w:r>
          <w:r>
            <w:rPr>
              <w:sz w:val="22"/>
              <w:szCs w:val="22"/>
            </w:rPr>
            <w:fldChar w:fldCharType="separate"/>
          </w:r>
          <w:r>
            <w:rPr>
              <w:sz w:val="22"/>
              <w:szCs w:val="22"/>
            </w:rPr>
            <w:t>28</w:t>
          </w:r>
          <w:r>
            <w:rPr>
              <w:sz w:val="22"/>
              <w:szCs w:val="22"/>
            </w:rPr>
            <w:fldChar w:fldCharType="end"/>
          </w:r>
          <w:r>
            <w:rPr>
              <w:sz w:val="22"/>
              <w:szCs w:val="22"/>
            </w:rPr>
            <w:fldChar w:fldCharType="end"/>
          </w:r>
        </w:p>
        <w:p>
          <w:pPr>
            <w:pStyle w:val="18"/>
            <w:tabs>
              <w:tab w:val="right" w:leader="dot" w:pos="8306"/>
            </w:tabs>
            <w:spacing w:line="360" w:lineRule="auto"/>
            <w:rPr>
              <w:rFonts w:hint="default"/>
              <w:sz w:val="22"/>
              <w:szCs w:val="21"/>
            </w:rPr>
          </w:pPr>
          <w:r>
            <w:fldChar w:fldCharType="begin"/>
          </w:r>
          <w:r>
            <w:instrText xml:space="preserve"> HYPERLINK \l "_Toc6676" </w:instrText>
          </w:r>
          <w:r>
            <w:fldChar w:fldCharType="separate"/>
          </w:r>
          <w:r>
            <w:rPr>
              <w:rFonts w:ascii="宋体" w:hAnsi="宋体" w:cs="宋体"/>
              <w:bCs/>
              <w:sz w:val="22"/>
              <w:szCs w:val="21"/>
            </w:rPr>
            <w:t>（一）概述</w:t>
          </w:r>
          <w:r>
            <w:rPr>
              <w:sz w:val="22"/>
              <w:szCs w:val="21"/>
            </w:rPr>
            <w:tab/>
          </w:r>
          <w:r>
            <w:rPr>
              <w:sz w:val="22"/>
              <w:szCs w:val="21"/>
            </w:rPr>
            <w:fldChar w:fldCharType="begin"/>
          </w:r>
          <w:r>
            <w:rPr>
              <w:sz w:val="22"/>
              <w:szCs w:val="21"/>
            </w:rPr>
            <w:instrText xml:space="preserve"> PAGEREF _Toc6676 \h </w:instrText>
          </w:r>
          <w:r>
            <w:rPr>
              <w:sz w:val="22"/>
              <w:szCs w:val="21"/>
            </w:rPr>
            <w:fldChar w:fldCharType="separate"/>
          </w:r>
          <w:r>
            <w:rPr>
              <w:sz w:val="22"/>
              <w:szCs w:val="21"/>
            </w:rPr>
            <w:t>28</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"_Toc6023" </w:instrText>
          </w:r>
          <w:r>
            <w:fldChar w:fldCharType="separate"/>
          </w:r>
          <w:r>
            <w:rPr>
              <w:rFonts w:ascii="宋体"/>
              <w:bCs/>
              <w:sz w:val="22"/>
              <w:szCs w:val="28"/>
            </w:rPr>
            <w:t>（二）</w:t>
          </w:r>
          <w:r>
            <w:rPr>
              <w:bCs/>
              <w:sz w:val="22"/>
              <w:szCs w:val="28"/>
            </w:rPr>
            <w:t>采购内容及要求</w:t>
          </w:r>
          <w:r>
            <w:rPr>
              <w:sz w:val="22"/>
              <w:szCs w:val="21"/>
            </w:rPr>
            <w:tab/>
          </w:r>
          <w:r>
            <w:rPr>
              <w:sz w:val="22"/>
              <w:szCs w:val="21"/>
            </w:rPr>
            <w:fldChar w:fldCharType="begin"/>
          </w:r>
          <w:r>
            <w:rPr>
              <w:sz w:val="22"/>
              <w:szCs w:val="21"/>
            </w:rPr>
            <w:instrText xml:space="preserve"> PAGEREF _Toc6023 \h </w:instrText>
          </w:r>
          <w:r>
            <w:rPr>
              <w:sz w:val="22"/>
              <w:szCs w:val="21"/>
            </w:rPr>
            <w:fldChar w:fldCharType="separate"/>
          </w:r>
          <w:r>
            <w:rPr>
              <w:sz w:val="22"/>
              <w:szCs w:val="21"/>
            </w:rPr>
            <w:t>29</w:t>
          </w:r>
          <w:r>
            <w:rPr>
              <w:sz w:val="22"/>
              <w:szCs w:val="21"/>
            </w:rPr>
            <w:fldChar w:fldCharType="end"/>
          </w:r>
          <w:r>
            <w:rPr>
              <w:sz w:val="22"/>
              <w:szCs w:val="21"/>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"_Toc5321" </w:instrText>
          </w:r>
          <w:r>
            <w:fldChar w:fldCharType="separate"/>
          </w:r>
          <w:r>
            <w:rPr>
              <w:rFonts w:cs="宋体"/>
              <w:sz w:val="22"/>
              <w:szCs w:val="40"/>
            </w:rPr>
            <w:t>第四部分  合同条款</w:t>
          </w:r>
          <w:r>
            <w:rPr>
              <w:sz w:val="22"/>
              <w:szCs w:val="22"/>
            </w:rPr>
            <w:tab/>
          </w:r>
          <w:r>
            <w:rPr>
              <w:sz w:val="22"/>
              <w:szCs w:val="22"/>
            </w:rPr>
            <w:fldChar w:fldCharType="begin"/>
          </w:r>
          <w:r>
            <w:rPr>
              <w:sz w:val="22"/>
              <w:szCs w:val="22"/>
            </w:rPr>
            <w:instrText xml:space="preserve"> PAGEREF _Toc5321 \h </w:instrText>
          </w:r>
          <w:r>
            <w:rPr>
              <w:sz w:val="22"/>
              <w:szCs w:val="22"/>
            </w:rPr>
            <w:fldChar w:fldCharType="separate"/>
          </w:r>
          <w:r>
            <w:rPr>
              <w:sz w:val="22"/>
              <w:szCs w:val="22"/>
            </w:rPr>
            <w:t>36</w:t>
          </w:r>
          <w:r>
            <w:rPr>
              <w:sz w:val="22"/>
              <w:szCs w:val="22"/>
            </w:rPr>
            <w:fldChar w:fldCharType="end"/>
          </w:r>
          <w:r>
            <w:rPr>
              <w:sz w:val="22"/>
              <w:szCs w:val="22"/>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"_Toc28647" </w:instrText>
          </w:r>
          <w:r>
            <w:fldChar w:fldCharType="separate"/>
          </w:r>
          <w:r>
            <w:rPr>
              <w:rFonts w:cs="宋体"/>
              <w:sz w:val="22"/>
              <w:szCs w:val="40"/>
            </w:rPr>
            <w:t>第五部分  磋商响应文件格式</w:t>
          </w:r>
          <w:r>
            <w:rPr>
              <w:sz w:val="22"/>
              <w:szCs w:val="22"/>
            </w:rPr>
            <w:tab/>
          </w:r>
          <w:r>
            <w:rPr>
              <w:sz w:val="22"/>
              <w:szCs w:val="22"/>
            </w:rPr>
            <w:fldChar w:fldCharType="begin"/>
          </w:r>
          <w:r>
            <w:rPr>
              <w:sz w:val="22"/>
              <w:szCs w:val="22"/>
            </w:rPr>
            <w:instrText xml:space="preserve"> PAGEREF _Toc28647 \h </w:instrText>
          </w:r>
          <w:r>
            <w:rPr>
              <w:sz w:val="22"/>
              <w:szCs w:val="22"/>
            </w:rPr>
            <w:fldChar w:fldCharType="separate"/>
          </w:r>
          <w:r>
            <w:rPr>
              <w:sz w:val="22"/>
              <w:szCs w:val="22"/>
            </w:rPr>
            <w:t>44</w:t>
          </w:r>
          <w:r>
            <w:rPr>
              <w:sz w:val="22"/>
              <w:szCs w:val="22"/>
            </w:rPr>
            <w:fldChar w:fldCharType="end"/>
          </w:r>
          <w:r>
            <w:rPr>
              <w:sz w:val="22"/>
              <w:szCs w:val="22"/>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"_Toc2767" </w:instrText>
          </w:r>
          <w:r>
            <w:fldChar w:fldCharType="separate"/>
          </w:r>
          <w:r>
            <w:rPr>
              <w:rFonts w:ascii="宋体" w:hAnsi="宋体" w:cs="宋体"/>
              <w:bCs/>
              <w:sz w:val="22"/>
              <w:szCs w:val="32"/>
            </w:rPr>
            <w:t>附件一    资格、资质证明文件</w:t>
          </w:r>
          <w:r>
            <w:rPr>
              <w:sz w:val="22"/>
              <w:szCs w:val="21"/>
            </w:rPr>
            <w:tab/>
          </w:r>
          <w:r>
            <w:rPr>
              <w:sz w:val="22"/>
              <w:szCs w:val="21"/>
            </w:rPr>
            <w:fldChar w:fldCharType="begin"/>
          </w:r>
          <w:r>
            <w:rPr>
              <w:sz w:val="22"/>
              <w:szCs w:val="21"/>
            </w:rPr>
            <w:instrText xml:space="preserve"> PAGEREF _Toc2767 \h </w:instrText>
          </w:r>
          <w:r>
            <w:rPr>
              <w:sz w:val="22"/>
              <w:szCs w:val="21"/>
            </w:rPr>
            <w:fldChar w:fldCharType="separate"/>
          </w:r>
          <w:r>
            <w:rPr>
              <w:sz w:val="22"/>
              <w:szCs w:val="21"/>
            </w:rPr>
            <w:t>45</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"_Toc1664" </w:instrText>
          </w:r>
          <w:r>
            <w:fldChar w:fldCharType="separate"/>
          </w:r>
          <w:r>
            <w:rPr>
              <w:rFonts w:ascii="宋体" w:hAnsi="宋体" w:cs="宋体"/>
              <w:bCs/>
              <w:sz w:val="22"/>
              <w:szCs w:val="32"/>
            </w:rPr>
            <w:t>附件二    关于满足《中华人民共和国政府采购法》第二十二条规定的承诺函</w:t>
          </w:r>
          <w:r>
            <w:rPr>
              <w:sz w:val="22"/>
              <w:szCs w:val="21"/>
            </w:rPr>
            <w:tab/>
          </w:r>
          <w:r>
            <w:rPr>
              <w:sz w:val="22"/>
              <w:szCs w:val="21"/>
            </w:rPr>
            <w:fldChar w:fldCharType="begin"/>
          </w:r>
          <w:r>
            <w:rPr>
              <w:sz w:val="22"/>
              <w:szCs w:val="21"/>
            </w:rPr>
            <w:instrText xml:space="preserve"> PAGEREF _Toc1664 \h </w:instrText>
          </w:r>
          <w:r>
            <w:rPr>
              <w:sz w:val="22"/>
              <w:szCs w:val="21"/>
            </w:rPr>
            <w:fldChar w:fldCharType="separate"/>
          </w:r>
          <w:r>
            <w:rPr>
              <w:sz w:val="22"/>
              <w:szCs w:val="21"/>
            </w:rPr>
            <w:t>46</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"_Toc31396" </w:instrText>
          </w:r>
          <w:r>
            <w:fldChar w:fldCharType="separate"/>
          </w:r>
          <w:r>
            <w:rPr>
              <w:rFonts w:ascii="宋体" w:hAnsi="宋体" w:cs="宋体"/>
              <w:bCs/>
              <w:sz w:val="22"/>
              <w:szCs w:val="32"/>
            </w:rPr>
            <w:t>附件三-1  法定代表人授权委托书</w:t>
          </w:r>
          <w:r>
            <w:rPr>
              <w:sz w:val="22"/>
              <w:szCs w:val="21"/>
            </w:rPr>
            <w:tab/>
          </w:r>
          <w:r>
            <w:rPr>
              <w:sz w:val="22"/>
              <w:szCs w:val="21"/>
            </w:rPr>
            <w:fldChar w:fldCharType="begin"/>
          </w:r>
          <w:r>
            <w:rPr>
              <w:sz w:val="22"/>
              <w:szCs w:val="21"/>
            </w:rPr>
            <w:instrText xml:space="preserve"> PAGEREF _Toc31396 \h </w:instrText>
          </w:r>
          <w:r>
            <w:rPr>
              <w:sz w:val="22"/>
              <w:szCs w:val="21"/>
            </w:rPr>
            <w:fldChar w:fldCharType="separate"/>
          </w:r>
          <w:r>
            <w:rPr>
              <w:sz w:val="22"/>
              <w:szCs w:val="21"/>
            </w:rPr>
            <w:t>47</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"_Toc17217" </w:instrText>
          </w:r>
          <w:r>
            <w:fldChar w:fldCharType="separate"/>
          </w:r>
          <w:r>
            <w:rPr>
              <w:rFonts w:ascii="宋体" w:hAnsi="宋体" w:cs="宋体"/>
              <w:bCs/>
              <w:sz w:val="22"/>
              <w:szCs w:val="32"/>
            </w:rPr>
            <w:t>附件三-2  法定代表人身份证明</w:t>
          </w:r>
          <w:r>
            <w:rPr>
              <w:sz w:val="22"/>
              <w:szCs w:val="21"/>
            </w:rPr>
            <w:tab/>
          </w:r>
          <w:r>
            <w:rPr>
              <w:sz w:val="22"/>
              <w:szCs w:val="21"/>
            </w:rPr>
            <w:fldChar w:fldCharType="begin"/>
          </w:r>
          <w:r>
            <w:rPr>
              <w:sz w:val="22"/>
              <w:szCs w:val="21"/>
            </w:rPr>
            <w:instrText xml:space="preserve"> PAGEREF _Toc17217 \h </w:instrText>
          </w:r>
          <w:r>
            <w:rPr>
              <w:sz w:val="22"/>
              <w:szCs w:val="21"/>
            </w:rPr>
            <w:fldChar w:fldCharType="separate"/>
          </w:r>
          <w:r>
            <w:rPr>
              <w:sz w:val="22"/>
              <w:szCs w:val="21"/>
            </w:rPr>
            <w:t>48</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"_Toc10810" </w:instrText>
          </w:r>
          <w:r>
            <w:fldChar w:fldCharType="separate"/>
          </w:r>
          <w:r>
            <w:rPr>
              <w:rFonts w:ascii="宋体" w:hAnsi="宋体" w:cs="宋体"/>
              <w:bCs/>
              <w:kern w:val="0"/>
              <w:sz w:val="22"/>
              <w:szCs w:val="32"/>
            </w:rPr>
            <w:t>附件四    中小企业声明函（服务）</w:t>
          </w:r>
          <w:r>
            <w:rPr>
              <w:sz w:val="22"/>
              <w:szCs w:val="21"/>
            </w:rPr>
            <w:tab/>
          </w:r>
          <w:r>
            <w:rPr>
              <w:sz w:val="22"/>
              <w:szCs w:val="21"/>
            </w:rPr>
            <w:fldChar w:fldCharType="begin"/>
          </w:r>
          <w:r>
            <w:rPr>
              <w:sz w:val="22"/>
              <w:szCs w:val="21"/>
            </w:rPr>
            <w:instrText xml:space="preserve"> PAGEREF _Toc10810 \h </w:instrText>
          </w:r>
          <w:r>
            <w:rPr>
              <w:sz w:val="22"/>
              <w:szCs w:val="21"/>
            </w:rPr>
            <w:fldChar w:fldCharType="separate"/>
          </w:r>
          <w:r>
            <w:rPr>
              <w:sz w:val="22"/>
              <w:szCs w:val="21"/>
            </w:rPr>
            <w:t>49</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"_Toc25364" </w:instrText>
          </w:r>
          <w:r>
            <w:fldChar w:fldCharType="separate"/>
          </w:r>
          <w:r>
            <w:rPr>
              <w:rFonts w:ascii="宋体" w:hAnsi="宋体" w:cs="宋体"/>
              <w:bCs/>
              <w:kern w:val="0"/>
              <w:sz w:val="22"/>
              <w:szCs w:val="32"/>
            </w:rPr>
            <w:t>附件五    残疾人福利性单位声明函</w:t>
          </w:r>
          <w:r>
            <w:rPr>
              <w:sz w:val="22"/>
              <w:szCs w:val="21"/>
            </w:rPr>
            <w:tab/>
          </w:r>
          <w:r>
            <w:rPr>
              <w:sz w:val="22"/>
              <w:szCs w:val="21"/>
            </w:rPr>
            <w:fldChar w:fldCharType="begin"/>
          </w:r>
          <w:r>
            <w:rPr>
              <w:sz w:val="22"/>
              <w:szCs w:val="21"/>
            </w:rPr>
            <w:instrText xml:space="preserve"> PAGEREF _Toc25364 \h </w:instrText>
          </w:r>
          <w:r>
            <w:rPr>
              <w:sz w:val="22"/>
              <w:szCs w:val="21"/>
            </w:rPr>
            <w:fldChar w:fldCharType="separate"/>
          </w:r>
          <w:r>
            <w:rPr>
              <w:sz w:val="22"/>
              <w:szCs w:val="21"/>
            </w:rPr>
            <w:t>50</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"_Toc7847" </w:instrText>
          </w:r>
          <w:r>
            <w:fldChar w:fldCharType="separate"/>
          </w:r>
          <w:r>
            <w:rPr>
              <w:rFonts w:ascii="宋体" w:hAnsi="宋体" w:cs="宋体"/>
              <w:bCs/>
              <w:sz w:val="22"/>
              <w:szCs w:val="32"/>
            </w:rPr>
            <w:t>附件六    磋商响应函</w:t>
          </w:r>
          <w:r>
            <w:rPr>
              <w:sz w:val="22"/>
              <w:szCs w:val="21"/>
            </w:rPr>
            <w:tab/>
          </w:r>
          <w:r>
            <w:rPr>
              <w:sz w:val="22"/>
              <w:szCs w:val="21"/>
            </w:rPr>
            <w:fldChar w:fldCharType="begin"/>
          </w:r>
          <w:r>
            <w:rPr>
              <w:sz w:val="22"/>
              <w:szCs w:val="21"/>
            </w:rPr>
            <w:instrText xml:space="preserve"> PAGEREF _Toc7847 \h </w:instrText>
          </w:r>
          <w:r>
            <w:rPr>
              <w:sz w:val="22"/>
              <w:szCs w:val="21"/>
            </w:rPr>
            <w:fldChar w:fldCharType="separate"/>
          </w:r>
          <w:r>
            <w:rPr>
              <w:sz w:val="22"/>
              <w:szCs w:val="21"/>
            </w:rPr>
            <w:t>51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"_Toc27452" </w:instrText>
          </w:r>
          <w:r>
            <w:fldChar w:fldCharType="separate"/>
          </w:r>
          <w:r>
            <w:rPr>
              <w:rFonts w:ascii="宋体" w:hAnsi="宋体" w:cs="宋体"/>
              <w:bCs/>
              <w:sz w:val="22"/>
              <w:szCs w:val="32"/>
            </w:rPr>
            <w:t>附件七    磋商供应商情况一览表</w:t>
          </w:r>
          <w:r>
            <w:rPr>
              <w:sz w:val="22"/>
              <w:szCs w:val="21"/>
            </w:rPr>
            <w:tab/>
          </w:r>
          <w:r>
            <w:rPr>
              <w:sz w:val="22"/>
              <w:szCs w:val="21"/>
            </w:rPr>
            <w:fldChar w:fldCharType="begin"/>
          </w:r>
          <w:r>
            <w:rPr>
              <w:sz w:val="22"/>
              <w:szCs w:val="21"/>
            </w:rPr>
            <w:instrText xml:space="preserve"> PAGEREF _Toc27452 \h </w:instrText>
          </w:r>
          <w:r>
            <w:rPr>
              <w:sz w:val="22"/>
              <w:szCs w:val="21"/>
            </w:rPr>
            <w:fldChar w:fldCharType="separate"/>
          </w:r>
          <w:r>
            <w:rPr>
              <w:sz w:val="22"/>
              <w:szCs w:val="21"/>
            </w:rPr>
            <w:t>52</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"_Toc12932" </w:instrText>
          </w:r>
          <w:r>
            <w:fldChar w:fldCharType="separate"/>
          </w:r>
          <w:r>
            <w:rPr>
              <w:rFonts w:ascii="宋体" w:hAnsi="宋体" w:cs="宋体"/>
              <w:bCs/>
              <w:sz w:val="22"/>
              <w:szCs w:val="32"/>
            </w:rPr>
            <w:t>附件八    少量偏离表</w:t>
          </w:r>
          <w:r>
            <w:rPr>
              <w:sz w:val="22"/>
              <w:szCs w:val="21"/>
            </w:rPr>
            <w:tab/>
          </w:r>
          <w:r>
            <w:rPr>
              <w:sz w:val="22"/>
              <w:szCs w:val="21"/>
            </w:rPr>
            <w:fldChar w:fldCharType="begin"/>
          </w:r>
          <w:r>
            <w:rPr>
              <w:sz w:val="22"/>
              <w:szCs w:val="21"/>
            </w:rPr>
            <w:instrText xml:space="preserve"> PAGEREF _Toc12932 \h </w:instrText>
          </w:r>
          <w:r>
            <w:rPr>
              <w:sz w:val="22"/>
              <w:szCs w:val="21"/>
            </w:rPr>
            <w:fldChar w:fldCharType="separate"/>
          </w:r>
          <w:r>
            <w:rPr>
              <w:sz w:val="22"/>
              <w:szCs w:val="21"/>
            </w:rPr>
            <w:t>53</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"_Toc18449" </w:instrText>
          </w:r>
          <w:r>
            <w:fldChar w:fldCharType="separate"/>
          </w:r>
          <w:r>
            <w:rPr>
              <w:rFonts w:ascii="宋体" w:hAnsi="宋体" w:cs="宋体"/>
              <w:bCs/>
              <w:sz w:val="22"/>
              <w:szCs w:val="32"/>
            </w:rPr>
            <w:t>附件九    项目负责人简历表</w:t>
          </w:r>
          <w:r>
            <w:rPr>
              <w:sz w:val="22"/>
              <w:szCs w:val="21"/>
            </w:rPr>
            <w:tab/>
          </w:r>
          <w:r>
            <w:rPr>
              <w:sz w:val="22"/>
              <w:szCs w:val="21"/>
            </w:rPr>
            <w:fldChar w:fldCharType="begin"/>
          </w:r>
          <w:r>
            <w:rPr>
              <w:sz w:val="22"/>
              <w:szCs w:val="21"/>
            </w:rPr>
            <w:instrText xml:space="preserve"> PAGEREF _Toc18449 \h </w:instrText>
          </w:r>
          <w:r>
            <w:rPr>
              <w:sz w:val="22"/>
              <w:szCs w:val="21"/>
            </w:rPr>
            <w:fldChar w:fldCharType="separate"/>
          </w:r>
          <w:r>
            <w:rPr>
              <w:sz w:val="22"/>
              <w:szCs w:val="21"/>
            </w:rPr>
            <w:t>54</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"_Toc22694" </w:instrText>
          </w:r>
          <w:r>
            <w:fldChar w:fldCharType="separate"/>
          </w:r>
          <w:r>
            <w:rPr>
              <w:rFonts w:ascii="Arial" w:hAnsi="Arial" w:cs="Arial"/>
              <w:sz w:val="22"/>
              <w:szCs w:val="21"/>
            </w:rPr>
            <w:t>附件十    拟投入本项目服务人员配备情况表</w:t>
          </w:r>
          <w:r>
            <w:rPr>
              <w:sz w:val="22"/>
              <w:szCs w:val="21"/>
            </w:rPr>
            <w:tab/>
          </w:r>
          <w:r>
            <w:rPr>
              <w:sz w:val="22"/>
              <w:szCs w:val="21"/>
            </w:rPr>
            <w:fldChar w:fldCharType="begin"/>
          </w:r>
          <w:r>
            <w:rPr>
              <w:sz w:val="22"/>
              <w:szCs w:val="21"/>
            </w:rPr>
            <w:instrText xml:space="preserve"> PAGEREF _Toc22694 \h </w:instrText>
          </w:r>
          <w:r>
            <w:rPr>
              <w:sz w:val="22"/>
              <w:szCs w:val="21"/>
            </w:rPr>
            <w:fldChar w:fldCharType="separate"/>
          </w:r>
          <w:r>
            <w:rPr>
              <w:sz w:val="22"/>
              <w:szCs w:val="21"/>
            </w:rPr>
            <w:t>55</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"_Toc15760" </w:instrText>
          </w:r>
          <w:r>
            <w:fldChar w:fldCharType="separate"/>
          </w:r>
          <w:r>
            <w:rPr>
              <w:rFonts w:ascii="Arial" w:hAnsi="Arial" w:cs="Arial"/>
              <w:sz w:val="22"/>
              <w:szCs w:val="21"/>
            </w:rPr>
            <w:t>附件十一  磋商供应</w:t>
          </w:r>
          <w:r>
            <w:rPr>
              <w:rFonts w:ascii="Arial" w:hAnsi="Arial" w:cs="Arial"/>
              <w:sz w:val="22"/>
              <w:szCs w:val="32"/>
            </w:rPr>
            <w:t>商</w:t>
          </w:r>
          <w:r>
            <w:rPr>
              <w:rFonts w:ascii="Arial" w:hAnsi="Arial" w:cs="Arial"/>
              <w:kern w:val="28"/>
              <w:sz w:val="22"/>
              <w:szCs w:val="32"/>
            </w:rPr>
            <w:t>2020年1月1日</w:t>
          </w:r>
          <w:r>
            <w:rPr>
              <w:rFonts w:ascii="Arial" w:hAnsi="Arial" w:cs="Arial"/>
              <w:sz w:val="22"/>
              <w:szCs w:val="21"/>
            </w:rPr>
            <w:t>以来同类业绩一览表</w:t>
          </w:r>
          <w:r>
            <w:rPr>
              <w:sz w:val="22"/>
              <w:szCs w:val="21"/>
            </w:rPr>
            <w:tab/>
          </w:r>
          <w:r>
            <w:rPr>
              <w:sz w:val="22"/>
              <w:szCs w:val="21"/>
            </w:rPr>
            <w:fldChar w:fldCharType="begin"/>
          </w:r>
          <w:r>
            <w:rPr>
              <w:sz w:val="22"/>
              <w:szCs w:val="21"/>
            </w:rPr>
            <w:instrText xml:space="preserve"> PAGEREF _Toc15760 \h </w:instrText>
          </w:r>
          <w:r>
            <w:rPr>
              <w:sz w:val="22"/>
              <w:szCs w:val="21"/>
            </w:rPr>
            <w:fldChar w:fldCharType="separate"/>
          </w:r>
          <w:r>
            <w:rPr>
              <w:sz w:val="22"/>
              <w:szCs w:val="21"/>
            </w:rPr>
            <w:t>56</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"_Toc18692" </w:instrText>
          </w:r>
          <w:r>
            <w:fldChar w:fldCharType="separate"/>
          </w:r>
          <w:r>
            <w:rPr>
              <w:rFonts w:ascii="Arial" w:hAnsi="Arial" w:cs="Arial"/>
              <w:bCs/>
              <w:sz w:val="22"/>
              <w:szCs w:val="21"/>
            </w:rPr>
            <w:t>附件十二  投入车辆、设备及工具一览表</w:t>
          </w:r>
          <w:r>
            <w:rPr>
              <w:sz w:val="22"/>
              <w:szCs w:val="21"/>
            </w:rPr>
            <w:tab/>
          </w:r>
          <w:r>
            <w:rPr>
              <w:sz w:val="22"/>
              <w:szCs w:val="21"/>
            </w:rPr>
            <w:fldChar w:fldCharType="begin"/>
          </w:r>
          <w:r>
            <w:rPr>
              <w:sz w:val="22"/>
              <w:szCs w:val="21"/>
            </w:rPr>
            <w:instrText xml:space="preserve"> PAGEREF _Toc18692 \h </w:instrText>
          </w:r>
          <w:r>
            <w:rPr>
              <w:sz w:val="22"/>
              <w:szCs w:val="21"/>
            </w:rPr>
            <w:fldChar w:fldCharType="separate"/>
          </w:r>
          <w:r>
            <w:rPr>
              <w:sz w:val="22"/>
              <w:szCs w:val="21"/>
            </w:rPr>
            <w:t>57</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"_Toc15745" </w:instrText>
          </w:r>
          <w:r>
            <w:fldChar w:fldCharType="separate"/>
          </w:r>
          <w:r>
            <w:rPr>
              <w:bCs/>
              <w:sz w:val="22"/>
              <w:szCs w:val="32"/>
            </w:rPr>
            <w:t>附件十三  报价一览表</w:t>
          </w:r>
          <w:r>
            <w:rPr>
              <w:sz w:val="22"/>
              <w:szCs w:val="21"/>
            </w:rPr>
            <w:tab/>
          </w:r>
          <w:r>
            <w:rPr>
              <w:sz w:val="22"/>
              <w:szCs w:val="21"/>
            </w:rPr>
            <w:fldChar w:fldCharType="begin"/>
          </w:r>
          <w:r>
            <w:rPr>
              <w:sz w:val="22"/>
              <w:szCs w:val="21"/>
            </w:rPr>
            <w:instrText xml:space="preserve"> PAGEREF _Toc15745 \h </w:instrText>
          </w:r>
          <w:r>
            <w:rPr>
              <w:sz w:val="22"/>
              <w:szCs w:val="21"/>
            </w:rPr>
            <w:fldChar w:fldCharType="separate"/>
          </w:r>
          <w:r>
            <w:rPr>
              <w:sz w:val="22"/>
              <w:szCs w:val="21"/>
            </w:rPr>
            <w:t>58</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"_Toc2865" </w:instrText>
          </w:r>
          <w:r>
            <w:fldChar w:fldCharType="separate"/>
          </w:r>
          <w:r>
            <w:rPr>
              <w:bCs/>
              <w:sz w:val="22"/>
              <w:szCs w:val="32"/>
            </w:rPr>
            <w:t>附件十四  投标分项报价表</w:t>
          </w:r>
          <w:r>
            <w:rPr>
              <w:sz w:val="22"/>
              <w:szCs w:val="21"/>
            </w:rPr>
            <w:tab/>
          </w:r>
          <w:r>
            <w:rPr>
              <w:sz w:val="22"/>
              <w:szCs w:val="21"/>
            </w:rPr>
            <w:fldChar w:fldCharType="begin"/>
          </w:r>
          <w:r>
            <w:rPr>
              <w:sz w:val="22"/>
              <w:szCs w:val="21"/>
            </w:rPr>
            <w:instrText xml:space="preserve"> PAGEREF _Toc2865 \h </w:instrText>
          </w:r>
          <w:r>
            <w:rPr>
              <w:sz w:val="22"/>
              <w:szCs w:val="21"/>
            </w:rPr>
            <w:fldChar w:fldCharType="separate"/>
          </w:r>
          <w:r>
            <w:rPr>
              <w:sz w:val="22"/>
              <w:szCs w:val="21"/>
            </w:rPr>
            <w:t>59</w:t>
          </w:r>
          <w:r>
            <w:rPr>
              <w:sz w:val="22"/>
              <w:szCs w:val="21"/>
            </w:rPr>
            <w:fldChar w:fldCharType="end"/>
          </w:r>
          <w:r>
            <w:rPr>
              <w:sz w:val="22"/>
              <w:szCs w:val="21"/>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"_Toc4507" </w:instrText>
          </w:r>
          <w:r>
            <w:fldChar w:fldCharType="separate"/>
          </w:r>
          <w:r>
            <w:rPr>
              <w:rFonts w:cs="宋体"/>
              <w:sz w:val="22"/>
              <w:szCs w:val="40"/>
            </w:rPr>
            <w:t>第六部分  评定办法</w:t>
          </w:r>
          <w:r>
            <w:rPr>
              <w:sz w:val="22"/>
              <w:szCs w:val="22"/>
            </w:rPr>
            <w:tab/>
          </w:r>
          <w:r>
            <w:rPr>
              <w:sz w:val="22"/>
              <w:szCs w:val="22"/>
            </w:rPr>
            <w:fldChar w:fldCharType="begin"/>
          </w:r>
          <w:r>
            <w:rPr>
              <w:sz w:val="22"/>
              <w:szCs w:val="22"/>
            </w:rPr>
            <w:instrText xml:space="preserve"> PAGEREF _Toc4507 \h </w:instrText>
          </w:r>
          <w:r>
            <w:rPr>
              <w:sz w:val="22"/>
              <w:szCs w:val="22"/>
            </w:rPr>
            <w:fldChar w:fldCharType="separate"/>
          </w:r>
          <w:r>
            <w:rPr>
              <w:sz w:val="22"/>
              <w:szCs w:val="22"/>
            </w:rPr>
            <w:t>61</w:t>
          </w:r>
          <w:r>
            <w:rPr>
              <w:sz w:val="22"/>
              <w:szCs w:val="22"/>
            </w:rPr>
            <w:fldChar w:fldCharType="end"/>
          </w:r>
          <w:r>
            <w:rPr>
              <w:sz w:val="22"/>
              <w:szCs w:val="22"/>
            </w:rPr>
            <w:fldChar w:fldCharType="end"/>
          </w:r>
        </w:p>
        <w:p>
          <w:pPr>
            <w:pStyle w:val="18"/>
            <w:tabs>
              <w:tab w:val="right" w:leader="dot" w:pos="8306"/>
            </w:tabs>
            <w:spacing w:line="360" w:lineRule="auto"/>
            <w:rPr>
              <w:rFonts w:hint="default"/>
              <w:sz w:val="22"/>
              <w:szCs w:val="21"/>
            </w:rPr>
          </w:pPr>
          <w:r>
            <w:fldChar w:fldCharType="begin"/>
          </w:r>
          <w:r>
            <w:instrText xml:space="preserve"> HYPERLINK \l "_Toc7454" </w:instrText>
          </w:r>
          <w:r>
            <w:fldChar w:fldCharType="separate"/>
          </w:r>
          <w:r>
            <w:rPr>
              <w:rFonts w:ascii="宋体" w:hAnsi="宋体" w:cs="宋体"/>
              <w:bCs/>
              <w:kern w:val="28"/>
              <w:sz w:val="22"/>
              <w:szCs w:val="21"/>
            </w:rPr>
            <w:t>一、评定原则</w:t>
          </w:r>
          <w:r>
            <w:rPr>
              <w:sz w:val="22"/>
              <w:szCs w:val="21"/>
            </w:rPr>
            <w:tab/>
          </w:r>
          <w:r>
            <w:rPr>
              <w:sz w:val="22"/>
              <w:szCs w:val="21"/>
            </w:rPr>
            <w:fldChar w:fldCharType="begin"/>
          </w:r>
          <w:r>
            <w:rPr>
              <w:sz w:val="22"/>
              <w:szCs w:val="21"/>
            </w:rPr>
            <w:instrText xml:space="preserve"> PAGEREF _Toc7454 \h </w:instrText>
          </w:r>
          <w:r>
            <w:rPr>
              <w:sz w:val="22"/>
              <w:szCs w:val="21"/>
            </w:rPr>
            <w:fldChar w:fldCharType="separate"/>
          </w:r>
          <w:r>
            <w:rPr>
              <w:sz w:val="22"/>
              <w:szCs w:val="21"/>
            </w:rPr>
            <w:t>61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"_Toc5819" </w:instrText>
          </w:r>
          <w:r>
            <w:fldChar w:fldCharType="separate"/>
          </w:r>
          <w:r>
            <w:rPr>
              <w:rFonts w:ascii="宋体" w:hAnsi="宋体" w:cs="宋体"/>
              <w:bCs/>
              <w:kern w:val="28"/>
              <w:sz w:val="22"/>
              <w:szCs w:val="21"/>
            </w:rPr>
            <w:t>二、评标组织</w:t>
          </w:r>
          <w:r>
            <w:rPr>
              <w:sz w:val="22"/>
              <w:szCs w:val="21"/>
            </w:rPr>
            <w:tab/>
          </w:r>
          <w:r>
            <w:rPr>
              <w:sz w:val="22"/>
              <w:szCs w:val="21"/>
            </w:rPr>
            <w:fldChar w:fldCharType="begin"/>
          </w:r>
          <w:r>
            <w:rPr>
              <w:sz w:val="22"/>
              <w:szCs w:val="21"/>
            </w:rPr>
            <w:instrText xml:space="preserve"> PAGEREF _Toc5819 \h </w:instrText>
          </w:r>
          <w:r>
            <w:rPr>
              <w:sz w:val="22"/>
              <w:szCs w:val="21"/>
            </w:rPr>
            <w:fldChar w:fldCharType="separate"/>
          </w:r>
          <w:r>
            <w:rPr>
              <w:sz w:val="22"/>
              <w:szCs w:val="21"/>
            </w:rPr>
            <w:t>61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"_Toc11299" </w:instrText>
          </w:r>
          <w:r>
            <w:fldChar w:fldCharType="separate"/>
          </w:r>
          <w:r>
            <w:rPr>
              <w:rFonts w:ascii="宋体" w:hAnsi="宋体" w:cs="宋体"/>
              <w:bCs/>
              <w:kern w:val="28"/>
              <w:sz w:val="22"/>
              <w:szCs w:val="21"/>
            </w:rPr>
            <w:t>三、评定办法</w:t>
          </w:r>
          <w:r>
            <w:rPr>
              <w:sz w:val="22"/>
              <w:szCs w:val="21"/>
            </w:rPr>
            <w:tab/>
          </w:r>
          <w:r>
            <w:rPr>
              <w:sz w:val="22"/>
              <w:szCs w:val="21"/>
            </w:rPr>
            <w:fldChar w:fldCharType="begin"/>
          </w:r>
          <w:r>
            <w:rPr>
              <w:sz w:val="22"/>
              <w:szCs w:val="21"/>
            </w:rPr>
            <w:instrText xml:space="preserve"> PAGEREF _Toc11299 \h </w:instrText>
          </w:r>
          <w:r>
            <w:rPr>
              <w:sz w:val="22"/>
              <w:szCs w:val="21"/>
            </w:rPr>
            <w:fldChar w:fldCharType="separate"/>
          </w:r>
          <w:r>
            <w:rPr>
              <w:sz w:val="22"/>
              <w:szCs w:val="21"/>
            </w:rPr>
            <w:t>61</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"_Toc11963" </w:instrText>
          </w:r>
          <w:r>
            <w:fldChar w:fldCharType="separate"/>
          </w:r>
          <w:r>
            <w:rPr>
              <w:rFonts w:ascii="宋体" w:hAnsi="宋体" w:cs="宋体"/>
              <w:bCs/>
              <w:kern w:val="28"/>
              <w:sz w:val="22"/>
              <w:szCs w:val="21"/>
            </w:rPr>
            <w:t>四、评定结果</w:t>
          </w:r>
          <w:r>
            <w:rPr>
              <w:sz w:val="22"/>
              <w:szCs w:val="21"/>
            </w:rPr>
            <w:tab/>
          </w:r>
          <w:r>
            <w:rPr>
              <w:sz w:val="22"/>
              <w:szCs w:val="21"/>
            </w:rPr>
            <w:fldChar w:fldCharType="begin"/>
          </w:r>
          <w:r>
            <w:rPr>
              <w:sz w:val="22"/>
              <w:szCs w:val="21"/>
            </w:rPr>
            <w:instrText xml:space="preserve"> PAGEREF _Toc11963 \h </w:instrText>
          </w:r>
          <w:r>
            <w:rPr>
              <w:sz w:val="22"/>
              <w:szCs w:val="21"/>
            </w:rPr>
            <w:fldChar w:fldCharType="separate"/>
          </w:r>
          <w:r>
            <w:rPr>
              <w:sz w:val="22"/>
              <w:szCs w:val="21"/>
            </w:rPr>
            <w:t>68</w:t>
          </w:r>
          <w:r>
            <w:rPr>
              <w:sz w:val="22"/>
              <w:szCs w:val="21"/>
            </w:rPr>
            <w:fldChar w:fldCharType="end"/>
          </w:r>
          <w:r>
            <w:rPr>
              <w:sz w:val="22"/>
              <w:szCs w:val="21"/>
            </w:rPr>
            <w:fldChar w:fldCharType="end"/>
          </w:r>
        </w:p>
        <w:p>
          <w:pPr>
            <w:pStyle w:val="18"/>
            <w:tabs>
              <w:tab w:val="right" w:leader="dot" w:pos="8306"/>
            </w:tabs>
            <w:spacing w:line="360" w:lineRule="auto"/>
            <w:rPr>
              <w:rFonts w:hint="default"/>
              <w:sz w:val="22"/>
              <w:szCs w:val="21"/>
            </w:rPr>
          </w:pPr>
          <w:r>
            <w:fldChar w:fldCharType="begin"/>
          </w:r>
          <w:r>
            <w:instrText xml:space="preserve"> HYPERLINK \l "_Toc23465" </w:instrText>
          </w:r>
          <w:r>
            <w:fldChar w:fldCharType="separate"/>
          </w:r>
          <w:r>
            <w:rPr>
              <w:rFonts w:ascii="宋体" w:hAnsi="宋体" w:cs="宋体"/>
              <w:bCs/>
              <w:kern w:val="28"/>
              <w:sz w:val="22"/>
              <w:szCs w:val="21"/>
            </w:rPr>
            <w:t>五、磋商供应商的义务</w:t>
          </w:r>
          <w:r>
            <w:rPr>
              <w:sz w:val="22"/>
              <w:szCs w:val="21"/>
            </w:rPr>
            <w:tab/>
          </w:r>
          <w:r>
            <w:rPr>
              <w:sz w:val="22"/>
              <w:szCs w:val="21"/>
            </w:rPr>
            <w:fldChar w:fldCharType="begin"/>
          </w:r>
          <w:r>
            <w:rPr>
              <w:sz w:val="22"/>
              <w:szCs w:val="21"/>
            </w:rPr>
            <w:instrText xml:space="preserve"> PAGEREF _Toc23465 \h </w:instrText>
          </w:r>
          <w:r>
            <w:rPr>
              <w:sz w:val="22"/>
              <w:szCs w:val="21"/>
            </w:rPr>
            <w:fldChar w:fldCharType="separate"/>
          </w:r>
          <w:r>
            <w:rPr>
              <w:sz w:val="22"/>
              <w:szCs w:val="21"/>
            </w:rPr>
            <w:t>68</w:t>
          </w:r>
          <w:r>
            <w:rPr>
              <w:sz w:val="22"/>
              <w:szCs w:val="21"/>
            </w:rPr>
            <w:fldChar w:fldCharType="end"/>
          </w:r>
          <w:r>
            <w:rPr>
              <w:sz w:val="22"/>
              <w:szCs w:val="21"/>
            </w:rPr>
            <w:fldChar w:fldCharType="end"/>
          </w:r>
        </w:p>
        <w:p>
          <w:pPr>
            <w:pStyle w:val="17"/>
            <w:tabs>
              <w:tab w:val="right" w:leader="dot" w:pos="8306"/>
              <w:tab w:val="clear" w:pos="8948"/>
            </w:tabs>
            <w:spacing w:line="360" w:lineRule="auto"/>
            <w:rPr>
              <w:rFonts w:hint="default"/>
              <w:sz w:val="22"/>
              <w:szCs w:val="22"/>
            </w:rPr>
          </w:pPr>
          <w:r>
            <w:fldChar w:fldCharType="begin"/>
          </w:r>
          <w:r>
            <w:instrText xml:space="preserve"> HYPERLINK \l "_Toc16720" </w:instrText>
          </w:r>
          <w:r>
            <w:fldChar w:fldCharType="separate"/>
          </w:r>
          <w:r>
            <w:rPr>
              <w:sz w:val="22"/>
              <w:szCs w:val="40"/>
            </w:rPr>
            <w:t>第七部分  信贷政策</w:t>
          </w:r>
          <w:r>
            <w:rPr>
              <w:sz w:val="22"/>
              <w:szCs w:val="22"/>
            </w:rPr>
            <w:tab/>
          </w:r>
          <w:r>
            <w:rPr>
              <w:sz w:val="22"/>
              <w:szCs w:val="22"/>
            </w:rPr>
            <w:fldChar w:fldCharType="begin"/>
          </w:r>
          <w:r>
            <w:rPr>
              <w:sz w:val="22"/>
              <w:szCs w:val="22"/>
            </w:rPr>
            <w:instrText xml:space="preserve"> PAGEREF _Toc16720 \h </w:instrText>
          </w:r>
          <w:r>
            <w:rPr>
              <w:sz w:val="22"/>
              <w:szCs w:val="22"/>
            </w:rPr>
            <w:fldChar w:fldCharType="separate"/>
          </w:r>
          <w:r>
            <w:rPr>
              <w:sz w:val="22"/>
              <w:szCs w:val="22"/>
            </w:rPr>
            <w:t>69</w:t>
          </w:r>
          <w:r>
            <w:rPr>
              <w:sz w:val="22"/>
              <w:szCs w:val="22"/>
            </w:rPr>
            <w:fldChar w:fldCharType="end"/>
          </w:r>
          <w:r>
            <w:rPr>
              <w:sz w:val="22"/>
              <w:szCs w:val="22"/>
            </w:rPr>
            <w:fldChar w:fldCharType="end"/>
          </w:r>
        </w:p>
        <w:p>
          <w:pPr>
            <w:jc w:val="center"/>
            <w:rPr>
              <w:rFonts w:hint="default" w:ascii="宋体" w:hAnsi="宋体"/>
              <w:b/>
              <w:bCs/>
              <w:sz w:val="36"/>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fldChar w:fldCharType="end"/>
          </w:r>
        </w:p>
      </w:sdtContent>
    </w:sdt>
    <w:p>
      <w:pPr>
        <w:pStyle w:val="3"/>
        <w:keepNext w:val="0"/>
        <w:keepLines w:val="0"/>
        <w:spacing w:before="240" w:beforeLines="100" w:after="120" w:afterLines="50" w:line="400" w:lineRule="exact"/>
        <w:jc w:val="center"/>
        <w:rPr>
          <w:rFonts w:hint="default" w:hAnsi="宋体" w:cs="宋体"/>
          <w:color w:val="000000"/>
          <w:sz w:val="28"/>
          <w:szCs w:val="36"/>
        </w:rPr>
      </w:pPr>
      <w:bookmarkStart w:id="2" w:name="_Toc22661"/>
      <w:bookmarkStart w:id="3" w:name="_Toc11008"/>
      <w:bookmarkStart w:id="4" w:name="_Toc30735"/>
      <w:r>
        <w:rPr>
          <w:rFonts w:hAnsi="宋体" w:cs="宋体"/>
          <w:sz w:val="28"/>
          <w:szCs w:val="36"/>
        </w:rPr>
        <w:t>第一部分  竞</w:t>
      </w:r>
      <w:r>
        <w:rPr>
          <w:rFonts w:hAnsi="宋体" w:cs="宋体"/>
          <w:color w:val="000000"/>
          <w:sz w:val="28"/>
          <w:szCs w:val="36"/>
        </w:rPr>
        <w:t>争性磋商公告</w:t>
      </w:r>
      <w:bookmarkEnd w:id="2"/>
      <w:bookmarkEnd w:id="3"/>
      <w:bookmarkEnd w:id="4"/>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pStyle w:val="19"/>
              <w:spacing w:before="0" w:beforeAutospacing="0" w:after="0" w:afterAutospacing="0" w:line="360" w:lineRule="auto"/>
              <w:ind w:firstLine="422" w:firstLineChars="200"/>
              <w:rPr>
                <w:rFonts w:hint="default" w:ascii="宋体" w:hAnsi="宋体" w:eastAsia="宋体" w:cs="宋体"/>
                <w:b/>
                <w:bCs/>
                <w:color w:val="auto"/>
                <w:sz w:val="21"/>
                <w:szCs w:val="21"/>
              </w:rPr>
            </w:pPr>
            <w:r>
              <w:rPr>
                <w:rFonts w:ascii="宋体" w:hAnsi="宋体" w:eastAsia="宋体" w:cs="宋体"/>
                <w:b/>
                <w:bCs/>
                <w:color w:val="auto"/>
                <w:sz w:val="21"/>
                <w:szCs w:val="21"/>
              </w:rPr>
              <w:t>项目概况</w:t>
            </w:r>
          </w:p>
          <w:p>
            <w:pPr>
              <w:pStyle w:val="19"/>
              <w:spacing w:beforeAutospacing="0" w:afterAutospacing="0" w:line="360" w:lineRule="auto"/>
              <w:ind w:firstLine="420" w:firstLineChars="200"/>
              <w:rPr>
                <w:rFonts w:hint="default" w:ascii="宋体" w:hAnsi="宋体" w:eastAsia="宋体" w:cs="宋体"/>
                <w:color w:val="auto"/>
                <w:sz w:val="21"/>
                <w:szCs w:val="21"/>
              </w:rPr>
            </w:pPr>
            <w:r>
              <w:rPr>
                <w:rFonts w:hint="eastAsia" w:ascii="宋体" w:hAnsi="宋体" w:eastAsia="宋体" w:cs="宋体"/>
                <w:color w:val="auto"/>
                <w:sz w:val="21"/>
                <w:szCs w:val="21"/>
                <w:u w:val="single"/>
                <w:lang w:eastAsia="zh-CN"/>
              </w:rPr>
              <w:t>瑞安市汀田街道2023-2024年违章拆除及环境整治服务</w:t>
            </w:r>
            <w:r>
              <w:rPr>
                <w:rFonts w:ascii="宋体" w:hAnsi="宋体" w:eastAsia="宋体" w:cs="宋体"/>
                <w:color w:val="auto"/>
                <w:sz w:val="21"/>
                <w:szCs w:val="21"/>
              </w:rPr>
              <w:t>的潜在供应商应在政采云平台</w:t>
            </w:r>
            <w:r>
              <w:rPr>
                <w:rFonts w:ascii="宋体" w:hAnsi="宋体" w:eastAsia="宋体" w:cs="宋体"/>
                <w:color w:val="auto"/>
                <w:sz w:val="21"/>
                <w:szCs w:val="21"/>
                <w:u w:val="single"/>
              </w:rPr>
              <w:t>https://www.zcygov.cn/</w:t>
            </w:r>
            <w:r>
              <w:rPr>
                <w:rFonts w:ascii="宋体" w:hAnsi="宋体" w:eastAsia="宋体" w:cs="宋体"/>
                <w:color w:val="auto"/>
                <w:sz w:val="21"/>
                <w:szCs w:val="21"/>
              </w:rPr>
              <w:t>获取（下载）采购文件，并于</w:t>
            </w:r>
            <w:r>
              <w:rPr>
                <w:rFonts w:hint="eastAsia" w:ascii="宋体" w:hAnsi="宋体" w:eastAsia="宋体" w:cs="宋体"/>
                <w:color w:val="auto"/>
                <w:sz w:val="21"/>
                <w:szCs w:val="21"/>
                <w:u w:val="single"/>
                <w:lang w:eastAsia="zh-CN"/>
              </w:rPr>
              <w:t>2023年10月27日14:00</w:t>
            </w:r>
            <w:r>
              <w:rPr>
                <w:rFonts w:ascii="宋体" w:hAnsi="宋体" w:eastAsia="宋体" w:cs="宋体"/>
                <w:color w:val="auto"/>
                <w:sz w:val="21"/>
                <w:szCs w:val="21"/>
              </w:rPr>
              <w:t>（北京时间）前提交（上传）响应文件。</w:t>
            </w:r>
          </w:p>
        </w:tc>
      </w:tr>
    </w:tbl>
    <w:p>
      <w:pPr>
        <w:pStyle w:val="19"/>
        <w:spacing w:before="0" w:beforeAutospacing="0" w:after="0" w:afterAutospacing="0" w:line="360" w:lineRule="auto"/>
        <w:outlineLvl w:val="1"/>
        <w:rPr>
          <w:rFonts w:hint="default" w:ascii="宋体" w:hAnsi="宋体" w:eastAsia="宋体" w:cs="宋体"/>
          <w:color w:val="auto"/>
          <w:sz w:val="21"/>
          <w:szCs w:val="21"/>
        </w:rPr>
      </w:pPr>
      <w:bookmarkStart w:id="5" w:name="_Toc11858"/>
      <w:bookmarkStart w:id="6" w:name="_Toc3715"/>
      <w:bookmarkStart w:id="7" w:name="_Toc17513"/>
      <w:r>
        <w:rPr>
          <w:rStyle w:val="24"/>
          <w:rFonts w:ascii="宋体" w:hAnsi="宋体" w:eastAsia="宋体" w:cs="宋体"/>
          <w:color w:val="auto"/>
          <w:sz w:val="21"/>
          <w:szCs w:val="21"/>
        </w:rPr>
        <w:t>一、项目基本情况</w:t>
      </w:r>
      <w:bookmarkEnd w:id="5"/>
      <w:bookmarkEnd w:id="6"/>
      <w:bookmarkEnd w:id="7"/>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项目编号：</w:t>
      </w:r>
      <w:r>
        <w:rPr>
          <w:rFonts w:hint="eastAsia" w:ascii="宋体" w:hAnsi="宋体" w:eastAsia="宋体" w:cs="宋体"/>
          <w:color w:val="auto"/>
          <w:sz w:val="21"/>
          <w:szCs w:val="21"/>
          <w:lang w:eastAsia="zh-CN"/>
        </w:rPr>
        <w:t>zjzs20230808</w:t>
      </w:r>
      <w:r>
        <w:rPr>
          <w:rFonts w:ascii="宋体" w:hAnsi="宋体" w:eastAsia="宋体" w:cs="宋体"/>
          <w:color w:val="auto"/>
          <w:sz w:val="21"/>
          <w:szCs w:val="21"/>
        </w:rPr>
        <w:t> </w:t>
      </w:r>
    </w:p>
    <w:p>
      <w:pPr>
        <w:pStyle w:val="19"/>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   项目名称：</w:t>
      </w:r>
      <w:r>
        <w:rPr>
          <w:rFonts w:hint="eastAsia" w:ascii="宋体" w:hAnsi="宋体" w:eastAsia="宋体" w:cs="宋体"/>
          <w:color w:val="auto"/>
          <w:sz w:val="21"/>
          <w:szCs w:val="21"/>
          <w:lang w:eastAsia="zh-CN"/>
        </w:rPr>
        <w:t>瑞安市汀田街道2023-2024年违章拆除及环境整治服务</w:t>
      </w:r>
      <w:r>
        <w:rPr>
          <w:rFonts w:ascii="宋体" w:hAnsi="宋体" w:eastAsia="宋体" w:cs="宋体"/>
          <w:color w:val="auto"/>
          <w:sz w:val="21"/>
          <w:szCs w:val="21"/>
        </w:rPr>
        <w:t> </w:t>
      </w:r>
    </w:p>
    <w:p>
      <w:pPr>
        <w:pStyle w:val="19"/>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   采购方式：竞争性磋商</w:t>
      </w:r>
    </w:p>
    <w:p>
      <w:pPr>
        <w:pStyle w:val="19"/>
        <w:spacing w:before="0" w:beforeAutospacing="0" w:after="0" w:afterAutospacing="0" w:line="360" w:lineRule="auto"/>
        <w:rPr>
          <w:rFonts w:hint="eastAsia" w:ascii="宋体" w:hAnsi="宋体" w:eastAsia="宋体" w:cs="宋体"/>
          <w:sz w:val="21"/>
          <w:szCs w:val="21"/>
          <w:lang w:eastAsia="zh-CN"/>
        </w:rPr>
      </w:pPr>
      <w:r>
        <w:rPr>
          <w:rFonts w:ascii="宋体" w:hAnsi="宋体" w:eastAsia="宋体" w:cs="宋体"/>
          <w:sz w:val="21"/>
          <w:szCs w:val="21"/>
        </w:rPr>
        <w:t>   预算金额（元）：</w:t>
      </w:r>
      <w:r>
        <w:rPr>
          <w:rFonts w:hint="eastAsia" w:ascii="宋体" w:hAnsi="宋体" w:eastAsia="宋体" w:cs="宋体"/>
          <w:sz w:val="21"/>
          <w:szCs w:val="21"/>
          <w:lang w:eastAsia="zh-CN"/>
        </w:rPr>
        <w:t>3000000</w:t>
      </w:r>
    </w:p>
    <w:p>
      <w:pPr>
        <w:pStyle w:val="19"/>
        <w:spacing w:before="0" w:beforeAutospacing="0" w:after="0" w:afterAutospacing="0" w:line="360" w:lineRule="auto"/>
        <w:rPr>
          <w:rFonts w:hint="eastAsia" w:ascii="宋体" w:hAnsi="宋体" w:eastAsia="宋体" w:cs="宋体"/>
          <w:color w:val="FF0000"/>
          <w:sz w:val="21"/>
          <w:szCs w:val="21"/>
          <w:lang w:eastAsia="zh-CN"/>
        </w:rPr>
      </w:pPr>
      <w:r>
        <w:rPr>
          <w:rFonts w:ascii="宋体" w:hAnsi="宋体" w:eastAsia="宋体" w:cs="宋体"/>
          <w:sz w:val="21"/>
          <w:szCs w:val="21"/>
        </w:rPr>
        <w:t>   最高限价（元）：</w:t>
      </w:r>
      <w:r>
        <w:rPr>
          <w:rFonts w:hint="eastAsia" w:ascii="宋体" w:hAnsi="宋体" w:eastAsia="宋体" w:cs="宋体"/>
          <w:sz w:val="21"/>
          <w:szCs w:val="21"/>
          <w:lang w:eastAsia="zh-CN"/>
        </w:rPr>
        <w:t>3000000</w:t>
      </w:r>
    </w:p>
    <w:p>
      <w:pPr>
        <w:pStyle w:val="19"/>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   采购需求：</w:t>
      </w:r>
    </w:p>
    <w:p>
      <w:pPr>
        <w:pStyle w:val="19"/>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 xml:space="preserve">    </w:t>
      </w:r>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 xml:space="preserve">数量：1 </w:t>
      </w:r>
    </w:p>
    <w:p>
      <w:pPr>
        <w:pStyle w:val="19"/>
        <w:spacing w:before="0" w:beforeAutospacing="0" w:after="0" w:afterAutospacing="0" w:line="360" w:lineRule="auto"/>
        <w:rPr>
          <w:rFonts w:hint="eastAsia" w:ascii="宋体" w:hAnsi="宋体" w:eastAsia="宋体" w:cs="宋体"/>
          <w:color w:val="auto"/>
          <w:sz w:val="21"/>
          <w:szCs w:val="21"/>
          <w:lang w:eastAsia="zh-CN"/>
        </w:rPr>
      </w:pPr>
      <w:r>
        <w:rPr>
          <w:rFonts w:ascii="宋体" w:hAnsi="宋体" w:eastAsia="宋体" w:cs="宋体"/>
          <w:color w:val="auto"/>
          <w:sz w:val="21"/>
          <w:szCs w:val="21"/>
        </w:rPr>
        <w:t xml:space="preserve">    预算金额（元）：</w:t>
      </w:r>
      <w:r>
        <w:rPr>
          <w:rFonts w:hint="eastAsia" w:ascii="宋体" w:hAnsi="宋体" w:eastAsia="宋体" w:cs="宋体"/>
          <w:sz w:val="21"/>
          <w:szCs w:val="21"/>
          <w:lang w:eastAsia="zh-CN"/>
        </w:rPr>
        <w:t>3000000</w:t>
      </w:r>
    </w:p>
    <w:p>
      <w:pPr>
        <w:pStyle w:val="19"/>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 xml:space="preserve">    单位：项</w:t>
      </w:r>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简要规格描述：详见磋商文件相关部分。</w:t>
      </w:r>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备注：无</w:t>
      </w:r>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合同履约期限：详见磋商文件相关部分。</w:t>
      </w:r>
    </w:p>
    <w:p>
      <w:pPr>
        <w:pStyle w:val="19"/>
        <w:spacing w:before="0" w:beforeAutospacing="0" w:after="0" w:afterAutospacing="0" w:line="360" w:lineRule="auto"/>
        <w:ind w:firstLine="420" w:firstLineChars="200"/>
        <w:rPr>
          <w:rFonts w:hint="default" w:ascii="宋体" w:hAnsi="宋体" w:eastAsia="宋体" w:cs="宋体"/>
          <w:color w:val="auto"/>
          <w:sz w:val="21"/>
          <w:szCs w:val="21"/>
        </w:rPr>
      </w:pPr>
      <w:r>
        <w:rPr>
          <w:rFonts w:ascii="宋体" w:hAnsi="宋体" w:eastAsia="宋体" w:cs="宋体"/>
          <w:color w:val="auto"/>
          <w:sz w:val="21"/>
          <w:szCs w:val="21"/>
        </w:rPr>
        <w:t>本项目（否）接受联合体投标。</w:t>
      </w:r>
    </w:p>
    <w:p>
      <w:pPr>
        <w:pStyle w:val="19"/>
        <w:spacing w:before="0" w:beforeAutospacing="0" w:after="0" w:afterAutospacing="0" w:line="360" w:lineRule="auto"/>
        <w:outlineLvl w:val="1"/>
        <w:rPr>
          <w:rFonts w:hint="default" w:ascii="宋体" w:hAnsi="宋体" w:eastAsia="宋体" w:cs="宋体"/>
          <w:sz w:val="21"/>
          <w:szCs w:val="21"/>
        </w:rPr>
      </w:pPr>
      <w:bookmarkStart w:id="8" w:name="_Toc24601"/>
      <w:bookmarkStart w:id="9" w:name="_Toc9129"/>
      <w:bookmarkStart w:id="10" w:name="_Toc16698"/>
      <w:r>
        <w:rPr>
          <w:rStyle w:val="24"/>
          <w:rFonts w:ascii="宋体" w:hAnsi="宋体" w:eastAsia="宋体" w:cs="宋体"/>
          <w:sz w:val="21"/>
          <w:szCs w:val="21"/>
        </w:rPr>
        <w:t>二、申请人的资格要求：</w:t>
      </w:r>
      <w:bookmarkEnd w:id="8"/>
      <w:bookmarkEnd w:id="9"/>
      <w:bookmarkEnd w:id="10"/>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1.</w:t>
      </w:r>
      <w:r>
        <w:rPr>
          <w:rFonts w:ascii="宋体" w:hAnsi="宋体" w:eastAsia="宋体" w:cs="宋体"/>
          <w:color w:val="auto"/>
          <w:sz w:val="21"/>
          <w:szCs w:val="21"/>
        </w:rPr>
        <w:t>满足《中华人民共和国政府采购法》第二十二条规定；未被“信用中国”（www.creditchina.gov.cn）、中国政府采购网（www.ccgp.gov.cn）、浙江政府采购网（http://zfcg.czt.zj.gov.cn//）、国家企业信用信息公示系统（www.gsxt.gov.cn）列入失信被执行人、重大税收违法案件当事人名单、政府采购严重违法失信行为记录名单。</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2.落实政府采购政策需满足的资格要求：本项目整体专门面向中小企业采购（残疾人福利性单位和监狱企业视同小微企业）。</w:t>
      </w:r>
    </w:p>
    <w:p>
      <w:pPr>
        <w:pStyle w:val="19"/>
        <w:spacing w:before="0" w:beforeAutospacing="0" w:after="0" w:afterAutospacing="0" w:line="360" w:lineRule="auto"/>
        <w:ind w:firstLine="420" w:firstLineChars="200"/>
        <w:rPr>
          <w:rFonts w:hint="default" w:ascii="宋体" w:hAnsi="宋体" w:eastAsia="宋体" w:cs="宋体"/>
          <w:sz w:val="21"/>
          <w:szCs w:val="21"/>
        </w:rPr>
      </w:pPr>
      <w:bookmarkStart w:id="11" w:name="_Toc17581"/>
      <w:bookmarkStart w:id="12" w:name="_Toc10129"/>
      <w:bookmarkStart w:id="13" w:name="_Toc6595"/>
      <w:bookmarkStart w:id="14" w:name="_Toc21691"/>
      <w:r>
        <w:rPr>
          <w:rFonts w:ascii="宋体" w:hAnsi="宋体" w:eastAsia="宋体" w:cs="宋体"/>
          <w:sz w:val="21"/>
          <w:szCs w:val="21"/>
        </w:rPr>
        <w:t>3.特定资格条件：</w:t>
      </w:r>
      <w:bookmarkEnd w:id="11"/>
      <w:bookmarkEnd w:id="12"/>
      <w:bookmarkEnd w:id="13"/>
      <w:bookmarkEnd w:id="14"/>
      <w:r>
        <w:rPr>
          <w:rFonts w:hint="eastAsia" w:ascii="宋体" w:hAnsi="宋体" w:eastAsia="宋体" w:cs="宋体"/>
          <w:sz w:val="21"/>
          <w:szCs w:val="21"/>
          <w:lang w:val="en-US" w:eastAsia="zh-CN"/>
        </w:rPr>
        <w:t>无</w:t>
      </w:r>
      <w:r>
        <w:rPr>
          <w:rFonts w:ascii="宋体" w:hAnsi="宋体" w:eastAsia="宋体" w:cs="宋体"/>
          <w:sz w:val="21"/>
          <w:szCs w:val="21"/>
        </w:rPr>
        <w:t>。</w:t>
      </w:r>
    </w:p>
    <w:p>
      <w:pPr>
        <w:pStyle w:val="19"/>
        <w:spacing w:before="0" w:beforeAutospacing="0" w:after="0" w:afterAutospacing="0" w:line="360" w:lineRule="auto"/>
        <w:outlineLvl w:val="1"/>
        <w:rPr>
          <w:rFonts w:hint="default" w:ascii="宋体" w:hAnsi="宋体" w:eastAsia="宋体" w:cs="宋体"/>
          <w:sz w:val="21"/>
          <w:szCs w:val="21"/>
        </w:rPr>
      </w:pPr>
      <w:bookmarkStart w:id="15" w:name="_Toc4871"/>
      <w:bookmarkStart w:id="16" w:name="_Toc21587"/>
      <w:bookmarkStart w:id="17" w:name="_Toc32112"/>
      <w:r>
        <w:rPr>
          <w:rStyle w:val="24"/>
          <w:rFonts w:ascii="宋体" w:hAnsi="宋体" w:eastAsia="宋体" w:cs="宋体"/>
          <w:sz w:val="21"/>
          <w:szCs w:val="21"/>
        </w:rPr>
        <w:t>三、获取（下载）采购文件</w:t>
      </w:r>
      <w:bookmarkEnd w:id="15"/>
      <w:bookmarkEnd w:id="16"/>
      <w:bookmarkEnd w:id="17"/>
    </w:p>
    <w:p>
      <w:pPr>
        <w:pStyle w:val="26"/>
        <w:spacing w:line="360" w:lineRule="auto"/>
        <w:ind w:firstLine="0" w:firstLineChars="0"/>
        <w:rPr>
          <w:rFonts w:hint="default" w:ascii="宋体" w:hAnsi="宋体" w:cs="宋体"/>
          <w:szCs w:val="21"/>
        </w:rPr>
      </w:pPr>
      <w:r>
        <w:rPr>
          <w:rFonts w:ascii="宋体" w:hAnsi="宋体" w:cs="宋体"/>
          <w:color w:val="000000"/>
          <w:szCs w:val="21"/>
        </w:rPr>
        <w:t> </w:t>
      </w:r>
      <w:r>
        <w:rPr>
          <w:rFonts w:ascii="宋体" w:hAnsi="宋体" w:cs="宋体"/>
          <w:szCs w:val="21"/>
        </w:rPr>
        <w:t xml:space="preserve">  时间：/至</w:t>
      </w:r>
      <w:r>
        <w:rPr>
          <w:rFonts w:hint="eastAsia" w:ascii="宋体" w:hAnsi="宋体" w:cs="宋体"/>
          <w:szCs w:val="21"/>
          <w:lang w:eastAsia="zh-CN"/>
        </w:rPr>
        <w:t>2023年10月27日14:00</w:t>
      </w:r>
      <w:r>
        <w:rPr>
          <w:rFonts w:ascii="宋体" w:hAnsi="宋体" w:cs="宋体"/>
          <w:szCs w:val="21"/>
        </w:rPr>
        <w:t>（北京时间），每天上午00:00至12:00，下午12:00至23:59（北京时间，线上获取法定节假日均可，线下获取文件法定节假日除外）</w:t>
      </w:r>
      <w:r>
        <w:rPr>
          <w:rFonts w:ascii="宋体" w:hAnsi="宋体" w:cs="宋体"/>
          <w:color w:val="000000"/>
          <w:szCs w:val="21"/>
        </w:rPr>
        <w:t>。</w:t>
      </w:r>
    </w:p>
    <w:p>
      <w:pPr>
        <w:pStyle w:val="19"/>
        <w:spacing w:before="0" w:beforeAutospacing="0" w:after="0" w:afterAutospacing="0" w:line="360" w:lineRule="auto"/>
        <w:ind w:firstLine="420" w:firstLineChars="200"/>
        <w:rPr>
          <w:rFonts w:hint="default" w:ascii="宋体" w:hAnsi="宋体" w:eastAsia="宋体" w:cs="宋体"/>
          <w:sz w:val="21"/>
          <w:szCs w:val="21"/>
          <w:u w:val="single"/>
        </w:rPr>
      </w:pPr>
      <w:r>
        <w:rPr>
          <w:rFonts w:ascii="宋体" w:hAnsi="宋体" w:eastAsia="宋体" w:cs="宋体"/>
          <w:sz w:val="21"/>
          <w:szCs w:val="21"/>
        </w:rPr>
        <w:t>地点（网址）：</w:t>
      </w:r>
      <w:r>
        <w:rPr>
          <w:rFonts w:ascii="宋体" w:hAnsi="宋体" w:eastAsia="宋体" w:cs="宋体"/>
          <w:color w:val="auto"/>
          <w:sz w:val="21"/>
          <w:szCs w:val="21"/>
        </w:rPr>
        <w:t>政采云平台https://www.zcygov.cn/</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方式：供应商登录政采云平台https://www.zcygov.cn/在线申请获取采购文件（进入“项目采购”应用，在获取采购文件菜单中选择项目，申请获取采购文件）  </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售价（元）：0  </w:t>
      </w:r>
    </w:p>
    <w:p>
      <w:pPr>
        <w:pStyle w:val="19"/>
        <w:spacing w:before="0" w:beforeAutospacing="0" w:after="0" w:afterAutospacing="0" w:line="360" w:lineRule="auto"/>
        <w:outlineLvl w:val="1"/>
        <w:rPr>
          <w:rFonts w:hint="default" w:ascii="宋体" w:hAnsi="宋体" w:eastAsia="宋体" w:cs="宋体"/>
          <w:sz w:val="21"/>
          <w:szCs w:val="21"/>
        </w:rPr>
      </w:pPr>
      <w:bookmarkStart w:id="18" w:name="_Toc21190"/>
      <w:bookmarkStart w:id="19" w:name="_Toc5229"/>
      <w:bookmarkStart w:id="20" w:name="_Toc14658"/>
      <w:r>
        <w:rPr>
          <w:rStyle w:val="24"/>
          <w:rFonts w:ascii="宋体" w:hAnsi="宋体" w:eastAsia="宋体" w:cs="宋体"/>
          <w:sz w:val="21"/>
          <w:szCs w:val="21"/>
        </w:rPr>
        <w:t>四、响应文件提交（上传）</w:t>
      </w:r>
      <w:bookmarkEnd w:id="18"/>
      <w:bookmarkEnd w:id="19"/>
      <w:bookmarkEnd w:id="20"/>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截止时间：</w:t>
      </w:r>
      <w:r>
        <w:rPr>
          <w:rFonts w:hint="eastAsia" w:ascii="宋体" w:hAnsi="宋体" w:eastAsia="宋体" w:cs="宋体"/>
          <w:color w:val="auto"/>
          <w:sz w:val="21"/>
          <w:szCs w:val="21"/>
          <w:u w:val="single"/>
          <w:lang w:eastAsia="zh-CN"/>
        </w:rPr>
        <w:t>2023年10月27日14:00</w:t>
      </w:r>
      <w:r>
        <w:rPr>
          <w:rFonts w:ascii="宋体" w:hAnsi="宋体" w:eastAsia="宋体" w:cs="宋体"/>
          <w:color w:val="auto"/>
          <w:sz w:val="21"/>
          <w:szCs w:val="21"/>
          <w:u w:val="single"/>
        </w:rPr>
        <w:t>止</w:t>
      </w:r>
      <w:r>
        <w:rPr>
          <w:rFonts w:ascii="宋体" w:hAnsi="宋体" w:eastAsia="宋体" w:cs="宋体"/>
          <w:sz w:val="21"/>
          <w:szCs w:val="21"/>
        </w:rPr>
        <w:t>（北京时间）</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地点（网址）：</w:t>
      </w:r>
      <w:r>
        <w:rPr>
          <w:rFonts w:ascii="宋体" w:hAnsi="宋体" w:eastAsia="宋体" w:cs="宋体"/>
          <w:sz w:val="21"/>
          <w:szCs w:val="21"/>
          <w:u w:val="single"/>
        </w:rPr>
        <w:t>（1）电子加密响应文件：应按政采云平台项目采购-电子交易操作指南及本招磋商文件要求进行编制、加密并递交，供应商应于投标截止时间前将电子加密响应文件上传到政采云系统中（不准时上传视为不参加）。（2）备份响应文件：</w:t>
      </w:r>
      <w:r>
        <w:fldChar w:fldCharType="begin"/>
      </w:r>
      <w:r>
        <w:instrText xml:space="preserve"> HYPERLINK "mailto:按政采云平台项目采购-电子招投标操作指南制作备份投标文件（后缀名为.bfbs），在开标时间后15分钟内以电子邮件形式递交至采购代理机构邮箱（103874679@qq.com）。" </w:instrText>
      </w:r>
      <w:r>
        <w:fldChar w:fldCharType="separate"/>
      </w:r>
      <w:r>
        <w:rPr>
          <w:rFonts w:ascii="宋体" w:hAnsi="宋体" w:eastAsia="宋体" w:cs="宋体"/>
          <w:sz w:val="21"/>
          <w:szCs w:val="21"/>
          <w:u w:val="single"/>
        </w:rPr>
        <w:t>投标截止时间前以压缩文件形式加密发送至采购代理机构邮箱</w:t>
      </w:r>
      <w:r>
        <w:rPr>
          <w:rFonts w:ascii="宋体" w:hAnsi="宋体" w:eastAsia="宋体" w:cs="宋体"/>
          <w:sz w:val="21"/>
          <w:szCs w:val="21"/>
          <w:u w:val="single"/>
        </w:rPr>
        <w:fldChar w:fldCharType="end"/>
      </w:r>
      <w:r>
        <w:rPr>
          <w:rFonts w:ascii="宋体" w:hAnsi="宋体" w:eastAsia="宋体" w:cs="宋体"/>
          <w:sz w:val="21"/>
          <w:szCs w:val="21"/>
          <w:u w:val="single"/>
        </w:rPr>
        <w:t>，并在接到在线解密通知后30分钟内发送压缩文件密码至采购代理机构邮箱。（邮箱号码：</w:t>
      </w:r>
      <w:r>
        <w:fldChar w:fldCharType="begin"/>
      </w:r>
      <w:r>
        <w:instrText xml:space="preserve"> HYPERLINK "mailto:103874679@qq.com）。" </w:instrText>
      </w:r>
      <w:r>
        <w:fldChar w:fldCharType="separate"/>
      </w:r>
      <w:r>
        <w:rPr>
          <w:rFonts w:ascii="宋体" w:hAnsi="宋体" w:eastAsia="宋体" w:cs="宋体"/>
          <w:sz w:val="21"/>
          <w:szCs w:val="21"/>
          <w:u w:val="single"/>
        </w:rPr>
        <w:t>984865308@qq.com）。</w:t>
      </w:r>
      <w:r>
        <w:rPr>
          <w:rFonts w:ascii="宋体" w:hAnsi="宋体" w:eastAsia="宋体" w:cs="宋体"/>
          <w:sz w:val="21"/>
          <w:szCs w:val="21"/>
          <w:u w:val="single"/>
        </w:rPr>
        <w:fldChar w:fldCharType="end"/>
      </w:r>
    </w:p>
    <w:p>
      <w:pPr>
        <w:pStyle w:val="19"/>
        <w:spacing w:before="0" w:beforeAutospacing="0" w:after="0" w:afterAutospacing="0" w:line="360" w:lineRule="auto"/>
        <w:outlineLvl w:val="1"/>
        <w:rPr>
          <w:rFonts w:hint="default" w:ascii="宋体" w:hAnsi="宋体" w:eastAsia="宋体" w:cs="宋体"/>
          <w:sz w:val="21"/>
          <w:szCs w:val="21"/>
        </w:rPr>
      </w:pPr>
      <w:bookmarkStart w:id="21" w:name="_Toc10271"/>
      <w:bookmarkStart w:id="22" w:name="_Toc21124"/>
      <w:bookmarkStart w:id="23" w:name="_Toc4691"/>
      <w:r>
        <w:rPr>
          <w:rStyle w:val="24"/>
          <w:rFonts w:ascii="宋体" w:hAnsi="宋体" w:eastAsia="宋体" w:cs="宋体"/>
          <w:sz w:val="21"/>
          <w:szCs w:val="21"/>
        </w:rPr>
        <w:t>五、响应文件开启</w:t>
      </w:r>
      <w:bookmarkEnd w:id="21"/>
      <w:bookmarkEnd w:id="22"/>
      <w:bookmarkEnd w:id="23"/>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开启时间：</w:t>
      </w:r>
      <w:r>
        <w:rPr>
          <w:rFonts w:hint="eastAsia" w:ascii="宋体" w:hAnsi="宋体" w:eastAsia="宋体" w:cs="宋体"/>
          <w:color w:val="auto"/>
          <w:sz w:val="21"/>
          <w:szCs w:val="21"/>
          <w:u w:val="single"/>
          <w:lang w:eastAsia="zh-CN"/>
        </w:rPr>
        <w:t>2023年10月27日14:00</w:t>
      </w:r>
      <w:r>
        <w:rPr>
          <w:rFonts w:ascii="宋体" w:hAnsi="宋体" w:eastAsia="宋体" w:cs="宋体"/>
          <w:sz w:val="21"/>
          <w:szCs w:val="21"/>
        </w:rPr>
        <w:t>（北京时间）</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地点（网址）：</w:t>
      </w:r>
      <w:r>
        <w:rPr>
          <w:rFonts w:ascii="宋体" w:hAnsi="宋体" w:eastAsia="宋体" w:cs="宋体"/>
          <w:sz w:val="21"/>
          <w:szCs w:val="21"/>
          <w:u w:val="single"/>
        </w:rPr>
        <w:t>政府采购云平台（www.zcygov.cn）。</w:t>
      </w:r>
    </w:p>
    <w:p>
      <w:pPr>
        <w:pStyle w:val="19"/>
        <w:spacing w:before="0" w:beforeAutospacing="0" w:after="0" w:afterAutospacing="0" w:line="360" w:lineRule="auto"/>
        <w:outlineLvl w:val="1"/>
        <w:rPr>
          <w:rFonts w:hint="default" w:ascii="宋体" w:hAnsi="宋体" w:eastAsia="宋体" w:cs="宋体"/>
          <w:sz w:val="21"/>
          <w:szCs w:val="21"/>
        </w:rPr>
      </w:pPr>
      <w:bookmarkStart w:id="24" w:name="_Toc7494"/>
      <w:bookmarkStart w:id="25" w:name="_Toc29068"/>
      <w:bookmarkStart w:id="26" w:name="_Toc16450"/>
      <w:r>
        <w:rPr>
          <w:rStyle w:val="24"/>
          <w:rFonts w:ascii="宋体" w:hAnsi="宋体" w:eastAsia="宋体" w:cs="宋体"/>
          <w:sz w:val="21"/>
          <w:szCs w:val="21"/>
        </w:rPr>
        <w:t>六、公告期限</w:t>
      </w:r>
      <w:bookmarkEnd w:id="24"/>
      <w:bookmarkEnd w:id="25"/>
      <w:bookmarkEnd w:id="26"/>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自本公告发布之日起3个工作日。</w:t>
      </w:r>
    </w:p>
    <w:p>
      <w:pPr>
        <w:pStyle w:val="19"/>
        <w:spacing w:before="0" w:beforeAutospacing="0" w:after="0" w:afterAutospacing="0" w:line="360" w:lineRule="auto"/>
        <w:outlineLvl w:val="1"/>
        <w:rPr>
          <w:rFonts w:hint="default" w:ascii="宋体" w:hAnsi="宋体" w:eastAsia="宋体" w:cs="宋体"/>
          <w:sz w:val="21"/>
          <w:szCs w:val="21"/>
        </w:rPr>
      </w:pPr>
      <w:bookmarkStart w:id="27" w:name="_Toc9013"/>
      <w:bookmarkStart w:id="28" w:name="_Toc17245"/>
      <w:bookmarkStart w:id="29" w:name="_Toc25388"/>
      <w:r>
        <w:rPr>
          <w:rStyle w:val="24"/>
          <w:rFonts w:ascii="宋体" w:hAnsi="宋体" w:eastAsia="宋体" w:cs="宋体"/>
          <w:sz w:val="21"/>
          <w:szCs w:val="21"/>
        </w:rPr>
        <w:t>七、其他补充事宜</w:t>
      </w:r>
      <w:bookmarkEnd w:id="27"/>
      <w:bookmarkEnd w:id="28"/>
      <w:bookmarkEnd w:id="29"/>
    </w:p>
    <w:p>
      <w:pPr>
        <w:pStyle w:val="19"/>
        <w:widowControl/>
        <w:numPr>
          <w:ilvl w:val="0"/>
          <w:numId w:val="2"/>
        </w:numPr>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19"/>
        <w:widowControl/>
        <w:numPr>
          <w:ilvl w:val="0"/>
          <w:numId w:val="2"/>
        </w:numPr>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numPr>
          <w:ilvl w:val="0"/>
          <w:numId w:val="2"/>
        </w:numPr>
        <w:spacing w:line="360" w:lineRule="auto"/>
        <w:rPr>
          <w:rFonts w:hint="default"/>
        </w:rPr>
      </w:pPr>
      <w:r>
        <w:rPr>
          <w:rFonts w:ascii="宋体" w:hAnsi="宋体" w:cs="宋体"/>
          <w:szCs w:val="21"/>
        </w:rPr>
        <w:t>其他事项：</w:t>
      </w:r>
    </w:p>
    <w:p>
      <w:pPr>
        <w:numPr>
          <w:ilvl w:val="0"/>
          <w:numId w:val="3"/>
        </w:numPr>
        <w:spacing w:line="360" w:lineRule="auto"/>
        <w:ind w:left="420" w:leftChars="200"/>
        <w:rPr>
          <w:rFonts w:hint="default" w:ascii="宋体" w:hAnsi="宋体" w:cs="宋体"/>
          <w:szCs w:val="21"/>
        </w:rPr>
      </w:pPr>
      <w:r>
        <w:rPr>
          <w:rFonts w:ascii="宋体" w:hAnsi="宋体" w:cs="宋体"/>
          <w:b/>
          <w:bCs/>
          <w:szCs w:val="21"/>
        </w:rPr>
        <w:t>本项目为专门面向中小企业采购项目</w:t>
      </w:r>
      <w:r>
        <w:rPr>
          <w:rFonts w:ascii="宋体" w:hAnsi="宋体" w:cs="宋体"/>
          <w:szCs w:val="21"/>
        </w:rPr>
        <w:t>。根据《政府采购促进中小企业发展管理办法》（财库〔2020〕46号）（以下简称《管理办法》）规定的要求并符合国家统计局印发的《统计上大中小微型企业划分办法（2017）规定条件的，在参加本项目投标活动时可享受《管理办法》规定的优惠政策。</w:t>
      </w:r>
    </w:p>
    <w:p>
      <w:pPr>
        <w:numPr>
          <w:ilvl w:val="0"/>
          <w:numId w:val="3"/>
        </w:numPr>
        <w:spacing w:line="360" w:lineRule="auto"/>
        <w:ind w:left="420" w:leftChars="200"/>
        <w:rPr>
          <w:rFonts w:hint="default" w:ascii="宋体" w:hAnsi="宋体" w:cs="宋体"/>
          <w:szCs w:val="21"/>
        </w:rPr>
      </w:pPr>
      <w:r>
        <w:rPr>
          <w:rFonts w:ascii="宋体" w:hAnsi="宋体" w:cs="宋体"/>
          <w:szCs w:val="21"/>
        </w:rPr>
        <w:t>潜在供应商应当按照规定方式获取磋商文件，未按照规定方式获取磋商文件的，不得对磋商文件提起质疑投诉。</w:t>
      </w:r>
    </w:p>
    <w:p>
      <w:pPr>
        <w:numPr>
          <w:ilvl w:val="0"/>
          <w:numId w:val="3"/>
        </w:numPr>
        <w:spacing w:line="360" w:lineRule="auto"/>
        <w:ind w:left="420" w:leftChars="200"/>
        <w:rPr>
          <w:rFonts w:hint="default" w:ascii="宋体" w:hAnsi="宋体" w:cs="宋体"/>
          <w:szCs w:val="21"/>
        </w:rPr>
      </w:pPr>
      <w:r>
        <w:rPr>
          <w:rFonts w:ascii="宋体" w:hAnsi="宋体" w:cs="宋体"/>
          <w:szCs w:val="21"/>
        </w:rPr>
        <w:t>本项目优先采购本国货物和服务，必须进行的技术引进和转让需符合国家政策和有利于国内行业的发展。项目中涉及到的设备、材料属于政府采购节能产品、环境标志产品的，要求符合相关规定。</w:t>
      </w:r>
    </w:p>
    <w:p>
      <w:pPr>
        <w:numPr>
          <w:ilvl w:val="0"/>
          <w:numId w:val="3"/>
        </w:numPr>
        <w:spacing w:line="360" w:lineRule="auto"/>
        <w:ind w:left="420" w:leftChars="200"/>
        <w:rPr>
          <w:rFonts w:hint="default" w:ascii="宋体" w:hAnsi="宋体" w:cs="宋体"/>
          <w:szCs w:val="21"/>
        </w:rPr>
      </w:pPr>
      <w:r>
        <w:rPr>
          <w:rFonts w:ascii="宋体" w:hAnsi="宋体" w:cs="宋体"/>
          <w:szCs w:val="21"/>
        </w:rPr>
        <w:t>投标说明：</w:t>
      </w:r>
    </w:p>
    <w:p>
      <w:pPr>
        <w:numPr>
          <w:ilvl w:val="0"/>
          <w:numId w:val="4"/>
        </w:numPr>
        <w:spacing w:line="360" w:lineRule="auto"/>
        <w:ind w:left="840" w:leftChars="400"/>
        <w:rPr>
          <w:rFonts w:hint="default" w:ascii="宋体" w:hAnsi="宋体" w:cs="宋体"/>
          <w:szCs w:val="21"/>
        </w:rPr>
      </w:pPr>
      <w:r>
        <w:rPr>
          <w:rFonts w:ascii="宋体" w:hAnsi="宋体" w:cs="宋体"/>
          <w:szCs w:val="21"/>
        </w:rPr>
        <w:t xml:space="preserve">本项目通过“政府采购云平台（www.zcygov.cn）”实行在线投标响应（电子投标），供应商应先安装“政采云电子交易客户端”，并按照本磋商文件和“政府采购云平台”的要求，通过“政采云电子交易客户端”编制并加密响应文件。供应商未按规定加密的响应文件，“政府采购云平台”将予以拒收。 </w:t>
      </w:r>
    </w:p>
    <w:p>
      <w:pPr>
        <w:numPr>
          <w:ilvl w:val="0"/>
          <w:numId w:val="4"/>
        </w:numPr>
        <w:spacing w:line="360" w:lineRule="auto"/>
        <w:ind w:left="840" w:leftChars="400"/>
        <w:rPr>
          <w:rFonts w:hint="default" w:ascii="宋体" w:hAnsi="宋体" w:cs="宋体"/>
          <w:szCs w:val="21"/>
        </w:rPr>
      </w:pPr>
      <w:r>
        <w:rPr>
          <w:rFonts w:ascii="宋体" w:hAnsi="宋体" w:cs="宋体"/>
          <w:szCs w:val="21"/>
        </w:rPr>
        <w:t xml:space="preserve">“政采云电子交易客户端”请自行前往“浙江政府采购网-下载专区-电子交易客户端”进行下载；通过“政府采购云平台”参与在线投标时如遇平台技术问题详询400-881-7190。 </w:t>
      </w:r>
    </w:p>
    <w:p>
      <w:pPr>
        <w:numPr>
          <w:ilvl w:val="0"/>
          <w:numId w:val="4"/>
        </w:numPr>
        <w:spacing w:line="360" w:lineRule="auto"/>
        <w:ind w:left="840" w:leftChars="400"/>
        <w:rPr>
          <w:rFonts w:hint="default" w:ascii="宋体" w:hAnsi="宋体" w:cs="宋体"/>
          <w:szCs w:val="21"/>
        </w:rPr>
      </w:pPr>
      <w:r>
        <w:rPr>
          <w:rFonts w:ascii="宋体" w:hAnsi="宋体" w:cs="宋体"/>
          <w:szCs w:val="21"/>
        </w:rPr>
        <w:t>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因未注册入库、未办理CA数字证书等原因造成无法投标或投标失败等后果由供应商自行承担。</w:t>
      </w:r>
    </w:p>
    <w:p>
      <w:pPr>
        <w:numPr>
          <w:ilvl w:val="0"/>
          <w:numId w:val="4"/>
        </w:numPr>
        <w:spacing w:line="360" w:lineRule="auto"/>
        <w:ind w:left="840" w:leftChars="400"/>
        <w:rPr>
          <w:rFonts w:hint="default" w:ascii="宋体" w:hAnsi="宋体" w:cs="宋体"/>
          <w:szCs w:val="21"/>
        </w:rPr>
      </w:pPr>
      <w:r>
        <w:rPr>
          <w:rFonts w:ascii="宋体" w:hAnsi="宋体" w:cs="宋体"/>
          <w:szCs w:val="21"/>
        </w:rPr>
        <w:t xml:space="preserve">供应商应当在投标截止时间前，将生成的“电子加密响应文件”上传递交至“政府采购云平台”。投标截止时间后上传递交的响应文件将被“政府采购云平台”拒收。 </w:t>
      </w:r>
    </w:p>
    <w:p>
      <w:pPr>
        <w:spacing w:line="360" w:lineRule="auto"/>
        <w:ind w:left="840" w:leftChars="400"/>
        <w:rPr>
          <w:rFonts w:hint="default"/>
        </w:rPr>
      </w:pPr>
      <w:r>
        <w:rPr>
          <w:rFonts w:ascii="宋体" w:hAnsi="宋体" w:cs="宋体"/>
          <w:szCs w:val="21"/>
        </w:rPr>
        <w:t>5)通过“政府采购云平台”上传递交的“电子加密响应文件”无法按时解密，供应商递交了备份响应文件的，以备份响应文件为依据，否则视为响应文件撤回。通过“政府采购云平台”上传递交的“电子加密响应文件”已按时解密的，“备份响应文件”自动失效。供应商仅递交备份响应文件的，投标无效。</w:t>
      </w:r>
    </w:p>
    <w:p>
      <w:pPr>
        <w:pStyle w:val="19"/>
        <w:spacing w:before="0" w:beforeAutospacing="0" w:after="0" w:afterAutospacing="0" w:line="360" w:lineRule="auto"/>
        <w:outlineLvl w:val="1"/>
        <w:rPr>
          <w:rFonts w:hint="default" w:ascii="宋体" w:hAnsi="宋体" w:eastAsia="宋体" w:cs="宋体"/>
          <w:sz w:val="21"/>
          <w:szCs w:val="21"/>
        </w:rPr>
      </w:pPr>
      <w:bookmarkStart w:id="30" w:name="_Toc15795"/>
      <w:r>
        <w:rPr>
          <w:rStyle w:val="24"/>
          <w:rFonts w:ascii="宋体" w:hAnsi="宋体" w:eastAsia="宋体" w:cs="宋体"/>
          <w:sz w:val="21"/>
          <w:szCs w:val="21"/>
        </w:rPr>
        <w:t>八、对本次采购提出询问、质疑、投诉，请按以下方式联系。</w:t>
      </w:r>
      <w:bookmarkEnd w:id="30"/>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bookmarkStart w:id="31" w:name="_Toc13993"/>
      <w:bookmarkStart w:id="32" w:name="_Toc13513"/>
      <w:bookmarkStart w:id="33" w:name="_Toc20220"/>
      <w:bookmarkStart w:id="34" w:name="_Toc31328"/>
      <w:r>
        <w:rPr>
          <w:rFonts w:ascii="宋体" w:hAnsi="宋体" w:eastAsia="宋体" w:cs="宋体"/>
          <w:sz w:val="21"/>
          <w:szCs w:val="21"/>
        </w:rPr>
        <w:t>1.采购人信息</w:t>
      </w:r>
      <w:bookmarkEnd w:id="31"/>
      <w:bookmarkEnd w:id="32"/>
      <w:bookmarkEnd w:id="33"/>
      <w:bookmarkEnd w:id="34"/>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名    称：</w:t>
      </w:r>
      <w:r>
        <w:rPr>
          <w:rFonts w:hint="eastAsia" w:ascii="宋体" w:hAnsi="宋体" w:eastAsia="宋体" w:cs="宋体"/>
          <w:sz w:val="21"/>
          <w:szCs w:val="21"/>
          <w:u w:val="single"/>
          <w:lang w:eastAsia="zh-CN"/>
        </w:rPr>
        <w:t>瑞安市汀田街道办事处</w:t>
      </w:r>
      <w:r>
        <w:rPr>
          <w:rFonts w:ascii="宋体" w:hAnsi="宋体" w:eastAsia="宋体" w:cs="宋体"/>
          <w:sz w:val="21"/>
          <w:szCs w:val="21"/>
        </w:rPr>
        <w:t>　　　　　　　　</w:t>
      </w:r>
    </w:p>
    <w:p>
      <w:pPr>
        <w:pStyle w:val="19"/>
        <w:widowControl/>
        <w:spacing w:before="0" w:beforeAutospacing="0" w:after="0" w:afterAutospacing="0" w:line="360" w:lineRule="auto"/>
        <w:rPr>
          <w:rFonts w:hint="eastAsia" w:ascii="宋体" w:hAnsi="宋体" w:eastAsia="宋体" w:cs="宋体"/>
          <w:sz w:val="21"/>
          <w:szCs w:val="21"/>
          <w:lang w:eastAsia="zh-CN"/>
        </w:rPr>
      </w:pPr>
      <w:r>
        <w:rPr>
          <w:rFonts w:ascii="宋体" w:hAnsi="宋体" w:eastAsia="宋体" w:cs="宋体"/>
          <w:sz w:val="21"/>
          <w:szCs w:val="21"/>
        </w:rPr>
        <w:t>   地    址：</w:t>
      </w:r>
      <w:r>
        <w:rPr>
          <w:rFonts w:hint="eastAsia" w:ascii="宋体" w:hAnsi="宋体" w:eastAsia="宋体" w:cs="宋体"/>
          <w:sz w:val="21"/>
          <w:szCs w:val="21"/>
          <w:u w:val="single"/>
          <w:lang w:eastAsia="zh-CN"/>
        </w:rPr>
        <w:t>浙江省温州市瑞安市汀田镇镇府路1号</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项目联系人（询问）：</w:t>
      </w:r>
      <w:r>
        <w:rPr>
          <w:rFonts w:hint="eastAsia" w:ascii="宋体" w:hAnsi="宋体" w:eastAsia="宋体" w:cs="宋体"/>
          <w:sz w:val="21"/>
          <w:szCs w:val="21"/>
          <w:u w:val="single"/>
          <w:lang w:val="en-US" w:eastAsia="zh-CN"/>
        </w:rPr>
        <w:t>黄</w:t>
      </w:r>
      <w:r>
        <w:rPr>
          <w:rFonts w:ascii="宋体" w:hAnsi="宋体" w:eastAsia="宋体" w:cs="宋体"/>
          <w:color w:val="auto"/>
          <w:sz w:val="21"/>
          <w:szCs w:val="21"/>
          <w:u w:val="single"/>
        </w:rPr>
        <w:t>先生</w:t>
      </w:r>
      <w:r>
        <w:rPr>
          <w:rFonts w:ascii="宋体" w:hAnsi="宋体" w:eastAsia="宋体" w:cs="宋体"/>
          <w:sz w:val="21"/>
          <w:szCs w:val="21"/>
        </w:rPr>
        <w:t>　　　　　　　　　</w:t>
      </w:r>
    </w:p>
    <w:p>
      <w:pPr>
        <w:pStyle w:val="19"/>
        <w:widowControl/>
        <w:spacing w:before="0" w:beforeAutospacing="0" w:after="0" w:afterAutospacing="0" w:line="360" w:lineRule="auto"/>
        <w:rPr>
          <w:rFonts w:hint="eastAsia" w:ascii="宋体" w:hAnsi="宋体" w:eastAsia="宋体" w:cs="宋体"/>
          <w:sz w:val="21"/>
          <w:szCs w:val="21"/>
          <w:lang w:eastAsia="zh-CN"/>
        </w:rPr>
      </w:pPr>
      <w:r>
        <w:rPr>
          <w:rFonts w:ascii="宋体" w:hAnsi="宋体" w:eastAsia="宋体" w:cs="宋体"/>
          <w:sz w:val="21"/>
          <w:szCs w:val="21"/>
        </w:rPr>
        <w:t>   项目联系方式（询问）：</w:t>
      </w:r>
      <w:r>
        <w:rPr>
          <w:rFonts w:hint="eastAsia" w:ascii="宋体" w:hAnsi="宋体" w:eastAsia="宋体" w:cs="宋体"/>
          <w:color w:val="auto"/>
          <w:sz w:val="21"/>
          <w:szCs w:val="21"/>
          <w:u w:val="single"/>
          <w:lang w:eastAsia="zh-CN"/>
        </w:rPr>
        <w:t>15888200807</w:t>
      </w:r>
    </w:p>
    <w:p>
      <w:pPr>
        <w:pStyle w:val="19"/>
        <w:widowControl/>
        <w:spacing w:before="0" w:beforeAutospacing="0" w:after="0" w:afterAutospacing="0" w:line="360" w:lineRule="auto"/>
        <w:rPr>
          <w:rFonts w:hint="default" w:ascii="宋体" w:hAnsi="宋体" w:eastAsia="宋体" w:cs="宋体"/>
          <w:color w:val="auto"/>
          <w:sz w:val="21"/>
          <w:szCs w:val="21"/>
          <w:u w:val="single"/>
        </w:rPr>
      </w:pPr>
      <w:r>
        <w:rPr>
          <w:rFonts w:ascii="宋体" w:hAnsi="宋体" w:eastAsia="宋体" w:cs="宋体"/>
          <w:color w:val="FF0000"/>
          <w:sz w:val="21"/>
          <w:szCs w:val="21"/>
        </w:rPr>
        <w:t xml:space="preserve">  </w:t>
      </w:r>
      <w:r>
        <w:rPr>
          <w:rFonts w:ascii="宋体" w:hAnsi="宋体" w:eastAsia="宋体" w:cs="宋体"/>
          <w:color w:val="auto"/>
          <w:sz w:val="21"/>
          <w:szCs w:val="21"/>
        </w:rPr>
        <w:t> 质疑联系人：</w:t>
      </w:r>
      <w:r>
        <w:rPr>
          <w:rFonts w:hint="eastAsia" w:ascii="宋体" w:hAnsi="宋体" w:eastAsia="宋体" w:cs="宋体"/>
          <w:sz w:val="21"/>
          <w:szCs w:val="21"/>
          <w:u w:val="single"/>
          <w:lang w:val="en-US" w:eastAsia="zh-CN"/>
        </w:rPr>
        <w:t>黄</w:t>
      </w:r>
      <w:r>
        <w:rPr>
          <w:rFonts w:ascii="宋体" w:hAnsi="宋体" w:eastAsia="宋体" w:cs="宋体"/>
          <w:color w:val="auto"/>
          <w:sz w:val="21"/>
          <w:szCs w:val="21"/>
          <w:u w:val="single"/>
        </w:rPr>
        <w:t>先生</w:t>
      </w:r>
    </w:p>
    <w:p>
      <w:pPr>
        <w:pStyle w:val="19"/>
        <w:widowControl/>
        <w:spacing w:before="0" w:beforeAutospacing="0" w:after="0" w:afterAutospacing="0" w:line="360" w:lineRule="auto"/>
        <w:ind w:left="315" w:hanging="315" w:hangingChars="150"/>
        <w:rPr>
          <w:rFonts w:hint="default" w:ascii="宋体" w:hAnsi="宋体" w:eastAsia="宋体" w:cs="宋体"/>
          <w:sz w:val="21"/>
          <w:szCs w:val="21"/>
        </w:rPr>
      </w:pPr>
      <w:r>
        <w:rPr>
          <w:rFonts w:ascii="宋体" w:hAnsi="宋体" w:eastAsia="宋体" w:cs="宋体"/>
          <w:color w:val="auto"/>
          <w:sz w:val="21"/>
          <w:szCs w:val="21"/>
        </w:rPr>
        <w:t>   质疑联系方式：</w:t>
      </w:r>
      <w:r>
        <w:rPr>
          <w:rFonts w:hint="eastAsia" w:ascii="宋体" w:hAnsi="宋体" w:eastAsia="宋体" w:cs="宋体"/>
          <w:sz w:val="21"/>
          <w:szCs w:val="21"/>
          <w:u w:val="single"/>
          <w:lang w:val="en-US" w:eastAsia="zh-CN"/>
        </w:rPr>
        <w:t>0577-65507873</w:t>
      </w:r>
      <w:r>
        <w:rPr>
          <w:rFonts w:ascii="宋体" w:hAnsi="宋体" w:eastAsia="宋体" w:cs="宋体"/>
          <w:color w:val="auto"/>
          <w:sz w:val="21"/>
          <w:szCs w:val="21"/>
        </w:rPr>
        <w:t>　</w:t>
      </w:r>
      <w:r>
        <w:rPr>
          <w:rFonts w:ascii="宋体" w:hAnsi="宋体" w:eastAsia="宋体" w:cs="宋体"/>
          <w:color w:val="FF0000"/>
          <w:sz w:val="21"/>
          <w:szCs w:val="21"/>
        </w:rPr>
        <w:t>　</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bookmarkStart w:id="35" w:name="_Toc14922"/>
      <w:bookmarkStart w:id="36" w:name="_Toc20487"/>
      <w:bookmarkStart w:id="37" w:name="_Toc18646"/>
      <w:bookmarkStart w:id="38" w:name="_Toc23529"/>
      <w:r>
        <w:rPr>
          <w:rFonts w:ascii="宋体" w:hAnsi="宋体" w:eastAsia="宋体" w:cs="宋体"/>
          <w:sz w:val="21"/>
          <w:szCs w:val="21"/>
        </w:rPr>
        <w:t>2.采购代理机构信息</w:t>
      </w:r>
      <w:bookmarkEnd w:id="35"/>
      <w:bookmarkEnd w:id="36"/>
      <w:bookmarkEnd w:id="37"/>
      <w:bookmarkEnd w:id="38"/>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名    称：</w:t>
      </w:r>
      <w:r>
        <w:rPr>
          <w:rFonts w:ascii="宋体" w:hAnsi="宋体" w:eastAsia="宋体" w:cs="宋体"/>
          <w:sz w:val="21"/>
          <w:szCs w:val="21"/>
          <w:u w:val="single"/>
        </w:rPr>
        <w:t>浙江综盛项目管理有限公司</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地    址：</w:t>
      </w:r>
      <w:r>
        <w:rPr>
          <w:rFonts w:ascii="宋体" w:hAnsi="宋体" w:eastAsia="宋体" w:cs="宋体"/>
          <w:sz w:val="21"/>
          <w:szCs w:val="21"/>
          <w:u w:val="single"/>
        </w:rPr>
        <w:t>瑞安经济开发区朝阳路555号</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项目联系人（询问）：</w:t>
      </w:r>
      <w:r>
        <w:rPr>
          <w:rFonts w:ascii="宋体" w:hAnsi="宋体" w:eastAsia="宋体" w:cs="宋体"/>
          <w:sz w:val="21"/>
          <w:szCs w:val="21"/>
          <w:u w:val="single"/>
        </w:rPr>
        <w:t>赵女士</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项目联系方式（询问）：</w:t>
      </w:r>
      <w:r>
        <w:rPr>
          <w:rFonts w:ascii="宋体" w:hAnsi="宋体" w:eastAsia="宋体" w:cs="宋体"/>
          <w:sz w:val="21"/>
          <w:szCs w:val="21"/>
          <w:u w:val="single"/>
        </w:rPr>
        <w:t>17826851140</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质疑联系人：</w:t>
      </w:r>
      <w:r>
        <w:rPr>
          <w:rFonts w:ascii="宋体" w:hAnsi="宋体" w:eastAsia="宋体" w:cs="宋体"/>
          <w:sz w:val="21"/>
          <w:szCs w:val="21"/>
          <w:u w:val="single"/>
        </w:rPr>
        <w:t>陈昌林</w:t>
      </w:r>
    </w:p>
    <w:p>
      <w:pPr>
        <w:pStyle w:val="19"/>
        <w:widowControl/>
        <w:spacing w:before="0" w:beforeAutospacing="0" w:after="0" w:afterAutospacing="0" w:line="360" w:lineRule="auto"/>
        <w:ind w:left="420" w:hanging="420" w:hangingChars="200"/>
        <w:rPr>
          <w:rFonts w:hint="default" w:ascii="宋体" w:hAnsi="宋体" w:eastAsia="宋体" w:cs="宋体"/>
          <w:sz w:val="21"/>
          <w:szCs w:val="21"/>
        </w:rPr>
      </w:pPr>
      <w:r>
        <w:rPr>
          <w:rFonts w:ascii="宋体" w:hAnsi="宋体" w:eastAsia="宋体" w:cs="宋体"/>
          <w:sz w:val="21"/>
          <w:szCs w:val="21"/>
        </w:rPr>
        <w:t>   质疑联系方式：</w:t>
      </w:r>
      <w:r>
        <w:rPr>
          <w:rFonts w:ascii="宋体" w:hAnsi="宋体" w:eastAsia="宋体" w:cs="宋体"/>
          <w:sz w:val="21"/>
          <w:szCs w:val="21"/>
          <w:u w:val="single"/>
        </w:rPr>
        <w:t>13587520018</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bookmarkStart w:id="39" w:name="_Toc5751"/>
      <w:bookmarkStart w:id="40" w:name="_Toc32544"/>
      <w:bookmarkStart w:id="41" w:name="_Toc15097"/>
      <w:bookmarkStart w:id="42" w:name="_Toc9294"/>
      <w:r>
        <w:rPr>
          <w:rFonts w:ascii="宋体" w:hAnsi="宋体" w:eastAsia="宋体" w:cs="宋体"/>
          <w:sz w:val="21"/>
          <w:szCs w:val="21"/>
        </w:rPr>
        <w:t>3.政府采购监督管理部门</w:t>
      </w:r>
      <w:bookmarkEnd w:id="39"/>
      <w:bookmarkEnd w:id="40"/>
      <w:bookmarkEnd w:id="41"/>
      <w:bookmarkEnd w:id="42"/>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名     称：</w:t>
      </w:r>
      <w:r>
        <w:rPr>
          <w:rFonts w:ascii="宋体" w:hAnsi="宋体" w:eastAsia="宋体" w:cs="宋体"/>
          <w:sz w:val="21"/>
          <w:szCs w:val="21"/>
          <w:u w:val="single"/>
        </w:rPr>
        <w:t>瑞安市财政局政府采购监管科</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地     址：</w:t>
      </w:r>
      <w:r>
        <w:rPr>
          <w:rFonts w:hint="eastAsia" w:ascii="宋体" w:hAnsi="宋体" w:eastAsia="宋体" w:cs="宋体"/>
          <w:sz w:val="21"/>
          <w:szCs w:val="21"/>
          <w:u w:val="single"/>
        </w:rPr>
        <w:t>瑞安市万松东路379号瑞安财税大楼1505室</w:t>
      </w:r>
      <w:r>
        <w:rPr>
          <w:rFonts w:ascii="宋体" w:hAnsi="宋体" w:eastAsia="宋体" w:cs="宋体"/>
          <w:sz w:val="21"/>
          <w:szCs w:val="21"/>
        </w:rPr>
        <w:t>　　　　　　　　　</w:t>
      </w:r>
    </w:p>
    <w:p>
      <w:pPr>
        <w:pStyle w:val="19"/>
        <w:widowControl/>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   传      真：</w:t>
      </w:r>
      <w:r>
        <w:rPr>
          <w:rFonts w:ascii="宋体" w:hAnsi="宋体" w:eastAsia="宋体" w:cs="宋体"/>
          <w:sz w:val="21"/>
          <w:szCs w:val="21"/>
          <w:u w:val="single"/>
        </w:rPr>
        <w:t>0577-65827573</w:t>
      </w:r>
    </w:p>
    <w:p>
      <w:pPr>
        <w:widowControl/>
        <w:spacing w:line="360" w:lineRule="auto"/>
        <w:ind w:firstLine="315" w:firstLineChars="150"/>
        <w:rPr>
          <w:rFonts w:hint="default" w:ascii="宋体" w:hAnsi="宋体" w:cs="宋体"/>
          <w:color w:val="000000"/>
          <w:szCs w:val="21"/>
          <w:u w:val="single"/>
        </w:rPr>
      </w:pPr>
      <w:r>
        <w:rPr>
          <w:rFonts w:ascii="宋体" w:hAnsi="宋体" w:cs="宋体"/>
          <w:color w:val="000000"/>
          <w:szCs w:val="21"/>
        </w:rPr>
        <w:t> 联   系   人：</w:t>
      </w:r>
      <w:r>
        <w:rPr>
          <w:rFonts w:ascii="宋体" w:hAnsi="宋体" w:cs="宋体"/>
          <w:color w:val="000000"/>
          <w:szCs w:val="21"/>
          <w:u w:val="single"/>
        </w:rPr>
        <w:t>蔡先生</w:t>
      </w:r>
    </w:p>
    <w:p>
      <w:pPr>
        <w:widowControl/>
        <w:spacing w:line="360" w:lineRule="auto"/>
        <w:ind w:firstLine="315" w:firstLineChars="150"/>
        <w:rPr>
          <w:rFonts w:hint="default" w:ascii="宋体" w:hAnsi="宋体" w:cs="宋体"/>
          <w:color w:val="000000"/>
          <w:szCs w:val="21"/>
          <w:u w:val="single"/>
        </w:rPr>
      </w:pPr>
      <w:r>
        <w:rPr>
          <w:rFonts w:ascii="宋体" w:hAnsi="宋体" w:cs="宋体"/>
          <w:color w:val="000000"/>
          <w:szCs w:val="21"/>
        </w:rPr>
        <w:t xml:space="preserve">  </w:t>
      </w:r>
      <w:bookmarkStart w:id="43" w:name="_Toc6406"/>
      <w:r>
        <w:rPr>
          <w:rFonts w:ascii="宋体" w:hAnsi="宋体" w:cs="宋体"/>
          <w:szCs w:val="21"/>
        </w:rPr>
        <w:t>监督投诉电话：</w:t>
      </w:r>
      <w:r>
        <w:rPr>
          <w:rFonts w:ascii="宋体" w:hAnsi="宋体" w:cs="宋体"/>
          <w:szCs w:val="21"/>
          <w:u w:val="single"/>
        </w:rPr>
        <w:t>0577-65827567</w:t>
      </w:r>
      <w:bookmarkEnd w:id="43"/>
    </w:p>
    <w:p>
      <w:pPr>
        <w:spacing w:line="360" w:lineRule="auto"/>
        <w:rPr>
          <w:rFonts w:hint="default"/>
        </w:rPr>
      </w:pPr>
    </w:p>
    <w:p>
      <w:pPr>
        <w:spacing w:line="360" w:lineRule="auto"/>
        <w:rPr>
          <w:rFonts w:hint="default"/>
        </w:rPr>
      </w:pPr>
    </w:p>
    <w:p>
      <w:pPr>
        <w:spacing w:line="360" w:lineRule="auto"/>
        <w:rPr>
          <w:rFonts w:hint="default"/>
        </w:rPr>
      </w:pPr>
    </w:p>
    <w:p>
      <w:pPr>
        <w:spacing w:line="360" w:lineRule="auto"/>
        <w:rPr>
          <w:rFonts w:hint="default"/>
        </w:rPr>
      </w:pPr>
    </w:p>
    <w:p>
      <w:pPr>
        <w:spacing w:line="360" w:lineRule="auto"/>
        <w:rPr>
          <w:rFonts w:hint="default"/>
        </w:rPr>
      </w:pPr>
    </w:p>
    <w:p>
      <w:pPr>
        <w:spacing w:line="360" w:lineRule="auto"/>
        <w:rPr>
          <w:rFonts w:hint="default"/>
        </w:rPr>
      </w:pPr>
    </w:p>
    <w:p>
      <w:pPr>
        <w:spacing w:line="360" w:lineRule="auto"/>
        <w:ind w:firstLine="422" w:firstLineChars="200"/>
        <w:rPr>
          <w:rFonts w:hint="default"/>
        </w:rPr>
      </w:pPr>
      <w:r>
        <w:rPr>
          <w:rFonts w:hint="default"/>
          <w:b/>
          <w:bCs/>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tabs>
          <w:tab w:val="left" w:pos="840"/>
        </w:tabs>
        <w:spacing w:after="120" w:afterLines="50" w:line="400" w:lineRule="exact"/>
        <w:jc w:val="center"/>
        <w:rPr>
          <w:rFonts w:hint="default" w:hAnsi="宋体" w:cs="宋体"/>
          <w:sz w:val="28"/>
          <w:szCs w:val="36"/>
        </w:rPr>
      </w:pPr>
      <w:bookmarkStart w:id="44" w:name="_Toc7358"/>
      <w:bookmarkStart w:id="45" w:name="_Toc1436"/>
      <w:bookmarkStart w:id="46" w:name="_Toc12804"/>
      <w:bookmarkStart w:id="47" w:name="_Toc32150"/>
      <w:bookmarkStart w:id="48" w:name="_Toc27837"/>
    </w:p>
    <w:p>
      <w:pPr>
        <w:tabs>
          <w:tab w:val="left" w:pos="840"/>
        </w:tabs>
        <w:spacing w:after="120" w:afterLines="50" w:line="400" w:lineRule="exact"/>
        <w:jc w:val="center"/>
        <w:rPr>
          <w:rFonts w:hint="default" w:hAnsi="宋体" w:cs="宋体"/>
          <w:sz w:val="28"/>
          <w:szCs w:val="36"/>
        </w:rPr>
      </w:pPr>
    </w:p>
    <w:p>
      <w:pPr>
        <w:tabs>
          <w:tab w:val="left" w:pos="840"/>
        </w:tabs>
        <w:spacing w:after="120" w:afterLines="50" w:line="400" w:lineRule="exact"/>
        <w:jc w:val="center"/>
        <w:rPr>
          <w:rFonts w:hint="default" w:hAnsi="宋体" w:cs="宋体"/>
          <w:sz w:val="28"/>
          <w:szCs w:val="36"/>
        </w:rPr>
      </w:pPr>
    </w:p>
    <w:p>
      <w:pPr>
        <w:tabs>
          <w:tab w:val="left" w:pos="840"/>
        </w:tabs>
        <w:spacing w:after="120" w:afterLines="50" w:line="400" w:lineRule="exact"/>
        <w:jc w:val="both"/>
        <w:rPr>
          <w:rFonts w:hint="default" w:hAnsi="宋体" w:cs="宋体"/>
          <w:sz w:val="28"/>
          <w:szCs w:val="36"/>
        </w:rPr>
      </w:pPr>
    </w:p>
    <w:p>
      <w:pPr>
        <w:pStyle w:val="3"/>
        <w:keepNext w:val="0"/>
        <w:keepLines w:val="0"/>
        <w:spacing w:after="120" w:afterLines="50" w:line="400" w:lineRule="exact"/>
        <w:jc w:val="center"/>
        <w:rPr>
          <w:rFonts w:hint="default" w:hAnsi="宋体" w:cs="宋体"/>
          <w:sz w:val="28"/>
          <w:szCs w:val="36"/>
        </w:rPr>
      </w:pPr>
      <w:bookmarkStart w:id="49" w:name="_Toc18894"/>
      <w:r>
        <w:rPr>
          <w:rFonts w:hAnsi="宋体" w:cs="宋体"/>
          <w:sz w:val="28"/>
          <w:szCs w:val="36"/>
        </w:rPr>
        <w:t>第二部分  磋商供应商须知</w:t>
      </w:r>
      <w:bookmarkEnd w:id="44"/>
      <w:bookmarkEnd w:id="45"/>
      <w:bookmarkEnd w:id="46"/>
      <w:bookmarkEnd w:id="47"/>
      <w:bookmarkEnd w:id="48"/>
      <w:bookmarkEnd w:id="49"/>
    </w:p>
    <w:p>
      <w:pPr>
        <w:pStyle w:val="4"/>
        <w:spacing w:before="120" w:beforeLines="50" w:after="120" w:afterLines="50" w:line="380" w:lineRule="exact"/>
        <w:jc w:val="center"/>
        <w:rPr>
          <w:rFonts w:hint="default" w:ascii="宋体" w:hAnsi="宋体" w:cs="宋体"/>
          <w:bCs w:val="0"/>
          <w:sz w:val="24"/>
          <w:szCs w:val="24"/>
        </w:rPr>
      </w:pPr>
      <w:bookmarkStart w:id="50" w:name="_Toc19616"/>
      <w:bookmarkStart w:id="51" w:name="_Toc12629"/>
      <w:bookmarkStart w:id="52" w:name="_Toc24005"/>
      <w:bookmarkStart w:id="53" w:name="_Toc21971"/>
      <w:bookmarkStart w:id="54" w:name="_Toc32711"/>
      <w:bookmarkStart w:id="55" w:name="_Toc18225"/>
      <w:bookmarkStart w:id="56" w:name="_Toc19423"/>
      <w:bookmarkStart w:id="57" w:name="_Toc3844"/>
      <w:r>
        <w:rPr>
          <w:rFonts w:ascii="宋体" w:hAnsi="宋体" w:cs="宋体"/>
          <w:sz w:val="24"/>
          <w:szCs w:val="24"/>
        </w:rPr>
        <w:t>（一）</w:t>
      </w:r>
      <w:r>
        <w:rPr>
          <w:rFonts w:ascii="宋体" w:hAnsi="宋体" w:cs="宋体"/>
          <w:bCs w:val="0"/>
          <w:sz w:val="24"/>
          <w:szCs w:val="24"/>
        </w:rPr>
        <w:t>磋商须知前附表</w:t>
      </w:r>
      <w:bookmarkEnd w:id="50"/>
      <w:bookmarkEnd w:id="51"/>
      <w:bookmarkEnd w:id="52"/>
      <w:bookmarkEnd w:id="53"/>
      <w:bookmarkEnd w:id="54"/>
      <w:bookmarkEnd w:id="55"/>
      <w:bookmarkEnd w:id="56"/>
      <w:bookmarkEnd w:id="57"/>
    </w:p>
    <w:tbl>
      <w:tblPr>
        <w:tblStyle w:val="21"/>
        <w:tblW w:w="98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34"/>
        <w:gridCol w:w="7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6" w:hRule="atLeast"/>
          <w:jc w:val="center"/>
        </w:trPr>
        <w:tc>
          <w:tcPr>
            <w:tcW w:w="645" w:type="dxa"/>
            <w:vAlign w:val="center"/>
          </w:tcPr>
          <w:p>
            <w:pPr>
              <w:spacing w:line="276" w:lineRule="auto"/>
              <w:jc w:val="center"/>
              <w:rPr>
                <w:rFonts w:hint="default" w:ascii="宋体" w:hAnsi="宋体" w:cs="宋体"/>
                <w:b/>
                <w:szCs w:val="21"/>
              </w:rPr>
            </w:pPr>
            <w:r>
              <w:rPr>
                <w:rFonts w:ascii="宋体" w:hAnsi="宋体" w:cs="宋体"/>
                <w:b/>
                <w:szCs w:val="21"/>
              </w:rPr>
              <w:t>项号</w:t>
            </w:r>
          </w:p>
        </w:tc>
        <w:tc>
          <w:tcPr>
            <w:tcW w:w="1834" w:type="dxa"/>
            <w:vAlign w:val="center"/>
          </w:tcPr>
          <w:p>
            <w:pPr>
              <w:spacing w:line="276" w:lineRule="auto"/>
              <w:jc w:val="center"/>
              <w:rPr>
                <w:rFonts w:hint="default" w:ascii="宋体" w:hAnsi="宋体" w:cs="宋体"/>
                <w:b/>
                <w:szCs w:val="21"/>
              </w:rPr>
            </w:pPr>
            <w:r>
              <w:rPr>
                <w:rFonts w:ascii="宋体" w:hAnsi="宋体" w:cs="宋体"/>
                <w:b/>
                <w:szCs w:val="21"/>
              </w:rPr>
              <w:t>内容</w:t>
            </w:r>
          </w:p>
        </w:tc>
        <w:tc>
          <w:tcPr>
            <w:tcW w:w="7365" w:type="dxa"/>
            <w:vAlign w:val="center"/>
          </w:tcPr>
          <w:p>
            <w:pPr>
              <w:spacing w:line="276" w:lineRule="auto"/>
              <w:jc w:val="center"/>
              <w:rPr>
                <w:rFonts w:hint="default" w:ascii="宋体" w:hAnsi="宋体" w:cs="宋体"/>
                <w:b/>
                <w:szCs w:val="21"/>
              </w:rPr>
            </w:pPr>
            <w:r>
              <w:rPr>
                <w:rFonts w:ascii="宋体" w:hAnsi="宋体" w:cs="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项目名称</w:t>
            </w:r>
          </w:p>
        </w:tc>
        <w:tc>
          <w:tcPr>
            <w:tcW w:w="7365" w:type="dxa"/>
            <w:vAlign w:val="center"/>
          </w:tcPr>
          <w:p>
            <w:pPr>
              <w:spacing w:line="360" w:lineRule="auto"/>
              <w:jc w:val="left"/>
              <w:rPr>
                <w:rFonts w:hint="eastAsia" w:ascii="宋体" w:hAnsi="宋体" w:eastAsia="宋体" w:cs="宋体"/>
                <w:szCs w:val="21"/>
                <w:lang w:eastAsia="zh-CN"/>
              </w:rPr>
            </w:pPr>
            <w:r>
              <w:rPr>
                <w:rFonts w:hint="eastAsia" w:ascii="宋体" w:hAnsi="宋体" w:cs="宋体"/>
                <w:szCs w:val="21"/>
                <w:lang w:eastAsia="zh-CN"/>
              </w:rPr>
              <w:t>瑞安市汀田街道2023-2024年违章拆除及环境整治服务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62"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2</w:t>
            </w:r>
          </w:p>
        </w:tc>
        <w:tc>
          <w:tcPr>
            <w:tcW w:w="1834" w:type="dxa"/>
            <w:vAlign w:val="center"/>
          </w:tcPr>
          <w:p>
            <w:pPr>
              <w:spacing w:line="360" w:lineRule="auto"/>
              <w:jc w:val="center"/>
              <w:rPr>
                <w:rFonts w:hint="default" w:ascii="宋体" w:hAnsi="宋体" w:cs="宋体"/>
                <w:color w:val="000000"/>
                <w:szCs w:val="21"/>
              </w:rPr>
            </w:pPr>
            <w:r>
              <w:rPr>
                <w:rFonts w:ascii="宋体" w:hAnsi="宋体" w:cs="宋体"/>
                <w:color w:val="000000"/>
                <w:szCs w:val="21"/>
              </w:rPr>
              <w:t>项目编号</w:t>
            </w:r>
          </w:p>
        </w:tc>
        <w:tc>
          <w:tcPr>
            <w:tcW w:w="7365" w:type="dxa"/>
            <w:vAlign w:val="center"/>
          </w:tcPr>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lang w:eastAsia="zh-CN"/>
              </w:rPr>
              <w:t>zjzs20230808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7"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3</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资金来源</w:t>
            </w:r>
          </w:p>
        </w:tc>
        <w:tc>
          <w:tcPr>
            <w:tcW w:w="7365" w:type="dxa"/>
            <w:vAlign w:val="center"/>
          </w:tcPr>
          <w:p>
            <w:pPr>
              <w:spacing w:line="360" w:lineRule="auto"/>
              <w:jc w:val="left"/>
              <w:rPr>
                <w:rFonts w:hint="default" w:ascii="宋体" w:hAnsi="宋体" w:cs="宋体"/>
                <w:szCs w:val="21"/>
              </w:rPr>
            </w:pPr>
            <w:r>
              <w:rPr>
                <w:rFonts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4</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采购人</w:t>
            </w:r>
          </w:p>
        </w:tc>
        <w:tc>
          <w:tcPr>
            <w:tcW w:w="7365" w:type="dxa"/>
            <w:vAlign w:val="center"/>
          </w:tcPr>
          <w:p>
            <w:pPr>
              <w:spacing w:line="360" w:lineRule="auto"/>
              <w:jc w:val="left"/>
              <w:rPr>
                <w:rFonts w:hint="eastAsia" w:ascii="宋体" w:hAnsi="宋体" w:eastAsia="宋体" w:cs="宋体"/>
                <w:color w:val="000000"/>
                <w:szCs w:val="21"/>
                <w:lang w:eastAsia="zh-CN"/>
              </w:rPr>
            </w:pPr>
            <w:r>
              <w:rPr>
                <w:rFonts w:ascii="宋体" w:hAnsi="宋体" w:cs="宋体"/>
                <w:szCs w:val="21"/>
              </w:rPr>
              <w:t>名      称</w:t>
            </w:r>
            <w:r>
              <w:rPr>
                <w:rFonts w:ascii="宋体" w:hAnsi="宋体" w:cs="宋体"/>
                <w:color w:val="000000"/>
                <w:szCs w:val="21"/>
              </w:rPr>
              <w:t>：</w:t>
            </w:r>
            <w:r>
              <w:rPr>
                <w:rFonts w:hint="eastAsia" w:ascii="宋体" w:hAnsi="宋体" w:cs="宋体"/>
                <w:color w:val="000000"/>
                <w:szCs w:val="21"/>
                <w:lang w:eastAsia="zh-CN"/>
              </w:rPr>
              <w:t>瑞安市汀田街道办事处</w:t>
            </w:r>
          </w:p>
          <w:p>
            <w:pPr>
              <w:spacing w:line="360" w:lineRule="auto"/>
              <w:jc w:val="left"/>
              <w:rPr>
                <w:rFonts w:hint="eastAsia" w:ascii="宋体" w:hAnsi="宋体" w:eastAsia="宋体" w:cs="宋体"/>
                <w:color w:val="000000"/>
                <w:szCs w:val="21"/>
                <w:lang w:eastAsia="zh-CN"/>
              </w:rPr>
            </w:pPr>
            <w:r>
              <w:rPr>
                <w:rFonts w:ascii="宋体" w:hAnsi="宋体" w:cs="宋体"/>
                <w:color w:val="000000"/>
                <w:szCs w:val="21"/>
              </w:rPr>
              <w:t>地      址：</w:t>
            </w:r>
            <w:r>
              <w:rPr>
                <w:rFonts w:hint="eastAsia" w:ascii="宋体" w:hAnsi="宋体" w:cs="宋体"/>
                <w:color w:val="000000"/>
                <w:szCs w:val="21"/>
                <w:lang w:eastAsia="zh-CN"/>
              </w:rPr>
              <w:t>浙江省温州市瑞安市汀田镇镇府路1号</w:t>
            </w:r>
          </w:p>
          <w:p>
            <w:pPr>
              <w:spacing w:line="360" w:lineRule="auto"/>
              <w:jc w:val="left"/>
              <w:rPr>
                <w:rFonts w:hint="default" w:ascii="宋体" w:hAnsi="宋体" w:cs="宋体"/>
                <w:color w:val="000000"/>
                <w:szCs w:val="21"/>
              </w:rPr>
            </w:pPr>
            <w:r>
              <w:rPr>
                <w:rFonts w:ascii="宋体" w:hAnsi="宋体" w:cs="宋体"/>
                <w:color w:val="000000"/>
                <w:szCs w:val="21"/>
              </w:rPr>
              <w:t>项目联系人：</w:t>
            </w:r>
            <w:r>
              <w:rPr>
                <w:rFonts w:hint="eastAsia" w:ascii="宋体" w:hAnsi="宋体" w:cs="宋体"/>
                <w:szCs w:val="21"/>
                <w:lang w:val="en-US" w:eastAsia="zh-CN"/>
              </w:rPr>
              <w:t>黄</w:t>
            </w:r>
            <w:r>
              <w:rPr>
                <w:rFonts w:ascii="宋体" w:hAnsi="宋体" w:cs="宋体"/>
                <w:szCs w:val="21"/>
              </w:rPr>
              <w:t>先生</w:t>
            </w:r>
          </w:p>
          <w:p>
            <w:pPr>
              <w:spacing w:line="360" w:lineRule="auto"/>
              <w:jc w:val="left"/>
              <w:rPr>
                <w:rFonts w:hint="eastAsia" w:ascii="宋体" w:hAnsi="宋体" w:eastAsia="宋体" w:cs="宋体"/>
                <w:szCs w:val="21"/>
                <w:lang w:eastAsia="zh-CN"/>
              </w:rPr>
            </w:pPr>
            <w:r>
              <w:rPr>
                <w:rFonts w:ascii="宋体" w:hAnsi="宋体" w:cs="宋体"/>
                <w:color w:val="000000"/>
                <w:szCs w:val="21"/>
              </w:rPr>
              <w:t>联系  电话：</w:t>
            </w:r>
            <w:r>
              <w:rPr>
                <w:rFonts w:hint="eastAsia" w:ascii="宋体" w:hAnsi="宋体" w:cs="宋体"/>
                <w:color w:val="000000"/>
                <w:szCs w:val="21"/>
                <w:lang w:eastAsia="zh-CN"/>
              </w:rPr>
              <w:t>15888200807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69"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5</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采购代理机构</w:t>
            </w:r>
          </w:p>
        </w:tc>
        <w:tc>
          <w:tcPr>
            <w:tcW w:w="7365" w:type="dxa"/>
            <w:vAlign w:val="center"/>
          </w:tcPr>
          <w:p>
            <w:pPr>
              <w:adjustRightInd w:val="0"/>
              <w:spacing w:line="360" w:lineRule="auto"/>
              <w:rPr>
                <w:rFonts w:hint="default" w:ascii="宋体" w:hAnsi="宋体" w:cs="宋体"/>
                <w:color w:val="000000"/>
                <w:szCs w:val="21"/>
              </w:rPr>
            </w:pPr>
            <w:r>
              <w:rPr>
                <w:rFonts w:ascii="宋体" w:hAnsi="宋体" w:cs="宋体"/>
                <w:color w:val="000000"/>
                <w:szCs w:val="21"/>
              </w:rPr>
              <w:t>名      称：浙江综盛项目管理有限公司</w:t>
            </w:r>
          </w:p>
          <w:p>
            <w:pPr>
              <w:adjustRightInd w:val="0"/>
              <w:spacing w:line="360" w:lineRule="auto"/>
              <w:rPr>
                <w:rFonts w:hint="default" w:ascii="宋体" w:hAnsi="宋体" w:cs="宋体"/>
                <w:color w:val="000000"/>
                <w:szCs w:val="21"/>
              </w:rPr>
            </w:pPr>
            <w:r>
              <w:rPr>
                <w:rFonts w:ascii="宋体" w:hAnsi="宋体" w:cs="宋体"/>
                <w:color w:val="000000"/>
                <w:szCs w:val="21"/>
              </w:rPr>
              <w:t>地      址：</w:t>
            </w:r>
            <w:r>
              <w:rPr>
                <w:rFonts w:ascii="宋体" w:hAnsi="宋体" w:cs="宋体"/>
                <w:bCs/>
                <w:color w:val="000000"/>
                <w:szCs w:val="21"/>
              </w:rPr>
              <w:t>瑞安经济开发区朝阳路555号</w:t>
            </w:r>
          </w:p>
          <w:p>
            <w:pPr>
              <w:adjustRightInd w:val="0"/>
              <w:spacing w:line="360" w:lineRule="auto"/>
              <w:rPr>
                <w:rFonts w:hint="default" w:ascii="宋体" w:hAnsi="宋体" w:cs="宋体"/>
                <w:color w:val="000000"/>
                <w:szCs w:val="21"/>
              </w:rPr>
            </w:pPr>
            <w:r>
              <w:rPr>
                <w:rFonts w:ascii="宋体" w:hAnsi="宋体" w:cs="宋体"/>
                <w:color w:val="000000"/>
                <w:szCs w:val="21"/>
              </w:rPr>
              <w:t xml:space="preserve">项目负责人：赵女士 </w:t>
            </w:r>
          </w:p>
          <w:p>
            <w:pPr>
              <w:spacing w:line="360" w:lineRule="auto"/>
              <w:rPr>
                <w:rFonts w:hint="default" w:ascii="宋体" w:hAnsi="宋体" w:cs="宋体"/>
                <w:color w:val="000000"/>
                <w:szCs w:val="21"/>
              </w:rPr>
            </w:pPr>
            <w:r>
              <w:rPr>
                <w:rFonts w:ascii="宋体" w:hAnsi="宋体" w:cs="宋体"/>
                <w:color w:val="000000"/>
                <w:szCs w:val="21"/>
              </w:rPr>
              <w:t>联系  电话：17826851140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54"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6</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采购内容</w:t>
            </w:r>
          </w:p>
        </w:tc>
        <w:tc>
          <w:tcPr>
            <w:tcW w:w="7365" w:type="dxa"/>
            <w:vAlign w:val="center"/>
          </w:tcPr>
          <w:p>
            <w:pPr>
              <w:widowControl/>
              <w:spacing w:line="360" w:lineRule="auto"/>
              <w:rPr>
                <w:rFonts w:hint="default" w:ascii="宋体" w:hAnsi="宋体" w:cs="宋体"/>
                <w:color w:val="000000"/>
                <w:szCs w:val="21"/>
              </w:rPr>
            </w:pPr>
            <w:r>
              <w:rPr>
                <w:rFonts w:ascii="宋体" w:hAnsi="宋体" w:cs="宋体"/>
                <w:bCs/>
                <w:color w:val="000000"/>
                <w:szCs w:val="21"/>
              </w:rPr>
              <w:t>详见磋商文件相关部分</w:t>
            </w:r>
            <w:r>
              <w:rPr>
                <w:rFonts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17"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7</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磋商供应商</w:t>
            </w:r>
          </w:p>
          <w:p>
            <w:pPr>
              <w:spacing w:line="360" w:lineRule="auto"/>
              <w:jc w:val="center"/>
              <w:rPr>
                <w:rFonts w:hint="default" w:ascii="宋体" w:hAnsi="宋体" w:cs="宋体"/>
                <w:szCs w:val="21"/>
              </w:rPr>
            </w:pPr>
            <w:r>
              <w:rPr>
                <w:rFonts w:ascii="宋体" w:hAnsi="宋体" w:cs="宋体"/>
                <w:szCs w:val="21"/>
              </w:rPr>
              <w:t>资格要求</w:t>
            </w:r>
          </w:p>
        </w:tc>
        <w:tc>
          <w:tcPr>
            <w:tcW w:w="7365" w:type="dxa"/>
            <w:vAlign w:val="center"/>
          </w:tcPr>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1.满足《中华人民共和国政府采购法》第二十二条规定；未被“信用中国”（www.creditchina.gov.cn）、中国政府采购网（www.ccgp.gov.cn）、浙江政府采购网（http://zfcg.czt.zj.gov.cn//）、国家企业信用信息公示系统（www.gsxt.gov.cn）列入失信被执行人、重大税收违法案件当事人名单、政府采购严重违法失信行为记录名单。</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2.落实政府采购政策需满足的资格要求：本项目整体专门面向中小企业采购（残疾人福利性单位和监狱企业视同小微企业）。</w:t>
            </w:r>
          </w:p>
          <w:p>
            <w:pPr>
              <w:pStyle w:val="19"/>
              <w:spacing w:before="0" w:beforeAutospacing="0" w:after="0" w:afterAutospacing="0" w:line="360" w:lineRule="auto"/>
              <w:rPr>
                <w:rFonts w:hint="default" w:ascii="宋体" w:hAnsi="宋体" w:eastAsia="宋体" w:cs="宋体"/>
                <w:sz w:val="21"/>
                <w:szCs w:val="21"/>
              </w:rPr>
            </w:pPr>
            <w:r>
              <w:rPr>
                <w:rFonts w:ascii="宋体" w:hAnsi="宋体" w:eastAsia="宋体" w:cs="宋体"/>
                <w:sz w:val="21"/>
                <w:szCs w:val="21"/>
              </w:rPr>
              <w:t>3.特定资格条件：</w:t>
            </w:r>
            <w:r>
              <w:rPr>
                <w:rFonts w:hint="eastAsia" w:ascii="宋体" w:hAnsi="宋体" w:eastAsia="宋体" w:cs="宋体"/>
                <w:sz w:val="21"/>
                <w:szCs w:val="21"/>
                <w:lang w:eastAsia="zh-CN"/>
              </w:rPr>
              <w:t>无</w:t>
            </w:r>
            <w:r>
              <w:rPr>
                <w:rFonts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8</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是否接受联合体</w:t>
            </w:r>
          </w:p>
          <w:p>
            <w:pPr>
              <w:adjustRightInd w:val="0"/>
              <w:spacing w:line="360" w:lineRule="auto"/>
              <w:jc w:val="center"/>
              <w:rPr>
                <w:rFonts w:hint="default" w:ascii="宋体" w:hAnsi="宋体" w:cs="宋体"/>
                <w:szCs w:val="21"/>
              </w:rPr>
            </w:pPr>
            <w:r>
              <w:rPr>
                <w:rFonts w:ascii="宋体" w:hAnsi="宋体" w:cs="宋体"/>
                <w:szCs w:val="21"/>
              </w:rPr>
              <w:t>投标</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 不接受</w:t>
            </w:r>
          </w:p>
          <w:p>
            <w:pPr>
              <w:adjustRightInd w:val="0"/>
              <w:spacing w:line="360" w:lineRule="auto"/>
              <w:rPr>
                <w:rFonts w:hint="default" w:ascii="宋体" w:hAnsi="宋体" w:cs="宋体"/>
                <w:i/>
                <w:szCs w:val="21"/>
              </w:rPr>
            </w:pPr>
            <w:r>
              <w:rPr>
                <w:rFonts w:ascii="宋体" w:hAnsi="宋体" w:cs="宋体"/>
                <w:szCs w:val="21"/>
              </w:rPr>
              <w:t>□ 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9</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踏勘现场</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 不组织</w:t>
            </w:r>
          </w:p>
          <w:p>
            <w:pPr>
              <w:adjustRightInd w:val="0"/>
              <w:spacing w:line="360" w:lineRule="auto"/>
              <w:rPr>
                <w:rFonts w:hint="default" w:ascii="宋体" w:hAnsi="宋体" w:cs="宋体"/>
                <w:i/>
                <w:szCs w:val="21"/>
              </w:rPr>
            </w:pPr>
            <w:r>
              <w:rPr>
                <w:rFonts w:ascii="宋体" w:hAnsi="宋体" w:cs="宋体"/>
                <w:szCs w:val="21"/>
              </w:rPr>
              <w:t>□ 组织    踏勘时间：</w:t>
            </w:r>
            <w:r>
              <w:rPr>
                <w:rFonts w:ascii="宋体" w:hAnsi="宋体" w:cs="宋体"/>
                <w:i/>
                <w:szCs w:val="21"/>
              </w:rPr>
              <w:t xml:space="preserve">             </w:t>
            </w:r>
            <w:r>
              <w:rPr>
                <w:rFonts w:ascii="宋体" w:hAnsi="宋体" w:cs="宋体"/>
                <w:szCs w:val="21"/>
              </w:rPr>
              <w:t xml:space="preserve">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10</w:t>
            </w:r>
          </w:p>
        </w:tc>
        <w:tc>
          <w:tcPr>
            <w:tcW w:w="1834" w:type="dxa"/>
            <w:vAlign w:val="center"/>
          </w:tcPr>
          <w:p>
            <w:pPr>
              <w:adjustRightInd w:val="0"/>
              <w:spacing w:line="360" w:lineRule="auto"/>
              <w:jc w:val="center"/>
              <w:rPr>
                <w:rFonts w:hint="default" w:ascii="宋体" w:hAnsi="宋体" w:cs="宋体"/>
                <w:szCs w:val="21"/>
              </w:rPr>
            </w:pPr>
          </w:p>
          <w:p>
            <w:pPr>
              <w:adjustRightInd w:val="0"/>
              <w:spacing w:line="360" w:lineRule="auto"/>
              <w:jc w:val="center"/>
              <w:rPr>
                <w:rFonts w:hint="default" w:ascii="宋体" w:hAnsi="宋体" w:cs="宋体"/>
                <w:szCs w:val="21"/>
              </w:rPr>
            </w:pPr>
            <w:r>
              <w:rPr>
                <w:rFonts w:ascii="宋体" w:hAnsi="宋体" w:cs="宋体"/>
                <w:szCs w:val="21"/>
              </w:rPr>
              <w:t>是否允许递交备选投标方案</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 不允许：磋商供应商不得递交任何的投标备选（替代）方案，否则其磋商响应文件将作无效标处理。与“电子加密磋商响应文件”同时生成的“备份磋商响应文件”不是投标备选（替代）方案。</w:t>
            </w:r>
          </w:p>
          <w:p>
            <w:pPr>
              <w:adjustRightInd w:val="0"/>
              <w:spacing w:line="360" w:lineRule="auto"/>
              <w:rPr>
                <w:rFonts w:hint="default" w:ascii="宋体" w:hAnsi="宋体" w:cs="宋体"/>
                <w:szCs w:val="21"/>
              </w:rPr>
            </w:pPr>
            <w:r>
              <w:rPr>
                <w:rFonts w:ascii="宋体" w:hAnsi="宋体" w:cs="宋体"/>
                <w:szCs w:val="21"/>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11</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是否允许分包</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 不允许</w:t>
            </w:r>
          </w:p>
          <w:p>
            <w:pPr>
              <w:adjustRightInd w:val="0"/>
              <w:spacing w:line="360" w:lineRule="auto"/>
              <w:rPr>
                <w:rFonts w:hint="default" w:ascii="宋体" w:hAnsi="宋体" w:cs="宋体"/>
                <w:szCs w:val="21"/>
              </w:rPr>
            </w:pPr>
            <w:r>
              <w:rPr>
                <w:rFonts w:ascii="宋体" w:hAnsi="宋体" w:cs="宋体"/>
                <w:szCs w:val="21"/>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12</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报价货币</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5"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13</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报价语言</w:t>
            </w:r>
          </w:p>
        </w:tc>
        <w:tc>
          <w:tcPr>
            <w:tcW w:w="7365" w:type="dxa"/>
            <w:vAlign w:val="center"/>
          </w:tcPr>
          <w:p>
            <w:pPr>
              <w:adjustRightInd w:val="0"/>
              <w:spacing w:line="360" w:lineRule="auto"/>
              <w:rPr>
                <w:rFonts w:hint="default" w:ascii="宋体" w:hAnsi="宋体" w:cs="宋体"/>
                <w:szCs w:val="21"/>
              </w:rPr>
            </w:pPr>
            <w:r>
              <w:rPr>
                <w:rFonts w:ascii="宋体" w:hAnsi="宋体" w:cs="宋体"/>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63" w:hRule="atLeast"/>
          <w:jc w:val="center"/>
        </w:trPr>
        <w:tc>
          <w:tcPr>
            <w:tcW w:w="645" w:type="dxa"/>
            <w:vAlign w:val="center"/>
          </w:tcPr>
          <w:p>
            <w:pPr>
              <w:spacing w:line="360" w:lineRule="auto"/>
              <w:jc w:val="center"/>
              <w:rPr>
                <w:rFonts w:hint="default" w:ascii="宋体" w:hAnsi="宋体" w:cs="宋体"/>
                <w:szCs w:val="21"/>
              </w:rPr>
            </w:pPr>
            <w:r>
              <w:rPr>
                <w:rFonts w:ascii="宋体" w:hAnsi="宋体" w:cs="宋体"/>
                <w:szCs w:val="21"/>
              </w:rPr>
              <w:t>14</w:t>
            </w:r>
          </w:p>
        </w:tc>
        <w:tc>
          <w:tcPr>
            <w:tcW w:w="1834" w:type="dxa"/>
            <w:vAlign w:val="center"/>
          </w:tcPr>
          <w:p>
            <w:pPr>
              <w:spacing w:line="360" w:lineRule="auto"/>
              <w:jc w:val="center"/>
              <w:rPr>
                <w:rFonts w:hint="default" w:ascii="宋体" w:hAnsi="宋体" w:cs="宋体"/>
                <w:szCs w:val="21"/>
              </w:rPr>
            </w:pPr>
          </w:p>
          <w:p>
            <w:pPr>
              <w:spacing w:line="360" w:lineRule="auto"/>
              <w:jc w:val="center"/>
              <w:rPr>
                <w:rFonts w:hint="default" w:ascii="宋体" w:hAnsi="宋体" w:cs="宋体"/>
                <w:szCs w:val="21"/>
              </w:rPr>
            </w:pPr>
          </w:p>
          <w:p>
            <w:pPr>
              <w:spacing w:line="360" w:lineRule="auto"/>
              <w:jc w:val="center"/>
              <w:rPr>
                <w:rFonts w:hint="default" w:ascii="宋体" w:hAnsi="宋体" w:cs="宋体"/>
                <w:szCs w:val="21"/>
              </w:rPr>
            </w:pPr>
            <w:r>
              <w:rPr>
                <w:rFonts w:ascii="宋体" w:hAnsi="宋体" w:cs="宋体"/>
                <w:szCs w:val="21"/>
              </w:rPr>
              <w:t>磋商响应文件形式、组成及制作</w:t>
            </w:r>
          </w:p>
        </w:tc>
        <w:tc>
          <w:tcPr>
            <w:tcW w:w="7365" w:type="dxa"/>
            <w:vAlign w:val="center"/>
          </w:tcPr>
          <w:p>
            <w:pPr>
              <w:pStyle w:val="19"/>
              <w:numPr>
                <w:ilvl w:val="0"/>
                <w:numId w:val="5"/>
              </w:numPr>
              <w:tabs>
                <w:tab w:val="left" w:pos="6930"/>
              </w:tabs>
              <w:spacing w:before="0" w:beforeAutospacing="0" w:after="0" w:afterAutospacing="0" w:line="360" w:lineRule="auto"/>
              <w:rPr>
                <w:rFonts w:hint="default" w:ascii="宋体" w:hAnsi="宋体" w:eastAsia="宋体" w:cs="宋体"/>
                <w:color w:val="auto"/>
                <w:sz w:val="21"/>
                <w:szCs w:val="21"/>
                <w:lang w:val="zh-CN"/>
              </w:rPr>
            </w:pPr>
            <w:r>
              <w:rPr>
                <w:rFonts w:ascii="宋体" w:hAnsi="宋体" w:eastAsia="宋体" w:cs="宋体"/>
                <w:color w:val="auto"/>
                <w:sz w:val="21"/>
                <w:szCs w:val="21"/>
              </w:rPr>
              <w:t>响应文件</w:t>
            </w:r>
            <w:r>
              <w:rPr>
                <w:rFonts w:ascii="宋体" w:hAnsi="宋体" w:eastAsia="宋体" w:cs="宋体"/>
                <w:color w:val="auto"/>
                <w:sz w:val="21"/>
                <w:szCs w:val="21"/>
                <w:lang w:val="zh-CN"/>
              </w:rPr>
              <w:t>的形式：电子</w:t>
            </w:r>
            <w:r>
              <w:rPr>
                <w:rFonts w:ascii="宋体" w:hAnsi="宋体" w:eastAsia="宋体" w:cs="宋体"/>
                <w:color w:val="auto"/>
                <w:sz w:val="21"/>
                <w:szCs w:val="21"/>
              </w:rPr>
              <w:t>响应文件</w:t>
            </w:r>
            <w:r>
              <w:rPr>
                <w:rFonts w:ascii="宋体" w:hAnsi="宋体" w:eastAsia="宋体" w:cs="宋体"/>
                <w:color w:val="auto"/>
                <w:sz w:val="21"/>
                <w:szCs w:val="21"/>
                <w:lang w:val="zh-CN"/>
              </w:rPr>
              <w:t>（包括“电子加密</w:t>
            </w:r>
            <w:r>
              <w:rPr>
                <w:rFonts w:ascii="宋体" w:hAnsi="宋体" w:eastAsia="宋体" w:cs="宋体"/>
                <w:color w:val="auto"/>
                <w:sz w:val="21"/>
                <w:szCs w:val="21"/>
              </w:rPr>
              <w:t>响应文件</w:t>
            </w:r>
            <w:r>
              <w:rPr>
                <w:rFonts w:ascii="宋体" w:hAnsi="宋体" w:eastAsia="宋体" w:cs="宋体"/>
                <w:color w:val="auto"/>
                <w:sz w:val="21"/>
                <w:szCs w:val="21"/>
                <w:lang w:val="zh-CN"/>
              </w:rPr>
              <w:t>”和“备份</w:t>
            </w:r>
            <w:r>
              <w:rPr>
                <w:rFonts w:ascii="宋体" w:hAnsi="宋体" w:eastAsia="宋体" w:cs="宋体"/>
                <w:color w:val="auto"/>
                <w:sz w:val="21"/>
                <w:szCs w:val="21"/>
              </w:rPr>
              <w:t>响应文件</w:t>
            </w:r>
            <w:r>
              <w:rPr>
                <w:rFonts w:ascii="宋体" w:hAnsi="宋体" w:eastAsia="宋体" w:cs="宋体"/>
                <w:color w:val="auto"/>
                <w:sz w:val="21"/>
                <w:szCs w:val="21"/>
                <w:lang w:val="zh-CN"/>
              </w:rPr>
              <w:t>”以及“演示视频文件（如有），在</w:t>
            </w:r>
            <w:r>
              <w:rPr>
                <w:rFonts w:ascii="宋体" w:hAnsi="宋体" w:eastAsia="宋体" w:cs="宋体"/>
                <w:color w:val="auto"/>
                <w:sz w:val="21"/>
                <w:szCs w:val="21"/>
              </w:rPr>
              <w:t>响应文件</w:t>
            </w:r>
            <w:r>
              <w:rPr>
                <w:rFonts w:ascii="宋体" w:hAnsi="宋体" w:eastAsia="宋体" w:cs="宋体"/>
                <w:color w:val="auto"/>
                <w:sz w:val="21"/>
                <w:szCs w:val="21"/>
                <w:lang w:val="zh-CN"/>
              </w:rPr>
              <w:t>编制完成后同时生成）；</w:t>
            </w:r>
          </w:p>
          <w:p>
            <w:pPr>
              <w:pStyle w:val="19"/>
              <w:numPr>
                <w:ilvl w:val="0"/>
                <w:numId w:val="5"/>
              </w:numPr>
              <w:tabs>
                <w:tab w:val="left" w:pos="6930"/>
              </w:tabs>
              <w:spacing w:before="0" w:beforeAutospacing="0" w:after="0" w:afterAutospacing="0" w:line="360" w:lineRule="auto"/>
              <w:rPr>
                <w:rFonts w:hint="default" w:ascii="宋体" w:hAnsi="宋体" w:eastAsia="宋体" w:cs="宋体"/>
                <w:color w:val="auto"/>
                <w:sz w:val="21"/>
                <w:szCs w:val="21"/>
                <w:lang w:val="zh-CN"/>
              </w:rPr>
            </w:pPr>
            <w:r>
              <w:rPr>
                <w:rFonts w:ascii="宋体" w:hAnsi="宋体" w:eastAsia="宋体" w:cs="宋体"/>
                <w:color w:val="auto"/>
                <w:sz w:val="21"/>
                <w:szCs w:val="21"/>
                <w:lang w:val="zh-CN"/>
              </w:rPr>
              <w:t>本项目实行在线投标响应（电子投标）。</w:t>
            </w:r>
          </w:p>
          <w:p>
            <w:pPr>
              <w:pStyle w:val="19"/>
              <w:tabs>
                <w:tab w:val="left" w:pos="6930"/>
              </w:tabs>
              <w:spacing w:before="0" w:beforeAutospacing="0" w:after="0" w:afterAutospacing="0" w:line="360" w:lineRule="auto"/>
              <w:rPr>
                <w:rFonts w:hint="default" w:ascii="宋体" w:hAnsi="宋体" w:eastAsia="宋体" w:cs="宋体"/>
                <w:b/>
                <w:bCs/>
                <w:color w:val="auto"/>
                <w:sz w:val="21"/>
                <w:szCs w:val="21"/>
                <w:u w:val="wave"/>
                <w:lang w:val="zh-CN"/>
              </w:rPr>
            </w:pPr>
            <w:r>
              <w:rPr>
                <w:rFonts w:ascii="宋体" w:hAnsi="宋体" w:eastAsia="宋体" w:cs="宋体"/>
                <w:color w:val="auto"/>
                <w:sz w:val="21"/>
                <w:szCs w:val="21"/>
                <w:lang w:val="zh-CN"/>
              </w:rPr>
              <w:t>（1）“电子加密</w:t>
            </w:r>
            <w:r>
              <w:rPr>
                <w:rFonts w:ascii="宋体" w:hAnsi="宋体" w:eastAsia="宋体" w:cs="宋体"/>
                <w:color w:val="auto"/>
                <w:sz w:val="21"/>
                <w:szCs w:val="21"/>
              </w:rPr>
              <w:t>响应文件</w:t>
            </w:r>
            <w:r>
              <w:rPr>
                <w:rFonts w:ascii="宋体" w:hAnsi="宋体" w:eastAsia="宋体" w:cs="宋体"/>
                <w:color w:val="auto"/>
                <w:sz w:val="21"/>
                <w:szCs w:val="21"/>
                <w:lang w:val="zh-CN"/>
              </w:rPr>
              <w:t>”是指通过“政采云电子交易客户端”完成</w:t>
            </w:r>
            <w:r>
              <w:rPr>
                <w:rFonts w:ascii="宋体" w:hAnsi="宋体" w:eastAsia="宋体" w:cs="宋体"/>
                <w:color w:val="auto"/>
                <w:sz w:val="21"/>
                <w:szCs w:val="21"/>
              </w:rPr>
              <w:t>响应文件</w:t>
            </w:r>
            <w:r>
              <w:rPr>
                <w:rFonts w:ascii="宋体" w:hAnsi="宋体" w:eastAsia="宋体" w:cs="宋体"/>
                <w:color w:val="auto"/>
                <w:sz w:val="21"/>
                <w:szCs w:val="21"/>
                <w:lang w:val="zh-CN"/>
              </w:rPr>
              <w:t>编制后生成并加密的数据电文形式的</w:t>
            </w:r>
            <w:r>
              <w:rPr>
                <w:rFonts w:ascii="宋体" w:hAnsi="宋体" w:eastAsia="宋体" w:cs="宋体"/>
                <w:color w:val="auto"/>
                <w:sz w:val="21"/>
                <w:szCs w:val="21"/>
              </w:rPr>
              <w:t>响应文件</w:t>
            </w:r>
            <w:r>
              <w:rPr>
                <w:rFonts w:ascii="宋体" w:hAnsi="宋体" w:eastAsia="宋体" w:cs="宋体"/>
                <w:color w:val="auto"/>
                <w:sz w:val="21"/>
                <w:szCs w:val="21"/>
                <w:lang w:val="zh-CN"/>
              </w:rPr>
              <w:t>。</w:t>
            </w:r>
            <w:r>
              <w:rPr>
                <w:rFonts w:ascii="宋体" w:hAnsi="宋体" w:eastAsia="宋体" w:cs="宋体"/>
                <w:b/>
                <w:bCs/>
                <w:color w:val="auto"/>
                <w:sz w:val="21"/>
                <w:szCs w:val="21"/>
                <w:u w:val="wave"/>
                <w:lang w:val="zh-CN"/>
              </w:rPr>
              <w:t>“电子加密</w:t>
            </w:r>
            <w:r>
              <w:rPr>
                <w:rFonts w:ascii="宋体" w:hAnsi="宋体" w:eastAsia="宋体" w:cs="宋体"/>
                <w:b/>
                <w:bCs/>
                <w:color w:val="auto"/>
                <w:sz w:val="21"/>
                <w:szCs w:val="21"/>
                <w:u w:val="wave"/>
              </w:rPr>
              <w:t>响应文件</w:t>
            </w:r>
            <w:r>
              <w:rPr>
                <w:rFonts w:ascii="宋体" w:hAnsi="宋体" w:eastAsia="宋体" w:cs="宋体"/>
                <w:b/>
                <w:bCs/>
                <w:color w:val="auto"/>
                <w:sz w:val="21"/>
                <w:szCs w:val="21"/>
                <w:u w:val="wave"/>
                <w:lang w:val="zh-CN"/>
              </w:rPr>
              <w:t>”</w:t>
            </w:r>
            <w:r>
              <w:rPr>
                <w:rFonts w:ascii="宋体" w:hAnsi="宋体" w:eastAsia="宋体" w:cs="宋体"/>
                <w:b/>
                <w:bCs/>
                <w:color w:val="auto"/>
                <w:sz w:val="21"/>
                <w:szCs w:val="21"/>
                <w:u w:val="wave"/>
              </w:rPr>
              <w:t>文件格式为（.jmbs）。</w:t>
            </w:r>
          </w:p>
          <w:p>
            <w:pPr>
              <w:pStyle w:val="19"/>
              <w:tabs>
                <w:tab w:val="left" w:pos="6930"/>
              </w:tabs>
              <w:spacing w:before="0" w:beforeAutospacing="0" w:after="0" w:afterAutospacing="0" w:line="360" w:lineRule="auto"/>
              <w:rPr>
                <w:rFonts w:hint="default" w:ascii="宋体" w:hAnsi="宋体" w:eastAsia="宋体" w:cs="宋体"/>
                <w:b/>
                <w:bCs/>
                <w:color w:val="auto"/>
                <w:sz w:val="21"/>
                <w:szCs w:val="21"/>
                <w:u w:val="wave"/>
              </w:rPr>
            </w:pPr>
            <w:r>
              <w:rPr>
                <w:rFonts w:ascii="宋体" w:hAnsi="宋体" w:eastAsia="宋体" w:cs="宋体"/>
                <w:color w:val="auto"/>
                <w:sz w:val="21"/>
                <w:szCs w:val="21"/>
                <w:lang w:val="zh-CN"/>
              </w:rPr>
              <w:t>（2）“备份</w:t>
            </w:r>
            <w:r>
              <w:rPr>
                <w:rFonts w:ascii="宋体" w:hAnsi="宋体" w:eastAsia="宋体" w:cs="宋体"/>
                <w:color w:val="auto"/>
                <w:sz w:val="21"/>
                <w:szCs w:val="21"/>
              </w:rPr>
              <w:t>响应文件</w:t>
            </w:r>
            <w:r>
              <w:rPr>
                <w:rFonts w:ascii="宋体" w:hAnsi="宋体" w:eastAsia="宋体" w:cs="宋体"/>
                <w:color w:val="auto"/>
                <w:sz w:val="21"/>
                <w:szCs w:val="21"/>
                <w:lang w:val="zh-CN"/>
              </w:rPr>
              <w:t>”是指与“电子加密</w:t>
            </w:r>
            <w:r>
              <w:rPr>
                <w:rFonts w:ascii="宋体" w:hAnsi="宋体" w:eastAsia="宋体" w:cs="宋体"/>
                <w:color w:val="auto"/>
                <w:sz w:val="21"/>
                <w:szCs w:val="21"/>
              </w:rPr>
              <w:t>响应文件</w:t>
            </w:r>
            <w:r>
              <w:rPr>
                <w:rFonts w:ascii="宋体" w:hAnsi="宋体" w:eastAsia="宋体" w:cs="宋体"/>
                <w:color w:val="auto"/>
                <w:sz w:val="21"/>
                <w:szCs w:val="21"/>
                <w:lang w:val="zh-CN"/>
              </w:rPr>
              <w:t>”同时生成的数据电文形式的电子文件（备份标书），其他方式编制的备份</w:t>
            </w:r>
            <w:r>
              <w:rPr>
                <w:rFonts w:ascii="宋体" w:hAnsi="宋体" w:eastAsia="宋体" w:cs="宋体"/>
                <w:color w:val="auto"/>
                <w:sz w:val="21"/>
                <w:szCs w:val="21"/>
              </w:rPr>
              <w:t>响应文件</w:t>
            </w:r>
            <w:r>
              <w:rPr>
                <w:rFonts w:ascii="宋体" w:hAnsi="宋体" w:eastAsia="宋体" w:cs="宋体"/>
                <w:color w:val="auto"/>
                <w:sz w:val="21"/>
                <w:szCs w:val="21"/>
                <w:lang w:val="zh-CN"/>
              </w:rPr>
              <w:t>视为无效备份</w:t>
            </w:r>
            <w:r>
              <w:rPr>
                <w:rFonts w:ascii="宋体" w:hAnsi="宋体" w:eastAsia="宋体" w:cs="宋体"/>
                <w:color w:val="auto"/>
                <w:sz w:val="21"/>
                <w:szCs w:val="21"/>
              </w:rPr>
              <w:t>响应文件</w:t>
            </w:r>
            <w:r>
              <w:rPr>
                <w:rFonts w:ascii="宋体" w:hAnsi="宋体" w:eastAsia="宋体" w:cs="宋体"/>
                <w:color w:val="auto"/>
                <w:sz w:val="21"/>
                <w:szCs w:val="21"/>
                <w:lang w:val="zh-CN"/>
              </w:rPr>
              <w:t>。</w:t>
            </w:r>
            <w:r>
              <w:rPr>
                <w:rFonts w:ascii="宋体" w:hAnsi="宋体" w:eastAsia="宋体" w:cs="宋体"/>
                <w:b/>
                <w:bCs/>
                <w:color w:val="auto"/>
                <w:sz w:val="21"/>
                <w:szCs w:val="21"/>
                <w:u w:val="wave"/>
                <w:lang w:val="zh-CN"/>
              </w:rPr>
              <w:t>“备份</w:t>
            </w:r>
            <w:r>
              <w:rPr>
                <w:rFonts w:ascii="宋体" w:hAnsi="宋体" w:eastAsia="宋体" w:cs="宋体"/>
                <w:b/>
                <w:bCs/>
                <w:color w:val="auto"/>
                <w:sz w:val="21"/>
                <w:szCs w:val="21"/>
                <w:u w:val="wave"/>
              </w:rPr>
              <w:t>响应文件</w:t>
            </w:r>
            <w:r>
              <w:rPr>
                <w:rFonts w:ascii="宋体" w:hAnsi="宋体" w:eastAsia="宋体" w:cs="宋体"/>
                <w:b/>
                <w:bCs/>
                <w:color w:val="auto"/>
                <w:sz w:val="21"/>
                <w:szCs w:val="21"/>
                <w:u w:val="wave"/>
                <w:lang w:val="zh-CN"/>
              </w:rPr>
              <w:t>”</w:t>
            </w:r>
            <w:r>
              <w:rPr>
                <w:rFonts w:ascii="宋体" w:hAnsi="宋体" w:eastAsia="宋体" w:cs="宋体"/>
                <w:b/>
                <w:bCs/>
                <w:color w:val="auto"/>
                <w:sz w:val="21"/>
                <w:szCs w:val="21"/>
                <w:u w:val="wave"/>
              </w:rPr>
              <w:t>文件格式为（.bfbs）。</w:t>
            </w:r>
          </w:p>
          <w:p>
            <w:pPr>
              <w:pStyle w:val="19"/>
              <w:tabs>
                <w:tab w:val="left" w:pos="6930"/>
              </w:tabs>
              <w:spacing w:before="0" w:beforeAutospacing="0" w:after="0" w:afterAutospacing="0" w:line="360" w:lineRule="auto"/>
              <w:rPr>
                <w:rFonts w:hint="default" w:ascii="宋体" w:hAnsi="宋体" w:eastAsia="宋体" w:cs="宋体"/>
                <w:b/>
                <w:bCs/>
                <w:color w:val="auto"/>
                <w:sz w:val="21"/>
                <w:szCs w:val="21"/>
              </w:rPr>
            </w:pPr>
            <w:r>
              <w:rPr>
                <w:rFonts w:ascii="宋体" w:hAnsi="宋体" w:eastAsia="宋体" w:cs="宋体"/>
                <w:b/>
                <w:bCs/>
                <w:color w:val="auto"/>
                <w:sz w:val="21"/>
                <w:szCs w:val="21"/>
              </w:rPr>
              <w:t>以上两类投标文件均由资格审查资料、商务技术文件、报价文件三部分组成。</w:t>
            </w:r>
          </w:p>
          <w:p>
            <w:pPr>
              <w:pStyle w:val="19"/>
              <w:tabs>
                <w:tab w:val="left" w:pos="6930"/>
              </w:tabs>
              <w:spacing w:before="0" w:beforeAutospacing="0" w:after="0" w:afterAutospacing="0" w:line="360" w:lineRule="auto"/>
              <w:rPr>
                <w:rFonts w:hint="default" w:ascii="宋体" w:hAnsi="宋体" w:eastAsia="宋体" w:cs="宋体"/>
                <w:color w:val="auto"/>
                <w:sz w:val="21"/>
                <w:szCs w:val="21"/>
              </w:rPr>
            </w:pPr>
            <w:r>
              <w:rPr>
                <w:rFonts w:ascii="宋体" w:hAnsi="宋体" w:eastAsia="宋体" w:cs="宋体"/>
                <w:color w:val="auto"/>
                <w:sz w:val="21"/>
                <w:szCs w:val="21"/>
              </w:rPr>
              <w:t>（3）投标人根据本项目采购内容和需求以及商务技术文件评审细则制作的演示视频文件（如有）。</w:t>
            </w:r>
          </w:p>
          <w:p>
            <w:pPr>
              <w:pStyle w:val="19"/>
              <w:tabs>
                <w:tab w:val="left" w:pos="6930"/>
              </w:tabs>
              <w:spacing w:before="0" w:beforeAutospacing="0" w:after="0" w:afterAutospacing="0" w:line="360" w:lineRule="auto"/>
              <w:rPr>
                <w:rFonts w:hint="default" w:ascii="宋体" w:hAnsi="宋体" w:eastAsia="宋体" w:cs="宋体"/>
                <w:b/>
                <w:bCs/>
                <w:color w:val="auto"/>
                <w:sz w:val="21"/>
                <w:szCs w:val="21"/>
              </w:rPr>
            </w:pPr>
            <w:r>
              <w:rPr>
                <w:rFonts w:ascii="宋体" w:hAnsi="宋体" w:eastAsia="宋体" w:cs="宋体"/>
                <w:b/>
                <w:bCs/>
                <w:color w:val="auto"/>
                <w:sz w:val="21"/>
                <w:szCs w:val="21"/>
              </w:rPr>
              <w:t>3. 电子加密响应文件制作：应按政采云平台供应商项目采购-电子招投标操作指南、加密并递交。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6"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15</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响应文件有效期</w:t>
            </w:r>
          </w:p>
        </w:tc>
        <w:tc>
          <w:tcPr>
            <w:tcW w:w="7365" w:type="dxa"/>
            <w:vAlign w:val="center"/>
          </w:tcPr>
          <w:p>
            <w:pPr>
              <w:spacing w:line="360" w:lineRule="auto"/>
              <w:rPr>
                <w:rFonts w:hint="default" w:ascii="宋体" w:hAnsi="宋体" w:cs="宋体"/>
                <w:szCs w:val="21"/>
              </w:rPr>
            </w:pPr>
            <w:r>
              <w:rPr>
                <w:rFonts w:ascii="宋体" w:hAnsi="宋体" w:cs="宋体"/>
                <w:szCs w:val="21"/>
              </w:rPr>
              <w:t>磋商响应文件截止时间起90日历天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16</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签字或盖章要求</w:t>
            </w:r>
          </w:p>
        </w:tc>
        <w:tc>
          <w:tcPr>
            <w:tcW w:w="7365" w:type="dxa"/>
            <w:vAlign w:val="center"/>
          </w:tcPr>
          <w:p>
            <w:pPr>
              <w:numPr>
                <w:ilvl w:val="0"/>
                <w:numId w:val="6"/>
              </w:numPr>
              <w:spacing w:line="360" w:lineRule="auto"/>
              <w:rPr>
                <w:rStyle w:val="28"/>
                <w:rFonts w:hint="default" w:ascii="宋体" w:hAnsi="宋体" w:cs="宋体"/>
                <w:szCs w:val="21"/>
              </w:rPr>
            </w:pPr>
            <w:r>
              <w:rPr>
                <w:rStyle w:val="28"/>
                <w:rFonts w:ascii="宋体" w:hAnsi="宋体" w:cs="宋体"/>
                <w:szCs w:val="21"/>
              </w:rPr>
              <w:t>响应文件中所须加盖供应商公章部分均采用CA电子签章，法定代表人和授权代表签字或盖章可书面签字或盖章后扫描至电子加密响应文件中上传。</w:t>
            </w:r>
          </w:p>
          <w:p>
            <w:pPr>
              <w:numPr>
                <w:ilvl w:val="0"/>
                <w:numId w:val="6"/>
              </w:numPr>
              <w:spacing w:line="360" w:lineRule="auto"/>
              <w:rPr>
                <w:rStyle w:val="28"/>
                <w:rFonts w:hint="default" w:ascii="宋体" w:hAnsi="宋体" w:cs="宋体"/>
                <w:szCs w:val="21"/>
              </w:rPr>
            </w:pPr>
            <w:r>
              <w:rPr>
                <w:rStyle w:val="28"/>
                <w:rFonts w:ascii="宋体" w:hAnsi="宋体" w:cs="宋体"/>
                <w:szCs w:val="21"/>
              </w:rPr>
              <w:t>政采云系统平台有新的操作流程的，按其规定进行。</w:t>
            </w:r>
          </w:p>
          <w:p>
            <w:pPr>
              <w:numPr>
                <w:ilvl w:val="0"/>
                <w:numId w:val="6"/>
              </w:numPr>
              <w:spacing w:line="360" w:lineRule="auto"/>
              <w:rPr>
                <w:rStyle w:val="28"/>
                <w:rFonts w:hint="default" w:ascii="宋体" w:hAnsi="宋体" w:cs="宋体"/>
                <w:szCs w:val="21"/>
              </w:rPr>
            </w:pPr>
            <w:r>
              <w:rPr>
                <w:rStyle w:val="28"/>
                <w:rFonts w:ascii="宋体" w:hAnsi="宋体" w:cs="宋体"/>
                <w:szCs w:val="21"/>
              </w:rPr>
              <w:t>中标后的纸质磋商响应文件中所涉及的公章必须是磋商供应商全称的公章，不得使用投标专用章、合同章等类似图章代替，所涉及法定代表人或授权代表的签字由法定代表人或授权代表本人签字或盖章。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40" w:hRule="atLeast"/>
          <w:jc w:val="center"/>
        </w:trPr>
        <w:tc>
          <w:tcPr>
            <w:tcW w:w="645" w:type="dxa"/>
            <w:vAlign w:val="center"/>
          </w:tcPr>
          <w:p>
            <w:pPr>
              <w:spacing w:line="360" w:lineRule="exact"/>
              <w:jc w:val="center"/>
              <w:rPr>
                <w:rFonts w:hint="default" w:ascii="宋体" w:hAnsi="宋体" w:cs="宋体"/>
                <w:szCs w:val="21"/>
              </w:rPr>
            </w:pPr>
            <w:r>
              <w:rPr>
                <w:rFonts w:ascii="宋体" w:hAnsi="宋体" w:cs="宋体"/>
                <w:szCs w:val="21"/>
              </w:rPr>
              <w:t>17</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磋商样品</w:t>
            </w:r>
          </w:p>
        </w:tc>
        <w:tc>
          <w:tcPr>
            <w:tcW w:w="7365" w:type="dxa"/>
            <w:vAlign w:val="center"/>
          </w:tcPr>
          <w:p>
            <w:pPr>
              <w:spacing w:line="360" w:lineRule="auto"/>
              <w:rPr>
                <w:rFonts w:hint="default" w:ascii="宋体" w:hAnsi="宋体" w:cs="宋体"/>
                <w:szCs w:val="21"/>
              </w:rPr>
            </w:pPr>
            <w:r>
              <w:rPr>
                <w:rFonts w:ascii="宋体" w:hAnsi="宋体" w:cs="宋体"/>
                <w:szCs w:val="21"/>
              </w:rPr>
              <w:t>☑ 不需要</w:t>
            </w:r>
          </w:p>
          <w:p>
            <w:pPr>
              <w:spacing w:line="360" w:lineRule="auto"/>
              <w:rPr>
                <w:rFonts w:hint="default" w:ascii="宋体" w:hAnsi="宋体" w:cs="宋体"/>
                <w:szCs w:val="21"/>
              </w:rPr>
            </w:pPr>
            <w:r>
              <w:rPr>
                <w:rFonts w:ascii="宋体" w:hAnsi="宋体" w:cs="宋体"/>
                <w:szCs w:val="21"/>
              </w:rPr>
              <w:t>□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05" w:hRule="atLeast"/>
          <w:jc w:val="center"/>
        </w:trPr>
        <w:tc>
          <w:tcPr>
            <w:tcW w:w="645" w:type="dxa"/>
            <w:vAlign w:val="center"/>
          </w:tcPr>
          <w:p>
            <w:pPr>
              <w:jc w:val="center"/>
              <w:rPr>
                <w:rFonts w:hint="default" w:ascii="宋体" w:hAnsi="宋体" w:cs="宋体"/>
                <w:szCs w:val="21"/>
              </w:rPr>
            </w:pPr>
            <w:r>
              <w:rPr>
                <w:rFonts w:ascii="宋体" w:hAnsi="宋体" w:cs="宋体"/>
                <w:szCs w:val="21"/>
              </w:rPr>
              <w:t>18</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磋商保证金</w:t>
            </w:r>
          </w:p>
        </w:tc>
        <w:tc>
          <w:tcPr>
            <w:tcW w:w="7365" w:type="dxa"/>
            <w:vAlign w:val="center"/>
          </w:tcPr>
          <w:p>
            <w:pPr>
              <w:spacing w:before="120" w:after="120" w:line="360" w:lineRule="auto"/>
              <w:rPr>
                <w:rFonts w:hint="default" w:ascii="宋体" w:hAnsi="宋体" w:cs="宋体"/>
                <w:szCs w:val="21"/>
              </w:rPr>
            </w:pPr>
            <w:r>
              <w:rPr>
                <w:rFonts w:ascii="宋体" w:hAnsi="宋体" w:cs="宋体"/>
                <w:szCs w:val="21"/>
              </w:rPr>
              <w:t xml:space="preserve">□ 需要 </w:t>
            </w:r>
            <w:r>
              <w:rPr>
                <w:rFonts w:ascii="宋体" w:hAnsi="宋体" w:cs="宋体"/>
                <w:b/>
                <w:szCs w:val="21"/>
              </w:rPr>
              <w:t xml:space="preserve"> </w:t>
            </w:r>
          </w:p>
          <w:p>
            <w:pPr>
              <w:spacing w:before="120" w:after="120" w:line="360" w:lineRule="auto"/>
              <w:rPr>
                <w:rFonts w:hint="default" w:ascii="宋体" w:hAnsi="宋体" w:cs="宋体"/>
                <w:szCs w:val="21"/>
              </w:rPr>
            </w:pPr>
            <w:r>
              <w:rPr>
                <w:rFonts w:ascii="宋体" w:hAnsi="宋体" w:cs="宋体"/>
                <w:szCs w:val="21"/>
              </w:rPr>
              <w:t>☑ 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45" w:type="dxa"/>
            <w:vAlign w:val="center"/>
          </w:tcPr>
          <w:p>
            <w:pPr>
              <w:spacing w:line="360" w:lineRule="exact"/>
              <w:jc w:val="center"/>
              <w:rPr>
                <w:rFonts w:hint="default" w:ascii="宋体" w:hAnsi="宋体" w:cs="宋体"/>
                <w:szCs w:val="21"/>
              </w:rPr>
            </w:pPr>
            <w:r>
              <w:rPr>
                <w:rFonts w:ascii="宋体" w:hAnsi="宋体" w:cs="宋体"/>
                <w:szCs w:val="21"/>
              </w:rPr>
              <w:t>19</w:t>
            </w:r>
          </w:p>
        </w:tc>
        <w:tc>
          <w:tcPr>
            <w:tcW w:w="1834" w:type="dxa"/>
            <w:vAlign w:val="center"/>
          </w:tcPr>
          <w:p>
            <w:pPr>
              <w:adjustRightInd w:val="0"/>
              <w:spacing w:line="360" w:lineRule="auto"/>
              <w:jc w:val="center"/>
              <w:rPr>
                <w:rFonts w:hint="default" w:ascii="宋体" w:hAnsi="宋体" w:cs="宋体"/>
                <w:szCs w:val="21"/>
              </w:rPr>
            </w:pPr>
            <w:r>
              <w:rPr>
                <w:rFonts w:ascii="宋体" w:hAnsi="宋体" w:cs="宋体"/>
                <w:szCs w:val="21"/>
              </w:rPr>
              <w:t>履约担保</w:t>
            </w:r>
          </w:p>
        </w:tc>
        <w:tc>
          <w:tcPr>
            <w:tcW w:w="7365" w:type="dxa"/>
            <w:vAlign w:val="center"/>
          </w:tcPr>
          <w:p>
            <w:pPr>
              <w:spacing w:line="360" w:lineRule="auto"/>
              <w:ind w:left="1058" w:hanging="1058" w:hangingChars="504"/>
              <w:rPr>
                <w:rFonts w:hint="default" w:ascii="宋体" w:hAnsi="宋体" w:cs="宋体"/>
                <w:szCs w:val="21"/>
              </w:rPr>
            </w:pPr>
            <w:r>
              <w:rPr>
                <w:rFonts w:ascii="宋体" w:hAnsi="宋体" w:cs="宋体"/>
                <w:szCs w:val="21"/>
              </w:rPr>
              <w:t>□ 不需要</w:t>
            </w:r>
          </w:p>
          <w:p>
            <w:pPr>
              <w:spacing w:line="360" w:lineRule="auto"/>
              <w:ind w:left="1058" w:hanging="1058" w:hangingChars="504"/>
              <w:rPr>
                <w:rFonts w:hint="default" w:ascii="宋体" w:hAnsi="宋体" w:cs="宋体"/>
                <w:b/>
                <w:bCs/>
                <w:szCs w:val="21"/>
                <w:u w:val="single"/>
              </w:rPr>
            </w:pPr>
            <w:r>
              <w:rPr>
                <w:rFonts w:ascii="宋体" w:hAnsi="宋体" w:cs="宋体"/>
                <w:szCs w:val="21"/>
              </w:rPr>
              <w:t>☑ 需要：</w:t>
            </w:r>
            <w:r>
              <w:rPr>
                <w:rFonts w:ascii="宋体" w:hAnsi="宋体" w:cs="宋体"/>
                <w:b/>
                <w:bCs/>
                <w:szCs w:val="21"/>
                <w:u w:val="single"/>
              </w:rPr>
              <w:t>成交供应商需向采购人缴纳合同价款的1%的履约保证金。</w:t>
            </w:r>
          </w:p>
          <w:p>
            <w:pPr>
              <w:spacing w:line="360" w:lineRule="auto"/>
              <w:ind w:left="988" w:leftChars="179" w:hanging="612" w:hangingChars="303"/>
              <w:rPr>
                <w:rFonts w:hint="default" w:ascii="宋体" w:hAnsi="宋体" w:cs="宋体"/>
                <w:szCs w:val="21"/>
              </w:rPr>
            </w:pPr>
            <w:r>
              <w:rPr>
                <w:rFonts w:ascii="宋体" w:hAnsi="宋体" w:cs="宋体"/>
                <w:spacing w:val="-4"/>
                <w:szCs w:val="21"/>
              </w:rPr>
              <w:t>(</w:t>
            </w:r>
            <w:r>
              <w:rPr>
                <w:rFonts w:ascii="宋体" w:hAnsi="宋体" w:cs="宋体"/>
              </w:rPr>
              <w:t>银行转账、转帐支票、银行汇票、保险或金融机构出具的保函等</w:t>
            </w:r>
            <w:r>
              <w:rPr>
                <w:rFonts w:ascii="宋体" w:hAnsi="宋体" w:cs="宋体"/>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9" w:hRule="atLeast"/>
          <w:jc w:val="center"/>
        </w:trPr>
        <w:tc>
          <w:tcPr>
            <w:tcW w:w="645" w:type="dxa"/>
            <w:vAlign w:val="center"/>
          </w:tcPr>
          <w:p>
            <w:pPr>
              <w:spacing w:line="360" w:lineRule="exact"/>
              <w:jc w:val="center"/>
              <w:rPr>
                <w:rFonts w:hint="default" w:ascii="宋体" w:hAnsi="宋体" w:cs="宋体"/>
                <w:szCs w:val="21"/>
              </w:rPr>
            </w:pPr>
            <w:r>
              <w:rPr>
                <w:rFonts w:ascii="宋体" w:hAnsi="宋体" w:cs="宋体"/>
                <w:szCs w:val="21"/>
              </w:rPr>
              <w:t>20</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磋商文件发售时间及获取方式</w:t>
            </w:r>
          </w:p>
        </w:tc>
        <w:tc>
          <w:tcPr>
            <w:tcW w:w="7365" w:type="dxa"/>
            <w:vAlign w:val="center"/>
          </w:tcPr>
          <w:p>
            <w:pPr>
              <w:pStyle w:val="4"/>
              <w:spacing w:before="0" w:after="0" w:line="360" w:lineRule="auto"/>
              <w:rPr>
                <w:rFonts w:hint="default" w:ascii="宋体" w:hAnsi="宋体" w:cs="宋体"/>
                <w:b w:val="0"/>
                <w:sz w:val="21"/>
                <w:szCs w:val="21"/>
              </w:rPr>
            </w:pPr>
            <w:bookmarkStart w:id="58" w:name="_Toc11736"/>
            <w:bookmarkStart w:id="59" w:name="_Toc30382"/>
            <w:bookmarkStart w:id="60" w:name="_Toc29775"/>
            <w:bookmarkStart w:id="61" w:name="_Toc18019"/>
            <w:bookmarkStart w:id="62" w:name="_Toc8107"/>
            <w:bookmarkStart w:id="63" w:name="_Toc12557"/>
            <w:bookmarkStart w:id="64" w:name="_Toc32286"/>
            <w:bookmarkStart w:id="65" w:name="_Toc6189"/>
            <w:bookmarkStart w:id="66" w:name="_Toc19437"/>
            <w:bookmarkStart w:id="67" w:name="_Toc15475"/>
            <w:bookmarkStart w:id="68" w:name="_Toc21050"/>
            <w:bookmarkStart w:id="69" w:name="_Toc13087"/>
            <w:bookmarkStart w:id="70" w:name="_Toc31756"/>
            <w:bookmarkStart w:id="71" w:name="_Toc3692"/>
            <w:bookmarkStart w:id="72" w:name="_Toc12411"/>
            <w:r>
              <w:rPr>
                <w:rFonts w:ascii="宋体" w:hAnsi="宋体" w:cs="宋体"/>
                <w:b w:val="0"/>
                <w:sz w:val="21"/>
                <w:szCs w:val="21"/>
              </w:rPr>
              <w:t>时间：/</w:t>
            </w:r>
            <w:r>
              <w:rPr>
                <w:rFonts w:hint="eastAsia" w:ascii="宋体" w:hAnsi="宋体" w:cs="宋体"/>
                <w:b w:val="0"/>
                <w:bCs w:val="0"/>
                <w:sz w:val="21"/>
                <w:szCs w:val="21"/>
                <w:lang w:eastAsia="zh-CN"/>
              </w:rPr>
              <w:t>2023年10月27日14:00</w:t>
            </w:r>
            <w:r>
              <w:rPr>
                <w:rFonts w:ascii="宋体" w:hAnsi="宋体" w:cs="宋体"/>
                <w:b w:val="0"/>
                <w:sz w:val="21"/>
                <w:szCs w:val="21"/>
              </w:rPr>
              <w:t>，每天上午00:00至12:00，下午12:00至23:59（北京时间，线上获取法定节假日均可，线下获取文件法定节假日除外）</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4"/>
              <w:spacing w:before="0" w:after="0" w:line="360" w:lineRule="auto"/>
              <w:rPr>
                <w:rFonts w:hint="default" w:ascii="宋体" w:hAnsi="宋体" w:cs="宋体"/>
                <w:b w:val="0"/>
                <w:sz w:val="21"/>
                <w:szCs w:val="21"/>
              </w:rPr>
            </w:pPr>
            <w:bookmarkStart w:id="73" w:name="_Toc12314"/>
            <w:bookmarkStart w:id="74" w:name="_Toc9556"/>
            <w:bookmarkStart w:id="75" w:name="_Toc3482"/>
            <w:bookmarkStart w:id="76" w:name="_Toc24755"/>
            <w:bookmarkStart w:id="77" w:name="_Toc2669"/>
            <w:bookmarkStart w:id="78" w:name="_Toc2430"/>
            <w:bookmarkStart w:id="79" w:name="_Toc28843"/>
            <w:bookmarkStart w:id="80" w:name="_Toc19610"/>
            <w:bookmarkStart w:id="81" w:name="_Toc2937"/>
            <w:bookmarkStart w:id="82" w:name="_Toc23947"/>
            <w:bookmarkStart w:id="83" w:name="_Toc28477"/>
            <w:bookmarkStart w:id="84" w:name="_Toc11493"/>
            <w:bookmarkStart w:id="85" w:name="_Toc28054"/>
            <w:bookmarkStart w:id="86" w:name="_Toc6967"/>
            <w:bookmarkStart w:id="87" w:name="_Toc27784"/>
            <w:r>
              <w:rPr>
                <w:rFonts w:ascii="宋体" w:hAnsi="宋体" w:cs="宋体"/>
                <w:b w:val="0"/>
                <w:sz w:val="21"/>
                <w:szCs w:val="21"/>
              </w:rPr>
              <w:t>地点（网址）：</w:t>
            </w:r>
            <w:bookmarkEnd w:id="73"/>
            <w:bookmarkEnd w:id="74"/>
            <w:bookmarkEnd w:id="75"/>
            <w:r>
              <w:rPr>
                <w:rFonts w:ascii="宋体" w:hAnsi="宋体" w:cs="宋体"/>
                <w:b w:val="0"/>
                <w:sz w:val="21"/>
                <w:szCs w:val="21"/>
              </w:rPr>
              <w:t>政采云平台https://www.zcygov.cn/</w:t>
            </w:r>
            <w:bookmarkEnd w:id="76"/>
            <w:bookmarkEnd w:id="77"/>
            <w:bookmarkEnd w:id="78"/>
            <w:bookmarkEnd w:id="79"/>
            <w:bookmarkEnd w:id="80"/>
            <w:bookmarkEnd w:id="81"/>
            <w:bookmarkEnd w:id="82"/>
            <w:bookmarkEnd w:id="83"/>
            <w:bookmarkEnd w:id="84"/>
            <w:bookmarkEnd w:id="85"/>
            <w:bookmarkEnd w:id="86"/>
            <w:bookmarkEnd w:id="87"/>
          </w:p>
          <w:p>
            <w:pPr>
              <w:spacing w:line="360" w:lineRule="auto"/>
              <w:rPr>
                <w:rFonts w:hint="default" w:ascii="宋体" w:hAnsi="宋体" w:cs="宋体"/>
                <w:szCs w:val="21"/>
              </w:rPr>
            </w:pPr>
            <w:bookmarkStart w:id="88" w:name="_Toc6088"/>
            <w:bookmarkStart w:id="89" w:name="_Toc31345"/>
            <w:bookmarkStart w:id="90" w:name="_Toc6094"/>
            <w:r>
              <w:rPr>
                <w:rFonts w:ascii="宋体" w:hAnsi="宋体" w:cs="宋体"/>
                <w:szCs w:val="21"/>
              </w:rPr>
              <w:t>方式：供应商登录政采云平台https://www.zcygov.cn/在线申请获取采购文件（进入“项目采购”应用，在获取采购文件菜单中选择项目，申请获取采购文件）。</w:t>
            </w:r>
            <w:bookmarkEnd w:id="88"/>
            <w:bookmarkEnd w:id="89"/>
            <w:bookmarkEnd w:id="90"/>
            <w:r>
              <w:rPr>
                <w:rFonts w:ascii="宋体" w:hAnsi="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45" w:type="dxa"/>
            <w:vAlign w:val="center"/>
          </w:tcPr>
          <w:p>
            <w:pPr>
              <w:spacing w:line="360" w:lineRule="exact"/>
              <w:jc w:val="center"/>
              <w:rPr>
                <w:rFonts w:hint="default" w:ascii="宋体" w:hAnsi="宋体" w:cs="宋体"/>
                <w:szCs w:val="21"/>
              </w:rPr>
            </w:pPr>
            <w:r>
              <w:rPr>
                <w:rFonts w:ascii="宋体" w:hAnsi="宋体" w:cs="宋体"/>
                <w:szCs w:val="21"/>
              </w:rPr>
              <w:t>21</w:t>
            </w:r>
          </w:p>
        </w:tc>
        <w:tc>
          <w:tcPr>
            <w:tcW w:w="1834" w:type="dxa"/>
            <w:vAlign w:val="center"/>
          </w:tcPr>
          <w:p>
            <w:pPr>
              <w:spacing w:line="360" w:lineRule="exact"/>
              <w:jc w:val="center"/>
              <w:rPr>
                <w:rFonts w:hint="default" w:ascii="宋体" w:hAnsi="宋体" w:cs="宋体"/>
                <w:szCs w:val="21"/>
              </w:rPr>
            </w:pPr>
            <w:r>
              <w:rPr>
                <w:rFonts w:ascii="宋体" w:hAnsi="宋体" w:cs="宋体"/>
                <w:szCs w:val="21"/>
              </w:rPr>
              <w:t>磋商截止时间</w:t>
            </w:r>
          </w:p>
        </w:tc>
        <w:tc>
          <w:tcPr>
            <w:tcW w:w="7365" w:type="dxa"/>
            <w:vAlign w:val="center"/>
          </w:tcPr>
          <w:p>
            <w:pPr>
              <w:spacing w:line="360" w:lineRule="exact"/>
              <w:rPr>
                <w:rFonts w:hint="default" w:ascii="宋体" w:hAnsi="宋体" w:cs="宋体"/>
                <w:szCs w:val="21"/>
              </w:rPr>
            </w:pPr>
            <w:r>
              <w:rPr>
                <w:rFonts w:hint="eastAsia" w:ascii="宋体" w:hAnsi="宋体" w:cs="宋体"/>
                <w:szCs w:val="21"/>
                <w:lang w:eastAsia="zh-CN"/>
              </w:rPr>
              <w:t>2023年10月27日14:00</w:t>
            </w:r>
            <w:r>
              <w:rPr>
                <w:rFonts w:ascii="宋体" w:hAnsi="宋体" w:cs="宋体"/>
                <w:szCs w:val="21"/>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22</w:t>
            </w:r>
          </w:p>
        </w:tc>
        <w:tc>
          <w:tcPr>
            <w:tcW w:w="1834" w:type="dxa"/>
            <w:vAlign w:val="center"/>
          </w:tcPr>
          <w:p>
            <w:pPr>
              <w:spacing w:line="360" w:lineRule="exact"/>
              <w:jc w:val="center"/>
              <w:rPr>
                <w:rFonts w:hint="default" w:ascii="宋体" w:hAnsi="宋体" w:cs="宋体"/>
                <w:szCs w:val="21"/>
              </w:rPr>
            </w:pPr>
            <w:r>
              <w:rPr>
                <w:rFonts w:ascii="宋体" w:hAnsi="宋体" w:cs="宋体"/>
                <w:szCs w:val="21"/>
              </w:rPr>
              <w:t>响应文件递交方式</w:t>
            </w:r>
          </w:p>
        </w:tc>
        <w:tc>
          <w:tcPr>
            <w:tcW w:w="7365" w:type="dxa"/>
            <w:vAlign w:val="center"/>
          </w:tcPr>
          <w:p>
            <w:pPr>
              <w:numPr>
                <w:ilvl w:val="0"/>
                <w:numId w:val="7"/>
              </w:numPr>
              <w:spacing w:line="360" w:lineRule="auto"/>
              <w:rPr>
                <w:rFonts w:hint="default"/>
              </w:rPr>
            </w:pPr>
            <w:r>
              <w:t>“电子加密响应文件”的上传、递交：</w:t>
            </w:r>
          </w:p>
          <w:p>
            <w:pPr>
              <w:spacing w:line="360" w:lineRule="auto"/>
              <w:rPr>
                <w:rFonts w:hint="default"/>
              </w:rPr>
            </w:pPr>
            <w:r>
              <w:t>a.投标人应在投标文件递交截止时间前将“电子加密响应文件”成功上传递交至“政采云平台”，否则投标无效。</w:t>
            </w:r>
          </w:p>
          <w:p>
            <w:pPr>
              <w:spacing w:line="360" w:lineRule="auto"/>
              <w:rPr>
                <w:rFonts w:hint="default"/>
              </w:rPr>
            </w:pPr>
            <w:r>
              <w:t>b.“电子加密响应文件”成功上传递交后，供应商可自行打印响应文件接收回执。</w:t>
            </w:r>
          </w:p>
          <w:p>
            <w:pPr>
              <w:spacing w:line="360" w:lineRule="auto"/>
              <w:rPr>
                <w:rFonts w:hint="default"/>
              </w:rPr>
            </w:pPr>
            <w:r>
              <w:t>（2）“备份响应文件”的密封包装、递交：</w:t>
            </w:r>
          </w:p>
          <w:p>
            <w:pPr>
              <w:spacing w:line="360" w:lineRule="auto"/>
              <w:ind w:firstLine="420" w:firstLineChars="200"/>
            </w:pPr>
            <w:r>
              <w:t>建议供应商在磋商响应文件提交截止时间之前将备份响应文件以电子邮件方式提交至采购代理机构指定邮箱，邮件标题注明项目名称及供应商名称。提交的备份响应文件需打包压缩并加密，加密密码由供应商自行保管。如供应商多次提交文件，以采购代理机构指定邮箱收到的最近时间（磋商响应文件提交截止时间之前）的备份响应文件为准。供应商未在磋商响应文件提交截止时间之前将备份响应文件提交至采购代理机构指定邮箱的，视为无效备份响应文件。</w:t>
            </w:r>
          </w:p>
          <w:p>
            <w:pPr>
              <w:spacing w:line="360" w:lineRule="auto"/>
              <w:rPr>
                <w:rFonts w:ascii="宋体" w:hAnsi="宋体" w:eastAsia="宋体" w:cs="宋体"/>
                <w:szCs w:val="21"/>
              </w:rPr>
            </w:pPr>
            <w:r>
              <w:rPr>
                <w:rFonts w:hint="eastAsia" w:ascii="宋体" w:hAnsi="宋体" w:eastAsia="宋体" w:cs="宋体"/>
                <w:szCs w:val="21"/>
              </w:rPr>
              <w:t>（3）“演示视频文件（如有）”的密封包装、递交：</w:t>
            </w:r>
          </w:p>
          <w:p>
            <w:pPr>
              <w:spacing w:line="360" w:lineRule="auto"/>
              <w:rPr>
                <w:rFonts w:ascii="宋体" w:hAnsi="宋体" w:eastAsia="宋体" w:cs="宋体"/>
                <w:szCs w:val="21"/>
              </w:rPr>
            </w:pPr>
            <w:r>
              <w:rPr>
                <w:rFonts w:hint="eastAsia" w:ascii="宋体" w:hAnsi="宋体" w:eastAsia="宋体" w:cs="宋体"/>
                <w:szCs w:val="21"/>
              </w:rPr>
              <w:t>a.投标人制作“演示视频文件”后，将文件存储于U盘内，以顺丰快递形式</w:t>
            </w:r>
            <w:r>
              <w:rPr>
                <w:rFonts w:hint="eastAsia" w:ascii="宋体" w:hAnsi="宋体" w:eastAsia="宋体" w:cs="宋体"/>
                <w:szCs w:val="21"/>
                <w:highlight w:val="none"/>
              </w:rPr>
              <w:t>在202</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年</w:t>
            </w:r>
            <w:r>
              <w:rPr>
                <w:rFonts w:hint="eastAsia" w:ascii="宋体" w:hAnsi="宋体" w:cs="宋体"/>
                <w:szCs w:val="21"/>
                <w:highlight w:val="none"/>
                <w:lang w:val="en-US" w:eastAsia="zh-CN"/>
              </w:rPr>
              <w:t>10</w:t>
            </w:r>
            <w:r>
              <w:rPr>
                <w:rFonts w:hint="eastAsia" w:ascii="宋体" w:hAnsi="宋体" w:eastAsia="宋体" w:cs="宋体"/>
                <w:szCs w:val="21"/>
                <w:highlight w:val="none"/>
              </w:rPr>
              <w:t>月</w:t>
            </w:r>
            <w:r>
              <w:rPr>
                <w:rFonts w:hint="eastAsia" w:ascii="宋体" w:hAnsi="宋体" w:cs="宋体"/>
                <w:szCs w:val="21"/>
                <w:highlight w:val="none"/>
                <w:lang w:val="en-US" w:eastAsia="zh-CN"/>
              </w:rPr>
              <w:t>26</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rPr>
              <w:t>:00前</w:t>
            </w:r>
            <w:r>
              <w:rPr>
                <w:rFonts w:hint="eastAsia" w:ascii="宋体" w:hAnsi="宋体" w:eastAsia="宋体" w:cs="宋体"/>
                <w:szCs w:val="21"/>
              </w:rPr>
              <w:t>快递至采购代理机构地址（地址详见采购文件，防疫期间不建议供应商代表送达接收地点）。</w:t>
            </w:r>
          </w:p>
          <w:p>
            <w:pPr>
              <w:spacing w:line="360" w:lineRule="auto"/>
            </w:pPr>
            <w:r>
              <w:rPr>
                <w:rFonts w:hint="eastAsia"/>
              </w:rPr>
              <w:t>b.“演示视频文件”应当密封包装，并在包装上标注投标项目名称、投标单位名称并加盖公章。没有密封包装或者逾期邮寄送达至投标地点的“演示视频文件”将不予接收，由此造成的责任由投标人自负。</w:t>
            </w:r>
          </w:p>
          <w:p>
            <w:pPr>
              <w:pStyle w:val="2"/>
              <w:spacing w:line="360" w:lineRule="auto"/>
              <w:ind w:left="0" w:leftChars="0" w:firstLine="0" w:firstLineChars="0"/>
              <w:rPr>
                <w:rFonts w:hint="default"/>
              </w:rPr>
            </w:pPr>
            <w:r>
              <w:rPr>
                <w:rFonts w:hint="eastAsia"/>
              </w:rPr>
              <w:t>c. 投标人应加强U盘的包装与保护，因包装不当而造成“演示视频文件” 损坏或不能在开评标现场设备上正确读取的责任由投标人自负。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7"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23</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磋商开始时间</w:t>
            </w:r>
          </w:p>
          <w:p>
            <w:pPr>
              <w:spacing w:line="360" w:lineRule="auto"/>
              <w:jc w:val="center"/>
              <w:rPr>
                <w:rFonts w:hint="default" w:ascii="宋体" w:hAnsi="宋体" w:cs="宋体"/>
                <w:szCs w:val="21"/>
              </w:rPr>
            </w:pPr>
            <w:r>
              <w:rPr>
                <w:rFonts w:ascii="宋体" w:hAnsi="宋体" w:cs="宋体"/>
                <w:szCs w:val="21"/>
              </w:rPr>
              <w:t>磋商地点</w:t>
            </w:r>
          </w:p>
        </w:tc>
        <w:tc>
          <w:tcPr>
            <w:tcW w:w="7365" w:type="dxa"/>
            <w:vAlign w:val="center"/>
          </w:tcPr>
          <w:p>
            <w:pPr>
              <w:spacing w:line="360" w:lineRule="auto"/>
              <w:rPr>
                <w:rFonts w:hint="default" w:ascii="宋体" w:hAnsi="宋体" w:cs="宋体"/>
                <w:szCs w:val="21"/>
              </w:rPr>
            </w:pPr>
            <w:r>
              <w:rPr>
                <w:rFonts w:ascii="宋体" w:hAnsi="宋体" w:cs="宋体"/>
                <w:szCs w:val="21"/>
              </w:rPr>
              <w:t>磋商开始时间：</w:t>
            </w:r>
            <w:r>
              <w:rPr>
                <w:rFonts w:hint="eastAsia" w:ascii="宋体" w:hAnsi="宋体" w:cs="宋体"/>
                <w:szCs w:val="21"/>
                <w:u w:val="single"/>
                <w:lang w:eastAsia="zh-CN"/>
              </w:rPr>
              <w:t>2023年10月27日14:00</w:t>
            </w:r>
            <w:r>
              <w:rPr>
                <w:rFonts w:ascii="宋体" w:hAnsi="宋体" w:cs="宋体"/>
                <w:szCs w:val="21"/>
              </w:rPr>
              <w:t>正(北京时间)</w:t>
            </w:r>
          </w:p>
          <w:p>
            <w:pPr>
              <w:spacing w:line="360" w:lineRule="auto"/>
              <w:rPr>
                <w:rFonts w:hint="default" w:ascii="宋体" w:hAnsi="宋体" w:cs="宋体"/>
                <w:szCs w:val="21"/>
              </w:rPr>
            </w:pPr>
            <w:r>
              <w:rPr>
                <w:rFonts w:ascii="宋体" w:hAnsi="宋体" w:cs="宋体"/>
                <w:szCs w:val="21"/>
              </w:rPr>
              <w:t>磋商地点：政府采购云平台（www.zcygov.cn）。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1"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24</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电子加密响应文件的解密和异常情况处理</w:t>
            </w:r>
          </w:p>
        </w:tc>
        <w:tc>
          <w:tcPr>
            <w:tcW w:w="7365" w:type="dxa"/>
            <w:vAlign w:val="center"/>
          </w:tcPr>
          <w:p>
            <w:pPr>
              <w:spacing w:line="360" w:lineRule="auto"/>
              <w:rPr>
                <w:rFonts w:hint="default" w:ascii="宋体" w:hAnsi="宋体" w:cs="宋体"/>
                <w:szCs w:val="21"/>
              </w:rPr>
            </w:pPr>
            <w:r>
              <w:rPr>
                <w:rFonts w:ascii="宋体" w:hAnsi="宋体" w:cs="宋体"/>
                <w:szCs w:val="21"/>
              </w:rPr>
              <w:t>（1）开标后，采购组织机构将向各供应商发出“电子加密响应文件”的解密通知，各供应商代表应当在接到解密通知后</w:t>
            </w:r>
            <w:r>
              <w:rPr>
                <w:rFonts w:ascii="宋体" w:hAnsi="宋体" w:cs="宋体"/>
                <w:szCs w:val="21"/>
                <w:u w:val="single"/>
              </w:rPr>
              <w:t>30分钟内</w:t>
            </w:r>
            <w:r>
              <w:rPr>
                <w:rFonts w:ascii="宋体" w:hAnsi="宋体" w:cs="宋体"/>
                <w:szCs w:val="21"/>
              </w:rPr>
              <w:t>自行完成“电子加密响应文件”的在线解密。</w:t>
            </w:r>
          </w:p>
          <w:p>
            <w:pPr>
              <w:spacing w:line="360" w:lineRule="auto"/>
              <w:rPr>
                <w:rFonts w:hint="default" w:ascii="宋体" w:hAnsi="宋体" w:cs="宋体"/>
                <w:szCs w:val="21"/>
              </w:rPr>
            </w:pPr>
            <w:r>
              <w:rPr>
                <w:rFonts w:ascii="宋体" w:hAnsi="宋体" w:cs="宋体"/>
                <w:szCs w:val="21"/>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spacing w:line="360" w:lineRule="auto"/>
              <w:rPr>
                <w:rFonts w:hint="default" w:ascii="宋体" w:hAnsi="宋体" w:cs="宋体"/>
                <w:szCs w:val="21"/>
              </w:rPr>
            </w:pPr>
            <w:r>
              <w:rPr>
                <w:rFonts w:ascii="宋体" w:hAnsi="宋体" w:cs="宋体"/>
                <w:szCs w:val="21"/>
              </w:rPr>
              <w:t>（3）投标截止时间止，供应商仅递交了“备份响应文件”而未将电子加密响应文件上传至“政府采购云平台”的，投标无效。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1"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25</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磋商程序</w:t>
            </w:r>
          </w:p>
        </w:tc>
        <w:tc>
          <w:tcPr>
            <w:tcW w:w="7365" w:type="dxa"/>
            <w:vAlign w:val="center"/>
          </w:tcPr>
          <w:p>
            <w:pPr>
              <w:numPr>
                <w:ilvl w:val="0"/>
                <w:numId w:val="8"/>
              </w:numPr>
              <w:spacing w:line="360" w:lineRule="auto"/>
              <w:ind w:firstLine="0"/>
              <w:rPr>
                <w:rFonts w:hint="default"/>
              </w:rPr>
            </w:pPr>
            <w:r>
              <w:t>采购代理机构按照磋商文件规定的时间通过政采云平台组织开标，所有磋商供应商准时在线参加。</w:t>
            </w:r>
          </w:p>
          <w:p>
            <w:pPr>
              <w:numPr>
                <w:ilvl w:val="0"/>
                <w:numId w:val="8"/>
              </w:numPr>
              <w:tabs>
                <w:tab w:val="left" w:pos="-6"/>
              </w:tabs>
              <w:spacing w:line="360" w:lineRule="auto"/>
              <w:ind w:firstLine="0"/>
              <w:rPr>
                <w:rFonts w:hint="default"/>
              </w:rPr>
            </w:pPr>
            <w:r>
              <w:t>开标时，政采云平台自动提取所有磋商响应文件，提示采购代理机构和磋商供应商按磋商文件规定的方式和时间在线解密。磋商供应商在线解密的时间为磋商截止时间起30分钟。</w:t>
            </w:r>
          </w:p>
          <w:p>
            <w:pPr>
              <w:numPr>
                <w:ilvl w:val="0"/>
                <w:numId w:val="8"/>
              </w:numPr>
              <w:tabs>
                <w:tab w:val="left" w:pos="-6"/>
              </w:tabs>
              <w:spacing w:line="360" w:lineRule="auto"/>
              <w:ind w:firstLine="0"/>
              <w:rPr>
                <w:rFonts w:hint="default"/>
              </w:rPr>
            </w:pPr>
            <w:r>
              <w:t>磋商供应商的电子磋商响应文件未在规定时间内成功解密的，供应商按要求提交了备份响应文件和解压缩密码的，由采购代理机构按政采云平台操作规范将备份响应文件上传。</w:t>
            </w:r>
          </w:p>
          <w:p>
            <w:pPr>
              <w:numPr>
                <w:ilvl w:val="0"/>
                <w:numId w:val="8"/>
              </w:numPr>
              <w:spacing w:line="360" w:lineRule="auto"/>
              <w:ind w:firstLine="0"/>
              <w:rPr>
                <w:rFonts w:hint="default"/>
              </w:rPr>
            </w:pPr>
            <w:r>
              <w:t>解密结束后，各供应商授权代表完整填写《政府采购活动现场确认声明书》并签字后扫描，以电子邮件方式传送至采购代理机构指定电子邮箱。</w:t>
            </w:r>
          </w:p>
          <w:p>
            <w:pPr>
              <w:numPr>
                <w:ilvl w:val="0"/>
                <w:numId w:val="8"/>
              </w:numPr>
              <w:spacing w:line="360" w:lineRule="auto"/>
              <w:ind w:firstLine="0"/>
              <w:rPr>
                <w:rFonts w:hint="default"/>
              </w:rPr>
            </w:pPr>
            <w:r>
              <w:t>磋商小组审阅响应文件。</w:t>
            </w:r>
          </w:p>
          <w:p>
            <w:pPr>
              <w:numPr>
                <w:ilvl w:val="0"/>
                <w:numId w:val="8"/>
              </w:numPr>
              <w:spacing w:line="360" w:lineRule="auto"/>
              <w:ind w:firstLine="0"/>
              <w:rPr>
                <w:rFonts w:hint="default"/>
              </w:rPr>
            </w:pPr>
            <w:r>
              <w:t>磋商小组分别与各供应商在线磋商并确定最终方案。</w:t>
            </w:r>
          </w:p>
          <w:p>
            <w:pPr>
              <w:numPr>
                <w:ilvl w:val="0"/>
                <w:numId w:val="8"/>
              </w:numPr>
              <w:spacing w:line="360" w:lineRule="auto"/>
              <w:ind w:firstLine="0"/>
              <w:rPr>
                <w:rFonts w:hint="default"/>
              </w:rPr>
            </w:pPr>
            <w:r>
              <w:t>供应商按照磋商文件的变动情况和磋商小组的要求重新提交响应文件。</w:t>
            </w:r>
          </w:p>
          <w:p>
            <w:pPr>
              <w:numPr>
                <w:ilvl w:val="0"/>
                <w:numId w:val="8"/>
              </w:numPr>
              <w:spacing w:line="360" w:lineRule="auto"/>
              <w:ind w:firstLine="0"/>
              <w:rPr>
                <w:rFonts w:hint="default"/>
              </w:rPr>
            </w:pPr>
            <w:r>
              <w:t>磋商小组对资格文件进行评审。</w:t>
            </w:r>
          </w:p>
          <w:p>
            <w:pPr>
              <w:numPr>
                <w:ilvl w:val="0"/>
                <w:numId w:val="8"/>
              </w:numPr>
              <w:spacing w:line="360" w:lineRule="auto"/>
              <w:ind w:firstLine="0"/>
              <w:rPr>
                <w:rFonts w:hint="default"/>
              </w:rPr>
            </w:pPr>
            <w:r>
              <w:t>磋商小组对商务技术响应文件进行评审。</w:t>
            </w:r>
          </w:p>
          <w:p>
            <w:pPr>
              <w:numPr>
                <w:ilvl w:val="0"/>
                <w:numId w:val="8"/>
              </w:numPr>
              <w:spacing w:line="360" w:lineRule="auto"/>
              <w:ind w:firstLine="0"/>
              <w:rPr>
                <w:rFonts w:hint="default"/>
              </w:rPr>
            </w:pPr>
            <w:r>
              <w:t>磋商小组在磋商结束后，要求所有继续参加磋商的供应商在规定时间内在线提交最后报价，超过规定时间提交的报价作无效处理。已提交响应文件的供应商，在提交最后报价之前，可以根据磋商情况退出磋商。</w:t>
            </w:r>
          </w:p>
          <w:p>
            <w:pPr>
              <w:numPr>
                <w:ilvl w:val="0"/>
                <w:numId w:val="8"/>
              </w:numPr>
              <w:spacing w:line="360" w:lineRule="auto"/>
              <w:ind w:firstLine="0"/>
              <w:rPr>
                <w:rFonts w:hint="default"/>
              </w:rPr>
            </w:pPr>
            <w:r>
              <w:t>由磋商小组采用综合评分法对提交最后报价的供应商的响应文件和最后报价进行综合评分。</w:t>
            </w:r>
          </w:p>
          <w:p>
            <w:pPr>
              <w:numPr>
                <w:ilvl w:val="0"/>
                <w:numId w:val="8"/>
              </w:numPr>
              <w:spacing w:line="360" w:lineRule="auto"/>
              <w:ind w:firstLine="0"/>
              <w:rPr>
                <w:rFonts w:hint="default"/>
              </w:rPr>
            </w:pPr>
            <w:r>
              <w:t>磋商小组根据综合评分情况，按照评审得分由高到低顺序推荐成交候选供应商。</w:t>
            </w:r>
          </w:p>
          <w:p>
            <w:pPr>
              <w:numPr>
                <w:ilvl w:val="0"/>
                <w:numId w:val="8"/>
              </w:numPr>
              <w:spacing w:line="360" w:lineRule="auto"/>
              <w:ind w:firstLine="0"/>
              <w:rPr>
                <w:rFonts w:hint="default"/>
              </w:rPr>
            </w:pPr>
            <w:r>
              <w:t>在系统上公布评审结果。</w:t>
            </w:r>
          </w:p>
          <w:p>
            <w:pPr>
              <w:spacing w:line="360" w:lineRule="auto"/>
              <w:rPr>
                <w:rFonts w:hint="default"/>
              </w:rPr>
            </w:pPr>
            <w:r>
              <w:rPr>
                <w:b/>
                <w:bCs/>
              </w:rPr>
              <w:t>特别说明：政采云平台如对电子化开标及评审程序有调整的，按调整后的程序操作。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71"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26</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磋商小组的组建</w:t>
            </w:r>
          </w:p>
        </w:tc>
        <w:tc>
          <w:tcPr>
            <w:tcW w:w="7365" w:type="dxa"/>
            <w:vAlign w:val="center"/>
          </w:tcPr>
          <w:p>
            <w:pPr>
              <w:spacing w:line="360" w:lineRule="auto"/>
              <w:rPr>
                <w:rFonts w:hint="default" w:ascii="宋体" w:hAnsi="宋体" w:cs="宋体"/>
                <w:szCs w:val="21"/>
              </w:rPr>
            </w:pPr>
            <w:r>
              <w:rPr>
                <w:rFonts w:ascii="宋体" w:hAnsi="宋体" w:cs="宋体"/>
                <w:szCs w:val="21"/>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2"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27</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落实政府采购</w:t>
            </w:r>
          </w:p>
          <w:p>
            <w:pPr>
              <w:spacing w:line="360" w:lineRule="auto"/>
              <w:jc w:val="center"/>
              <w:rPr>
                <w:rFonts w:hint="default" w:ascii="宋体" w:hAnsi="宋体" w:cs="宋体"/>
                <w:szCs w:val="21"/>
              </w:rPr>
            </w:pPr>
            <w:r>
              <w:rPr>
                <w:rFonts w:ascii="宋体" w:hAnsi="宋体" w:cs="宋体"/>
                <w:szCs w:val="21"/>
              </w:rPr>
              <w:t>支持中小企业、</w:t>
            </w:r>
          </w:p>
          <w:p>
            <w:pPr>
              <w:spacing w:line="360" w:lineRule="auto"/>
              <w:jc w:val="center"/>
              <w:rPr>
                <w:rFonts w:hint="default" w:ascii="宋体" w:hAnsi="宋体" w:cs="宋体"/>
                <w:szCs w:val="21"/>
              </w:rPr>
            </w:pPr>
            <w:r>
              <w:rPr>
                <w:rFonts w:ascii="宋体" w:hAnsi="宋体" w:cs="宋体"/>
                <w:szCs w:val="21"/>
              </w:rPr>
              <w:t>监狱企业及残疾人福利性单位</w:t>
            </w:r>
          </w:p>
          <w:p>
            <w:pPr>
              <w:spacing w:line="360" w:lineRule="auto"/>
              <w:jc w:val="center"/>
              <w:rPr>
                <w:rFonts w:hint="default" w:ascii="宋体" w:hAnsi="宋体" w:cs="宋体"/>
                <w:szCs w:val="21"/>
              </w:rPr>
            </w:pPr>
            <w:r>
              <w:rPr>
                <w:rFonts w:ascii="宋体" w:hAnsi="宋体" w:cs="宋体"/>
                <w:szCs w:val="21"/>
              </w:rPr>
              <w:t>发展政策</w:t>
            </w:r>
          </w:p>
        </w:tc>
        <w:tc>
          <w:tcPr>
            <w:tcW w:w="7365" w:type="dxa"/>
            <w:vAlign w:val="center"/>
          </w:tcPr>
          <w:p>
            <w:pPr>
              <w:spacing w:line="360" w:lineRule="auto"/>
              <w:ind w:left="199" w:hanging="199" w:hangingChars="95"/>
              <w:rPr>
                <w:rFonts w:hint="default" w:ascii="宋体" w:hAnsi="宋体" w:cs="宋体"/>
                <w:szCs w:val="21"/>
              </w:rPr>
            </w:pPr>
            <w:r>
              <w:rPr>
                <w:rFonts w:ascii="宋体" w:hAnsi="宋体" w:cs="宋体"/>
                <w:szCs w:val="21"/>
              </w:rPr>
              <w:t>☑ 专门面向中小企业采购项目。</w:t>
            </w:r>
          </w:p>
          <w:p>
            <w:pPr>
              <w:numPr>
                <w:ilvl w:val="0"/>
                <w:numId w:val="9"/>
              </w:numPr>
              <w:spacing w:line="360" w:lineRule="auto"/>
              <w:ind w:left="200" w:hanging="200" w:hangingChars="95"/>
              <w:rPr>
                <w:rFonts w:hint="default" w:ascii="宋体" w:hAnsi="宋体" w:cs="宋体"/>
                <w:b/>
                <w:bCs/>
                <w:szCs w:val="21"/>
              </w:rPr>
            </w:pPr>
            <w:r>
              <w:rPr>
                <w:rFonts w:ascii="宋体" w:hAnsi="宋体" w:cs="宋体"/>
                <w:b/>
                <w:bCs/>
                <w:szCs w:val="21"/>
              </w:rPr>
              <w:t>本项目所属行业：</w:t>
            </w:r>
            <w:r>
              <w:rPr>
                <w:rFonts w:ascii="宋体" w:hAnsi="宋体" w:cs="宋体"/>
                <w:b/>
                <w:bCs/>
                <w:szCs w:val="21"/>
                <w:u w:val="single"/>
              </w:rPr>
              <w:t>其他未列明行业</w:t>
            </w:r>
            <w:r>
              <w:rPr>
                <w:rFonts w:ascii="宋体" w:hAnsi="宋体" w:cs="宋体"/>
                <w:b/>
                <w:bCs/>
                <w:szCs w:val="21"/>
              </w:rPr>
              <w:t>，磋商供应商属于磋商文件中明确的行</w:t>
            </w:r>
          </w:p>
          <w:p>
            <w:pPr>
              <w:spacing w:line="360" w:lineRule="auto"/>
              <w:rPr>
                <w:rFonts w:hint="default" w:ascii="宋体" w:hAnsi="宋体" w:cs="宋体"/>
                <w:b/>
                <w:bCs/>
                <w:szCs w:val="21"/>
              </w:rPr>
            </w:pPr>
            <w:r>
              <w:rPr>
                <w:rFonts w:ascii="宋体" w:hAnsi="宋体" w:cs="宋体"/>
                <w:b/>
                <w:bCs/>
                <w:szCs w:val="21"/>
              </w:rPr>
              <w:t>业所对应的小微企业享受价格优惠折扣。</w:t>
            </w:r>
          </w:p>
          <w:p>
            <w:pPr>
              <w:numPr>
                <w:ilvl w:val="0"/>
                <w:numId w:val="9"/>
              </w:numPr>
              <w:spacing w:line="360" w:lineRule="auto"/>
              <w:ind w:left="199" w:hanging="199" w:hangingChars="95"/>
              <w:rPr>
                <w:rFonts w:hint="default" w:ascii="宋体" w:hAnsi="宋体" w:cs="宋体"/>
                <w:szCs w:val="21"/>
              </w:rPr>
            </w:pPr>
            <w:r>
              <w:rPr>
                <w:rFonts w:ascii="宋体" w:hAnsi="宋体" w:cs="宋体"/>
                <w:szCs w:val="21"/>
              </w:rPr>
              <w:t>中小企业：是指在中华人民共和国境内依法设立，磋商响应文件中提供中</w:t>
            </w:r>
          </w:p>
          <w:p>
            <w:pPr>
              <w:spacing w:line="360" w:lineRule="auto"/>
              <w:rPr>
                <w:rFonts w:hint="default" w:ascii="宋体" w:hAnsi="宋体" w:cs="宋体"/>
                <w:szCs w:val="21"/>
              </w:rPr>
            </w:pPr>
            <w:r>
              <w:rPr>
                <w:rFonts w:ascii="宋体" w:hAnsi="宋体" w:cs="宋体"/>
                <w:szCs w:val="21"/>
              </w:rPr>
              <w:t>小企业声明函且符合《政府采购促进中小企业发展管理办法》（财库〔2020〕46号）规定的要求，符合中小企业划分标准的个体工商户，在政府采购活动中视同中小企业.</w:t>
            </w:r>
          </w:p>
          <w:p>
            <w:pPr>
              <w:numPr>
                <w:ilvl w:val="0"/>
                <w:numId w:val="9"/>
              </w:numPr>
              <w:spacing w:line="360" w:lineRule="auto"/>
              <w:ind w:left="199" w:hanging="199" w:hangingChars="95"/>
              <w:rPr>
                <w:rFonts w:hint="default" w:ascii="宋体" w:hAnsi="宋体" w:cs="宋体"/>
                <w:szCs w:val="21"/>
              </w:rPr>
            </w:pPr>
            <w:r>
              <w:rPr>
                <w:rFonts w:ascii="宋体" w:hAnsi="宋体" w:cs="宋体"/>
                <w:szCs w:val="21"/>
              </w:rPr>
              <w:t>残疾人福利性单位是指磋商响应文件中提供残疾人福利性单位声明函且</w:t>
            </w:r>
          </w:p>
          <w:p>
            <w:pPr>
              <w:spacing w:line="360" w:lineRule="auto"/>
              <w:rPr>
                <w:rFonts w:hint="default" w:ascii="宋体" w:hAnsi="宋体" w:cs="宋体"/>
                <w:szCs w:val="21"/>
              </w:rPr>
            </w:pPr>
            <w:r>
              <w:rPr>
                <w:rFonts w:ascii="宋体" w:hAnsi="宋体" w:cs="宋体"/>
                <w:szCs w:val="21"/>
              </w:rPr>
              <w:t>符合《财政部 民政部 中国残疾人联合会关于促进残疾人就业政府采购政策的通知》（财库〔2017〕141号）的规定。</w:t>
            </w:r>
          </w:p>
          <w:p>
            <w:pPr>
              <w:numPr>
                <w:ilvl w:val="0"/>
                <w:numId w:val="9"/>
              </w:numPr>
              <w:spacing w:line="360" w:lineRule="auto"/>
              <w:ind w:left="199" w:hanging="199" w:hangingChars="95"/>
              <w:rPr>
                <w:rFonts w:hint="default" w:ascii="宋体" w:hAnsi="宋体" w:cs="宋体"/>
                <w:szCs w:val="21"/>
              </w:rPr>
            </w:pPr>
            <w:r>
              <w:rPr>
                <w:rFonts w:ascii="宋体" w:hAnsi="宋体" w:cs="宋体"/>
                <w:szCs w:val="21"/>
              </w:rPr>
              <w:t>监狱企业参加政府采购活动时，应当提供由省级以上监狱管理局、戒毒管</w:t>
            </w:r>
          </w:p>
          <w:p>
            <w:pPr>
              <w:spacing w:line="360" w:lineRule="auto"/>
              <w:rPr>
                <w:rFonts w:hint="default" w:ascii="宋体" w:hAnsi="宋体" w:cs="宋体"/>
                <w:szCs w:val="21"/>
              </w:rPr>
            </w:pPr>
            <w:r>
              <w:rPr>
                <w:rFonts w:ascii="宋体" w:hAnsi="宋体" w:cs="宋体"/>
                <w:szCs w:val="21"/>
              </w:rPr>
              <w:t>理局（含新疆生产建设兵团）出具的属于监狱企业的证明文件。</w:t>
            </w:r>
          </w:p>
          <w:p>
            <w:pPr>
              <w:spacing w:line="360" w:lineRule="auto"/>
              <w:ind w:left="17" w:hanging="16" w:hangingChars="8"/>
              <w:rPr>
                <w:rFonts w:hint="default" w:ascii="宋体" w:hAnsi="宋体" w:cs="宋体"/>
                <w:szCs w:val="21"/>
              </w:rPr>
            </w:pPr>
            <w:r>
              <w:rPr>
                <w:rFonts w:ascii="宋体" w:hAnsi="宋体" w:cs="宋体"/>
                <w:szCs w:val="21"/>
              </w:rPr>
              <w:t>□ 非专门面向中小企业采购项目。</w:t>
            </w:r>
          </w:p>
          <w:p>
            <w:pPr>
              <w:spacing w:line="360" w:lineRule="auto"/>
              <w:rPr>
                <w:rFonts w:hint="default" w:ascii="宋体" w:hAnsi="宋体" w:cs="宋体"/>
                <w:szCs w:val="21"/>
              </w:rPr>
            </w:pPr>
            <w:r>
              <w:rPr>
                <w:rFonts w:ascii="宋体" w:hAnsi="宋体" w:cs="宋体"/>
                <w:szCs w:val="21"/>
              </w:rPr>
              <w:t>注：对于未预留份额专门面向中小企业采购的采购项目，以及预留份额项目中的非预留部分采购包，对小微企业报价给予</w:t>
            </w:r>
            <w:r>
              <w:rPr>
                <w:rFonts w:ascii="宋体" w:hAnsi="宋体" w:cs="宋体"/>
                <w:szCs w:val="21"/>
                <w:u w:val="single"/>
              </w:rPr>
              <w:t xml:space="preserve"> / </w:t>
            </w:r>
            <w:r>
              <w:rPr>
                <w:rFonts w:ascii="宋体" w:hAnsi="宋体" w:cs="宋体"/>
                <w:szCs w:val="21"/>
              </w:rPr>
              <w:t>的扣除，用扣除后的价格参加评审。</w:t>
            </w:r>
          </w:p>
          <w:p>
            <w:pPr>
              <w:spacing w:line="360" w:lineRule="auto"/>
              <w:rPr>
                <w:rFonts w:hint="default" w:ascii="宋体" w:hAnsi="宋体" w:cs="宋体"/>
                <w:b/>
                <w:bCs/>
                <w:szCs w:val="21"/>
              </w:rPr>
            </w:pPr>
            <w:r>
              <w:rPr>
                <w:rFonts w:ascii="宋体" w:hAnsi="宋体" w:cs="宋体"/>
                <w:b/>
                <w:bCs/>
                <w:szCs w:val="21"/>
              </w:rPr>
              <w:t>监狱企业、残疾人福利性单位视同小型、微型企业，享受价格扣除。</w:t>
            </w:r>
          </w:p>
          <w:p>
            <w:pPr>
              <w:pStyle w:val="29"/>
              <w:spacing w:line="360" w:lineRule="auto"/>
              <w:rPr>
                <w:rFonts w:hint="default" w:hAnsi="宋体" w:cs="宋体"/>
              </w:rPr>
            </w:pPr>
            <w:r>
              <w:rPr>
                <w:rFonts w:hAnsi="宋体" w:cs="宋体"/>
                <w:b/>
                <w:bCs/>
                <w:szCs w:val="21"/>
              </w:rPr>
              <w:t>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4" w:hRule="atLeast"/>
          <w:jc w:val="center"/>
        </w:trPr>
        <w:tc>
          <w:tcPr>
            <w:tcW w:w="645" w:type="dxa"/>
            <w:vAlign w:val="center"/>
          </w:tcPr>
          <w:p>
            <w:pPr>
              <w:spacing w:line="340" w:lineRule="exact"/>
              <w:jc w:val="center"/>
              <w:rPr>
                <w:rFonts w:hint="default" w:ascii="宋体" w:hAnsi="宋体" w:cs="宋体"/>
                <w:szCs w:val="21"/>
              </w:rPr>
            </w:pPr>
            <w:r>
              <w:rPr>
                <w:rFonts w:ascii="宋体" w:hAnsi="宋体" w:cs="宋体"/>
                <w:szCs w:val="21"/>
              </w:rPr>
              <w:t>28</w:t>
            </w:r>
          </w:p>
        </w:tc>
        <w:tc>
          <w:tcPr>
            <w:tcW w:w="1834" w:type="dxa"/>
            <w:vAlign w:val="center"/>
          </w:tcPr>
          <w:p>
            <w:pPr>
              <w:snapToGrid w:val="0"/>
              <w:spacing w:line="360" w:lineRule="auto"/>
              <w:jc w:val="center"/>
              <w:rPr>
                <w:rFonts w:hint="default" w:ascii="宋体" w:hAnsi="宋体" w:cs="宋体"/>
                <w:b/>
                <w:szCs w:val="21"/>
              </w:rPr>
            </w:pPr>
            <w:r>
              <w:rPr>
                <w:rFonts w:ascii="宋体" w:hAnsi="宋体" w:cs="宋体"/>
                <w:szCs w:val="21"/>
              </w:rPr>
              <w:t>信用记录</w:t>
            </w:r>
          </w:p>
        </w:tc>
        <w:tc>
          <w:tcPr>
            <w:tcW w:w="7365" w:type="dxa"/>
            <w:vAlign w:val="center"/>
          </w:tcPr>
          <w:p>
            <w:pPr>
              <w:widowControl/>
              <w:spacing w:line="360" w:lineRule="auto"/>
              <w:rPr>
                <w:rFonts w:hint="default" w:ascii="宋体" w:hAnsi="宋体" w:cs="宋体"/>
                <w:szCs w:val="21"/>
              </w:rPr>
            </w:pPr>
            <w:r>
              <w:rPr>
                <w:rFonts w:ascii="宋体" w:hAnsi="宋体" w:cs="宋体"/>
                <w:szCs w:val="21"/>
              </w:rPr>
              <w:t>根据《关于在政府采购活动中查询及使用信用记录有关问题的通知》财库[2016]125号的规定：</w:t>
            </w:r>
          </w:p>
          <w:p>
            <w:pPr>
              <w:widowControl/>
              <w:spacing w:line="360" w:lineRule="auto"/>
              <w:rPr>
                <w:rFonts w:hint="default" w:ascii="宋体" w:hAnsi="宋体" w:cs="宋体"/>
                <w:szCs w:val="21"/>
              </w:rPr>
            </w:pPr>
            <w:r>
              <w:rPr>
                <w:rFonts w:ascii="宋体" w:hAnsi="宋体" w:cs="宋体"/>
                <w:szCs w:val="21"/>
              </w:rPr>
              <w:t>1）采购人或采购代理机构将对本项目供应商的信用记录进行查询。查询渠道与留存方式：招标采购单位登录“信用中国”（www.creditchina.gov.cn）、中国政府采购网（www.ccgp.gov.cn）、浙江政府采购网（http://zfcg.czt.zj.gov.cn//）、国家企业信用信息公示系统（www.gsxt.gov.cn）网站查询各磋商供应商信用记录，网页截图并打印存档。</w:t>
            </w:r>
          </w:p>
          <w:p>
            <w:pPr>
              <w:widowControl/>
              <w:spacing w:line="360" w:lineRule="auto"/>
              <w:rPr>
                <w:rFonts w:hint="default" w:ascii="宋体" w:hAnsi="宋体" w:cs="宋体"/>
                <w:szCs w:val="21"/>
              </w:rPr>
            </w:pPr>
            <w:r>
              <w:rPr>
                <w:rFonts w:ascii="宋体" w:hAnsi="宋体" w:cs="宋体"/>
                <w:szCs w:val="21"/>
              </w:rPr>
              <w:t>2）截止时点：提交响应文件（响应文件）截止时间前3年内；</w:t>
            </w:r>
          </w:p>
          <w:p>
            <w:pPr>
              <w:widowControl/>
              <w:spacing w:line="360" w:lineRule="auto"/>
              <w:rPr>
                <w:rFonts w:hint="default" w:ascii="宋体" w:hAnsi="宋体" w:cs="宋体"/>
                <w:szCs w:val="21"/>
              </w:rPr>
            </w:pPr>
            <w:r>
              <w:rPr>
                <w:rFonts w:ascii="宋体" w:hAnsi="宋体" w:cs="宋体"/>
                <w:szCs w:val="21"/>
              </w:rPr>
              <w:t>3）查询记录和证据的留存：信用信息查询记录和证据以网页截图等方式留存。</w:t>
            </w:r>
          </w:p>
          <w:p>
            <w:pPr>
              <w:widowControl/>
              <w:spacing w:line="360" w:lineRule="auto"/>
              <w:rPr>
                <w:rFonts w:hint="default" w:ascii="宋体" w:hAnsi="宋体" w:cs="宋体"/>
                <w:szCs w:val="21"/>
              </w:rPr>
            </w:pPr>
            <w:r>
              <w:rPr>
                <w:rFonts w:ascii="宋体" w:hAnsi="宋体" w:cs="宋体"/>
                <w:szCs w:val="21"/>
              </w:rPr>
              <w:t>4）使用规则：被列入失信被执行人、重大税收违法案件当事人名单、政府采购严重违法失信行为记录名单及其它不符合《中华人民共和国政府采购法》第二十二条规定条件的，其投标将被拒绝。</w:t>
            </w:r>
          </w:p>
          <w:p>
            <w:pPr>
              <w:widowControl/>
              <w:spacing w:line="360" w:lineRule="auto"/>
              <w:rPr>
                <w:rFonts w:hint="default" w:ascii="宋体" w:hAnsi="宋体" w:cs="宋体"/>
                <w:szCs w:val="21"/>
              </w:rPr>
            </w:pPr>
            <w:r>
              <w:rPr>
                <w:rFonts w:ascii="宋体" w:hAnsi="宋体" w:cs="宋体"/>
                <w:szCs w:val="21"/>
              </w:rPr>
              <w:t>5）联合体成员任意一方存在不良信用记录的，视同联合体存在不良信用记录。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02"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29</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诚信履约管理</w:t>
            </w:r>
          </w:p>
        </w:tc>
        <w:tc>
          <w:tcPr>
            <w:tcW w:w="7365" w:type="dxa"/>
            <w:vAlign w:val="center"/>
          </w:tcPr>
          <w:p>
            <w:pPr>
              <w:widowControl/>
              <w:spacing w:line="360" w:lineRule="auto"/>
              <w:rPr>
                <w:rFonts w:hint="default" w:ascii="宋体" w:hAnsi="宋体" w:cs="宋体"/>
                <w:szCs w:val="21"/>
              </w:rPr>
            </w:pPr>
            <w:r>
              <w:rPr>
                <w:rFonts w:ascii="宋体" w:hAnsi="宋体" w:cs="宋体"/>
                <w:szCs w:val="21"/>
              </w:rPr>
              <w:t>合同签订后，采购人依法加强对合同履约进行管理。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8"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30</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解释权</w:t>
            </w:r>
          </w:p>
        </w:tc>
        <w:tc>
          <w:tcPr>
            <w:tcW w:w="7365" w:type="dxa"/>
            <w:vAlign w:val="center"/>
          </w:tcPr>
          <w:p>
            <w:pPr>
              <w:spacing w:line="360" w:lineRule="auto"/>
              <w:rPr>
                <w:rFonts w:hint="default" w:ascii="宋体" w:hAnsi="宋体" w:cs="宋体"/>
                <w:szCs w:val="21"/>
              </w:rPr>
            </w:pPr>
            <w:r>
              <w:rPr>
                <w:rFonts w:ascii="宋体" w:hAnsi="宋体" w:cs="宋体"/>
                <w:szCs w:val="21"/>
              </w:rPr>
              <w:t>构成本磋商文件的各个组成文件应互为解释，互为说明；如有不明确或不一致，构成合同文件组成内容的，以合同文件约定内容为准；仅适用于磋商阶段的约定，按竞争性磋商公告、磋商供应商须知、评定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31</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 xml:space="preserve">合同管理                                                                                                                                                                                                                                                                                                                                                                                                                                                                                                                                                                                                                                                                                                                                                                                                                                                                                                                                                                                                                                                                                                                                                                                                                                                                                                                                                                                                                                                                                                                                                                                                                                                                                                                                                                                                                                                                                                                                                                                                                                                                                                                                                                                                                                                                                                                                                                                                                                                                                                                                                                                                                                      </w:t>
            </w:r>
          </w:p>
        </w:tc>
        <w:tc>
          <w:tcPr>
            <w:tcW w:w="7365" w:type="dxa"/>
            <w:vAlign w:val="center"/>
          </w:tcPr>
          <w:p>
            <w:pPr>
              <w:spacing w:line="360" w:lineRule="auto"/>
              <w:rPr>
                <w:rFonts w:hint="default" w:ascii="宋体" w:hAnsi="宋体" w:cs="宋体"/>
                <w:szCs w:val="21"/>
              </w:rPr>
            </w:pPr>
            <w:r>
              <w:rPr>
                <w:rFonts w:ascii="宋体" w:hAnsi="宋体" w:cs="宋体"/>
                <w:szCs w:val="21"/>
              </w:rPr>
              <w:t>1.成交供应商与采购人签订合同后,两个工作日内将合同原件交给浙江综盛项目管理有限公司备案。</w:t>
            </w:r>
          </w:p>
          <w:p>
            <w:pPr>
              <w:spacing w:line="360" w:lineRule="auto"/>
              <w:rPr>
                <w:rFonts w:hint="default" w:ascii="宋体" w:hAnsi="宋体" w:cs="宋体"/>
                <w:b/>
                <w:szCs w:val="21"/>
              </w:rPr>
            </w:pPr>
            <w:r>
              <w:rPr>
                <w:rFonts w:ascii="宋体" w:hAnsi="宋体" w:cs="宋体"/>
                <w:szCs w:val="21"/>
              </w:rPr>
              <w:t>2.采购人在合同签订后两个工作日内要及时向财政监督管理部门申请备案。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32</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邮箱</w:t>
            </w:r>
          </w:p>
        </w:tc>
        <w:tc>
          <w:tcPr>
            <w:tcW w:w="7365" w:type="dxa"/>
            <w:vAlign w:val="center"/>
          </w:tcPr>
          <w:p>
            <w:pPr>
              <w:spacing w:line="360" w:lineRule="auto"/>
              <w:rPr>
                <w:rFonts w:hint="default" w:ascii="宋体" w:hAnsi="宋体" w:cs="宋体"/>
                <w:szCs w:val="21"/>
              </w:rPr>
            </w:pPr>
            <w:r>
              <w:rPr>
                <w:rFonts w:ascii="宋体" w:hAnsi="宋体" w:cs="宋体"/>
                <w:szCs w:val="21"/>
              </w:rPr>
              <w:t>本磋商文件所提到的代理机构邮箱皆为</w:t>
            </w:r>
            <w:r>
              <w:rPr>
                <w:rFonts w:ascii="宋体" w:hAnsi="宋体" w:cs="宋体"/>
                <w:b/>
                <w:bCs/>
                <w:szCs w:val="21"/>
              </w:rPr>
              <w:t>984865308@qq.com</w:t>
            </w:r>
            <w:r>
              <w:rPr>
                <w:rFonts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default" w:ascii="宋体" w:hAnsi="宋体" w:cs="宋体"/>
                <w:szCs w:val="21"/>
              </w:rPr>
            </w:pPr>
            <w:r>
              <w:rPr>
                <w:rFonts w:ascii="宋体" w:hAnsi="宋体" w:cs="宋体"/>
                <w:szCs w:val="21"/>
              </w:rPr>
              <w:t>33</w:t>
            </w:r>
          </w:p>
        </w:tc>
        <w:tc>
          <w:tcPr>
            <w:tcW w:w="1834" w:type="dxa"/>
            <w:vAlign w:val="center"/>
          </w:tcPr>
          <w:p>
            <w:pPr>
              <w:spacing w:line="360" w:lineRule="auto"/>
              <w:jc w:val="center"/>
              <w:rPr>
                <w:rFonts w:hint="default" w:ascii="宋体" w:hAnsi="宋体" w:cs="宋体"/>
                <w:szCs w:val="21"/>
              </w:rPr>
            </w:pPr>
            <w:r>
              <w:rPr>
                <w:rFonts w:ascii="宋体" w:hAnsi="宋体" w:cs="宋体"/>
                <w:szCs w:val="21"/>
              </w:rPr>
              <w:t>备注</w:t>
            </w:r>
          </w:p>
        </w:tc>
        <w:tc>
          <w:tcPr>
            <w:tcW w:w="7365" w:type="dxa"/>
            <w:vAlign w:val="center"/>
          </w:tcPr>
          <w:p>
            <w:pPr>
              <w:numPr>
                <w:ilvl w:val="0"/>
                <w:numId w:val="10"/>
              </w:numPr>
              <w:spacing w:line="360" w:lineRule="auto"/>
              <w:rPr>
                <w:rFonts w:hint="default" w:ascii="宋体" w:hAnsi="宋体" w:cs="宋体"/>
                <w:szCs w:val="21"/>
              </w:rPr>
            </w:pPr>
            <w:r>
              <w:rPr>
                <w:rFonts w:ascii="宋体" w:hAnsi="宋体" w:cs="宋体"/>
                <w:szCs w:val="21"/>
              </w:rPr>
              <w:t>请务必确保投标文件制作客户端为最新版本，旧版本可能导致磋商响应文件解密失败。</w:t>
            </w:r>
          </w:p>
          <w:p>
            <w:pPr>
              <w:numPr>
                <w:ilvl w:val="0"/>
                <w:numId w:val="10"/>
              </w:numPr>
              <w:spacing w:line="360" w:lineRule="auto"/>
              <w:rPr>
                <w:rFonts w:hint="default" w:ascii="宋体" w:hAnsi="宋体" w:cs="宋体"/>
                <w:szCs w:val="21"/>
              </w:rPr>
            </w:pPr>
            <w:r>
              <w:rPr>
                <w:rFonts w:ascii="宋体" w:hAnsi="宋体" w:cs="宋体"/>
                <w:szCs w:val="21"/>
              </w:rPr>
              <w:t>请务必确保响应文件制作时所用的 CA 锁与响应文件解密时的 CA 锁为同一把，否则可能导致响应文件解密失败。</w:t>
            </w:r>
          </w:p>
          <w:p>
            <w:pPr>
              <w:numPr>
                <w:ilvl w:val="0"/>
                <w:numId w:val="10"/>
              </w:numPr>
              <w:spacing w:line="360" w:lineRule="auto"/>
              <w:rPr>
                <w:rFonts w:hint="default" w:ascii="宋体" w:hAnsi="宋体" w:cs="宋体"/>
                <w:szCs w:val="21"/>
              </w:rPr>
            </w:pPr>
            <w:r>
              <w:rPr>
                <w:rFonts w:ascii="宋体" w:hAnsi="宋体" w:cs="宋体"/>
                <w:szCs w:val="21"/>
              </w:rPr>
              <w:t>在磋商响应文件解密前，请务必检验 CA 锁与所用电脑的兼容性，部分电脑因 CA 驱动未正常安装、USB 接口兼容性差等原因可能造成响应文件解密失败。</w:t>
            </w:r>
          </w:p>
          <w:p>
            <w:pPr>
              <w:numPr>
                <w:ilvl w:val="0"/>
                <w:numId w:val="10"/>
              </w:numPr>
              <w:spacing w:line="360" w:lineRule="auto"/>
              <w:rPr>
                <w:rFonts w:hint="default" w:ascii="宋体" w:hAnsi="宋体" w:cs="宋体"/>
                <w:szCs w:val="21"/>
              </w:rPr>
            </w:pPr>
            <w:r>
              <w:rPr>
                <w:rFonts w:ascii="宋体" w:hAnsi="宋体" w:cs="宋体"/>
                <w:szCs w:val="21"/>
              </w:rPr>
              <w:t>供应商未按照采购文件规定及提醒操作的，引起一切后果由供应商自行负责。</w:t>
            </w:r>
          </w:p>
          <w:p>
            <w:pPr>
              <w:numPr>
                <w:ilvl w:val="0"/>
                <w:numId w:val="10"/>
              </w:numPr>
              <w:spacing w:line="360" w:lineRule="auto"/>
              <w:rPr>
                <w:rFonts w:hint="default" w:ascii="宋体" w:hAnsi="宋体" w:cs="宋体"/>
                <w:szCs w:val="21"/>
              </w:rPr>
            </w:pPr>
            <w:r>
              <w:rPr>
                <w:rFonts w:ascii="宋体" w:hAnsi="宋体" w:cs="宋体"/>
                <w:szCs w:val="21"/>
              </w:rPr>
              <w:t>成交供应商在领取成交通知书时需提供全套纸质磋商响应文件一正三副共4份。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vAlign w:val="center"/>
          </w:tcPr>
          <w:p>
            <w:pPr>
              <w:spacing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34</w:t>
            </w:r>
          </w:p>
        </w:tc>
        <w:tc>
          <w:tcPr>
            <w:tcW w:w="1834" w:type="dxa"/>
            <w:vAlign w:val="center"/>
          </w:tcPr>
          <w:p>
            <w:pPr>
              <w:bidi w:val="0"/>
              <w:jc w:val="center"/>
              <w:rPr>
                <w:rFonts w:hint="default" w:ascii="Calibri" w:hAnsi="Calibri" w:eastAsia="宋体" w:cs="Times New Roman"/>
                <w:kern w:val="2"/>
                <w:sz w:val="21"/>
                <w:lang w:val="en-US" w:eastAsia="zh-CN" w:bidi="ar-SA"/>
              </w:rPr>
            </w:pPr>
            <w:r>
              <w:rPr>
                <w:rFonts w:hint="eastAsia"/>
                <w:lang w:val="en-US" w:eastAsia="zh-CN"/>
              </w:rPr>
              <w:t>视频演示</w:t>
            </w:r>
          </w:p>
        </w:tc>
        <w:tc>
          <w:tcPr>
            <w:tcW w:w="7365" w:type="dxa"/>
            <w:vAlign w:val="center"/>
          </w:tcPr>
          <w:p>
            <w:pPr>
              <w:spacing w:line="360" w:lineRule="auto"/>
              <w:rPr>
                <w:rFonts w:hint="default" w:eastAsiaTheme="minorEastAsia"/>
                <w:b/>
                <w:bCs/>
                <w:lang w:val="en-US" w:eastAsia="zh-CN"/>
              </w:rPr>
            </w:pPr>
            <w:r>
              <w:rPr>
                <w:rFonts w:hint="eastAsia"/>
                <w:lang w:eastAsia="zh-CN"/>
              </w:rPr>
              <w:t>☑</w:t>
            </w:r>
            <w:r>
              <w:rPr>
                <w:rFonts w:hint="eastAsia"/>
              </w:rPr>
              <w:t xml:space="preserve"> </w:t>
            </w:r>
            <w:r>
              <w:rPr>
                <w:rFonts w:hint="eastAsia"/>
                <w:lang w:val="en-US" w:eastAsia="zh-CN"/>
              </w:rPr>
              <w:t>需要：</w:t>
            </w:r>
            <w:r>
              <w:rPr>
                <w:rFonts w:hint="eastAsia"/>
                <w:b/>
                <w:bCs/>
                <w:lang w:val="en-US" w:eastAsia="zh-CN"/>
              </w:rPr>
              <w:t>演示要求详见第三部分竞争性磋商内容及要求。</w:t>
            </w:r>
          </w:p>
          <w:p>
            <w:pPr>
              <w:bidi w:val="0"/>
              <w:spacing w:line="360" w:lineRule="auto"/>
              <w:jc w:val="left"/>
              <w:rPr>
                <w:rFonts w:hint="eastAsia" w:ascii="Calibri" w:hAnsi="Calibri" w:cs="Times New Roman" w:eastAsiaTheme="minorEastAsia"/>
                <w:kern w:val="2"/>
                <w:sz w:val="21"/>
                <w:lang w:val="en-US" w:eastAsia="zh-CN" w:bidi="ar-SA"/>
              </w:rPr>
            </w:pPr>
            <w:r>
              <w:rPr>
                <w:rFonts w:hint="eastAsia"/>
              </w:rPr>
              <w:t>□ 不</w:t>
            </w:r>
            <w:r>
              <w:rPr>
                <w:rFonts w:hint="eastAsia"/>
                <w:lang w:val="en-US" w:eastAsia="zh-CN"/>
              </w:rPr>
              <w:t>需要</w:t>
            </w:r>
          </w:p>
        </w:tc>
      </w:tr>
    </w:tbl>
    <w:p>
      <w:pPr>
        <w:rPr>
          <w:rFonts w:hint="default"/>
        </w:rPr>
      </w:pPr>
    </w:p>
    <w:p>
      <w:pPr>
        <w:pageBreakBefore/>
        <w:tabs>
          <w:tab w:val="left" w:pos="840"/>
        </w:tabs>
        <w:spacing w:before="240" w:beforeLines="100" w:after="240" w:afterLines="100"/>
        <w:jc w:val="center"/>
        <w:rPr>
          <w:rFonts w:hint="default" w:hAnsi="宋体"/>
          <w:sz w:val="28"/>
          <w:szCs w:val="36"/>
        </w:rPr>
      </w:pPr>
      <w:bookmarkStart w:id="91" w:name="_Toc51335243"/>
      <w:bookmarkStart w:id="92" w:name="_Toc28"/>
      <w:bookmarkStart w:id="93" w:name="_Toc65250512"/>
      <w:bookmarkStart w:id="94" w:name="_Toc38808094"/>
      <w:r>
        <w:rPr>
          <w:rFonts w:hAnsi="宋体"/>
          <w:b/>
          <w:bCs/>
          <w:sz w:val="28"/>
          <w:szCs w:val="36"/>
        </w:rPr>
        <w:t>政府采购活动现场确认声明书</w:t>
      </w:r>
      <w:bookmarkEnd w:id="91"/>
      <w:bookmarkEnd w:id="92"/>
      <w:bookmarkEnd w:id="93"/>
      <w:bookmarkEnd w:id="94"/>
    </w:p>
    <w:p>
      <w:pPr>
        <w:pStyle w:val="30"/>
        <w:snapToGrid w:val="0"/>
        <w:spacing w:line="500" w:lineRule="exact"/>
        <w:rPr>
          <w:rFonts w:hint="default" w:hAnsi="宋体" w:cs="宋体"/>
          <w:b/>
          <w:szCs w:val="21"/>
        </w:rPr>
      </w:pPr>
      <w:r>
        <w:rPr>
          <w:rFonts w:hAnsi="宋体" w:cs="宋体"/>
          <w:kern w:val="0"/>
          <w:szCs w:val="21"/>
          <w:u w:val="single"/>
        </w:rPr>
        <w:t>浙江综盛项目管理有限公司</w:t>
      </w:r>
      <w:r>
        <w:rPr>
          <w:rFonts w:hAnsi="宋体" w:cs="宋体"/>
          <w:kern w:val="0"/>
          <w:szCs w:val="21"/>
        </w:rPr>
        <w:t>（采购组织机构名称）：</w:t>
      </w:r>
    </w:p>
    <w:p>
      <w:pPr>
        <w:pStyle w:val="30"/>
        <w:snapToGrid w:val="0"/>
        <w:spacing w:line="460" w:lineRule="exact"/>
        <w:ind w:left="19" w:leftChars="9" w:firstLine="415" w:firstLineChars="187"/>
        <w:rPr>
          <w:rFonts w:hint="default" w:hAnsi="宋体" w:cs="宋体"/>
          <w:spacing w:val="6"/>
          <w:szCs w:val="21"/>
        </w:rPr>
      </w:pPr>
      <w:r>
        <w:rPr>
          <w:rFonts w:hAnsi="宋体" w:cs="宋体"/>
          <w:spacing w:val="6"/>
          <w:szCs w:val="21"/>
        </w:rPr>
        <w:t>本人</w:t>
      </w:r>
      <w:r>
        <w:rPr>
          <w:rFonts w:hAnsi="宋体" w:cs="宋体"/>
          <w:spacing w:val="6"/>
          <w:szCs w:val="21"/>
          <w:u w:val="single"/>
        </w:rPr>
        <w:t xml:space="preserve">           </w:t>
      </w:r>
      <w:r>
        <w:rPr>
          <w:rFonts w:hAnsi="宋体" w:cs="宋体"/>
          <w:spacing w:val="6"/>
          <w:szCs w:val="21"/>
        </w:rPr>
        <w:t>（授权代表姓名），经由</w:t>
      </w:r>
      <w:r>
        <w:rPr>
          <w:rFonts w:hAnsi="宋体" w:cs="宋体"/>
          <w:spacing w:val="6"/>
          <w:szCs w:val="21"/>
          <w:u w:val="single"/>
        </w:rPr>
        <w:t xml:space="preserve">            （单位）</w:t>
      </w:r>
      <w:r>
        <w:rPr>
          <w:rFonts w:hAnsi="宋体" w:cs="宋体"/>
          <w:spacing w:val="6"/>
          <w:szCs w:val="21"/>
        </w:rPr>
        <w:t>负责人</w:t>
      </w:r>
      <w:r>
        <w:rPr>
          <w:rFonts w:hAnsi="宋体" w:cs="宋体"/>
          <w:spacing w:val="6"/>
          <w:szCs w:val="21"/>
          <w:u w:val="single"/>
        </w:rPr>
        <w:t xml:space="preserve">          </w:t>
      </w:r>
      <w:r>
        <w:rPr>
          <w:rFonts w:hAnsi="宋体" w:cs="宋体"/>
          <w:spacing w:val="6"/>
          <w:szCs w:val="21"/>
        </w:rPr>
        <w:t>（法定代表人）合法授权参加</w:t>
      </w:r>
      <w:r>
        <w:rPr>
          <w:rFonts w:hAnsi="宋体" w:cs="宋体"/>
          <w:spacing w:val="6"/>
          <w:szCs w:val="21"/>
          <w:u w:val="single"/>
        </w:rPr>
        <w:t xml:space="preserve">          </w:t>
      </w:r>
      <w:r>
        <w:rPr>
          <w:rFonts w:hAnsi="宋体" w:cs="宋体"/>
          <w:spacing w:val="6"/>
          <w:szCs w:val="21"/>
        </w:rPr>
        <w:t>（编号：</w:t>
      </w:r>
      <w:r>
        <w:rPr>
          <w:rFonts w:hAnsi="宋体" w:cs="宋体"/>
          <w:spacing w:val="6"/>
          <w:szCs w:val="21"/>
          <w:u w:val="single"/>
        </w:rPr>
        <w:t xml:space="preserve">      </w:t>
      </w:r>
      <w:r>
        <w:rPr>
          <w:rFonts w:hAnsi="宋体" w:cs="宋体"/>
          <w:spacing w:val="6"/>
          <w:szCs w:val="21"/>
        </w:rPr>
        <w:t xml:space="preserve">）政府采购活动，经与本单位法人代表（负责人）联系确认，现就有关公平竞争事项郑重声明如下： </w:t>
      </w:r>
    </w:p>
    <w:p>
      <w:pPr>
        <w:pStyle w:val="31"/>
        <w:widowControl/>
        <w:snapToGrid w:val="0"/>
        <w:spacing w:line="460" w:lineRule="exact"/>
        <w:ind w:firstLine="420" w:firstLineChars="200"/>
        <w:rPr>
          <w:rFonts w:hint="default" w:ascii="宋体" w:hAnsi="宋体" w:cs="宋体"/>
          <w:kern w:val="0"/>
          <w:szCs w:val="21"/>
        </w:rPr>
      </w:pPr>
      <w:r>
        <w:rPr>
          <w:rFonts w:ascii="宋体" w:hAnsi="宋体" w:cs="宋体"/>
          <w:kern w:val="0"/>
          <w:szCs w:val="21"/>
        </w:rPr>
        <w:t>一、本单位与采购人之间 □不存在利害关系□存在下列利害关系</w:t>
      </w:r>
      <w:r>
        <w:rPr>
          <w:rFonts w:ascii="宋体" w:hAnsi="宋体" w:cs="宋体"/>
          <w:kern w:val="0"/>
          <w:szCs w:val="21"/>
          <w:u w:val="single"/>
        </w:rPr>
        <w:t xml:space="preserve">           </w:t>
      </w:r>
      <w:r>
        <w:rPr>
          <w:rFonts w:ascii="宋体" w:hAnsi="宋体" w:cs="宋体"/>
          <w:kern w:val="0"/>
          <w:szCs w:val="21"/>
        </w:rPr>
        <w:t>：</w:t>
      </w:r>
    </w:p>
    <w:p>
      <w:pPr>
        <w:pStyle w:val="31"/>
        <w:widowControl/>
        <w:snapToGrid w:val="0"/>
        <w:spacing w:line="460" w:lineRule="exact"/>
        <w:rPr>
          <w:rFonts w:hint="default" w:ascii="宋体" w:hAnsi="宋体" w:cs="宋体"/>
          <w:kern w:val="0"/>
          <w:szCs w:val="21"/>
        </w:rPr>
      </w:pPr>
      <w:r>
        <w:rPr>
          <w:rFonts w:ascii="宋体" w:hAnsi="宋体" w:cs="宋体"/>
          <w:kern w:val="0"/>
          <w:szCs w:val="21"/>
        </w:rPr>
        <w:t xml:space="preserve">  A.投资关系    B.行政隶属关系    C.业务指导关系</w:t>
      </w:r>
    </w:p>
    <w:p>
      <w:pPr>
        <w:pStyle w:val="31"/>
        <w:widowControl/>
        <w:snapToGrid w:val="0"/>
        <w:spacing w:line="460" w:lineRule="exact"/>
        <w:rPr>
          <w:rFonts w:hint="default" w:ascii="宋体" w:hAnsi="宋体" w:cs="宋体"/>
          <w:kern w:val="0"/>
          <w:szCs w:val="21"/>
        </w:rPr>
      </w:pPr>
      <w:r>
        <w:rPr>
          <w:rFonts w:ascii="宋体" w:hAnsi="宋体" w:cs="宋体"/>
          <w:kern w:val="0"/>
          <w:szCs w:val="21"/>
        </w:rPr>
        <w:t xml:space="preserve">  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 xml:space="preserve">（如有，请如实说明）                 </w:t>
      </w:r>
      <w:r>
        <w:rPr>
          <w:rFonts w:ascii="宋体" w:hAnsi="宋体" w:cs="宋体"/>
          <w:kern w:val="0"/>
          <w:szCs w:val="21"/>
        </w:rPr>
        <w:t>。</w:t>
      </w:r>
    </w:p>
    <w:p>
      <w:pPr>
        <w:pStyle w:val="31"/>
        <w:widowControl/>
        <w:snapToGrid w:val="0"/>
        <w:spacing w:line="460" w:lineRule="exact"/>
        <w:rPr>
          <w:rFonts w:hint="default" w:ascii="宋体" w:hAnsi="宋体" w:cs="宋体"/>
          <w:kern w:val="0"/>
          <w:szCs w:val="21"/>
        </w:rPr>
      </w:pPr>
      <w:r>
        <w:rPr>
          <w:rFonts w:ascii="宋体" w:hAnsi="宋体" w:cs="宋体"/>
          <w:spacing w:val="6"/>
          <w:szCs w:val="21"/>
        </w:rPr>
        <w:t xml:space="preserve">   二、</w:t>
      </w:r>
      <w:r>
        <w:rPr>
          <w:rFonts w:ascii="宋体" w:hAnsi="宋体" w:cs="宋体"/>
          <w:kern w:val="0"/>
          <w:szCs w:val="21"/>
        </w:rPr>
        <w:t>现已清楚知道参加本项目采购活动的其他所有供应商名称，本单位 □与其他所有供应商之间均不存在利害关系 □与</w:t>
      </w:r>
      <w:r>
        <w:rPr>
          <w:rFonts w:ascii="宋体" w:hAnsi="宋体" w:cs="宋体"/>
          <w:kern w:val="0"/>
          <w:szCs w:val="21"/>
          <w:u w:val="single"/>
        </w:rPr>
        <w:t xml:space="preserve">           （供应商名称）</w:t>
      </w:r>
      <w:r>
        <w:rPr>
          <w:rFonts w:ascii="宋体" w:hAnsi="宋体" w:cs="宋体"/>
          <w:kern w:val="0"/>
          <w:szCs w:val="21"/>
        </w:rPr>
        <w:t>之间存在下列利害关系</w:t>
      </w:r>
      <w:r>
        <w:rPr>
          <w:rFonts w:ascii="宋体" w:hAnsi="宋体" w:cs="宋体"/>
          <w:kern w:val="0"/>
          <w:szCs w:val="21"/>
          <w:u w:val="single"/>
        </w:rPr>
        <w:t xml:space="preserve">          </w:t>
      </w:r>
      <w:r>
        <w:rPr>
          <w:rFonts w:ascii="宋体" w:hAnsi="宋体" w:cs="宋体"/>
          <w:kern w:val="0"/>
          <w:szCs w:val="21"/>
        </w:rPr>
        <w:t>：</w:t>
      </w:r>
    </w:p>
    <w:p>
      <w:pPr>
        <w:pStyle w:val="30"/>
        <w:snapToGrid w:val="0"/>
        <w:spacing w:line="460" w:lineRule="exact"/>
        <w:rPr>
          <w:rFonts w:hint="default" w:hAnsi="宋体" w:cs="宋体"/>
          <w:kern w:val="0"/>
          <w:szCs w:val="21"/>
        </w:rPr>
      </w:pPr>
      <w:r>
        <w:rPr>
          <w:rFonts w:hAnsi="宋体" w:cs="宋体"/>
          <w:kern w:val="0"/>
          <w:szCs w:val="21"/>
        </w:rPr>
        <w:t xml:space="preserve">  A.法定代表人或负责人或实际控制人是同一人</w:t>
      </w:r>
    </w:p>
    <w:p>
      <w:pPr>
        <w:pStyle w:val="30"/>
        <w:snapToGrid w:val="0"/>
        <w:spacing w:line="460" w:lineRule="exact"/>
        <w:rPr>
          <w:rFonts w:hint="default" w:hAnsi="宋体" w:cs="宋体"/>
          <w:spacing w:val="6"/>
          <w:szCs w:val="21"/>
        </w:rPr>
      </w:pPr>
      <w:r>
        <w:rPr>
          <w:rFonts w:hAnsi="宋体" w:cs="宋体"/>
          <w:kern w:val="0"/>
          <w:szCs w:val="21"/>
        </w:rPr>
        <w:t xml:space="preserve">  B.法定代表人或负责人或实际控制人是夫妻关系</w:t>
      </w:r>
    </w:p>
    <w:p>
      <w:pPr>
        <w:pStyle w:val="30"/>
        <w:snapToGrid w:val="0"/>
        <w:spacing w:line="460" w:lineRule="exact"/>
        <w:rPr>
          <w:rFonts w:hint="default" w:hAnsi="宋体" w:cs="宋体"/>
          <w:spacing w:val="6"/>
          <w:szCs w:val="21"/>
        </w:rPr>
      </w:pPr>
      <w:r>
        <w:rPr>
          <w:rFonts w:hAnsi="宋体" w:cs="宋体"/>
          <w:kern w:val="0"/>
          <w:szCs w:val="21"/>
        </w:rPr>
        <w:t xml:space="preserve">  C.法定代表人或负责人或实际控制人是直系血亲关系</w:t>
      </w:r>
    </w:p>
    <w:p>
      <w:pPr>
        <w:pStyle w:val="30"/>
        <w:snapToGrid w:val="0"/>
        <w:spacing w:line="460" w:lineRule="exact"/>
        <w:rPr>
          <w:rFonts w:hint="default" w:hAnsi="宋体" w:cs="宋体"/>
          <w:spacing w:val="6"/>
          <w:szCs w:val="21"/>
        </w:rPr>
      </w:pPr>
      <w:r>
        <w:rPr>
          <w:rFonts w:hAnsi="宋体" w:cs="宋体"/>
          <w:kern w:val="0"/>
          <w:szCs w:val="21"/>
        </w:rPr>
        <w:t xml:space="preserve">  D.法定代表人或负责人或实际控制人存在三代以内旁系血亲关系</w:t>
      </w:r>
    </w:p>
    <w:p>
      <w:pPr>
        <w:pStyle w:val="30"/>
        <w:snapToGrid w:val="0"/>
        <w:spacing w:line="460" w:lineRule="exact"/>
        <w:rPr>
          <w:rFonts w:hint="default" w:hAnsi="宋体" w:cs="宋体"/>
          <w:kern w:val="0"/>
          <w:szCs w:val="21"/>
        </w:rPr>
      </w:pPr>
      <w:r>
        <w:rPr>
          <w:rFonts w:hAnsi="宋体" w:cs="宋体"/>
          <w:kern w:val="0"/>
          <w:szCs w:val="21"/>
        </w:rPr>
        <w:t xml:space="preserve">  E.法定代表人或负责人或实际控制人存在近姻亲关系</w:t>
      </w:r>
    </w:p>
    <w:p>
      <w:pPr>
        <w:pStyle w:val="30"/>
        <w:snapToGrid w:val="0"/>
        <w:spacing w:line="460" w:lineRule="exact"/>
        <w:rPr>
          <w:rFonts w:hint="default" w:hAnsi="宋体" w:cs="宋体"/>
          <w:kern w:val="0"/>
          <w:szCs w:val="21"/>
        </w:rPr>
      </w:pPr>
      <w:r>
        <w:rPr>
          <w:rFonts w:hAnsi="宋体" w:cs="宋体"/>
          <w:kern w:val="0"/>
          <w:szCs w:val="21"/>
        </w:rPr>
        <w:t xml:space="preserve">  F.法定代表人或负责人或实际控制人存在股份控制或实际控制关系</w:t>
      </w:r>
    </w:p>
    <w:p>
      <w:pPr>
        <w:pStyle w:val="30"/>
        <w:snapToGrid w:val="0"/>
        <w:spacing w:line="460" w:lineRule="exact"/>
        <w:rPr>
          <w:rFonts w:hint="default" w:hAnsi="宋体" w:cs="宋体"/>
          <w:kern w:val="0"/>
          <w:szCs w:val="21"/>
        </w:rPr>
      </w:pPr>
      <w:r>
        <w:rPr>
          <w:rFonts w:hAnsi="宋体" w:cs="宋体"/>
          <w:kern w:val="0"/>
          <w:szCs w:val="21"/>
        </w:rPr>
        <w:t xml:space="preserve">  </w:t>
      </w:r>
      <w:bookmarkStart w:id="95" w:name="_Toc15012"/>
      <w:bookmarkStart w:id="96" w:name="_Toc5689"/>
      <w:bookmarkStart w:id="97" w:name="_Toc12033"/>
      <w:bookmarkStart w:id="98" w:name="_Toc25645"/>
      <w:bookmarkStart w:id="99" w:name="_Toc9069"/>
      <w:r>
        <w:rPr>
          <w:rFonts w:hAnsi="宋体" w:cs="宋体"/>
          <w:kern w:val="0"/>
          <w:szCs w:val="21"/>
        </w:rPr>
        <w:t>G.存在共同直接或间接投资设立子公司、联营企业和合营企业情况</w:t>
      </w:r>
      <w:bookmarkEnd w:id="95"/>
      <w:bookmarkEnd w:id="96"/>
      <w:bookmarkEnd w:id="97"/>
      <w:bookmarkEnd w:id="98"/>
      <w:bookmarkEnd w:id="99"/>
    </w:p>
    <w:p>
      <w:pPr>
        <w:pStyle w:val="30"/>
        <w:snapToGrid w:val="0"/>
        <w:spacing w:line="460" w:lineRule="exact"/>
        <w:rPr>
          <w:rFonts w:hint="default" w:hAnsi="宋体" w:cs="宋体"/>
          <w:szCs w:val="21"/>
        </w:rPr>
      </w:pPr>
      <w:r>
        <w:rPr>
          <w:rFonts w:hAnsi="宋体" w:cs="宋体"/>
          <w:kern w:val="0"/>
          <w:szCs w:val="21"/>
        </w:rPr>
        <w:t xml:space="preserve">  H.存在分级代理或代销关系、同一生产制造商关系、</w:t>
      </w:r>
      <w:r>
        <w:rPr>
          <w:rFonts w:hAnsi="宋体" w:cs="宋体"/>
          <w:szCs w:val="21"/>
        </w:rPr>
        <w:t>管理关系、重要业务（占主营业务收入50%以上）或重要财务往来关系（如融资）等其他实质性控制关系</w:t>
      </w:r>
    </w:p>
    <w:p>
      <w:pPr>
        <w:pStyle w:val="30"/>
        <w:snapToGrid w:val="0"/>
        <w:spacing w:line="460" w:lineRule="exact"/>
        <w:rPr>
          <w:rFonts w:hint="default" w:hAnsi="宋体" w:cs="宋体"/>
          <w:spacing w:val="6"/>
          <w:szCs w:val="21"/>
        </w:rPr>
      </w:pPr>
      <w:r>
        <w:rPr>
          <w:rFonts w:hAnsi="宋体" w:cs="宋体"/>
          <w:szCs w:val="21"/>
        </w:rPr>
        <w:t xml:space="preserve">    I</w:t>
      </w:r>
      <w:r>
        <w:rPr>
          <w:rFonts w:hAnsi="宋体" w:cs="宋体"/>
          <w:kern w:val="0"/>
          <w:szCs w:val="21"/>
        </w:rPr>
        <w:t>.</w:t>
      </w:r>
      <w:r>
        <w:rPr>
          <w:rFonts w:hAnsi="宋体" w:cs="宋体"/>
          <w:szCs w:val="21"/>
        </w:rPr>
        <w:t>其他利害关系情况</w:t>
      </w:r>
      <w:r>
        <w:rPr>
          <w:rFonts w:hAnsi="宋体" w:cs="宋体"/>
          <w:szCs w:val="21"/>
          <w:u w:val="single"/>
        </w:rPr>
        <w:t xml:space="preserve">                              </w:t>
      </w:r>
      <w:r>
        <w:rPr>
          <w:rFonts w:hAnsi="宋体" w:cs="宋体"/>
          <w:kern w:val="0"/>
          <w:szCs w:val="21"/>
        </w:rPr>
        <w:t>。</w:t>
      </w:r>
    </w:p>
    <w:p>
      <w:pPr>
        <w:pStyle w:val="31"/>
        <w:widowControl/>
        <w:numPr>
          <w:ilvl w:val="0"/>
          <w:numId w:val="11"/>
        </w:numPr>
        <w:snapToGrid w:val="0"/>
        <w:spacing w:line="460" w:lineRule="exact"/>
        <w:ind w:firstLine="396" w:firstLineChars="189"/>
        <w:rPr>
          <w:rFonts w:hint="default" w:ascii="宋体" w:hAnsi="宋体" w:cs="宋体"/>
          <w:kern w:val="0"/>
          <w:szCs w:val="21"/>
        </w:rPr>
      </w:pPr>
      <w:bookmarkStart w:id="100" w:name="_Toc11145"/>
      <w:r>
        <w:rPr>
          <w:rFonts w:ascii="宋体" w:hAnsi="宋体" w:cs="宋体"/>
          <w:szCs w:val="21"/>
        </w:rPr>
        <w:t>现已清楚知道并</w:t>
      </w:r>
      <w:r>
        <w:rPr>
          <w:rFonts w:ascii="宋体" w:hAnsi="宋体" w:cs="宋体"/>
          <w:kern w:val="0"/>
          <w:szCs w:val="21"/>
        </w:rPr>
        <w:t>严格遵守政府采购法律法规和现场纪律。</w:t>
      </w:r>
      <w:bookmarkEnd w:id="100"/>
    </w:p>
    <w:p>
      <w:pPr>
        <w:pStyle w:val="31"/>
        <w:widowControl/>
        <w:numPr>
          <w:ilvl w:val="0"/>
          <w:numId w:val="11"/>
        </w:numPr>
        <w:snapToGrid w:val="0"/>
        <w:spacing w:line="460" w:lineRule="exact"/>
        <w:ind w:firstLine="396" w:firstLineChars="189"/>
        <w:rPr>
          <w:rFonts w:hint="default" w:ascii="宋体" w:hAnsi="宋体" w:cs="宋体"/>
          <w:kern w:val="0"/>
          <w:szCs w:val="21"/>
        </w:rPr>
      </w:pPr>
      <w:r>
        <w:rPr>
          <w:rFonts w:ascii="宋体" w:hAnsi="宋体" w:cs="宋体"/>
          <w:kern w:val="0"/>
          <w:szCs w:val="21"/>
        </w:rPr>
        <w:t>我发现</w:t>
      </w:r>
      <w:r>
        <w:rPr>
          <w:rFonts w:ascii="宋体" w:hAnsi="宋体" w:cs="宋体"/>
          <w:kern w:val="0"/>
          <w:szCs w:val="21"/>
          <w:u w:val="single"/>
        </w:rPr>
        <w:t xml:space="preserve">             </w:t>
      </w:r>
      <w:r>
        <w:rPr>
          <w:rFonts w:ascii="宋体" w:hAnsi="宋体" w:cs="宋体"/>
          <w:kern w:val="0"/>
          <w:szCs w:val="21"/>
        </w:rPr>
        <w:t>供应商之间存在或可能存在上述第二条第</w:t>
      </w:r>
      <w:r>
        <w:rPr>
          <w:rFonts w:ascii="宋体" w:hAnsi="宋体" w:cs="宋体"/>
          <w:kern w:val="0"/>
          <w:szCs w:val="21"/>
          <w:u w:val="single"/>
        </w:rPr>
        <w:t xml:space="preserve">        </w:t>
      </w:r>
      <w:r>
        <w:rPr>
          <w:rFonts w:ascii="宋体" w:hAnsi="宋体" w:cs="宋体"/>
          <w:kern w:val="0"/>
          <w:szCs w:val="21"/>
        </w:rPr>
        <w:t>项利害关系。</w:t>
      </w:r>
    </w:p>
    <w:p>
      <w:pPr>
        <w:pStyle w:val="30"/>
        <w:snapToGrid w:val="0"/>
        <w:spacing w:line="500" w:lineRule="exact"/>
        <w:ind w:firstLine="420" w:firstLineChars="200"/>
        <w:rPr>
          <w:rFonts w:hint="default" w:hAnsi="宋体" w:cs="宋体"/>
          <w:szCs w:val="21"/>
        </w:rPr>
      </w:pPr>
      <w:r>
        <w:rPr>
          <w:rFonts w:hAnsi="宋体" w:cs="宋体"/>
          <w:szCs w:val="21"/>
        </w:rPr>
        <w:t xml:space="preserve">                                          </w:t>
      </w:r>
    </w:p>
    <w:p>
      <w:pPr>
        <w:pStyle w:val="30"/>
        <w:wordWrap w:val="0"/>
        <w:snapToGrid w:val="0"/>
        <w:spacing w:line="500" w:lineRule="exact"/>
        <w:ind w:firstLine="420" w:firstLineChars="200"/>
        <w:jc w:val="right"/>
        <w:rPr>
          <w:rFonts w:hint="default" w:hAnsi="宋体" w:cs="宋体"/>
          <w:szCs w:val="21"/>
        </w:rPr>
      </w:pPr>
      <w:r>
        <w:rPr>
          <w:rFonts w:hAnsi="宋体" w:cs="宋体"/>
          <w:szCs w:val="21"/>
        </w:rPr>
        <w:t xml:space="preserve">  供应商代表签名：</w:t>
      </w:r>
    </w:p>
    <w:p>
      <w:pPr>
        <w:pStyle w:val="30"/>
        <w:snapToGrid w:val="0"/>
        <w:spacing w:line="500" w:lineRule="exact"/>
        <w:ind w:firstLine="4830" w:firstLineChars="2300"/>
        <w:jc w:val="right"/>
        <w:rPr>
          <w:rFonts w:hint="default" w:hAnsi="宋体" w:cs="宋体"/>
          <w:szCs w:val="21"/>
        </w:rPr>
      </w:pPr>
      <w:r>
        <w:rPr>
          <w:rFonts w:hAnsi="宋体" w:cs="宋体"/>
          <w:szCs w:val="21"/>
        </w:rPr>
        <w:t>2023年   月   日</w:t>
      </w:r>
    </w:p>
    <w:p>
      <w:pPr>
        <w:pStyle w:val="30"/>
        <w:snapToGrid w:val="0"/>
        <w:spacing w:line="500" w:lineRule="exact"/>
        <w:rPr>
          <w:rFonts w:hint="default" w:hAnsi="宋体" w:cs="宋体"/>
          <w:szCs w:val="21"/>
        </w:rPr>
        <w:sectPr>
          <w:headerReference r:id="rId5" w:type="default"/>
          <w:footerReference r:id="rId6" w:type="default"/>
          <w:pgSz w:w="11906" w:h="16838"/>
          <w:pgMar w:top="1588" w:right="1701" w:bottom="1418" w:left="1701" w:header="851" w:footer="737" w:gutter="0"/>
          <w:pgNumType w:start="1"/>
          <w:cols w:space="720" w:num="1"/>
          <w:docGrid w:linePitch="312" w:charSpace="0"/>
        </w:sectPr>
      </w:pPr>
      <w:r>
        <w:rPr>
          <w:rFonts w:hAnsi="宋体" w:cs="宋体"/>
          <w:b/>
          <w:bCs/>
          <w:szCs w:val="21"/>
          <w:u w:val="wave"/>
        </w:rPr>
        <w:t>注：响应文件解密结束后，各供应商组织签署《政府采购活动现场确认声明书》，并在15分钟内以扫描件方式发送至代理机构邮箱：</w:t>
      </w:r>
      <w:r>
        <w:fldChar w:fldCharType="begin"/>
      </w:r>
      <w:r>
        <w:instrText xml:space="preserve"> HYPERLINK "mailto:470273984@qq.com。" </w:instrText>
      </w:r>
      <w:r>
        <w:fldChar w:fldCharType="separate"/>
      </w:r>
      <w:r>
        <w:rPr>
          <w:rFonts w:hAnsi="宋体" w:cs="宋体"/>
          <w:b/>
          <w:bCs/>
          <w:szCs w:val="21"/>
        </w:rPr>
        <w:t>984865308@qq.com</w:t>
      </w:r>
      <w:r>
        <w:rPr>
          <w:rStyle w:val="25"/>
          <w:rFonts w:hint="default"/>
          <w:b/>
          <w:bCs/>
          <w:szCs w:val="21"/>
        </w:rPr>
        <w:t>。</w:t>
      </w:r>
      <w:r>
        <w:rPr>
          <w:rStyle w:val="25"/>
          <w:rFonts w:hint="default"/>
          <w:b/>
          <w:bCs/>
          <w:szCs w:val="21"/>
        </w:rPr>
        <w:fldChar w:fldCharType="end"/>
      </w:r>
    </w:p>
    <w:p>
      <w:pPr>
        <w:pageBreakBefore/>
        <w:tabs>
          <w:tab w:val="left" w:pos="840"/>
        </w:tabs>
        <w:spacing w:before="312" w:beforeLines="100" w:after="312" w:afterLines="100"/>
        <w:jc w:val="center"/>
        <w:rPr>
          <w:rFonts w:hint="default" w:hAnsi="宋体"/>
          <w:sz w:val="28"/>
          <w:szCs w:val="36"/>
        </w:rPr>
      </w:pPr>
      <w:bookmarkStart w:id="101" w:name="_Toc51335244"/>
      <w:bookmarkStart w:id="102" w:name="_Toc65250513"/>
      <w:bookmarkStart w:id="103" w:name="_Toc18365"/>
      <w:bookmarkStart w:id="104" w:name="_Toc10251"/>
      <w:r>
        <w:rPr>
          <w:rFonts w:hAnsi="宋体"/>
          <w:b/>
          <w:bCs/>
          <w:sz w:val="28"/>
          <w:szCs w:val="36"/>
        </w:rPr>
        <w:t>启用备份响应文件申请书</w:t>
      </w:r>
      <w:bookmarkEnd w:id="101"/>
      <w:bookmarkEnd w:id="102"/>
      <w:bookmarkEnd w:id="103"/>
      <w:bookmarkEnd w:id="104"/>
    </w:p>
    <w:p>
      <w:pPr>
        <w:spacing w:line="360" w:lineRule="auto"/>
        <w:rPr>
          <w:rFonts w:hint="default" w:ascii="宋体" w:hAnsi="宋体"/>
          <w:szCs w:val="21"/>
        </w:rPr>
      </w:pPr>
      <w:r>
        <w:rPr>
          <w:rFonts w:ascii="宋体" w:hAnsi="宋体"/>
          <w:szCs w:val="21"/>
        </w:rPr>
        <w:t>浙江综盛项目管理有限公司：</w:t>
      </w:r>
    </w:p>
    <w:p>
      <w:pPr>
        <w:spacing w:line="360" w:lineRule="auto"/>
        <w:rPr>
          <w:rFonts w:hint="default" w:ascii="宋体" w:hAnsi="宋体"/>
          <w:bCs/>
          <w:szCs w:val="21"/>
          <w:u w:val="single"/>
        </w:rPr>
      </w:pPr>
      <w:r>
        <w:rPr>
          <w:rFonts w:ascii="宋体" w:hAnsi="宋体"/>
          <w:bCs/>
          <w:szCs w:val="21"/>
          <w:u w:val="single"/>
        </w:rPr>
        <w:t xml:space="preserve">     （采购人名称）     </w:t>
      </w:r>
      <w:r>
        <w:rPr>
          <w:rFonts w:ascii="宋体" w:hAnsi="宋体"/>
          <w:szCs w:val="21"/>
        </w:rPr>
        <w:t>：</w:t>
      </w:r>
    </w:p>
    <w:p>
      <w:pPr>
        <w:spacing w:line="360" w:lineRule="auto"/>
        <w:ind w:firstLine="420"/>
        <w:rPr>
          <w:rFonts w:hint="default" w:ascii="宋体" w:hAnsi="宋体"/>
          <w:bCs/>
          <w:szCs w:val="21"/>
          <w:u w:val="single"/>
        </w:rPr>
      </w:pPr>
      <w:r>
        <w:rPr>
          <w:rFonts w:ascii="宋体" w:hAnsi="宋体"/>
          <w:bCs/>
          <w:szCs w:val="21"/>
        </w:rPr>
        <w:t>我公司参与</w:t>
      </w:r>
      <w:r>
        <w:rPr>
          <w:rFonts w:ascii="宋体" w:hAnsi="宋体"/>
          <w:bCs/>
          <w:szCs w:val="21"/>
          <w:u w:val="single"/>
        </w:rPr>
        <w:t xml:space="preserve">       </w:t>
      </w:r>
      <w:r>
        <w:rPr>
          <w:rFonts w:ascii="宋体" w:hAnsi="宋体"/>
          <w:szCs w:val="21"/>
          <w:u w:val="single"/>
        </w:rPr>
        <w:t xml:space="preserve">（项目名称）   </w:t>
      </w:r>
      <w:r>
        <w:rPr>
          <w:rFonts w:ascii="宋体" w:hAnsi="宋体"/>
          <w:bCs/>
          <w:szCs w:val="21"/>
          <w:u w:val="single"/>
        </w:rPr>
        <w:t xml:space="preserve">   </w:t>
      </w:r>
      <w:r>
        <w:rPr>
          <w:rFonts w:ascii="宋体" w:hAnsi="宋体"/>
          <w:bCs/>
          <w:szCs w:val="21"/>
        </w:rPr>
        <w:t>（项目编号：</w:t>
      </w:r>
      <w:r>
        <w:rPr>
          <w:rFonts w:hAnsi="宋体" w:cs="宋体"/>
          <w:spacing w:val="6"/>
          <w:szCs w:val="21"/>
          <w:u w:val="single"/>
        </w:rPr>
        <w:t xml:space="preserve">          </w:t>
      </w:r>
      <w:r>
        <w:rPr>
          <w:rFonts w:ascii="宋体" w:hAnsi="宋体"/>
          <w:bCs/>
          <w:szCs w:val="21"/>
        </w:rPr>
        <w:t xml:space="preserve"> ）投标，已按本项目磋商文件要求提供备份响应文件。我方电子加密响应文件解密失败，现申请贵方启用备份响应文件上传至政采云平台，备份响应文件解压缩密码</w:t>
      </w:r>
      <w:r>
        <w:rPr>
          <w:rFonts w:ascii="宋体" w:hAnsi="宋体"/>
          <w:bCs/>
          <w:szCs w:val="21"/>
          <w:u w:val="single"/>
        </w:rPr>
        <w:t xml:space="preserve">：                    </w:t>
      </w:r>
      <w:r>
        <w:rPr>
          <w:rFonts w:ascii="宋体" w:hAnsi="宋体"/>
          <w:bCs/>
          <w:szCs w:val="21"/>
        </w:rPr>
        <w:t>。</w:t>
      </w:r>
    </w:p>
    <w:p>
      <w:pPr>
        <w:spacing w:line="360" w:lineRule="auto"/>
        <w:ind w:firstLine="420"/>
        <w:rPr>
          <w:rFonts w:hint="default" w:ascii="宋体" w:hAnsi="宋体"/>
          <w:bCs/>
          <w:szCs w:val="21"/>
        </w:rPr>
      </w:pPr>
      <w:r>
        <w:rPr>
          <w:rFonts w:ascii="宋体" w:hAnsi="宋体"/>
          <w:bCs/>
          <w:szCs w:val="21"/>
        </w:rPr>
        <w:t>如备份响应文件上传失败，我方愿意承担一切风险和责任。</w:t>
      </w:r>
    </w:p>
    <w:p>
      <w:pPr>
        <w:spacing w:line="360" w:lineRule="auto"/>
        <w:ind w:firstLine="420"/>
        <w:rPr>
          <w:rFonts w:hint="default" w:ascii="宋体" w:hAnsi="宋体"/>
          <w:bCs/>
          <w:sz w:val="24"/>
        </w:rPr>
      </w:pPr>
    </w:p>
    <w:p>
      <w:pPr>
        <w:spacing w:line="360" w:lineRule="auto"/>
        <w:ind w:firstLine="420"/>
        <w:rPr>
          <w:rFonts w:hint="default" w:ascii="宋体" w:hAnsi="宋体"/>
          <w:bCs/>
          <w:sz w:val="24"/>
        </w:rPr>
      </w:pPr>
    </w:p>
    <w:p>
      <w:pPr>
        <w:spacing w:line="360" w:lineRule="auto"/>
        <w:rPr>
          <w:rFonts w:hint="default" w:ascii="宋体" w:hAnsi="宋体"/>
          <w:bCs/>
          <w:sz w:val="24"/>
        </w:rPr>
      </w:pPr>
    </w:p>
    <w:p>
      <w:pPr>
        <w:rPr>
          <w:rFonts w:hint="default" w:ascii="宋体" w:hAnsi="宋体"/>
          <w:bCs/>
          <w:sz w:val="24"/>
        </w:rPr>
      </w:pPr>
    </w:p>
    <w:p>
      <w:pPr>
        <w:rPr>
          <w:rFonts w:hint="default" w:ascii="宋体" w:hAnsi="宋体"/>
          <w:bCs/>
          <w:sz w:val="24"/>
        </w:rPr>
      </w:pPr>
    </w:p>
    <w:p>
      <w:pPr>
        <w:rPr>
          <w:rFonts w:hint="default" w:ascii="宋体" w:hAnsi="宋体"/>
          <w:bCs/>
          <w:sz w:val="24"/>
        </w:rPr>
      </w:pPr>
    </w:p>
    <w:p>
      <w:pPr>
        <w:rPr>
          <w:rFonts w:hint="default" w:ascii="宋体" w:hAnsi="宋体"/>
          <w:bCs/>
          <w:sz w:val="24"/>
        </w:rPr>
      </w:pPr>
    </w:p>
    <w:p>
      <w:pPr>
        <w:rPr>
          <w:rFonts w:hint="default" w:ascii="宋体" w:hAnsi="宋体"/>
          <w:bCs/>
          <w:sz w:val="24"/>
        </w:rPr>
      </w:pPr>
    </w:p>
    <w:p>
      <w:pPr>
        <w:spacing w:line="360" w:lineRule="auto"/>
        <w:ind w:firstLine="420"/>
        <w:rPr>
          <w:rFonts w:hint="default" w:ascii="宋体" w:hAnsi="宋体"/>
          <w:bCs/>
          <w:szCs w:val="21"/>
        </w:rPr>
      </w:pPr>
      <w:r>
        <w:rPr>
          <w:rFonts w:ascii="宋体" w:hAnsi="宋体"/>
          <w:bCs/>
          <w:sz w:val="24"/>
        </w:rPr>
        <w:t xml:space="preserve">                                        </w:t>
      </w:r>
      <w:r>
        <w:rPr>
          <w:rFonts w:ascii="宋体" w:hAnsi="宋体"/>
          <w:bCs/>
          <w:szCs w:val="21"/>
        </w:rPr>
        <w:t>磋商供应商全称（盖章）：</w:t>
      </w:r>
    </w:p>
    <w:p>
      <w:pPr>
        <w:spacing w:line="360" w:lineRule="auto"/>
        <w:ind w:firstLine="420"/>
        <w:rPr>
          <w:rFonts w:hint="default" w:ascii="宋体" w:hAnsi="宋体"/>
          <w:bCs/>
          <w:szCs w:val="21"/>
        </w:rPr>
      </w:pPr>
      <w:r>
        <w:rPr>
          <w:rFonts w:ascii="宋体" w:hAnsi="宋体"/>
          <w:bCs/>
          <w:szCs w:val="21"/>
        </w:rPr>
        <w:t xml:space="preserve">                                         </w:t>
      </w:r>
    </w:p>
    <w:p>
      <w:pPr>
        <w:spacing w:line="360" w:lineRule="auto"/>
        <w:ind w:firstLine="5250" w:firstLineChars="2500"/>
        <w:rPr>
          <w:rFonts w:hint="default" w:ascii="宋体" w:hAnsi="宋体"/>
          <w:bCs/>
          <w:szCs w:val="21"/>
        </w:rPr>
      </w:pPr>
      <w:r>
        <w:rPr>
          <w:rFonts w:ascii="宋体" w:hAnsi="宋体"/>
          <w:bCs/>
          <w:szCs w:val="21"/>
        </w:rPr>
        <w:t>日     期：</w:t>
      </w:r>
    </w:p>
    <w:p>
      <w:pPr>
        <w:pStyle w:val="2"/>
        <w:spacing w:line="360" w:lineRule="auto"/>
        <w:rPr>
          <w:rFonts w:hint="default" w:ascii="宋体" w:hAnsi="宋体" w:cs="宋体"/>
          <w:b/>
          <w:szCs w:val="21"/>
        </w:rPr>
      </w:pPr>
    </w:p>
    <w:p>
      <w:pPr>
        <w:pStyle w:val="2"/>
        <w:spacing w:line="360" w:lineRule="auto"/>
        <w:rPr>
          <w:rFonts w:hint="default" w:ascii="宋体" w:hAnsi="宋体" w:cs="宋体"/>
          <w:b/>
          <w:szCs w:val="21"/>
        </w:rPr>
      </w:pPr>
    </w:p>
    <w:p>
      <w:pPr>
        <w:pStyle w:val="2"/>
        <w:spacing w:line="360" w:lineRule="auto"/>
        <w:rPr>
          <w:rFonts w:hint="default"/>
        </w:rPr>
      </w:pPr>
    </w:p>
    <w:p>
      <w:pPr>
        <w:pStyle w:val="2"/>
        <w:rPr>
          <w:rFonts w:hint="default"/>
        </w:rPr>
      </w:pPr>
      <w:r>
        <w:br w:type="page"/>
      </w:r>
    </w:p>
    <w:p>
      <w:pPr>
        <w:pStyle w:val="4"/>
        <w:spacing w:before="156" w:beforeLines="50" w:after="156" w:afterLines="50" w:line="380" w:lineRule="exact"/>
        <w:jc w:val="center"/>
        <w:rPr>
          <w:rFonts w:hint="default" w:ascii="宋体" w:hAnsi="宋体" w:cs="宋体"/>
          <w:bCs w:val="0"/>
          <w:sz w:val="24"/>
          <w:szCs w:val="24"/>
        </w:rPr>
      </w:pPr>
      <w:bookmarkStart w:id="105" w:name="_Toc27111"/>
      <w:bookmarkStart w:id="106" w:name="_Toc8953"/>
      <w:bookmarkStart w:id="107" w:name="_Toc3625"/>
      <w:r>
        <w:rPr>
          <w:rFonts w:ascii="宋体" w:hAnsi="宋体" w:cs="宋体"/>
          <w:bCs w:val="0"/>
          <w:sz w:val="24"/>
          <w:szCs w:val="24"/>
        </w:rPr>
        <w:t>（二）总   则</w:t>
      </w:r>
      <w:bookmarkEnd w:id="105"/>
      <w:bookmarkEnd w:id="106"/>
      <w:bookmarkEnd w:id="107"/>
    </w:p>
    <w:p>
      <w:pPr>
        <w:numPr>
          <w:ilvl w:val="0"/>
          <w:numId w:val="12"/>
        </w:numPr>
        <w:snapToGrid w:val="0"/>
        <w:spacing w:line="360" w:lineRule="auto"/>
        <w:outlineLvl w:val="2"/>
        <w:rPr>
          <w:rFonts w:hint="default" w:ascii="宋体" w:hAnsi="宋体" w:cs="宋体"/>
          <w:b/>
          <w:szCs w:val="21"/>
        </w:rPr>
      </w:pPr>
      <w:bookmarkStart w:id="108" w:name="_Toc16281"/>
      <w:bookmarkStart w:id="109" w:name="_Toc22163"/>
      <w:bookmarkStart w:id="110" w:name="_Toc8639"/>
      <w:bookmarkStart w:id="111" w:name="_Toc16868"/>
      <w:bookmarkStart w:id="112" w:name="_Toc25604"/>
      <w:r>
        <w:rPr>
          <w:rFonts w:ascii="宋体" w:hAnsi="宋体" w:cs="宋体"/>
          <w:b/>
          <w:szCs w:val="21"/>
        </w:rPr>
        <w:t>说明</w:t>
      </w:r>
      <w:bookmarkEnd w:id="108"/>
      <w:bookmarkEnd w:id="109"/>
      <w:bookmarkEnd w:id="110"/>
      <w:bookmarkEnd w:id="111"/>
      <w:bookmarkEnd w:id="112"/>
    </w:p>
    <w:p>
      <w:pPr>
        <w:numPr>
          <w:ilvl w:val="1"/>
          <w:numId w:val="12"/>
        </w:numPr>
        <w:snapToGrid w:val="0"/>
        <w:spacing w:line="360" w:lineRule="auto"/>
        <w:rPr>
          <w:rFonts w:hint="default" w:ascii="宋体" w:hAnsi="宋体" w:cs="宋体"/>
        </w:rPr>
      </w:pPr>
      <w:r>
        <w:rPr>
          <w:rFonts w:ascii="宋体" w:hAnsi="宋体" w:cs="宋体"/>
        </w:rPr>
        <w:t>本次竞争性磋商工作是按照《中华人民共和国政府采购法》、</w:t>
      </w:r>
      <w:r>
        <w:rPr>
          <w:rFonts w:ascii="宋体" w:hAnsi="宋体" w:cs="宋体"/>
          <w:szCs w:val="21"/>
        </w:rPr>
        <w:t>《政府采购竞争性磋商采购方式管理暂行办法》、</w:t>
      </w:r>
      <w:r>
        <w:rPr>
          <w:rFonts w:ascii="宋体" w:hAnsi="宋体" w:cs="宋体"/>
        </w:rPr>
        <w:t>浙江省及项目所在地的有关政府采购规定，结合本项目的实际，组织和实施。</w:t>
      </w:r>
    </w:p>
    <w:p>
      <w:pPr>
        <w:numPr>
          <w:ilvl w:val="1"/>
          <w:numId w:val="12"/>
        </w:numPr>
        <w:snapToGrid w:val="0"/>
        <w:spacing w:line="360" w:lineRule="auto"/>
        <w:rPr>
          <w:rFonts w:hint="default" w:ascii="宋体" w:hAnsi="宋体" w:cs="宋体"/>
        </w:rPr>
      </w:pPr>
      <w:r>
        <w:rPr>
          <w:rFonts w:ascii="宋体" w:hAnsi="宋体" w:cs="宋体"/>
        </w:rPr>
        <w:t xml:space="preserve">资金来源：财政性资金。 </w:t>
      </w:r>
    </w:p>
    <w:p>
      <w:pPr>
        <w:numPr>
          <w:ilvl w:val="0"/>
          <w:numId w:val="12"/>
        </w:numPr>
        <w:snapToGrid w:val="0"/>
        <w:spacing w:line="360" w:lineRule="auto"/>
        <w:outlineLvl w:val="2"/>
        <w:rPr>
          <w:rFonts w:hint="default" w:ascii="宋体" w:hAnsi="宋体" w:cs="宋体"/>
          <w:b/>
          <w:szCs w:val="21"/>
        </w:rPr>
      </w:pPr>
      <w:bookmarkStart w:id="113" w:name="_Toc28195"/>
      <w:bookmarkStart w:id="114" w:name="_Toc26793"/>
      <w:bookmarkStart w:id="115" w:name="_Toc16420"/>
      <w:bookmarkStart w:id="116" w:name="_Toc14650"/>
      <w:bookmarkStart w:id="117" w:name="_Toc5553"/>
      <w:r>
        <w:rPr>
          <w:rFonts w:ascii="宋体" w:hAnsi="宋体" w:cs="宋体"/>
          <w:b/>
          <w:szCs w:val="21"/>
        </w:rPr>
        <w:t>定义及解释</w:t>
      </w:r>
      <w:bookmarkEnd w:id="113"/>
      <w:bookmarkEnd w:id="114"/>
      <w:bookmarkEnd w:id="115"/>
      <w:bookmarkEnd w:id="116"/>
      <w:bookmarkEnd w:id="117"/>
    </w:p>
    <w:p>
      <w:pPr>
        <w:numPr>
          <w:ilvl w:val="1"/>
          <w:numId w:val="12"/>
        </w:numPr>
        <w:snapToGrid w:val="0"/>
        <w:spacing w:line="360" w:lineRule="auto"/>
        <w:rPr>
          <w:rFonts w:hint="default" w:ascii="宋体" w:hAnsi="宋体" w:cs="宋体"/>
        </w:rPr>
      </w:pPr>
      <w:r>
        <w:rPr>
          <w:rFonts w:ascii="宋体" w:hAnsi="宋体" w:cs="宋体"/>
        </w:rPr>
        <w:t>采购人：</w:t>
      </w:r>
      <w:r>
        <w:rPr>
          <w:rFonts w:hint="eastAsia" w:ascii="宋体" w:hAnsi="宋体" w:cs="宋体"/>
          <w:szCs w:val="21"/>
          <w:lang w:eastAsia="zh-CN"/>
        </w:rPr>
        <w:t>瑞安市汀田街道办事处</w:t>
      </w:r>
      <w:r>
        <w:rPr>
          <w:rFonts w:ascii="宋体" w:hAnsi="宋体" w:cs="宋体"/>
        </w:rPr>
        <w:t>；</w:t>
      </w:r>
    </w:p>
    <w:p>
      <w:pPr>
        <w:numPr>
          <w:ilvl w:val="1"/>
          <w:numId w:val="12"/>
        </w:numPr>
        <w:snapToGrid w:val="0"/>
        <w:spacing w:line="360" w:lineRule="auto"/>
        <w:rPr>
          <w:rFonts w:hint="default" w:ascii="宋体" w:hAnsi="宋体" w:cs="宋体"/>
        </w:rPr>
      </w:pPr>
      <w:r>
        <w:rPr>
          <w:rFonts w:ascii="宋体" w:hAnsi="宋体" w:cs="宋体"/>
        </w:rPr>
        <w:t>采购代理机构：浙江综盛项目管理有限公司；</w:t>
      </w:r>
    </w:p>
    <w:p>
      <w:pPr>
        <w:numPr>
          <w:ilvl w:val="1"/>
          <w:numId w:val="12"/>
        </w:numPr>
        <w:snapToGrid w:val="0"/>
        <w:spacing w:line="360" w:lineRule="auto"/>
        <w:rPr>
          <w:rFonts w:hint="default" w:ascii="宋体" w:hAnsi="宋体" w:cs="宋体"/>
        </w:rPr>
      </w:pPr>
      <w:r>
        <w:rPr>
          <w:rFonts w:ascii="宋体" w:hAnsi="宋体" w:cs="宋体"/>
        </w:rPr>
        <w:t>磋商供应商：磋商供应商是响应采购、参加磋商竞争的依法成立的供应商；</w:t>
      </w:r>
    </w:p>
    <w:p>
      <w:pPr>
        <w:numPr>
          <w:ilvl w:val="1"/>
          <w:numId w:val="12"/>
        </w:numPr>
        <w:snapToGrid w:val="0"/>
        <w:spacing w:line="360" w:lineRule="auto"/>
        <w:rPr>
          <w:rFonts w:hint="default" w:ascii="宋体" w:hAnsi="宋体" w:cs="宋体"/>
        </w:rPr>
      </w:pPr>
      <w:r>
        <w:rPr>
          <w:rFonts w:ascii="宋体" w:hAnsi="宋体" w:cs="宋体"/>
        </w:rPr>
        <w:t>成交供应商：系指在本次竞争性磋商中成交的磋商供应商；</w:t>
      </w:r>
    </w:p>
    <w:p>
      <w:pPr>
        <w:numPr>
          <w:ilvl w:val="1"/>
          <w:numId w:val="12"/>
        </w:numPr>
        <w:snapToGrid w:val="0"/>
        <w:spacing w:line="360" w:lineRule="auto"/>
        <w:rPr>
          <w:rFonts w:hint="default" w:ascii="宋体" w:hAnsi="宋体" w:cs="宋体"/>
        </w:rPr>
      </w:pPr>
      <w:r>
        <w:rPr>
          <w:rFonts w:ascii="宋体" w:hAnsi="宋体" w:cs="宋体"/>
        </w:rPr>
        <w:t>磋商小组：磋商小组是依《政府采购法》、《政府采购竞争性磋商采购方式管理暂行办法》组建的专门负责采购评审工作的临时性机构；</w:t>
      </w:r>
    </w:p>
    <w:p>
      <w:pPr>
        <w:numPr>
          <w:ilvl w:val="1"/>
          <w:numId w:val="12"/>
        </w:numPr>
        <w:snapToGrid w:val="0"/>
        <w:spacing w:line="360" w:lineRule="auto"/>
        <w:rPr>
          <w:rFonts w:hint="default" w:ascii="宋体" w:hAnsi="宋体" w:cs="宋体"/>
        </w:rPr>
      </w:pPr>
      <w:r>
        <w:rPr>
          <w:rFonts w:ascii="宋体" w:hAnsi="宋体" w:cs="宋体"/>
        </w:rPr>
        <w:t>日期：指公历日；</w:t>
      </w:r>
    </w:p>
    <w:p>
      <w:pPr>
        <w:numPr>
          <w:ilvl w:val="1"/>
          <w:numId w:val="12"/>
        </w:numPr>
        <w:snapToGrid w:val="0"/>
        <w:spacing w:line="360" w:lineRule="auto"/>
        <w:rPr>
          <w:rFonts w:hint="default" w:ascii="宋体" w:hAnsi="宋体" w:cs="宋体"/>
        </w:rPr>
      </w:pPr>
      <w:r>
        <w:rPr>
          <w:rFonts w:ascii="宋体" w:hAnsi="宋体" w:cs="宋体"/>
        </w:rPr>
        <w:t>合同：指由采购所产生的合同或合约文件；</w:t>
      </w:r>
    </w:p>
    <w:p>
      <w:pPr>
        <w:numPr>
          <w:ilvl w:val="1"/>
          <w:numId w:val="12"/>
        </w:numPr>
        <w:snapToGrid w:val="0"/>
        <w:spacing w:line="360" w:lineRule="auto"/>
        <w:rPr>
          <w:rFonts w:hint="default" w:ascii="宋体" w:hAnsi="宋体" w:cs="宋体"/>
        </w:rPr>
      </w:pPr>
      <w:r>
        <w:rPr>
          <w:rFonts w:ascii="宋体" w:hAnsi="宋体" w:cs="宋体"/>
        </w:rPr>
        <w:t>“书面形式”是指任何手写的、打印的或印刷的文件，包括电报和传真发送。</w:t>
      </w:r>
    </w:p>
    <w:p>
      <w:pPr>
        <w:numPr>
          <w:ilvl w:val="0"/>
          <w:numId w:val="12"/>
        </w:numPr>
        <w:snapToGrid w:val="0"/>
        <w:spacing w:line="360" w:lineRule="auto"/>
        <w:outlineLvl w:val="2"/>
        <w:rPr>
          <w:rFonts w:hint="default" w:ascii="宋体" w:hAnsi="宋体" w:cs="宋体"/>
          <w:b/>
          <w:szCs w:val="21"/>
        </w:rPr>
      </w:pPr>
      <w:bookmarkStart w:id="118" w:name="_Toc31845"/>
      <w:bookmarkStart w:id="119" w:name="_Toc2708"/>
      <w:bookmarkStart w:id="120" w:name="_Toc23612"/>
      <w:bookmarkStart w:id="121" w:name="_Toc1199"/>
      <w:bookmarkStart w:id="122" w:name="_Toc30951"/>
      <w:r>
        <w:rPr>
          <w:rFonts w:ascii="宋体" w:hAnsi="宋体" w:cs="宋体"/>
          <w:b/>
          <w:szCs w:val="21"/>
        </w:rPr>
        <w:t>合格的磋商供应商</w:t>
      </w:r>
      <w:bookmarkEnd w:id="118"/>
      <w:bookmarkEnd w:id="119"/>
      <w:bookmarkEnd w:id="120"/>
      <w:bookmarkEnd w:id="121"/>
      <w:bookmarkEnd w:id="122"/>
    </w:p>
    <w:p>
      <w:pPr>
        <w:numPr>
          <w:ilvl w:val="1"/>
          <w:numId w:val="12"/>
        </w:numPr>
        <w:snapToGrid w:val="0"/>
        <w:spacing w:line="360" w:lineRule="auto"/>
        <w:rPr>
          <w:rFonts w:hint="default" w:ascii="宋体" w:hAnsi="宋体" w:cs="宋体"/>
          <w:bCs/>
          <w:snapToGrid w:val="0"/>
        </w:rPr>
      </w:pPr>
      <w:r>
        <w:rPr>
          <w:rFonts w:ascii="宋体" w:hAnsi="宋体" w:cs="宋体"/>
          <w:szCs w:val="21"/>
        </w:rPr>
        <w:t>满足《中华人民共和国政府采购法》第二十二条规定；未被“信用中国”、“中国政府采购网”列入失信被执行人、重大违法案件当事人名单、政府采购严重违法失信行为记录名单；</w:t>
      </w:r>
    </w:p>
    <w:p>
      <w:pPr>
        <w:numPr>
          <w:ilvl w:val="1"/>
          <w:numId w:val="12"/>
        </w:numPr>
        <w:snapToGrid w:val="0"/>
        <w:spacing w:line="360" w:lineRule="auto"/>
        <w:rPr>
          <w:rFonts w:hint="default" w:ascii="宋体" w:hAnsi="宋体" w:cs="宋体"/>
          <w:bCs/>
          <w:snapToGrid w:val="0"/>
        </w:rPr>
      </w:pPr>
      <w:r>
        <w:rPr>
          <w:rFonts w:ascii="宋体" w:hAnsi="宋体" w:cs="宋体"/>
          <w:bCs/>
          <w:snapToGrid w:val="0"/>
        </w:rPr>
        <w:t>落实政府采购政策需满足的资格要求：本项目整体专门面向中小企业采购（残疾人福利性单位和监狱企业视同小微企业）。</w:t>
      </w:r>
    </w:p>
    <w:p>
      <w:pPr>
        <w:numPr>
          <w:ilvl w:val="1"/>
          <w:numId w:val="12"/>
        </w:numPr>
        <w:snapToGrid w:val="0"/>
        <w:spacing w:line="360" w:lineRule="auto"/>
        <w:rPr>
          <w:rFonts w:hint="default" w:ascii="宋体" w:hAnsi="宋体" w:cs="宋体"/>
          <w:bCs/>
          <w:snapToGrid w:val="0"/>
        </w:rPr>
      </w:pPr>
      <w:r>
        <w:rPr>
          <w:rFonts w:ascii="宋体" w:hAnsi="宋体" w:cs="宋体"/>
          <w:bCs/>
          <w:snapToGrid w:val="0"/>
        </w:rPr>
        <w:t>本项目的特定资格要求：</w:t>
      </w:r>
      <w:r>
        <w:rPr>
          <w:rFonts w:hint="eastAsia" w:ascii="宋体" w:hAnsi="宋体" w:cs="宋体"/>
          <w:szCs w:val="21"/>
          <w:lang w:eastAsia="zh-CN"/>
        </w:rPr>
        <w:t>无</w:t>
      </w:r>
      <w:r>
        <w:rPr>
          <w:rFonts w:ascii="宋体" w:hAnsi="宋体" w:cs="宋体"/>
          <w:szCs w:val="21"/>
        </w:rPr>
        <w:t>。</w:t>
      </w:r>
    </w:p>
    <w:p>
      <w:pPr>
        <w:numPr>
          <w:ilvl w:val="0"/>
          <w:numId w:val="12"/>
        </w:numPr>
        <w:spacing w:line="360" w:lineRule="auto"/>
        <w:outlineLvl w:val="2"/>
        <w:rPr>
          <w:rFonts w:hint="default" w:ascii="宋体" w:hAnsi="宋体" w:cs="宋体"/>
          <w:b/>
          <w:szCs w:val="21"/>
        </w:rPr>
      </w:pPr>
      <w:bookmarkStart w:id="123" w:name="_Toc7345"/>
      <w:bookmarkStart w:id="124" w:name="_Toc25036"/>
      <w:bookmarkStart w:id="125" w:name="_Toc19754"/>
      <w:bookmarkStart w:id="126" w:name="_Toc10738"/>
      <w:bookmarkStart w:id="127" w:name="_Toc16246"/>
      <w:r>
        <w:rPr>
          <w:rFonts w:ascii="宋体" w:hAnsi="宋体" w:cs="宋体"/>
          <w:b/>
          <w:szCs w:val="21"/>
        </w:rPr>
        <w:t>中小企业认定</w:t>
      </w:r>
      <w:bookmarkEnd w:id="123"/>
      <w:bookmarkEnd w:id="124"/>
      <w:bookmarkEnd w:id="125"/>
      <w:bookmarkEnd w:id="126"/>
      <w:bookmarkEnd w:id="127"/>
    </w:p>
    <w:p>
      <w:pPr>
        <w:numPr>
          <w:ilvl w:val="1"/>
          <w:numId w:val="12"/>
        </w:numPr>
        <w:snapToGrid w:val="0"/>
        <w:spacing w:line="360" w:lineRule="auto"/>
        <w:rPr>
          <w:rFonts w:hint="default" w:ascii="宋体" w:hAnsi="宋体" w:cs="宋体"/>
          <w:szCs w:val="22"/>
        </w:rPr>
      </w:pPr>
      <w:r>
        <w:rPr>
          <w:rFonts w:ascii="宋体" w:hAnsi="宋体" w:cs="宋体"/>
          <w:szCs w:val="21"/>
        </w:rPr>
        <w:t>供应</w:t>
      </w:r>
      <w:r>
        <w:rPr>
          <w:rFonts w:ascii="宋体" w:hAnsi="宋体" w:cs="宋体"/>
          <w:szCs w:val="22"/>
        </w:rPr>
        <w:t>商提供的货物、工程或者服务符合下列情形的，享受《政府采购促进中小企业发展管理办法》规定的中小企业扶持政策：</w:t>
      </w:r>
    </w:p>
    <w:p>
      <w:pPr>
        <w:snapToGrid w:val="0"/>
        <w:spacing w:line="360" w:lineRule="auto"/>
        <w:ind w:left="840" w:leftChars="400"/>
        <w:rPr>
          <w:rFonts w:hint="default" w:ascii="宋体" w:hAnsi="宋体" w:cs="宋体"/>
          <w:szCs w:val="22"/>
        </w:rPr>
      </w:pPr>
      <w:r>
        <w:rPr>
          <w:rFonts w:ascii="宋体" w:hAnsi="宋体" w:cs="宋体"/>
          <w:szCs w:val="22"/>
        </w:rPr>
        <w:t>（一）在货物采购项目中，货物由中小企业制造，即货物由中小企业生产且使用该中小企业商号或者注册商标；</w:t>
      </w:r>
    </w:p>
    <w:p>
      <w:pPr>
        <w:snapToGrid w:val="0"/>
        <w:spacing w:line="360" w:lineRule="auto"/>
        <w:ind w:firstLine="840" w:firstLineChars="400"/>
        <w:rPr>
          <w:rFonts w:hint="default" w:ascii="宋体" w:hAnsi="宋体" w:cs="宋体"/>
          <w:szCs w:val="22"/>
        </w:rPr>
      </w:pPr>
      <w:r>
        <w:rPr>
          <w:rFonts w:ascii="宋体" w:hAnsi="宋体" w:cs="宋体"/>
          <w:szCs w:val="22"/>
        </w:rPr>
        <w:t>（二）在工程采购项目中，工程由中小企业承建，即工程施工单位为中小企业；</w:t>
      </w:r>
    </w:p>
    <w:p>
      <w:pPr>
        <w:snapToGrid w:val="0"/>
        <w:spacing w:line="360" w:lineRule="auto"/>
        <w:ind w:left="840" w:leftChars="400"/>
        <w:rPr>
          <w:rFonts w:hint="default" w:ascii="宋体" w:hAnsi="宋体" w:cs="宋体"/>
          <w:szCs w:val="22"/>
        </w:rPr>
      </w:pPr>
      <w:r>
        <w:rPr>
          <w:rFonts w:ascii="宋体" w:hAnsi="宋体" w:cs="宋体"/>
          <w:szCs w:val="22"/>
        </w:rPr>
        <w:t>（三）在服务采购项目中，服务由中小企业承接，即提供服务的人员为中小企业依照《中华人民共和国劳动合同法》订立劳动合同的从业人员。</w:t>
      </w:r>
    </w:p>
    <w:p>
      <w:pPr>
        <w:numPr>
          <w:ilvl w:val="1"/>
          <w:numId w:val="12"/>
        </w:numPr>
        <w:snapToGrid w:val="0"/>
        <w:spacing w:line="360" w:lineRule="auto"/>
        <w:rPr>
          <w:rFonts w:hint="default" w:ascii="宋体" w:hAnsi="宋体" w:cs="宋体"/>
          <w:szCs w:val="22"/>
        </w:rPr>
      </w:pPr>
      <w:r>
        <w:rPr>
          <w:rFonts w:ascii="宋体" w:hAnsi="宋体" w:cs="宋体"/>
          <w:szCs w:val="22"/>
        </w:rPr>
        <w:t>在货物采购项目中，供应商提供的货物既有中小企业制造货物，也有大型企业制造货物的，不享受中小企业扶持政策。</w:t>
      </w:r>
    </w:p>
    <w:p>
      <w:pPr>
        <w:numPr>
          <w:ilvl w:val="1"/>
          <w:numId w:val="12"/>
        </w:numPr>
        <w:snapToGrid w:val="0"/>
        <w:spacing w:line="360" w:lineRule="auto"/>
        <w:rPr>
          <w:rFonts w:hint="default" w:ascii="宋体" w:hAnsi="宋体" w:cs="宋体"/>
        </w:rPr>
      </w:pPr>
      <w:r>
        <w:rPr>
          <w:rFonts w:ascii="宋体" w:hAnsi="宋体" w:cs="宋体"/>
          <w:szCs w:val="22"/>
        </w:rPr>
        <w:t>以联合体形式参加政府采购活动，联合体各方均为中小企业的，联合体视同中小企业。其中，联合体各方均为小微企业的，联合体视同小微企业。</w:t>
      </w:r>
    </w:p>
    <w:p>
      <w:pPr>
        <w:numPr>
          <w:ilvl w:val="0"/>
          <w:numId w:val="12"/>
        </w:numPr>
        <w:spacing w:line="360" w:lineRule="auto"/>
        <w:outlineLvl w:val="2"/>
        <w:rPr>
          <w:rFonts w:hint="default" w:ascii="宋体" w:hAnsi="宋体" w:cs="宋体"/>
          <w:b/>
          <w:szCs w:val="21"/>
        </w:rPr>
      </w:pPr>
      <w:bookmarkStart w:id="128" w:name="_Toc26016"/>
      <w:bookmarkStart w:id="129" w:name="_Toc25358"/>
      <w:bookmarkStart w:id="130" w:name="_Toc10183"/>
      <w:bookmarkStart w:id="131" w:name="_Toc5305"/>
      <w:bookmarkStart w:id="132" w:name="_Toc10573"/>
      <w:r>
        <w:rPr>
          <w:rFonts w:ascii="宋体" w:hAnsi="宋体" w:cs="宋体"/>
          <w:b/>
          <w:szCs w:val="21"/>
        </w:rPr>
        <w:t>信用记录</w:t>
      </w:r>
      <w:bookmarkEnd w:id="128"/>
      <w:bookmarkEnd w:id="129"/>
      <w:bookmarkEnd w:id="130"/>
      <w:bookmarkEnd w:id="131"/>
      <w:bookmarkEnd w:id="132"/>
    </w:p>
    <w:p>
      <w:pPr>
        <w:snapToGrid w:val="0"/>
        <w:spacing w:line="360" w:lineRule="auto"/>
        <w:ind w:left="-840" w:leftChars="-400" w:firstLine="840" w:firstLineChars="400"/>
        <w:rPr>
          <w:rFonts w:hint="default" w:ascii="宋体" w:hAnsi="宋体" w:cs="宋体"/>
          <w:szCs w:val="21"/>
        </w:rPr>
      </w:pPr>
      <w:r>
        <w:rPr>
          <w:rFonts w:ascii="宋体" w:hAnsi="宋体" w:cs="宋体"/>
          <w:szCs w:val="21"/>
        </w:rPr>
        <w:t>5.1     信用信息查询的截止时点：投标截止时间前。</w:t>
      </w:r>
    </w:p>
    <w:p>
      <w:pPr>
        <w:snapToGrid w:val="0"/>
        <w:spacing w:line="360" w:lineRule="auto"/>
        <w:ind w:left="840" w:hanging="840" w:hangingChars="400"/>
        <w:rPr>
          <w:rFonts w:hint="default" w:ascii="宋体" w:hAnsi="宋体" w:cs="宋体"/>
          <w:szCs w:val="21"/>
        </w:rPr>
      </w:pPr>
      <w:r>
        <w:rPr>
          <w:rFonts w:ascii="宋体" w:hAnsi="宋体" w:cs="宋体"/>
          <w:szCs w:val="21"/>
        </w:rPr>
        <w:t>5.2     查询渠道与留存方式：</w:t>
      </w:r>
      <w:r>
        <w:rPr>
          <w:rFonts w:ascii="宋体" w:hAnsi="宋体" w:cs="宋体"/>
        </w:rPr>
        <w:t>招标采购单位登录“信用中国”（www.creditchina.gov.cn）、“中国政府采购网”（www.ccgp.gov.cn）、浙江政府采购网（http://zfcg.czt.zj.gov.cn//）、国家企业信用信息公示系统（www.gsxt.gov.cn）网站查询各磋商供应商信用记录，网页截图并打印存档。</w:t>
      </w:r>
    </w:p>
    <w:p>
      <w:pPr>
        <w:snapToGrid w:val="0"/>
        <w:spacing w:line="360" w:lineRule="auto"/>
        <w:ind w:left="840" w:hanging="840" w:hangingChars="400"/>
        <w:rPr>
          <w:rFonts w:hint="default" w:ascii="宋体" w:hAnsi="宋体" w:cs="宋体"/>
          <w:szCs w:val="21"/>
        </w:rPr>
      </w:pPr>
      <w:r>
        <w:rPr>
          <w:rFonts w:ascii="宋体" w:hAnsi="宋体" w:cs="宋体"/>
          <w:szCs w:val="21"/>
        </w:rPr>
        <w:t>5.3     不良信用记录指：被列入失信被执行人、重大税收违法案件当事人名单、政府采购严重违法失 信行为记录名单及其他</w:t>
      </w:r>
      <w:r>
        <w:rPr>
          <w:rFonts w:ascii="宋体" w:hAnsi="宋体" w:cs="宋体"/>
        </w:rPr>
        <w:t>不符合《中华人民共和国政府采购法》第二十二条规定条件。存在不良信用记录的投标人，将被拒绝参与政府采购活动。</w:t>
      </w:r>
    </w:p>
    <w:p>
      <w:pPr>
        <w:snapToGrid w:val="0"/>
        <w:spacing w:line="360" w:lineRule="auto"/>
        <w:ind w:left="840" w:hanging="840" w:hangingChars="400"/>
        <w:rPr>
          <w:rFonts w:hint="default" w:ascii="宋体" w:hAnsi="宋体" w:cs="宋体"/>
          <w:szCs w:val="21"/>
        </w:rPr>
      </w:pPr>
      <w:r>
        <w:rPr>
          <w:rFonts w:ascii="宋体" w:hAnsi="宋体" w:cs="宋体"/>
          <w:szCs w:val="21"/>
        </w:rPr>
        <w:t>5.4     联合体投标时，招标采购单位将对所有联合体成员进行信用记录查询，联合体成员存在不良信用记录的，视同联合体存在不良信用记录。</w:t>
      </w:r>
    </w:p>
    <w:p>
      <w:pPr>
        <w:numPr>
          <w:ilvl w:val="0"/>
          <w:numId w:val="12"/>
        </w:numPr>
        <w:spacing w:line="360" w:lineRule="auto"/>
        <w:outlineLvl w:val="2"/>
        <w:rPr>
          <w:rFonts w:hint="default" w:ascii="宋体" w:hAnsi="宋体" w:cs="宋体"/>
          <w:b/>
          <w:szCs w:val="21"/>
        </w:rPr>
      </w:pPr>
      <w:bookmarkStart w:id="133" w:name="_Toc31472"/>
      <w:bookmarkStart w:id="134" w:name="_Toc32164"/>
      <w:bookmarkStart w:id="135" w:name="_Toc2995"/>
      <w:bookmarkStart w:id="136" w:name="_Toc6917"/>
      <w:bookmarkStart w:id="137" w:name="_Toc23433"/>
      <w:r>
        <w:rPr>
          <w:rFonts w:ascii="宋体" w:hAnsi="宋体" w:cs="宋体"/>
          <w:b/>
          <w:szCs w:val="21"/>
        </w:rPr>
        <w:t>保密与披露事项</w:t>
      </w:r>
      <w:bookmarkEnd w:id="133"/>
      <w:bookmarkEnd w:id="134"/>
      <w:bookmarkEnd w:id="135"/>
      <w:bookmarkEnd w:id="136"/>
      <w:bookmarkEnd w:id="137"/>
    </w:p>
    <w:p>
      <w:pPr>
        <w:numPr>
          <w:ilvl w:val="1"/>
          <w:numId w:val="12"/>
        </w:numPr>
        <w:spacing w:line="360" w:lineRule="auto"/>
        <w:rPr>
          <w:rFonts w:hint="default" w:ascii="宋体" w:hAnsi="宋体" w:cs="宋体"/>
        </w:rPr>
      </w:pPr>
      <w:r>
        <w:rPr>
          <w:rFonts w:ascii="宋体" w:hAnsi="宋体" w:cs="宋体"/>
        </w:rPr>
        <w:t>磋商供应商不得串通，以不正当的手段妨碍排挤其他磋商供应商，扰乱市场，破坏公平竞争原则。</w:t>
      </w:r>
    </w:p>
    <w:p>
      <w:pPr>
        <w:numPr>
          <w:ilvl w:val="1"/>
          <w:numId w:val="12"/>
        </w:numPr>
        <w:spacing w:line="360" w:lineRule="auto"/>
        <w:rPr>
          <w:rFonts w:hint="default" w:ascii="宋体" w:hAnsi="宋体" w:cs="宋体"/>
        </w:rPr>
      </w:pPr>
      <w:r>
        <w:rPr>
          <w:rFonts w:ascii="宋体" w:hAnsi="宋体" w:cs="宋体"/>
        </w:rPr>
        <w:t>磋商供应商自购买磋商文件之日起，须承诺承担本竞争性磋商项目下保密义务，不得将因本次竞争性磋商获得的信息向第三方外传。</w:t>
      </w:r>
    </w:p>
    <w:p>
      <w:pPr>
        <w:numPr>
          <w:ilvl w:val="1"/>
          <w:numId w:val="12"/>
        </w:numPr>
        <w:spacing w:line="360" w:lineRule="auto"/>
        <w:rPr>
          <w:rFonts w:hint="default" w:ascii="宋体" w:hAnsi="宋体" w:cs="宋体"/>
        </w:rPr>
      </w:pPr>
      <w:r>
        <w:rPr>
          <w:rFonts w:ascii="宋体" w:hAnsi="宋体" w:cs="宋体"/>
        </w:rPr>
        <w:t>采购机构有权将磋商供应商提供的所有资料向其他政府部门或有关的非政府机构负责评审标书的人员或与评标有关的人员披露。</w:t>
      </w:r>
    </w:p>
    <w:p>
      <w:pPr>
        <w:numPr>
          <w:ilvl w:val="1"/>
          <w:numId w:val="12"/>
        </w:numPr>
        <w:spacing w:line="360" w:lineRule="auto"/>
        <w:rPr>
          <w:rFonts w:hint="default" w:ascii="宋体" w:hAnsi="宋体" w:cs="宋体"/>
          <w:sz w:val="24"/>
        </w:rPr>
      </w:pPr>
      <w:r>
        <w:rPr>
          <w:rFonts w:ascii="宋体" w:hAnsi="宋体" w:cs="宋体"/>
        </w:rPr>
        <w:t>采购机构有权在认为适当时，或在任何第三者提出要求（书面或其他方式）时，无须事先征求成交供应商同意而披露关于已订立合约的资料、成交供应商的名称及地址、成交服务的有关信息以及合约条款等。</w:t>
      </w:r>
    </w:p>
    <w:p>
      <w:pPr>
        <w:numPr>
          <w:ilvl w:val="0"/>
          <w:numId w:val="12"/>
        </w:numPr>
        <w:spacing w:line="360" w:lineRule="auto"/>
        <w:outlineLvl w:val="2"/>
        <w:rPr>
          <w:rFonts w:hint="default" w:ascii="宋体" w:hAnsi="宋体" w:cs="宋体"/>
          <w:b/>
          <w:szCs w:val="21"/>
        </w:rPr>
      </w:pPr>
      <w:bookmarkStart w:id="138" w:name="_Toc31609"/>
      <w:bookmarkStart w:id="139" w:name="_Toc28670"/>
      <w:bookmarkStart w:id="140" w:name="_Toc13647"/>
      <w:bookmarkStart w:id="141" w:name="_Toc10250"/>
      <w:bookmarkStart w:id="142" w:name="_Toc14977"/>
      <w:r>
        <w:rPr>
          <w:rFonts w:ascii="宋体" w:hAnsi="宋体" w:cs="宋体"/>
          <w:b/>
          <w:szCs w:val="21"/>
        </w:rPr>
        <w:t>磋商费用</w:t>
      </w:r>
      <w:bookmarkEnd w:id="138"/>
      <w:bookmarkEnd w:id="139"/>
      <w:bookmarkEnd w:id="140"/>
      <w:bookmarkEnd w:id="141"/>
      <w:bookmarkEnd w:id="142"/>
    </w:p>
    <w:p>
      <w:pPr>
        <w:numPr>
          <w:ilvl w:val="1"/>
          <w:numId w:val="12"/>
        </w:numPr>
        <w:spacing w:line="360" w:lineRule="auto"/>
        <w:rPr>
          <w:rFonts w:hint="default" w:ascii="宋体" w:hAnsi="宋体" w:cs="宋体"/>
        </w:rPr>
      </w:pPr>
      <w:r>
        <w:rPr>
          <w:rFonts w:ascii="宋体" w:hAnsi="宋体" w:cs="宋体"/>
        </w:rPr>
        <w:t>磋商供应商应承担所有与编写和提交磋商响应文件有关的费用，不论磋商的结果如何，采购代理机构和采购人在任何情况下均无义务和责任承担这些费用。</w:t>
      </w:r>
    </w:p>
    <w:p>
      <w:pPr>
        <w:numPr>
          <w:ilvl w:val="0"/>
          <w:numId w:val="12"/>
        </w:numPr>
        <w:spacing w:line="360" w:lineRule="auto"/>
        <w:rPr>
          <w:rFonts w:hint="default" w:ascii="宋体" w:hAnsi="宋体" w:cs="宋体"/>
        </w:rPr>
      </w:pPr>
      <w:r>
        <w:rPr>
          <w:rFonts w:ascii="宋体" w:hAnsi="宋体" w:cs="宋体"/>
          <w:b/>
          <w:szCs w:val="21"/>
        </w:rPr>
        <w:t>现场踏勘：</w:t>
      </w:r>
      <w:r>
        <w:rPr>
          <w:rFonts w:ascii="宋体" w:hAnsi="宋体" w:cs="宋体"/>
        </w:rPr>
        <w:t>自行前往</w:t>
      </w:r>
    </w:p>
    <w:p>
      <w:pPr>
        <w:numPr>
          <w:ilvl w:val="0"/>
          <w:numId w:val="12"/>
        </w:numPr>
        <w:spacing w:line="360" w:lineRule="auto"/>
        <w:rPr>
          <w:rFonts w:hint="default" w:ascii="宋体" w:hAnsi="宋体" w:cs="宋体"/>
          <w:b/>
          <w:szCs w:val="21"/>
        </w:rPr>
      </w:pPr>
      <w:r>
        <w:rPr>
          <w:rFonts w:ascii="宋体" w:hAnsi="宋体" w:cs="宋体"/>
          <w:b/>
          <w:szCs w:val="21"/>
        </w:rPr>
        <w:t>磋商委托</w:t>
      </w:r>
    </w:p>
    <w:p>
      <w:pPr>
        <w:numPr>
          <w:ilvl w:val="1"/>
          <w:numId w:val="12"/>
        </w:numPr>
        <w:spacing w:line="360" w:lineRule="auto"/>
        <w:rPr>
          <w:rFonts w:hint="default" w:ascii="宋体" w:hAnsi="宋体"/>
        </w:rPr>
      </w:pPr>
      <w:r>
        <w:rPr>
          <w:rFonts w:ascii="宋体" w:hAnsi="宋体" w:cs="宋体"/>
        </w:rPr>
        <w:t>如磋商供应商代表不是法定代表人，须持有《法定代表人授权委托书》。</w:t>
      </w:r>
    </w:p>
    <w:p>
      <w:pPr>
        <w:spacing w:line="360" w:lineRule="auto"/>
        <w:ind w:firstLine="843" w:firstLineChars="400"/>
        <w:rPr>
          <w:rFonts w:hint="default" w:ascii="宋体" w:hAnsi="宋体"/>
        </w:rPr>
      </w:pPr>
      <w:r>
        <w:rPr>
          <w:rFonts w:ascii="宋体" w:hAnsi="宋体"/>
          <w:b/>
        </w:rPr>
        <w:t>授权委托书需具备以下几项条件：</w:t>
      </w:r>
    </w:p>
    <w:p>
      <w:pPr>
        <w:spacing w:line="360" w:lineRule="auto"/>
        <w:ind w:left="840" w:leftChars="400"/>
        <w:rPr>
          <w:rFonts w:hint="default"/>
        </w:rPr>
      </w:pPr>
      <w:r>
        <w:rPr>
          <w:rFonts w:ascii="宋体" w:hAnsi="宋体"/>
        </w:rPr>
        <w:t>a.采用加盖公章；b.法定代表人签字或盖章；c.授权代表身份证件。</w:t>
      </w:r>
      <w:bookmarkStart w:id="143" w:name="_Toc18422"/>
      <w:bookmarkStart w:id="144" w:name="_Toc27346"/>
      <w:bookmarkStart w:id="145" w:name="_Toc32491"/>
      <w:bookmarkStart w:id="146" w:name="_Toc18144"/>
      <w:bookmarkStart w:id="147" w:name="_Toc5481"/>
    </w:p>
    <w:p>
      <w:pPr>
        <w:pStyle w:val="4"/>
        <w:spacing w:before="156" w:beforeLines="50" w:after="156" w:afterLines="50" w:line="360" w:lineRule="auto"/>
        <w:jc w:val="center"/>
        <w:rPr>
          <w:rFonts w:hint="default" w:ascii="宋体" w:hAnsi="宋体" w:cs="宋体"/>
          <w:bCs w:val="0"/>
          <w:sz w:val="24"/>
          <w:szCs w:val="24"/>
        </w:rPr>
      </w:pPr>
      <w:bookmarkStart w:id="148" w:name="_Toc18413"/>
      <w:bookmarkStart w:id="149" w:name="_Toc3161"/>
      <w:bookmarkStart w:id="150" w:name="_Toc19623"/>
      <w:r>
        <w:rPr>
          <w:rFonts w:ascii="宋体" w:hAnsi="宋体" w:cs="宋体"/>
          <w:bCs w:val="0"/>
          <w:sz w:val="24"/>
          <w:szCs w:val="24"/>
        </w:rPr>
        <w:t>（三）磋商文件说明</w:t>
      </w:r>
      <w:bookmarkEnd w:id="143"/>
      <w:bookmarkEnd w:id="144"/>
      <w:bookmarkEnd w:id="145"/>
      <w:bookmarkEnd w:id="146"/>
      <w:bookmarkEnd w:id="147"/>
      <w:bookmarkEnd w:id="148"/>
      <w:bookmarkEnd w:id="149"/>
      <w:bookmarkEnd w:id="150"/>
    </w:p>
    <w:p>
      <w:pPr>
        <w:numPr>
          <w:ilvl w:val="0"/>
          <w:numId w:val="12"/>
        </w:numPr>
        <w:snapToGrid w:val="0"/>
        <w:spacing w:line="360" w:lineRule="auto"/>
        <w:outlineLvl w:val="2"/>
        <w:rPr>
          <w:rFonts w:hint="default" w:ascii="宋体" w:hAnsi="宋体" w:cs="宋体"/>
          <w:b/>
          <w:szCs w:val="21"/>
        </w:rPr>
      </w:pPr>
      <w:bookmarkStart w:id="151" w:name="_Toc10529"/>
      <w:bookmarkStart w:id="152" w:name="_Toc27997"/>
      <w:bookmarkStart w:id="153" w:name="_Toc18351"/>
      <w:bookmarkStart w:id="154" w:name="_Toc29208"/>
      <w:bookmarkStart w:id="155" w:name="_Toc15998"/>
      <w:r>
        <w:rPr>
          <w:rFonts w:ascii="宋体" w:hAnsi="宋体" w:cs="宋体"/>
          <w:b/>
          <w:szCs w:val="21"/>
        </w:rPr>
        <w:t>磋商文件构成</w:t>
      </w:r>
      <w:bookmarkEnd w:id="151"/>
      <w:bookmarkEnd w:id="152"/>
      <w:bookmarkEnd w:id="153"/>
      <w:bookmarkEnd w:id="154"/>
      <w:bookmarkEnd w:id="155"/>
    </w:p>
    <w:p>
      <w:pPr>
        <w:numPr>
          <w:ilvl w:val="1"/>
          <w:numId w:val="12"/>
        </w:numPr>
        <w:snapToGrid w:val="0"/>
        <w:spacing w:line="360" w:lineRule="auto"/>
        <w:rPr>
          <w:rFonts w:hint="default" w:ascii="宋体" w:hAnsi="宋体" w:cs="宋体"/>
          <w:szCs w:val="21"/>
        </w:rPr>
      </w:pPr>
      <w:r>
        <w:rPr>
          <w:rFonts w:ascii="宋体" w:hAnsi="宋体" w:cs="宋体"/>
          <w:szCs w:val="21"/>
        </w:rPr>
        <w:t>磋商文件是用以阐明所需服务，以及竞争性磋商、磋商程序和相应的合同条款。</w:t>
      </w:r>
    </w:p>
    <w:p>
      <w:pPr>
        <w:snapToGrid w:val="0"/>
        <w:spacing w:line="360" w:lineRule="auto"/>
        <w:ind w:firstLine="840" w:firstLineChars="400"/>
        <w:rPr>
          <w:rFonts w:hint="default" w:ascii="宋体" w:hAnsi="宋体" w:cs="宋体"/>
          <w:szCs w:val="21"/>
        </w:rPr>
      </w:pPr>
      <w:r>
        <w:rPr>
          <w:rFonts w:ascii="宋体" w:hAnsi="宋体" w:cs="宋体"/>
          <w:szCs w:val="21"/>
        </w:rPr>
        <w:t>“磋商文件”由下述部分组成：</w:t>
      </w:r>
    </w:p>
    <w:p>
      <w:pPr>
        <w:snapToGrid w:val="0"/>
        <w:spacing w:line="360" w:lineRule="auto"/>
        <w:ind w:left="840" w:leftChars="400"/>
        <w:rPr>
          <w:rFonts w:hint="default" w:ascii="宋体" w:hAnsi="宋体" w:cs="宋体"/>
          <w:szCs w:val="21"/>
        </w:rPr>
      </w:pPr>
      <w:r>
        <w:rPr>
          <w:rFonts w:ascii="宋体" w:hAnsi="宋体" w:cs="宋体"/>
          <w:szCs w:val="21"/>
        </w:rPr>
        <w:t>第一部分  竞争性磋商公告</w:t>
      </w:r>
    </w:p>
    <w:p>
      <w:pPr>
        <w:snapToGrid w:val="0"/>
        <w:spacing w:line="360" w:lineRule="auto"/>
        <w:ind w:left="840" w:leftChars="400"/>
        <w:rPr>
          <w:rFonts w:hint="default" w:ascii="宋体" w:hAnsi="宋体" w:cs="宋体"/>
          <w:szCs w:val="21"/>
        </w:rPr>
      </w:pPr>
      <w:r>
        <w:rPr>
          <w:rFonts w:ascii="宋体" w:hAnsi="宋体" w:cs="宋体"/>
          <w:szCs w:val="21"/>
        </w:rPr>
        <w:t>第二部分  磋商供应商须知</w:t>
      </w:r>
    </w:p>
    <w:p>
      <w:pPr>
        <w:snapToGrid w:val="0"/>
        <w:spacing w:line="360" w:lineRule="auto"/>
        <w:ind w:left="840" w:leftChars="400"/>
        <w:rPr>
          <w:rFonts w:hint="default" w:ascii="宋体" w:hAnsi="宋体" w:cs="宋体"/>
          <w:szCs w:val="21"/>
        </w:rPr>
      </w:pPr>
      <w:r>
        <w:rPr>
          <w:rFonts w:ascii="宋体" w:hAnsi="宋体" w:cs="宋体"/>
          <w:szCs w:val="21"/>
        </w:rPr>
        <w:t>第三部分  竞争性磋商服务内容及要求</w:t>
      </w:r>
    </w:p>
    <w:p>
      <w:pPr>
        <w:snapToGrid w:val="0"/>
        <w:spacing w:line="360" w:lineRule="auto"/>
        <w:ind w:left="840" w:leftChars="400"/>
        <w:rPr>
          <w:rFonts w:hint="default" w:ascii="宋体" w:hAnsi="宋体" w:cs="宋体"/>
          <w:szCs w:val="21"/>
        </w:rPr>
      </w:pPr>
      <w:r>
        <w:rPr>
          <w:rFonts w:ascii="宋体" w:hAnsi="宋体" w:cs="宋体"/>
          <w:szCs w:val="21"/>
        </w:rPr>
        <w:t>第四部分  合同条款</w:t>
      </w:r>
    </w:p>
    <w:p>
      <w:pPr>
        <w:snapToGrid w:val="0"/>
        <w:spacing w:line="360" w:lineRule="auto"/>
        <w:ind w:left="840" w:leftChars="400"/>
        <w:rPr>
          <w:rFonts w:hint="default" w:ascii="宋体" w:hAnsi="宋体" w:cs="宋体"/>
          <w:szCs w:val="21"/>
        </w:rPr>
      </w:pPr>
      <w:r>
        <w:rPr>
          <w:rFonts w:ascii="宋体" w:hAnsi="宋体" w:cs="宋体"/>
          <w:szCs w:val="21"/>
        </w:rPr>
        <w:t>第五部分  磋商响应文件格式</w:t>
      </w:r>
    </w:p>
    <w:p>
      <w:pPr>
        <w:snapToGrid w:val="0"/>
        <w:spacing w:line="360" w:lineRule="auto"/>
        <w:ind w:left="840" w:leftChars="400"/>
        <w:rPr>
          <w:rFonts w:hint="default" w:ascii="宋体" w:hAnsi="宋体" w:cs="宋体"/>
          <w:szCs w:val="21"/>
        </w:rPr>
      </w:pPr>
      <w:r>
        <w:rPr>
          <w:rFonts w:ascii="宋体" w:hAnsi="宋体" w:cs="宋体"/>
          <w:szCs w:val="21"/>
        </w:rPr>
        <w:t>第六部分  评定办法</w:t>
      </w:r>
    </w:p>
    <w:p>
      <w:pPr>
        <w:pStyle w:val="2"/>
        <w:ind w:firstLine="420" w:firstLineChars="200"/>
        <w:rPr>
          <w:rFonts w:hint="default"/>
        </w:rPr>
      </w:pPr>
      <w:r>
        <w:t>第七部分  信贷政策</w:t>
      </w:r>
    </w:p>
    <w:p>
      <w:pPr>
        <w:snapToGrid w:val="0"/>
        <w:spacing w:line="360" w:lineRule="auto"/>
        <w:ind w:left="840" w:leftChars="400"/>
        <w:rPr>
          <w:rFonts w:hint="default" w:ascii="宋体" w:hAnsi="宋体" w:cs="宋体"/>
          <w:szCs w:val="21"/>
        </w:rPr>
      </w:pPr>
      <w:r>
        <w:rPr>
          <w:rFonts w:ascii="宋体" w:hAnsi="宋体" w:cs="宋体"/>
          <w:szCs w:val="21"/>
        </w:rPr>
        <w:t>第八部分  补充通知及答疑（若有）</w:t>
      </w:r>
    </w:p>
    <w:p>
      <w:pPr>
        <w:numPr>
          <w:ilvl w:val="1"/>
          <w:numId w:val="12"/>
        </w:numPr>
        <w:snapToGrid w:val="0"/>
        <w:spacing w:line="360" w:lineRule="auto"/>
        <w:rPr>
          <w:rFonts w:hint="default" w:ascii="宋体" w:hAnsi="宋体" w:cs="宋体"/>
          <w:szCs w:val="21"/>
        </w:rPr>
      </w:pPr>
      <w:r>
        <w:rPr>
          <w:rFonts w:ascii="宋体" w:hAnsi="宋体" w:cs="宋体"/>
          <w:szCs w:val="21"/>
        </w:rPr>
        <w:t>本磋商文件要求磋商供应商作出实质性响应的有关技术和商务条款，将在该条款前以“▲” 醒目标识。</w:t>
      </w:r>
    </w:p>
    <w:p>
      <w:pPr>
        <w:numPr>
          <w:ilvl w:val="0"/>
          <w:numId w:val="12"/>
        </w:numPr>
        <w:snapToGrid w:val="0"/>
        <w:spacing w:line="360" w:lineRule="auto"/>
        <w:outlineLvl w:val="2"/>
        <w:rPr>
          <w:rFonts w:hint="default" w:ascii="宋体" w:hAnsi="宋体" w:cs="宋体"/>
          <w:b/>
          <w:szCs w:val="21"/>
        </w:rPr>
      </w:pPr>
      <w:bookmarkStart w:id="156" w:name="_Toc10868"/>
      <w:bookmarkStart w:id="157" w:name="_Toc24860"/>
      <w:bookmarkStart w:id="158" w:name="_Toc25802"/>
      <w:bookmarkStart w:id="159" w:name="_Toc4543"/>
      <w:bookmarkStart w:id="160" w:name="_Toc26776"/>
      <w:r>
        <w:rPr>
          <w:rFonts w:ascii="宋体" w:hAnsi="宋体" w:cs="宋体"/>
          <w:b/>
          <w:szCs w:val="21"/>
        </w:rPr>
        <w:t>磋商文件的澄清</w:t>
      </w:r>
      <w:bookmarkEnd w:id="156"/>
      <w:bookmarkEnd w:id="157"/>
      <w:bookmarkEnd w:id="158"/>
      <w:bookmarkEnd w:id="159"/>
      <w:bookmarkEnd w:id="160"/>
    </w:p>
    <w:p>
      <w:pPr>
        <w:numPr>
          <w:ilvl w:val="1"/>
          <w:numId w:val="12"/>
        </w:numPr>
        <w:snapToGrid w:val="0"/>
        <w:spacing w:line="360" w:lineRule="auto"/>
        <w:rPr>
          <w:rFonts w:hint="default" w:ascii="宋体" w:hAnsi="宋体" w:cs="宋体"/>
        </w:rPr>
      </w:pPr>
      <w:r>
        <w:rPr>
          <w:rFonts w:ascii="宋体" w:hAnsi="宋体" w:cs="宋体"/>
        </w:rPr>
        <w:t>任何要求对磋商文件进行澄清的磋商供应商，均应在答疑截止期规定时间以前以书面形式寄送给采购代理机构或发送至代理机构邮箱。</w:t>
      </w:r>
    </w:p>
    <w:p>
      <w:pPr>
        <w:numPr>
          <w:ilvl w:val="1"/>
          <w:numId w:val="12"/>
        </w:numPr>
        <w:snapToGrid w:val="0"/>
        <w:spacing w:line="360" w:lineRule="auto"/>
        <w:rPr>
          <w:rFonts w:hint="default" w:ascii="宋体" w:hAnsi="宋体" w:cs="宋体"/>
        </w:rPr>
      </w:pPr>
      <w:r>
        <w:rPr>
          <w:rFonts w:ascii="宋体" w:hAnsi="宋体" w:cs="宋体"/>
        </w:rPr>
        <w:t>采购代理机构对已发出的磋商文件进行必要澄清或者修改的，将提交首次响应文件截止时间5日前在“温州市公共资源交易网—瑞安市分网”和“浙江省政府采购网”上发布更正公告。答复中包括原提出的问题，但不包括问题的来源。供应商登陆温州市公共资源交易网—瑞安市分网站会员系统从“下载答疑文件处”自行下载，该澄清和修改的内容作为磋商文件的组成部分。</w:t>
      </w:r>
    </w:p>
    <w:p>
      <w:pPr>
        <w:tabs>
          <w:tab w:val="left" w:pos="840"/>
        </w:tabs>
        <w:spacing w:before="156" w:beforeLines="50" w:after="156" w:afterLines="50" w:line="380" w:lineRule="exact"/>
        <w:jc w:val="center"/>
        <w:outlineLvl w:val="9"/>
        <w:rPr>
          <w:rFonts w:hint="default" w:ascii="宋体" w:hAnsi="宋体" w:cs="宋体"/>
          <w:sz w:val="24"/>
          <w:szCs w:val="24"/>
        </w:rPr>
      </w:pPr>
      <w:bookmarkStart w:id="161" w:name="_Toc14604"/>
      <w:bookmarkStart w:id="162" w:name="_Toc1802"/>
    </w:p>
    <w:p>
      <w:pPr>
        <w:rPr>
          <w:rFonts w:hint="default" w:ascii="宋体" w:hAnsi="宋体" w:cs="宋体"/>
          <w:sz w:val="24"/>
        </w:rPr>
      </w:pPr>
    </w:p>
    <w:p>
      <w:pPr>
        <w:pStyle w:val="2"/>
        <w:rPr>
          <w:rFonts w:hint="default" w:ascii="宋体" w:hAnsi="宋体" w:cs="宋体"/>
          <w:sz w:val="24"/>
        </w:rPr>
      </w:pPr>
    </w:p>
    <w:p>
      <w:pPr>
        <w:rPr>
          <w:rFonts w:hint="default" w:ascii="宋体" w:hAnsi="宋体" w:cs="宋体"/>
          <w:sz w:val="24"/>
        </w:rPr>
      </w:pPr>
    </w:p>
    <w:p>
      <w:pPr>
        <w:rPr>
          <w:rFonts w:hint="default"/>
        </w:rPr>
      </w:pPr>
    </w:p>
    <w:p>
      <w:pPr>
        <w:rPr>
          <w:rFonts w:hint="default"/>
        </w:rPr>
      </w:pPr>
    </w:p>
    <w:p>
      <w:pPr>
        <w:rPr>
          <w:rFonts w:hint="default"/>
        </w:rPr>
      </w:pPr>
      <w:bookmarkStart w:id="163" w:name="_Toc14731"/>
      <w:bookmarkStart w:id="164" w:name="_Toc4679"/>
      <w:bookmarkStart w:id="165" w:name="_Toc18770"/>
      <w:bookmarkStart w:id="166" w:name="_Toc30260"/>
      <w:bookmarkStart w:id="167" w:name="_Toc28125"/>
    </w:p>
    <w:p>
      <w:pPr>
        <w:rPr>
          <w:rFonts w:hint="default"/>
        </w:rPr>
      </w:pPr>
    </w:p>
    <w:p>
      <w:pPr>
        <w:rPr>
          <w:rFonts w:hint="default"/>
        </w:rPr>
      </w:pPr>
    </w:p>
    <w:p>
      <w:pPr>
        <w:rPr>
          <w:rFonts w:hint="default"/>
        </w:rPr>
      </w:pPr>
    </w:p>
    <w:p>
      <w:pPr>
        <w:rPr>
          <w:rFonts w:hint="default"/>
        </w:rPr>
      </w:pPr>
    </w:p>
    <w:p>
      <w:pPr>
        <w:pStyle w:val="4"/>
        <w:spacing w:before="156" w:beforeLines="50" w:after="156" w:afterLines="50" w:line="360" w:lineRule="auto"/>
        <w:jc w:val="center"/>
        <w:rPr>
          <w:rFonts w:hint="default" w:ascii="宋体" w:hAnsi="宋体" w:cs="宋体"/>
          <w:bCs w:val="0"/>
          <w:sz w:val="24"/>
          <w:szCs w:val="24"/>
        </w:rPr>
      </w:pPr>
      <w:bookmarkStart w:id="168" w:name="_Toc6789"/>
      <w:r>
        <w:rPr>
          <w:rFonts w:ascii="宋体" w:hAnsi="宋体" w:cs="宋体"/>
          <w:bCs w:val="0"/>
          <w:sz w:val="24"/>
          <w:szCs w:val="24"/>
        </w:rPr>
        <w:t>（四）磋商响应文件的编制</w:t>
      </w:r>
      <w:bookmarkEnd w:id="161"/>
      <w:bookmarkEnd w:id="162"/>
      <w:bookmarkEnd w:id="163"/>
      <w:bookmarkEnd w:id="164"/>
      <w:bookmarkEnd w:id="165"/>
      <w:bookmarkEnd w:id="166"/>
      <w:bookmarkEnd w:id="167"/>
      <w:bookmarkEnd w:id="168"/>
    </w:p>
    <w:p>
      <w:pPr>
        <w:numPr>
          <w:ilvl w:val="0"/>
          <w:numId w:val="12"/>
        </w:numPr>
        <w:snapToGrid w:val="0"/>
        <w:spacing w:line="360" w:lineRule="auto"/>
        <w:outlineLvl w:val="2"/>
        <w:rPr>
          <w:rFonts w:hint="default" w:ascii="宋体" w:hAnsi="宋体" w:cs="宋体"/>
          <w:b/>
          <w:bCs/>
          <w:szCs w:val="21"/>
        </w:rPr>
      </w:pPr>
      <w:bookmarkStart w:id="169" w:name="_Toc19220"/>
      <w:bookmarkStart w:id="170" w:name="_Toc7832"/>
      <w:bookmarkStart w:id="171" w:name="_Toc32516"/>
      <w:bookmarkStart w:id="172" w:name="_Toc20721"/>
      <w:bookmarkStart w:id="173" w:name="_Toc9937"/>
      <w:r>
        <w:rPr>
          <w:rFonts w:ascii="宋体" w:hAnsi="宋体" w:cs="宋体"/>
          <w:b/>
          <w:bCs/>
          <w:szCs w:val="21"/>
        </w:rPr>
        <w:t>磋商响应文件的说明</w:t>
      </w:r>
      <w:bookmarkEnd w:id="169"/>
      <w:bookmarkEnd w:id="170"/>
      <w:bookmarkEnd w:id="171"/>
      <w:bookmarkEnd w:id="172"/>
      <w:bookmarkEnd w:id="173"/>
    </w:p>
    <w:p>
      <w:pPr>
        <w:numPr>
          <w:ilvl w:val="1"/>
          <w:numId w:val="12"/>
        </w:numPr>
        <w:snapToGrid w:val="0"/>
        <w:spacing w:line="360" w:lineRule="auto"/>
        <w:rPr>
          <w:rFonts w:hint="default" w:ascii="宋体" w:hAnsi="宋体" w:cs="宋体"/>
        </w:rPr>
      </w:pPr>
      <w:r>
        <w:rPr>
          <w:rFonts w:ascii="宋体" w:hAnsi="宋体" w:cs="宋体"/>
        </w:rPr>
        <w:t>磋商响应文件应字迹清楚、内容齐全、不得涂改。如有修改，修改处须有法定代表人或其同一授权代表盖章（或签字）。</w:t>
      </w:r>
    </w:p>
    <w:p>
      <w:pPr>
        <w:numPr>
          <w:ilvl w:val="1"/>
          <w:numId w:val="12"/>
        </w:numPr>
        <w:snapToGrid w:val="0"/>
        <w:spacing w:line="360" w:lineRule="auto"/>
        <w:rPr>
          <w:rFonts w:hint="default" w:ascii="宋体" w:hAnsi="宋体" w:cs="宋体"/>
        </w:rPr>
      </w:pPr>
      <w:r>
        <w:rPr>
          <w:rFonts w:ascii="宋体" w:hAnsi="宋体" w:cs="宋体"/>
        </w:rPr>
        <w:t>供应商必须按磋商文件的要求提供相关技术参数、资料，包括采用的计量单位，并保证磋商响应文件的正确性和真实性，否则磋商小组将作出不利于其投标的评定。技术和商务如有偏离均应填写偏离表。不按磋商文件的要求提供的磋商响应文件可能导致无效。</w:t>
      </w:r>
    </w:p>
    <w:p>
      <w:pPr>
        <w:numPr>
          <w:ilvl w:val="0"/>
          <w:numId w:val="12"/>
        </w:numPr>
        <w:snapToGrid w:val="0"/>
        <w:spacing w:line="360" w:lineRule="auto"/>
        <w:outlineLvl w:val="2"/>
        <w:rPr>
          <w:rFonts w:hint="default" w:ascii="宋体" w:hAnsi="宋体" w:cs="宋体"/>
          <w:b/>
          <w:bCs/>
          <w:sz w:val="24"/>
        </w:rPr>
      </w:pPr>
      <w:bookmarkStart w:id="174" w:name="_Toc13536"/>
      <w:bookmarkStart w:id="175" w:name="_Toc5698"/>
      <w:bookmarkStart w:id="176" w:name="_Toc10383"/>
      <w:bookmarkStart w:id="177" w:name="_Toc1885"/>
      <w:bookmarkStart w:id="178" w:name="_Toc12351"/>
      <w:r>
        <w:rPr>
          <w:rFonts w:ascii="宋体" w:hAnsi="宋体" w:cs="宋体"/>
          <w:b/>
          <w:bCs/>
          <w:szCs w:val="21"/>
        </w:rPr>
        <w:t>磋商响应文件的组成</w:t>
      </w:r>
      <w:bookmarkEnd w:id="174"/>
      <w:bookmarkEnd w:id="175"/>
      <w:bookmarkEnd w:id="176"/>
      <w:bookmarkEnd w:id="177"/>
      <w:bookmarkEnd w:id="178"/>
    </w:p>
    <w:p>
      <w:pPr>
        <w:numPr>
          <w:ilvl w:val="1"/>
          <w:numId w:val="12"/>
        </w:numPr>
        <w:snapToGrid w:val="0"/>
        <w:spacing w:line="360" w:lineRule="auto"/>
        <w:rPr>
          <w:rFonts w:hint="default" w:ascii="宋体" w:hAnsi="宋体" w:cs="宋体"/>
          <w:sz w:val="24"/>
        </w:rPr>
      </w:pPr>
      <w:r>
        <w:rPr>
          <w:rFonts w:ascii="宋体" w:hAnsi="宋体" w:cs="宋体"/>
        </w:rPr>
        <w:t>磋商供应商编写的磋商响应文件应包括下列部分：</w:t>
      </w:r>
    </w:p>
    <w:p>
      <w:pPr>
        <w:pStyle w:val="29"/>
        <w:spacing w:line="360" w:lineRule="auto"/>
        <w:rPr>
          <w:rFonts w:hint="default" w:hAnsi="宋体" w:cs="宋体"/>
          <w:b/>
          <w:bCs/>
        </w:rPr>
      </w:pPr>
      <w:r>
        <w:rPr>
          <w:rFonts w:hAnsi="宋体" w:cs="宋体"/>
          <w:b/>
          <w:bCs/>
        </w:rPr>
        <w:t>一、资格响应部分</w:t>
      </w:r>
    </w:p>
    <w:p>
      <w:pPr>
        <w:numPr>
          <w:ilvl w:val="0"/>
          <w:numId w:val="13"/>
        </w:numPr>
        <w:tabs>
          <w:tab w:val="left" w:pos="1060"/>
        </w:tabs>
        <w:snapToGrid w:val="0"/>
        <w:spacing w:line="360" w:lineRule="auto"/>
        <w:ind w:left="1045" w:hanging="625"/>
        <w:rPr>
          <w:rFonts w:hint="default" w:ascii="宋体" w:hAnsi="宋体" w:cs="宋体"/>
          <w:szCs w:val="21"/>
        </w:rPr>
      </w:pPr>
      <w:r>
        <w:rPr>
          <w:rFonts w:ascii="宋体" w:hAnsi="宋体" w:cs="宋体"/>
          <w:szCs w:val="21"/>
        </w:rPr>
        <w:t>关于资格、资质证明文件的声明函。                   （见第五部分附件一）</w:t>
      </w:r>
    </w:p>
    <w:p>
      <w:pPr>
        <w:pStyle w:val="9"/>
        <w:numPr>
          <w:ilvl w:val="0"/>
          <w:numId w:val="14"/>
        </w:numPr>
        <w:ind w:left="1058" w:leftChars="401" w:hanging="216" w:hangingChars="103"/>
        <w:rPr>
          <w:rFonts w:hint="default" w:ascii="宋体" w:hAnsi="宋体" w:eastAsia="宋体" w:cs="宋体"/>
          <w:kern w:val="0"/>
          <w:sz w:val="21"/>
        </w:rPr>
      </w:pPr>
      <w:r>
        <w:rPr>
          <w:rFonts w:ascii="宋体" w:hAnsi="宋体" w:eastAsia="宋体" w:cs="宋体"/>
          <w:kern w:val="0"/>
          <w:sz w:val="21"/>
        </w:rPr>
        <w:t>出具符合以下情况的证明材料扫描件（五选一）</w:t>
      </w:r>
    </w:p>
    <w:p>
      <w:pPr>
        <w:pStyle w:val="9"/>
        <w:ind w:left="1256" w:leftChars="498" w:hanging="210" w:hangingChars="100"/>
        <w:rPr>
          <w:rFonts w:hint="default" w:ascii="宋体" w:hAnsi="宋体" w:eastAsia="宋体" w:cs="宋体"/>
          <w:kern w:val="0"/>
          <w:sz w:val="21"/>
        </w:rPr>
      </w:pPr>
      <w:r>
        <w:rPr>
          <w:rFonts w:ascii="宋体" w:hAnsi="宋体" w:eastAsia="宋体" w:cs="宋体"/>
          <w:kern w:val="0"/>
          <w:sz w:val="21"/>
        </w:rPr>
        <w:t>① 如磋商供应商是企业（包括合伙企业），提供在工商部门注册的有效“企业法人营业执照”或“营业执照”；</w:t>
      </w:r>
    </w:p>
    <w:p>
      <w:pPr>
        <w:pStyle w:val="9"/>
        <w:ind w:left="626" w:leftChars="298" w:firstLine="420" w:firstLineChars="200"/>
        <w:rPr>
          <w:rFonts w:hint="default" w:ascii="宋体" w:hAnsi="宋体" w:eastAsia="宋体" w:cs="宋体"/>
          <w:kern w:val="0"/>
          <w:sz w:val="21"/>
        </w:rPr>
      </w:pPr>
      <w:r>
        <w:rPr>
          <w:rFonts w:ascii="宋体" w:hAnsi="宋体" w:eastAsia="宋体" w:cs="宋体"/>
          <w:kern w:val="0"/>
          <w:sz w:val="21"/>
        </w:rPr>
        <w:t>② 如磋商供应商是事业单位，提供有效的“事业单位法人证书”；</w:t>
      </w:r>
    </w:p>
    <w:p>
      <w:pPr>
        <w:pStyle w:val="9"/>
        <w:ind w:left="626" w:leftChars="298" w:firstLine="420" w:firstLineChars="200"/>
        <w:rPr>
          <w:rFonts w:hint="default" w:ascii="宋体" w:hAnsi="宋体" w:eastAsia="宋体" w:cs="宋体"/>
          <w:kern w:val="0"/>
          <w:sz w:val="21"/>
        </w:rPr>
      </w:pPr>
      <w:r>
        <w:rPr>
          <w:rFonts w:ascii="宋体" w:hAnsi="宋体" w:eastAsia="宋体" w:cs="宋体"/>
          <w:kern w:val="0"/>
          <w:sz w:val="21"/>
        </w:rPr>
        <w:t>③ 如磋商供应商是非企业专业服务机构的，提供执业许可证等证明文件；</w:t>
      </w:r>
    </w:p>
    <w:p>
      <w:pPr>
        <w:pStyle w:val="9"/>
        <w:ind w:left="626" w:leftChars="298" w:firstLine="420" w:firstLineChars="200"/>
        <w:rPr>
          <w:rFonts w:hint="default" w:ascii="宋体" w:hAnsi="宋体" w:eastAsia="宋体" w:cs="宋体"/>
          <w:kern w:val="0"/>
          <w:sz w:val="21"/>
        </w:rPr>
      </w:pPr>
      <w:r>
        <w:rPr>
          <w:rFonts w:ascii="宋体" w:hAnsi="宋体" w:eastAsia="宋体" w:cs="宋体"/>
          <w:kern w:val="0"/>
          <w:sz w:val="21"/>
        </w:rPr>
        <w:t>④ 如磋商供应商是个体工商户，提供有效的“个体工商户营业执照”；</w:t>
      </w:r>
    </w:p>
    <w:p>
      <w:pPr>
        <w:pStyle w:val="9"/>
        <w:ind w:left="1256" w:leftChars="498" w:hanging="210" w:hangingChars="100"/>
        <w:rPr>
          <w:rFonts w:hint="default" w:ascii="宋体" w:hAnsi="宋体" w:eastAsia="宋体" w:cs="宋体"/>
          <w:kern w:val="0"/>
          <w:sz w:val="21"/>
        </w:rPr>
      </w:pPr>
      <w:r>
        <w:rPr>
          <w:rFonts w:ascii="宋体" w:hAnsi="宋体" w:eastAsia="宋体" w:cs="宋体"/>
          <w:kern w:val="0"/>
          <w:sz w:val="21"/>
        </w:rPr>
        <w:t>⑤ 如磋商供应商是自然人，提供有效的自然人身份证明（居民身份证正反面或公安机关出具的临时居民身份证正反面或港澳台胞证或证照）。</w:t>
      </w:r>
    </w:p>
    <w:p>
      <w:pPr>
        <w:pStyle w:val="9"/>
        <w:numPr>
          <w:ilvl w:val="0"/>
          <w:numId w:val="14"/>
        </w:numPr>
        <w:ind w:left="1058" w:leftChars="401" w:hanging="216" w:hangingChars="103"/>
        <w:rPr>
          <w:rFonts w:hint="default" w:ascii="宋体" w:hAnsi="宋体" w:eastAsia="宋体" w:cs="宋体"/>
          <w:kern w:val="0"/>
          <w:sz w:val="21"/>
        </w:rPr>
      </w:pPr>
      <w:r>
        <w:rPr>
          <w:rFonts w:ascii="宋体" w:hAnsi="宋体" w:eastAsia="宋体" w:cs="宋体"/>
          <w:kern w:val="0"/>
          <w:sz w:val="21"/>
        </w:rPr>
        <w:t>供应商相关资质证明文件扫描件（如有）；</w:t>
      </w:r>
    </w:p>
    <w:p>
      <w:pPr>
        <w:pStyle w:val="9"/>
        <w:numPr>
          <w:ilvl w:val="0"/>
          <w:numId w:val="14"/>
        </w:numPr>
        <w:ind w:left="1058" w:leftChars="401" w:hanging="216" w:hangingChars="103"/>
        <w:rPr>
          <w:rFonts w:hint="default" w:ascii="宋体" w:hAnsi="宋体" w:eastAsia="宋体" w:cs="宋体"/>
          <w:kern w:val="0"/>
          <w:sz w:val="21"/>
        </w:rPr>
      </w:pPr>
      <w:r>
        <w:rPr>
          <w:rFonts w:ascii="宋体" w:hAnsi="宋体" w:eastAsia="宋体" w:cs="宋体"/>
          <w:kern w:val="0"/>
          <w:sz w:val="21"/>
        </w:rPr>
        <w:t>项目负责人相关证书扫描件（如有）；</w:t>
      </w:r>
    </w:p>
    <w:p>
      <w:pPr>
        <w:pStyle w:val="9"/>
        <w:numPr>
          <w:ilvl w:val="0"/>
          <w:numId w:val="14"/>
        </w:numPr>
        <w:ind w:left="1058" w:leftChars="401" w:hanging="216" w:hangingChars="103"/>
        <w:rPr>
          <w:rFonts w:hint="default" w:ascii="宋体" w:hAnsi="宋体" w:eastAsia="宋体" w:cs="宋体"/>
          <w:kern w:val="0"/>
          <w:sz w:val="21"/>
        </w:rPr>
      </w:pPr>
      <w:r>
        <w:rPr>
          <w:rFonts w:ascii="宋体" w:hAnsi="宋体" w:eastAsia="宋体" w:cs="宋体"/>
          <w:kern w:val="0"/>
          <w:sz w:val="21"/>
        </w:rPr>
        <w:t>供应商的其他证书扫描件（如有）。</w:t>
      </w:r>
    </w:p>
    <w:p>
      <w:pPr>
        <w:pStyle w:val="9"/>
        <w:numPr>
          <w:ilvl w:val="0"/>
          <w:numId w:val="13"/>
        </w:numPr>
        <w:ind w:left="1045" w:hanging="625"/>
        <w:jc w:val="left"/>
        <w:rPr>
          <w:rFonts w:hint="default" w:ascii="宋体" w:hAnsi="宋体" w:eastAsia="宋体" w:cs="宋体"/>
          <w:bCs/>
          <w:kern w:val="0"/>
          <w:sz w:val="21"/>
        </w:rPr>
      </w:pPr>
      <w:r>
        <w:rPr>
          <w:rFonts w:ascii="宋体" w:hAnsi="宋体" w:eastAsia="宋体" w:cs="宋体"/>
          <w:bCs/>
          <w:kern w:val="0"/>
          <w:sz w:val="21"/>
        </w:rPr>
        <w:t>关于满足《中华人民共和国政府采购法》第二十二条规定的承诺函。</w:t>
      </w:r>
    </w:p>
    <w:p>
      <w:pPr>
        <w:pStyle w:val="9"/>
        <w:ind w:left="420"/>
        <w:jc w:val="right"/>
        <w:rPr>
          <w:rFonts w:hint="default" w:ascii="宋体" w:hAnsi="宋体" w:eastAsia="宋体" w:cs="宋体"/>
          <w:bCs/>
          <w:kern w:val="0"/>
          <w:sz w:val="21"/>
        </w:rPr>
      </w:pPr>
      <w:r>
        <w:rPr>
          <w:rFonts w:ascii="宋体" w:hAnsi="宋体" w:eastAsia="宋体" w:cs="宋体"/>
          <w:bCs/>
          <w:kern w:val="0"/>
          <w:sz w:val="21"/>
        </w:rPr>
        <w:t xml:space="preserve">   （见第五部分附件二）</w:t>
      </w:r>
    </w:p>
    <w:p>
      <w:pPr>
        <w:numPr>
          <w:ilvl w:val="0"/>
          <w:numId w:val="13"/>
        </w:numPr>
        <w:tabs>
          <w:tab w:val="left" w:pos="1060"/>
        </w:tabs>
        <w:snapToGrid w:val="0"/>
        <w:spacing w:line="360" w:lineRule="auto"/>
        <w:ind w:left="1045" w:hanging="625"/>
        <w:rPr>
          <w:rFonts w:hint="default" w:ascii="宋体" w:hAnsi="宋体" w:cs="宋体"/>
          <w:szCs w:val="21"/>
        </w:rPr>
      </w:pPr>
      <w:r>
        <w:rPr>
          <w:rFonts w:ascii="宋体" w:hAnsi="宋体" w:cs="宋体"/>
          <w:szCs w:val="21"/>
        </w:rPr>
        <w:t>未被“信用中国”、“中国政府采购网”列入失信被执行人、重大违法案件当事人名单、政府采购严重违法失信行为记录名单。（以采购组织机构在开标当日在“信用中国”（www.creditchina.gov.cn）、中国政府采购网（www.ccgp.gov.cn）网页查询记录为准。）</w:t>
      </w:r>
    </w:p>
    <w:p>
      <w:pPr>
        <w:numPr>
          <w:ilvl w:val="0"/>
          <w:numId w:val="13"/>
        </w:numPr>
        <w:tabs>
          <w:tab w:val="left" w:pos="1060"/>
        </w:tabs>
        <w:snapToGrid w:val="0"/>
        <w:spacing w:line="360" w:lineRule="auto"/>
        <w:ind w:left="1045" w:hanging="625"/>
        <w:rPr>
          <w:rFonts w:hint="default" w:ascii="宋体" w:hAnsi="宋体" w:cs="宋体"/>
          <w:szCs w:val="21"/>
        </w:rPr>
      </w:pPr>
      <w:r>
        <w:rPr>
          <w:rFonts w:ascii="宋体" w:hAnsi="宋体" w:cs="宋体"/>
          <w:szCs w:val="21"/>
        </w:rPr>
        <w:t>法定代表人授权委托书；                            （见第五部分附件三-1）</w:t>
      </w:r>
    </w:p>
    <w:p>
      <w:pPr>
        <w:numPr>
          <w:ilvl w:val="0"/>
          <w:numId w:val="13"/>
        </w:numPr>
        <w:tabs>
          <w:tab w:val="left" w:pos="1060"/>
        </w:tabs>
        <w:snapToGrid w:val="0"/>
        <w:spacing w:line="360" w:lineRule="auto"/>
        <w:ind w:left="1045" w:hanging="625"/>
        <w:rPr>
          <w:rFonts w:hint="default" w:ascii="宋体" w:hAnsi="宋体" w:cs="宋体"/>
          <w:szCs w:val="21"/>
        </w:rPr>
      </w:pPr>
      <w:r>
        <w:rPr>
          <w:rFonts w:ascii="宋体" w:hAnsi="宋体" w:cs="宋体"/>
          <w:szCs w:val="21"/>
        </w:rPr>
        <w:t>法定代表人身份证明；                              （见第五部分附件三-2）</w:t>
      </w:r>
    </w:p>
    <w:p>
      <w:pPr>
        <w:numPr>
          <w:ilvl w:val="0"/>
          <w:numId w:val="13"/>
        </w:numPr>
        <w:tabs>
          <w:tab w:val="left" w:pos="1060"/>
        </w:tabs>
        <w:snapToGrid w:val="0"/>
        <w:spacing w:line="360" w:lineRule="auto"/>
        <w:ind w:left="1045" w:hanging="625"/>
        <w:rPr>
          <w:rFonts w:hint="default" w:ascii="宋体" w:hAnsi="宋体" w:cs="宋体"/>
          <w:szCs w:val="21"/>
        </w:rPr>
      </w:pPr>
      <w:r>
        <w:rPr>
          <w:rFonts w:ascii="宋体" w:hAnsi="宋体" w:cs="宋体"/>
          <w:szCs w:val="21"/>
        </w:rPr>
        <w:t>供应商需在响应文件中出具符合以下情况的证明材料（三选一）：</w:t>
      </w:r>
    </w:p>
    <w:p>
      <w:pPr>
        <w:tabs>
          <w:tab w:val="left" w:pos="1060"/>
        </w:tabs>
        <w:snapToGrid w:val="0"/>
        <w:spacing w:line="360" w:lineRule="auto"/>
        <w:ind w:left="420" w:firstLine="630" w:firstLineChars="300"/>
        <w:rPr>
          <w:rFonts w:hint="default" w:ascii="宋体" w:hAnsi="宋体" w:cs="宋体"/>
          <w:szCs w:val="21"/>
        </w:rPr>
      </w:pPr>
      <w:r>
        <w:rPr>
          <w:rFonts w:ascii="宋体" w:hAnsi="宋体" w:cs="宋体"/>
          <w:szCs w:val="21"/>
        </w:rPr>
        <w:t>① 中小企业声明函；                              （见第五部分附件四）</w:t>
      </w:r>
    </w:p>
    <w:p>
      <w:pPr>
        <w:tabs>
          <w:tab w:val="left" w:pos="1060"/>
        </w:tabs>
        <w:snapToGrid w:val="0"/>
        <w:spacing w:line="360" w:lineRule="auto"/>
        <w:ind w:left="420" w:firstLine="630" w:firstLineChars="300"/>
        <w:rPr>
          <w:rFonts w:hint="default" w:ascii="宋体" w:hAnsi="宋体" w:cs="宋体"/>
          <w:szCs w:val="21"/>
        </w:rPr>
      </w:pPr>
      <w:r>
        <w:rPr>
          <w:rFonts w:ascii="宋体" w:hAnsi="宋体" w:cs="宋体"/>
          <w:szCs w:val="21"/>
        </w:rPr>
        <w:t xml:space="preserve">② 残疾人福利性单位声明函；（残疾人福利性单位投标时适用）  </w:t>
      </w:r>
    </w:p>
    <w:p>
      <w:pPr>
        <w:tabs>
          <w:tab w:val="left" w:pos="1060"/>
        </w:tabs>
        <w:snapToGrid w:val="0"/>
        <w:spacing w:line="360" w:lineRule="auto"/>
        <w:ind w:left="420" w:firstLine="630" w:firstLineChars="300"/>
        <w:jc w:val="right"/>
        <w:rPr>
          <w:rFonts w:hint="default" w:ascii="宋体" w:hAnsi="宋体" w:cs="宋体"/>
          <w:szCs w:val="21"/>
        </w:rPr>
      </w:pPr>
      <w:r>
        <w:rPr>
          <w:rFonts w:ascii="宋体" w:hAnsi="宋体" w:cs="宋体"/>
          <w:szCs w:val="21"/>
        </w:rPr>
        <w:t xml:space="preserve">    （见第五部分附件五）</w:t>
      </w:r>
    </w:p>
    <w:p>
      <w:pPr>
        <w:tabs>
          <w:tab w:val="left" w:pos="1060"/>
        </w:tabs>
        <w:snapToGrid w:val="0"/>
        <w:spacing w:line="360" w:lineRule="auto"/>
        <w:ind w:left="1050" w:leftChars="500"/>
        <w:rPr>
          <w:rFonts w:hint="default" w:ascii="宋体" w:hAnsi="宋体" w:cs="宋体"/>
          <w:szCs w:val="21"/>
        </w:rPr>
      </w:pPr>
      <w:r>
        <w:rPr>
          <w:rFonts w:ascii="宋体" w:hAnsi="宋体" w:cs="宋体"/>
          <w:szCs w:val="21"/>
        </w:rPr>
        <w:t>③ 省级以上监狱管理局、戒毒管理局（含新疆生产建设兵团）出具的属于监狱企业的证明文件；（监狱企业投标时适用）；</w:t>
      </w:r>
    </w:p>
    <w:p>
      <w:pPr>
        <w:pStyle w:val="29"/>
        <w:spacing w:before="156" w:beforeLines="50" w:line="360" w:lineRule="auto"/>
        <w:ind w:firstLine="422" w:firstLineChars="200"/>
        <w:rPr>
          <w:rFonts w:hint="default" w:hAnsi="宋体" w:cs="宋体"/>
        </w:rPr>
      </w:pPr>
      <w:r>
        <w:rPr>
          <w:rFonts w:hAnsi="宋体" w:cs="宋体"/>
          <w:b/>
          <w:bCs/>
        </w:rPr>
        <w:t>备注：以上所需的各种证书、证件、证明、执照等证明材料均须加盖供应商公章，如遇年检或换证等特殊情况须按要求提供相应的证明材料。</w:t>
      </w:r>
    </w:p>
    <w:p>
      <w:pPr>
        <w:pStyle w:val="29"/>
        <w:numPr>
          <w:ilvl w:val="0"/>
          <w:numId w:val="15"/>
        </w:numPr>
        <w:spacing w:line="360" w:lineRule="auto"/>
        <w:rPr>
          <w:rFonts w:hint="default" w:hAnsi="宋体" w:cs="宋体"/>
          <w:b/>
          <w:bCs/>
        </w:rPr>
      </w:pPr>
      <w:r>
        <w:rPr>
          <w:rFonts w:hAnsi="宋体" w:cs="宋体"/>
          <w:b/>
          <w:bCs/>
        </w:rPr>
        <w:t>商务技术部分</w:t>
      </w:r>
    </w:p>
    <w:p>
      <w:pPr>
        <w:numPr>
          <w:ilvl w:val="0"/>
          <w:numId w:val="16"/>
        </w:numPr>
        <w:spacing w:line="360" w:lineRule="auto"/>
        <w:rPr>
          <w:rFonts w:hint="default"/>
        </w:rPr>
      </w:pPr>
      <w:r>
        <w:t>磋商响应函；                                      （见第五部分附件六）</w:t>
      </w:r>
    </w:p>
    <w:p>
      <w:pPr>
        <w:numPr>
          <w:ilvl w:val="0"/>
          <w:numId w:val="16"/>
        </w:numPr>
        <w:spacing w:line="360" w:lineRule="auto"/>
        <w:rPr>
          <w:rFonts w:hint="default"/>
        </w:rPr>
      </w:pPr>
      <w:r>
        <w:t>磋商供应商情况一览表；                            （见第五部分附件七）</w:t>
      </w:r>
    </w:p>
    <w:p>
      <w:pPr>
        <w:numPr>
          <w:ilvl w:val="0"/>
          <w:numId w:val="16"/>
        </w:numPr>
        <w:spacing w:line="360" w:lineRule="auto"/>
        <w:rPr>
          <w:rFonts w:hint="default"/>
        </w:rPr>
      </w:pPr>
      <w:r>
        <w:t>少量偏离表（技术与商务部分的偏离须分别填写，均放在此处，如不填写将视为对磋商文件要求无偏差）                           （见第五部分附件八）</w:t>
      </w:r>
    </w:p>
    <w:p>
      <w:pPr>
        <w:numPr>
          <w:ilvl w:val="0"/>
          <w:numId w:val="16"/>
        </w:numPr>
        <w:spacing w:line="360" w:lineRule="auto"/>
        <w:rPr>
          <w:rFonts w:hint="default"/>
        </w:rPr>
      </w:pPr>
      <w:r>
        <w:t>项目负责人简历表；                                （见第五部分附件九）</w:t>
      </w:r>
    </w:p>
    <w:p>
      <w:pPr>
        <w:numPr>
          <w:ilvl w:val="0"/>
          <w:numId w:val="16"/>
        </w:numPr>
        <w:spacing w:line="360" w:lineRule="auto"/>
        <w:rPr>
          <w:rFonts w:hint="default"/>
        </w:rPr>
      </w:pPr>
      <w:r>
        <w:t>拟投入本项目人员配备情况表；                      （见第五部分附件十）</w:t>
      </w:r>
    </w:p>
    <w:p>
      <w:pPr>
        <w:numPr>
          <w:ilvl w:val="0"/>
          <w:numId w:val="16"/>
        </w:numPr>
        <w:spacing w:line="360" w:lineRule="auto"/>
        <w:rPr>
          <w:rFonts w:hint="default"/>
        </w:rPr>
      </w:pPr>
      <w:r>
        <w:t>供应商2020年1月1日以来同类项目业绩一览表；   （见第五部分附件十一）</w:t>
      </w:r>
    </w:p>
    <w:p>
      <w:pPr>
        <w:numPr>
          <w:ilvl w:val="0"/>
          <w:numId w:val="16"/>
        </w:numPr>
        <w:spacing w:line="360" w:lineRule="auto"/>
        <w:rPr>
          <w:rFonts w:hint="default"/>
        </w:rPr>
      </w:pPr>
      <w:r>
        <w:t>本项目投入设备及车辆；                          （见第五部分附件十二）</w:t>
      </w:r>
    </w:p>
    <w:p>
      <w:pPr>
        <w:numPr>
          <w:ilvl w:val="0"/>
          <w:numId w:val="16"/>
        </w:numPr>
        <w:spacing w:line="360" w:lineRule="auto"/>
        <w:rPr>
          <w:rFonts w:hint="default"/>
        </w:rPr>
      </w:pPr>
      <w:r>
        <w:t>对本项目的理解与条件认识；</w:t>
      </w:r>
    </w:p>
    <w:p>
      <w:pPr>
        <w:numPr>
          <w:ilvl w:val="0"/>
          <w:numId w:val="16"/>
        </w:numPr>
        <w:spacing w:line="360" w:lineRule="auto"/>
        <w:rPr>
          <w:rFonts w:hint="default"/>
        </w:rPr>
      </w:pPr>
      <w:r>
        <w:t>服务响应时间承诺</w:t>
      </w:r>
      <w:r>
        <w:rPr>
          <w:rFonts w:hint="eastAsia"/>
          <w:lang w:val="en-US" w:eastAsia="zh-CN"/>
        </w:rPr>
        <w:t>及应急预案</w:t>
      </w:r>
      <w:r>
        <w:t xml:space="preserve">；                           </w:t>
      </w:r>
    </w:p>
    <w:p>
      <w:pPr>
        <w:numPr>
          <w:ilvl w:val="0"/>
          <w:numId w:val="16"/>
        </w:numPr>
        <w:spacing w:line="360" w:lineRule="auto"/>
        <w:rPr>
          <w:rFonts w:hint="default"/>
        </w:rPr>
      </w:pPr>
      <w:r>
        <w:t>项目服务质量保障措施；</w:t>
      </w:r>
    </w:p>
    <w:p>
      <w:pPr>
        <w:numPr>
          <w:ilvl w:val="0"/>
          <w:numId w:val="16"/>
        </w:numPr>
        <w:spacing w:line="360" w:lineRule="auto"/>
        <w:rPr>
          <w:rFonts w:hint="default"/>
        </w:rPr>
      </w:pPr>
      <w:r>
        <w:t>项目服务人员保险方案；</w:t>
      </w:r>
    </w:p>
    <w:p>
      <w:pPr>
        <w:numPr>
          <w:ilvl w:val="0"/>
          <w:numId w:val="16"/>
        </w:numPr>
        <w:spacing w:line="360" w:lineRule="auto"/>
        <w:rPr>
          <w:rFonts w:hint="default"/>
        </w:rPr>
      </w:pPr>
      <w:r>
        <w:rPr>
          <w:rFonts w:hint="eastAsia"/>
          <w:lang w:val="en-US" w:eastAsia="zh-CN"/>
        </w:rPr>
        <w:t>现场勘察情况与分析；</w:t>
      </w:r>
    </w:p>
    <w:p>
      <w:pPr>
        <w:numPr>
          <w:ilvl w:val="0"/>
          <w:numId w:val="16"/>
        </w:numPr>
        <w:spacing w:line="360" w:lineRule="auto"/>
        <w:rPr>
          <w:rFonts w:hint="default"/>
        </w:rPr>
      </w:pPr>
      <w:r>
        <w:rPr>
          <w:rFonts w:hint="eastAsia"/>
          <w:lang w:val="en-US" w:eastAsia="zh-CN"/>
        </w:rPr>
        <w:t>沟通和协调方案；</w:t>
      </w:r>
      <w:r>
        <w:t xml:space="preserve">                                     </w:t>
      </w:r>
    </w:p>
    <w:p>
      <w:pPr>
        <w:numPr>
          <w:ilvl w:val="0"/>
          <w:numId w:val="16"/>
        </w:numPr>
        <w:spacing w:line="360" w:lineRule="auto"/>
        <w:rPr>
          <w:rFonts w:hint="default"/>
        </w:rPr>
      </w:pPr>
      <w:r>
        <w:t>磋商供应商认为需要提供的其它文件和资料。</w:t>
      </w:r>
    </w:p>
    <w:p>
      <w:pPr>
        <w:spacing w:line="360" w:lineRule="auto"/>
        <w:ind w:firstLine="422" w:firstLineChars="200"/>
        <w:rPr>
          <w:rFonts w:hint="default"/>
        </w:rPr>
      </w:pPr>
      <w:r>
        <w:rPr>
          <w:b/>
          <w:bCs/>
        </w:rPr>
        <w:t>备注：以上所需的各种函、清单、说明、方案、业绩、证明、措施、表等相关资料均须加盖供应商公章，如遇年检或换证等特殊情况须按要求提供相应的证明材料，（8）-（1</w:t>
      </w:r>
      <w:r>
        <w:rPr>
          <w:rFonts w:hint="eastAsia"/>
          <w:b/>
          <w:bCs/>
          <w:lang w:val="en-US" w:eastAsia="zh-CN"/>
        </w:rPr>
        <w:t>4</w:t>
      </w:r>
      <w:r>
        <w:rPr>
          <w:b/>
          <w:bCs/>
        </w:rPr>
        <w:t>）部分格式自拟。</w:t>
      </w:r>
    </w:p>
    <w:p>
      <w:pPr>
        <w:pStyle w:val="29"/>
        <w:spacing w:line="360" w:lineRule="auto"/>
        <w:rPr>
          <w:rFonts w:hint="default" w:hAnsi="宋体" w:cs="宋体"/>
          <w:b/>
          <w:bCs/>
        </w:rPr>
      </w:pPr>
      <w:r>
        <w:rPr>
          <w:rFonts w:hAnsi="宋体" w:cs="宋体"/>
          <w:b/>
          <w:bCs/>
        </w:rPr>
        <w:t>三、报价部分</w:t>
      </w:r>
    </w:p>
    <w:p>
      <w:pPr>
        <w:numPr>
          <w:ilvl w:val="0"/>
          <w:numId w:val="17"/>
        </w:numPr>
        <w:tabs>
          <w:tab w:val="left" w:pos="1260"/>
          <w:tab w:val="clear" w:pos="420"/>
        </w:tabs>
        <w:snapToGrid w:val="0"/>
        <w:spacing w:line="360" w:lineRule="auto"/>
        <w:ind w:left="1066" w:leftChars="200" w:hanging="646" w:hangingChars="308"/>
        <w:rPr>
          <w:rFonts w:hint="default"/>
        </w:rPr>
      </w:pPr>
      <w:r>
        <w:rPr>
          <w:rFonts w:ascii="宋体" w:hAnsi="宋体" w:cs="宋体"/>
          <w:szCs w:val="21"/>
        </w:rPr>
        <w:t xml:space="preserve"> 报价一览表；                                      （见第五部分附件十三）</w:t>
      </w:r>
    </w:p>
    <w:p>
      <w:pPr>
        <w:numPr>
          <w:ilvl w:val="0"/>
          <w:numId w:val="17"/>
        </w:numPr>
        <w:tabs>
          <w:tab w:val="left" w:pos="1260"/>
          <w:tab w:val="clear" w:pos="420"/>
        </w:tabs>
        <w:snapToGrid w:val="0"/>
        <w:spacing w:line="360" w:lineRule="auto"/>
        <w:ind w:left="1066" w:leftChars="200" w:hanging="646" w:hangingChars="308"/>
        <w:rPr>
          <w:rFonts w:hint="default"/>
        </w:rPr>
      </w:pPr>
      <w:r>
        <w:rPr>
          <w:rFonts w:ascii="宋体" w:hAnsi="宋体" w:cs="宋体"/>
          <w:szCs w:val="21"/>
        </w:rPr>
        <w:t xml:space="preserve"> </w:t>
      </w:r>
      <w:r>
        <w:t xml:space="preserve">报价明细表；                                      </w:t>
      </w:r>
      <w:r>
        <w:rPr>
          <w:rFonts w:ascii="宋体" w:hAnsi="宋体" w:cs="宋体"/>
          <w:szCs w:val="21"/>
        </w:rPr>
        <w:t>（见第五部分附件十四）</w:t>
      </w:r>
    </w:p>
    <w:p>
      <w:pPr>
        <w:numPr>
          <w:ilvl w:val="0"/>
          <w:numId w:val="17"/>
        </w:numPr>
        <w:tabs>
          <w:tab w:val="left" w:pos="1260"/>
          <w:tab w:val="clear" w:pos="420"/>
        </w:tabs>
        <w:snapToGrid w:val="0"/>
        <w:spacing w:line="360" w:lineRule="auto"/>
        <w:ind w:left="1066" w:leftChars="200" w:hanging="646" w:hangingChars="308"/>
        <w:rPr>
          <w:rFonts w:hint="default"/>
        </w:rPr>
      </w:pPr>
      <w:r>
        <w:rPr>
          <w:rFonts w:ascii="宋体" w:hAnsi="宋体" w:cs="宋体"/>
          <w:szCs w:val="21"/>
        </w:rPr>
        <w:t xml:space="preserve"> 供应商针对报价需要说明的其他文件和说明。 </w:t>
      </w:r>
    </w:p>
    <w:p>
      <w:pPr>
        <w:tabs>
          <w:tab w:val="left" w:pos="1260"/>
        </w:tabs>
        <w:snapToGrid w:val="0"/>
        <w:spacing w:line="360" w:lineRule="auto"/>
        <w:ind w:left="613" w:leftChars="-108" w:hanging="840" w:hangingChars="400"/>
        <w:rPr>
          <w:rFonts w:hint="default" w:ascii="宋体" w:hAnsi="宋体" w:cs="宋体"/>
          <w:b/>
          <w:bCs/>
        </w:rPr>
      </w:pPr>
      <w:r>
        <w:rPr>
          <w:rFonts w:ascii="宋体" w:hAnsi="宋体" w:cs="宋体"/>
          <w:szCs w:val="21"/>
        </w:rPr>
        <w:t xml:space="preserve">      </w:t>
      </w:r>
      <w:r>
        <w:rPr>
          <w:rFonts w:ascii="宋体" w:hAnsi="宋体" w:cs="宋体"/>
          <w:b/>
          <w:bCs/>
        </w:rPr>
        <w:t>备注：以上所需文件均须加盖供应商公章，如遇年检或换证等特殊情况须按要求提供</w:t>
      </w:r>
    </w:p>
    <w:p>
      <w:pPr>
        <w:tabs>
          <w:tab w:val="left" w:pos="1260"/>
        </w:tabs>
        <w:snapToGrid w:val="0"/>
        <w:spacing w:line="360" w:lineRule="auto"/>
        <w:rPr>
          <w:rFonts w:ascii="宋体" w:hAnsi="宋体" w:cs="宋体"/>
          <w:szCs w:val="21"/>
        </w:rPr>
      </w:pPr>
      <w:r>
        <w:rPr>
          <w:rFonts w:ascii="宋体" w:hAnsi="宋体" w:cs="宋体"/>
          <w:b/>
          <w:bCs/>
        </w:rPr>
        <w:t>相应的证明材料。</w:t>
      </w:r>
      <w:r>
        <w:rPr>
          <w:rFonts w:ascii="宋体" w:hAnsi="宋体" w:cs="宋体"/>
          <w:szCs w:val="21"/>
        </w:rPr>
        <w:t xml:space="preserve">  </w:t>
      </w:r>
    </w:p>
    <w:p>
      <w:pPr>
        <w:bidi w:val="0"/>
        <w:spacing w:line="360" w:lineRule="auto"/>
        <w:rPr>
          <w:rFonts w:hint="eastAsia"/>
          <w:b/>
          <w:bCs/>
          <w:lang w:val="en-US" w:eastAsia="zh-CN"/>
        </w:rPr>
      </w:pPr>
      <w:r>
        <w:rPr>
          <w:rFonts w:hint="eastAsia"/>
          <w:b/>
          <w:bCs/>
          <w:lang w:val="en-US" w:eastAsia="zh-CN"/>
        </w:rPr>
        <w:t>四、演示视频文件</w:t>
      </w:r>
    </w:p>
    <w:p>
      <w:pPr>
        <w:bidi w:val="0"/>
        <w:spacing w:line="360" w:lineRule="auto"/>
        <w:ind w:firstLine="420" w:firstLineChars="200"/>
        <w:rPr>
          <w:rFonts w:hint="eastAsia"/>
          <w:lang w:val="en-US" w:eastAsia="zh-CN"/>
        </w:rPr>
      </w:pPr>
      <w:r>
        <w:rPr>
          <w:rFonts w:hint="eastAsia"/>
          <w:lang w:val="en-US" w:eastAsia="zh-CN"/>
        </w:rPr>
        <w:t>（1）投标人制作的演示视频内容应结合采购内容和需求以及商务技术文件中关于“演示部分”评分细则的要求。</w:t>
      </w:r>
    </w:p>
    <w:p>
      <w:pPr>
        <w:bidi w:val="0"/>
        <w:spacing w:line="360" w:lineRule="auto"/>
        <w:ind w:firstLine="420" w:firstLineChars="200"/>
        <w:rPr>
          <w:rFonts w:hint="eastAsia"/>
          <w:lang w:val="en-US" w:eastAsia="zh-CN"/>
        </w:rPr>
      </w:pPr>
      <w:r>
        <w:rPr>
          <w:rFonts w:hint="eastAsia"/>
          <w:lang w:val="en-US" w:eastAsia="zh-CN"/>
        </w:rPr>
        <w:t>（2）演示视频文件应为常用格式的视频文件，评标现场电脑操作系统为windows10，视频文件应能由系统自带windows media player播放器播放。</w:t>
      </w:r>
    </w:p>
    <w:p>
      <w:pPr>
        <w:bidi w:val="0"/>
        <w:spacing w:line="360" w:lineRule="auto"/>
        <w:ind w:firstLine="420" w:firstLineChars="200"/>
        <w:rPr>
          <w:rFonts w:hint="eastAsia"/>
          <w:lang w:val="en-US" w:eastAsia="zh-CN"/>
        </w:rPr>
      </w:pPr>
      <w:r>
        <w:rPr>
          <w:rFonts w:hint="eastAsia"/>
          <w:lang w:val="en-US" w:eastAsia="zh-CN"/>
        </w:rPr>
        <w:t>① 多个镜头使用同一个音轨，且时间轴应同步；</w:t>
      </w:r>
    </w:p>
    <w:p>
      <w:pPr>
        <w:bidi w:val="0"/>
        <w:spacing w:line="360" w:lineRule="auto"/>
        <w:ind w:firstLine="420" w:firstLineChars="200"/>
        <w:rPr>
          <w:rFonts w:hint="eastAsia"/>
          <w:lang w:val="en-US" w:eastAsia="zh-CN"/>
        </w:rPr>
      </w:pPr>
      <w:r>
        <w:rPr>
          <w:rFonts w:hint="eastAsia"/>
          <w:lang w:val="en-US" w:eastAsia="zh-CN"/>
        </w:rPr>
        <w:t>② 单个镜头的演示视频应一镜到底，即：除字幕标注外，不得对演示过程视频进行任何形式的剪辑。</w:t>
      </w:r>
    </w:p>
    <w:p>
      <w:pPr>
        <w:pStyle w:val="2"/>
        <w:rPr>
          <w:rFonts w:hint="default"/>
          <w:lang w:val="en-US" w:eastAsia="zh-CN"/>
        </w:rPr>
      </w:pPr>
      <w:r>
        <w:rPr>
          <w:rFonts w:hint="eastAsia"/>
          <w:lang w:val="en-US" w:eastAsia="zh-CN"/>
        </w:rPr>
        <w:t>③ 视频总时长不得超过10分钟，超出部分不进行计分。</w:t>
      </w:r>
    </w:p>
    <w:p>
      <w:pPr>
        <w:tabs>
          <w:tab w:val="left" w:pos="1260"/>
        </w:tabs>
        <w:snapToGrid w:val="0"/>
        <w:spacing w:line="360" w:lineRule="auto"/>
        <w:rPr>
          <w:rFonts w:hint="default"/>
        </w:rPr>
      </w:pPr>
      <w:r>
        <w:rPr>
          <w:rFonts w:hint="eastAsia"/>
          <w:lang w:val="en-US" w:eastAsia="zh-CN"/>
        </w:rPr>
        <w:t>（4）演示视频文件并非强制性要求，投标人不提交演示视频文件或未能按照以上要求制作演示视频文件并非被认定为无效标的条件，仅在商务技术文件评审过程中由评标委员会评分量化。</w:t>
      </w:r>
      <w:r>
        <w:rPr>
          <w:rFonts w:ascii="宋体" w:hAnsi="宋体" w:cs="宋体"/>
          <w:szCs w:val="21"/>
        </w:rPr>
        <w:t xml:space="preserve">                              </w:t>
      </w:r>
    </w:p>
    <w:p>
      <w:pPr>
        <w:numPr>
          <w:ilvl w:val="0"/>
          <w:numId w:val="12"/>
        </w:numPr>
        <w:snapToGrid w:val="0"/>
        <w:spacing w:line="360" w:lineRule="auto"/>
        <w:outlineLvl w:val="2"/>
        <w:rPr>
          <w:rFonts w:hint="default" w:ascii="宋体" w:hAnsi="宋体" w:cs="宋体"/>
          <w:b/>
          <w:bCs/>
          <w:sz w:val="24"/>
        </w:rPr>
      </w:pPr>
      <w:bookmarkStart w:id="179" w:name="_Toc32343"/>
      <w:bookmarkStart w:id="180" w:name="_Toc13448"/>
      <w:bookmarkStart w:id="181" w:name="_Toc13300"/>
      <w:bookmarkStart w:id="182" w:name="_Toc4368"/>
      <w:bookmarkStart w:id="183" w:name="_Toc26190"/>
      <w:r>
        <w:rPr>
          <w:rFonts w:ascii="宋体" w:hAnsi="宋体" w:cs="宋体"/>
          <w:b/>
          <w:bCs/>
          <w:szCs w:val="21"/>
        </w:rPr>
        <w:t>磋商响应格式填写说明</w:t>
      </w:r>
      <w:bookmarkEnd w:id="179"/>
      <w:bookmarkEnd w:id="180"/>
      <w:bookmarkEnd w:id="181"/>
      <w:bookmarkEnd w:id="182"/>
      <w:bookmarkEnd w:id="183"/>
    </w:p>
    <w:p>
      <w:pPr>
        <w:numPr>
          <w:ilvl w:val="1"/>
          <w:numId w:val="12"/>
        </w:numPr>
        <w:snapToGrid w:val="0"/>
        <w:spacing w:line="360" w:lineRule="auto"/>
        <w:rPr>
          <w:rFonts w:hint="default" w:ascii="宋体" w:hAnsi="宋体" w:cs="宋体"/>
        </w:rPr>
      </w:pPr>
      <w:r>
        <w:rPr>
          <w:rFonts w:ascii="宋体" w:hAnsi="宋体" w:cs="宋体"/>
          <w:b/>
          <w:bCs/>
        </w:rPr>
        <w:t>磋</w:t>
      </w:r>
      <w:r>
        <w:rPr>
          <w:rFonts w:ascii="宋体" w:hAnsi="宋体" w:cs="宋体"/>
          <w:b/>
          <w:bCs/>
          <w:color w:val="000000"/>
        </w:rPr>
        <w:t>商</w:t>
      </w:r>
      <w:r>
        <w:rPr>
          <w:rFonts w:ascii="宋体" w:hAnsi="宋体" w:cs="宋体"/>
          <w:b/>
          <w:bCs/>
          <w:color w:val="000000"/>
          <w:szCs w:val="22"/>
        </w:rPr>
        <w:t>供应商应在认真阅读磋商文件所有内容的基础上，按照磋商文件中规定的格式和顺序编制电子加密响应文件并进行关联定位，混乱的编排或关联导致磋商响应文件被误读或磋商小组查找不到有效文件是磋商供应商的风险。</w:t>
      </w:r>
    </w:p>
    <w:p>
      <w:pPr>
        <w:numPr>
          <w:ilvl w:val="1"/>
          <w:numId w:val="12"/>
        </w:numPr>
        <w:snapToGrid w:val="0"/>
        <w:spacing w:line="360" w:lineRule="auto"/>
        <w:rPr>
          <w:rFonts w:hint="default" w:ascii="宋体" w:hAnsi="宋体" w:cs="宋体"/>
          <w:szCs w:val="21"/>
        </w:rPr>
      </w:pPr>
      <w:r>
        <w:rPr>
          <w:rFonts w:ascii="宋体" w:hAnsi="宋体" w:cs="宋体"/>
        </w:rPr>
        <w:t>磋商供应商必须保证磋商响应文件所提供的全部资料真实可靠，并接受采购人对其中任何资料进一步审查的要求。提供虚假证明的磋商供应商将被取消政府采购供应商资格，并在政府采购宣传媒体上予以公告。</w:t>
      </w:r>
    </w:p>
    <w:p>
      <w:pPr>
        <w:numPr>
          <w:ilvl w:val="0"/>
          <w:numId w:val="12"/>
        </w:numPr>
        <w:snapToGrid w:val="0"/>
        <w:spacing w:line="360" w:lineRule="auto"/>
        <w:outlineLvl w:val="2"/>
        <w:rPr>
          <w:rFonts w:hint="default" w:ascii="宋体" w:hAnsi="宋体" w:cs="宋体"/>
          <w:b/>
          <w:sz w:val="24"/>
        </w:rPr>
      </w:pPr>
      <w:bookmarkStart w:id="184" w:name="_Toc8681"/>
      <w:bookmarkStart w:id="185" w:name="_Toc19394"/>
      <w:bookmarkStart w:id="186" w:name="_Toc4501"/>
      <w:bookmarkStart w:id="187" w:name="_Toc21230"/>
      <w:bookmarkStart w:id="188" w:name="_Toc8303"/>
      <w:r>
        <w:rPr>
          <w:rFonts w:ascii="宋体" w:hAnsi="宋体" w:cs="宋体"/>
          <w:b/>
          <w:szCs w:val="21"/>
        </w:rPr>
        <w:t>磋商有效期</w:t>
      </w:r>
      <w:bookmarkEnd w:id="184"/>
      <w:bookmarkEnd w:id="185"/>
      <w:bookmarkEnd w:id="186"/>
      <w:bookmarkEnd w:id="187"/>
      <w:bookmarkEnd w:id="188"/>
    </w:p>
    <w:p>
      <w:pPr>
        <w:numPr>
          <w:ilvl w:val="1"/>
          <w:numId w:val="12"/>
        </w:numPr>
        <w:snapToGrid w:val="0"/>
        <w:spacing w:line="360" w:lineRule="auto"/>
        <w:rPr>
          <w:rFonts w:hint="default" w:ascii="宋体" w:hAnsi="宋体" w:cs="宋体"/>
          <w:szCs w:val="21"/>
        </w:rPr>
      </w:pPr>
      <w:r>
        <w:rPr>
          <w:rFonts w:ascii="宋体" w:hAnsi="宋体" w:cs="宋体"/>
          <w:szCs w:val="21"/>
        </w:rPr>
        <w:t>▲提交磋商响应文件截止日起90日历天，磋商响应文件应保持有效。磋商有效期比规定期限短的将被视为非响应磋商而予以否决。</w:t>
      </w:r>
    </w:p>
    <w:p>
      <w:pPr>
        <w:numPr>
          <w:ilvl w:val="0"/>
          <w:numId w:val="12"/>
        </w:numPr>
        <w:snapToGrid w:val="0"/>
        <w:spacing w:line="360" w:lineRule="auto"/>
        <w:outlineLvl w:val="2"/>
        <w:rPr>
          <w:rFonts w:hint="default" w:ascii="宋体" w:hAnsi="宋体" w:cs="宋体"/>
          <w:b/>
          <w:sz w:val="24"/>
        </w:rPr>
      </w:pPr>
      <w:bookmarkStart w:id="189" w:name="_Toc7045"/>
      <w:bookmarkStart w:id="190" w:name="_Toc17973"/>
      <w:bookmarkStart w:id="191" w:name="_Toc28379"/>
      <w:bookmarkStart w:id="192" w:name="_Toc5975"/>
      <w:bookmarkStart w:id="193" w:name="_Toc20438"/>
      <w:r>
        <w:rPr>
          <w:rFonts w:ascii="宋体" w:hAnsi="宋体" w:cs="宋体"/>
          <w:b/>
          <w:szCs w:val="21"/>
        </w:rPr>
        <w:t>磋商报价</w:t>
      </w:r>
      <w:bookmarkEnd w:id="189"/>
      <w:bookmarkEnd w:id="190"/>
      <w:bookmarkEnd w:id="191"/>
      <w:bookmarkEnd w:id="192"/>
      <w:bookmarkEnd w:id="193"/>
    </w:p>
    <w:p>
      <w:pPr>
        <w:numPr>
          <w:ilvl w:val="1"/>
          <w:numId w:val="12"/>
        </w:numPr>
        <w:tabs>
          <w:tab w:val="left" w:pos="1470"/>
        </w:tabs>
        <w:snapToGrid w:val="0"/>
        <w:spacing w:line="360" w:lineRule="auto"/>
        <w:rPr>
          <w:rFonts w:hint="default" w:ascii="宋体" w:hAnsi="宋体" w:cs="宋体"/>
          <w:szCs w:val="21"/>
        </w:rPr>
      </w:pPr>
      <w:r>
        <w:rPr>
          <w:rFonts w:ascii="宋体" w:hAnsi="宋体" w:cs="宋体"/>
          <w:szCs w:val="21"/>
        </w:rPr>
        <w:t>磋商供应商提供的服务（或货物或工程）价格应该用人民币投标。投标价格应该已经扣除所有商业折扣以及现金折扣。投标报价应包括所需缴纳的所有税费和一切费用。</w:t>
      </w:r>
    </w:p>
    <w:p>
      <w:pPr>
        <w:numPr>
          <w:ilvl w:val="1"/>
          <w:numId w:val="12"/>
        </w:numPr>
        <w:tabs>
          <w:tab w:val="left" w:pos="1470"/>
        </w:tabs>
        <w:snapToGrid w:val="0"/>
        <w:spacing w:line="360" w:lineRule="auto"/>
        <w:rPr>
          <w:rFonts w:hint="default" w:ascii="宋体" w:hAnsi="宋体" w:cs="宋体"/>
          <w:szCs w:val="21"/>
        </w:rPr>
      </w:pPr>
      <w:r>
        <w:rPr>
          <w:rFonts w:ascii="宋体" w:hAnsi="宋体" w:cs="宋体"/>
          <w:szCs w:val="21"/>
        </w:rPr>
        <w:t>根据本次竞争性磋商采购工作要求，最后只允许有一个磋商报价，磋商供应商应在各自技术和商务占优势的基础上并充分考虑本项目的重要性，在磋商结束后提供给采购代理机构及采购人最优惠的磋商价格。</w:t>
      </w:r>
    </w:p>
    <w:p>
      <w:pPr>
        <w:numPr>
          <w:ilvl w:val="1"/>
          <w:numId w:val="12"/>
        </w:numPr>
        <w:snapToGrid w:val="0"/>
        <w:spacing w:line="360" w:lineRule="auto"/>
        <w:rPr>
          <w:rFonts w:hint="default" w:ascii="宋体" w:hAnsi="宋体" w:cs="宋体"/>
          <w:b/>
          <w:szCs w:val="21"/>
        </w:rPr>
      </w:pPr>
      <w:r>
        <w:rPr>
          <w:rFonts w:ascii="宋体" w:hAnsi="宋体" w:cs="宋体"/>
          <w:szCs w:val="21"/>
        </w:rPr>
        <w:t>最后的磋商报价与首次报价不一致的，其报价明细表中各项报价需另行明确，各项报价均按比例下调。</w:t>
      </w:r>
    </w:p>
    <w:p>
      <w:pPr>
        <w:numPr>
          <w:ilvl w:val="0"/>
          <w:numId w:val="12"/>
        </w:numPr>
        <w:snapToGrid w:val="0"/>
        <w:spacing w:line="360" w:lineRule="auto"/>
        <w:outlineLvl w:val="2"/>
        <w:rPr>
          <w:rFonts w:hint="default" w:ascii="宋体" w:hAnsi="宋体" w:cs="宋体"/>
        </w:rPr>
      </w:pPr>
      <w:bookmarkStart w:id="194" w:name="_Toc13949"/>
      <w:bookmarkStart w:id="195" w:name="_Toc18478"/>
      <w:bookmarkStart w:id="196" w:name="_Toc9942"/>
      <w:bookmarkStart w:id="197" w:name="_Toc17800"/>
      <w:bookmarkStart w:id="198" w:name="_Toc6392"/>
      <w:r>
        <w:rPr>
          <w:rFonts w:ascii="宋体" w:hAnsi="宋体" w:cs="宋体"/>
          <w:b/>
          <w:szCs w:val="21"/>
        </w:rPr>
        <w:t>磋商响应文件的式样和签署</w:t>
      </w:r>
      <w:bookmarkEnd w:id="194"/>
      <w:bookmarkEnd w:id="195"/>
      <w:bookmarkEnd w:id="196"/>
      <w:bookmarkEnd w:id="197"/>
      <w:bookmarkEnd w:id="198"/>
    </w:p>
    <w:p>
      <w:pPr>
        <w:numPr>
          <w:ilvl w:val="1"/>
          <w:numId w:val="12"/>
        </w:numPr>
        <w:snapToGrid w:val="0"/>
        <w:spacing w:line="360" w:lineRule="auto"/>
        <w:rPr>
          <w:rFonts w:hint="default" w:ascii="宋体" w:hAnsi="宋体" w:cs="宋体"/>
          <w:szCs w:val="21"/>
        </w:rPr>
      </w:pPr>
      <w:r>
        <w:rPr>
          <w:rFonts w:ascii="宋体" w:hAnsi="宋体" w:cs="宋体"/>
          <w:szCs w:val="21"/>
        </w:rPr>
        <w:t>供应商准备“电子加密响应文件”在线上传递交一份。供应商应按政采云平台供应商项目采购-电子招投标操作指南及本磋商文件要求制作。“备份响应文件”：投标截止时间前以压缩文件形式加密发送至采购代理机构邮箱，并在接到在线解密通知后30分钟内发送压缩文件密码至采购代理机构邮箱。</w:t>
      </w:r>
    </w:p>
    <w:p>
      <w:pPr>
        <w:numPr>
          <w:ilvl w:val="1"/>
          <w:numId w:val="12"/>
        </w:numPr>
        <w:snapToGrid w:val="0"/>
        <w:spacing w:line="360" w:lineRule="auto"/>
        <w:rPr>
          <w:rFonts w:hint="default" w:ascii="宋体" w:hAnsi="宋体" w:cs="宋体"/>
          <w:szCs w:val="21"/>
        </w:rPr>
      </w:pPr>
      <w:r>
        <w:rPr>
          <w:rFonts w:ascii="宋体" w:hAnsi="宋体" w:cs="宋体"/>
          <w:szCs w:val="21"/>
        </w:rPr>
        <w:t>《响应文件》的签章：</w:t>
      </w:r>
      <w:r>
        <w:rPr>
          <w:rFonts w:ascii="宋体" w:hAnsi="宋体" w:cs="宋体"/>
          <w:b/>
          <w:bCs/>
          <w:szCs w:val="21"/>
        </w:rPr>
        <w:t>电子签章，其中法定代表人和授权代表签字或盖章可书面签字或盖章后扫描至电子响应文件中上传。</w:t>
      </w:r>
    </w:p>
    <w:p>
      <w:pPr>
        <w:numPr>
          <w:ilvl w:val="1"/>
          <w:numId w:val="12"/>
        </w:numPr>
        <w:snapToGrid w:val="0"/>
        <w:spacing w:line="360" w:lineRule="auto"/>
        <w:rPr>
          <w:rFonts w:hint="default" w:ascii="宋体" w:hAnsi="宋体" w:cs="宋体"/>
        </w:rPr>
      </w:pPr>
      <w:r>
        <w:rPr>
          <w:rFonts w:ascii="宋体" w:hAnsi="宋体" w:cs="宋体"/>
          <w:szCs w:val="21"/>
        </w:rPr>
        <w:t>磋商响应文件不得涂改和增删，如有修改错漏处，必须由同一签署人签字或盖章。</w:t>
      </w:r>
    </w:p>
    <w:p>
      <w:pPr>
        <w:numPr>
          <w:ilvl w:val="1"/>
          <w:numId w:val="12"/>
        </w:numPr>
        <w:snapToGrid w:val="0"/>
        <w:spacing w:line="360" w:lineRule="auto"/>
        <w:rPr>
          <w:rFonts w:hint="default" w:ascii="宋体" w:hAnsi="宋体" w:cs="宋体"/>
        </w:rPr>
      </w:pPr>
      <w:r>
        <w:rPr>
          <w:rFonts w:ascii="宋体" w:hAnsi="宋体" w:cs="宋体"/>
          <w:szCs w:val="21"/>
        </w:rPr>
        <w:t>响应文件因字迹潦草或表达不清所引起的后果由供应商负责。</w:t>
      </w:r>
    </w:p>
    <w:p>
      <w:pPr>
        <w:numPr>
          <w:ilvl w:val="0"/>
          <w:numId w:val="12"/>
        </w:numPr>
        <w:snapToGrid w:val="0"/>
        <w:spacing w:line="360" w:lineRule="auto"/>
        <w:outlineLvl w:val="2"/>
        <w:rPr>
          <w:rFonts w:hint="default" w:ascii="宋体" w:hAnsi="宋体" w:cs="宋体"/>
          <w:b/>
          <w:bCs/>
          <w:sz w:val="24"/>
        </w:rPr>
      </w:pPr>
      <w:bookmarkStart w:id="199" w:name="_Toc823"/>
      <w:bookmarkStart w:id="200" w:name="_Toc18914"/>
      <w:bookmarkStart w:id="201" w:name="_Toc12844"/>
      <w:bookmarkStart w:id="202" w:name="_Toc32740"/>
      <w:bookmarkStart w:id="203" w:name="_Toc9284"/>
      <w:r>
        <w:rPr>
          <w:rFonts w:ascii="宋体" w:hAnsi="宋体" w:cs="宋体"/>
          <w:b/>
          <w:bCs/>
          <w:szCs w:val="21"/>
        </w:rPr>
        <w:t>知识产权</w:t>
      </w:r>
      <w:bookmarkEnd w:id="199"/>
      <w:bookmarkEnd w:id="200"/>
      <w:bookmarkEnd w:id="201"/>
      <w:bookmarkEnd w:id="202"/>
      <w:bookmarkEnd w:id="203"/>
    </w:p>
    <w:p>
      <w:pPr>
        <w:numPr>
          <w:ilvl w:val="1"/>
          <w:numId w:val="12"/>
        </w:numPr>
        <w:snapToGrid w:val="0"/>
        <w:spacing w:line="360" w:lineRule="auto"/>
        <w:rPr>
          <w:rFonts w:hint="default" w:ascii="宋体" w:hAnsi="宋体" w:cs="宋体"/>
          <w:szCs w:val="21"/>
        </w:rPr>
      </w:pPr>
      <w:r>
        <w:rPr>
          <w:rFonts w:ascii="宋体" w:hAnsi="宋体" w:cs="宋体"/>
          <w:szCs w:val="21"/>
        </w:rPr>
        <w:t>供应商应保证，采购人在中华人民共和国使用货物和服务的任何一部分时，免受第三方提出侵犯其专利权、商标权或其它知识产权的起诉。</w:t>
      </w:r>
    </w:p>
    <w:p>
      <w:pPr>
        <w:numPr>
          <w:ilvl w:val="1"/>
          <w:numId w:val="12"/>
        </w:numPr>
        <w:snapToGrid w:val="0"/>
        <w:spacing w:line="360" w:lineRule="auto"/>
        <w:rPr>
          <w:rFonts w:hint="default" w:ascii="宋体" w:hAnsi="宋体" w:cs="宋体"/>
          <w:szCs w:val="21"/>
        </w:rPr>
      </w:pPr>
      <w:r>
        <w:rPr>
          <w:rFonts w:ascii="宋体" w:hAnsi="宋体" w:cs="宋体"/>
          <w:szCs w:val="21"/>
        </w:rPr>
        <w:t>磋商供应商应对采购人在使用该产品时所涉及到的专利权负责，不损害采购人的利益。</w:t>
      </w:r>
    </w:p>
    <w:p>
      <w:pPr>
        <w:numPr>
          <w:ilvl w:val="1"/>
          <w:numId w:val="12"/>
        </w:numPr>
        <w:snapToGrid w:val="0"/>
        <w:spacing w:line="360" w:lineRule="auto"/>
        <w:rPr>
          <w:rFonts w:hint="default" w:ascii="宋体" w:hAnsi="宋体" w:cs="宋体"/>
          <w:szCs w:val="21"/>
        </w:rPr>
      </w:pPr>
      <w:r>
        <w:rPr>
          <w:rFonts w:ascii="宋体" w:hAnsi="宋体" w:cs="宋体"/>
          <w:szCs w:val="21"/>
        </w:rPr>
        <w:t>报价应包括所有应支付的对专利权和版权、设计或其他知识产权而需要向其他方支付的版税。</w:t>
      </w:r>
    </w:p>
    <w:p>
      <w:pPr>
        <w:numPr>
          <w:ilvl w:val="1"/>
          <w:numId w:val="12"/>
        </w:numPr>
        <w:snapToGrid w:val="0"/>
        <w:spacing w:line="360" w:lineRule="auto"/>
        <w:rPr>
          <w:rFonts w:hint="default" w:ascii="宋体" w:hAnsi="宋体" w:cs="宋体"/>
          <w:szCs w:val="21"/>
        </w:rPr>
      </w:pPr>
      <w:r>
        <w:rPr>
          <w:rFonts w:ascii="宋体" w:hAnsi="宋体" w:cs="宋体"/>
          <w:szCs w:val="21"/>
        </w:rPr>
        <w:t>磋商供应商提供得货物中如使用其他公司的相关专利，应在标书中出示相关授权，如未出示但使用了其他公司的专利，导致供应商中标而引起相关诉讼，由磋商供应商承担。</w:t>
      </w:r>
    </w:p>
    <w:p>
      <w:pPr>
        <w:numPr>
          <w:ilvl w:val="0"/>
          <w:numId w:val="12"/>
        </w:numPr>
        <w:snapToGrid w:val="0"/>
        <w:spacing w:line="360" w:lineRule="auto"/>
        <w:outlineLvl w:val="2"/>
        <w:rPr>
          <w:rFonts w:hint="default" w:ascii="宋体" w:hAnsi="宋体" w:cs="宋体"/>
          <w:b/>
          <w:bCs/>
          <w:sz w:val="24"/>
        </w:rPr>
      </w:pPr>
      <w:bookmarkStart w:id="204" w:name="_Toc19574"/>
      <w:bookmarkStart w:id="205" w:name="_Toc16272"/>
      <w:bookmarkStart w:id="206" w:name="_Toc28008"/>
      <w:bookmarkStart w:id="207" w:name="_Toc24645"/>
      <w:bookmarkStart w:id="208" w:name="_Toc6499"/>
      <w:r>
        <w:rPr>
          <w:rFonts w:ascii="宋体" w:hAnsi="宋体" w:cs="宋体"/>
          <w:b/>
          <w:bCs/>
        </w:rPr>
        <w:t>串通行为认定</w:t>
      </w:r>
      <w:bookmarkEnd w:id="204"/>
      <w:bookmarkEnd w:id="205"/>
      <w:bookmarkEnd w:id="206"/>
      <w:bookmarkEnd w:id="207"/>
      <w:bookmarkEnd w:id="208"/>
    </w:p>
    <w:p>
      <w:pPr>
        <w:numPr>
          <w:ilvl w:val="0"/>
          <w:numId w:val="18"/>
        </w:numPr>
        <w:snapToGrid w:val="0"/>
        <w:spacing w:line="360" w:lineRule="auto"/>
        <w:ind w:left="1060" w:hanging="640"/>
        <w:rPr>
          <w:rFonts w:hint="default" w:ascii="宋体" w:hAnsi="宋体" w:cs="宋体"/>
        </w:rPr>
      </w:pPr>
      <w:r>
        <w:rPr>
          <w:rFonts w:ascii="宋体" w:hAnsi="宋体" w:cs="宋体"/>
        </w:rPr>
        <w:t xml:space="preserve">不同磋商供应商的磋商响应文件由同一单位或人员编制的； </w:t>
      </w:r>
    </w:p>
    <w:p>
      <w:pPr>
        <w:numPr>
          <w:ilvl w:val="0"/>
          <w:numId w:val="18"/>
        </w:numPr>
        <w:snapToGrid w:val="0"/>
        <w:spacing w:line="360" w:lineRule="auto"/>
        <w:ind w:left="1060" w:hanging="640"/>
        <w:rPr>
          <w:rFonts w:hint="default" w:ascii="宋体" w:hAnsi="宋体" w:cs="宋体"/>
        </w:rPr>
      </w:pPr>
      <w:r>
        <w:rPr>
          <w:rFonts w:ascii="宋体" w:hAnsi="宋体" w:cs="宋体"/>
        </w:rPr>
        <w:t>不同供应商委托同一单位或人员办理投标事宜的；</w:t>
      </w:r>
    </w:p>
    <w:p>
      <w:pPr>
        <w:numPr>
          <w:ilvl w:val="0"/>
          <w:numId w:val="18"/>
        </w:numPr>
        <w:snapToGrid w:val="0"/>
        <w:spacing w:line="360" w:lineRule="auto"/>
        <w:ind w:left="1060" w:hanging="640"/>
        <w:rPr>
          <w:rFonts w:hint="default" w:ascii="宋体" w:hAnsi="宋体" w:cs="宋体"/>
        </w:rPr>
      </w:pPr>
      <w:r>
        <w:rPr>
          <w:rFonts w:ascii="宋体" w:hAnsi="宋体" w:cs="宋体"/>
        </w:rPr>
        <w:t xml:space="preserve">不同磋商供应商的磋商响应文件中的内容出现非正常的一致，或者报价细目呈明显规律性变化，或在完全可比的情况下投标总价均高于市场平均价的； </w:t>
      </w:r>
    </w:p>
    <w:p>
      <w:pPr>
        <w:numPr>
          <w:ilvl w:val="0"/>
          <w:numId w:val="18"/>
        </w:numPr>
        <w:snapToGrid w:val="0"/>
        <w:spacing w:line="360" w:lineRule="auto"/>
        <w:ind w:left="1060" w:hanging="640"/>
        <w:rPr>
          <w:rFonts w:hint="default" w:ascii="宋体" w:hAnsi="宋体" w:cs="宋体"/>
        </w:rPr>
      </w:pPr>
      <w:r>
        <w:rPr>
          <w:rFonts w:ascii="宋体" w:hAnsi="宋体" w:cs="宋体"/>
        </w:rPr>
        <w:t xml:space="preserve">不同磋商供应商的授权代表为同一单位的工作人员的； </w:t>
      </w:r>
    </w:p>
    <w:p>
      <w:pPr>
        <w:numPr>
          <w:ilvl w:val="0"/>
          <w:numId w:val="18"/>
        </w:numPr>
        <w:snapToGrid w:val="0"/>
        <w:spacing w:line="360" w:lineRule="auto"/>
        <w:ind w:left="1060" w:hanging="640"/>
        <w:rPr>
          <w:rFonts w:hint="default" w:ascii="宋体" w:hAnsi="宋体" w:cs="宋体"/>
        </w:rPr>
      </w:pPr>
      <w:r>
        <w:rPr>
          <w:rFonts w:ascii="宋体" w:hAnsi="宋体" w:cs="宋体"/>
        </w:rPr>
        <w:t xml:space="preserve">不同磋商供应商的磋商响应文件相互混装，或在一个磋商供应商的磋商响应文件内遗留有其他磋商供应商的签名、盖章等不属于本磋商供应商参加政府采购必需的信息资料的； </w:t>
      </w:r>
    </w:p>
    <w:p>
      <w:pPr>
        <w:numPr>
          <w:ilvl w:val="0"/>
          <w:numId w:val="18"/>
        </w:numPr>
        <w:snapToGrid w:val="0"/>
        <w:spacing w:line="360" w:lineRule="auto"/>
        <w:ind w:left="1060" w:hanging="640"/>
        <w:rPr>
          <w:rFonts w:hint="default" w:ascii="宋体" w:hAnsi="宋体" w:cs="宋体"/>
        </w:rPr>
      </w:pPr>
      <w:r>
        <w:rPr>
          <w:rFonts w:ascii="宋体" w:hAnsi="宋体" w:cs="宋体"/>
        </w:rPr>
        <w:t xml:space="preserve">采购响应截止时间后，采购组织单位协助磋商供应商撤换或更改磋商响应文件的； </w:t>
      </w:r>
    </w:p>
    <w:p>
      <w:pPr>
        <w:numPr>
          <w:ilvl w:val="0"/>
          <w:numId w:val="18"/>
        </w:numPr>
        <w:snapToGrid w:val="0"/>
        <w:spacing w:line="360" w:lineRule="auto"/>
        <w:ind w:left="1060" w:hanging="640"/>
        <w:rPr>
          <w:rFonts w:hint="default" w:ascii="宋体" w:hAnsi="宋体" w:cs="宋体"/>
          <w:spacing w:val="-4"/>
        </w:rPr>
      </w:pPr>
      <w:r>
        <w:rPr>
          <w:rFonts w:ascii="宋体" w:hAnsi="宋体" w:cs="宋体"/>
          <w:spacing w:val="-4"/>
        </w:rPr>
        <w:t>采购组织单位泄露有意向参加政府采购的磋商供应商名称、数量等应当保密的事项的；</w:t>
      </w:r>
    </w:p>
    <w:p>
      <w:pPr>
        <w:numPr>
          <w:ilvl w:val="0"/>
          <w:numId w:val="18"/>
        </w:numPr>
        <w:snapToGrid w:val="0"/>
        <w:spacing w:line="360" w:lineRule="auto"/>
        <w:ind w:left="1060" w:hanging="640"/>
        <w:rPr>
          <w:rFonts w:hint="default" w:ascii="宋体" w:hAnsi="宋体" w:cs="宋体"/>
        </w:rPr>
      </w:pPr>
      <w:r>
        <w:rPr>
          <w:rFonts w:ascii="宋体" w:hAnsi="宋体" w:cs="宋体"/>
        </w:rPr>
        <w:t>不同磋商供应商之间私下达成书面或口头协议，指定一家磋商供应商成交或轮流成交的；</w:t>
      </w:r>
    </w:p>
    <w:p>
      <w:pPr>
        <w:numPr>
          <w:ilvl w:val="0"/>
          <w:numId w:val="18"/>
        </w:numPr>
        <w:snapToGrid w:val="0"/>
        <w:spacing w:line="360" w:lineRule="auto"/>
        <w:ind w:left="1060" w:hanging="640"/>
        <w:rPr>
          <w:rFonts w:hint="default" w:ascii="宋体" w:hAnsi="宋体" w:cs="宋体"/>
        </w:rPr>
      </w:pPr>
      <w:r>
        <w:rPr>
          <w:rFonts w:ascii="宋体" w:hAnsi="宋体" w:cs="宋体"/>
        </w:rPr>
        <w:t>法律、法规或规章规定的其他串通行为。</w:t>
      </w:r>
    </w:p>
    <w:p>
      <w:pPr>
        <w:numPr>
          <w:ilvl w:val="0"/>
          <w:numId w:val="12"/>
        </w:numPr>
        <w:snapToGrid w:val="0"/>
        <w:spacing w:line="360" w:lineRule="auto"/>
        <w:outlineLvl w:val="2"/>
        <w:rPr>
          <w:rFonts w:hint="default" w:ascii="宋体" w:hAnsi="宋体" w:cs="宋体"/>
          <w:b/>
          <w:bCs/>
        </w:rPr>
      </w:pPr>
      <w:bookmarkStart w:id="209" w:name="_Toc6163"/>
      <w:bookmarkStart w:id="210" w:name="_Toc10222"/>
      <w:bookmarkStart w:id="211" w:name="_Toc17356"/>
      <w:bookmarkStart w:id="212" w:name="_Toc28983"/>
      <w:bookmarkStart w:id="213" w:name="_Toc5635"/>
      <w:r>
        <w:rPr>
          <w:rFonts w:ascii="宋体" w:hAnsi="宋体" w:cs="宋体"/>
          <w:b/>
          <w:bCs/>
        </w:rPr>
        <w:t>出现以下情形，中止电子交易活动：</w:t>
      </w:r>
      <w:bookmarkEnd w:id="209"/>
      <w:bookmarkEnd w:id="210"/>
      <w:bookmarkEnd w:id="211"/>
      <w:bookmarkEnd w:id="212"/>
      <w:bookmarkEnd w:id="213"/>
    </w:p>
    <w:p>
      <w:pPr>
        <w:numPr>
          <w:ilvl w:val="0"/>
          <w:numId w:val="19"/>
        </w:numPr>
        <w:snapToGrid w:val="0"/>
        <w:spacing w:line="360" w:lineRule="auto"/>
        <w:ind w:left="420" w:leftChars="200"/>
        <w:rPr>
          <w:rFonts w:hint="default" w:ascii="宋体" w:hAnsi="宋体" w:cs="宋体"/>
          <w:szCs w:val="22"/>
        </w:rPr>
      </w:pPr>
      <w:r>
        <w:rPr>
          <w:rFonts w:ascii="宋体" w:hAnsi="宋体" w:cs="宋体"/>
          <w:szCs w:val="22"/>
        </w:rPr>
        <w:t>电子交易平台发生故障而无法登录访问的；</w:t>
      </w:r>
    </w:p>
    <w:p>
      <w:pPr>
        <w:numPr>
          <w:ilvl w:val="0"/>
          <w:numId w:val="19"/>
        </w:numPr>
        <w:snapToGrid w:val="0"/>
        <w:spacing w:line="360" w:lineRule="auto"/>
        <w:ind w:left="420" w:leftChars="200"/>
        <w:rPr>
          <w:rFonts w:hint="default" w:ascii="宋体" w:hAnsi="宋体" w:cs="宋体"/>
          <w:szCs w:val="22"/>
        </w:rPr>
      </w:pPr>
      <w:r>
        <w:rPr>
          <w:rFonts w:ascii="宋体" w:hAnsi="宋体" w:cs="宋体"/>
          <w:szCs w:val="22"/>
        </w:rPr>
        <w:t>电子交易平台应用或数据库出现错误，不能进行正常操作的；</w:t>
      </w:r>
    </w:p>
    <w:p>
      <w:pPr>
        <w:numPr>
          <w:ilvl w:val="0"/>
          <w:numId w:val="19"/>
        </w:numPr>
        <w:snapToGrid w:val="0"/>
        <w:spacing w:line="360" w:lineRule="auto"/>
        <w:ind w:left="420" w:leftChars="200"/>
        <w:rPr>
          <w:rFonts w:hint="default" w:ascii="宋体" w:hAnsi="宋体" w:cs="宋体"/>
          <w:szCs w:val="22"/>
        </w:rPr>
      </w:pPr>
      <w:r>
        <w:rPr>
          <w:rFonts w:ascii="宋体" w:hAnsi="宋体" w:cs="宋体"/>
          <w:szCs w:val="22"/>
        </w:rPr>
        <w:t>电子交易平台发现严重安全漏洞，有潜在泄密危险的；</w:t>
      </w:r>
    </w:p>
    <w:p>
      <w:pPr>
        <w:numPr>
          <w:ilvl w:val="0"/>
          <w:numId w:val="19"/>
        </w:numPr>
        <w:snapToGrid w:val="0"/>
        <w:spacing w:line="360" w:lineRule="auto"/>
        <w:ind w:left="420" w:leftChars="200"/>
        <w:rPr>
          <w:rFonts w:hint="default" w:ascii="宋体" w:hAnsi="宋体" w:cs="宋体"/>
          <w:szCs w:val="22"/>
        </w:rPr>
      </w:pPr>
      <w:r>
        <w:rPr>
          <w:rFonts w:ascii="宋体" w:hAnsi="宋体" w:cs="宋体"/>
          <w:szCs w:val="22"/>
        </w:rPr>
        <w:t>病毒发作导致不能进行正常操作的；</w:t>
      </w:r>
    </w:p>
    <w:p>
      <w:pPr>
        <w:numPr>
          <w:ilvl w:val="0"/>
          <w:numId w:val="19"/>
        </w:numPr>
        <w:snapToGrid w:val="0"/>
        <w:spacing w:line="360" w:lineRule="auto"/>
        <w:ind w:left="420" w:leftChars="200"/>
        <w:rPr>
          <w:rFonts w:hint="default" w:ascii="宋体" w:hAnsi="宋体" w:cs="宋体"/>
          <w:szCs w:val="22"/>
        </w:rPr>
      </w:pPr>
      <w:r>
        <w:rPr>
          <w:rFonts w:ascii="宋体" w:hAnsi="宋体" w:cs="宋体"/>
          <w:szCs w:val="22"/>
        </w:rPr>
        <w:t>其他无法保证电子交易的公平、公正和安全的情况。</w:t>
      </w:r>
    </w:p>
    <w:p>
      <w:pPr>
        <w:snapToGrid w:val="0"/>
        <w:spacing w:line="360" w:lineRule="auto"/>
        <w:ind w:left="420" w:leftChars="200" w:firstLine="422" w:firstLineChars="200"/>
        <w:rPr>
          <w:rFonts w:hint="default" w:ascii="宋体" w:hAnsi="宋体" w:cs="宋体"/>
          <w:b/>
          <w:bCs/>
          <w:szCs w:val="21"/>
        </w:rPr>
      </w:pPr>
      <w:r>
        <w:rPr>
          <w:rFonts w:ascii="宋体" w:hAnsi="宋体" w:cs="宋体"/>
          <w:b/>
          <w:bCs/>
          <w:szCs w:val="21"/>
        </w:rPr>
        <w:t>出现上述情形，不影响采购公平、公正性的，采购组织机构可以待上述情形消除后继续组织电子交易活动；若影响或可能影响采购公平、公正性的，则重新采购。</w:t>
      </w:r>
    </w:p>
    <w:p>
      <w:pPr>
        <w:rPr>
          <w:rFonts w:hint="default"/>
        </w:rPr>
      </w:pPr>
      <w:bookmarkStart w:id="214" w:name="_Toc1265"/>
      <w:bookmarkStart w:id="215" w:name="_Toc27444"/>
      <w:bookmarkStart w:id="216" w:name="_Toc3291"/>
      <w:bookmarkStart w:id="217" w:name="_Toc1309"/>
      <w:bookmarkStart w:id="218" w:name="_Toc5110"/>
      <w:bookmarkStart w:id="219" w:name="_Toc19728"/>
      <w:bookmarkStart w:id="220" w:name="_Toc21604"/>
    </w:p>
    <w:p>
      <w:pPr>
        <w:rPr>
          <w:rFonts w:hint="default"/>
        </w:rPr>
      </w:pPr>
    </w:p>
    <w:p>
      <w:pPr>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rPr>
          <w:rFonts w:hint="default"/>
        </w:rPr>
      </w:pPr>
    </w:p>
    <w:p>
      <w:pPr>
        <w:pStyle w:val="4"/>
        <w:spacing w:before="156" w:beforeLines="50" w:after="156" w:afterLines="50" w:line="360" w:lineRule="auto"/>
        <w:jc w:val="center"/>
        <w:rPr>
          <w:rFonts w:hint="default" w:ascii="宋体" w:hAnsi="宋体" w:cs="宋体"/>
          <w:sz w:val="24"/>
          <w:szCs w:val="24"/>
        </w:rPr>
      </w:pPr>
      <w:bookmarkStart w:id="221" w:name="_Toc18953"/>
      <w:r>
        <w:rPr>
          <w:rFonts w:ascii="宋体" w:hAnsi="宋体" w:cs="宋体"/>
          <w:bCs w:val="0"/>
          <w:sz w:val="24"/>
          <w:szCs w:val="24"/>
        </w:rPr>
        <w:t>（五）磋商响应文件的递交</w:t>
      </w:r>
      <w:bookmarkEnd w:id="214"/>
      <w:bookmarkEnd w:id="215"/>
      <w:bookmarkEnd w:id="216"/>
      <w:bookmarkEnd w:id="217"/>
      <w:bookmarkEnd w:id="218"/>
      <w:bookmarkEnd w:id="219"/>
      <w:bookmarkEnd w:id="220"/>
      <w:bookmarkEnd w:id="221"/>
    </w:p>
    <w:p>
      <w:pPr>
        <w:numPr>
          <w:ilvl w:val="0"/>
          <w:numId w:val="12"/>
        </w:numPr>
        <w:snapToGrid w:val="0"/>
        <w:spacing w:line="360" w:lineRule="auto"/>
        <w:outlineLvl w:val="2"/>
        <w:rPr>
          <w:rFonts w:hint="default" w:ascii="宋体" w:hAnsi="宋体" w:cs="宋体"/>
          <w:b/>
          <w:bCs/>
          <w:sz w:val="24"/>
          <w:szCs w:val="22"/>
        </w:rPr>
      </w:pPr>
      <w:bookmarkStart w:id="222" w:name="_Toc22295"/>
      <w:bookmarkStart w:id="223" w:name="_Toc18594"/>
      <w:bookmarkStart w:id="224" w:name="_Toc19248"/>
      <w:bookmarkStart w:id="225" w:name="_Toc7669"/>
      <w:bookmarkStart w:id="226" w:name="_Toc8719"/>
      <w:r>
        <w:rPr>
          <w:rFonts w:ascii="宋体" w:hAnsi="宋体" w:cs="宋体"/>
          <w:b/>
          <w:bCs/>
        </w:rPr>
        <w:t>响应文件的修改（补充）和撤回</w:t>
      </w:r>
      <w:bookmarkEnd w:id="222"/>
      <w:bookmarkEnd w:id="223"/>
      <w:bookmarkEnd w:id="224"/>
      <w:bookmarkEnd w:id="225"/>
      <w:bookmarkEnd w:id="226"/>
    </w:p>
    <w:p>
      <w:pPr>
        <w:snapToGrid w:val="0"/>
        <w:spacing w:line="360" w:lineRule="auto"/>
        <w:ind w:left="823" w:hanging="823" w:hangingChars="392"/>
        <w:rPr>
          <w:rFonts w:hint="default" w:ascii="宋体" w:hAnsi="宋体" w:cs="宋体"/>
          <w:szCs w:val="21"/>
        </w:rPr>
      </w:pPr>
      <w:r>
        <w:rPr>
          <w:rFonts w:ascii="宋体" w:hAnsi="宋体" w:cs="宋体"/>
          <w:szCs w:val="21"/>
        </w:rPr>
        <w:t>21.1    投标截止时间前可以补充、修改或撤回响应文件。补充或者修改响应文件的，应当先行撤回原文件，补充、修改后重新递交。投标截止时间前未完成递交的，视为撤回响应文件。</w:t>
      </w:r>
    </w:p>
    <w:p>
      <w:pPr>
        <w:snapToGrid w:val="0"/>
        <w:spacing w:line="360" w:lineRule="auto"/>
        <w:ind w:left="823" w:hanging="823" w:hangingChars="392"/>
        <w:rPr>
          <w:rFonts w:hint="default" w:ascii="宋体" w:hAnsi="宋体" w:cs="宋体"/>
          <w:szCs w:val="21"/>
        </w:rPr>
      </w:pPr>
      <w:r>
        <w:rPr>
          <w:rFonts w:ascii="宋体" w:hAnsi="宋体" w:cs="宋体"/>
          <w:szCs w:val="21"/>
        </w:rPr>
        <w:t>21.2    投标截止时间后，供应商不得修改（补充）或撤回其响应文件。</w:t>
      </w:r>
    </w:p>
    <w:p>
      <w:pPr>
        <w:numPr>
          <w:ilvl w:val="0"/>
          <w:numId w:val="12"/>
        </w:numPr>
        <w:snapToGrid w:val="0"/>
        <w:spacing w:line="360" w:lineRule="auto"/>
        <w:outlineLvl w:val="2"/>
        <w:rPr>
          <w:rFonts w:hint="default" w:ascii="宋体" w:hAnsi="宋体" w:cs="宋体"/>
          <w:b/>
          <w:sz w:val="24"/>
        </w:rPr>
      </w:pPr>
      <w:bookmarkStart w:id="227" w:name="_Toc8538"/>
      <w:bookmarkStart w:id="228" w:name="_Toc15794"/>
      <w:bookmarkStart w:id="229" w:name="_Toc16064"/>
      <w:bookmarkStart w:id="230" w:name="_Toc9460"/>
      <w:bookmarkStart w:id="231" w:name="_Toc18812"/>
      <w:r>
        <w:rPr>
          <w:rFonts w:ascii="宋体" w:hAnsi="宋体" w:cs="宋体"/>
          <w:b/>
          <w:szCs w:val="21"/>
        </w:rPr>
        <w:t>磋商截止时间</w:t>
      </w:r>
      <w:bookmarkEnd w:id="227"/>
      <w:bookmarkEnd w:id="228"/>
      <w:bookmarkEnd w:id="229"/>
      <w:bookmarkEnd w:id="230"/>
      <w:bookmarkEnd w:id="231"/>
    </w:p>
    <w:p>
      <w:pPr>
        <w:numPr>
          <w:ilvl w:val="1"/>
          <w:numId w:val="12"/>
        </w:numPr>
        <w:snapToGrid w:val="0"/>
        <w:spacing w:line="360" w:lineRule="auto"/>
        <w:rPr>
          <w:rFonts w:hint="default" w:ascii="宋体" w:hAnsi="宋体" w:cs="宋体"/>
        </w:rPr>
      </w:pPr>
      <w:r>
        <w:rPr>
          <w:rFonts w:ascii="宋体" w:hAnsi="宋体" w:cs="宋体"/>
          <w:szCs w:val="21"/>
        </w:rPr>
        <w:t>本次采购的磋商开始时间及磋商响应文件递交截止时间：见本磋商文件“竞争性磋商公告”。供应商应当在磋商文件规定的截止时间前完成电子加密响应文件及备份响应文件的递交，截止时间后递交的响应文件，将被拒收。</w:t>
      </w:r>
    </w:p>
    <w:p>
      <w:pPr>
        <w:numPr>
          <w:ilvl w:val="1"/>
          <w:numId w:val="12"/>
        </w:numPr>
        <w:snapToGrid w:val="0"/>
        <w:spacing w:line="360" w:lineRule="auto"/>
        <w:rPr>
          <w:rFonts w:hint="default" w:ascii="宋体" w:hAnsi="宋体" w:cs="宋体"/>
        </w:rPr>
      </w:pPr>
      <w:r>
        <w:rPr>
          <w:rFonts w:ascii="宋体" w:hAnsi="宋体" w:cs="宋体"/>
        </w:rPr>
        <w:t>在推迟了磋商开始时间的情况下，采购代理机构、采购人和磋商供应商受制约的所有权利和义务均应延长至新的截止时间。</w:t>
      </w:r>
    </w:p>
    <w:p>
      <w:pPr>
        <w:tabs>
          <w:tab w:val="left" w:pos="840"/>
        </w:tabs>
        <w:spacing w:before="156" w:beforeLines="50" w:after="156" w:afterLines="50" w:line="380" w:lineRule="exact"/>
        <w:jc w:val="center"/>
        <w:outlineLvl w:val="9"/>
        <w:rPr>
          <w:rFonts w:hint="default" w:ascii="宋体" w:hAnsi="宋体" w:cs="宋体"/>
          <w:sz w:val="24"/>
          <w:szCs w:val="24"/>
        </w:rPr>
      </w:pPr>
      <w:bookmarkStart w:id="232" w:name="_Toc3194"/>
      <w:bookmarkStart w:id="233" w:name="_Toc29862"/>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ascii="宋体" w:hAnsi="宋体" w:cs="宋体"/>
          <w:sz w:val="24"/>
        </w:rPr>
      </w:pPr>
    </w:p>
    <w:p>
      <w:pPr>
        <w:outlineLvl w:val="9"/>
        <w:rPr>
          <w:rFonts w:hint="default" w:ascii="宋体" w:hAnsi="宋体" w:cs="宋体"/>
          <w:sz w:val="24"/>
        </w:rPr>
      </w:pPr>
    </w:p>
    <w:p>
      <w:pPr>
        <w:pStyle w:val="2"/>
        <w:outlineLvl w:val="9"/>
        <w:rPr>
          <w:rFonts w:hint="default"/>
        </w:rPr>
      </w:pPr>
    </w:p>
    <w:p>
      <w:pPr>
        <w:tabs>
          <w:tab w:val="left" w:pos="840"/>
        </w:tabs>
        <w:spacing w:before="156" w:beforeLines="50" w:after="156" w:afterLines="50" w:line="380" w:lineRule="exact"/>
        <w:jc w:val="center"/>
        <w:outlineLvl w:val="9"/>
        <w:rPr>
          <w:rFonts w:hint="default" w:ascii="宋体" w:hAnsi="宋体" w:cs="宋体"/>
          <w:sz w:val="24"/>
          <w:szCs w:val="24"/>
        </w:rPr>
      </w:pPr>
    </w:p>
    <w:p>
      <w:pPr>
        <w:tabs>
          <w:tab w:val="left" w:pos="840"/>
        </w:tabs>
        <w:spacing w:before="156" w:beforeLines="50" w:after="156" w:afterLines="50" w:line="380" w:lineRule="exact"/>
        <w:outlineLvl w:val="9"/>
        <w:rPr>
          <w:rFonts w:hint="default" w:ascii="宋体" w:hAnsi="宋体" w:cs="宋体"/>
          <w:sz w:val="24"/>
          <w:szCs w:val="24"/>
        </w:rPr>
      </w:pPr>
    </w:p>
    <w:p>
      <w:pPr>
        <w:tabs>
          <w:tab w:val="left" w:pos="840"/>
        </w:tabs>
        <w:spacing w:before="156" w:beforeLines="50" w:after="156" w:afterLines="50" w:line="380" w:lineRule="exact"/>
        <w:outlineLvl w:val="9"/>
        <w:rPr>
          <w:rFonts w:hint="default" w:ascii="宋体" w:hAnsi="宋体" w:cs="宋体"/>
          <w:sz w:val="24"/>
          <w:szCs w:val="24"/>
        </w:rPr>
      </w:pPr>
    </w:p>
    <w:p>
      <w:pPr>
        <w:rPr>
          <w:rFonts w:hint="default" w:ascii="宋体" w:hAnsi="宋体" w:cs="宋体"/>
          <w:sz w:val="24"/>
          <w:szCs w:val="24"/>
        </w:rPr>
      </w:pPr>
    </w:p>
    <w:p>
      <w:pPr>
        <w:tabs>
          <w:tab w:val="left" w:pos="840"/>
        </w:tabs>
        <w:rPr>
          <w:rFonts w:hint="default"/>
        </w:rPr>
      </w:pPr>
    </w:p>
    <w:p>
      <w:pPr>
        <w:rPr>
          <w:rFonts w:hint="default"/>
        </w:rPr>
      </w:pPr>
    </w:p>
    <w:p>
      <w:pPr>
        <w:pStyle w:val="4"/>
        <w:spacing w:before="156" w:beforeLines="50" w:after="156" w:afterLines="50" w:line="360" w:lineRule="auto"/>
        <w:jc w:val="center"/>
        <w:rPr>
          <w:rFonts w:hint="default" w:ascii="宋体" w:hAnsi="宋体" w:cs="宋体"/>
          <w:sz w:val="24"/>
          <w:szCs w:val="24"/>
        </w:rPr>
      </w:pPr>
      <w:bookmarkStart w:id="234" w:name="_Toc29990"/>
      <w:bookmarkStart w:id="235" w:name="_Toc21398"/>
      <w:bookmarkStart w:id="236" w:name="_Toc31912"/>
      <w:bookmarkStart w:id="237" w:name="_Toc1310"/>
      <w:bookmarkStart w:id="238" w:name="_Toc32322"/>
      <w:bookmarkStart w:id="239" w:name="_Toc31387"/>
      <w:r>
        <w:rPr>
          <w:rFonts w:ascii="宋体" w:hAnsi="宋体" w:cs="宋体"/>
          <w:bCs w:val="0"/>
          <w:sz w:val="24"/>
          <w:szCs w:val="24"/>
        </w:rPr>
        <w:t>（六）磋商与评审</w:t>
      </w:r>
      <w:bookmarkEnd w:id="232"/>
      <w:bookmarkEnd w:id="233"/>
      <w:bookmarkEnd w:id="234"/>
      <w:bookmarkEnd w:id="235"/>
      <w:bookmarkEnd w:id="236"/>
      <w:bookmarkEnd w:id="237"/>
      <w:bookmarkEnd w:id="238"/>
      <w:bookmarkEnd w:id="239"/>
    </w:p>
    <w:p>
      <w:pPr>
        <w:numPr>
          <w:ilvl w:val="0"/>
          <w:numId w:val="12"/>
        </w:numPr>
        <w:snapToGrid w:val="0"/>
        <w:spacing w:line="360" w:lineRule="auto"/>
        <w:outlineLvl w:val="2"/>
        <w:rPr>
          <w:rFonts w:hint="default" w:ascii="宋体" w:hAnsi="宋体" w:cs="宋体"/>
          <w:b/>
          <w:szCs w:val="21"/>
        </w:rPr>
      </w:pPr>
      <w:bookmarkStart w:id="240" w:name="_Toc21421"/>
      <w:bookmarkStart w:id="241" w:name="_Toc17545"/>
      <w:bookmarkStart w:id="242" w:name="_Toc6651"/>
      <w:bookmarkStart w:id="243" w:name="_Toc30395"/>
      <w:bookmarkStart w:id="244" w:name="_Toc25714"/>
      <w:r>
        <w:rPr>
          <w:rFonts w:ascii="宋体" w:hAnsi="宋体" w:cs="宋体"/>
          <w:b/>
          <w:szCs w:val="21"/>
        </w:rPr>
        <w:t>磋商</w:t>
      </w:r>
      <w:bookmarkEnd w:id="240"/>
      <w:bookmarkEnd w:id="241"/>
      <w:bookmarkEnd w:id="242"/>
      <w:bookmarkEnd w:id="243"/>
      <w:bookmarkEnd w:id="244"/>
    </w:p>
    <w:p>
      <w:pPr>
        <w:numPr>
          <w:ilvl w:val="1"/>
          <w:numId w:val="12"/>
        </w:numPr>
        <w:snapToGrid w:val="0"/>
        <w:spacing w:line="360" w:lineRule="auto"/>
        <w:rPr>
          <w:rFonts w:hint="default" w:ascii="宋体" w:hAnsi="宋体" w:cs="宋体"/>
        </w:rPr>
      </w:pPr>
      <w:r>
        <w:rPr>
          <w:rFonts w:ascii="宋体" w:hAnsi="宋体" w:cs="宋体"/>
        </w:rPr>
        <w:t>磋商时间和地点：见本磋商文件“竞争性磋商公告”。</w:t>
      </w:r>
    </w:p>
    <w:p>
      <w:pPr>
        <w:numPr>
          <w:ilvl w:val="1"/>
          <w:numId w:val="12"/>
        </w:numPr>
        <w:snapToGrid w:val="0"/>
        <w:spacing w:line="360" w:lineRule="auto"/>
        <w:rPr>
          <w:rFonts w:hint="default" w:ascii="宋体" w:hAnsi="宋体" w:cs="宋体"/>
        </w:rPr>
      </w:pPr>
      <w:r>
        <w:rPr>
          <w:rFonts w:ascii="宋体" w:hAnsi="宋体" w:cs="宋体"/>
          <w:szCs w:val="21"/>
        </w:rPr>
        <w:t>供应商应当在接到解密通知后30分钟内自行完成“电子加密响应文件”的在线解密。</w:t>
      </w:r>
    </w:p>
    <w:p>
      <w:pPr>
        <w:numPr>
          <w:ilvl w:val="0"/>
          <w:numId w:val="12"/>
        </w:numPr>
        <w:snapToGrid w:val="0"/>
        <w:spacing w:line="360" w:lineRule="auto"/>
        <w:outlineLvl w:val="2"/>
        <w:rPr>
          <w:rFonts w:hint="default" w:ascii="宋体" w:hAnsi="宋体" w:cs="宋体"/>
          <w:b/>
        </w:rPr>
      </w:pPr>
      <w:bookmarkStart w:id="245" w:name="_Toc10029"/>
      <w:bookmarkStart w:id="246" w:name="_Toc30162"/>
      <w:bookmarkStart w:id="247" w:name="_Toc31570"/>
      <w:bookmarkStart w:id="248" w:name="_Toc21416"/>
      <w:bookmarkStart w:id="249" w:name="_Toc11884"/>
      <w:r>
        <w:rPr>
          <w:rFonts w:ascii="宋体" w:hAnsi="宋体" w:cs="宋体"/>
          <w:b/>
        </w:rPr>
        <w:t>开标程序</w:t>
      </w:r>
      <w:bookmarkEnd w:id="245"/>
      <w:bookmarkEnd w:id="246"/>
      <w:bookmarkEnd w:id="247"/>
      <w:bookmarkEnd w:id="248"/>
      <w:bookmarkEnd w:id="249"/>
    </w:p>
    <w:p>
      <w:pPr>
        <w:numPr>
          <w:ilvl w:val="1"/>
          <w:numId w:val="12"/>
        </w:numPr>
        <w:snapToGrid w:val="0"/>
        <w:spacing w:line="360" w:lineRule="auto"/>
        <w:rPr>
          <w:rFonts w:hint="default" w:ascii="宋体" w:hAnsi="宋体" w:cs="宋体"/>
          <w:szCs w:val="21"/>
        </w:rPr>
      </w:pPr>
      <w:r>
        <w:rPr>
          <w:rFonts w:ascii="宋体" w:hAnsi="宋体" w:cs="宋体"/>
          <w:szCs w:val="21"/>
        </w:rPr>
        <w:t>采购代理机构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numPr>
          <w:ilvl w:val="1"/>
          <w:numId w:val="12"/>
        </w:numPr>
        <w:snapToGrid w:val="0"/>
        <w:spacing w:line="360" w:lineRule="auto"/>
        <w:rPr>
          <w:rFonts w:hint="default" w:ascii="宋体" w:hAnsi="宋体" w:cs="宋体"/>
          <w:b/>
          <w:bCs/>
          <w:szCs w:val="21"/>
        </w:rPr>
      </w:pPr>
      <w:r>
        <w:rPr>
          <w:rFonts w:ascii="宋体" w:hAnsi="宋体" w:cs="宋体"/>
          <w:b/>
          <w:bCs/>
          <w:szCs w:val="21"/>
        </w:rPr>
        <w:t>响应文件解密结束后，各供应商签署《政府采购活动现场确认声明书》，并在15分钟内以扫描件方式发送至代理机构邮箱。</w:t>
      </w:r>
    </w:p>
    <w:p>
      <w:pPr>
        <w:numPr>
          <w:ilvl w:val="1"/>
          <w:numId w:val="12"/>
        </w:numPr>
        <w:snapToGrid w:val="0"/>
        <w:spacing w:line="360" w:lineRule="auto"/>
        <w:rPr>
          <w:rFonts w:hint="default" w:ascii="宋体" w:hAnsi="宋体" w:cs="宋体"/>
          <w:szCs w:val="21"/>
        </w:rPr>
      </w:pPr>
      <w:r>
        <w:rPr>
          <w:rFonts w:ascii="宋体" w:hAnsi="宋体" w:cs="宋体"/>
          <w:szCs w:val="21"/>
        </w:rPr>
        <w:t>由代理机构根据法律法规和磋商文件的规定，检查响应文件提供的资格证明文件是否齐全、是否满足磋商文件的要求，若资格审查不符合磋商文件要求，不进入后续评审阶段。</w:t>
      </w:r>
    </w:p>
    <w:p>
      <w:pPr>
        <w:numPr>
          <w:ilvl w:val="1"/>
          <w:numId w:val="12"/>
        </w:numPr>
        <w:snapToGrid w:val="0"/>
        <w:spacing w:line="360" w:lineRule="auto"/>
        <w:rPr>
          <w:rFonts w:hint="default" w:ascii="宋体" w:hAnsi="宋体" w:cs="宋体"/>
          <w:szCs w:val="21"/>
        </w:rPr>
      </w:pPr>
      <w:r>
        <w:rPr>
          <w:rFonts w:ascii="宋体" w:hAnsi="宋体" w:cs="宋体"/>
          <w:szCs w:val="21"/>
        </w:rPr>
        <w:t>磋商小组对响应文件进行符合性审查，符合性审查不通过的供应商，不再进入后续评审阶段。</w:t>
      </w:r>
    </w:p>
    <w:p>
      <w:pPr>
        <w:numPr>
          <w:ilvl w:val="1"/>
          <w:numId w:val="12"/>
        </w:numPr>
        <w:snapToGrid w:val="0"/>
        <w:spacing w:line="360" w:lineRule="auto"/>
        <w:rPr>
          <w:rFonts w:hint="default" w:ascii="宋体" w:hAnsi="宋体" w:cs="宋体"/>
          <w:szCs w:val="21"/>
        </w:rPr>
      </w:pPr>
      <w:r>
        <w:rPr>
          <w:rFonts w:ascii="宋体" w:hAnsi="宋体" w:cs="宋体"/>
          <w:szCs w:val="21"/>
        </w:rPr>
        <w:t>磋商小组认为需要磋商的，磋商小组与各供应商在线进行磋商并确定最终方案。</w:t>
      </w:r>
    </w:p>
    <w:p>
      <w:pPr>
        <w:numPr>
          <w:ilvl w:val="1"/>
          <w:numId w:val="12"/>
        </w:numPr>
        <w:snapToGrid w:val="0"/>
        <w:spacing w:line="360" w:lineRule="auto"/>
        <w:rPr>
          <w:rFonts w:hint="default" w:ascii="宋体" w:hAnsi="宋体" w:cs="宋体"/>
          <w:szCs w:val="21"/>
        </w:rPr>
      </w:pPr>
      <w:r>
        <w:rPr>
          <w:rFonts w:ascii="宋体" w:hAnsi="宋体" w:cs="宋体"/>
          <w:szCs w:val="21"/>
        </w:rPr>
        <w:t>供应商按照磋商文件的变动情况和磋商小组的要求重新提交响应文件。</w:t>
      </w:r>
    </w:p>
    <w:p>
      <w:pPr>
        <w:numPr>
          <w:ilvl w:val="1"/>
          <w:numId w:val="12"/>
        </w:numPr>
        <w:snapToGrid w:val="0"/>
        <w:spacing w:line="360" w:lineRule="auto"/>
        <w:rPr>
          <w:rFonts w:hint="default" w:ascii="宋体" w:hAnsi="宋体" w:cs="宋体"/>
          <w:szCs w:val="21"/>
        </w:rPr>
      </w:pPr>
      <w:r>
        <w:rPr>
          <w:rFonts w:ascii="宋体" w:hAnsi="宋体" w:cs="宋体"/>
          <w:szCs w:val="21"/>
        </w:rPr>
        <w:t>磋商小组在线要求所有实质性响应供应商进行最后报价。</w:t>
      </w:r>
      <w:r>
        <w:rPr>
          <w:rFonts w:ascii="宋体" w:hAnsi="宋体" w:cs="宋体"/>
          <w:szCs w:val="21"/>
        </w:rPr>
        <w:tab/>
      </w:r>
    </w:p>
    <w:p>
      <w:pPr>
        <w:numPr>
          <w:ilvl w:val="1"/>
          <w:numId w:val="12"/>
        </w:numPr>
        <w:snapToGrid w:val="0"/>
        <w:spacing w:line="360" w:lineRule="auto"/>
        <w:rPr>
          <w:rFonts w:hint="default" w:ascii="宋体" w:hAnsi="宋体" w:cs="宋体"/>
          <w:szCs w:val="21"/>
        </w:rPr>
      </w:pPr>
      <w:r>
        <w:rPr>
          <w:rFonts w:ascii="宋体" w:hAnsi="宋体" w:cs="宋体"/>
          <w:szCs w:val="21"/>
        </w:rPr>
        <w:t>由磋商小组采用综合评分法对提交最后报价的供应商的响应文件和最后报价进行综合评分。</w:t>
      </w:r>
    </w:p>
    <w:p>
      <w:pPr>
        <w:numPr>
          <w:ilvl w:val="1"/>
          <w:numId w:val="12"/>
        </w:numPr>
        <w:snapToGrid w:val="0"/>
        <w:spacing w:line="360" w:lineRule="auto"/>
        <w:rPr>
          <w:rFonts w:hint="default" w:ascii="宋体" w:hAnsi="宋体" w:cs="宋体"/>
          <w:szCs w:val="21"/>
        </w:rPr>
      </w:pPr>
      <w:r>
        <w:rPr>
          <w:rFonts w:ascii="宋体" w:hAnsi="宋体" w:cs="宋体"/>
          <w:szCs w:val="21"/>
        </w:rPr>
        <w:t>磋商小组根据综合评分情况，按照评审得分由高到低顺序推荐成交候选供应商。</w:t>
      </w:r>
    </w:p>
    <w:p>
      <w:pPr>
        <w:numPr>
          <w:ilvl w:val="1"/>
          <w:numId w:val="12"/>
        </w:numPr>
        <w:snapToGrid w:val="0"/>
        <w:spacing w:line="360" w:lineRule="auto"/>
        <w:rPr>
          <w:rFonts w:hint="default" w:ascii="宋体" w:hAnsi="宋体" w:cs="宋体"/>
          <w:szCs w:val="21"/>
        </w:rPr>
      </w:pPr>
      <w:r>
        <w:rPr>
          <w:rFonts w:ascii="宋体" w:hAnsi="宋体" w:cs="宋体"/>
          <w:szCs w:val="21"/>
        </w:rPr>
        <w:t>在系统上公布评审结果。</w:t>
      </w:r>
    </w:p>
    <w:p>
      <w:pPr>
        <w:spacing w:line="360" w:lineRule="auto"/>
        <w:rPr>
          <w:rFonts w:hint="default" w:ascii="宋体" w:hAnsi="宋体" w:cs="宋体"/>
          <w:b/>
          <w:bCs/>
          <w:szCs w:val="21"/>
        </w:rPr>
      </w:pPr>
      <w:r>
        <w:rPr>
          <w:rFonts w:ascii="宋体" w:hAnsi="宋体" w:cs="宋体"/>
          <w:b/>
          <w:bCs/>
          <w:szCs w:val="21"/>
        </w:rPr>
        <w:t>特别说明：政采云公司如对电子化开标及评审程序有调整的，按调整后的程序操作。</w:t>
      </w:r>
    </w:p>
    <w:p>
      <w:pPr>
        <w:numPr>
          <w:ilvl w:val="0"/>
          <w:numId w:val="12"/>
        </w:numPr>
        <w:spacing w:line="360" w:lineRule="auto"/>
        <w:outlineLvl w:val="2"/>
        <w:rPr>
          <w:rFonts w:hint="default" w:ascii="宋体" w:hAnsi="宋体" w:cs="宋体"/>
          <w:b/>
          <w:szCs w:val="21"/>
        </w:rPr>
      </w:pPr>
      <w:bookmarkStart w:id="250" w:name="_Toc1306"/>
      <w:bookmarkStart w:id="251" w:name="_Toc8779"/>
      <w:bookmarkStart w:id="252" w:name="_Toc14180"/>
      <w:bookmarkStart w:id="253" w:name="_Toc22155"/>
      <w:bookmarkStart w:id="254" w:name="_Toc4389"/>
      <w:r>
        <w:rPr>
          <w:rFonts w:ascii="宋体" w:hAnsi="宋体" w:cs="宋体"/>
          <w:b/>
          <w:szCs w:val="21"/>
        </w:rPr>
        <w:t>磋商小组</w:t>
      </w:r>
      <w:bookmarkEnd w:id="250"/>
      <w:bookmarkEnd w:id="251"/>
      <w:bookmarkEnd w:id="252"/>
      <w:bookmarkEnd w:id="253"/>
      <w:bookmarkEnd w:id="254"/>
    </w:p>
    <w:p>
      <w:pPr>
        <w:numPr>
          <w:ilvl w:val="1"/>
          <w:numId w:val="12"/>
        </w:numPr>
        <w:snapToGrid w:val="0"/>
        <w:spacing w:line="360" w:lineRule="auto"/>
        <w:rPr>
          <w:rFonts w:hint="default" w:ascii="宋体" w:hAnsi="宋体" w:cs="宋体"/>
        </w:rPr>
      </w:pPr>
      <w:r>
        <w:rPr>
          <w:rFonts w:ascii="宋体" w:hAnsi="宋体" w:cs="宋体"/>
        </w:rPr>
        <w:t>本次采购依法组建磋商小组。磋商小组由采购人的代表和有关专家共三人以上的单数组成，其中专家的人数不得少于成员总数的三分之二。</w:t>
      </w:r>
    </w:p>
    <w:p>
      <w:pPr>
        <w:numPr>
          <w:ilvl w:val="0"/>
          <w:numId w:val="12"/>
        </w:numPr>
        <w:spacing w:line="360" w:lineRule="auto"/>
        <w:outlineLvl w:val="2"/>
        <w:rPr>
          <w:rFonts w:hint="default" w:ascii="宋体" w:hAnsi="宋体" w:cs="宋体"/>
          <w:b/>
          <w:szCs w:val="21"/>
        </w:rPr>
      </w:pPr>
      <w:bookmarkStart w:id="255" w:name="_Toc9101"/>
      <w:bookmarkStart w:id="256" w:name="_Toc29754"/>
      <w:bookmarkStart w:id="257" w:name="_Toc5260"/>
      <w:bookmarkStart w:id="258" w:name="_Toc26774"/>
      <w:bookmarkStart w:id="259" w:name="_Toc16082"/>
      <w:r>
        <w:rPr>
          <w:rFonts w:ascii="宋体" w:hAnsi="宋体" w:cs="宋体"/>
          <w:b/>
          <w:szCs w:val="21"/>
        </w:rPr>
        <w:t>磋商工作程序</w:t>
      </w:r>
      <w:bookmarkEnd w:id="255"/>
      <w:bookmarkEnd w:id="256"/>
      <w:bookmarkEnd w:id="257"/>
      <w:bookmarkEnd w:id="258"/>
      <w:bookmarkEnd w:id="259"/>
    </w:p>
    <w:p>
      <w:pPr>
        <w:snapToGrid w:val="0"/>
        <w:spacing w:line="360" w:lineRule="auto"/>
        <w:ind w:left="823" w:hanging="823" w:hangingChars="392"/>
        <w:rPr>
          <w:rFonts w:hint="default" w:ascii="宋体" w:hAnsi="宋体" w:cs="宋体"/>
          <w:szCs w:val="21"/>
        </w:rPr>
      </w:pPr>
      <w:r>
        <w:rPr>
          <w:rFonts w:ascii="宋体" w:hAnsi="宋体" w:cs="宋体"/>
          <w:szCs w:val="21"/>
        </w:rPr>
        <w:t>26.1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ascii="宋体" w:hAnsi="宋体" w:cs="宋体"/>
          <w:b/>
          <w:bCs/>
          <w:szCs w:val="21"/>
        </w:rPr>
        <w:t>磋商小组将以书面通过“政府采购云平台”在线询标的形式要求磋商供应商在规定的时间内作出必要的澄清、说明或者补正。磋商供应商的澄清、说明或者补正应当采用书面通过通过“政府采购云平台”在线答复形式提交，并加盖</w:t>
      </w:r>
      <w:r>
        <w:rPr>
          <w:rFonts w:ascii="宋体" w:hAnsi="宋体" w:cs="宋体"/>
          <w:b/>
          <w:bCs/>
        </w:rPr>
        <w:t>电子签章</w:t>
      </w:r>
      <w:r>
        <w:rPr>
          <w:rFonts w:ascii="宋体" w:hAnsi="宋体" w:cs="宋体"/>
          <w:b/>
          <w:bCs/>
          <w:szCs w:val="21"/>
        </w:rPr>
        <w:t>，或者由法定代表人或其授权的代表签字。</w:t>
      </w:r>
    </w:p>
    <w:p>
      <w:pPr>
        <w:snapToGrid w:val="0"/>
        <w:spacing w:line="360" w:lineRule="auto"/>
        <w:ind w:left="823" w:hanging="823" w:hangingChars="392"/>
        <w:rPr>
          <w:rFonts w:hint="default" w:ascii="宋体" w:hAnsi="宋体" w:cs="宋体"/>
          <w:szCs w:val="21"/>
        </w:rPr>
      </w:pPr>
      <w:r>
        <w:rPr>
          <w:rFonts w:ascii="宋体" w:hAnsi="宋体" w:cs="宋体"/>
          <w:szCs w:val="21"/>
        </w:rPr>
        <w:t>26.2    磋商小组所有成员集中与单一磋商供应商分别进行磋商。</w:t>
      </w:r>
      <w:r>
        <w:rPr>
          <w:rFonts w:ascii="宋体" w:hAnsi="宋体" w:cs="宋体"/>
        </w:rPr>
        <w:t>磋商的顺序，按供应商解密响应文件时间的先后顺序进行在线磋商。</w:t>
      </w:r>
      <w:r>
        <w:rPr>
          <w:rFonts w:ascii="宋体" w:hAnsi="宋体" w:cs="宋体"/>
          <w:szCs w:val="21"/>
        </w:rPr>
        <w:t>在磋商中，磋商的任何一方不得透露与磋商有关的其他磋商供应商的技术资料、价格和其他信息。</w:t>
      </w:r>
    </w:p>
    <w:p>
      <w:pPr>
        <w:snapToGrid w:val="0"/>
        <w:spacing w:line="360" w:lineRule="auto"/>
        <w:ind w:left="823" w:hanging="823" w:hangingChars="392"/>
        <w:rPr>
          <w:rFonts w:hint="default" w:ascii="宋体" w:hAnsi="宋体" w:cs="宋体"/>
          <w:szCs w:val="21"/>
        </w:rPr>
      </w:pPr>
      <w:r>
        <w:rPr>
          <w:rFonts w:ascii="宋体" w:hAnsi="宋体" w:cs="宋体"/>
          <w:szCs w:val="21"/>
        </w:rPr>
        <w:t>26.3    在磋商过程中，磋商小组可以根据磋商文件和磋商情况实质性变动采购需求中的技术、服务要求以及合同草案条款。对磋商文件作出的实质性变动是磋商文件的有效组成部分，供应商应当按照磋商文件的变动情况和磋商小组的要求重新提交响应文件，并由其法定代表人或授权代表签字或者加盖电子签章。由授权代表签字的，应当附法定代表人授权书。供应商为自然人的，应当由本人签字并附身份证明。各供应商提供的磋商响应文件如已完全响应本磋商响应文件技术和服务要求的，经采购人和磋商小组认定后，不再组织逐一磋商。首轮报价不公开。</w:t>
      </w:r>
    </w:p>
    <w:p>
      <w:pPr>
        <w:snapToGrid w:val="0"/>
        <w:spacing w:line="360" w:lineRule="auto"/>
        <w:ind w:left="823" w:hanging="823" w:hangingChars="392"/>
        <w:rPr>
          <w:rFonts w:hint="default" w:ascii="宋体" w:hAnsi="宋体" w:cs="宋体"/>
          <w:szCs w:val="21"/>
        </w:rPr>
      </w:pPr>
      <w:r>
        <w:rPr>
          <w:rFonts w:ascii="宋体" w:hAnsi="宋体" w:cs="宋体"/>
          <w:szCs w:val="21"/>
        </w:rPr>
        <w:t>26.4    磋商结束后，磋商小组要求所有实质性响应的供应商在规定时间内在线提交最后报价。最后报价是供应商响应文件的有效组成部分。</w:t>
      </w:r>
    </w:p>
    <w:p>
      <w:pPr>
        <w:snapToGrid w:val="0"/>
        <w:spacing w:line="360" w:lineRule="auto"/>
        <w:ind w:left="823" w:hanging="823" w:hangingChars="392"/>
        <w:rPr>
          <w:rFonts w:hint="default" w:ascii="宋体" w:hAnsi="宋体" w:cs="宋体"/>
          <w:szCs w:val="21"/>
        </w:rPr>
      </w:pPr>
      <w:r>
        <w:rPr>
          <w:rFonts w:ascii="宋体" w:hAnsi="宋体" w:cs="宋体"/>
          <w:szCs w:val="21"/>
        </w:rPr>
        <w:t>26.5    如磋商小组一致认为某个磋商供应商的报价明显不合理，有降低服务质量、不能诚信履行及不正当竞争的可能时，磋商小组有权通知磋商供应商限期进行解释。若该磋商供应商未在规定期限内做出解释，或做出的解释不合理并拒绝改变，经磋商小组取得一致意见后，可确定拒绝该报价。</w:t>
      </w:r>
    </w:p>
    <w:p>
      <w:pPr>
        <w:snapToGrid w:val="0"/>
        <w:spacing w:line="360" w:lineRule="auto"/>
        <w:ind w:left="823" w:hanging="823" w:hangingChars="392"/>
        <w:rPr>
          <w:rFonts w:hint="default" w:ascii="宋体" w:hAnsi="宋体" w:cs="宋体"/>
          <w:szCs w:val="21"/>
        </w:rPr>
      </w:pPr>
      <w:r>
        <w:rPr>
          <w:rFonts w:ascii="宋体" w:hAnsi="宋体" w:cs="宋体"/>
          <w:szCs w:val="21"/>
        </w:rPr>
        <w:t>26.6    经磋商确定最终采购需求和提交最后报价的供应商后，由磋商小组采用综合评分法对提交最后报价的供应商的响应文件和最后报价进行综合评分。</w:t>
      </w:r>
    </w:p>
    <w:p>
      <w:pPr>
        <w:numPr>
          <w:ilvl w:val="0"/>
          <w:numId w:val="12"/>
        </w:numPr>
        <w:spacing w:line="360" w:lineRule="auto"/>
        <w:outlineLvl w:val="2"/>
        <w:rPr>
          <w:rFonts w:hint="default" w:ascii="宋体" w:hAnsi="宋体" w:cs="宋体"/>
          <w:b/>
          <w:sz w:val="24"/>
          <w:szCs w:val="22"/>
        </w:rPr>
      </w:pPr>
      <w:bookmarkStart w:id="260" w:name="_Toc20307"/>
      <w:bookmarkStart w:id="261" w:name="_Toc27456"/>
      <w:bookmarkStart w:id="262" w:name="_Toc19705"/>
      <w:bookmarkStart w:id="263" w:name="_Toc6911"/>
      <w:bookmarkStart w:id="264" w:name="_Toc29723"/>
      <w:r>
        <w:rPr>
          <w:rFonts w:ascii="宋体" w:hAnsi="宋体" w:cs="宋体"/>
          <w:b/>
        </w:rPr>
        <w:t>评审</w:t>
      </w:r>
      <w:bookmarkEnd w:id="260"/>
      <w:bookmarkEnd w:id="261"/>
      <w:bookmarkEnd w:id="262"/>
      <w:bookmarkEnd w:id="263"/>
      <w:bookmarkEnd w:id="264"/>
      <w:r>
        <w:rPr>
          <w:rFonts w:ascii="宋体" w:hAnsi="宋体" w:cs="宋体"/>
          <w:b/>
          <w:sz w:val="24"/>
          <w:szCs w:val="22"/>
        </w:rPr>
        <w:t xml:space="preserve"> </w:t>
      </w:r>
    </w:p>
    <w:p>
      <w:pPr>
        <w:numPr>
          <w:ilvl w:val="1"/>
          <w:numId w:val="12"/>
        </w:numPr>
        <w:tabs>
          <w:tab w:val="left" w:pos="0"/>
        </w:tabs>
        <w:snapToGrid w:val="0"/>
        <w:spacing w:line="360" w:lineRule="auto"/>
        <w:rPr>
          <w:rFonts w:hint="default" w:ascii="宋体" w:hAnsi="宋体" w:cs="宋体"/>
        </w:rPr>
      </w:pPr>
      <w:bookmarkStart w:id="265" w:name="OLE_LINK30"/>
      <w:r>
        <w:rPr>
          <w:rFonts w:ascii="宋体" w:hAnsi="宋体" w:cs="宋体"/>
        </w:rPr>
        <w:t>资格性检查：采购人或代理机构根据法律法规和磋商文件的规定，检查响应文件提供的资格证明文件是否齐全、是否满足磋商文件的要求。</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符合性检查</w:t>
      </w:r>
      <w:bookmarkEnd w:id="265"/>
      <w:r>
        <w:rPr>
          <w:rFonts w:ascii="宋体" w:hAnsi="宋体" w:cs="宋体"/>
          <w:szCs w:val="22"/>
        </w:rPr>
        <w:t>：磋商小组对符合资格的供应商进行符合性审查，以确定是否对磋商文件的实质性要求作出响应。</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▲在评审过程中，响应文件出现但不限于下列情况，按照无效报价处理：</w:t>
      </w:r>
    </w:p>
    <w:p>
      <w:pPr>
        <w:numPr>
          <w:ilvl w:val="0"/>
          <w:numId w:val="20"/>
        </w:numPr>
        <w:tabs>
          <w:tab w:val="left" w:pos="1060"/>
        </w:tabs>
        <w:spacing w:line="360" w:lineRule="auto"/>
        <w:ind w:left="1045" w:hanging="405"/>
        <w:rPr>
          <w:rFonts w:hint="default" w:ascii="宋体" w:hAnsi="宋体" w:cs="宋体"/>
          <w:szCs w:val="21"/>
        </w:rPr>
      </w:pPr>
      <w:r>
        <w:rPr>
          <w:rFonts w:hint="eastAsia" w:ascii="宋体" w:hAnsi="宋体" w:cs="宋体"/>
          <w:szCs w:val="21"/>
          <w:lang w:eastAsia="zh-CN"/>
        </w:rPr>
        <w:t>报价不是固定的或超过预算金额的或超过最高限价的</w:t>
      </w:r>
      <w:r>
        <w:rPr>
          <w:rFonts w:ascii="宋体" w:hAnsi="宋体" w:cs="宋体"/>
          <w:szCs w:val="21"/>
        </w:rPr>
        <w:t>；</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未在报价时限内提交最后报价的；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磋商小组认为响应文件未实质性响应磋商文件的要求的；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报价不是固定的或超过最高限价的；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在报价评审中，发现价格计算有误，又不接受磋商小组修正的报价；</w:t>
      </w:r>
    </w:p>
    <w:p>
      <w:pPr>
        <w:numPr>
          <w:ilvl w:val="0"/>
          <w:numId w:val="20"/>
        </w:numPr>
        <w:tabs>
          <w:tab w:val="left" w:pos="1060"/>
        </w:tabs>
        <w:spacing w:line="360" w:lineRule="auto"/>
        <w:ind w:left="1045" w:hanging="405"/>
        <w:rPr>
          <w:rFonts w:hint="default" w:ascii="宋体" w:hAnsi="宋体" w:cs="宋体"/>
        </w:rPr>
      </w:pPr>
      <w:r>
        <w:rPr>
          <w:rFonts w:ascii="宋体" w:hAnsi="宋体" w:cs="宋体"/>
          <w:szCs w:val="21"/>
        </w:rPr>
        <w:t>不具备磋商文件中规定资格要求的；</w:t>
      </w:r>
    </w:p>
    <w:p>
      <w:pPr>
        <w:numPr>
          <w:ilvl w:val="0"/>
          <w:numId w:val="20"/>
        </w:numPr>
        <w:tabs>
          <w:tab w:val="left" w:pos="1060"/>
        </w:tabs>
        <w:spacing w:line="360" w:lineRule="auto"/>
        <w:ind w:left="1045" w:hanging="405"/>
        <w:rPr>
          <w:rFonts w:hint="default" w:ascii="宋体" w:hAnsi="宋体" w:cs="宋体"/>
          <w:b/>
          <w:bCs/>
        </w:rPr>
      </w:pPr>
      <w:r>
        <w:rPr>
          <w:rFonts w:ascii="宋体" w:hAnsi="宋体" w:cs="宋体"/>
          <w:b/>
          <w:bCs/>
        </w:rPr>
        <w:t>未按规定提供关于满足《中华人民共和国政府采购法》第二十二条规定的承诺函的；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投标截止时间止，供应商仅递交了“备份响应文件”而未将电子加密投标文件上传至“政府采购云平台”的；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电子响应文件解密失败的，且未在规定时间内提交备份响应文件的；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未提供中小型企业声明函或磋商供应商不属于中小型企业的；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资格性审查</w:t>
      </w:r>
      <w:r>
        <w:rPr>
          <w:rFonts w:ascii="宋体" w:hAnsi="宋体" w:cs="宋体"/>
        </w:rPr>
        <w:t>、符合性审查不符合要求的；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存在串标、抬标或弄虚作假情况的；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b/>
          <w:bCs/>
          <w:szCs w:val="21"/>
        </w:rPr>
        <w:t>磋商响应文件中需签字或盖章的地方未加盖磋商供应商单位全称的电子签章，或使用投标专用章、合同章等类似图章代替，或未经法定代表人或其委托代理人签字或盖章；</w:t>
      </w:r>
      <w:r>
        <w:rPr>
          <w:rFonts w:ascii="宋体" w:hAnsi="宋体" w:cs="宋体"/>
        </w:rPr>
        <w:t xml:space="preserve"> </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磋商响应文件存在一个或一个以上备选（替代）投标方案的；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在磋商结束前，磋商供应商发生重大变化或变更，未及时告知采购人或不再具备磋商文件规定的资格条件或者其投标影响招标公正性的；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磋商小组认为磋商供应商的报价明显低于其他通过符合性审查供应商的报价，有可能影响产品质量或者不能诚信履约的，应当要求其在规定时间内作出书面说明，必要时提交相关证明材料，供应商不能证明其报价合理性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不是法定代表人未在磋商响应文件中提供有效法定代表人授权委托书的；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bCs/>
          <w:szCs w:val="21"/>
        </w:rPr>
        <w:t>被列入失信被执行人、重大税收违法案件当事人名单、政府采购严重违法失信行为记录名单的；</w:t>
      </w:r>
    </w:p>
    <w:p>
      <w:pPr>
        <w:numPr>
          <w:ilvl w:val="0"/>
          <w:numId w:val="20"/>
        </w:numPr>
        <w:tabs>
          <w:tab w:val="left" w:pos="1060"/>
        </w:tabs>
        <w:spacing w:line="360" w:lineRule="auto"/>
        <w:ind w:left="1045" w:hanging="405"/>
        <w:rPr>
          <w:rFonts w:hint="default" w:ascii="宋体" w:hAnsi="宋体" w:cs="宋体"/>
          <w:szCs w:val="21"/>
        </w:rPr>
      </w:pPr>
      <w:r>
        <w:rPr>
          <w:rFonts w:ascii="宋体" w:hAnsi="宋体" w:cs="宋体"/>
          <w:szCs w:val="21"/>
        </w:rPr>
        <w:t>不符合法律、法规和磋商文件中规定的其他实质性要求的。</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提供相同品牌产品且通过资格审查、符合性审查的不同投标人参加同一合同项下投标的，按一家投标人计算，评审后得分最高的同品牌磋商供应商获得成交供应商推荐资格；评审得分相同的，按以下规定确定一个磋商供应商获得成交供应商推荐资格：评审得分相同的，按照投标报价由低到高顺序推荐；评审得分且投标报价相同的，由磋商小组按照商务技术得分由高到低顺序推荐；评审得分、投标报价及商务技术得分均相同时，以政采云响应文件解密先后顺序确定。其他同品牌磋商供应商不作为成交候选人。若项目为非单一产品采购项目，采购人根据项目技术构成、产品价格比重等确定核心产品，并在磋商文件第三部分采购清单中注明。核心产品的数量确定为多个时,所有核心产品均为相同品牌才视为核心产品品牌相同。多家磋商供应商提供的核心产品品牌相同的，按上述规定处理。</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 xml:space="preserve">澄清有关问题： </w:t>
      </w:r>
    </w:p>
    <w:p>
      <w:pPr>
        <w:snapToGrid w:val="0"/>
        <w:spacing w:line="360" w:lineRule="auto"/>
        <w:ind w:left="838" w:hanging="837" w:hangingChars="399"/>
        <w:rPr>
          <w:rFonts w:hint="default" w:ascii="宋体" w:hAnsi="宋体" w:cs="宋体"/>
          <w:snapToGrid w:val="0"/>
          <w:szCs w:val="21"/>
        </w:rPr>
      </w:pPr>
      <w:r>
        <w:rPr>
          <w:rFonts w:ascii="宋体" w:hAnsi="宋体" w:cs="宋体"/>
          <w:snapToGrid w:val="0"/>
          <w:szCs w:val="21"/>
        </w:rPr>
        <w:t>27.5.1  为有助于对响应文件的审核、评价和比较。磋商小组对资格性检查和符合性检查合格的响应文件进行澄清，对响应文件中含义不明确、同类问题表述不一致或者有明显文字和计算错误的内容，</w:t>
      </w:r>
      <w:r>
        <w:rPr>
          <w:rFonts w:ascii="宋体" w:hAnsi="宋体" w:cs="宋体"/>
          <w:b/>
          <w:bCs/>
          <w:szCs w:val="21"/>
        </w:rPr>
        <w:t>磋商小组将以书面通过“政府采购云平台”在线询标的形式要求磋商供应商在规定的时间内作出必要的澄清、说明或者补正。磋商供应商的澄清、说明或者补正应当采用书面通过通过“政府采购云平台”在线答复形式提交，并加盖</w:t>
      </w:r>
      <w:r>
        <w:rPr>
          <w:rFonts w:ascii="宋体" w:hAnsi="宋体" w:cs="宋体"/>
          <w:b/>
          <w:bCs/>
        </w:rPr>
        <w:t>电子签章</w:t>
      </w:r>
      <w:r>
        <w:rPr>
          <w:rFonts w:ascii="宋体" w:hAnsi="宋体" w:cs="宋体"/>
          <w:b/>
          <w:bCs/>
          <w:szCs w:val="21"/>
        </w:rPr>
        <w:t>，或者由法定代表人或其授权的代表签字。</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磋商</w:t>
      </w:r>
      <w:r>
        <w:rPr>
          <w:rFonts w:ascii="宋体" w:hAnsi="宋体" w:cs="宋体"/>
          <w:snapToGrid w:val="0"/>
          <w:szCs w:val="21"/>
        </w:rPr>
        <w:t>小组详细分析、核准价格表，看其是否有计算上或累加上的算术错误，并按本磋商文件第六部分“评定办法”中所明确的原则、修正错误的方法，调整响应文件中的投标报价，并确定评标价。调整后的价格对磋商供应商具有约束力。如果磋商供应商不接受修正后的价格，则其投标将被拒绝。</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 xml:space="preserve">比较与评价：磋商小组按磋商文件中规定的评审方法和标准，对资格性检查和符合性检查合格的响应文件进行比较和评价；磋商小组对响应文件的判定，只依据响应文件内容本身，不依据任何外来证明。   </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磋商小组认为供应商的报价明显低于其他通过符合性审查供应商的报价，有可能影响产品质量或者不能诚信履约的，</w:t>
      </w:r>
      <w:r>
        <w:rPr>
          <w:rFonts w:ascii="宋体" w:hAnsi="宋体" w:cs="宋体"/>
          <w:szCs w:val="21"/>
        </w:rPr>
        <w:t>磋商小组有权通知磋商供应商限期进行解释。若该磋商供应商未在规定期限内做出解释，或做出的解释不合理并拒绝改变，经磋商小组取得一致意见后，可确定拒绝该报价。</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经磋商确定最终采购需求和提交最后报价的供应商后，由磋商小组采用综合评分法对提交最后报价的供应商的响应文件和最后报价进行综合评分。</w:t>
      </w:r>
    </w:p>
    <w:p>
      <w:pPr>
        <w:numPr>
          <w:ilvl w:val="1"/>
          <w:numId w:val="12"/>
        </w:numPr>
        <w:tabs>
          <w:tab w:val="left" w:pos="0"/>
        </w:tabs>
        <w:snapToGrid w:val="0"/>
        <w:spacing w:line="360" w:lineRule="auto"/>
        <w:rPr>
          <w:rFonts w:hint="default" w:ascii="宋体" w:hAnsi="宋体" w:cs="宋体"/>
          <w:szCs w:val="22"/>
        </w:rPr>
      </w:pPr>
      <w:r>
        <w:rPr>
          <w:rFonts w:ascii="宋体" w:hAnsi="宋体" w:cs="宋体"/>
          <w:szCs w:val="22"/>
        </w:rPr>
        <w:t>磋商小组根据综合评分情况，按照评审总得分由高到低顺序推荐成交候选供应商，并编写评审报告。评审总得分相同的，按照最后报价由低到高顺序排列；评审总得分且最后报价相同的，由磋商小组按照商务技术得分由高到低顺序推荐；评审总得分、最后报价及商务技术得分均相同时，以政采云响应文件解密先后顺序确定。</w:t>
      </w:r>
    </w:p>
    <w:p>
      <w:pPr>
        <w:numPr>
          <w:ilvl w:val="0"/>
          <w:numId w:val="12"/>
        </w:numPr>
        <w:spacing w:line="360" w:lineRule="auto"/>
        <w:outlineLvl w:val="2"/>
        <w:rPr>
          <w:rFonts w:hint="default" w:ascii="宋体" w:hAnsi="宋体" w:cs="宋体"/>
          <w:b/>
        </w:rPr>
      </w:pPr>
      <w:bookmarkStart w:id="266" w:name="_Toc4489"/>
      <w:bookmarkStart w:id="267" w:name="_Toc11620"/>
      <w:bookmarkStart w:id="268" w:name="_Toc27061"/>
      <w:bookmarkStart w:id="269" w:name="_Toc20231"/>
      <w:bookmarkStart w:id="270" w:name="_Toc30863"/>
      <w:r>
        <w:rPr>
          <w:rFonts w:ascii="宋体" w:hAnsi="宋体" w:cs="宋体"/>
          <w:b/>
        </w:rPr>
        <w:t>成交供应商的确定</w:t>
      </w:r>
      <w:bookmarkEnd w:id="266"/>
      <w:bookmarkEnd w:id="267"/>
      <w:bookmarkEnd w:id="268"/>
      <w:bookmarkEnd w:id="269"/>
      <w:bookmarkEnd w:id="270"/>
    </w:p>
    <w:p>
      <w:pPr>
        <w:snapToGrid w:val="0"/>
        <w:spacing w:line="360" w:lineRule="auto"/>
        <w:ind w:left="840" w:hanging="840" w:hangingChars="400"/>
        <w:rPr>
          <w:rFonts w:hint="default" w:ascii="宋体" w:hAnsi="宋体" w:cs="宋体"/>
        </w:rPr>
      </w:pPr>
      <w:r>
        <w:rPr>
          <w:rFonts w:ascii="宋体" w:hAnsi="宋体" w:cs="宋体"/>
        </w:rPr>
        <w:t>28.1    采购机构按磋商小组的评审结果，确定第一成交预选供应商为成交供应商，当第一成交预选供应商因故不能成交时，可以确定第二成交预选供应商为成交供应商，以此类推。</w:t>
      </w:r>
    </w:p>
    <w:p>
      <w:pPr>
        <w:snapToGrid w:val="0"/>
        <w:spacing w:line="360" w:lineRule="auto"/>
        <w:ind w:left="840" w:hanging="840" w:hangingChars="400"/>
        <w:rPr>
          <w:rFonts w:hint="default" w:ascii="宋体" w:hAnsi="宋体" w:cs="宋体"/>
        </w:rPr>
      </w:pPr>
      <w:r>
        <w:rPr>
          <w:rFonts w:ascii="宋体" w:hAnsi="宋体" w:cs="宋体"/>
        </w:rPr>
        <w:t>28.2    采购代理机构在成交供应商确定后2个工作日内，在“温州市公共资源交易网—瑞安市分网”</w:t>
      </w:r>
      <w:r>
        <w:rPr>
          <w:rFonts w:ascii="宋体" w:hAnsi="宋体" w:cs="宋体"/>
          <w:szCs w:val="22"/>
        </w:rPr>
        <w:t>（www.ruian.gov.cn）</w:t>
      </w:r>
      <w:r>
        <w:rPr>
          <w:rFonts w:ascii="宋体" w:hAnsi="宋体" w:cs="宋体"/>
        </w:rPr>
        <w:t>及“浙江政府采购网”</w:t>
      </w:r>
      <w:r>
        <w:rPr>
          <w:rFonts w:ascii="宋体" w:hAnsi="宋体" w:cs="宋体"/>
          <w:szCs w:val="22"/>
        </w:rPr>
        <w:t>（zfcg.czt.zj.gov.cn/）</w:t>
      </w:r>
      <w:r>
        <w:rPr>
          <w:rFonts w:ascii="宋体" w:hAnsi="宋体" w:cs="宋体"/>
        </w:rPr>
        <w:t>发布成交结果公告，同时向成交供应商发出成交通知书。</w:t>
      </w:r>
    </w:p>
    <w:p>
      <w:pPr>
        <w:numPr>
          <w:ilvl w:val="0"/>
          <w:numId w:val="12"/>
        </w:numPr>
        <w:spacing w:line="360" w:lineRule="auto"/>
        <w:outlineLvl w:val="2"/>
        <w:rPr>
          <w:rFonts w:hint="default" w:ascii="宋体" w:hAnsi="宋体" w:cs="宋体"/>
          <w:b/>
        </w:rPr>
      </w:pPr>
      <w:bookmarkStart w:id="271" w:name="_Toc26658"/>
      <w:bookmarkStart w:id="272" w:name="_Toc4528"/>
      <w:bookmarkStart w:id="273" w:name="_Toc5669"/>
      <w:bookmarkStart w:id="274" w:name="_Toc30058"/>
      <w:bookmarkStart w:id="275" w:name="_Toc4070"/>
      <w:r>
        <w:rPr>
          <w:rFonts w:ascii="宋体" w:hAnsi="宋体" w:cs="宋体"/>
          <w:b/>
        </w:rPr>
        <w:t>评标过程保密</w:t>
      </w:r>
      <w:bookmarkEnd w:id="271"/>
      <w:bookmarkEnd w:id="272"/>
      <w:bookmarkEnd w:id="273"/>
      <w:bookmarkEnd w:id="274"/>
      <w:bookmarkEnd w:id="275"/>
    </w:p>
    <w:p>
      <w:pPr>
        <w:snapToGrid w:val="0"/>
        <w:spacing w:line="360" w:lineRule="auto"/>
        <w:ind w:left="840" w:hanging="840" w:hangingChars="400"/>
        <w:rPr>
          <w:rFonts w:hint="default" w:ascii="宋体" w:hAnsi="宋体" w:cs="宋体"/>
        </w:rPr>
      </w:pPr>
      <w:r>
        <w:rPr>
          <w:rFonts w:ascii="宋体" w:hAnsi="宋体" w:cs="宋体"/>
        </w:rPr>
        <w:t>29.1    磋商之后，直到授予磋商供应商合同止，凡是属于审查、澄清、评价和比较磋商的有关资料以及授标意向等，均不得向磋商供应商或其他无关的人员透露。</w:t>
      </w:r>
    </w:p>
    <w:p>
      <w:pPr>
        <w:numPr>
          <w:ilvl w:val="0"/>
          <w:numId w:val="12"/>
        </w:numPr>
        <w:spacing w:line="360" w:lineRule="auto"/>
        <w:outlineLvl w:val="2"/>
        <w:rPr>
          <w:rFonts w:hint="default" w:ascii="宋体" w:hAnsi="宋体" w:cs="宋体"/>
          <w:b/>
        </w:rPr>
      </w:pPr>
      <w:bookmarkStart w:id="276" w:name="_Toc16469"/>
      <w:bookmarkStart w:id="277" w:name="_Toc1384"/>
      <w:bookmarkStart w:id="278" w:name="_Toc12275"/>
      <w:bookmarkStart w:id="279" w:name="_Toc24591"/>
      <w:bookmarkStart w:id="280" w:name="_Toc12540"/>
      <w:r>
        <w:rPr>
          <w:rFonts w:ascii="宋体" w:hAnsi="宋体" w:cs="宋体"/>
          <w:b/>
        </w:rPr>
        <w:t>否决任何或所有磋商的权利</w:t>
      </w:r>
      <w:bookmarkEnd w:id="276"/>
      <w:bookmarkEnd w:id="277"/>
      <w:bookmarkEnd w:id="278"/>
      <w:bookmarkEnd w:id="279"/>
      <w:bookmarkEnd w:id="280"/>
    </w:p>
    <w:p>
      <w:pPr>
        <w:snapToGrid w:val="0"/>
        <w:spacing w:line="360" w:lineRule="auto"/>
        <w:rPr>
          <w:rFonts w:hint="default" w:ascii="宋体" w:hAnsi="宋体" w:cs="宋体"/>
        </w:rPr>
      </w:pPr>
      <w:r>
        <w:rPr>
          <w:rFonts w:ascii="宋体" w:hAnsi="宋体" w:cs="宋体"/>
        </w:rPr>
        <w:t>30.1    磋商小组经评审，认为所有磋商都不符合磋商文件要求的，可以否决所有磋商。</w:t>
      </w:r>
    </w:p>
    <w:p>
      <w:pPr>
        <w:snapToGrid w:val="0"/>
        <w:spacing w:line="360" w:lineRule="auto"/>
        <w:ind w:left="840" w:hanging="840" w:hangingChars="400"/>
        <w:rPr>
          <w:rFonts w:hint="default" w:ascii="宋体" w:hAnsi="宋体" w:cs="宋体"/>
        </w:rPr>
      </w:pPr>
      <w:r>
        <w:rPr>
          <w:rFonts w:ascii="宋体" w:hAnsi="宋体" w:cs="宋体"/>
        </w:rPr>
        <w:t>30.2    如果成交预选供应商不能按照磋商文件要求及其磋商响应文件的承诺签订合同或其磋商响应文件与事实不符，影响采购的公平公开及合同的实施，采购人有权在授予合同前任何时候依照法定程序将合同授予成交备选供应商。如果成交备选供应商仍无法签订合同，采购人将依法不接受或拒绝任何磋商，并宣布采购无效，对受影响的磋商供应商不承担任何责任，也无义务向受影响的磋商供应商解释采取这一行动的理由。</w:t>
      </w:r>
    </w:p>
    <w:p>
      <w:pPr>
        <w:numPr>
          <w:ilvl w:val="0"/>
          <w:numId w:val="12"/>
        </w:numPr>
        <w:spacing w:line="360" w:lineRule="auto"/>
        <w:outlineLvl w:val="2"/>
        <w:rPr>
          <w:rFonts w:hint="default" w:ascii="宋体" w:hAnsi="宋体" w:cs="宋体"/>
          <w:b/>
        </w:rPr>
      </w:pPr>
      <w:bookmarkStart w:id="281" w:name="_Toc2511"/>
      <w:bookmarkStart w:id="282" w:name="_Toc24726"/>
      <w:bookmarkStart w:id="283" w:name="_Toc20159"/>
      <w:bookmarkStart w:id="284" w:name="_Toc13704"/>
      <w:bookmarkStart w:id="285" w:name="_Toc32764"/>
      <w:r>
        <w:rPr>
          <w:rFonts w:ascii="宋体" w:hAnsi="宋体" w:cs="宋体"/>
          <w:b/>
        </w:rPr>
        <w:t>质疑与投诉</w:t>
      </w:r>
      <w:bookmarkEnd w:id="281"/>
      <w:bookmarkEnd w:id="282"/>
      <w:bookmarkEnd w:id="283"/>
      <w:bookmarkEnd w:id="284"/>
      <w:bookmarkEnd w:id="285"/>
    </w:p>
    <w:p>
      <w:pPr>
        <w:numPr>
          <w:ilvl w:val="1"/>
          <w:numId w:val="12"/>
        </w:numPr>
        <w:snapToGrid w:val="0"/>
        <w:spacing w:line="360" w:lineRule="auto"/>
        <w:rPr>
          <w:rFonts w:hint="default" w:ascii="宋体" w:hAnsi="宋体" w:cs="宋体"/>
        </w:rPr>
      </w:pPr>
      <w:r>
        <w:rPr>
          <w:rFonts w:hint="eastAsia" w:ascii="宋体" w:hAnsi="宋体" w:eastAsia="宋体" w:cs="宋体"/>
        </w:rPr>
        <w:t>磋商供应商</w:t>
      </w:r>
      <w:r>
        <w:rPr>
          <w:rFonts w:hint="eastAsia" w:ascii="宋体" w:hAnsi="宋体" w:eastAsia="宋体" w:cs="宋体"/>
          <w:lang w:val="en-US" w:eastAsia="zh-CN"/>
        </w:rPr>
        <w:t>应</w:t>
      </w:r>
      <w:r>
        <w:rPr>
          <w:rFonts w:hint="eastAsia"/>
        </w:rPr>
        <w:t>在法定质疑期内一次性提出针对同一采购程序环节的质疑</w:t>
      </w:r>
      <w:r>
        <w:rPr>
          <w:rFonts w:hint="eastAsia"/>
          <w:lang w:eastAsia="zh-CN"/>
        </w:rPr>
        <w:t>。</w:t>
      </w:r>
    </w:p>
    <w:p>
      <w:pPr>
        <w:numPr>
          <w:ilvl w:val="1"/>
          <w:numId w:val="12"/>
        </w:numPr>
        <w:snapToGrid w:val="0"/>
        <w:spacing w:line="360" w:lineRule="auto"/>
        <w:rPr>
          <w:rFonts w:hint="default" w:ascii="宋体" w:hAnsi="宋体" w:cs="宋体"/>
        </w:rPr>
      </w:pPr>
      <w:r>
        <w:rPr>
          <w:rFonts w:ascii="宋体" w:hAnsi="宋体" w:cs="宋体"/>
        </w:rPr>
        <w:t>磋商供应商认为磋商文件、磋商过程和成交结果使自己的合法权益受到损害的，应当在知道或者应知其权益受到损害之日起七个工作日内，以书面形式向采购人、采购代理机构提出质疑。磋商供应商对采购组织单位的质疑答复不满意或者采购组织单位未在规定时间内作出答复的，可以在答复期满后十五个工作日内向同级采购监管部门投诉。</w:t>
      </w:r>
    </w:p>
    <w:p>
      <w:pPr>
        <w:numPr>
          <w:ilvl w:val="1"/>
          <w:numId w:val="12"/>
        </w:numPr>
        <w:snapToGrid w:val="0"/>
        <w:spacing w:line="360" w:lineRule="auto"/>
        <w:rPr>
          <w:rFonts w:hint="default" w:ascii="宋体" w:hAnsi="宋体" w:cs="宋体"/>
          <w:szCs w:val="22"/>
        </w:rPr>
      </w:pPr>
      <w:r>
        <w:rPr>
          <w:rFonts w:ascii="宋体" w:hAnsi="宋体" w:cs="宋体"/>
          <w:szCs w:val="22"/>
        </w:rPr>
        <w:t>质疑、投诉应当采用书面形式，质疑书、投诉书均应明确阐述磋商文件、磋商过程和成交结果中使自己合法权益受到损害的实质性内容，提供相关事实、依据和证据及其来源或线索，便于有关单位调查、答复和处理。</w:t>
      </w:r>
    </w:p>
    <w:p>
      <w:pPr>
        <w:numPr>
          <w:ilvl w:val="0"/>
          <w:numId w:val="21"/>
        </w:numPr>
        <w:tabs>
          <w:tab w:val="left" w:pos="425"/>
          <w:tab w:val="left" w:pos="1133"/>
        </w:tabs>
        <w:spacing w:line="360" w:lineRule="auto"/>
        <w:ind w:left="1453" w:leftChars="392" w:hanging="630" w:hangingChars="300"/>
        <w:rPr>
          <w:rFonts w:hint="default" w:ascii="宋体" w:hAnsi="宋体" w:cs="宋体"/>
        </w:rPr>
      </w:pPr>
      <w:r>
        <w:rPr>
          <w:rFonts w:ascii="宋体" w:hAnsi="宋体" w:cs="宋体"/>
        </w:rPr>
        <w:t>质疑受理机构：浙江综盛项目管理有限公司</w:t>
      </w:r>
    </w:p>
    <w:p>
      <w:pPr>
        <w:tabs>
          <w:tab w:val="left" w:pos="425"/>
          <w:tab w:val="left" w:pos="1133"/>
        </w:tabs>
        <w:spacing w:line="360" w:lineRule="auto"/>
        <w:ind w:left="1418"/>
        <w:rPr>
          <w:rFonts w:hint="default" w:ascii="宋体" w:hAnsi="宋体" w:cs="宋体"/>
        </w:rPr>
      </w:pPr>
      <w:r>
        <w:rPr>
          <w:rFonts w:ascii="宋体" w:hAnsi="宋体" w:cs="宋体"/>
        </w:rPr>
        <w:t>受理电话：17826851140，传真：65921160</w:t>
      </w:r>
    </w:p>
    <w:p>
      <w:pPr>
        <w:numPr>
          <w:ilvl w:val="0"/>
          <w:numId w:val="21"/>
        </w:numPr>
        <w:tabs>
          <w:tab w:val="left" w:pos="425"/>
          <w:tab w:val="left" w:pos="1133"/>
        </w:tabs>
        <w:spacing w:line="360" w:lineRule="auto"/>
        <w:ind w:left="1453" w:leftChars="392" w:hanging="630" w:hangingChars="300"/>
        <w:rPr>
          <w:rFonts w:hint="default" w:ascii="宋体" w:hAnsi="宋体" w:cs="宋体"/>
        </w:rPr>
      </w:pPr>
      <w:r>
        <w:rPr>
          <w:rFonts w:ascii="宋体" w:hAnsi="宋体" w:cs="宋体"/>
        </w:rPr>
        <w:t>投诉受理机构：瑞安市财政局政府采购监督管理科</w:t>
      </w:r>
    </w:p>
    <w:p>
      <w:pPr>
        <w:tabs>
          <w:tab w:val="left" w:pos="425"/>
          <w:tab w:val="left" w:pos="1133"/>
        </w:tabs>
        <w:spacing w:line="360" w:lineRule="auto"/>
        <w:ind w:left="1418"/>
        <w:rPr>
          <w:rFonts w:hint="default" w:ascii="宋体" w:hAnsi="宋体" w:cs="宋体"/>
        </w:rPr>
      </w:pPr>
      <w:r>
        <w:rPr>
          <w:rFonts w:ascii="宋体" w:hAnsi="宋体" w:cs="宋体"/>
        </w:rPr>
        <w:t>投诉地址：瑞安市财政局大楼15楼</w:t>
      </w:r>
    </w:p>
    <w:p>
      <w:pPr>
        <w:tabs>
          <w:tab w:val="left" w:pos="425"/>
          <w:tab w:val="left" w:pos="1133"/>
        </w:tabs>
        <w:spacing w:line="360" w:lineRule="auto"/>
        <w:ind w:left="1418"/>
        <w:rPr>
          <w:rFonts w:hint="default" w:ascii="宋体" w:hAnsi="宋体" w:cs="宋体"/>
        </w:rPr>
      </w:pPr>
      <w:r>
        <w:rPr>
          <w:rFonts w:ascii="宋体" w:hAnsi="宋体" w:cs="宋体"/>
        </w:rPr>
        <w:t>投诉电话：0577-65827570</w:t>
      </w:r>
    </w:p>
    <w:p>
      <w:pPr>
        <w:rPr>
          <w:rFonts w:hint="default" w:ascii="宋体" w:hAnsi="宋体" w:cs="宋体"/>
          <w:sz w:val="24"/>
        </w:rPr>
      </w:pPr>
      <w:bookmarkStart w:id="286" w:name="_Toc27017"/>
      <w:bookmarkStart w:id="287" w:name="_Toc11534"/>
    </w:p>
    <w:p>
      <w:pPr>
        <w:pStyle w:val="2"/>
        <w:rPr>
          <w:rFonts w:hint="default"/>
        </w:rPr>
      </w:pPr>
    </w:p>
    <w:p>
      <w:pPr>
        <w:rPr>
          <w:rFonts w:hint="default"/>
        </w:rPr>
      </w:pPr>
      <w:bookmarkStart w:id="288" w:name="_Toc20783"/>
      <w:bookmarkStart w:id="289" w:name="_Toc28631"/>
      <w:bookmarkStart w:id="290" w:name="_Toc18788"/>
    </w:p>
    <w:p>
      <w:pPr>
        <w:rPr>
          <w:rFonts w:hint="default"/>
        </w:rPr>
      </w:pPr>
    </w:p>
    <w:p>
      <w:pPr>
        <w:tabs>
          <w:tab w:val="left" w:pos="840"/>
        </w:tabs>
        <w:rPr>
          <w:rFonts w:hint="default"/>
        </w:rPr>
      </w:pPr>
    </w:p>
    <w:p>
      <w:pPr>
        <w:pStyle w:val="8"/>
        <w:rPr>
          <w:rFonts w:hint="default"/>
        </w:rPr>
      </w:pPr>
    </w:p>
    <w:p>
      <w:pPr>
        <w:rPr>
          <w:rFonts w:hint="default"/>
        </w:rPr>
      </w:pPr>
    </w:p>
    <w:p>
      <w:pPr>
        <w:rPr>
          <w:rFonts w:hint="default"/>
        </w:rPr>
      </w:pPr>
    </w:p>
    <w:p>
      <w:pPr>
        <w:pStyle w:val="4"/>
        <w:spacing w:before="156" w:beforeLines="50" w:after="156" w:afterLines="50" w:line="360" w:lineRule="auto"/>
        <w:jc w:val="center"/>
        <w:rPr>
          <w:rFonts w:hint="default" w:ascii="宋体" w:hAnsi="宋体" w:cs="宋体"/>
          <w:sz w:val="24"/>
          <w:szCs w:val="24"/>
        </w:rPr>
      </w:pPr>
      <w:bookmarkStart w:id="291" w:name="_Toc31522"/>
      <w:bookmarkStart w:id="292" w:name="_Toc30669"/>
      <w:bookmarkStart w:id="293" w:name="_Toc13178"/>
      <w:r>
        <w:rPr>
          <w:rFonts w:ascii="宋体" w:hAnsi="宋体" w:cs="宋体"/>
          <w:bCs w:val="0"/>
          <w:sz w:val="24"/>
          <w:szCs w:val="24"/>
        </w:rPr>
        <w:t>（七）授予合同</w:t>
      </w:r>
      <w:bookmarkEnd w:id="286"/>
      <w:bookmarkEnd w:id="287"/>
      <w:bookmarkEnd w:id="288"/>
      <w:bookmarkEnd w:id="289"/>
      <w:bookmarkEnd w:id="290"/>
      <w:bookmarkEnd w:id="291"/>
      <w:bookmarkEnd w:id="292"/>
      <w:bookmarkEnd w:id="293"/>
    </w:p>
    <w:p>
      <w:pPr>
        <w:numPr>
          <w:ilvl w:val="0"/>
          <w:numId w:val="12"/>
        </w:numPr>
        <w:spacing w:line="360" w:lineRule="auto"/>
        <w:outlineLvl w:val="2"/>
        <w:rPr>
          <w:rFonts w:hint="default" w:ascii="宋体" w:hAnsi="宋体" w:cs="宋体"/>
          <w:b/>
        </w:rPr>
      </w:pPr>
      <w:bookmarkStart w:id="294" w:name="_Toc6546"/>
      <w:bookmarkStart w:id="295" w:name="_Toc15108"/>
      <w:bookmarkStart w:id="296" w:name="_Toc8237"/>
      <w:bookmarkStart w:id="297" w:name="_Toc12586"/>
      <w:bookmarkStart w:id="298" w:name="_Toc21812"/>
      <w:r>
        <w:rPr>
          <w:rFonts w:ascii="宋体" w:hAnsi="宋体" w:cs="宋体"/>
          <w:b/>
        </w:rPr>
        <w:t>成交通知</w:t>
      </w:r>
      <w:bookmarkEnd w:id="294"/>
      <w:bookmarkEnd w:id="295"/>
      <w:bookmarkEnd w:id="296"/>
      <w:bookmarkEnd w:id="297"/>
      <w:bookmarkEnd w:id="298"/>
    </w:p>
    <w:p>
      <w:pPr>
        <w:numPr>
          <w:ilvl w:val="1"/>
          <w:numId w:val="12"/>
        </w:numPr>
        <w:spacing w:line="360" w:lineRule="auto"/>
        <w:rPr>
          <w:rFonts w:hint="default" w:ascii="宋体" w:hAnsi="宋体" w:cs="宋体"/>
          <w:szCs w:val="22"/>
        </w:rPr>
      </w:pPr>
      <w:r>
        <w:t>在磋商有效期期满之前，采购机构将用书面形式向获接受的成交供应商发出书面的《成交通知书》。《成交通知书》将是合同的一个组成部分。</w:t>
      </w:r>
    </w:p>
    <w:p>
      <w:pPr>
        <w:numPr>
          <w:ilvl w:val="0"/>
          <w:numId w:val="12"/>
        </w:numPr>
        <w:spacing w:line="360" w:lineRule="auto"/>
        <w:outlineLvl w:val="2"/>
        <w:rPr>
          <w:rFonts w:hint="default" w:ascii="宋体" w:hAnsi="宋体" w:cs="宋体"/>
          <w:b/>
        </w:rPr>
      </w:pPr>
      <w:bookmarkStart w:id="299" w:name="_Toc2503"/>
      <w:bookmarkStart w:id="300" w:name="_Toc1340"/>
      <w:bookmarkStart w:id="301" w:name="_Toc31920"/>
      <w:bookmarkStart w:id="302" w:name="_Toc2160"/>
      <w:bookmarkStart w:id="303" w:name="_Toc17109"/>
      <w:r>
        <w:rPr>
          <w:rFonts w:ascii="宋体" w:hAnsi="宋体" w:cs="宋体"/>
          <w:b/>
        </w:rPr>
        <w:t>签订合同</w:t>
      </w:r>
      <w:bookmarkEnd w:id="299"/>
      <w:bookmarkEnd w:id="300"/>
      <w:bookmarkEnd w:id="301"/>
      <w:bookmarkEnd w:id="302"/>
      <w:bookmarkEnd w:id="303"/>
    </w:p>
    <w:p>
      <w:pPr>
        <w:numPr>
          <w:ilvl w:val="1"/>
          <w:numId w:val="12"/>
        </w:numPr>
        <w:spacing w:line="360" w:lineRule="auto"/>
        <w:rPr>
          <w:rFonts w:hint="default"/>
        </w:rPr>
      </w:pPr>
      <w:r>
        <w:t>磋商文件、成交供应商的磋商响应文件及其澄清文件等，均为签订经济合同的依据。成交供应商自发出成交通知书后30天内与采购人签订合同。</w:t>
      </w:r>
    </w:p>
    <w:p>
      <w:pPr>
        <w:numPr>
          <w:ilvl w:val="1"/>
          <w:numId w:val="12"/>
        </w:numPr>
        <w:spacing w:line="360" w:lineRule="auto"/>
        <w:rPr>
          <w:rFonts w:hint="default"/>
        </w:rPr>
      </w:pPr>
      <w:r>
        <w:t>成交供应商不遵守磋商文件或磋商书的要约、承诺，擅自修改报价或在发出成交通知书30天内，借故拖延、拒签合同者，采购机构即可消该单位的成交权，另选其它磋商供应商成交。</w:t>
      </w:r>
    </w:p>
    <w:p>
      <w:pPr>
        <w:numPr>
          <w:ilvl w:val="1"/>
          <w:numId w:val="12"/>
        </w:numPr>
        <w:spacing w:line="360" w:lineRule="auto"/>
        <w:rPr>
          <w:rFonts w:hint="default"/>
        </w:rPr>
      </w:pPr>
      <w:r>
        <w:t>成交供应商不遵守磋商文件或磋商书的要约、承诺，擅自修改报价或在发出成交通知书后，借故拖延、拒签合同者，采购机构取消其成交资格。</w:t>
      </w:r>
    </w:p>
    <w:p>
      <w:pPr>
        <w:numPr>
          <w:ilvl w:val="1"/>
          <w:numId w:val="12"/>
        </w:numPr>
        <w:spacing w:line="360" w:lineRule="auto"/>
        <w:rPr>
          <w:rFonts w:hint="default"/>
        </w:rPr>
      </w:pPr>
      <w:r>
        <w:rPr>
          <w:rFonts w:hint="default"/>
        </w:rPr>
        <w:t>享受扶持政策获得政府采购合同的，小微企业不得将合同分包给大中型企业，中型企业不得将合同分包给大型企业。</w:t>
      </w:r>
    </w:p>
    <w:p>
      <w:pPr>
        <w:numPr>
          <w:ilvl w:val="0"/>
          <w:numId w:val="12"/>
        </w:numPr>
        <w:spacing w:line="360" w:lineRule="auto"/>
        <w:outlineLvl w:val="2"/>
        <w:rPr>
          <w:rFonts w:hint="default" w:ascii="宋体" w:hAnsi="宋体" w:cs="宋体"/>
          <w:b/>
        </w:rPr>
      </w:pPr>
      <w:bookmarkStart w:id="304" w:name="_Toc9311"/>
      <w:bookmarkStart w:id="305" w:name="_Toc15535"/>
      <w:bookmarkStart w:id="306" w:name="_Toc18817"/>
      <w:bookmarkStart w:id="307" w:name="_Toc9215"/>
      <w:bookmarkStart w:id="308" w:name="_Toc15678"/>
      <w:r>
        <w:rPr>
          <w:rFonts w:ascii="宋体" w:hAnsi="宋体" w:cs="宋体"/>
          <w:b/>
        </w:rPr>
        <w:t>代理服务费</w:t>
      </w:r>
      <w:bookmarkEnd w:id="304"/>
      <w:bookmarkEnd w:id="305"/>
      <w:bookmarkEnd w:id="306"/>
      <w:bookmarkEnd w:id="307"/>
      <w:bookmarkEnd w:id="308"/>
    </w:p>
    <w:p>
      <w:pPr>
        <w:spacing w:line="360" w:lineRule="auto"/>
        <w:ind w:left="840" w:leftChars="400" w:firstLine="420" w:firstLineChars="200"/>
        <w:rPr>
          <w:rFonts w:hint="default" w:ascii="宋体" w:hAnsi="宋体" w:cs="宋体"/>
          <w:color w:val="000000"/>
          <w:szCs w:val="22"/>
        </w:rPr>
      </w:pPr>
      <w:r>
        <w:rPr>
          <w:rFonts w:ascii="宋体" w:hAnsi="宋体" w:cs="宋体"/>
          <w:color w:val="000000"/>
          <w:szCs w:val="22"/>
        </w:rPr>
        <w:t>经采购人和代理人双方协商，本次采购代理服务费由中标供应商支付，代理服务费按《招标代理服务收费管理暂行办法》（计价格[2002]1980号）收费标准收取，不足捌仟元按捌仟元收取，采购代理服务费不在报价中单列，请报价人在报价时予以考虑。</w:t>
      </w: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spacing w:line="360" w:lineRule="auto"/>
        <w:ind w:left="840" w:leftChars="400" w:firstLine="420" w:firstLineChars="200"/>
        <w:rPr>
          <w:rFonts w:hint="default" w:ascii="宋体" w:hAnsi="宋体" w:cs="宋体"/>
          <w:color w:val="000000"/>
          <w:szCs w:val="22"/>
        </w:rPr>
      </w:pPr>
    </w:p>
    <w:p>
      <w:pPr>
        <w:rPr>
          <w:rFonts w:hint="default"/>
        </w:rPr>
      </w:pPr>
      <w:bookmarkStart w:id="309" w:name="_Toc26584"/>
      <w:bookmarkStart w:id="310" w:name="_Toc24351"/>
      <w:bookmarkStart w:id="311" w:name="_Toc17684"/>
      <w:bookmarkStart w:id="312" w:name="_Toc7908"/>
      <w:bookmarkStart w:id="313" w:name="_Toc18482"/>
    </w:p>
    <w:p>
      <w:pPr>
        <w:pStyle w:val="4"/>
        <w:spacing w:before="156" w:beforeLines="50" w:after="156" w:afterLines="50" w:line="360" w:lineRule="auto"/>
        <w:jc w:val="center"/>
        <w:rPr>
          <w:rFonts w:hint="default" w:ascii="宋体" w:hAnsi="宋体" w:cs="宋体"/>
          <w:sz w:val="24"/>
          <w:szCs w:val="24"/>
        </w:rPr>
      </w:pPr>
      <w:r>
        <w:rPr>
          <w:rFonts w:ascii="宋体" w:hAnsi="宋体" w:cs="宋体"/>
          <w:sz w:val="24"/>
          <w:szCs w:val="24"/>
        </w:rPr>
        <w:t>（八）履约验收</w:t>
      </w:r>
      <w:bookmarkEnd w:id="309"/>
      <w:bookmarkEnd w:id="310"/>
      <w:bookmarkEnd w:id="311"/>
      <w:bookmarkEnd w:id="312"/>
      <w:bookmarkEnd w:id="313"/>
    </w:p>
    <w:p>
      <w:pPr>
        <w:numPr>
          <w:ilvl w:val="0"/>
          <w:numId w:val="12"/>
        </w:numPr>
        <w:snapToGrid w:val="0"/>
        <w:spacing w:line="360" w:lineRule="auto"/>
        <w:rPr>
          <w:rFonts w:hint="default" w:ascii="宋体" w:hAnsi="宋体" w:cs="宋体"/>
          <w:b/>
          <w:sz w:val="24"/>
          <w:szCs w:val="24"/>
        </w:rPr>
      </w:pPr>
      <w:r>
        <w:rPr>
          <w:rFonts w:ascii="宋体" w:hAnsi="宋体" w:cs="宋体"/>
          <w:b/>
          <w:sz w:val="24"/>
          <w:szCs w:val="24"/>
        </w:rPr>
        <w:t>履约验收</w:t>
      </w:r>
    </w:p>
    <w:p>
      <w:pPr>
        <w:numPr>
          <w:ilvl w:val="1"/>
          <w:numId w:val="12"/>
        </w:numPr>
        <w:snapToGrid w:val="0"/>
        <w:spacing w:line="360" w:lineRule="auto"/>
        <w:ind w:left="850" w:hanging="850"/>
        <w:rPr>
          <w:rFonts w:hint="default" w:ascii="宋体" w:hAnsi="宋体" w:cs="宋体"/>
          <w:szCs w:val="21"/>
        </w:rPr>
      </w:pPr>
      <w:r>
        <w:rPr>
          <w:rFonts w:ascii="宋体" w:hAnsi="宋体" w:cs="宋体"/>
          <w:szCs w:val="21"/>
        </w:rPr>
        <w:t>采购人应当依法组织履约验收工作。采购人应当根据采购项目的具体情况，自行组织项目验收或者委托采购代理机构验收。采购人委托采购代理机构进行履约验收的，应当对验收结果进行书面确认。</w:t>
      </w:r>
    </w:p>
    <w:p>
      <w:pPr>
        <w:numPr>
          <w:ilvl w:val="1"/>
          <w:numId w:val="12"/>
        </w:numPr>
        <w:snapToGrid w:val="0"/>
        <w:spacing w:line="360" w:lineRule="auto"/>
        <w:ind w:left="850" w:hanging="850"/>
        <w:rPr>
          <w:rFonts w:hint="default" w:ascii="宋体" w:hAnsi="宋体" w:cs="宋体"/>
          <w:szCs w:val="21"/>
        </w:rPr>
      </w:pPr>
      <w:r>
        <w:rPr>
          <w:rFonts w:ascii="宋体" w:hAnsi="宋体" w:cs="宋体"/>
          <w:szCs w:val="21"/>
        </w:rPr>
        <w:t>完整细化编制验收方案。采购人应当根据项目特点制定验收方案，明确履约验收的时间、方式、程序、内容和验收标准等事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w:t>
      </w:r>
    </w:p>
    <w:p>
      <w:pPr>
        <w:numPr>
          <w:ilvl w:val="1"/>
          <w:numId w:val="12"/>
        </w:numPr>
        <w:snapToGrid w:val="0"/>
        <w:spacing w:line="360" w:lineRule="auto"/>
        <w:ind w:left="850" w:hanging="850"/>
        <w:rPr>
          <w:rFonts w:hint="default" w:ascii="宋体" w:hAnsi="宋体" w:cs="Arial"/>
          <w:szCs w:val="21"/>
        </w:rPr>
      </w:pPr>
      <w:r>
        <w:rPr>
          <w:rFonts w:ascii="宋体" w:hAnsi="宋体" w:cs="宋体"/>
          <w:szCs w:val="21"/>
        </w:rPr>
        <w:t>完善验收方式。对于采购人和使用人分离的采购项目，应当邀请实际使用人参与验收。采购人可以邀请参加本项目的其他供应商或第三方专业机构及专家参与验收，相关验收意见作为验收书的参考资料。政府向社会公众提供的公共服务项目，验收时应当邀请服务对象参与并出具意见，验收结果应当向社会公告。大型或者复杂的政府采购项目，应当邀请国家认可的质量检测机构参加验收工作。验收方成员应当在验收书上签字，并承担相应的法律责任。如果发现与合同中要求不符，磋商供应商须承担由此发生的一切损失和费用，并接受相应的处理。</w:t>
      </w:r>
    </w:p>
    <w:p>
      <w:pPr>
        <w:numPr>
          <w:ilvl w:val="1"/>
          <w:numId w:val="12"/>
        </w:numPr>
        <w:snapToGrid w:val="0"/>
        <w:spacing w:line="360" w:lineRule="auto"/>
        <w:ind w:left="850" w:hanging="850"/>
        <w:rPr>
          <w:rFonts w:hint="default" w:ascii="宋体" w:hAnsi="宋体" w:cs="宋体"/>
          <w:szCs w:val="21"/>
        </w:rPr>
      </w:pPr>
      <w:r>
        <w:rPr>
          <w:rFonts w:ascii="宋体" w:hAnsi="宋体" w:cs="宋体"/>
          <w:szCs w:val="21"/>
        </w:rPr>
        <w:t>严格按照采购合同开展履约验收。采购人应当成立验收小组，按照采购合同的约定对磋商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w:t>
      </w:r>
    </w:p>
    <w:p>
      <w:pPr>
        <w:snapToGrid w:val="0"/>
        <w:spacing w:line="360" w:lineRule="auto"/>
        <w:ind w:firstLine="840" w:firstLineChars="400"/>
        <w:rPr>
          <w:rFonts w:hint="default" w:ascii="宋体" w:hAnsi="宋体" w:cs="宋体"/>
          <w:szCs w:val="21"/>
        </w:rPr>
      </w:pPr>
      <w:r>
        <w:rPr>
          <w:rFonts w:ascii="宋体" w:hAnsi="宋体" w:cs="宋体"/>
          <w:szCs w:val="21"/>
        </w:rPr>
        <w:t>金支付及履约保证金返还条件挂钩。履约验收的各项资料应当存档备查。</w:t>
      </w:r>
    </w:p>
    <w:p>
      <w:pPr>
        <w:numPr>
          <w:ilvl w:val="1"/>
          <w:numId w:val="12"/>
        </w:numPr>
        <w:snapToGrid w:val="0"/>
        <w:spacing w:line="360" w:lineRule="auto"/>
        <w:ind w:left="850" w:hanging="850"/>
        <w:rPr>
          <w:rFonts w:hint="default" w:ascii="宋体" w:hAnsi="宋体" w:cs="宋体"/>
          <w:szCs w:val="21"/>
        </w:rPr>
      </w:pPr>
      <w:r>
        <w:rPr>
          <w:rFonts w:ascii="宋体" w:hAnsi="宋体" w:cs="宋体"/>
          <w:szCs w:val="21"/>
        </w:rPr>
        <w:t>验收合格的项目，采购人将根据采购合同的约定及时向磋商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840"/>
        </w:tabs>
        <w:rPr>
          <w:rFonts w:hint="default" w:ascii="宋体" w:hAnsi="宋体" w:cs="宋体"/>
          <w:color w:val="000000"/>
          <w:szCs w:val="22"/>
        </w:rPr>
      </w:pPr>
    </w:p>
    <w:p>
      <w:pPr>
        <w:pStyle w:val="8"/>
        <w:rPr>
          <w:rFonts w:hint="default"/>
        </w:rPr>
      </w:pPr>
    </w:p>
    <w:p>
      <w:pPr>
        <w:spacing w:line="360" w:lineRule="auto"/>
        <w:rPr>
          <w:rFonts w:hint="default" w:ascii="宋体" w:hAnsi="宋体" w:cs="宋体"/>
          <w:color w:val="000000"/>
          <w:szCs w:val="22"/>
        </w:rPr>
      </w:pPr>
    </w:p>
    <w:p>
      <w:pPr>
        <w:keepNext w:val="0"/>
        <w:keepLines w:val="0"/>
        <w:tabs>
          <w:tab w:val="left" w:pos="840"/>
        </w:tabs>
        <w:spacing w:after="156" w:afterLines="50" w:line="400" w:lineRule="exact"/>
        <w:jc w:val="center"/>
        <w:outlineLvl w:val="9"/>
        <w:rPr>
          <w:rFonts w:hint="default" w:hAnsi="宋体" w:cs="宋体"/>
          <w:sz w:val="28"/>
          <w:szCs w:val="36"/>
        </w:rPr>
      </w:pPr>
      <w:bookmarkStart w:id="314" w:name="_Toc24051"/>
      <w:bookmarkStart w:id="315" w:name="_Toc424"/>
      <w:bookmarkStart w:id="316" w:name="_Toc14541"/>
    </w:p>
    <w:p>
      <w:pPr>
        <w:keepNext w:val="0"/>
        <w:keepLines w:val="0"/>
        <w:tabs>
          <w:tab w:val="left" w:pos="840"/>
        </w:tabs>
        <w:spacing w:after="156" w:afterLines="50" w:line="400" w:lineRule="exact"/>
        <w:jc w:val="center"/>
        <w:outlineLvl w:val="9"/>
        <w:rPr>
          <w:rFonts w:hint="default" w:hAnsi="宋体" w:cs="宋体"/>
          <w:sz w:val="28"/>
          <w:szCs w:val="36"/>
        </w:rPr>
      </w:pPr>
    </w:p>
    <w:p>
      <w:pPr>
        <w:keepNext w:val="0"/>
        <w:keepLines w:val="0"/>
        <w:tabs>
          <w:tab w:val="left" w:pos="840"/>
        </w:tabs>
        <w:spacing w:after="156" w:afterLines="50" w:line="400" w:lineRule="exact"/>
        <w:jc w:val="center"/>
        <w:outlineLvl w:val="9"/>
        <w:rPr>
          <w:rFonts w:hint="default" w:hAnsi="宋体" w:cs="宋体"/>
          <w:sz w:val="28"/>
          <w:szCs w:val="36"/>
        </w:rPr>
      </w:pPr>
    </w:p>
    <w:p>
      <w:pPr>
        <w:pStyle w:val="3"/>
        <w:keepNext w:val="0"/>
        <w:keepLines w:val="0"/>
        <w:spacing w:after="156" w:afterLines="50" w:line="400" w:lineRule="exact"/>
        <w:jc w:val="center"/>
        <w:rPr>
          <w:rFonts w:hint="default" w:hAnsi="宋体" w:cs="宋体"/>
          <w:sz w:val="28"/>
          <w:szCs w:val="36"/>
        </w:rPr>
      </w:pPr>
      <w:r>
        <w:rPr>
          <w:rFonts w:hAnsi="宋体" w:cs="宋体"/>
          <w:sz w:val="28"/>
          <w:szCs w:val="36"/>
        </w:rPr>
        <w:t>第三部分  竞争性磋商内容及要求</w:t>
      </w:r>
      <w:bookmarkEnd w:id="314"/>
      <w:bookmarkEnd w:id="315"/>
      <w:bookmarkEnd w:id="316"/>
    </w:p>
    <w:p>
      <w:pPr>
        <w:tabs>
          <w:tab w:val="left" w:pos="927"/>
        </w:tabs>
        <w:snapToGrid w:val="0"/>
        <w:spacing w:before="156" w:beforeLines="50" w:after="156" w:afterLines="50" w:line="420" w:lineRule="exact"/>
        <w:jc w:val="center"/>
        <w:outlineLvl w:val="1"/>
        <w:rPr>
          <w:rFonts w:hint="default" w:ascii="宋体" w:hAnsi="宋体" w:cs="宋体"/>
          <w:b/>
          <w:sz w:val="24"/>
        </w:rPr>
      </w:pPr>
      <w:bookmarkStart w:id="317" w:name="_Toc6676"/>
      <w:bookmarkStart w:id="318" w:name="_Toc23936"/>
      <w:bookmarkStart w:id="319" w:name="_Toc17649"/>
      <w:r>
        <w:rPr>
          <w:rFonts w:ascii="宋体" w:hAnsi="宋体" w:cs="宋体"/>
          <w:b/>
          <w:bCs/>
          <w:sz w:val="24"/>
        </w:rPr>
        <w:t>（一）概述</w:t>
      </w:r>
      <w:bookmarkEnd w:id="317"/>
      <w:bookmarkEnd w:id="318"/>
      <w:bookmarkEnd w:id="319"/>
    </w:p>
    <w:p>
      <w:pPr>
        <w:spacing w:line="360" w:lineRule="auto"/>
        <w:rPr>
          <w:rFonts w:hint="default"/>
        </w:rPr>
      </w:pPr>
      <w:r>
        <w:t>1、每个磋商供应商必须完成采购内容和合同规定义务，不允许只对部分内容进行报价。</w:t>
      </w:r>
    </w:p>
    <w:p>
      <w:pPr>
        <w:spacing w:line="360" w:lineRule="auto"/>
        <w:rPr>
          <w:rFonts w:hint="default"/>
        </w:rPr>
      </w:pPr>
      <w:r>
        <w:t>2、现场踏勘（如有）：各磋商供应商于磋商截止时间前自行到现场进行踏勘，以获取本次磋商所需的现场资料及数据，磋商人若未到现场踏勘，引起的一切后果均由其自行负责，由此造成投标价的偏差均不予调整。现场踏勘费用自理。</w:t>
      </w:r>
    </w:p>
    <w:p>
      <w:pPr>
        <w:spacing w:line="360" w:lineRule="auto"/>
        <w:rPr>
          <w:rFonts w:hint="default"/>
        </w:rPr>
      </w:pPr>
      <w:r>
        <w:t>3、磋商供应商需按磋商文件的要求完成采购服务工作。按工作顺序提交所需的无论其是否被明细列在合同文件中的所有资料，提供的服务必须满足磋商文件中提出的相关要求。</w:t>
      </w:r>
    </w:p>
    <w:p>
      <w:pPr>
        <w:spacing w:line="360" w:lineRule="auto"/>
        <w:rPr>
          <w:rFonts w:hint="default"/>
        </w:rPr>
      </w:pPr>
      <w:r>
        <w:t>4、在报价之前，磋商供应商须仔细阅读磋商文件，如发现有任何疑问、冲突或技术问题，磋商供应商须在答疑截止时间前以书面形式向采购代理机构提出。逾期采购人不再作答复，有关风险及责任由磋商供应商自行承担。</w:t>
      </w:r>
    </w:p>
    <w:p>
      <w:pPr>
        <w:spacing w:line="360" w:lineRule="auto"/>
        <w:rPr>
          <w:rFonts w:hint="default"/>
        </w:rPr>
      </w:pPr>
      <w:r>
        <w:t>5、鼓励在采购活动中允许中小企业引入信用担保手段，为中小企业在投标（响应）保证、履约保证等方面提供专业化服务。鼓励中小企业依法合规通过政府采购合同融资。</w:t>
      </w:r>
    </w:p>
    <w:p>
      <w:pPr>
        <w:spacing w:line="360" w:lineRule="auto"/>
        <w:rPr>
          <w:rFonts w:hint="default"/>
        </w:rPr>
      </w:pPr>
      <w:r>
        <w:t>6、磋商供应商须对磋商文件中各个条款一一给予实质性答复，否则有可能导致作无效标</w:t>
      </w:r>
    </w:p>
    <w:p>
      <w:pPr>
        <w:spacing w:line="360" w:lineRule="auto"/>
        <w:rPr>
          <w:rFonts w:hint="default"/>
        </w:rPr>
      </w:pPr>
      <w:r>
        <w:t>处理。</w:t>
      </w:r>
    </w:p>
    <w:p>
      <w:pPr>
        <w:spacing w:line="360" w:lineRule="auto"/>
        <w:rPr>
          <w:rFonts w:hint="default"/>
        </w:rPr>
      </w:pPr>
      <w:r>
        <w:t>7、此份采购内容及技术要求是磋商文件的一部分，包括所有条款的具体说明及技术要求，磋商供应商需在各自技术和商务占优势的基础上对本次采购的服务（货物或工程）进行报价。</w:t>
      </w: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spacing w:line="360" w:lineRule="auto"/>
        <w:rPr>
          <w:rFonts w:hint="default" w:ascii="宋体" w:hAnsi="宋体" w:cs="宋体"/>
          <w:color w:val="000000"/>
          <w:szCs w:val="22"/>
        </w:rPr>
      </w:pPr>
    </w:p>
    <w:p>
      <w:pPr>
        <w:rPr>
          <w:rFonts w:hint="default" w:ascii="宋体" w:hAnsi="宋体" w:cs="宋体"/>
          <w:color w:val="000000"/>
          <w:szCs w:val="22"/>
        </w:rPr>
      </w:pPr>
    </w:p>
    <w:p>
      <w:pPr>
        <w:rPr>
          <w:rFonts w:hint="default"/>
        </w:rPr>
      </w:pPr>
    </w:p>
    <w:p>
      <w:pPr>
        <w:widowControl/>
        <w:tabs>
          <w:tab w:val="left" w:pos="927"/>
        </w:tabs>
        <w:snapToGrid w:val="0"/>
        <w:spacing w:line="360" w:lineRule="auto"/>
        <w:ind w:left="4056" w:leftChars="146" w:hanging="3749" w:hangingChars="1556"/>
        <w:jc w:val="center"/>
        <w:rPr>
          <w:rFonts w:hint="default" w:ascii="宋体"/>
          <w:b/>
          <w:bCs/>
          <w:sz w:val="24"/>
          <w:szCs w:val="24"/>
        </w:rPr>
      </w:pPr>
    </w:p>
    <w:p>
      <w:pPr>
        <w:widowControl/>
        <w:tabs>
          <w:tab w:val="left" w:pos="927"/>
        </w:tabs>
        <w:snapToGrid w:val="0"/>
        <w:spacing w:line="360" w:lineRule="auto"/>
        <w:ind w:left="4056" w:leftChars="146" w:hanging="3749" w:hangingChars="1556"/>
        <w:jc w:val="center"/>
        <w:outlineLvl w:val="1"/>
        <w:rPr>
          <w:rFonts w:hint="default" w:asciiTheme="majorEastAsia" w:hAnsiTheme="majorEastAsia" w:eastAsiaTheme="majorEastAsia" w:cstheme="majorEastAsia"/>
          <w:sz w:val="24"/>
          <w:szCs w:val="24"/>
        </w:rPr>
      </w:pPr>
      <w:bookmarkStart w:id="320" w:name="_Toc6023"/>
      <w:r>
        <w:rPr>
          <w:rFonts w:ascii="宋体"/>
          <w:b/>
          <w:bCs/>
          <w:sz w:val="24"/>
          <w:szCs w:val="24"/>
        </w:rPr>
        <w:t>（二）</w:t>
      </w:r>
      <w:r>
        <w:rPr>
          <w:b/>
          <w:bCs/>
          <w:sz w:val="24"/>
          <w:szCs w:val="24"/>
        </w:rPr>
        <w:t>采购内容及要求</w:t>
      </w:r>
      <w:bookmarkEnd w:id="320"/>
    </w:p>
    <w:p>
      <w:pPr>
        <w:tabs>
          <w:tab w:val="left" w:pos="425"/>
        </w:tabs>
        <w:snapToGrid w:val="0"/>
        <w:spacing w:line="360" w:lineRule="auto"/>
        <w:rPr>
          <w:rFonts w:hint="eastAsia" w:ascii="宋体" w:hAnsi="宋体" w:eastAsia="宋体" w:cs="宋体"/>
          <w:bCs/>
          <w:szCs w:val="21"/>
          <w:lang w:eastAsia="zh-CN"/>
        </w:rPr>
      </w:pPr>
      <w:r>
        <w:rPr>
          <w:rFonts w:ascii="宋体" w:hAnsi="宋体" w:cs="宋体"/>
          <w:b/>
          <w:snapToGrid w:val="0"/>
          <w:szCs w:val="21"/>
        </w:rPr>
        <w:t>1、项目名称：</w:t>
      </w:r>
      <w:r>
        <w:rPr>
          <w:rFonts w:hint="eastAsia" w:ascii="宋体" w:hAnsi="宋体" w:cs="宋体"/>
          <w:szCs w:val="21"/>
          <w:lang w:eastAsia="zh-CN"/>
        </w:rPr>
        <w:t>瑞安市汀田街道2023-2024年违章拆除及环境整治服务</w:t>
      </w:r>
    </w:p>
    <w:p>
      <w:pPr>
        <w:tabs>
          <w:tab w:val="left" w:pos="425"/>
        </w:tabs>
        <w:snapToGrid w:val="0"/>
        <w:spacing w:line="360" w:lineRule="auto"/>
        <w:rPr>
          <w:rFonts w:hint="default" w:ascii="Arial" w:hAnsi="Arial" w:cs="Arial"/>
          <w:bCs/>
          <w:szCs w:val="21"/>
        </w:rPr>
      </w:pPr>
      <w:r>
        <w:rPr>
          <w:rFonts w:ascii="宋体" w:hAnsi="宋体" w:cs="宋体"/>
          <w:b/>
          <w:bCs/>
        </w:rPr>
        <w:t>2、项目概况：</w:t>
      </w:r>
      <w:r>
        <w:rPr>
          <w:rFonts w:ascii="Arial" w:hAnsi="Arial" w:cs="Arial"/>
          <w:bCs/>
          <w:szCs w:val="21"/>
        </w:rPr>
        <w:t>本次项目为</w:t>
      </w:r>
      <w:r>
        <w:rPr>
          <w:rFonts w:hint="eastAsia" w:ascii="Arial" w:hAnsi="Arial" w:cs="Arial"/>
          <w:szCs w:val="21"/>
          <w:lang w:eastAsia="zh-CN"/>
        </w:rPr>
        <w:t>瑞安市汀田街道办事处</w:t>
      </w:r>
      <w:r>
        <w:rPr>
          <w:rFonts w:ascii="Arial" w:hAnsi="Arial" w:cs="Arial"/>
          <w:szCs w:val="21"/>
        </w:rPr>
        <w:t>提供所需的</w:t>
      </w:r>
      <w:r>
        <w:rPr>
          <w:rFonts w:ascii="宋体" w:hAnsi="宋体" w:cs="宋体"/>
          <w:szCs w:val="21"/>
        </w:rPr>
        <w:t>违章拆除、环境整治</w:t>
      </w:r>
      <w:r>
        <w:rPr>
          <w:rFonts w:ascii="Arial" w:hAnsi="Arial" w:cs="Arial"/>
          <w:szCs w:val="21"/>
        </w:rPr>
        <w:t>服务</w:t>
      </w:r>
      <w:r>
        <w:rPr>
          <w:rFonts w:ascii="Arial" w:hAnsi="Arial" w:cs="Arial"/>
        </w:rPr>
        <w:t>，磋商供应商应根据招标</w:t>
      </w:r>
      <w:r>
        <w:rPr>
          <w:rFonts w:ascii="Arial" w:hAnsi="Arial" w:cs="Arial"/>
          <w:bCs/>
          <w:szCs w:val="21"/>
        </w:rPr>
        <w:t>要求，在对</w:t>
      </w:r>
      <w:r>
        <w:rPr>
          <w:rFonts w:hint="eastAsia" w:ascii="Arial" w:hAnsi="Arial" w:cs="Arial"/>
          <w:szCs w:val="21"/>
          <w:lang w:eastAsia="zh-CN"/>
        </w:rPr>
        <w:t>瑞安市汀田街道办事处</w:t>
      </w:r>
      <w:r>
        <w:rPr>
          <w:rFonts w:ascii="Arial" w:hAnsi="Arial" w:cs="Arial"/>
          <w:szCs w:val="21"/>
        </w:rPr>
        <w:t>辖区</w:t>
      </w:r>
      <w:r>
        <w:rPr>
          <w:rFonts w:ascii="Arial" w:hAnsi="Arial" w:cs="Arial"/>
          <w:bCs/>
          <w:szCs w:val="21"/>
        </w:rPr>
        <w:t>范围及周边环境全面了解的情况下编制科学合理、切实可行的组织实施计划以及具体的保障措施、工作等程序。磋商供应商须依照现代企业制度，以合理的服务流程和服务人数、优良的服务质量、科学的治理服务、稳定的服务队伍、优惠的价格来制订详细的服务方案，充分体现自身的实力，发挥自身优势，用热心、爱心、专心、贴心服务，为</w:t>
      </w:r>
      <w:r>
        <w:rPr>
          <w:rFonts w:hint="eastAsia" w:ascii="Arial" w:hAnsi="Arial" w:cs="Arial"/>
          <w:szCs w:val="21"/>
          <w:lang w:eastAsia="zh-CN"/>
        </w:rPr>
        <w:t>瑞安市汀田街道办事处</w:t>
      </w:r>
      <w:r>
        <w:rPr>
          <w:rFonts w:ascii="Arial" w:hAnsi="Arial" w:cs="Arial"/>
          <w:bCs/>
          <w:szCs w:val="21"/>
        </w:rPr>
        <w:t>提供全方位、一体化的专业服务保障。</w:t>
      </w:r>
    </w:p>
    <w:p>
      <w:pPr>
        <w:spacing w:line="360" w:lineRule="auto"/>
        <w:rPr>
          <w:rFonts w:hint="default" w:ascii="宋体" w:hAnsi="宋体" w:cs="宋体"/>
        </w:rPr>
      </w:pPr>
      <w:r>
        <w:rPr>
          <w:rFonts w:ascii="宋体" w:hAnsi="宋体" w:cs="宋体"/>
          <w:b/>
          <w:bCs/>
        </w:rPr>
        <w:t>3、服务范围：</w:t>
      </w:r>
      <w:r>
        <w:rPr>
          <w:rFonts w:hint="eastAsia" w:ascii="Arial" w:hAnsi="Arial" w:cs="Arial"/>
          <w:szCs w:val="21"/>
          <w:lang w:eastAsia="zh-CN"/>
        </w:rPr>
        <w:t>瑞安市汀田街道办事处</w:t>
      </w:r>
      <w:r>
        <w:rPr>
          <w:rFonts w:ascii="宋体" w:hAnsi="宋体" w:cs="宋体"/>
        </w:rPr>
        <w:t>管辖范围内。</w:t>
      </w:r>
    </w:p>
    <w:p>
      <w:pPr>
        <w:spacing w:line="360" w:lineRule="auto"/>
        <w:rPr>
          <w:rFonts w:hint="default" w:ascii="宋体" w:hAnsi="宋体" w:cs="宋体"/>
          <w:b/>
          <w:bCs/>
        </w:rPr>
      </w:pPr>
      <w:r>
        <w:rPr>
          <w:rFonts w:ascii="宋体" w:hAnsi="宋体" w:cs="宋体"/>
          <w:b/>
          <w:bCs/>
        </w:rPr>
        <w:t>4、设备要求：</w:t>
      </w:r>
    </w:p>
    <w:tbl>
      <w:tblPr>
        <w:tblStyle w:val="21"/>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076"/>
        <w:gridCol w:w="1348"/>
        <w:gridCol w:w="299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1" w:type="dxa"/>
            <w:noWrap w:val="0"/>
            <w:vAlign w:val="center"/>
          </w:tcPr>
          <w:p>
            <w:pPr>
              <w:tabs>
                <w:tab w:val="left" w:pos="5733"/>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076" w:type="dxa"/>
            <w:noWrap w:val="0"/>
            <w:vAlign w:val="center"/>
          </w:tcPr>
          <w:p>
            <w:pPr>
              <w:tabs>
                <w:tab w:val="left" w:pos="5733"/>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1348" w:type="dxa"/>
            <w:noWrap w:val="0"/>
            <w:vAlign w:val="center"/>
          </w:tcPr>
          <w:p>
            <w:pPr>
              <w:tabs>
                <w:tab w:val="left" w:pos="5733"/>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计量单位</w:t>
            </w:r>
          </w:p>
        </w:tc>
        <w:tc>
          <w:tcPr>
            <w:tcW w:w="2997" w:type="dxa"/>
            <w:noWrap w:val="0"/>
            <w:vAlign w:val="center"/>
          </w:tcPr>
          <w:p>
            <w:pPr>
              <w:tabs>
                <w:tab w:val="left" w:pos="5733"/>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c>
          <w:tcPr>
            <w:tcW w:w="1560" w:type="dxa"/>
            <w:noWrap w:val="0"/>
            <w:vAlign w:val="top"/>
          </w:tcPr>
          <w:p>
            <w:pPr>
              <w:tabs>
                <w:tab w:val="left" w:pos="5733"/>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最高单价限价（人民币元）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bookmarkStart w:id="538" w:name="_GoBack" w:colFirst="4" w:colLast="4"/>
            <w:r>
              <w:rPr>
                <w:rFonts w:hint="eastAsia" w:ascii="宋体" w:hAnsi="宋体" w:eastAsia="宋体" w:cs="宋体"/>
                <w:color w:val="auto"/>
                <w:sz w:val="21"/>
                <w:szCs w:val="21"/>
                <w:highlight w:val="none"/>
              </w:rPr>
              <w:t>1</w:t>
            </w:r>
          </w:p>
        </w:tc>
        <w:tc>
          <w:tcPr>
            <w:tcW w:w="3076"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工人</w:t>
            </w:r>
          </w:p>
        </w:tc>
        <w:tc>
          <w:tcPr>
            <w:tcW w:w="1348"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半天/人</w:t>
            </w:r>
          </w:p>
        </w:tc>
        <w:tc>
          <w:tcPr>
            <w:tcW w:w="2997" w:type="dxa"/>
            <w:vMerge w:val="restart"/>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含餐费、饮水、到达招标人</w:t>
            </w:r>
          </w:p>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指定地点的交通费等</w:t>
            </w:r>
          </w:p>
        </w:tc>
        <w:tc>
          <w:tcPr>
            <w:tcW w:w="1560" w:type="dxa"/>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3076"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工人</w:t>
            </w:r>
          </w:p>
        </w:tc>
        <w:tc>
          <w:tcPr>
            <w:tcW w:w="1348"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全天/人</w:t>
            </w:r>
          </w:p>
        </w:tc>
        <w:tc>
          <w:tcPr>
            <w:tcW w:w="2997" w:type="dxa"/>
            <w:vMerge w:val="continue"/>
            <w:noWrap w:val="0"/>
            <w:vAlign w:val="center"/>
          </w:tcPr>
          <w:p>
            <w:pPr>
              <w:spacing w:line="440" w:lineRule="exact"/>
              <w:jc w:val="center"/>
              <w:rPr>
                <w:rFonts w:hint="eastAsia" w:ascii="宋体" w:hAnsi="宋体" w:eastAsia="宋体" w:cs="宋体"/>
                <w:color w:val="auto"/>
                <w:sz w:val="21"/>
                <w:szCs w:val="21"/>
                <w:highlight w:val="none"/>
              </w:rPr>
            </w:pPr>
          </w:p>
        </w:tc>
        <w:tc>
          <w:tcPr>
            <w:tcW w:w="1560" w:type="dxa"/>
            <w:noWrap w:val="0"/>
            <w:vAlign w:val="center"/>
          </w:tcPr>
          <w:p>
            <w:pPr>
              <w:jc w:val="center"/>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登高作业车辆</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辆/次</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风炮破碎机</w:t>
            </w:r>
            <w:r>
              <w:rPr>
                <w:rFonts w:hint="eastAsia" w:ascii="宋体" w:hAnsi="宋体" w:eastAsia="宋体" w:cs="宋体"/>
                <w:color w:val="auto"/>
                <w:sz w:val="21"/>
                <w:szCs w:val="21"/>
                <w:highlight w:val="none"/>
                <w:lang w:eastAsia="zh-CN"/>
              </w:rPr>
              <w:t>（含人工）</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台/次</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气体火焰切割机</w:t>
            </w:r>
            <w:r>
              <w:rPr>
                <w:rFonts w:hint="eastAsia" w:ascii="宋体" w:hAnsi="宋体" w:eastAsia="宋体" w:cs="宋体"/>
                <w:color w:val="auto"/>
                <w:sz w:val="21"/>
                <w:szCs w:val="21"/>
                <w:highlight w:val="none"/>
                <w:lang w:eastAsia="zh-CN"/>
              </w:rPr>
              <w:t>（含人工）</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台/次</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0.5吨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10吨</w:t>
            </w:r>
            <w:r>
              <w:rPr>
                <w:rFonts w:hint="eastAsia" w:ascii="宋体" w:hAnsi="宋体" w:eastAsia="宋体" w:cs="宋体"/>
                <w:color w:val="auto"/>
                <w:sz w:val="21"/>
                <w:szCs w:val="21"/>
                <w:highlight w:val="none"/>
                <w:lang w:eastAsia="zh-CN"/>
              </w:rPr>
              <w:t>＜货车</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≤220型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≤350型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长臂挖土机</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≤220型</w:t>
            </w:r>
          </w:p>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（含作业所需机械、设备）</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≤350型</w:t>
            </w:r>
          </w:p>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（含作业所需机械、设备）</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空压机</w:t>
            </w:r>
            <w:r>
              <w:rPr>
                <w:rFonts w:hint="eastAsia" w:ascii="宋体" w:hAnsi="宋体" w:eastAsia="宋体" w:cs="宋体"/>
                <w:color w:val="auto"/>
                <w:sz w:val="21"/>
                <w:szCs w:val="21"/>
                <w:highlight w:val="none"/>
                <w:lang w:eastAsia="zh-CN"/>
              </w:rPr>
              <w:t>（含人工）</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≤220型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≤350型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大客车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35人及以上</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12-20人</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10-11人</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7人及以下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8吨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25吨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50吨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吊车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100吨</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铲车（大）</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≥50型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铲车（小）</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＜50型</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电锯</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含人工</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top"/>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后四轮</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top"/>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w:t>
            </w:r>
          </w:p>
        </w:tc>
        <w:tc>
          <w:tcPr>
            <w:tcW w:w="3076"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34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99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后八轮</w:t>
            </w:r>
          </w:p>
        </w:tc>
        <w:tc>
          <w:tcPr>
            <w:tcW w:w="1560"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1300</w:t>
            </w:r>
          </w:p>
        </w:tc>
      </w:tr>
      <w:bookmarkEnd w:id="5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gridSpan w:val="4"/>
            <w:noWrap w:val="0"/>
            <w:vAlign w:val="top"/>
          </w:tcPr>
          <w:p>
            <w:pPr>
              <w:spacing w:line="360" w:lineRule="auto"/>
              <w:jc w:val="center"/>
              <w:rPr>
                <w:rFonts w:hint="default" w:ascii="宋体" w:hAnsi="宋体" w:eastAsia="宋体" w:cs="宋体"/>
                <w:b/>
                <w:bCs/>
                <w:color w:val="auto"/>
                <w:sz w:val="21"/>
                <w:szCs w:val="21"/>
                <w:highlight w:val="none"/>
                <w:lang w:val="en-US"/>
              </w:rPr>
            </w:pPr>
            <w:r>
              <w:rPr>
                <w:rFonts w:hint="eastAsia" w:ascii="宋体" w:hAnsi="宋体" w:cs="宋体"/>
                <w:b/>
                <w:bCs/>
                <w:color w:val="auto"/>
                <w:sz w:val="21"/>
                <w:szCs w:val="21"/>
                <w:highlight w:val="none"/>
                <w:lang w:val="en-US" w:eastAsia="zh-CN"/>
              </w:rPr>
              <w:t>合计最高综合单价限价</w:t>
            </w:r>
          </w:p>
        </w:tc>
        <w:tc>
          <w:tcPr>
            <w:tcW w:w="1560" w:type="dxa"/>
            <w:noWrap w:val="0"/>
            <w:vAlign w:val="center"/>
          </w:tcPr>
          <w:p>
            <w:pPr>
              <w:spacing w:line="360" w:lineRule="auto"/>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68685</w:t>
            </w:r>
          </w:p>
        </w:tc>
      </w:tr>
    </w:tbl>
    <w:p>
      <w:pPr>
        <w:spacing w:line="360" w:lineRule="auto"/>
        <w:ind w:firstLine="422" w:firstLineChars="200"/>
        <w:rPr>
          <w:rFonts w:hint="default" w:ascii="宋体" w:hAnsi="宋体" w:cs="宋体"/>
          <w:b/>
          <w:bCs/>
        </w:rPr>
      </w:pPr>
      <w:r>
        <w:rPr>
          <w:rFonts w:ascii="宋体" w:hAnsi="宋体" w:cs="宋体"/>
          <w:b/>
          <w:bCs/>
        </w:rPr>
        <w:t>备注：</w:t>
      </w:r>
    </w:p>
    <w:p>
      <w:pPr>
        <w:spacing w:line="360" w:lineRule="auto"/>
        <w:ind w:firstLine="420" w:firstLineChars="200"/>
        <w:rPr>
          <w:rFonts w:hint="default" w:ascii="宋体" w:hAnsi="宋体" w:cs="宋体"/>
          <w:b w:val="0"/>
          <w:bCs w:val="0"/>
        </w:rPr>
      </w:pPr>
      <w:r>
        <w:rPr>
          <w:rFonts w:ascii="宋体" w:hAnsi="宋体" w:cs="宋体"/>
          <w:b w:val="0"/>
          <w:bCs w:val="0"/>
        </w:rPr>
        <w:t>① 上表所列的单位“次”指出勤次数。</w:t>
      </w:r>
    </w:p>
    <w:p>
      <w:pPr>
        <w:spacing w:line="360" w:lineRule="auto"/>
        <w:ind w:firstLine="420" w:firstLineChars="200"/>
        <w:rPr>
          <w:rFonts w:hint="default" w:ascii="宋体" w:hAnsi="宋体" w:cs="宋体"/>
          <w:b w:val="0"/>
          <w:bCs w:val="0"/>
        </w:rPr>
      </w:pPr>
      <w:r>
        <w:rPr>
          <w:b w:val="0"/>
          <w:bCs w:val="0"/>
        </w:rPr>
        <w:t xml:space="preserve">② </w:t>
      </w:r>
      <w:r>
        <w:rPr>
          <w:rFonts w:ascii="宋体" w:hAnsi="宋体" w:cs="宋体"/>
          <w:b w:val="0"/>
          <w:bCs w:val="0"/>
        </w:rPr>
        <w:t>上表所列单价费用包括其涉及的人员工资、餐费、饮水（矿泉水）、到达指定地点交通费等一切费用。</w:t>
      </w:r>
    </w:p>
    <w:p>
      <w:pPr>
        <w:spacing w:line="360" w:lineRule="auto"/>
        <w:ind w:firstLine="420" w:firstLineChars="200"/>
        <w:rPr>
          <w:rFonts w:hint="default" w:ascii="宋体" w:hAnsi="宋体" w:cs="宋体"/>
        </w:rPr>
      </w:pPr>
      <w:r>
        <w:rPr>
          <w:b w:val="0"/>
          <w:bCs w:val="0"/>
        </w:rPr>
        <w:t xml:space="preserve">③ </w:t>
      </w:r>
      <w:r>
        <w:rPr>
          <w:rFonts w:ascii="宋体" w:hAnsi="宋体" w:cs="宋体"/>
          <w:b w:val="0"/>
          <w:bCs w:val="0"/>
        </w:rPr>
        <w:t>人员服务费计算方式(指上述清单序号1、2）：当日服务时</w:t>
      </w:r>
      <w:r>
        <w:rPr>
          <w:rFonts w:ascii="宋体" w:hAnsi="宋体" w:cs="宋体"/>
        </w:rPr>
        <w:t>间小于等于5个小时的按半日计算，当日服务时间大于5个小时但小于等于8个小时的按全日计算。当日服务时间（午休及午餐或晚餐时间不计入服务时间）大于8小时的，每超过1小时，超出部分按全日价*12.5%计算（不足1小时按1小时计取）。</w:t>
      </w:r>
    </w:p>
    <w:p>
      <w:pPr>
        <w:spacing w:line="360" w:lineRule="auto"/>
        <w:ind w:firstLine="420" w:firstLineChars="200"/>
        <w:rPr>
          <w:rFonts w:hint="default"/>
        </w:rPr>
      </w:pPr>
      <w:r>
        <w:t xml:space="preserve">④ </w:t>
      </w:r>
      <w:r>
        <w:rPr>
          <w:rFonts w:ascii="宋体" w:hAnsi="宋体"/>
          <w:szCs w:val="21"/>
        </w:rPr>
        <w:t>午休及午餐或晚餐时间的时间长短由现场采购人代表根据任务的具体情况予以确定，如由于服务任务较为特殊，没有给予午休及午餐或晚餐时间的，该时间计入服务时间，并由采购人代表提供情况说明，予以存档。</w:t>
      </w:r>
    </w:p>
    <w:p>
      <w:pPr>
        <w:pStyle w:val="2"/>
        <w:spacing w:after="0" w:line="360" w:lineRule="auto"/>
        <w:ind w:left="0" w:leftChars="0" w:firstLine="420" w:firstLineChars="200"/>
        <w:rPr>
          <w:rFonts w:hint="default" w:ascii="宋体" w:hAnsi="宋体" w:cs="宋体"/>
          <w:b w:val="0"/>
          <w:bCs w:val="0"/>
        </w:rPr>
      </w:pPr>
      <w:r>
        <w:rPr>
          <w:b w:val="0"/>
          <w:bCs w:val="0"/>
        </w:rPr>
        <w:t xml:space="preserve">⑤ </w:t>
      </w:r>
      <w:r>
        <w:rPr>
          <w:rFonts w:ascii="宋体" w:hAnsi="宋体" w:cs="宋体"/>
          <w:b w:val="0"/>
          <w:bCs w:val="0"/>
        </w:rPr>
        <w:t>设备/车辆服务费计算方式：设备/车辆服务费已包括了设备/车辆使用费、操作人员（驾驶员）人工费、燃油费、设备耗损费、保险费等设备使用有关的一切费用。</w:t>
      </w:r>
    </w:p>
    <w:p>
      <w:pPr>
        <w:spacing w:line="360" w:lineRule="auto"/>
        <w:ind w:firstLine="420" w:firstLineChars="200"/>
        <w:rPr>
          <w:rFonts w:hint="default" w:ascii="宋体" w:hAnsi="宋体" w:cs="宋体"/>
          <w:b w:val="0"/>
          <w:bCs w:val="0"/>
        </w:rPr>
      </w:pPr>
      <w:r>
        <w:rPr>
          <w:b w:val="0"/>
          <w:bCs w:val="0"/>
        </w:rPr>
        <w:t>⑥ 具体违章拆除、环境整治项目的服务费除另有说明外，已包含完成项目所需的一切费用，不再另行支付人员服务费和设备服务费。</w:t>
      </w:r>
    </w:p>
    <w:p>
      <w:pPr>
        <w:tabs>
          <w:tab w:val="left" w:pos="840"/>
        </w:tabs>
        <w:ind w:firstLine="420" w:firstLineChars="200"/>
        <w:outlineLvl w:val="9"/>
        <w:rPr>
          <w:rFonts w:hint="default"/>
          <w:b w:val="0"/>
          <w:bCs w:val="0"/>
        </w:rPr>
      </w:pPr>
      <w:r>
        <w:rPr>
          <w:b w:val="0"/>
          <w:bCs w:val="0"/>
          <w:sz w:val="21"/>
          <w:szCs w:val="21"/>
        </w:rPr>
        <w:t>⑦</w:t>
      </w:r>
      <w:r>
        <w:rPr>
          <w:b w:val="0"/>
          <w:bCs w:val="0"/>
        </w:rPr>
        <w:t xml:space="preserve"> </w:t>
      </w:r>
      <w:r>
        <w:rPr>
          <w:rFonts w:hAnsi="宋体" w:cs="宋体"/>
          <w:b w:val="0"/>
          <w:bCs w:val="0"/>
          <w:kern w:val="0"/>
          <w:sz w:val="21"/>
        </w:rPr>
        <w:t>特种作业人员（如电工等）要求持证上岗。</w:t>
      </w:r>
    </w:p>
    <w:p>
      <w:pPr>
        <w:tabs>
          <w:tab w:val="left" w:pos="425"/>
        </w:tabs>
        <w:snapToGrid w:val="0"/>
        <w:spacing w:line="360" w:lineRule="auto"/>
        <w:rPr>
          <w:rFonts w:hint="eastAsia" w:asciiTheme="majorEastAsia" w:hAnsiTheme="majorEastAsia" w:eastAsiaTheme="majorEastAsia" w:cstheme="majorEastAsia"/>
          <w:b/>
          <w:bCs/>
          <w:szCs w:val="21"/>
          <w:lang w:val="en-US" w:eastAsia="zh-CN"/>
        </w:rPr>
      </w:pPr>
      <w:r>
        <w:rPr>
          <w:rFonts w:hint="eastAsia" w:asciiTheme="majorEastAsia" w:hAnsiTheme="majorEastAsia" w:eastAsiaTheme="majorEastAsia" w:cstheme="majorEastAsia"/>
          <w:b/>
          <w:bCs/>
          <w:szCs w:val="21"/>
          <w:lang w:val="en-US" w:eastAsia="zh-CN"/>
        </w:rPr>
        <w:t>5、视频演示：</w:t>
      </w:r>
    </w:p>
    <w:p>
      <w:pPr>
        <w:bidi w:val="0"/>
        <w:spacing w:line="360" w:lineRule="auto"/>
        <w:ind w:firstLine="420" w:firstLineChars="200"/>
        <w:rPr>
          <w:rFonts w:hint="eastAsia"/>
          <w:lang w:val="en-US" w:eastAsia="zh-CN"/>
        </w:rPr>
      </w:pPr>
      <w:r>
        <w:rPr>
          <w:rFonts w:hint="eastAsia"/>
          <w:lang w:val="en-US" w:eastAsia="zh-CN"/>
        </w:rPr>
        <w:t>（1）投标人制作的演示视频内容应结合采购内容和需求以及商务技术文件中关于“演示部分”评分细则的要求。</w:t>
      </w:r>
    </w:p>
    <w:p>
      <w:pPr>
        <w:bidi w:val="0"/>
        <w:spacing w:line="360" w:lineRule="auto"/>
        <w:ind w:firstLine="420" w:firstLineChars="200"/>
        <w:rPr>
          <w:rFonts w:hint="eastAsia"/>
          <w:lang w:val="en-US" w:eastAsia="zh-CN"/>
        </w:rPr>
      </w:pPr>
      <w:r>
        <w:rPr>
          <w:rFonts w:hint="eastAsia"/>
          <w:lang w:val="en-US" w:eastAsia="zh-CN"/>
        </w:rPr>
        <w:t>（2）演示视频文件应为常用格式的视频文件，评标现场电脑操作系统为windows10，视频文件应能由系统自带windows media player播放器播放。</w:t>
      </w:r>
    </w:p>
    <w:p>
      <w:pPr>
        <w:bidi w:val="0"/>
        <w:spacing w:line="360" w:lineRule="auto"/>
        <w:ind w:firstLine="420" w:firstLineChars="200"/>
        <w:rPr>
          <w:rFonts w:hint="eastAsia"/>
          <w:lang w:val="en-US" w:eastAsia="zh-CN"/>
        </w:rPr>
      </w:pPr>
      <w:r>
        <w:rPr>
          <w:rFonts w:hint="eastAsia"/>
          <w:lang w:val="en-US" w:eastAsia="zh-CN"/>
        </w:rPr>
        <w:t>① 多个镜头使用同一个音轨，且时间轴应同步；</w:t>
      </w:r>
    </w:p>
    <w:p>
      <w:pPr>
        <w:bidi w:val="0"/>
        <w:spacing w:line="360" w:lineRule="auto"/>
        <w:ind w:firstLine="420" w:firstLineChars="200"/>
        <w:rPr>
          <w:rFonts w:hint="eastAsia"/>
          <w:lang w:val="en-US" w:eastAsia="zh-CN"/>
        </w:rPr>
      </w:pPr>
      <w:r>
        <w:rPr>
          <w:rFonts w:hint="eastAsia"/>
          <w:lang w:val="en-US" w:eastAsia="zh-CN"/>
        </w:rPr>
        <w:t>② 单个镜头的演示视频应一镜到底，即：除字幕标注外，不得对演示过程视频进行任何形式的剪辑。</w:t>
      </w:r>
    </w:p>
    <w:p>
      <w:pPr>
        <w:pStyle w:val="2"/>
        <w:rPr>
          <w:rFonts w:hint="default"/>
          <w:lang w:val="en-US" w:eastAsia="zh-CN"/>
        </w:rPr>
      </w:pPr>
      <w:r>
        <w:rPr>
          <w:rFonts w:hint="eastAsia"/>
          <w:lang w:val="en-US" w:eastAsia="zh-CN"/>
        </w:rPr>
        <w:t>③ 视频总时长不得超过10分钟，超出部分不进行计分。</w:t>
      </w:r>
    </w:p>
    <w:p>
      <w:pPr>
        <w:pStyle w:val="2"/>
        <w:spacing w:line="360" w:lineRule="auto"/>
        <w:ind w:left="0" w:leftChars="0" w:firstLine="0" w:firstLineChars="0"/>
        <w:rPr>
          <w:rFonts w:hint="default"/>
          <w:lang w:val="en-US" w:eastAsia="zh-CN"/>
        </w:rPr>
      </w:pPr>
      <w:r>
        <w:rPr>
          <w:rFonts w:hint="eastAsia"/>
          <w:lang w:val="en-US" w:eastAsia="zh-CN"/>
        </w:rPr>
        <w:t>（4）演示视频文件并非强制性要求，投标人不提交演示视频文件或未能按照以上要求制作演示视频文件并非被认定为无效标的条件，仅在商务技术文件评审过程中由评标委员会评分量化。</w:t>
      </w:r>
    </w:p>
    <w:p>
      <w:pPr>
        <w:tabs>
          <w:tab w:val="left" w:pos="425"/>
        </w:tabs>
        <w:snapToGrid w:val="0"/>
        <w:spacing w:line="360" w:lineRule="auto"/>
        <w:rPr>
          <w:rFonts w:hint="default"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lang w:val="en-US" w:eastAsia="zh-CN"/>
        </w:rPr>
        <w:t>6</w:t>
      </w:r>
      <w:r>
        <w:rPr>
          <w:rFonts w:asciiTheme="majorEastAsia" w:hAnsiTheme="majorEastAsia" w:eastAsiaTheme="majorEastAsia" w:cstheme="majorEastAsia"/>
          <w:b/>
          <w:bCs/>
          <w:szCs w:val="21"/>
        </w:rPr>
        <w:t>、服务要求:</w:t>
      </w:r>
    </w:p>
    <w:p>
      <w:pPr>
        <w:tabs>
          <w:tab w:val="left" w:pos="284"/>
        </w:tabs>
        <w:spacing w:line="360" w:lineRule="auto"/>
        <w:rPr>
          <w:rFonts w:hint="default" w:ascii="宋体" w:hAnsi="宋体" w:cs="宋体"/>
          <w:b/>
          <w:bCs/>
          <w:szCs w:val="21"/>
        </w:rPr>
      </w:pPr>
      <w:bookmarkStart w:id="321" w:name="_Toc25025"/>
      <w:bookmarkStart w:id="322" w:name="_Toc30229"/>
      <w:r>
        <w:rPr>
          <w:rFonts w:ascii="宋体" w:hAnsi="宋体" w:cs="宋体"/>
          <w:b/>
          <w:bCs/>
        </w:rPr>
        <w:t xml:space="preserve">① </w:t>
      </w:r>
      <w:r>
        <w:rPr>
          <w:rFonts w:ascii="宋体" w:hAnsi="宋体" w:cs="宋体"/>
          <w:b/>
          <w:bCs/>
          <w:szCs w:val="21"/>
        </w:rPr>
        <w:t>人员服务要求</w:t>
      </w:r>
    </w:p>
    <w:p>
      <w:pPr>
        <w:tabs>
          <w:tab w:val="left" w:pos="0"/>
        </w:tabs>
        <w:spacing w:line="400" w:lineRule="exact"/>
        <w:rPr>
          <w:rFonts w:hint="default" w:ascii="宋体" w:hAnsi="宋体" w:cs="宋体"/>
          <w:szCs w:val="21"/>
        </w:rPr>
      </w:pPr>
      <w:r>
        <w:rPr>
          <w:rFonts w:ascii="宋体" w:hAnsi="宋体" w:cs="宋体"/>
          <w:szCs w:val="21"/>
        </w:rPr>
        <w:t>（1）实际岗位依采购人具体工作需要可能作适当调整；</w:t>
      </w:r>
    </w:p>
    <w:p>
      <w:pPr>
        <w:tabs>
          <w:tab w:val="left" w:pos="0"/>
        </w:tabs>
        <w:spacing w:line="400" w:lineRule="exact"/>
        <w:rPr>
          <w:rFonts w:hint="default" w:ascii="宋体" w:hAnsi="宋体" w:cs="宋体"/>
          <w:szCs w:val="21"/>
        </w:rPr>
      </w:pPr>
      <w:r>
        <w:rPr>
          <w:rFonts w:ascii="宋体" w:hAnsi="宋体" w:cs="宋体"/>
          <w:szCs w:val="21"/>
        </w:rPr>
        <w:t>（2）人员涉及的食宿费、交通费等一切费用由磋商供应商承担；</w:t>
      </w:r>
    </w:p>
    <w:p>
      <w:pPr>
        <w:tabs>
          <w:tab w:val="left" w:pos="0"/>
        </w:tabs>
        <w:spacing w:line="400" w:lineRule="exact"/>
        <w:rPr>
          <w:rFonts w:hint="default" w:ascii="宋体" w:hAnsi="宋体" w:cs="宋体"/>
          <w:szCs w:val="21"/>
        </w:rPr>
      </w:pPr>
      <w:r>
        <w:rPr>
          <w:rFonts w:ascii="宋体" w:hAnsi="宋体" w:cs="宋体"/>
          <w:szCs w:val="21"/>
        </w:rPr>
        <w:t>（3）供应商承诺在服务期内，在提供服务过程中，加强消除现场安全隐患，全力确保现场安全，并做好保密工作。</w:t>
      </w:r>
    </w:p>
    <w:p>
      <w:pPr>
        <w:tabs>
          <w:tab w:val="left" w:pos="284"/>
        </w:tabs>
        <w:spacing w:line="360" w:lineRule="auto"/>
        <w:rPr>
          <w:rFonts w:hint="default" w:ascii="宋体" w:hAnsi="宋体" w:cs="宋体"/>
          <w:szCs w:val="21"/>
        </w:rPr>
      </w:pPr>
      <w:r>
        <w:rPr>
          <w:rFonts w:ascii="宋体" w:hAnsi="宋体" w:cs="宋体"/>
          <w:szCs w:val="21"/>
        </w:rPr>
        <w:t>（4）及时完成采购人交办的其他任务。</w:t>
      </w:r>
    </w:p>
    <w:p>
      <w:pPr>
        <w:tabs>
          <w:tab w:val="left" w:pos="284"/>
        </w:tabs>
        <w:spacing w:line="360" w:lineRule="auto"/>
        <w:rPr>
          <w:rFonts w:hint="default" w:ascii="宋体" w:hAnsi="宋体" w:cs="宋体"/>
          <w:szCs w:val="21"/>
        </w:rPr>
      </w:pPr>
      <w:r>
        <w:rPr>
          <w:rFonts w:ascii="宋体" w:hAnsi="宋体" w:cs="宋体"/>
          <w:szCs w:val="21"/>
        </w:rPr>
        <w:t>（5）</w:t>
      </w:r>
      <w:r>
        <w:rPr>
          <w:rFonts w:ascii="Arial" w:hAnsi="宋体" w:cs="Arial"/>
          <w:szCs w:val="22"/>
        </w:rPr>
        <w:t>人员应按时签到，并于完成工作的当日或次日交由带队的采购人代表签字确认，于次月的第二十个工作日内将当月所有签到表、现场状况</w:t>
      </w:r>
      <w:r>
        <w:rPr>
          <w:rFonts w:hint="eastAsia" w:ascii="Arial" w:hAnsi="宋体" w:cs="Arial"/>
          <w:szCs w:val="22"/>
          <w:lang w:val="en-US" w:eastAsia="zh-CN"/>
        </w:rPr>
        <w:t>全程</w:t>
      </w:r>
      <w:r>
        <w:rPr>
          <w:rFonts w:ascii="Arial" w:hAnsi="宋体" w:cs="Arial"/>
          <w:szCs w:val="22"/>
        </w:rPr>
        <w:t>视频资料、人员视频资料、机具视频资料、统一的单次合同交由采购人</w:t>
      </w:r>
      <w:r>
        <w:rPr>
          <w:rFonts w:hint="eastAsia" w:ascii="Arial" w:hAnsi="宋体" w:cs="Arial"/>
          <w:szCs w:val="22"/>
          <w:lang w:eastAsia="zh-CN"/>
        </w:rPr>
        <w:t>，</w:t>
      </w:r>
      <w:r>
        <w:rPr>
          <w:rFonts w:hint="eastAsia" w:ascii="Arial" w:hAnsi="宋体" w:cs="Arial"/>
          <w:szCs w:val="22"/>
          <w:lang w:val="en-US" w:eastAsia="zh-CN"/>
        </w:rPr>
        <w:t>其中视频资料的保存时间应不小于3个月</w:t>
      </w:r>
      <w:r>
        <w:rPr>
          <w:rFonts w:ascii="Arial" w:hAnsi="宋体" w:cs="Arial"/>
          <w:szCs w:val="22"/>
        </w:rPr>
        <w:t>。</w:t>
      </w:r>
    </w:p>
    <w:p>
      <w:pPr>
        <w:tabs>
          <w:tab w:val="left" w:pos="0"/>
        </w:tabs>
        <w:spacing w:line="400" w:lineRule="exact"/>
        <w:rPr>
          <w:rFonts w:hint="default"/>
        </w:rPr>
      </w:pPr>
      <w:r>
        <w:rPr>
          <w:rFonts w:ascii="宋体" w:hAnsi="宋体" w:cs="宋体"/>
          <w:szCs w:val="21"/>
        </w:rPr>
        <w:t>（6）中标供应商向采购人指派的人员均由采购人确定，且在合同期内，采购人也有权让中标供应商来补足指派的人员。</w:t>
      </w:r>
    </w:p>
    <w:p>
      <w:pPr>
        <w:tabs>
          <w:tab w:val="left" w:pos="284"/>
        </w:tabs>
        <w:spacing w:line="360" w:lineRule="auto"/>
        <w:rPr>
          <w:rFonts w:hint="default" w:ascii="宋体" w:hAnsi="宋体" w:cs="宋体"/>
          <w:szCs w:val="21"/>
        </w:rPr>
      </w:pPr>
      <w:r>
        <w:t xml:space="preserve">② </w:t>
      </w:r>
      <w:r>
        <w:rPr>
          <w:rFonts w:ascii="宋体" w:hAnsi="宋体" w:cs="宋体"/>
          <w:szCs w:val="21"/>
        </w:rPr>
        <w:t>响应时间：成交供应商应接到采购人通知后在半小时内作出响应，并在指定时间到达现场。采购人若遇特殊情况取消此次活动，因此次活动产生的派遣出勤车辆费用采购人予以支付。</w:t>
      </w:r>
    </w:p>
    <w:p>
      <w:pPr>
        <w:tabs>
          <w:tab w:val="left" w:pos="284"/>
        </w:tabs>
        <w:spacing w:line="360" w:lineRule="auto"/>
        <w:rPr>
          <w:rFonts w:hint="default"/>
        </w:rPr>
      </w:pPr>
      <w:r>
        <w:t xml:space="preserve">③ </w:t>
      </w:r>
      <w:r>
        <w:rPr>
          <w:rFonts w:ascii="宋体" w:hAnsi="宋体" w:cs="宋体"/>
          <w:szCs w:val="21"/>
        </w:rPr>
        <w:t>本次招标的采购清单为采购人日常所需的服务，具体服务内容以采购人指派为准。</w:t>
      </w:r>
      <w:r>
        <w:rPr>
          <w:rFonts w:ascii="宋体" w:hAnsi="宋体" w:cs="宋体"/>
        </w:rPr>
        <w:t>在接到采购人通知后，成交供应商应积极配合采购人做好前期现场踏勘工作，并列出当次服务工作预计需要使用的</w:t>
      </w:r>
      <w:r>
        <w:rPr>
          <w:rFonts w:ascii="宋体" w:hAnsi="宋体" w:cs="宋体"/>
          <w:szCs w:val="21"/>
        </w:rPr>
        <w:t>人员、车、机械</w:t>
      </w:r>
      <w:r>
        <w:rPr>
          <w:rFonts w:ascii="宋体" w:hAnsi="宋体" w:cs="宋体"/>
        </w:rPr>
        <w:t>，由采购人最终讨论确定，</w:t>
      </w:r>
      <w:r>
        <w:rPr>
          <w:rFonts w:ascii="宋体" w:hAnsi="宋体" w:cs="宋体"/>
          <w:szCs w:val="21"/>
        </w:rPr>
        <w:t>所需人员、车、机械必须送达到采购人指定服务地点，其费用由供应商承担并包含在投标单价中。</w:t>
      </w:r>
    </w:p>
    <w:p>
      <w:pPr>
        <w:tabs>
          <w:tab w:val="left" w:pos="284"/>
        </w:tabs>
        <w:spacing w:line="360" w:lineRule="auto"/>
        <w:rPr>
          <w:rFonts w:hint="default" w:ascii="宋体" w:hAnsi="宋体" w:cs="宋体"/>
        </w:rPr>
      </w:pPr>
      <w:r>
        <w:t xml:space="preserve">④ </w:t>
      </w:r>
      <w:r>
        <w:rPr>
          <w:rFonts w:ascii="宋体" w:hAnsi="宋体" w:cs="宋体"/>
          <w:szCs w:val="21"/>
        </w:rPr>
        <w:t>服务起始计算时间以人员（车辆、机械）到达采购人指定地点起至采购人宣布工作结束止。</w:t>
      </w:r>
    </w:p>
    <w:p>
      <w:pPr>
        <w:tabs>
          <w:tab w:val="left" w:pos="284"/>
        </w:tabs>
        <w:spacing w:line="360" w:lineRule="auto"/>
        <w:rPr>
          <w:rFonts w:hint="default" w:ascii="宋体" w:hAnsi="宋体" w:cs="宋体"/>
          <w:b/>
          <w:bCs/>
          <w:szCs w:val="21"/>
        </w:rPr>
      </w:pPr>
      <w:r>
        <w:t xml:space="preserve">⑤ </w:t>
      </w:r>
      <w:r>
        <w:rPr>
          <w:rFonts w:ascii="宋体" w:hAnsi="宋体" w:cs="宋体"/>
        </w:rPr>
        <w:t xml:space="preserve">成交供应商按有关规定采取严格的安全措施，承担由于自身安全措施不力造成的事故责任和因此发生的费用及后果，成交供应商服务人员的人身安全由成交供应商负责。成交供应商应为服务人员购买人身意外伤害险及与项目服务有关的一切保险。凡在服务过程中发生安全责任事故或其他责任事故，均由成交供应商承担责任。 </w:t>
      </w:r>
    </w:p>
    <w:p>
      <w:pPr>
        <w:tabs>
          <w:tab w:val="left" w:pos="284"/>
        </w:tabs>
        <w:spacing w:line="360" w:lineRule="auto"/>
        <w:rPr>
          <w:rFonts w:hint="default" w:ascii="宋体" w:hAnsi="宋体" w:cs="宋体"/>
          <w:b/>
        </w:rPr>
      </w:pPr>
      <w:r>
        <w:t xml:space="preserve">⑥ </w:t>
      </w:r>
      <w:r>
        <w:rPr>
          <w:rFonts w:ascii="宋体" w:hAnsi="宋体" w:cs="宋体"/>
          <w:szCs w:val="22"/>
        </w:rPr>
        <w:t>服务人员在作业服务过程中，如涉及建筑物，不准损坏建筑物整体结构、表面装修、顶部防水等，如有损坏，成交供应商负责维修或赔偿。</w:t>
      </w:r>
    </w:p>
    <w:p>
      <w:pPr>
        <w:tabs>
          <w:tab w:val="left" w:pos="284"/>
        </w:tabs>
        <w:spacing w:line="360" w:lineRule="auto"/>
        <w:rPr>
          <w:rFonts w:hint="default" w:ascii="宋体" w:hAnsi="宋体" w:cs="宋体"/>
          <w:szCs w:val="22"/>
          <w:u w:val="none"/>
        </w:rPr>
      </w:pPr>
      <w:r>
        <w:rPr>
          <w:szCs w:val="21"/>
          <w:u w:val="none"/>
        </w:rPr>
        <w:t>⑦</w:t>
      </w:r>
      <w:r>
        <w:rPr>
          <w:u w:val="none"/>
        </w:rPr>
        <w:t xml:space="preserve"> </w:t>
      </w:r>
      <w:r>
        <w:rPr>
          <w:rFonts w:ascii="宋体" w:hAnsi="宋体" w:cs="宋体"/>
          <w:szCs w:val="22"/>
          <w:u w:val="none"/>
        </w:rPr>
        <w:t xml:space="preserve">服务人员在作业服务过程中，要严格按照安全操作规程施工，电工、特种作业人员等须持证上岗，成交供应商承担其现场施工人员、过往行人的人身安全责任，承担倒塌、坠落物体对其他人员、物体损坏的赔偿及相关责任。 </w:t>
      </w:r>
    </w:p>
    <w:p>
      <w:pPr>
        <w:tabs>
          <w:tab w:val="left" w:pos="284"/>
        </w:tabs>
        <w:spacing w:line="360" w:lineRule="auto"/>
        <w:rPr>
          <w:rFonts w:hint="default"/>
          <w:u w:val="none"/>
        </w:rPr>
      </w:pPr>
      <w:r>
        <w:rPr>
          <w:u w:val="none"/>
        </w:rPr>
        <w:t xml:space="preserve">⑧ </w:t>
      </w:r>
      <w:r>
        <w:rPr>
          <w:rFonts w:ascii="宋体" w:hAnsi="宋体" w:cs="宋体"/>
          <w:szCs w:val="22"/>
          <w:u w:val="none"/>
        </w:rPr>
        <w:t>服务人员如需穿着佩戴安全帽等相关安全保护装束的，该费用由成交供应商承担。</w:t>
      </w:r>
    </w:p>
    <w:p>
      <w:pPr>
        <w:tabs>
          <w:tab w:val="left" w:pos="284"/>
        </w:tabs>
        <w:spacing w:line="360" w:lineRule="auto"/>
        <w:rPr>
          <w:rFonts w:hint="default" w:ascii="宋体" w:hAnsi="宋体" w:cs="宋体"/>
          <w:szCs w:val="22"/>
          <w:u w:val="none"/>
        </w:rPr>
      </w:pPr>
      <w:r>
        <w:rPr>
          <w:rFonts w:ascii="宋体" w:hAnsi="宋体" w:cs="宋体"/>
          <w:szCs w:val="22"/>
          <w:u w:val="none"/>
        </w:rPr>
        <w:t>成交供应商应负责垃圾外运及消纳，应严格实行密闭式运输，不得在运输过程中出现垃圾遗漏、散落等违章行为。</w:t>
      </w:r>
    </w:p>
    <w:p>
      <w:pPr>
        <w:tabs>
          <w:tab w:val="left" w:pos="284"/>
        </w:tabs>
        <w:spacing w:line="360" w:lineRule="auto"/>
        <w:rPr>
          <w:rFonts w:hint="default" w:ascii="宋体" w:hAnsi="宋体" w:cs="宋体"/>
          <w:szCs w:val="22"/>
          <w:u w:val="none"/>
        </w:rPr>
      </w:pPr>
      <w:r>
        <w:rPr>
          <w:u w:val="none"/>
        </w:rPr>
        <w:t xml:space="preserve">⑨ </w:t>
      </w:r>
      <w:r>
        <w:rPr>
          <w:rFonts w:ascii="宋体" w:hAnsi="宋体" w:cs="宋体"/>
          <w:szCs w:val="22"/>
          <w:u w:val="none"/>
        </w:rPr>
        <w:t>成交供应商应严格按照交警和公路运输管理部门的要求装载运输，不得超载，不得丢弃、遗撒垃圾，不得直排（偷排）垃圾。</w:t>
      </w:r>
    </w:p>
    <w:p>
      <w:pPr>
        <w:tabs>
          <w:tab w:val="left" w:pos="284"/>
        </w:tabs>
        <w:spacing w:line="360" w:lineRule="auto"/>
        <w:rPr>
          <w:rFonts w:hint="default" w:ascii="宋体" w:hAnsi="宋体" w:cs="宋体"/>
          <w:szCs w:val="22"/>
          <w:u w:val="none"/>
        </w:rPr>
      </w:pPr>
      <w:r>
        <w:rPr>
          <w:rFonts w:ascii="宋体" w:hAnsi="宋体" w:cs="宋体"/>
          <w:szCs w:val="22"/>
          <w:u w:val="none"/>
        </w:rPr>
        <w:t>（1）所有清运车辆保险手续齐全，且车辆保险未生效前，不得上路作业。</w:t>
      </w:r>
    </w:p>
    <w:p>
      <w:pPr>
        <w:tabs>
          <w:tab w:val="left" w:pos="284"/>
        </w:tabs>
        <w:spacing w:line="360" w:lineRule="auto"/>
        <w:rPr>
          <w:rFonts w:hint="default"/>
          <w:u w:val="none"/>
        </w:rPr>
      </w:pPr>
      <w:r>
        <w:rPr>
          <w:rFonts w:ascii="宋体" w:hAnsi="宋体" w:cs="宋体"/>
          <w:szCs w:val="22"/>
          <w:u w:val="none"/>
        </w:rPr>
        <w:t>（2）车辆在作业过程车厢外不得有垃圾拖挂，沿途禁止抛洒滴漏，严禁超载超限运输。</w:t>
      </w:r>
    </w:p>
    <w:p>
      <w:pPr>
        <w:tabs>
          <w:tab w:val="left" w:pos="284"/>
        </w:tabs>
        <w:spacing w:line="360" w:lineRule="auto"/>
        <w:rPr>
          <w:rFonts w:hint="default" w:ascii="宋体" w:hAnsi="宋体" w:cs="宋体"/>
          <w:szCs w:val="22"/>
          <w:u w:val="none"/>
        </w:rPr>
      </w:pPr>
      <w:r>
        <w:rPr>
          <w:rFonts w:ascii="宋体" w:hAnsi="宋体" w:cs="宋体"/>
          <w:szCs w:val="22"/>
          <w:u w:val="none"/>
        </w:rPr>
        <w:t>（3）成交供应商应科学合理安排收运路线，避免噪音扰民等现象。</w:t>
      </w:r>
    </w:p>
    <w:p>
      <w:pPr>
        <w:tabs>
          <w:tab w:val="left" w:pos="284"/>
        </w:tabs>
        <w:spacing w:line="360" w:lineRule="auto"/>
        <w:rPr>
          <w:rFonts w:hint="default" w:ascii="宋体" w:hAnsi="宋体" w:cs="宋体"/>
          <w:szCs w:val="22"/>
          <w:u w:val="none"/>
        </w:rPr>
      </w:pPr>
      <w:r>
        <w:rPr>
          <w:rFonts w:ascii="宋体" w:hAnsi="宋体" w:cs="宋体"/>
          <w:szCs w:val="22"/>
          <w:u w:val="none"/>
        </w:rPr>
        <w:t>（4）服务期间若遇上级检查或其它突击任务等特殊情况，应无条件服从采购人调配和安排。</w:t>
      </w:r>
    </w:p>
    <w:p>
      <w:pPr>
        <w:tabs>
          <w:tab w:val="left" w:pos="284"/>
        </w:tabs>
        <w:spacing w:line="360" w:lineRule="auto"/>
        <w:rPr>
          <w:rFonts w:hint="default" w:ascii="宋体" w:hAnsi="宋体" w:cs="宋体"/>
          <w:b w:val="0"/>
          <w:bCs/>
          <w:u w:val="none"/>
        </w:rPr>
      </w:pPr>
      <w:r>
        <w:rPr>
          <w:rFonts w:ascii="宋体" w:hAnsi="宋体" w:cs="宋体"/>
          <w:b w:val="0"/>
          <w:bCs/>
          <w:u w:val="none"/>
        </w:rPr>
        <w:t>（5）如采购人需要多名工人（3人以上）的，成交供应商必须指定一名具体负责人，并服从招人安排。</w:t>
      </w:r>
    </w:p>
    <w:p>
      <w:pPr>
        <w:spacing w:line="360" w:lineRule="auto"/>
        <w:rPr>
          <w:rFonts w:hint="default"/>
          <w:highlight w:val="yellow"/>
          <w:u w:val="none"/>
        </w:rPr>
      </w:pPr>
      <w:r>
        <w:rPr>
          <w:rFonts w:ascii="新宋体" w:hAnsi="新宋体" w:eastAsia="新宋体"/>
          <w:b w:val="0"/>
          <w:bCs/>
          <w:szCs w:val="21"/>
          <w:u w:val="none"/>
        </w:rPr>
        <w:t>（6）采购人无法预计也无法保证成交供应商在服务期内可以获得的服务数量及金额，最终以实际服务次数及中标折扣率进行结算，请供应商充分考虑投标风险。</w:t>
      </w:r>
    </w:p>
    <w:p>
      <w:pPr>
        <w:numPr>
          <w:ilvl w:val="0"/>
          <w:numId w:val="0"/>
        </w:numPr>
        <w:spacing w:line="360" w:lineRule="auto"/>
        <w:rPr>
          <w:rFonts w:hint="default"/>
          <w:b/>
          <w:bCs/>
        </w:rPr>
      </w:pPr>
      <w:r>
        <w:rPr>
          <w:rFonts w:hint="eastAsia"/>
          <w:b/>
          <w:bCs/>
          <w:lang w:val="en-US" w:eastAsia="zh-CN"/>
        </w:rPr>
        <w:t>7、</w:t>
      </w:r>
      <w:r>
        <w:rPr>
          <w:b/>
          <w:bCs/>
        </w:rPr>
        <w:t>安全要求：</w:t>
      </w:r>
    </w:p>
    <w:p>
      <w:pPr>
        <w:spacing w:line="360" w:lineRule="auto"/>
        <w:rPr>
          <w:rFonts w:hint="default"/>
        </w:rPr>
      </w:pPr>
      <w:r>
        <w:t xml:space="preserve">① </w:t>
      </w:r>
      <w:r>
        <w:rPr>
          <w:rFonts w:hint="default"/>
        </w:rPr>
        <w:t>中标人在签订协议书时，须同时签订安全生产责任书，中标人不愿签订责任书的，将视为自动放弃中标资格。</w:t>
      </w:r>
    </w:p>
    <w:p>
      <w:pPr>
        <w:spacing w:line="360" w:lineRule="auto"/>
        <w:rPr>
          <w:rFonts w:hint="default"/>
        </w:rPr>
      </w:pPr>
      <w:r>
        <w:t xml:space="preserve">② </w:t>
      </w:r>
      <w:r>
        <w:rPr>
          <w:rFonts w:hint="default"/>
        </w:rPr>
        <w:t>中标人必须为其工作人员投保意外险，以保证采购人在中标人工作人员索偿时不受任何责任的约束，保险费用已包含在中标人的投标报价中，采购人不单独另行支付。中标人不愿投保员工人身意外保险的，采购人有权强制扣款。</w:t>
      </w:r>
    </w:p>
    <w:p>
      <w:pPr>
        <w:spacing w:line="360" w:lineRule="auto"/>
        <w:rPr>
          <w:rFonts w:hint="default"/>
        </w:rPr>
      </w:pPr>
      <w:r>
        <w:t xml:space="preserve">③ </w:t>
      </w:r>
      <w:r>
        <w:rPr>
          <w:rFonts w:hint="default"/>
        </w:rPr>
        <w:t>中标人应自觉遵守安全生产有关法律、法规及规章制度。</w:t>
      </w:r>
    </w:p>
    <w:p>
      <w:pPr>
        <w:spacing w:line="360" w:lineRule="auto"/>
        <w:rPr>
          <w:rFonts w:hint="default"/>
        </w:rPr>
      </w:pPr>
      <w:r>
        <w:t xml:space="preserve">④ </w:t>
      </w:r>
      <w:r>
        <w:rPr>
          <w:rFonts w:hint="default"/>
        </w:rPr>
        <w:t>工作人员作业时注意安全，由于操作不规范等因素造成的安全责任事故，由中标人承担一切法律责任及赔偿。</w:t>
      </w:r>
    </w:p>
    <w:p>
      <w:pPr>
        <w:spacing w:line="360" w:lineRule="auto"/>
        <w:rPr>
          <w:rFonts w:hint="default"/>
        </w:rPr>
      </w:pPr>
      <w:r>
        <w:t xml:space="preserve">⑤ </w:t>
      </w:r>
      <w:r>
        <w:rPr>
          <w:rFonts w:hint="default"/>
        </w:rPr>
        <w:t>中标人在合同期内若做到安全生产无事故，合同期满时，采购人返还履约保证金。若中标人在履约期内发生安全责任事故的，所有损失及赔偿由中标人自行承担，采购人还可视情况扣留全部或部分履约保证金。</w:t>
      </w:r>
    </w:p>
    <w:bookmarkEnd w:id="321"/>
    <w:bookmarkEnd w:id="322"/>
    <w:p>
      <w:pPr>
        <w:spacing w:line="360" w:lineRule="auto"/>
        <w:rPr>
          <w:rFonts w:hint="default" w:eastAsiaTheme="minorEastAsia"/>
          <w:b/>
          <w:bCs/>
        </w:rPr>
      </w:pPr>
      <w:bookmarkStart w:id="323" w:name="_Toc6481"/>
      <w:bookmarkStart w:id="324" w:name="_Toc5774"/>
      <w:bookmarkStart w:id="325" w:name="_Toc482111286"/>
      <w:r>
        <w:rPr>
          <w:rFonts w:hint="eastAsia"/>
          <w:b/>
          <w:bCs/>
          <w:lang w:val="en-US" w:eastAsia="zh-CN"/>
        </w:rPr>
        <w:t>8</w:t>
      </w:r>
      <w:r>
        <w:rPr>
          <w:b/>
          <w:bCs/>
        </w:rPr>
        <w:t>、</w:t>
      </w:r>
      <w:bookmarkEnd w:id="323"/>
      <w:bookmarkEnd w:id="324"/>
      <w:bookmarkEnd w:id="325"/>
      <w:r>
        <w:rPr>
          <w:b/>
          <w:bCs/>
        </w:rPr>
        <w:t>商务要求：</w:t>
      </w:r>
    </w:p>
    <w:p>
      <w:pPr>
        <w:pStyle w:val="2"/>
        <w:widowControl/>
        <w:spacing w:after="0" w:line="360" w:lineRule="auto"/>
        <w:ind w:left="0" w:leftChars="0"/>
        <w:rPr>
          <w:rFonts w:hint="default" w:ascii="宋体" w:hAnsi="宋体" w:cs="宋体"/>
          <w:szCs w:val="21"/>
        </w:rPr>
      </w:pPr>
      <w:bookmarkStart w:id="326" w:name="_Toc19123"/>
      <w:bookmarkStart w:id="327" w:name="_Toc482111287"/>
      <w:bookmarkStart w:id="328" w:name="_Toc25032"/>
      <w:r>
        <w:rPr>
          <w:rFonts w:ascii="宋体" w:hAnsi="宋体" w:cs="宋体"/>
          <w:szCs w:val="21"/>
        </w:rPr>
        <w:t>①磋商供应商的报价按招标文件提出的招标清单实行统一折扣率报价，供应商报价包括工人工资、奖金、劳保福利社保、意外保险、交通费、工伤费、教育培训费及处理一切伤亡事故、</w:t>
      </w:r>
      <w:r>
        <w:rPr>
          <w:rFonts w:ascii="宋体" w:hAnsi="宋体" w:cs="宋体"/>
          <w:b/>
          <w:bCs/>
          <w:szCs w:val="21"/>
        </w:rPr>
        <w:t>机械设备损耗费与折旧费</w:t>
      </w:r>
      <w:r>
        <w:rPr>
          <w:rFonts w:ascii="宋体" w:hAnsi="宋体" w:cs="宋体"/>
          <w:szCs w:val="21"/>
        </w:rPr>
        <w:t>、餐费、管理费用、垃圾外运及消纳、企业应缴税金和应得利润、应急、物价因素等完成合同所需的一切本身和不可所缺的所有工作开支、政策性文件规定及合同包含的所有风险、责任等各项全部费用组成。</w:t>
      </w:r>
    </w:p>
    <w:p>
      <w:pPr>
        <w:pStyle w:val="2"/>
        <w:widowControl/>
        <w:spacing w:after="0" w:line="360" w:lineRule="auto"/>
        <w:ind w:left="0" w:leftChars="0"/>
        <w:rPr>
          <w:rFonts w:ascii="宋体" w:hAnsi="宋体" w:cs="宋体"/>
          <w:szCs w:val="21"/>
        </w:rPr>
      </w:pPr>
      <w:r>
        <w:rPr>
          <w:rFonts w:ascii="宋体" w:hAnsi="宋体" w:cs="宋体"/>
          <w:szCs w:val="21"/>
        </w:rPr>
        <w:t>② 本次投标品目采购人已设最高投标综合单价限价</w:t>
      </w:r>
      <w:r>
        <w:rPr>
          <w:rFonts w:hint="eastAsia" w:ascii="宋体" w:hAnsi="宋体" w:cs="宋体"/>
          <w:szCs w:val="21"/>
          <w:lang w:val="en-US" w:eastAsia="zh-CN"/>
        </w:rPr>
        <w:t>68685元</w:t>
      </w:r>
      <w:r>
        <w:rPr>
          <w:rFonts w:ascii="宋体" w:hAnsi="宋体" w:cs="宋体"/>
          <w:szCs w:val="21"/>
        </w:rPr>
        <w:t>，各磋商供应商在采购人设定的最高投标综合单价限价的基础上根据企业自身实力及市场行情自行填报</w:t>
      </w:r>
      <w:r>
        <w:rPr>
          <w:rFonts w:hint="eastAsia" w:ascii="宋体" w:hAnsi="宋体" w:cs="宋体"/>
          <w:szCs w:val="21"/>
          <w:lang w:val="en-US" w:eastAsia="zh-CN"/>
        </w:rPr>
        <w:t>报价信息</w:t>
      </w:r>
      <w:r>
        <w:rPr>
          <w:rFonts w:ascii="宋体" w:hAnsi="宋体" w:cs="宋体"/>
          <w:szCs w:val="21"/>
        </w:rPr>
        <w:t>，否则其报价无效并作无效标处理。</w:t>
      </w:r>
    </w:p>
    <w:p>
      <w:pPr>
        <w:pStyle w:val="2"/>
        <w:widowControl/>
        <w:spacing w:after="0" w:line="360" w:lineRule="auto"/>
        <w:ind w:left="0" w:leftChars="0"/>
        <w:rPr>
          <w:rFonts w:hint="default" w:ascii="宋体" w:hAnsi="宋体" w:cs="宋体"/>
          <w:szCs w:val="21"/>
        </w:rPr>
      </w:pPr>
      <w:r>
        <w:rPr>
          <w:rFonts w:ascii="宋体" w:hAnsi="宋体" w:cs="宋体"/>
          <w:szCs w:val="21"/>
        </w:rPr>
        <w:t>③ 承包期限：自合同生效之日起壹年（12个月），若成交方有违约行为，采购人有权单方面解除合同；并没收其履约保证金；</w:t>
      </w:r>
    </w:p>
    <w:p>
      <w:pPr>
        <w:pStyle w:val="2"/>
        <w:widowControl/>
        <w:spacing w:after="0" w:line="360" w:lineRule="auto"/>
        <w:ind w:left="0" w:leftChars="0"/>
        <w:rPr>
          <w:rFonts w:hint="default" w:ascii="宋体" w:hAnsi="宋体" w:cs="宋体"/>
          <w:szCs w:val="21"/>
        </w:rPr>
      </w:pPr>
      <w:r>
        <w:rPr>
          <w:rFonts w:ascii="宋体" w:hAnsi="宋体" w:cs="宋体"/>
          <w:szCs w:val="21"/>
        </w:rPr>
        <w:t>④磋商供应商承诺在承包服务期内，各项中标综合单价不变，并按采购人要求及时提供每次  服务所需的各种人员、人数及性能良好的车辆机械设备，无条件接受采购人安排；</w:t>
      </w:r>
    </w:p>
    <w:p>
      <w:pPr>
        <w:pStyle w:val="2"/>
        <w:widowControl/>
        <w:spacing w:after="0" w:line="360" w:lineRule="auto"/>
        <w:ind w:left="0" w:leftChars="0"/>
        <w:rPr>
          <w:rFonts w:hint="default" w:ascii="宋体" w:hAnsi="宋体" w:cs="宋体"/>
          <w:szCs w:val="21"/>
        </w:rPr>
      </w:pPr>
      <w:r>
        <w:rPr>
          <w:rFonts w:ascii="宋体" w:hAnsi="宋体" w:cs="宋体"/>
          <w:szCs w:val="21"/>
        </w:rPr>
        <w:t>⑤ 如出现违法违规等行动的，采购人有权终止合同并没收履约保证金；</w:t>
      </w:r>
    </w:p>
    <w:p>
      <w:pPr>
        <w:pStyle w:val="2"/>
        <w:widowControl/>
        <w:spacing w:after="0" w:line="360" w:lineRule="auto"/>
        <w:ind w:left="0" w:leftChars="0"/>
        <w:rPr>
          <w:rFonts w:hint="default" w:ascii="宋体" w:hAnsi="宋体" w:cs="宋体"/>
          <w:szCs w:val="21"/>
        </w:rPr>
      </w:pPr>
      <w:r>
        <w:rPr>
          <w:rFonts w:ascii="宋体" w:hAnsi="宋体" w:cs="宋体"/>
          <w:szCs w:val="21"/>
        </w:rPr>
        <w:t>⑥ 如出现包括但不限于以上的行为，引起恶劣社会影响的，采购人有权终止合同并没收履约保证金。</w:t>
      </w:r>
    </w:p>
    <w:p>
      <w:pPr>
        <w:pStyle w:val="2"/>
        <w:widowControl/>
        <w:spacing w:after="0" w:line="360" w:lineRule="auto"/>
        <w:ind w:left="0" w:leftChars="0"/>
        <w:rPr>
          <w:rFonts w:hint="default" w:ascii="宋体" w:hAnsi="宋体" w:cs="宋体"/>
          <w:szCs w:val="21"/>
        </w:rPr>
      </w:pPr>
      <w:r>
        <w:rPr>
          <w:rFonts w:ascii="宋体" w:hAnsi="宋体" w:cs="宋体"/>
          <w:szCs w:val="21"/>
        </w:rPr>
        <w:t>⑦ 最终结算以实际情况为准。</w:t>
      </w:r>
    </w:p>
    <w:p>
      <w:pPr>
        <w:spacing w:line="360" w:lineRule="auto"/>
        <w:rPr>
          <w:rFonts w:hint="default"/>
        </w:rPr>
      </w:pPr>
      <w:r>
        <w:rPr>
          <w:b/>
          <w:bCs/>
        </w:rPr>
        <w:t>⑧ 本项目最高限价为</w:t>
      </w:r>
      <w:r>
        <w:rPr>
          <w:rFonts w:hint="eastAsia"/>
          <w:b/>
          <w:bCs/>
          <w:lang w:eastAsia="zh-CN"/>
        </w:rPr>
        <w:t>3000000</w:t>
      </w:r>
      <w:r>
        <w:rPr>
          <w:b/>
          <w:bCs/>
        </w:rPr>
        <w:t>元，投标</w:t>
      </w:r>
      <w:r>
        <w:rPr>
          <w:rFonts w:hint="eastAsia"/>
          <w:b/>
          <w:bCs/>
        </w:rPr>
        <w:t>最高综合单价</w:t>
      </w:r>
      <w:r>
        <w:rPr>
          <w:rFonts w:hint="eastAsia"/>
          <w:b/>
          <w:bCs/>
          <w:lang w:val="en-US" w:eastAsia="zh-CN"/>
        </w:rPr>
        <w:t>大于68685元</w:t>
      </w:r>
      <w:r>
        <w:rPr>
          <w:b/>
          <w:bCs/>
        </w:rPr>
        <w:t>或未填写的，其磋商响应文件按无效标处理。</w:t>
      </w:r>
    </w:p>
    <w:p>
      <w:pPr>
        <w:rPr>
          <w:rFonts w:hint="default"/>
          <w:b/>
          <w:bCs/>
        </w:rPr>
      </w:pPr>
      <w:bookmarkStart w:id="329" w:name="_Toc26895171"/>
      <w:bookmarkStart w:id="330" w:name="_Toc23845169"/>
      <w:bookmarkStart w:id="331" w:name="_Toc40079592"/>
      <w:bookmarkStart w:id="332" w:name="_Toc43448214"/>
      <w:bookmarkStart w:id="333" w:name="_Toc43474284"/>
      <w:bookmarkStart w:id="334" w:name="_Toc27002"/>
      <w:bookmarkStart w:id="335" w:name="_Toc5611"/>
      <w:bookmarkStart w:id="336" w:name="_Toc1004"/>
      <w:bookmarkStart w:id="337" w:name="_Toc27119073"/>
      <w:bookmarkStart w:id="338" w:name="_Toc22663"/>
      <w:r>
        <w:rPr>
          <w:rFonts w:hint="eastAsia"/>
          <w:b/>
          <w:bCs/>
          <w:lang w:val="en-US" w:eastAsia="zh-CN"/>
        </w:rPr>
        <w:t>9</w:t>
      </w:r>
      <w:r>
        <w:rPr>
          <w:b/>
          <w:bCs/>
        </w:rPr>
        <w:t>、监督</w:t>
      </w:r>
      <w:bookmarkEnd w:id="329"/>
      <w:bookmarkEnd w:id="330"/>
      <w:r>
        <w:rPr>
          <w:b/>
          <w:bCs/>
        </w:rPr>
        <w:t>管理</w:t>
      </w:r>
      <w:bookmarkEnd w:id="331"/>
      <w:bookmarkEnd w:id="332"/>
      <w:bookmarkEnd w:id="333"/>
      <w:bookmarkEnd w:id="334"/>
      <w:bookmarkEnd w:id="335"/>
      <w:bookmarkEnd w:id="336"/>
      <w:bookmarkEnd w:id="337"/>
    </w:p>
    <w:p>
      <w:pPr>
        <w:tabs>
          <w:tab w:val="left" w:pos="284"/>
        </w:tabs>
        <w:spacing w:line="360" w:lineRule="auto"/>
        <w:rPr>
          <w:rFonts w:hint="default" w:ascii="宋体" w:hAnsi="宋体" w:cs="宋体"/>
          <w:bCs/>
          <w:szCs w:val="21"/>
        </w:rPr>
      </w:pPr>
      <w:r>
        <w:rPr>
          <w:rFonts w:ascii="宋体" w:hAnsi="宋体" w:cs="宋体"/>
          <w:bCs/>
          <w:szCs w:val="21"/>
        </w:rPr>
        <w:t>(1)如服务人员存在打架斗殴的情况，扣除当次总服务费的50%；</w:t>
      </w:r>
    </w:p>
    <w:p>
      <w:pPr>
        <w:tabs>
          <w:tab w:val="left" w:pos="284"/>
        </w:tabs>
        <w:spacing w:line="360" w:lineRule="auto"/>
        <w:rPr>
          <w:rFonts w:hint="default" w:ascii="宋体" w:hAnsi="宋体" w:cs="宋体"/>
          <w:bCs/>
          <w:szCs w:val="21"/>
        </w:rPr>
      </w:pPr>
      <w:r>
        <w:rPr>
          <w:rFonts w:ascii="宋体" w:hAnsi="宋体" w:cs="宋体"/>
          <w:bCs/>
          <w:szCs w:val="21"/>
        </w:rPr>
        <w:t>(2)如服务人员存在偷懒、消极怠工等情况，扣除当次总服务费的30%；</w:t>
      </w:r>
    </w:p>
    <w:p>
      <w:pPr>
        <w:tabs>
          <w:tab w:val="left" w:pos="284"/>
        </w:tabs>
        <w:spacing w:line="360" w:lineRule="auto"/>
        <w:rPr>
          <w:rFonts w:hint="default" w:ascii="宋体" w:hAnsi="宋体" w:cs="宋体"/>
          <w:bCs/>
          <w:szCs w:val="21"/>
        </w:rPr>
      </w:pPr>
      <w:r>
        <w:rPr>
          <w:rFonts w:ascii="宋体" w:hAnsi="宋体" w:cs="宋体"/>
          <w:bCs/>
          <w:szCs w:val="21"/>
        </w:rPr>
        <w:t>(3)如发现服务人员存在不文明行为，扣除当次总服务费的30%；</w:t>
      </w:r>
    </w:p>
    <w:p>
      <w:pPr>
        <w:tabs>
          <w:tab w:val="left" w:pos="284"/>
        </w:tabs>
        <w:spacing w:line="360" w:lineRule="auto"/>
        <w:rPr>
          <w:rFonts w:hint="default" w:ascii="宋体" w:hAnsi="宋体" w:cs="宋体"/>
          <w:bCs/>
          <w:szCs w:val="21"/>
        </w:rPr>
      </w:pPr>
      <w:r>
        <w:rPr>
          <w:rFonts w:ascii="宋体" w:hAnsi="宋体" w:cs="宋体"/>
          <w:bCs/>
          <w:szCs w:val="21"/>
        </w:rPr>
        <w:t>(4)如服务人员未在指定时间到达指定地点，扣除当次总服务费的50%；</w:t>
      </w:r>
    </w:p>
    <w:p>
      <w:pPr>
        <w:tabs>
          <w:tab w:val="left" w:pos="284"/>
        </w:tabs>
        <w:spacing w:line="360" w:lineRule="auto"/>
        <w:rPr>
          <w:rFonts w:hint="default" w:ascii="宋体" w:hAnsi="宋体" w:cs="宋体"/>
          <w:bCs/>
          <w:szCs w:val="21"/>
        </w:rPr>
      </w:pPr>
      <w:r>
        <w:rPr>
          <w:rFonts w:ascii="宋体" w:hAnsi="宋体" w:cs="宋体"/>
          <w:bCs/>
          <w:szCs w:val="21"/>
        </w:rPr>
        <w:t>(5)如服务人员不按现场规定执行的，扣除当次总服务费的50%；</w:t>
      </w:r>
    </w:p>
    <w:p>
      <w:pPr>
        <w:tabs>
          <w:tab w:val="left" w:pos="284"/>
        </w:tabs>
        <w:spacing w:line="360" w:lineRule="auto"/>
        <w:rPr>
          <w:rFonts w:hint="default" w:ascii="宋体" w:hAnsi="宋体" w:cs="宋体"/>
          <w:bCs/>
          <w:szCs w:val="21"/>
        </w:rPr>
      </w:pPr>
      <w:r>
        <w:rPr>
          <w:rFonts w:ascii="宋体" w:hAnsi="宋体" w:cs="宋体"/>
          <w:bCs/>
          <w:szCs w:val="21"/>
        </w:rPr>
        <w:t>(6)如未按采购人要求的人数指派服务人员及车辆设备的，根据具体违规情况，扣除当次总(1)服务费的</w:t>
      </w:r>
      <w:r>
        <w:rPr>
          <w:rFonts w:hint="eastAsia" w:ascii="宋体" w:hAnsi="宋体" w:cs="宋体"/>
          <w:bCs/>
          <w:szCs w:val="21"/>
          <w:lang w:val="en-US" w:eastAsia="zh-CN"/>
        </w:rPr>
        <w:t>5</w:t>
      </w:r>
      <w:r>
        <w:rPr>
          <w:rFonts w:ascii="宋体" w:hAnsi="宋体" w:cs="宋体"/>
          <w:bCs/>
          <w:szCs w:val="21"/>
        </w:rPr>
        <w:t>0~100%；</w:t>
      </w:r>
    </w:p>
    <w:p>
      <w:pPr>
        <w:tabs>
          <w:tab w:val="left" w:pos="284"/>
        </w:tabs>
        <w:spacing w:line="360" w:lineRule="auto"/>
        <w:rPr>
          <w:rFonts w:hint="default"/>
        </w:rPr>
      </w:pPr>
      <w:r>
        <w:rPr>
          <w:rFonts w:ascii="宋体" w:hAnsi="宋体" w:cs="宋体"/>
          <w:bCs/>
          <w:szCs w:val="21"/>
        </w:rPr>
        <w:t>(7)成交供应商未按规定时间、路线将垃圾清运至投标时承诺的消纳点的，每发现一次扣5000元。</w:t>
      </w:r>
    </w:p>
    <w:p>
      <w:pPr>
        <w:tabs>
          <w:tab w:val="left" w:pos="284"/>
        </w:tabs>
        <w:spacing w:line="360" w:lineRule="auto"/>
        <w:rPr>
          <w:rFonts w:hint="default"/>
        </w:rPr>
      </w:pPr>
      <w:r>
        <w:rPr>
          <w:rFonts w:ascii="宋体" w:hAnsi="宋体" w:cs="宋体"/>
          <w:bCs/>
          <w:szCs w:val="21"/>
        </w:rPr>
        <w:t>(8)清运时未做到密闭运输，或超载、车箱外挂垃圾，以及运输途中有抛、洒、漏现象出现，每发现其中一项，每次扣5000元。</w:t>
      </w:r>
    </w:p>
    <w:p>
      <w:pPr>
        <w:tabs>
          <w:tab w:val="left" w:pos="284"/>
        </w:tabs>
        <w:spacing w:line="360" w:lineRule="auto"/>
        <w:rPr>
          <w:rFonts w:hint="default"/>
        </w:rPr>
      </w:pPr>
      <w:r>
        <w:rPr>
          <w:rFonts w:ascii="宋体" w:hAnsi="宋体" w:cs="宋体"/>
          <w:bCs/>
          <w:szCs w:val="21"/>
        </w:rPr>
        <w:t>(9)遇有市级重大活动、卫生整治等需要调整作业时间作业车辆的，成交供应商未及时组织好车辆，做好清运工作的，每发现一次扣5000元。</w:t>
      </w:r>
    </w:p>
    <w:p>
      <w:pPr>
        <w:tabs>
          <w:tab w:val="left" w:pos="284"/>
        </w:tabs>
        <w:spacing w:line="360" w:lineRule="auto"/>
        <w:rPr>
          <w:rFonts w:ascii="宋体" w:hAnsi="宋体" w:cs="宋体"/>
          <w:bCs/>
          <w:szCs w:val="21"/>
        </w:rPr>
      </w:pPr>
      <w:r>
        <w:rPr>
          <w:rFonts w:ascii="宋体" w:hAnsi="宋体" w:cs="宋体"/>
          <w:bCs/>
          <w:szCs w:val="21"/>
        </w:rPr>
        <w:t>(10)在服务过程中，在任何环节被上级其他任何监管部门查处违规违法行为的，采购人有权根据情节情况，每次按10000-30000元的罚金进行处罚，第一次处罚将给予警告处理，第二次发生，采购人有权直接终止合同，没收其履约担保，并要求其返还预付款的同时，收取其财政预算价20%作为违约金赔偿给招标人；</w:t>
      </w:r>
    </w:p>
    <w:p>
      <w:pPr>
        <w:pStyle w:val="2"/>
        <w:ind w:left="0" w:leftChars="0" w:firstLine="0" w:firstLineChars="0"/>
        <w:rPr>
          <w:rFonts w:hint="default" w:eastAsia="宋体"/>
          <w:lang w:val="en-US" w:eastAsia="zh-CN"/>
        </w:rPr>
      </w:pPr>
      <w:r>
        <w:rPr>
          <w:rFonts w:hint="eastAsia" w:ascii="宋体" w:hAnsi="宋体" w:cs="宋体"/>
          <w:bCs/>
          <w:szCs w:val="21"/>
          <w:lang w:val="en-US" w:eastAsia="zh-CN"/>
        </w:rPr>
        <w:t>(11)如果服务人员存在拒拆情况的，</w:t>
      </w:r>
      <w:r>
        <w:rPr>
          <w:rFonts w:ascii="宋体" w:hAnsi="宋体" w:cs="宋体"/>
          <w:bCs/>
          <w:szCs w:val="21"/>
        </w:rPr>
        <w:t>扣除当次总服务费的50%；</w:t>
      </w:r>
    </w:p>
    <w:p>
      <w:pPr>
        <w:tabs>
          <w:tab w:val="left" w:pos="284"/>
        </w:tabs>
        <w:spacing w:line="360" w:lineRule="auto"/>
        <w:rPr>
          <w:rFonts w:ascii="宋体" w:hAnsi="宋体" w:cs="宋体"/>
          <w:bCs/>
          <w:szCs w:val="21"/>
        </w:rPr>
      </w:pPr>
      <w:r>
        <w:rPr>
          <w:rFonts w:ascii="宋体" w:hAnsi="宋体" w:cs="宋体"/>
          <w:bCs/>
          <w:szCs w:val="21"/>
        </w:rPr>
        <w:t>(1</w:t>
      </w:r>
      <w:r>
        <w:rPr>
          <w:rFonts w:hint="eastAsia" w:ascii="宋体" w:hAnsi="宋体" w:cs="宋体"/>
          <w:bCs/>
          <w:szCs w:val="21"/>
          <w:lang w:val="en-US" w:eastAsia="zh-CN"/>
        </w:rPr>
        <w:t>2</w:t>
      </w:r>
      <w:r>
        <w:rPr>
          <w:rFonts w:ascii="宋体" w:hAnsi="宋体" w:cs="宋体"/>
          <w:bCs/>
          <w:szCs w:val="21"/>
        </w:rPr>
        <w:t>)如出现包括但不限于以上的行为，引起恶劣社会影响的，采购人有权终止合同并要求成交供应商赔偿相应的损失。</w:t>
      </w:r>
    </w:p>
    <w:p>
      <w:pPr>
        <w:pStyle w:val="2"/>
        <w:ind w:left="0" w:leftChars="0" w:firstLine="0" w:firstLineChars="0"/>
        <w:rPr>
          <w:rFonts w:hint="default" w:eastAsia="宋体"/>
          <w:lang w:val="en-US" w:eastAsia="zh-CN"/>
        </w:rPr>
      </w:pPr>
      <w:r>
        <w:rPr>
          <w:rFonts w:hint="eastAsia" w:ascii="宋体" w:hAnsi="宋体" w:cs="宋体"/>
          <w:bCs/>
          <w:szCs w:val="21"/>
          <w:lang w:val="en-US" w:eastAsia="zh-CN"/>
        </w:rPr>
        <w:t>(13)如因视频保存不当而导致的纠纷和矛盾，中标供应商应承当全部责任，并支付全部赔偿。</w:t>
      </w:r>
    </w:p>
    <w:p>
      <w:pPr>
        <w:spacing w:line="360" w:lineRule="auto"/>
        <w:rPr>
          <w:rFonts w:hint="default"/>
          <w:b/>
          <w:bCs/>
        </w:rPr>
      </w:pPr>
      <w:r>
        <w:rPr>
          <w:rFonts w:hint="eastAsia"/>
          <w:b/>
          <w:bCs/>
          <w:lang w:val="en-US" w:eastAsia="zh-CN"/>
        </w:rPr>
        <w:t>10</w:t>
      </w:r>
      <w:r>
        <w:rPr>
          <w:b/>
          <w:bCs/>
        </w:rPr>
        <w:t>、其他说明</w:t>
      </w:r>
      <w:bookmarkEnd w:id="326"/>
      <w:bookmarkEnd w:id="327"/>
      <w:bookmarkEnd w:id="328"/>
      <w:bookmarkEnd w:id="338"/>
    </w:p>
    <w:p>
      <w:pPr>
        <w:pStyle w:val="2"/>
        <w:widowControl/>
        <w:spacing w:after="0" w:line="360" w:lineRule="auto"/>
        <w:ind w:left="0" w:leftChars="0"/>
        <w:rPr>
          <w:rFonts w:hint="default" w:ascii="Arial" w:hAnsi="宋体" w:cs="Arial"/>
        </w:rPr>
      </w:pPr>
      <w:r>
        <w:rPr>
          <w:rFonts w:ascii="Arial" w:hAnsi="宋体" w:cs="Arial"/>
        </w:rPr>
        <w:t>① 响应时间：接到采购人通知后在</w:t>
      </w:r>
      <w:r>
        <w:rPr>
          <w:rFonts w:hint="eastAsia" w:ascii="Arial" w:hAnsi="宋体" w:cs="Arial"/>
          <w:lang w:val="en-US" w:eastAsia="zh-CN"/>
        </w:rPr>
        <w:t>壹</w:t>
      </w:r>
      <w:r>
        <w:rPr>
          <w:rFonts w:ascii="Arial" w:hAnsi="宋体" w:cs="Arial"/>
        </w:rPr>
        <w:t>小时内作出响应，并在指定时间达到指定地点；</w:t>
      </w:r>
    </w:p>
    <w:p>
      <w:pPr>
        <w:pStyle w:val="2"/>
        <w:widowControl/>
        <w:spacing w:after="0" w:line="360" w:lineRule="auto"/>
        <w:ind w:left="0" w:leftChars="0"/>
        <w:rPr>
          <w:rFonts w:hint="default" w:ascii="Arial" w:hAnsi="宋体" w:cs="Arial"/>
        </w:rPr>
      </w:pPr>
      <w:r>
        <w:rPr>
          <w:rFonts w:ascii="Arial" w:hAnsi="宋体" w:cs="Arial"/>
        </w:rPr>
        <w:t>② 签到</w:t>
      </w:r>
      <w:r>
        <w:fldChar w:fldCharType="begin"/>
      </w:r>
      <w:r>
        <w:instrText xml:space="preserve"> HYPERLINK "http://www.ahsrst.cn/a/xinchouzhidu/" \t "http://www.ahsrst.cn/a/201601/_blank" </w:instrText>
      </w:r>
      <w:r>
        <w:fldChar w:fldCharType="separate"/>
      </w:r>
      <w:r>
        <w:rPr>
          <w:rFonts w:ascii="Arial" w:hAnsi="宋体" w:cs="Arial"/>
        </w:rPr>
        <w:t>制度</w:t>
      </w:r>
      <w:r>
        <w:rPr>
          <w:rFonts w:ascii="Arial" w:hAnsi="宋体" w:cs="Arial"/>
        </w:rPr>
        <w:fldChar w:fldCharType="end"/>
      </w:r>
      <w:r>
        <w:rPr>
          <w:rFonts w:ascii="Arial" w:hAnsi="宋体" w:cs="Arial"/>
        </w:rPr>
        <w:t>：本项目所需服务人员须在指定时间前，达到指定地点并自觉签到，不许他人代签，由采购人相关人员记录备注。</w:t>
      </w:r>
    </w:p>
    <w:p>
      <w:pPr>
        <w:pStyle w:val="2"/>
        <w:widowControl/>
        <w:spacing w:after="0" w:line="360" w:lineRule="auto"/>
        <w:ind w:left="0" w:leftChars="0"/>
        <w:rPr>
          <w:rFonts w:hint="default" w:ascii="Arial" w:hAnsi="宋体" w:cs="Arial"/>
        </w:rPr>
      </w:pPr>
      <w:r>
        <w:rPr>
          <w:rFonts w:ascii="Arial" w:hAnsi="宋体" w:cs="Arial"/>
        </w:rPr>
        <w:t>③ 费用核对：每月服务结束，由成交供应商根据实际服务内容，按中标单价计算当月服务费用，并交由采购人核对。</w:t>
      </w:r>
    </w:p>
    <w:p>
      <w:pPr>
        <w:pStyle w:val="2"/>
        <w:widowControl/>
        <w:spacing w:after="0" w:line="360" w:lineRule="auto"/>
        <w:ind w:left="0" w:leftChars="0"/>
        <w:rPr>
          <w:rFonts w:hint="default" w:ascii="Arial Unicode MS" w:hAnsi="Arial Unicode MS"/>
        </w:rPr>
      </w:pPr>
      <w:r>
        <w:rPr>
          <w:rFonts w:ascii="Arial" w:hAnsi="宋体" w:cs="Arial"/>
        </w:rPr>
        <w:t>④ 服务期限：自合同签订之日起壹年。</w:t>
      </w:r>
    </w:p>
    <w:p>
      <w:pPr>
        <w:widowControl/>
        <w:snapToGrid w:val="0"/>
        <w:spacing w:line="360" w:lineRule="auto"/>
        <w:rPr>
          <w:rFonts w:hint="default" w:ascii="Arial" w:hAnsi="宋体" w:cs="Arial"/>
        </w:rPr>
      </w:pPr>
      <w:r>
        <w:rPr>
          <w:rFonts w:ascii="Arial" w:hAnsi="宋体" w:cs="Arial"/>
        </w:rPr>
        <w:t>A. 本项目为单价合同，如服务期限未到，财政预算价已支付完毕，合同生效至本次财政预算价支付完毕止；如服务期限已到，财政预算价未使用完，则合同生效至本项目服务期限完毕止。</w:t>
      </w:r>
    </w:p>
    <w:p>
      <w:pPr>
        <w:widowControl/>
        <w:snapToGrid w:val="0"/>
        <w:spacing w:line="360" w:lineRule="auto"/>
        <w:rPr>
          <w:rFonts w:hint="default" w:ascii="Arial Unicode MS" w:hAnsi="Arial Unicode MS"/>
        </w:rPr>
      </w:pPr>
      <w:r>
        <w:rPr>
          <w:rFonts w:ascii="Arial" w:hAnsi="宋体" w:cs="Arial"/>
        </w:rPr>
        <w:t>B. 若成交供应商有违约行为，采购人有权单方面解除合同。</w:t>
      </w:r>
    </w:p>
    <w:p>
      <w:pPr>
        <w:pStyle w:val="2"/>
        <w:widowControl/>
        <w:spacing w:after="0" w:line="360" w:lineRule="auto"/>
        <w:ind w:left="0" w:leftChars="0"/>
        <w:rPr>
          <w:rFonts w:hint="default" w:ascii="Arial" w:hAnsi="宋体" w:cs="Arial"/>
        </w:rPr>
      </w:pPr>
      <w:r>
        <w:rPr>
          <w:rFonts w:ascii="Arial" w:hAnsi="宋体" w:cs="Arial"/>
        </w:rPr>
        <w:t>⑤ 成交供应商按有关规定采取严格的施工安全措施，承担由于自身安全措施不力造成的事故责任和因此发生的费用及后果，成交供应商服务人员的人身安全由成交供应商负责。成交供应商应为服务人员购买人身意外伤害险及与工程施工有关的一切保险。凡在施工过程中发生安全责任事故或其他责任事故，均由成交供应商承担责任。</w:t>
      </w:r>
    </w:p>
    <w:p>
      <w:pPr>
        <w:spacing w:line="360" w:lineRule="auto"/>
        <w:rPr>
          <w:rFonts w:hint="default"/>
          <w:b w:val="0"/>
          <w:bCs w:val="0"/>
        </w:rPr>
      </w:pPr>
      <w:bookmarkStart w:id="339" w:name="_Toc15203"/>
      <w:bookmarkStart w:id="340" w:name="_Toc482111288"/>
      <w:bookmarkStart w:id="341" w:name="_Toc18282"/>
      <w:r>
        <w:rPr>
          <w:rFonts w:ascii="宋体" w:hAnsi="宋体" w:cs="宋体"/>
          <w:b w:val="0"/>
          <w:bCs w:val="0"/>
          <w:szCs w:val="21"/>
        </w:rPr>
        <w:t xml:space="preserve">⑥ </w:t>
      </w:r>
      <w:r>
        <w:rPr>
          <w:b w:val="0"/>
          <w:bCs w:val="0"/>
        </w:rPr>
        <w:t>使用交通工具时，将工人送至一处工作地点仅视为送达工人至基本工作岗位，不对交通工具进行计费，需提供两个或两个以上工作地点之间的交通服务方能开始计费。</w:t>
      </w:r>
    </w:p>
    <w:p>
      <w:pPr>
        <w:spacing w:line="360" w:lineRule="auto"/>
        <w:rPr>
          <w:rFonts w:hint="default"/>
          <w:b/>
          <w:bCs/>
        </w:rPr>
      </w:pPr>
      <w:bookmarkStart w:id="342" w:name="_Toc19116"/>
      <w:r>
        <w:rPr>
          <w:rFonts w:hint="eastAsia"/>
          <w:b/>
          <w:bCs/>
          <w:lang w:val="en-US" w:eastAsia="zh-CN"/>
        </w:rPr>
        <w:t>11</w:t>
      </w:r>
      <w:r>
        <w:rPr>
          <w:b/>
          <w:bCs/>
        </w:rPr>
        <w:t>、付款方式</w:t>
      </w:r>
      <w:bookmarkEnd w:id="339"/>
      <w:bookmarkEnd w:id="340"/>
      <w:bookmarkEnd w:id="341"/>
      <w:bookmarkEnd w:id="342"/>
    </w:p>
    <w:p>
      <w:pPr>
        <w:autoSpaceDE w:val="0"/>
        <w:autoSpaceDN w:val="0"/>
        <w:adjustRightInd w:val="0"/>
        <w:spacing w:line="360" w:lineRule="auto"/>
        <w:ind w:right="-2"/>
        <w:textAlignment w:val="bottom"/>
        <w:rPr>
          <w:rFonts w:hint="default" w:ascii="宋体" w:hAnsi="宋体" w:cs="宋体"/>
          <w:bCs/>
          <w:szCs w:val="21"/>
        </w:rPr>
      </w:pPr>
      <w:r>
        <w:rPr>
          <w:rFonts w:ascii="宋体" w:hAnsi="宋体" w:cs="Arial"/>
          <w:bCs/>
          <w:szCs w:val="21"/>
        </w:rPr>
        <w:t>（1）合同签订后5个工作日内，成交供应商以银行转账/转帐支票/银行汇票/银行、保险公司出具的保函形式向采购人提供合同价款的1%的履约担保。采购人未及时支付合同价款或未及时退还履约担保的，应当支付逾期利息。</w:t>
      </w:r>
    </w:p>
    <w:p>
      <w:pPr>
        <w:spacing w:line="360" w:lineRule="auto"/>
        <w:rPr>
          <w:rFonts w:hint="default" w:ascii="宋体" w:hAnsi="宋体" w:cs="宋体"/>
          <w:szCs w:val="21"/>
        </w:rPr>
      </w:pPr>
      <w:r>
        <w:rPr>
          <w:rFonts w:ascii="宋体" w:hAnsi="宋体" w:cs="宋体"/>
          <w:b/>
          <w:bCs/>
          <w:szCs w:val="21"/>
        </w:rPr>
        <w:t>◎</w:t>
      </w:r>
      <w:r>
        <w:rPr>
          <w:rFonts w:ascii="宋体" w:hAnsi="宋体" w:cs="宋体"/>
          <w:szCs w:val="21"/>
        </w:rPr>
        <w:t>采用银行转账、转帐支票、银行汇票形式提交的，应满足以下几个条件：</w:t>
      </w:r>
    </w:p>
    <w:p>
      <w:pPr>
        <w:spacing w:line="360" w:lineRule="auto"/>
        <w:ind w:firstLine="210" w:firstLineChars="100"/>
        <w:rPr>
          <w:rFonts w:hint="default" w:ascii="宋体" w:hAnsi="宋体"/>
          <w:szCs w:val="21"/>
          <w:lang w:val="zh-CN"/>
        </w:rPr>
      </w:pPr>
      <w:r>
        <w:rPr>
          <w:rFonts w:ascii="宋体" w:hAnsi="宋体"/>
          <w:szCs w:val="21"/>
          <w:lang w:val="zh-CN"/>
        </w:rPr>
        <w:t>①应当从成交供应商基本户转出；</w:t>
      </w:r>
    </w:p>
    <w:p>
      <w:pPr>
        <w:spacing w:line="360" w:lineRule="auto"/>
        <w:ind w:firstLine="210" w:firstLineChars="100"/>
        <w:rPr>
          <w:rFonts w:hint="default" w:ascii="宋体" w:hAnsi="宋体" w:cs="宋体"/>
          <w:szCs w:val="21"/>
        </w:rPr>
      </w:pPr>
      <w:r>
        <w:rPr>
          <w:rFonts w:ascii="宋体" w:hAnsi="宋体"/>
          <w:szCs w:val="21"/>
          <w:lang w:val="zh-CN"/>
        </w:rPr>
        <w:t>②</w:t>
      </w:r>
      <w:r>
        <w:rPr>
          <w:rFonts w:ascii="宋体" w:hAnsi="宋体" w:cs="宋体"/>
          <w:szCs w:val="21"/>
        </w:rPr>
        <w:t>履约担保的退还时间：待</w:t>
      </w:r>
      <w:r>
        <w:rPr>
          <w:rFonts w:ascii="宋体" w:hAnsi="宋体" w:cs="宋体"/>
          <w:b/>
          <w:bCs/>
          <w:szCs w:val="21"/>
          <w:u w:val="single"/>
        </w:rPr>
        <w:t>合同履约完毕7日内</w:t>
      </w:r>
      <w:r>
        <w:rPr>
          <w:rFonts w:ascii="宋体" w:hAnsi="宋体" w:cs="宋体"/>
          <w:szCs w:val="21"/>
        </w:rPr>
        <w:t>予以无息退还。</w:t>
      </w:r>
    </w:p>
    <w:p>
      <w:pPr>
        <w:spacing w:line="360" w:lineRule="auto"/>
        <w:rPr>
          <w:rFonts w:hint="default" w:ascii="宋体" w:hAnsi="宋体" w:cs="宋体"/>
          <w:szCs w:val="21"/>
        </w:rPr>
      </w:pPr>
      <w:r>
        <w:rPr>
          <w:rFonts w:ascii="宋体" w:hAnsi="宋体" w:cs="宋体"/>
          <w:b/>
          <w:bCs/>
          <w:szCs w:val="21"/>
        </w:rPr>
        <w:t>◎</w:t>
      </w:r>
      <w:r>
        <w:rPr>
          <w:rFonts w:ascii="宋体" w:hAnsi="宋体" w:cs="宋体"/>
          <w:szCs w:val="21"/>
        </w:rPr>
        <w:t>采用保函形式提交履约担保的，应满足以下几个条件：</w:t>
      </w:r>
    </w:p>
    <w:p>
      <w:pPr>
        <w:spacing w:line="360" w:lineRule="auto"/>
        <w:ind w:left="210" w:leftChars="100"/>
        <w:rPr>
          <w:rFonts w:hint="default" w:ascii="宋体" w:hAnsi="宋体" w:cs="宋体"/>
          <w:szCs w:val="21"/>
        </w:rPr>
      </w:pPr>
      <w:r>
        <w:rPr>
          <w:rFonts w:ascii="宋体" w:hAnsi="宋体" w:cs="宋体"/>
          <w:szCs w:val="21"/>
        </w:rPr>
        <w:t>①为见索即付保函：即在成交供应商没有实施合同或者未履行合同义务时，采购人不需要出具任何证明和理由，只要看到成交供应商违约，就可对保函进行收兑。</w:t>
      </w:r>
    </w:p>
    <w:p>
      <w:pPr>
        <w:spacing w:line="360" w:lineRule="auto"/>
        <w:ind w:firstLine="210" w:firstLineChars="100"/>
        <w:rPr>
          <w:rFonts w:hint="default" w:ascii="宋体" w:hAnsi="宋体" w:cs="宋体"/>
          <w:szCs w:val="21"/>
        </w:rPr>
      </w:pPr>
      <w:r>
        <w:rPr>
          <w:rFonts w:ascii="宋体" w:hAnsi="宋体" w:cs="宋体"/>
          <w:szCs w:val="21"/>
        </w:rPr>
        <w:t>②保函期限：自合同生效之日起至</w:t>
      </w:r>
      <w:r>
        <w:rPr>
          <w:rFonts w:ascii="宋体" w:hAnsi="宋体" w:cs="宋体"/>
          <w:b/>
          <w:bCs/>
          <w:szCs w:val="21"/>
          <w:u w:val="single"/>
        </w:rPr>
        <w:t>合同履约完毕</w:t>
      </w:r>
      <w:r>
        <w:rPr>
          <w:rFonts w:ascii="宋体" w:hAnsi="宋体" w:cs="宋体"/>
          <w:szCs w:val="21"/>
        </w:rPr>
        <w:t>之日止。</w:t>
      </w:r>
    </w:p>
    <w:p>
      <w:pPr>
        <w:spacing w:line="360" w:lineRule="auto"/>
        <w:ind w:left="210" w:leftChars="100"/>
        <w:rPr>
          <w:rFonts w:hint="default" w:ascii="宋体" w:hAnsi="宋体" w:cs="宋体"/>
          <w:szCs w:val="21"/>
        </w:rPr>
      </w:pPr>
      <w:r>
        <w:rPr>
          <w:rFonts w:ascii="宋体" w:hAnsi="宋体" w:cs="宋体"/>
          <w:szCs w:val="21"/>
        </w:rPr>
        <w:t>③如果由于服务期延误或保函出具机构要求分期出具保函的，则在前一份保函有效期满之日1个月前必须重新出具相同内容的保函。</w:t>
      </w:r>
    </w:p>
    <w:p>
      <w:pPr>
        <w:spacing w:line="360" w:lineRule="auto"/>
        <w:rPr>
          <w:rFonts w:hint="default" w:ascii="宋体" w:hAnsi="宋体" w:cs="宋体"/>
          <w:u w:val="single"/>
        </w:rPr>
      </w:pPr>
      <w:r>
        <w:rPr>
          <w:rFonts w:ascii="宋体" w:hAnsi="宋体" w:cs="宋体"/>
        </w:rPr>
        <w:t>（2）预付款支付比例或金额：</w:t>
      </w:r>
      <w:r>
        <w:rPr>
          <w:rFonts w:ascii="宋体" w:hAnsi="宋体" w:cs="宋体"/>
          <w:u w:val="single"/>
        </w:rPr>
        <w:t>合同生效以及具备实施条件后7个工作日内，采购人向成交供应商支付合同价款的20%的预付款</w:t>
      </w:r>
      <w:r>
        <w:rPr>
          <w:rFonts w:ascii="宋体" w:hAnsi="宋体" w:cs="宋体"/>
          <w:b/>
          <w:bCs/>
          <w:spacing w:val="-4"/>
          <w:u w:val="single"/>
        </w:rPr>
        <w:t>。（根据浙财采监[2022]3号文件执行，在签订合同时，成交供应商明确表示无需预付款或者主动要求降低预付款比例的，采购人可不适用前述规定预付款）</w:t>
      </w:r>
    </w:p>
    <w:p>
      <w:pPr>
        <w:spacing w:line="360" w:lineRule="auto"/>
        <w:rPr>
          <w:rFonts w:hint="default" w:eastAsiaTheme="minorEastAsia"/>
        </w:rPr>
      </w:pPr>
      <w:r>
        <w:t>预付款扣回的方式：</w:t>
      </w:r>
      <w:r>
        <w:rPr>
          <w:u w:val="single"/>
        </w:rPr>
        <w:t>预付款在每月结算中扣回（如第一月服务经费未到达预付款比例，则在第二月中扣回，以此类推）。</w:t>
      </w:r>
    </w:p>
    <w:p>
      <w:pPr>
        <w:spacing w:line="360" w:lineRule="auto"/>
        <w:rPr>
          <w:rFonts w:hint="default" w:ascii="宋体" w:hAnsi="宋体" w:cs="宋体"/>
          <w:color w:val="000000"/>
          <w:szCs w:val="22"/>
        </w:rPr>
      </w:pPr>
      <w:r>
        <w:t>（3）本项目采用固定单价合同，最终结算以甲方确认的实际发生的服务内容，结合相应的中标综合</w:t>
      </w:r>
      <w:r>
        <w:rPr>
          <w:rFonts w:ascii="宋体" w:hAnsi="宋体" w:cs="宋体"/>
        </w:rPr>
        <w:t>单价予以结算，每月结算一次，即每次服务结束验收合格后乙方向甲方提供国家规定的100%的税收发票及无条件按甲方要求提供费用结算所需的相关书面材料，甲方自收到发票后</w:t>
      </w:r>
      <w:r>
        <w:rPr>
          <w:rFonts w:hint="eastAsia" w:ascii="宋体" w:hAnsi="宋体" w:cs="宋体"/>
          <w:lang w:val="en-US" w:eastAsia="zh-CN"/>
        </w:rPr>
        <w:t>7</w:t>
      </w:r>
      <w:r>
        <w:rPr>
          <w:rFonts w:ascii="宋体" w:hAnsi="宋体" w:cs="宋体"/>
        </w:rPr>
        <w:t>个工作日内向乙方支付服务费（相关罚款从当月服务费中直接扣除）。</w:t>
      </w:r>
    </w:p>
    <w:p>
      <w:pPr>
        <w:pStyle w:val="3"/>
        <w:keepNext w:val="0"/>
        <w:keepLines w:val="0"/>
        <w:pageBreakBefore/>
        <w:spacing w:before="312" w:beforeLines="100" w:after="312" w:afterLines="100" w:line="240" w:lineRule="auto"/>
        <w:jc w:val="center"/>
        <w:rPr>
          <w:rFonts w:hint="default" w:hAnsi="宋体" w:cs="宋体"/>
          <w:b w:val="0"/>
          <w:sz w:val="28"/>
          <w:szCs w:val="36"/>
        </w:rPr>
      </w:pPr>
      <w:bookmarkStart w:id="343" w:name="_Toc5321"/>
      <w:r>
        <w:rPr>
          <w:rFonts w:hAnsi="宋体" w:cs="宋体"/>
          <w:sz w:val="28"/>
          <w:szCs w:val="36"/>
        </w:rPr>
        <w:t>第四部分   合同条款</w:t>
      </w:r>
      <w:bookmarkEnd w:id="343"/>
    </w:p>
    <w:p>
      <w:pPr>
        <w:widowControl/>
        <w:spacing w:line="360" w:lineRule="auto"/>
        <w:rPr>
          <w:rFonts w:hint="default" w:ascii="新宋体" w:hAnsi="新宋体" w:eastAsia="新宋体"/>
        </w:rPr>
      </w:pPr>
      <w:r>
        <w:rPr>
          <w:rFonts w:ascii="新宋体" w:hAnsi="新宋体" w:eastAsia="新宋体"/>
        </w:rPr>
        <w:t>发包方：                 （以下简称甲方）</w:t>
      </w:r>
    </w:p>
    <w:p>
      <w:pPr>
        <w:widowControl/>
        <w:spacing w:line="360" w:lineRule="auto"/>
        <w:rPr>
          <w:rFonts w:hint="default" w:ascii="新宋体" w:hAnsi="新宋体" w:eastAsia="新宋体"/>
        </w:rPr>
      </w:pPr>
      <w:r>
        <w:rPr>
          <w:rFonts w:ascii="新宋体" w:hAnsi="新宋体" w:eastAsia="新宋体"/>
        </w:rPr>
        <w:t>承包方：                 （以下简称乙方）</w:t>
      </w:r>
    </w:p>
    <w:p>
      <w:pPr>
        <w:widowControl/>
        <w:spacing w:line="360" w:lineRule="auto"/>
        <w:ind w:firstLine="420" w:firstLineChars="200"/>
        <w:rPr>
          <w:rFonts w:hint="default" w:ascii="新宋体" w:hAnsi="新宋体" w:eastAsia="新宋体"/>
        </w:rPr>
      </w:pPr>
      <w:r>
        <w:rPr>
          <w:rFonts w:ascii="新宋体" w:hAnsi="新宋体" w:eastAsia="新宋体"/>
        </w:rPr>
        <w:t>根据《</w:t>
      </w:r>
      <w:r>
        <w:rPr>
          <w:rFonts w:hint="eastAsia" w:ascii="新宋体" w:hAnsi="新宋体" w:eastAsia="新宋体"/>
          <w:lang w:eastAsia="zh-CN"/>
        </w:rPr>
        <w:t>瑞安市汀田街道2023-2024年违章拆除及环境整治服务</w:t>
      </w:r>
      <w:r>
        <w:rPr>
          <w:rFonts w:ascii="新宋体" w:hAnsi="新宋体" w:eastAsia="新宋体"/>
        </w:rPr>
        <w:t>》的中标通知书，甲方将服务承包给乙方，为了明确甲、乙双方的权利和义务，履行各自的职责，高效优质地完成服务内容，按照《中华人民共和国</w:t>
      </w:r>
      <w:r>
        <w:rPr>
          <w:rFonts w:ascii="新宋体" w:hAnsi="新宋体" w:eastAsia="新宋体"/>
          <w:color w:val="auto"/>
        </w:rPr>
        <w:t>民法典</w:t>
      </w:r>
      <w:r>
        <w:rPr>
          <w:rFonts w:ascii="新宋体" w:hAnsi="新宋体" w:eastAsia="新宋体"/>
        </w:rPr>
        <w:t>》的有关规定，经甲乙双方在平等、自愿的基础上共同协商一致，现签订服务承包合同。</w:t>
      </w:r>
    </w:p>
    <w:p>
      <w:pPr>
        <w:widowControl/>
        <w:spacing w:line="360" w:lineRule="auto"/>
        <w:rPr>
          <w:rFonts w:hint="default" w:ascii="新宋体" w:hAnsi="新宋体" w:eastAsia="新宋体"/>
        </w:rPr>
      </w:pPr>
      <w:r>
        <w:rPr>
          <w:rFonts w:ascii="新宋体" w:hAnsi="新宋体" w:eastAsia="新宋体"/>
          <w:b/>
        </w:rPr>
        <w:t>第一条  名称</w:t>
      </w:r>
      <w:r>
        <w:rPr>
          <w:rFonts w:ascii="新宋体" w:hAnsi="新宋体" w:eastAsia="新宋体"/>
        </w:rPr>
        <w:t>：</w:t>
      </w:r>
      <w:r>
        <w:rPr>
          <w:rFonts w:hint="eastAsia" w:ascii="宋体" w:hAnsi="宋体" w:eastAsia="新宋体"/>
          <w:lang w:eastAsia="zh-CN"/>
        </w:rPr>
        <w:t>瑞安市汀田街道2023-2024年违章拆除及环境整治服务</w:t>
      </w:r>
      <w:r>
        <w:rPr>
          <w:rFonts w:ascii="新宋体" w:hAnsi="新宋体" w:eastAsia="新宋体"/>
        </w:rPr>
        <w:t>承包合同</w:t>
      </w:r>
    </w:p>
    <w:p>
      <w:pPr>
        <w:widowControl/>
        <w:spacing w:line="360" w:lineRule="auto"/>
        <w:rPr>
          <w:rFonts w:hint="default" w:ascii="新宋体" w:hAnsi="新宋体" w:eastAsia="新宋体"/>
          <w:b/>
        </w:rPr>
      </w:pPr>
      <w:r>
        <w:rPr>
          <w:rFonts w:ascii="新宋体" w:hAnsi="新宋体" w:eastAsia="新宋体"/>
          <w:b/>
        </w:rPr>
        <w:t>第二条  承包内容：</w:t>
      </w:r>
      <w:r>
        <w:rPr>
          <w:rFonts w:ascii="新宋体" w:hAnsi="新宋体" w:eastAsia="新宋体"/>
        </w:rPr>
        <w:t>见采购文件第三部分内容。</w:t>
      </w:r>
    </w:p>
    <w:p>
      <w:pPr>
        <w:widowControl/>
        <w:spacing w:line="360" w:lineRule="auto"/>
        <w:rPr>
          <w:rFonts w:hint="default" w:ascii="新宋体" w:hAnsi="新宋体" w:eastAsia="新宋体"/>
        </w:rPr>
      </w:pPr>
      <w:r>
        <w:rPr>
          <w:rFonts w:ascii="新宋体" w:hAnsi="新宋体" w:eastAsia="新宋体"/>
          <w:b/>
        </w:rPr>
        <w:t>第三条  承包期限：</w:t>
      </w:r>
      <w:r>
        <w:rPr>
          <w:rFonts w:ascii="新宋体" w:hAnsi="新宋体" w:eastAsia="新宋体"/>
          <w:u w:val="single"/>
        </w:rPr>
        <w:t>本合同服务期壹年，自    年  月  日-    年  月  日</w:t>
      </w:r>
      <w:r>
        <w:rPr>
          <w:rFonts w:ascii="新宋体" w:hAnsi="新宋体" w:eastAsia="新宋体"/>
        </w:rPr>
        <w:t>。本项目为固定单价合同，如服务期限未到，财政预算价已支付完毕，合同生效至本次财政预算价支付完毕止；如服务期限已到，财政预算价未使用完，则合同生效至本项目服务期限完毕止。</w:t>
      </w:r>
    </w:p>
    <w:p>
      <w:pPr>
        <w:widowControl/>
        <w:spacing w:line="360" w:lineRule="auto"/>
        <w:rPr>
          <w:rFonts w:hint="default" w:ascii="新宋体" w:hAnsi="新宋体" w:eastAsia="新宋体"/>
          <w:b/>
        </w:rPr>
      </w:pPr>
      <w:bookmarkStart w:id="344" w:name="_Toc8241"/>
      <w:r>
        <w:rPr>
          <w:rFonts w:ascii="新宋体" w:hAnsi="新宋体" w:eastAsia="新宋体"/>
          <w:b/>
        </w:rPr>
        <w:t>第四条  承包经费</w:t>
      </w:r>
      <w:bookmarkEnd w:id="344"/>
    </w:p>
    <w:tbl>
      <w:tblPr>
        <w:tblStyle w:val="2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612"/>
        <w:gridCol w:w="1050"/>
        <w:gridCol w:w="2644"/>
        <w:gridCol w:w="109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vAlign w:val="center"/>
          </w:tcPr>
          <w:p>
            <w:pPr>
              <w:jc w:val="center"/>
              <w:rPr>
                <w:rFonts w:hint="default"/>
                <w:b/>
              </w:rPr>
            </w:pPr>
            <w:r>
              <w:rPr>
                <w:rFonts w:ascii="宋体" w:hAnsi="宋体" w:cs="宋体"/>
                <w:b/>
                <w:szCs w:val="21"/>
              </w:rPr>
              <w:t>序号</w:t>
            </w:r>
          </w:p>
        </w:tc>
        <w:tc>
          <w:tcPr>
            <w:tcW w:w="2612" w:type="dxa"/>
            <w:vAlign w:val="center"/>
          </w:tcPr>
          <w:p>
            <w:pPr>
              <w:jc w:val="center"/>
              <w:rPr>
                <w:rFonts w:hint="default" w:ascii="宋体" w:hAnsi="宋体" w:cs="宋体"/>
                <w:b/>
                <w:szCs w:val="21"/>
              </w:rPr>
            </w:pPr>
            <w:r>
              <w:rPr>
                <w:rFonts w:ascii="宋体" w:hAnsi="宋体" w:cs="宋体"/>
                <w:b/>
                <w:szCs w:val="21"/>
              </w:rPr>
              <w:t>投标</w:t>
            </w:r>
          </w:p>
          <w:p>
            <w:pPr>
              <w:jc w:val="center"/>
              <w:rPr>
                <w:rFonts w:hint="default" w:ascii="宋体" w:hAnsi="宋体" w:cs="宋体"/>
                <w:b/>
                <w:szCs w:val="21"/>
              </w:rPr>
            </w:pPr>
            <w:r>
              <w:rPr>
                <w:rFonts w:ascii="宋体" w:hAnsi="宋体" w:cs="宋体"/>
                <w:b/>
                <w:szCs w:val="21"/>
              </w:rPr>
              <w:t>品目</w:t>
            </w:r>
          </w:p>
        </w:tc>
        <w:tc>
          <w:tcPr>
            <w:tcW w:w="1050" w:type="dxa"/>
            <w:vAlign w:val="center"/>
          </w:tcPr>
          <w:p>
            <w:pPr>
              <w:jc w:val="center"/>
              <w:rPr>
                <w:rFonts w:hint="default" w:ascii="宋体" w:hAnsi="宋体" w:cs="宋体"/>
                <w:b/>
                <w:szCs w:val="21"/>
              </w:rPr>
            </w:pPr>
            <w:r>
              <w:rPr>
                <w:rFonts w:ascii="宋体" w:hAnsi="宋体" w:cs="宋体"/>
                <w:b/>
                <w:szCs w:val="21"/>
              </w:rPr>
              <w:t>计量</w:t>
            </w:r>
          </w:p>
          <w:p>
            <w:pPr>
              <w:jc w:val="center"/>
              <w:rPr>
                <w:rFonts w:hint="default" w:ascii="宋体" w:hAnsi="宋体" w:cs="宋体"/>
                <w:b/>
                <w:szCs w:val="21"/>
              </w:rPr>
            </w:pPr>
            <w:r>
              <w:rPr>
                <w:rFonts w:ascii="宋体" w:hAnsi="宋体" w:cs="宋体"/>
                <w:b/>
                <w:szCs w:val="21"/>
              </w:rPr>
              <w:t>单位</w:t>
            </w:r>
          </w:p>
        </w:tc>
        <w:tc>
          <w:tcPr>
            <w:tcW w:w="2644" w:type="dxa"/>
            <w:vAlign w:val="center"/>
          </w:tcPr>
          <w:p>
            <w:pPr>
              <w:jc w:val="center"/>
              <w:rPr>
                <w:rFonts w:hint="default" w:ascii="宋体" w:hAnsi="宋体" w:cs="宋体"/>
                <w:b/>
                <w:szCs w:val="21"/>
              </w:rPr>
            </w:pPr>
            <w:r>
              <w:rPr>
                <w:rFonts w:ascii="宋体" w:hAnsi="宋体" w:cs="宋体"/>
                <w:b/>
                <w:szCs w:val="21"/>
              </w:rPr>
              <w:t>备注</w:t>
            </w:r>
          </w:p>
        </w:tc>
        <w:tc>
          <w:tcPr>
            <w:tcW w:w="1095" w:type="dxa"/>
            <w:vAlign w:val="center"/>
          </w:tcPr>
          <w:p>
            <w:pPr>
              <w:jc w:val="center"/>
              <w:rPr>
                <w:rFonts w:hint="default" w:ascii="宋体" w:hAnsi="宋体" w:cs="宋体"/>
                <w:b/>
                <w:szCs w:val="21"/>
              </w:rPr>
            </w:pPr>
            <w:r>
              <w:rPr>
                <w:rFonts w:ascii="宋体" w:hAnsi="宋体" w:cs="宋体"/>
                <w:b/>
                <w:szCs w:val="21"/>
              </w:rPr>
              <w:t>综合单价</w:t>
            </w:r>
          </w:p>
          <w:p>
            <w:pPr>
              <w:jc w:val="center"/>
              <w:rPr>
                <w:rFonts w:hint="default" w:ascii="宋体" w:hAnsi="宋体" w:cs="宋体"/>
                <w:b/>
                <w:szCs w:val="21"/>
              </w:rPr>
            </w:pPr>
            <w:r>
              <w:rPr>
                <w:rFonts w:ascii="宋体" w:hAnsi="宋体" w:cs="宋体"/>
                <w:b/>
                <w:szCs w:val="21"/>
              </w:rPr>
              <w:t>最高限价</w:t>
            </w:r>
          </w:p>
          <w:p>
            <w:pPr>
              <w:jc w:val="center"/>
              <w:rPr>
                <w:rFonts w:hint="default" w:ascii="宋体" w:hAnsi="宋体" w:cs="宋体"/>
                <w:b/>
                <w:szCs w:val="21"/>
              </w:rPr>
            </w:pPr>
            <w:r>
              <w:rPr>
                <w:rFonts w:ascii="宋体" w:hAnsi="宋体" w:cs="宋体"/>
                <w:b/>
                <w:szCs w:val="21"/>
              </w:rPr>
              <w:t>（元）</w:t>
            </w:r>
          </w:p>
        </w:tc>
        <w:tc>
          <w:tcPr>
            <w:tcW w:w="788" w:type="dxa"/>
            <w:vAlign w:val="center"/>
          </w:tcPr>
          <w:p>
            <w:pPr>
              <w:jc w:val="center"/>
              <w:rPr>
                <w:rFonts w:hint="default" w:ascii="宋体" w:hAnsi="宋体" w:eastAsia="宋体" w:cs="宋体"/>
                <w:b/>
                <w:sz w:val="18"/>
                <w:szCs w:val="18"/>
                <w:lang w:val="en-US" w:eastAsia="zh-CN"/>
              </w:rPr>
            </w:pPr>
            <w:r>
              <w:rPr>
                <w:rFonts w:hint="eastAsia" w:ascii="宋体" w:hAnsi="宋体" w:cs="宋体"/>
                <w:b/>
                <w:sz w:val="18"/>
                <w:szCs w:val="18"/>
                <w:lang w:val="en-US" w:eastAsia="zh-CN"/>
              </w:rPr>
              <w:t>合同</w:t>
            </w:r>
            <w:r>
              <w:rPr>
                <w:rFonts w:ascii="宋体" w:hAnsi="宋体" w:cs="宋体"/>
                <w:b/>
                <w:sz w:val="18"/>
                <w:szCs w:val="18"/>
              </w:rPr>
              <w:t>综合单价</w:t>
            </w:r>
            <w:r>
              <w:rPr>
                <w:rFonts w:hint="eastAsia" w:ascii="宋体" w:hAnsi="宋体" w:cs="宋体"/>
                <w:b/>
                <w:sz w:val="18"/>
                <w:szCs w:val="18"/>
                <w:lang w:eastAsia="zh-CN"/>
              </w:rPr>
              <w:t>（</w:t>
            </w:r>
            <w:r>
              <w:rPr>
                <w:rFonts w:hint="eastAsia" w:ascii="宋体" w:hAnsi="宋体" w:cs="宋体"/>
                <w:b/>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w:t>
            </w:r>
          </w:p>
        </w:tc>
        <w:tc>
          <w:tcPr>
            <w:tcW w:w="2612" w:type="dxa"/>
            <w:vAlign w:val="center"/>
          </w:tcPr>
          <w:p>
            <w:pPr>
              <w:spacing w:line="400" w:lineRule="exact"/>
              <w:jc w:val="center"/>
              <w:rPr>
                <w:rFonts w:hint="default" w:ascii="宋体" w:hAnsi="宋体" w:cs="宋体"/>
                <w:bCs/>
                <w:szCs w:val="21"/>
              </w:rPr>
            </w:pPr>
            <w:r>
              <w:rPr>
                <w:rFonts w:hint="eastAsia" w:ascii="宋体" w:hAnsi="宋体" w:eastAsia="宋体" w:cs="宋体"/>
                <w:color w:val="auto"/>
                <w:sz w:val="21"/>
                <w:szCs w:val="21"/>
                <w:highlight w:val="none"/>
              </w:rPr>
              <w:t>工人</w:t>
            </w:r>
          </w:p>
        </w:tc>
        <w:tc>
          <w:tcPr>
            <w:tcW w:w="1050" w:type="dxa"/>
            <w:vAlign w:val="center"/>
          </w:tcPr>
          <w:p>
            <w:pPr>
              <w:spacing w:line="440" w:lineRule="exact"/>
              <w:jc w:val="center"/>
              <w:rPr>
                <w:rFonts w:hint="default" w:ascii="宋体" w:hAnsi="宋体" w:cs="宋体"/>
                <w:bCs/>
                <w:szCs w:val="21"/>
              </w:rPr>
            </w:pPr>
            <w:r>
              <w:rPr>
                <w:rFonts w:hint="eastAsia" w:ascii="宋体" w:hAnsi="宋体" w:eastAsia="宋体" w:cs="宋体"/>
                <w:color w:val="auto"/>
                <w:sz w:val="21"/>
                <w:szCs w:val="21"/>
                <w:highlight w:val="none"/>
              </w:rPr>
              <w:t>半天/人</w:t>
            </w:r>
          </w:p>
        </w:tc>
        <w:tc>
          <w:tcPr>
            <w:tcW w:w="2644" w:type="dxa"/>
            <w:vMerge w:val="restart"/>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（含餐费、饮水、到达招标人指定地点的交通费等）</w:t>
            </w:r>
          </w:p>
        </w:tc>
        <w:tc>
          <w:tcPr>
            <w:tcW w:w="1095" w:type="dxa"/>
            <w:vAlign w:val="center"/>
          </w:tcPr>
          <w:p>
            <w:pPr>
              <w:jc w:val="center"/>
              <w:rPr>
                <w:rFonts w:hint="default" w:ascii="宋体" w:hAnsi="宋体" w:cs="宋体"/>
                <w:bCs/>
                <w:szCs w:val="21"/>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w:t>
            </w:r>
          </w:p>
        </w:tc>
        <w:tc>
          <w:tcPr>
            <w:tcW w:w="2612" w:type="dxa"/>
            <w:vAlign w:val="center"/>
          </w:tcPr>
          <w:p>
            <w:pPr>
              <w:spacing w:line="400" w:lineRule="exact"/>
              <w:jc w:val="center"/>
              <w:rPr>
                <w:rFonts w:hint="default" w:ascii="宋体" w:hAnsi="宋体" w:cs="宋体"/>
                <w:bCs/>
                <w:szCs w:val="21"/>
              </w:rPr>
            </w:pPr>
            <w:r>
              <w:rPr>
                <w:rFonts w:hint="eastAsia" w:ascii="宋体" w:hAnsi="宋体" w:eastAsia="宋体" w:cs="宋体"/>
                <w:color w:val="auto"/>
                <w:sz w:val="21"/>
                <w:szCs w:val="21"/>
                <w:highlight w:val="none"/>
              </w:rPr>
              <w:t>工人</w:t>
            </w:r>
          </w:p>
        </w:tc>
        <w:tc>
          <w:tcPr>
            <w:tcW w:w="1050" w:type="dxa"/>
            <w:vAlign w:val="center"/>
          </w:tcPr>
          <w:p>
            <w:pPr>
              <w:spacing w:line="440" w:lineRule="exact"/>
              <w:jc w:val="center"/>
              <w:rPr>
                <w:rFonts w:hint="default" w:ascii="宋体" w:hAnsi="宋体" w:cs="宋体"/>
                <w:bCs/>
                <w:szCs w:val="21"/>
              </w:rPr>
            </w:pPr>
            <w:r>
              <w:rPr>
                <w:rFonts w:hint="eastAsia" w:ascii="宋体" w:hAnsi="宋体" w:eastAsia="宋体" w:cs="宋体"/>
                <w:color w:val="auto"/>
                <w:sz w:val="21"/>
                <w:szCs w:val="21"/>
                <w:highlight w:val="none"/>
              </w:rPr>
              <w:t>全天/人</w:t>
            </w:r>
          </w:p>
        </w:tc>
        <w:tc>
          <w:tcPr>
            <w:tcW w:w="2644" w:type="dxa"/>
            <w:vMerge w:val="continue"/>
            <w:vAlign w:val="center"/>
          </w:tcPr>
          <w:p>
            <w:pPr>
              <w:spacing w:line="360" w:lineRule="auto"/>
              <w:jc w:val="center"/>
              <w:rPr>
                <w:rFonts w:hint="default" w:ascii="宋体" w:hAnsi="宋体" w:cs="宋体"/>
                <w:bCs/>
                <w:szCs w:val="21"/>
              </w:rPr>
            </w:pPr>
          </w:p>
        </w:tc>
        <w:tc>
          <w:tcPr>
            <w:tcW w:w="1095" w:type="dxa"/>
            <w:vAlign w:val="center"/>
          </w:tcPr>
          <w:p>
            <w:pPr>
              <w:jc w:val="center"/>
              <w:rPr>
                <w:rFonts w:hint="default" w:ascii="宋体" w:hAnsi="宋体" w:cs="宋体"/>
                <w:bCs/>
                <w:szCs w:val="21"/>
              </w:rPr>
            </w:pPr>
            <w:r>
              <w:rPr>
                <w:rFonts w:hint="eastAsia" w:ascii="宋体" w:hAnsi="宋体" w:eastAsia="宋体" w:cs="宋体"/>
                <w:b w:val="0"/>
                <w:bCs w:val="0"/>
                <w:color w:val="auto"/>
                <w:sz w:val="21"/>
                <w:szCs w:val="21"/>
                <w:highlight w:val="none"/>
                <w:lang w:val="en-US" w:eastAsia="zh-CN"/>
              </w:rPr>
              <w:t>225</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5</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登高作业车辆</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1600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6</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风炮破碎机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7</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气体火焰切割机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800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8</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0.5吨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700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9</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800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10</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1000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11</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1200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12</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10吨</w:t>
            </w:r>
            <w:r>
              <w:rPr>
                <w:rFonts w:hint="eastAsia" w:ascii="宋体" w:hAnsi="宋体" w:eastAsia="宋体" w:cs="宋体"/>
                <w:color w:val="auto"/>
                <w:sz w:val="21"/>
                <w:szCs w:val="21"/>
                <w:highlight w:val="none"/>
                <w:lang w:eastAsia="zh-CN"/>
              </w:rPr>
              <w:t>＜货车</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1400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13</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≤220型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3000</w:t>
            </w:r>
          </w:p>
        </w:tc>
        <w:tc>
          <w:tcPr>
            <w:tcW w:w="78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≤350型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4000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15</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长臂挖土机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5000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16</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1800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691" w:type="dxa"/>
            <w:vAlign w:val="center"/>
          </w:tcPr>
          <w:p>
            <w:pPr>
              <w:jc w:val="center"/>
              <w:rPr>
                <w:rFonts w:hint="default"/>
              </w:rPr>
            </w:pPr>
            <w:r>
              <w:t>17</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≤220型（含作业所需机械、设备）</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691" w:type="dxa"/>
            <w:vAlign w:val="center"/>
          </w:tcPr>
          <w:p>
            <w:pPr>
              <w:jc w:val="center"/>
              <w:rPr>
                <w:rFonts w:hint="default"/>
              </w:rPr>
            </w:pPr>
            <w:r>
              <w:t>18</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≤350型（含作业所需机械、设备）</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2600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19</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空压机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20</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≤220型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4600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21</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≤350型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5500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22</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大客车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35人及以上</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900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23</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12-20人</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750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10-11人</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600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25</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7人及以下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26</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8吨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2100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27</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25吨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3300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28</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4500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29</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lang w:eastAsia="zh-CN"/>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100吨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9500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30</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铲车（大）</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2700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31</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铲车（小）</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2300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32</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电锯</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eastAsia="zh-CN"/>
              </w:rPr>
              <w:t>含人工</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450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33</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后四轮</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8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后八轮</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1300</w:t>
            </w:r>
          </w:p>
        </w:tc>
        <w:tc>
          <w:tcPr>
            <w:tcW w:w="788" w:type="dxa"/>
            <w:vAlign w:val="center"/>
          </w:tcPr>
          <w:p>
            <w:pPr>
              <w:spacing w:line="360" w:lineRule="auto"/>
              <w:jc w:val="center"/>
              <w:rPr>
                <w:rFonts w:hint="default" w:ascii="宋体" w:hAnsi="宋体" w:cs="宋体"/>
                <w:bCs/>
                <w:szCs w:val="21"/>
              </w:rPr>
            </w:pPr>
          </w:p>
        </w:tc>
      </w:tr>
    </w:tbl>
    <w:p>
      <w:pPr>
        <w:widowControl/>
        <w:spacing w:line="360" w:lineRule="auto"/>
        <w:rPr>
          <w:rFonts w:hint="default" w:ascii="新宋体" w:hAnsi="新宋体" w:eastAsia="新宋体"/>
        </w:rPr>
      </w:pPr>
      <w:r>
        <w:rPr>
          <w:rFonts w:ascii="宋体" w:hAnsi="宋体" w:cs="宋体"/>
          <w:szCs w:val="21"/>
        </w:rPr>
        <w:t>① 综合单价包括工人工资、奖金、劳保福利社保、意外保险、交通费、工伤费、教育培训费及处理一切伤亡事故、机械设备损耗费与折旧费、餐费、管理费用、垃圾外运及消纳、企业应缴税金和应得利润、应急、物价因素等完成合同所需的一切本身和不可所缺的所有工作开支、政策性文件规定及合同包含的所有风险、责任等各项全部费用组成。</w:t>
      </w:r>
    </w:p>
    <w:p>
      <w:pPr>
        <w:widowControl/>
        <w:spacing w:line="360" w:lineRule="auto"/>
        <w:rPr>
          <w:rFonts w:hint="default" w:ascii="新宋体" w:hAnsi="新宋体" w:eastAsia="新宋体"/>
        </w:rPr>
      </w:pPr>
      <w:r>
        <w:t xml:space="preserve">② </w:t>
      </w:r>
      <w:r>
        <w:rPr>
          <w:rFonts w:ascii="新宋体" w:hAnsi="新宋体" w:eastAsia="新宋体"/>
        </w:rPr>
        <w:t>承包经费最终结算价依据中标通知书、投标文件、验收考核等要求计算。</w:t>
      </w:r>
      <w:bookmarkStart w:id="345" w:name="_Toc30053"/>
    </w:p>
    <w:p>
      <w:pPr>
        <w:widowControl/>
        <w:spacing w:line="360" w:lineRule="auto"/>
        <w:rPr>
          <w:rFonts w:hint="default" w:ascii="新宋体" w:hAnsi="新宋体" w:eastAsia="新宋体"/>
        </w:rPr>
      </w:pPr>
      <w:r>
        <w:rPr>
          <w:rFonts w:ascii="新宋体" w:hAnsi="新宋体" w:eastAsia="新宋体"/>
          <w:b/>
          <w:bCs/>
        </w:rPr>
        <w:t>第五条  付</w:t>
      </w:r>
      <w:r>
        <w:rPr>
          <w:rFonts w:ascii="新宋体" w:hAnsi="新宋体" w:eastAsia="新宋体"/>
          <w:b/>
        </w:rPr>
        <w:t>款方式：</w:t>
      </w:r>
      <w:bookmarkEnd w:id="345"/>
    </w:p>
    <w:p>
      <w:pPr>
        <w:autoSpaceDE w:val="0"/>
        <w:autoSpaceDN w:val="0"/>
        <w:adjustRightInd w:val="0"/>
        <w:spacing w:line="360" w:lineRule="auto"/>
        <w:ind w:right="-2"/>
        <w:textAlignment w:val="bottom"/>
        <w:rPr>
          <w:rFonts w:hint="default" w:ascii="宋体" w:hAnsi="宋体" w:cs="宋体"/>
          <w:bCs/>
          <w:szCs w:val="21"/>
        </w:rPr>
      </w:pPr>
      <w:r>
        <w:rPr>
          <w:rFonts w:ascii="宋体" w:hAnsi="宋体" w:cs="Arial"/>
          <w:bCs/>
          <w:szCs w:val="21"/>
        </w:rPr>
        <w:t>（1）合同签订后5个工作日内，成交供应商以银行转账/转帐支票/银行汇票/银行、保险公司出具的保函形式向采购人提供合同价款1%的履约担保。采购人未及时支付合同价款或未及时退还履约担保的，应当支付逾期利息。</w:t>
      </w:r>
    </w:p>
    <w:p>
      <w:pPr>
        <w:spacing w:line="360" w:lineRule="auto"/>
        <w:rPr>
          <w:rFonts w:hint="default" w:ascii="宋体" w:hAnsi="宋体" w:cs="宋体"/>
          <w:szCs w:val="21"/>
        </w:rPr>
      </w:pPr>
      <w:r>
        <w:rPr>
          <w:rFonts w:ascii="宋体" w:hAnsi="宋体" w:cs="宋体"/>
          <w:b/>
          <w:bCs/>
          <w:szCs w:val="21"/>
        </w:rPr>
        <w:t>◎</w:t>
      </w:r>
      <w:r>
        <w:rPr>
          <w:rFonts w:ascii="宋体" w:hAnsi="宋体" w:cs="宋体"/>
          <w:szCs w:val="21"/>
        </w:rPr>
        <w:t>采用银行转账、转帐支票、银行汇票形式提交的，应满足以下几个条件：</w:t>
      </w:r>
    </w:p>
    <w:p>
      <w:pPr>
        <w:spacing w:line="360" w:lineRule="auto"/>
        <w:ind w:firstLine="210" w:firstLineChars="100"/>
        <w:rPr>
          <w:rFonts w:hint="default" w:ascii="宋体" w:hAnsi="宋体"/>
          <w:szCs w:val="21"/>
          <w:lang w:val="zh-CN"/>
        </w:rPr>
      </w:pPr>
      <w:r>
        <w:rPr>
          <w:rFonts w:ascii="宋体" w:hAnsi="宋体"/>
          <w:szCs w:val="21"/>
          <w:lang w:val="zh-CN"/>
        </w:rPr>
        <w:t>①应当从成交供应商基本户转出；</w:t>
      </w:r>
    </w:p>
    <w:p>
      <w:pPr>
        <w:spacing w:line="360" w:lineRule="auto"/>
        <w:ind w:firstLine="210" w:firstLineChars="100"/>
        <w:rPr>
          <w:rFonts w:hint="default" w:ascii="宋体" w:hAnsi="宋体" w:cs="宋体"/>
          <w:szCs w:val="21"/>
        </w:rPr>
      </w:pPr>
      <w:r>
        <w:rPr>
          <w:rFonts w:ascii="宋体" w:hAnsi="宋体"/>
          <w:szCs w:val="21"/>
          <w:lang w:val="zh-CN"/>
        </w:rPr>
        <w:t>②</w:t>
      </w:r>
      <w:r>
        <w:rPr>
          <w:rFonts w:ascii="宋体" w:hAnsi="宋体" w:cs="宋体"/>
          <w:szCs w:val="21"/>
        </w:rPr>
        <w:t>履约担保的退还时间：待</w:t>
      </w:r>
      <w:r>
        <w:rPr>
          <w:rFonts w:ascii="宋体" w:hAnsi="宋体" w:cs="宋体"/>
          <w:b/>
          <w:bCs/>
          <w:szCs w:val="21"/>
          <w:u w:val="single"/>
        </w:rPr>
        <w:t>合同履约完毕7日内</w:t>
      </w:r>
      <w:r>
        <w:rPr>
          <w:rFonts w:ascii="宋体" w:hAnsi="宋体" w:cs="宋体"/>
          <w:szCs w:val="21"/>
        </w:rPr>
        <w:t>予以无息退还。</w:t>
      </w:r>
    </w:p>
    <w:p>
      <w:pPr>
        <w:spacing w:line="360" w:lineRule="auto"/>
        <w:rPr>
          <w:rFonts w:hint="default" w:ascii="宋体" w:hAnsi="宋体" w:cs="宋体"/>
          <w:szCs w:val="21"/>
        </w:rPr>
      </w:pPr>
      <w:r>
        <w:rPr>
          <w:rFonts w:ascii="宋体" w:hAnsi="宋体" w:cs="宋体"/>
          <w:b/>
          <w:bCs/>
          <w:szCs w:val="21"/>
        </w:rPr>
        <w:t>◎</w:t>
      </w:r>
      <w:r>
        <w:rPr>
          <w:rFonts w:ascii="宋体" w:hAnsi="宋体" w:cs="宋体"/>
          <w:szCs w:val="21"/>
        </w:rPr>
        <w:t>采用保函形式提交履约担保的，应满足以下几个条件：</w:t>
      </w:r>
    </w:p>
    <w:p>
      <w:pPr>
        <w:spacing w:line="360" w:lineRule="auto"/>
        <w:ind w:left="210" w:leftChars="100"/>
        <w:rPr>
          <w:rFonts w:hint="default" w:ascii="宋体" w:hAnsi="宋体" w:cs="宋体"/>
          <w:szCs w:val="21"/>
        </w:rPr>
      </w:pPr>
      <w:r>
        <w:rPr>
          <w:rFonts w:ascii="宋体" w:hAnsi="宋体" w:cs="宋体"/>
          <w:szCs w:val="21"/>
        </w:rPr>
        <w:t>①为见索即付保函：即在成交供应商没有实施合同或者未履行合同义务时，采购人不需要出具任何证明和理由，只要看到成交供应商违约，就可对保函进行收兑。</w:t>
      </w:r>
    </w:p>
    <w:p>
      <w:pPr>
        <w:spacing w:line="360" w:lineRule="auto"/>
        <w:ind w:firstLine="210" w:firstLineChars="100"/>
        <w:rPr>
          <w:rFonts w:hint="default" w:ascii="宋体" w:hAnsi="宋体" w:cs="宋体"/>
          <w:szCs w:val="21"/>
        </w:rPr>
      </w:pPr>
      <w:r>
        <w:rPr>
          <w:rFonts w:ascii="宋体" w:hAnsi="宋体" w:cs="宋体"/>
          <w:szCs w:val="21"/>
        </w:rPr>
        <w:t>②保函期限：自合同生效之日起至</w:t>
      </w:r>
      <w:r>
        <w:rPr>
          <w:rFonts w:ascii="宋体" w:hAnsi="宋体" w:cs="宋体"/>
          <w:b/>
          <w:bCs/>
          <w:szCs w:val="21"/>
          <w:u w:val="single"/>
        </w:rPr>
        <w:t>合同履约完毕</w:t>
      </w:r>
      <w:r>
        <w:rPr>
          <w:rFonts w:ascii="宋体" w:hAnsi="宋体" w:cs="宋体"/>
          <w:szCs w:val="21"/>
        </w:rPr>
        <w:t>之日止。</w:t>
      </w:r>
    </w:p>
    <w:p>
      <w:pPr>
        <w:spacing w:line="360" w:lineRule="auto"/>
        <w:ind w:left="210" w:leftChars="100"/>
        <w:rPr>
          <w:rFonts w:hint="default" w:ascii="宋体" w:hAnsi="宋体" w:cs="宋体"/>
          <w:szCs w:val="21"/>
        </w:rPr>
      </w:pPr>
      <w:r>
        <w:rPr>
          <w:rFonts w:ascii="宋体" w:hAnsi="宋体" w:cs="宋体"/>
          <w:szCs w:val="21"/>
        </w:rPr>
        <w:t>③如果由于服务期延误或保函出具机构要求分期出具保函的，则在前一份保函有效期满之日1个月前必须重新出具相同内容的保函。</w:t>
      </w:r>
    </w:p>
    <w:p>
      <w:pPr>
        <w:spacing w:line="360" w:lineRule="auto"/>
        <w:rPr>
          <w:rFonts w:hint="default" w:ascii="宋体" w:hAnsi="宋体" w:cs="宋体"/>
        </w:rPr>
      </w:pPr>
      <w:r>
        <w:rPr>
          <w:rFonts w:ascii="宋体" w:hAnsi="宋体" w:cs="宋体"/>
        </w:rPr>
        <w:t>（2）预付款支付比例或金额：合同生效以及具备实施条件后7个工作日内，采购人向成交供应商支付合同价款的20%的预付款。（根据浙财采监[2022]3号文件执行，在签订合同时，成交供应商明确表示无需预付款或者主动要求降低预付款比例的，采购人可不适用前述规定预付款）</w:t>
      </w:r>
    </w:p>
    <w:p>
      <w:pPr>
        <w:spacing w:line="360" w:lineRule="auto"/>
        <w:rPr>
          <w:rFonts w:hint="default" w:ascii="宋体" w:hAnsi="宋体" w:cs="宋体"/>
        </w:rPr>
      </w:pPr>
      <w:r>
        <w:rPr>
          <w:rFonts w:ascii="宋体" w:hAnsi="宋体" w:cs="宋体"/>
        </w:rPr>
        <w:t>预付款扣回的方式：预付款在每月结算中扣回（如第一月服务经费未到达预付款比例，则在第二月中扣回，以此类推）。</w:t>
      </w:r>
    </w:p>
    <w:p>
      <w:pPr>
        <w:spacing w:line="360" w:lineRule="auto"/>
        <w:rPr>
          <w:rFonts w:hint="default" w:ascii="宋体" w:hAnsi="宋体" w:cs="宋体"/>
        </w:rPr>
      </w:pPr>
      <w:r>
        <w:rPr>
          <w:rFonts w:ascii="宋体" w:hAnsi="宋体" w:cs="宋体"/>
        </w:rPr>
        <w:t>（3）本项目采用固定单价合同，最终结算以甲方确认的实际发生的服务内容，结合相应的中标综合单价予以结算，每月结算一次，即每次服务结束验收合格后乙方向甲方提供国家规定的100%的税收发票及无条件按甲方要求提供费用结算所需的相关书面材料，甲方自收到发票后</w:t>
      </w:r>
      <w:r>
        <w:rPr>
          <w:rFonts w:hint="eastAsia" w:ascii="宋体" w:hAnsi="宋体" w:cs="宋体"/>
          <w:lang w:val="en-US" w:eastAsia="zh-CN"/>
        </w:rPr>
        <w:t>7</w:t>
      </w:r>
      <w:r>
        <w:rPr>
          <w:rFonts w:ascii="宋体" w:hAnsi="宋体" w:cs="宋体"/>
        </w:rPr>
        <w:t>个工作日内向乙方支付服务费（相关罚款从当月服务费中直接扣除）。</w:t>
      </w:r>
    </w:p>
    <w:p>
      <w:pPr>
        <w:widowControl/>
        <w:spacing w:line="360" w:lineRule="auto"/>
        <w:rPr>
          <w:rFonts w:hint="default" w:ascii="新宋体" w:hAnsi="新宋体" w:eastAsia="新宋体"/>
          <w:b/>
        </w:rPr>
      </w:pPr>
      <w:bookmarkStart w:id="346" w:name="_Toc12684"/>
      <w:r>
        <w:rPr>
          <w:rFonts w:ascii="新宋体" w:hAnsi="新宋体" w:eastAsia="新宋体"/>
          <w:b/>
        </w:rPr>
        <w:t>第六条  承包方式</w:t>
      </w:r>
      <w:bookmarkEnd w:id="346"/>
    </w:p>
    <w:p>
      <w:pPr>
        <w:widowControl/>
        <w:spacing w:line="360" w:lineRule="auto"/>
        <w:rPr>
          <w:rFonts w:hint="default" w:ascii="宋体" w:hAnsi="宋体"/>
          <w:b/>
        </w:rPr>
      </w:pPr>
      <w:r>
        <w:rPr>
          <w:rFonts w:ascii="宋体" w:hAnsi="宋体"/>
          <w:b/>
        </w:rPr>
        <w:t>1、固定综合单价承包，服务期内以单价进行结算。</w:t>
      </w:r>
    </w:p>
    <w:p>
      <w:pPr>
        <w:pStyle w:val="2"/>
        <w:widowControl/>
        <w:spacing w:after="0" w:line="360" w:lineRule="auto"/>
        <w:ind w:left="0" w:leftChars="0"/>
        <w:rPr>
          <w:rFonts w:hint="default"/>
        </w:rPr>
      </w:pPr>
      <w:r>
        <w:rPr>
          <w:rFonts w:ascii="宋体" w:hAnsi="宋体" w:cs="宋体"/>
        </w:rPr>
        <w:t>2、</w:t>
      </w:r>
      <w:r>
        <w:rPr>
          <w:rFonts w:ascii="Arial" w:hAnsi="宋体" w:cs="Arial"/>
        </w:rPr>
        <w:t>服务期限：自合同签订之日起壹年。</w:t>
      </w:r>
    </w:p>
    <w:p>
      <w:pPr>
        <w:widowControl/>
        <w:snapToGrid w:val="0"/>
        <w:spacing w:line="360" w:lineRule="auto"/>
        <w:rPr>
          <w:rFonts w:hint="default" w:ascii="Arial" w:hAnsi="宋体" w:cs="Arial"/>
        </w:rPr>
      </w:pPr>
      <w:r>
        <w:rPr>
          <w:rFonts w:ascii="Arial" w:hAnsi="宋体" w:cs="Arial"/>
        </w:rPr>
        <w:t>A. 本项目为单价合同，如服务期限未到，财政预算价已支付完毕，合同生效至本次财政预算价支付完毕止；如服务期限已到，财政预算价未使用完，则合同生效至本项目服务期限完毕止。</w:t>
      </w:r>
    </w:p>
    <w:p>
      <w:pPr>
        <w:widowControl/>
        <w:snapToGrid w:val="0"/>
        <w:spacing w:line="360" w:lineRule="auto"/>
        <w:rPr>
          <w:rFonts w:hint="default" w:ascii="Arial Unicode MS" w:hAnsi="Arial Unicode MS"/>
        </w:rPr>
      </w:pPr>
      <w:r>
        <w:rPr>
          <w:rFonts w:ascii="Arial" w:hAnsi="宋体" w:cs="Arial"/>
        </w:rPr>
        <w:t>B. 若成交供应商有违约行为，采购人有权单方面解除合同。</w:t>
      </w:r>
    </w:p>
    <w:p>
      <w:pPr>
        <w:widowControl/>
        <w:spacing w:line="360" w:lineRule="auto"/>
        <w:rPr>
          <w:rFonts w:hint="default" w:ascii="新宋体" w:hAnsi="新宋体" w:eastAsia="新宋体"/>
          <w:b/>
        </w:rPr>
      </w:pPr>
      <w:bookmarkStart w:id="347" w:name="_Toc24961"/>
      <w:r>
        <w:rPr>
          <w:rFonts w:ascii="新宋体" w:hAnsi="新宋体" w:eastAsia="新宋体"/>
          <w:b/>
        </w:rPr>
        <w:t xml:space="preserve">第六条 </w:t>
      </w:r>
      <w:bookmarkEnd w:id="347"/>
      <w:r>
        <w:rPr>
          <w:rFonts w:hint="eastAsia" w:ascii="新宋体" w:hAnsi="新宋体" w:eastAsia="新宋体"/>
          <w:b/>
          <w:lang w:val="en-US" w:eastAsia="zh-CN"/>
        </w:rPr>
        <w:t xml:space="preserve"> </w:t>
      </w:r>
      <w:r>
        <w:rPr>
          <w:rFonts w:ascii="新宋体" w:hAnsi="新宋体" w:eastAsia="新宋体"/>
          <w:b/>
        </w:rPr>
        <w:t>服务要求</w:t>
      </w:r>
    </w:p>
    <w:p>
      <w:pPr>
        <w:tabs>
          <w:tab w:val="left" w:pos="284"/>
        </w:tabs>
        <w:spacing w:line="360" w:lineRule="auto"/>
        <w:rPr>
          <w:rFonts w:hint="default" w:ascii="宋体" w:hAnsi="宋体" w:cs="宋体"/>
          <w:b/>
          <w:bCs/>
          <w:szCs w:val="21"/>
        </w:rPr>
      </w:pPr>
      <w:r>
        <w:rPr>
          <w:rFonts w:ascii="宋体" w:hAnsi="宋体" w:cs="宋体"/>
          <w:b/>
          <w:bCs/>
        </w:rPr>
        <w:t xml:space="preserve">① </w:t>
      </w:r>
      <w:r>
        <w:rPr>
          <w:rFonts w:ascii="宋体" w:hAnsi="宋体" w:cs="宋体"/>
          <w:b/>
          <w:bCs/>
          <w:szCs w:val="21"/>
        </w:rPr>
        <w:t>人员服务要求</w:t>
      </w:r>
    </w:p>
    <w:p>
      <w:pPr>
        <w:tabs>
          <w:tab w:val="left" w:pos="0"/>
        </w:tabs>
        <w:spacing w:line="400" w:lineRule="exact"/>
        <w:rPr>
          <w:rFonts w:hint="default" w:ascii="宋体" w:hAnsi="宋体" w:cs="宋体"/>
          <w:szCs w:val="21"/>
        </w:rPr>
      </w:pPr>
      <w:r>
        <w:rPr>
          <w:rFonts w:ascii="宋体" w:hAnsi="宋体" w:cs="宋体"/>
          <w:szCs w:val="21"/>
        </w:rPr>
        <w:t>（1）实际岗位依采购人具体工作需要可能作适当调整；</w:t>
      </w:r>
    </w:p>
    <w:p>
      <w:pPr>
        <w:tabs>
          <w:tab w:val="left" w:pos="0"/>
        </w:tabs>
        <w:spacing w:line="400" w:lineRule="exact"/>
        <w:rPr>
          <w:rFonts w:hint="default" w:ascii="宋体" w:hAnsi="宋体" w:cs="宋体"/>
          <w:szCs w:val="21"/>
        </w:rPr>
      </w:pPr>
      <w:r>
        <w:rPr>
          <w:rFonts w:ascii="宋体" w:hAnsi="宋体" w:cs="宋体"/>
          <w:szCs w:val="21"/>
        </w:rPr>
        <w:t>（2）人员涉及的食宿费、交通费等一切费用由磋商供应商承担；</w:t>
      </w:r>
    </w:p>
    <w:p>
      <w:pPr>
        <w:tabs>
          <w:tab w:val="left" w:pos="0"/>
        </w:tabs>
        <w:spacing w:line="400" w:lineRule="exact"/>
        <w:rPr>
          <w:rFonts w:hint="default" w:ascii="宋体" w:hAnsi="宋体" w:cs="宋体"/>
          <w:szCs w:val="21"/>
        </w:rPr>
      </w:pPr>
      <w:r>
        <w:rPr>
          <w:rFonts w:ascii="宋体" w:hAnsi="宋体" w:cs="宋体"/>
          <w:szCs w:val="21"/>
        </w:rPr>
        <w:t>（3）供应商承诺在服务期内，在提供服务过程中，加强消除现场安全隐患，全力确保现场安全，并做好保密工作。</w:t>
      </w:r>
    </w:p>
    <w:p>
      <w:pPr>
        <w:tabs>
          <w:tab w:val="left" w:pos="284"/>
        </w:tabs>
        <w:spacing w:line="360" w:lineRule="auto"/>
        <w:rPr>
          <w:rFonts w:hint="default" w:ascii="宋体" w:hAnsi="宋体" w:cs="宋体"/>
          <w:szCs w:val="21"/>
        </w:rPr>
      </w:pPr>
      <w:r>
        <w:rPr>
          <w:rFonts w:ascii="宋体" w:hAnsi="宋体" w:cs="宋体"/>
          <w:szCs w:val="21"/>
        </w:rPr>
        <w:t>（4）及时完成采购人交办的其他任务。</w:t>
      </w:r>
    </w:p>
    <w:p>
      <w:pPr>
        <w:tabs>
          <w:tab w:val="left" w:pos="284"/>
        </w:tabs>
        <w:spacing w:line="360" w:lineRule="auto"/>
        <w:rPr>
          <w:rFonts w:hint="default" w:ascii="宋体" w:hAnsi="宋体" w:cs="宋体"/>
          <w:szCs w:val="21"/>
        </w:rPr>
      </w:pPr>
      <w:r>
        <w:rPr>
          <w:rFonts w:ascii="宋体" w:hAnsi="宋体" w:cs="宋体"/>
          <w:szCs w:val="21"/>
        </w:rPr>
        <w:t>（5）</w:t>
      </w:r>
      <w:r>
        <w:rPr>
          <w:rFonts w:ascii="Arial" w:hAnsi="宋体" w:cs="Arial"/>
          <w:szCs w:val="22"/>
        </w:rPr>
        <w:t>人员应按时签到，并于完成工作的当日或次日交由带队的采购人代表签字确认，于次月的第二十个工作日内将当月所有签到表、现场状况</w:t>
      </w:r>
      <w:r>
        <w:rPr>
          <w:rFonts w:hint="eastAsia" w:ascii="Arial" w:hAnsi="宋体" w:cs="Arial"/>
          <w:szCs w:val="22"/>
          <w:lang w:val="en-US" w:eastAsia="zh-CN"/>
        </w:rPr>
        <w:t>全程</w:t>
      </w:r>
      <w:r>
        <w:rPr>
          <w:rFonts w:ascii="Arial" w:hAnsi="宋体" w:cs="Arial"/>
          <w:szCs w:val="22"/>
        </w:rPr>
        <w:t>视频资料、人员视频资料、机具视频资料、统一的单次合同交由采购人</w:t>
      </w:r>
      <w:r>
        <w:rPr>
          <w:rFonts w:hint="eastAsia" w:ascii="Arial" w:hAnsi="宋体" w:cs="Arial"/>
          <w:szCs w:val="22"/>
          <w:lang w:eastAsia="zh-CN"/>
        </w:rPr>
        <w:t>，</w:t>
      </w:r>
      <w:r>
        <w:rPr>
          <w:rFonts w:hint="eastAsia" w:ascii="Arial" w:hAnsi="宋体" w:cs="Arial"/>
          <w:szCs w:val="22"/>
          <w:lang w:val="en-US" w:eastAsia="zh-CN"/>
        </w:rPr>
        <w:t>且视频资料保存时间不得小于3个月</w:t>
      </w:r>
      <w:r>
        <w:rPr>
          <w:rFonts w:ascii="Arial" w:hAnsi="宋体" w:cs="Arial"/>
          <w:szCs w:val="22"/>
        </w:rPr>
        <w:t>。</w:t>
      </w:r>
    </w:p>
    <w:p>
      <w:pPr>
        <w:tabs>
          <w:tab w:val="left" w:pos="0"/>
        </w:tabs>
        <w:spacing w:line="400" w:lineRule="exact"/>
        <w:rPr>
          <w:rFonts w:hint="default"/>
        </w:rPr>
      </w:pPr>
      <w:r>
        <w:rPr>
          <w:rFonts w:ascii="宋体" w:hAnsi="宋体" w:cs="宋体"/>
          <w:szCs w:val="21"/>
        </w:rPr>
        <w:t>（6）中标供应商向采购人指派的人员均由采购人确定，且在合同期内，采购人也有权让中标供应商来补足指派的人员。</w:t>
      </w:r>
    </w:p>
    <w:p>
      <w:pPr>
        <w:tabs>
          <w:tab w:val="left" w:pos="284"/>
        </w:tabs>
        <w:spacing w:line="360" w:lineRule="auto"/>
        <w:rPr>
          <w:rFonts w:hint="default" w:ascii="宋体" w:hAnsi="宋体" w:cs="宋体"/>
          <w:szCs w:val="21"/>
        </w:rPr>
      </w:pPr>
      <w:r>
        <w:t xml:space="preserve">② </w:t>
      </w:r>
      <w:r>
        <w:rPr>
          <w:rFonts w:ascii="宋体" w:hAnsi="宋体" w:cs="宋体"/>
          <w:szCs w:val="21"/>
        </w:rPr>
        <w:t>响应时间：成交供应商应接到采购人通知后在半小时内作出响应，并在指定时间到达现场。采购人若遇特殊情况取消此次活动，因此次活动产生的派遣出勤车辆费用采购人予以支付。</w:t>
      </w:r>
    </w:p>
    <w:p>
      <w:pPr>
        <w:tabs>
          <w:tab w:val="left" w:pos="284"/>
        </w:tabs>
        <w:spacing w:line="360" w:lineRule="auto"/>
        <w:rPr>
          <w:rFonts w:hint="default"/>
        </w:rPr>
      </w:pPr>
      <w:r>
        <w:t xml:space="preserve">③ </w:t>
      </w:r>
      <w:r>
        <w:rPr>
          <w:rFonts w:ascii="宋体" w:hAnsi="宋体" w:cs="宋体"/>
          <w:szCs w:val="21"/>
        </w:rPr>
        <w:t>本次招标的采购清单为采购人日常所需的服务，具体服务内容以采购人指派为准。</w:t>
      </w:r>
      <w:r>
        <w:rPr>
          <w:rFonts w:ascii="宋体" w:hAnsi="宋体" w:cs="宋体"/>
        </w:rPr>
        <w:t>在接到采购人通知后，成交供应商应积极配合采购人做好前期现场踏勘工作，并列出当次服务工作预计需要使用的</w:t>
      </w:r>
      <w:r>
        <w:rPr>
          <w:rFonts w:ascii="宋体" w:hAnsi="宋体" w:cs="宋体"/>
          <w:szCs w:val="21"/>
        </w:rPr>
        <w:t>人员、车、机械</w:t>
      </w:r>
      <w:r>
        <w:rPr>
          <w:rFonts w:ascii="宋体" w:hAnsi="宋体" w:cs="宋体"/>
        </w:rPr>
        <w:t>，由采购人最终讨论确定，</w:t>
      </w:r>
      <w:r>
        <w:rPr>
          <w:rFonts w:ascii="宋体" w:hAnsi="宋体" w:cs="宋体"/>
          <w:szCs w:val="21"/>
        </w:rPr>
        <w:t>所需人员、车、机械必须送达到采购人指定服务地点，其费用由供应商承担并包含在投标单价中。</w:t>
      </w:r>
    </w:p>
    <w:p>
      <w:pPr>
        <w:tabs>
          <w:tab w:val="left" w:pos="284"/>
        </w:tabs>
        <w:spacing w:line="360" w:lineRule="auto"/>
        <w:rPr>
          <w:rFonts w:hint="default" w:ascii="宋体" w:hAnsi="宋体" w:cs="宋体"/>
        </w:rPr>
      </w:pPr>
      <w:r>
        <w:t xml:space="preserve">④ </w:t>
      </w:r>
      <w:r>
        <w:rPr>
          <w:rFonts w:ascii="宋体" w:hAnsi="宋体" w:cs="宋体"/>
          <w:szCs w:val="21"/>
        </w:rPr>
        <w:t>服务起始计算时间以人员（车辆、机械）到达采购人指定地点起至采购人宣布工作结束止。</w:t>
      </w:r>
    </w:p>
    <w:p>
      <w:pPr>
        <w:tabs>
          <w:tab w:val="left" w:pos="284"/>
        </w:tabs>
        <w:spacing w:line="360" w:lineRule="auto"/>
        <w:rPr>
          <w:rFonts w:hint="default" w:ascii="宋体" w:hAnsi="宋体" w:cs="宋体"/>
          <w:b/>
          <w:bCs/>
          <w:szCs w:val="21"/>
        </w:rPr>
      </w:pPr>
      <w:r>
        <w:t xml:space="preserve">⑤ </w:t>
      </w:r>
      <w:r>
        <w:rPr>
          <w:rFonts w:ascii="宋体" w:hAnsi="宋体" w:cs="宋体"/>
        </w:rPr>
        <w:t xml:space="preserve">成交供应商按有关规定采取严格的安全措施，承担由于自身安全措施不力造成的事故责任和因此发生的费用及后果，成交供应商服务人员的人身安全由成交供应商负责。成交供应商应为服务人员购买人身意外伤害险及与项目服务有关的一切保险。凡在服务过程中发生安全责任事故或其他责任事故，均由成交供应商承担责任。 </w:t>
      </w:r>
    </w:p>
    <w:p>
      <w:pPr>
        <w:tabs>
          <w:tab w:val="left" w:pos="284"/>
        </w:tabs>
        <w:spacing w:line="360" w:lineRule="auto"/>
        <w:rPr>
          <w:rFonts w:hint="default" w:ascii="宋体" w:hAnsi="宋体" w:cs="宋体"/>
          <w:b/>
        </w:rPr>
      </w:pPr>
      <w:r>
        <w:t xml:space="preserve">⑥ </w:t>
      </w:r>
      <w:r>
        <w:rPr>
          <w:rFonts w:ascii="宋体" w:hAnsi="宋体" w:cs="宋体"/>
          <w:szCs w:val="22"/>
        </w:rPr>
        <w:t>服务人员在作业服务过程中，如涉及建筑物，不准损坏建筑物整体结构、表面装修、顶部防水等，如有损坏，成交供应商负责维修或赔偿。</w:t>
      </w:r>
    </w:p>
    <w:p>
      <w:pPr>
        <w:tabs>
          <w:tab w:val="left" w:pos="284"/>
        </w:tabs>
        <w:spacing w:line="360" w:lineRule="auto"/>
        <w:rPr>
          <w:rFonts w:hint="default" w:ascii="宋体" w:hAnsi="宋体" w:cs="宋体"/>
          <w:szCs w:val="22"/>
          <w:u w:val="wave"/>
        </w:rPr>
      </w:pPr>
      <w:r>
        <w:rPr>
          <w:szCs w:val="21"/>
        </w:rPr>
        <w:t>⑦</w:t>
      </w:r>
      <w:r>
        <w:t xml:space="preserve"> </w:t>
      </w:r>
      <w:r>
        <w:rPr>
          <w:rFonts w:ascii="宋体" w:hAnsi="宋体" w:cs="宋体"/>
          <w:szCs w:val="22"/>
          <w:u w:val="wave"/>
        </w:rPr>
        <w:t xml:space="preserve">服务人员在作业服务过程中，要严格按照安全操作规程施工，电工、特种作业人员等须持证上岗，成交供应商承担其现场施工人员、过往行人的人身安全责任，承担倒塌、坠落物体对其他人员、物体损坏的赔偿及相关责任。 </w:t>
      </w:r>
    </w:p>
    <w:p>
      <w:pPr>
        <w:tabs>
          <w:tab w:val="left" w:pos="284"/>
        </w:tabs>
        <w:spacing w:line="360" w:lineRule="auto"/>
        <w:rPr>
          <w:rFonts w:hint="default"/>
          <w:u w:val="wave"/>
        </w:rPr>
      </w:pPr>
      <w:r>
        <w:t xml:space="preserve">⑧ </w:t>
      </w:r>
      <w:r>
        <w:rPr>
          <w:rFonts w:ascii="宋体" w:hAnsi="宋体" w:cs="宋体"/>
          <w:szCs w:val="22"/>
          <w:u w:val="wave"/>
        </w:rPr>
        <w:t>服务人员如需穿着佩戴安全帽等相关安全保护装束的，该费用由成交供应商承担。</w:t>
      </w:r>
    </w:p>
    <w:p>
      <w:pPr>
        <w:tabs>
          <w:tab w:val="left" w:pos="284"/>
        </w:tabs>
        <w:spacing w:line="360" w:lineRule="auto"/>
        <w:rPr>
          <w:rFonts w:hint="default" w:ascii="宋体" w:hAnsi="宋体" w:cs="宋体"/>
          <w:szCs w:val="22"/>
          <w:u w:val="wave"/>
        </w:rPr>
      </w:pPr>
      <w:r>
        <w:rPr>
          <w:rFonts w:ascii="宋体" w:hAnsi="宋体" w:cs="宋体"/>
          <w:szCs w:val="22"/>
          <w:u w:val="wave"/>
        </w:rPr>
        <w:t>成交供应商应负责垃圾外运及消纳，应严格实行密闭式运输，不得在运输过程中出现垃圾遗漏、散落等违章行为。</w:t>
      </w:r>
    </w:p>
    <w:p>
      <w:pPr>
        <w:tabs>
          <w:tab w:val="left" w:pos="284"/>
        </w:tabs>
        <w:spacing w:line="360" w:lineRule="auto"/>
        <w:rPr>
          <w:rFonts w:hint="default" w:ascii="宋体" w:hAnsi="宋体" w:cs="宋体"/>
          <w:szCs w:val="22"/>
          <w:u w:val="wave"/>
        </w:rPr>
      </w:pPr>
      <w:r>
        <w:t xml:space="preserve">⑨ </w:t>
      </w:r>
      <w:r>
        <w:rPr>
          <w:rFonts w:ascii="宋体" w:hAnsi="宋体" w:cs="宋体"/>
          <w:szCs w:val="22"/>
          <w:u w:val="wave"/>
        </w:rPr>
        <w:t>成交供应商应严格按照交警和公路运输管理部门的要求装载运输，不得超载，不得丢弃、遗撒垃圾，不得直排（偷排）垃圾。</w:t>
      </w:r>
    </w:p>
    <w:p>
      <w:pPr>
        <w:tabs>
          <w:tab w:val="left" w:pos="284"/>
        </w:tabs>
        <w:spacing w:line="360" w:lineRule="auto"/>
        <w:rPr>
          <w:rFonts w:hint="default" w:ascii="宋体" w:hAnsi="宋体" w:cs="宋体"/>
          <w:szCs w:val="22"/>
          <w:u w:val="wave"/>
        </w:rPr>
      </w:pPr>
      <w:r>
        <w:rPr>
          <w:rFonts w:ascii="宋体" w:hAnsi="宋体" w:cs="宋体"/>
          <w:szCs w:val="22"/>
          <w:u w:val="wave"/>
        </w:rPr>
        <w:t>（1）所有清运车辆保险手续齐全，且车辆保险未生效前，不得上路作业。</w:t>
      </w:r>
    </w:p>
    <w:p>
      <w:pPr>
        <w:tabs>
          <w:tab w:val="left" w:pos="284"/>
        </w:tabs>
        <w:spacing w:line="360" w:lineRule="auto"/>
        <w:rPr>
          <w:rFonts w:hint="default"/>
        </w:rPr>
      </w:pPr>
      <w:r>
        <w:rPr>
          <w:rFonts w:ascii="宋体" w:hAnsi="宋体" w:cs="宋体"/>
          <w:szCs w:val="22"/>
          <w:u w:val="wave"/>
        </w:rPr>
        <w:t>（2）车辆在作业过程车厢外不得有垃圾拖挂，沿途禁止抛洒滴漏，严禁超载超限运输。</w:t>
      </w:r>
    </w:p>
    <w:p>
      <w:pPr>
        <w:tabs>
          <w:tab w:val="left" w:pos="284"/>
        </w:tabs>
        <w:spacing w:line="360" w:lineRule="auto"/>
        <w:rPr>
          <w:rFonts w:hint="default" w:ascii="宋体" w:hAnsi="宋体" w:cs="宋体"/>
          <w:szCs w:val="22"/>
          <w:u w:val="wave"/>
        </w:rPr>
      </w:pPr>
      <w:r>
        <w:rPr>
          <w:rFonts w:ascii="宋体" w:hAnsi="宋体" w:cs="宋体"/>
          <w:szCs w:val="22"/>
          <w:u w:val="wave"/>
        </w:rPr>
        <w:t>（3）成交供应商应科学合理安排收运路线，避免噪音扰民等现象。</w:t>
      </w:r>
    </w:p>
    <w:p>
      <w:pPr>
        <w:tabs>
          <w:tab w:val="left" w:pos="284"/>
        </w:tabs>
        <w:spacing w:line="360" w:lineRule="auto"/>
        <w:rPr>
          <w:rFonts w:hint="default" w:ascii="宋体" w:hAnsi="宋体" w:cs="宋体"/>
          <w:b w:val="0"/>
          <w:bCs w:val="0"/>
          <w:szCs w:val="22"/>
          <w:u w:val="wave"/>
        </w:rPr>
      </w:pPr>
      <w:r>
        <w:rPr>
          <w:rFonts w:ascii="宋体" w:hAnsi="宋体" w:cs="宋体"/>
          <w:b w:val="0"/>
          <w:bCs w:val="0"/>
          <w:szCs w:val="22"/>
          <w:u w:val="wave"/>
        </w:rPr>
        <w:t>（4）服务期间若遇上级检查或其它突击任务等特殊情况，应无条件服从采购人调配和安排。</w:t>
      </w:r>
    </w:p>
    <w:p>
      <w:pPr>
        <w:tabs>
          <w:tab w:val="left" w:pos="284"/>
        </w:tabs>
        <w:spacing w:line="360" w:lineRule="auto"/>
        <w:rPr>
          <w:rFonts w:hint="default" w:ascii="宋体" w:hAnsi="宋体" w:cs="宋体"/>
          <w:b w:val="0"/>
          <w:bCs w:val="0"/>
        </w:rPr>
      </w:pPr>
      <w:r>
        <w:rPr>
          <w:rFonts w:ascii="宋体" w:hAnsi="宋体" w:cs="宋体"/>
          <w:b w:val="0"/>
          <w:bCs w:val="0"/>
        </w:rPr>
        <w:t>（5）如采购人需要多名工人（3人以上）的，成交供应商必须指定一名具体负责人，并服从招人安排。</w:t>
      </w:r>
    </w:p>
    <w:p>
      <w:pPr>
        <w:spacing w:line="360" w:lineRule="auto"/>
        <w:rPr>
          <w:rFonts w:hint="default" w:ascii="新宋体" w:hAnsi="新宋体" w:eastAsia="新宋体"/>
          <w:b w:val="0"/>
          <w:bCs w:val="0"/>
          <w:szCs w:val="21"/>
          <w:u w:val="wave"/>
        </w:rPr>
      </w:pPr>
      <w:r>
        <w:rPr>
          <w:rFonts w:ascii="新宋体" w:hAnsi="新宋体" w:eastAsia="新宋体"/>
          <w:b w:val="0"/>
          <w:bCs w:val="0"/>
          <w:szCs w:val="21"/>
          <w:u w:val="wave"/>
        </w:rPr>
        <w:t>（6）采购人无法预计也无法保证成交供应商在服务期内可以获得的服务数量及金额，最终以实际服务次数及中标折扣率进行结算，请供应商充分考虑投标风险。</w:t>
      </w:r>
    </w:p>
    <w:p>
      <w:pPr>
        <w:spacing w:line="360" w:lineRule="auto"/>
        <w:rPr>
          <w:rFonts w:hint="default" w:eastAsiaTheme="minorEastAsia"/>
          <w:b/>
          <w:bCs/>
        </w:rPr>
      </w:pPr>
      <w:r>
        <w:rPr>
          <w:b/>
          <w:bCs/>
        </w:rPr>
        <w:t>第七条 安全要求</w:t>
      </w:r>
    </w:p>
    <w:p>
      <w:pPr>
        <w:widowControl/>
        <w:spacing w:line="360" w:lineRule="auto"/>
        <w:rPr>
          <w:rFonts w:hint="default" w:ascii="新宋体" w:hAnsi="新宋体" w:eastAsia="新宋体"/>
          <w:bCs/>
        </w:rPr>
      </w:pPr>
      <w:bookmarkStart w:id="348" w:name="_Toc7509"/>
      <w:r>
        <w:rPr>
          <w:rFonts w:ascii="新宋体" w:hAnsi="新宋体" w:eastAsia="新宋体"/>
          <w:bCs/>
        </w:rPr>
        <w:t>① 中标人在签订协议书时，须同时签订安全生产责任书，中标人不愿签订责任书的，将视为自动放弃中标资格。</w:t>
      </w:r>
    </w:p>
    <w:p>
      <w:pPr>
        <w:widowControl/>
        <w:spacing w:line="360" w:lineRule="auto"/>
        <w:rPr>
          <w:rFonts w:hint="default" w:ascii="新宋体" w:hAnsi="新宋体" w:eastAsia="新宋体"/>
          <w:bCs/>
        </w:rPr>
      </w:pPr>
      <w:r>
        <w:rPr>
          <w:rFonts w:ascii="新宋体" w:hAnsi="新宋体" w:eastAsia="新宋体"/>
          <w:bCs/>
        </w:rPr>
        <w:t>② 中标人必须为其工作人员投保意外险，以保证采购人在中标人工作人员索偿时不受任何责任的约束，保险费用已包含在中标人的投标报价中，采购人不单独另行支付。中标人不愿投保员工人身意外保险的，采购人有权强制扣款。</w:t>
      </w:r>
    </w:p>
    <w:p>
      <w:pPr>
        <w:widowControl/>
        <w:spacing w:line="360" w:lineRule="auto"/>
        <w:rPr>
          <w:rFonts w:hint="default" w:ascii="新宋体" w:hAnsi="新宋体" w:eastAsia="新宋体"/>
          <w:bCs/>
        </w:rPr>
      </w:pPr>
      <w:r>
        <w:rPr>
          <w:rFonts w:ascii="新宋体" w:hAnsi="新宋体" w:eastAsia="新宋体"/>
          <w:bCs/>
        </w:rPr>
        <w:t>③ 中标人应自觉遵守安全生产有关法律、法规及规章制度。</w:t>
      </w:r>
    </w:p>
    <w:p>
      <w:pPr>
        <w:widowControl/>
        <w:spacing w:line="360" w:lineRule="auto"/>
        <w:rPr>
          <w:rFonts w:hint="default" w:ascii="新宋体" w:hAnsi="新宋体" w:eastAsia="新宋体"/>
          <w:bCs/>
        </w:rPr>
      </w:pPr>
      <w:r>
        <w:rPr>
          <w:rFonts w:ascii="新宋体" w:hAnsi="新宋体" w:eastAsia="新宋体"/>
          <w:bCs/>
        </w:rPr>
        <w:t>④ 工作人员作业时注意安全，由于操作不规范等因素造成的安全责任事故，由中标人承担一切法律责任及赔偿。</w:t>
      </w:r>
    </w:p>
    <w:p>
      <w:pPr>
        <w:widowControl/>
        <w:spacing w:line="360" w:lineRule="auto"/>
        <w:rPr>
          <w:rFonts w:hint="default" w:ascii="新宋体" w:hAnsi="新宋体" w:eastAsia="新宋体"/>
          <w:bCs/>
        </w:rPr>
      </w:pPr>
      <w:r>
        <w:rPr>
          <w:rFonts w:ascii="新宋体" w:hAnsi="新宋体" w:eastAsia="新宋体"/>
          <w:bCs/>
        </w:rPr>
        <w:t>⑤ 中标人在合同期内若做到安全生产无事故，合同期满时，采购人返还履约保证金。若中标人在履约期内发生安全责任事故的，所有损失及赔偿由中标人自行承担，采购人还可视情况扣留全部或部分履约保证金。</w:t>
      </w:r>
    </w:p>
    <w:p>
      <w:pPr>
        <w:rPr>
          <w:rFonts w:hint="default"/>
        </w:rPr>
      </w:pPr>
      <w:r>
        <w:rPr>
          <w:b/>
          <w:bCs/>
        </w:rPr>
        <w:t>第八条 其他要求</w:t>
      </w:r>
    </w:p>
    <w:p>
      <w:pPr>
        <w:pStyle w:val="2"/>
        <w:widowControl/>
        <w:spacing w:after="0" w:line="360" w:lineRule="auto"/>
        <w:ind w:left="0" w:leftChars="0"/>
        <w:rPr>
          <w:rFonts w:hint="default" w:ascii="Arial" w:hAnsi="宋体" w:cs="Arial"/>
        </w:rPr>
      </w:pPr>
      <w:r>
        <w:rPr>
          <w:rFonts w:ascii="Arial" w:hAnsi="宋体" w:cs="Arial"/>
        </w:rPr>
        <w:t>① 响应时间：接到采购人通知后在</w:t>
      </w:r>
      <w:r>
        <w:rPr>
          <w:rFonts w:hint="eastAsia" w:ascii="Arial" w:hAnsi="宋体" w:cs="Arial"/>
          <w:lang w:val="en-US" w:eastAsia="zh-CN"/>
        </w:rPr>
        <w:t>壹</w:t>
      </w:r>
      <w:r>
        <w:rPr>
          <w:rFonts w:ascii="Arial" w:hAnsi="宋体" w:cs="Arial"/>
        </w:rPr>
        <w:t>小时内作出响应，并在指定时间达到指定地点；</w:t>
      </w:r>
    </w:p>
    <w:p>
      <w:pPr>
        <w:pStyle w:val="2"/>
        <w:widowControl/>
        <w:spacing w:after="0" w:line="360" w:lineRule="auto"/>
        <w:ind w:left="0" w:leftChars="0"/>
        <w:rPr>
          <w:rFonts w:hint="default" w:ascii="Arial" w:hAnsi="宋体" w:cs="Arial"/>
        </w:rPr>
      </w:pPr>
      <w:r>
        <w:rPr>
          <w:rFonts w:ascii="Arial" w:hAnsi="宋体" w:cs="Arial"/>
        </w:rPr>
        <w:t>② 签到</w:t>
      </w:r>
      <w:r>
        <w:fldChar w:fldCharType="begin"/>
      </w:r>
      <w:r>
        <w:instrText xml:space="preserve"> HYPERLINK "http://www.ahsrst.cn/a/xinchouzhidu/" \t "http://www.ahsrst.cn/a/201601/_blank" </w:instrText>
      </w:r>
      <w:r>
        <w:fldChar w:fldCharType="separate"/>
      </w:r>
      <w:r>
        <w:rPr>
          <w:rFonts w:ascii="Arial" w:hAnsi="宋体" w:cs="Arial"/>
        </w:rPr>
        <w:t>制度</w:t>
      </w:r>
      <w:r>
        <w:rPr>
          <w:rFonts w:ascii="Arial" w:hAnsi="宋体" w:cs="Arial"/>
        </w:rPr>
        <w:fldChar w:fldCharType="end"/>
      </w:r>
      <w:r>
        <w:rPr>
          <w:rFonts w:ascii="Arial" w:hAnsi="宋体" w:cs="Arial"/>
        </w:rPr>
        <w:t>：本项目所需服务人员须在指定时间前，达到指定地点并自觉签到，不许他人代签，由采购人相关人员记录备注。</w:t>
      </w:r>
    </w:p>
    <w:p>
      <w:pPr>
        <w:pStyle w:val="2"/>
        <w:widowControl/>
        <w:spacing w:after="0" w:line="360" w:lineRule="auto"/>
        <w:ind w:left="0" w:leftChars="0"/>
        <w:rPr>
          <w:rFonts w:hint="default" w:ascii="Arial" w:hAnsi="宋体" w:cs="Arial"/>
        </w:rPr>
      </w:pPr>
      <w:r>
        <w:rPr>
          <w:rFonts w:ascii="Arial" w:hAnsi="宋体" w:cs="Arial"/>
        </w:rPr>
        <w:t>③ 费用核对：每月服务结束，由成交供应商根据实际服务内容，按中标单价计算当月服务费用，并交由采购人核对。</w:t>
      </w:r>
    </w:p>
    <w:p>
      <w:pPr>
        <w:pStyle w:val="2"/>
        <w:widowControl/>
        <w:spacing w:after="0" w:line="360" w:lineRule="auto"/>
        <w:ind w:left="0" w:leftChars="0"/>
        <w:rPr>
          <w:rFonts w:hint="default" w:ascii="Arial" w:hAnsi="宋体" w:cs="Arial"/>
        </w:rPr>
      </w:pPr>
      <w:r>
        <w:t xml:space="preserve">④ </w:t>
      </w:r>
      <w:r>
        <w:rPr>
          <w:rFonts w:ascii="Arial" w:hAnsi="宋体" w:cs="Arial"/>
        </w:rPr>
        <w:t>成交供应商按有关规定采取严格的施工安全措施，承担由于自身安全措施不力造成的事故责任和因此发生的费用及后果，成交供应商服务人员的人身安全由成交供应商负责。成交供应商应为服务人员购买人身意外伤害险及与工程施工有关的一切保险。凡在施工过程中发生安全责任事故或其他责任事故，均由成交供应商承担责任。</w:t>
      </w:r>
    </w:p>
    <w:p>
      <w:pPr>
        <w:spacing w:line="360" w:lineRule="auto"/>
        <w:rPr>
          <w:rFonts w:hint="default"/>
          <w:b w:val="0"/>
          <w:bCs w:val="0"/>
        </w:rPr>
      </w:pPr>
      <w:r>
        <w:rPr>
          <w:b w:val="0"/>
          <w:bCs w:val="0"/>
        </w:rPr>
        <w:t>⑤ 使用交通工具时，将工人送至一处工作地点仅视为送达工人至基本工作岗位，不对交通工具进行计费，需提供两个或两个以上工作地点之间的交通服务方能开始计费。</w:t>
      </w:r>
    </w:p>
    <w:p>
      <w:pPr>
        <w:widowControl/>
        <w:spacing w:line="360" w:lineRule="auto"/>
        <w:rPr>
          <w:rFonts w:hint="default" w:ascii="新宋体" w:hAnsi="新宋体" w:eastAsia="新宋体"/>
          <w:b/>
        </w:rPr>
      </w:pPr>
      <w:r>
        <w:rPr>
          <w:rFonts w:ascii="新宋体" w:hAnsi="新宋体" w:eastAsia="新宋体"/>
          <w:b/>
        </w:rPr>
        <w:t xml:space="preserve">第九条  </w:t>
      </w:r>
      <w:bookmarkEnd w:id="348"/>
      <w:r>
        <w:rPr>
          <w:rFonts w:ascii="新宋体" w:hAnsi="新宋体" w:eastAsia="新宋体"/>
          <w:b/>
        </w:rPr>
        <w:t>考核</w:t>
      </w:r>
    </w:p>
    <w:p>
      <w:pPr>
        <w:widowControl/>
        <w:spacing w:line="360" w:lineRule="auto"/>
        <w:ind w:firstLine="420" w:firstLineChars="200"/>
        <w:rPr>
          <w:rFonts w:hint="default" w:ascii="宋体" w:hAnsi="宋体"/>
        </w:rPr>
      </w:pPr>
      <w:r>
        <w:rPr>
          <w:rFonts w:ascii="新宋体" w:hAnsi="新宋体" w:eastAsia="新宋体"/>
        </w:rPr>
        <w:t>甲方有权对乙方进行检查及考核，具体考核制度及方法另行制定。</w:t>
      </w:r>
    </w:p>
    <w:p>
      <w:pPr>
        <w:widowControl/>
        <w:spacing w:line="360" w:lineRule="auto"/>
        <w:rPr>
          <w:rFonts w:hint="default" w:ascii="新宋体" w:hAnsi="新宋体" w:eastAsia="新宋体"/>
          <w:b/>
        </w:rPr>
      </w:pPr>
      <w:bookmarkStart w:id="349" w:name="_Toc16211"/>
      <w:r>
        <w:rPr>
          <w:rFonts w:ascii="新宋体" w:hAnsi="新宋体" w:eastAsia="新宋体"/>
          <w:b/>
        </w:rPr>
        <w:t>第十条  合同组成</w:t>
      </w:r>
      <w:bookmarkEnd w:id="349"/>
    </w:p>
    <w:p>
      <w:pPr>
        <w:widowControl/>
        <w:spacing w:line="360" w:lineRule="auto"/>
        <w:ind w:firstLine="420"/>
        <w:rPr>
          <w:rFonts w:hint="default" w:ascii="新宋体" w:hAnsi="新宋体" w:eastAsia="新宋体"/>
        </w:rPr>
      </w:pPr>
      <w:r>
        <w:rPr>
          <w:rFonts w:ascii="新宋体" w:hAnsi="新宋体" w:eastAsia="新宋体"/>
        </w:rPr>
        <w:t>承包合同由《招标文件》、《投标文件》、承诺书及附件为本合同的有效组成部分。</w:t>
      </w:r>
    </w:p>
    <w:p>
      <w:pPr>
        <w:widowControl/>
        <w:spacing w:line="360" w:lineRule="auto"/>
        <w:rPr>
          <w:rFonts w:hint="default" w:ascii="新宋体" w:hAnsi="新宋体" w:eastAsia="新宋体"/>
          <w:b/>
        </w:rPr>
      </w:pPr>
      <w:bookmarkStart w:id="350" w:name="_Toc9173"/>
      <w:r>
        <w:rPr>
          <w:rFonts w:ascii="新宋体" w:hAnsi="新宋体" w:eastAsia="新宋体"/>
          <w:b/>
        </w:rPr>
        <w:t>第十一条  违约责任</w:t>
      </w:r>
      <w:bookmarkEnd w:id="350"/>
    </w:p>
    <w:p>
      <w:pPr>
        <w:widowControl/>
        <w:spacing w:line="360" w:lineRule="auto"/>
        <w:rPr>
          <w:rFonts w:hint="default" w:ascii="新宋体" w:hAnsi="新宋体" w:eastAsia="新宋体"/>
        </w:rPr>
      </w:pPr>
      <w:r>
        <w:rPr>
          <w:rFonts w:ascii="新宋体" w:hAnsi="新宋体" w:eastAsia="新宋体"/>
        </w:rPr>
        <w:t>① 乙方有下列行为将作为违约：</w:t>
      </w:r>
    </w:p>
    <w:p>
      <w:pPr>
        <w:widowControl/>
        <w:spacing w:line="360" w:lineRule="auto"/>
        <w:rPr>
          <w:rFonts w:hint="default" w:ascii="新宋体" w:hAnsi="新宋体" w:eastAsia="新宋体"/>
        </w:rPr>
      </w:pPr>
      <w:r>
        <w:rPr>
          <w:rFonts w:ascii="新宋体" w:hAnsi="新宋体" w:eastAsia="新宋体"/>
        </w:rPr>
        <w:t>⑴ 不履行合同条款或只履行部分合同条款，或拒绝履行合同义务。</w:t>
      </w:r>
    </w:p>
    <w:p>
      <w:pPr>
        <w:widowControl/>
        <w:spacing w:line="360" w:lineRule="auto"/>
        <w:rPr>
          <w:rFonts w:hint="default" w:ascii="新宋体" w:hAnsi="新宋体" w:eastAsia="新宋体"/>
        </w:rPr>
      </w:pPr>
      <w:r>
        <w:rPr>
          <w:rFonts w:ascii="新宋体" w:hAnsi="新宋体" w:eastAsia="新宋体"/>
        </w:rPr>
        <w:t>⑵ 不履行售后服务承诺及相关的伴随服务。</w:t>
      </w:r>
    </w:p>
    <w:p>
      <w:pPr>
        <w:widowControl/>
        <w:spacing w:line="360" w:lineRule="auto"/>
        <w:rPr>
          <w:rFonts w:hint="default" w:ascii="新宋体" w:hAnsi="新宋体" w:eastAsia="新宋体"/>
        </w:rPr>
      </w:pPr>
      <w:r>
        <w:rPr>
          <w:rFonts w:ascii="新宋体" w:hAnsi="新宋体" w:eastAsia="新宋体"/>
        </w:rPr>
        <w:t>⑶ 违反政府采购法和国家其他的相关法律法规。</w:t>
      </w:r>
    </w:p>
    <w:p>
      <w:pPr>
        <w:widowControl/>
        <w:spacing w:line="360" w:lineRule="auto"/>
        <w:rPr>
          <w:rFonts w:hint="default" w:ascii="新宋体" w:hAnsi="新宋体" w:eastAsia="新宋体"/>
        </w:rPr>
      </w:pPr>
      <w:r>
        <w:rPr>
          <w:rFonts w:ascii="新宋体" w:hAnsi="新宋体" w:eastAsia="新宋体"/>
        </w:rPr>
        <w:t>② 甲方有下列行为将作为违约：</w:t>
      </w:r>
    </w:p>
    <w:p>
      <w:pPr>
        <w:widowControl/>
        <w:spacing w:line="360" w:lineRule="auto"/>
        <w:rPr>
          <w:rFonts w:hint="default" w:ascii="新宋体" w:hAnsi="新宋体" w:eastAsia="新宋体"/>
        </w:rPr>
      </w:pPr>
      <w:r>
        <w:rPr>
          <w:rFonts w:ascii="新宋体" w:hAnsi="新宋体" w:eastAsia="新宋体"/>
        </w:rPr>
        <w:t>⑴ 无正当理由逾期支付款项的。</w:t>
      </w:r>
    </w:p>
    <w:p>
      <w:pPr>
        <w:widowControl/>
        <w:spacing w:line="360" w:lineRule="auto"/>
        <w:rPr>
          <w:rFonts w:hint="default" w:ascii="新宋体" w:hAnsi="新宋体" w:eastAsia="新宋体"/>
        </w:rPr>
      </w:pPr>
      <w:r>
        <w:rPr>
          <w:rFonts w:ascii="新宋体" w:hAnsi="新宋体" w:eastAsia="新宋体"/>
        </w:rPr>
        <w:t>⑵ 违反政府采购法和国家其他的相关法律法规。</w:t>
      </w:r>
    </w:p>
    <w:p>
      <w:pPr>
        <w:spacing w:line="360" w:lineRule="auto"/>
        <w:ind w:firstLine="420" w:firstLineChars="200"/>
        <w:rPr>
          <w:rFonts w:hint="default"/>
        </w:rPr>
      </w:pPr>
      <w:r>
        <w:rPr>
          <w:lang w:val="zh-CN"/>
        </w:rPr>
        <w:t>甲乙双方应当履行合同约定的义务，如有违反，须承担相应的违约责任。</w:t>
      </w:r>
    </w:p>
    <w:p>
      <w:pPr>
        <w:widowControl/>
        <w:spacing w:line="360" w:lineRule="auto"/>
        <w:rPr>
          <w:rFonts w:hint="default" w:ascii="新宋体" w:hAnsi="新宋体" w:eastAsia="新宋体"/>
          <w:b/>
        </w:rPr>
      </w:pPr>
      <w:bookmarkStart w:id="351" w:name="_Toc24527"/>
      <w:r>
        <w:rPr>
          <w:rFonts w:ascii="新宋体" w:hAnsi="新宋体" w:eastAsia="新宋体"/>
          <w:b/>
        </w:rPr>
        <w:t>第十二条  争议的解决</w:t>
      </w:r>
      <w:bookmarkEnd w:id="351"/>
    </w:p>
    <w:p>
      <w:pPr>
        <w:widowControl/>
        <w:spacing w:line="360" w:lineRule="auto"/>
        <w:ind w:firstLine="420"/>
        <w:rPr>
          <w:rFonts w:hint="default" w:ascii="新宋体" w:hAnsi="新宋体" w:eastAsia="新宋体"/>
          <w:color w:val="auto"/>
        </w:rPr>
      </w:pPr>
      <w:r>
        <w:rPr>
          <w:rFonts w:ascii="新宋体" w:hAnsi="新宋体" w:eastAsia="新宋体"/>
        </w:rPr>
        <w:t>合同未尽事宜，应双方友好协调解决。协商不一致，任何一方均可</w:t>
      </w:r>
      <w:r>
        <w:rPr>
          <w:rFonts w:ascii="新宋体" w:hAnsi="新宋体" w:eastAsia="新宋体"/>
          <w:color w:val="auto"/>
        </w:rPr>
        <w:t>向瑞安市人民法院提起诉讼。</w:t>
      </w:r>
    </w:p>
    <w:p>
      <w:pPr>
        <w:spacing w:line="360" w:lineRule="auto"/>
        <w:rPr>
          <w:rFonts w:hint="default"/>
        </w:rPr>
      </w:pPr>
      <w:bookmarkStart w:id="352" w:name="_Toc29477"/>
      <w:bookmarkStart w:id="353" w:name="_Toc21196"/>
      <w:r>
        <w:rPr>
          <w:b/>
          <w:bCs/>
        </w:rPr>
        <w:t>第十三条  不可抗力</w:t>
      </w:r>
      <w:bookmarkEnd w:id="352"/>
    </w:p>
    <w:p>
      <w:pPr>
        <w:widowControl/>
        <w:spacing w:line="360" w:lineRule="auto"/>
        <w:rPr>
          <w:rFonts w:hint="default" w:ascii="新宋体" w:hAnsi="新宋体" w:eastAsia="新宋体"/>
        </w:rPr>
      </w:pPr>
      <w:r>
        <w:rPr>
          <w:rFonts w:ascii="新宋体" w:hAnsi="新宋体" w:eastAsia="新宋体"/>
        </w:rPr>
        <w:t>① 不可抗力事故系指甲乙双方在缔结合同时所不能预见的，并且它的发生及其后果无法避免和无法克服的事故。</w:t>
      </w:r>
    </w:p>
    <w:p>
      <w:pPr>
        <w:widowControl/>
        <w:spacing w:line="360" w:lineRule="auto"/>
        <w:rPr>
          <w:rFonts w:hint="default" w:ascii="新宋体" w:hAnsi="新宋体" w:eastAsia="新宋体"/>
        </w:rPr>
      </w:pPr>
      <w:r>
        <w:rPr>
          <w:rFonts w:ascii="新宋体" w:hAnsi="新宋体" w:eastAsia="新宋体"/>
        </w:rPr>
        <w:t>② 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widowControl/>
        <w:spacing w:line="360" w:lineRule="auto"/>
        <w:rPr>
          <w:rFonts w:hint="default" w:ascii="新宋体" w:hAnsi="新宋体" w:eastAsia="新宋体"/>
          <w:b/>
        </w:rPr>
      </w:pPr>
      <w:r>
        <w:rPr>
          <w:rFonts w:ascii="新宋体" w:hAnsi="新宋体" w:eastAsia="新宋体"/>
          <w:b/>
        </w:rPr>
        <w:t>第十四条  合同生效及终止</w:t>
      </w:r>
      <w:bookmarkEnd w:id="353"/>
    </w:p>
    <w:p>
      <w:pPr>
        <w:widowControl/>
        <w:spacing w:line="360" w:lineRule="auto"/>
        <w:rPr>
          <w:rFonts w:hint="default" w:ascii="新宋体" w:hAnsi="新宋体" w:eastAsia="新宋体"/>
        </w:rPr>
      </w:pPr>
      <w:r>
        <w:rPr>
          <w:rFonts w:ascii="新宋体" w:hAnsi="新宋体" w:eastAsia="新宋体"/>
        </w:rPr>
        <w:t>（一）合同生效：本合同自甲乙双方全权代表人签字、盖章之日起生效。</w:t>
      </w:r>
    </w:p>
    <w:p>
      <w:pPr>
        <w:widowControl/>
        <w:spacing w:line="360" w:lineRule="auto"/>
        <w:rPr>
          <w:rFonts w:hint="default" w:ascii="新宋体" w:hAnsi="新宋体" w:eastAsia="新宋体"/>
        </w:rPr>
      </w:pPr>
      <w:bookmarkStart w:id="354" w:name="_Toc6855"/>
      <w:r>
        <w:rPr>
          <w:rFonts w:ascii="新宋体" w:hAnsi="新宋体" w:eastAsia="新宋体"/>
        </w:rPr>
        <w:t>（二）合同终止：本合同出现以下情况时终止。</w:t>
      </w:r>
      <w:bookmarkEnd w:id="354"/>
    </w:p>
    <w:p>
      <w:pPr>
        <w:widowControl/>
        <w:spacing w:line="360" w:lineRule="auto"/>
        <w:rPr>
          <w:rFonts w:hint="default" w:ascii="新宋体" w:hAnsi="新宋体" w:eastAsia="新宋体"/>
        </w:rPr>
      </w:pPr>
      <w:r>
        <w:rPr>
          <w:rFonts w:ascii="新宋体" w:hAnsi="新宋体" w:eastAsia="新宋体"/>
        </w:rPr>
        <w:t>1、期限届满时自行终止。</w:t>
      </w:r>
    </w:p>
    <w:p>
      <w:pPr>
        <w:widowControl/>
        <w:spacing w:line="360" w:lineRule="auto"/>
        <w:rPr>
          <w:rFonts w:hint="default" w:ascii="新宋体" w:hAnsi="新宋体" w:eastAsia="新宋体"/>
        </w:rPr>
      </w:pPr>
      <w:r>
        <w:rPr>
          <w:rFonts w:ascii="新宋体" w:hAnsi="新宋体" w:eastAsia="新宋体"/>
        </w:rPr>
        <w:t>2、有以下行为之一的：</w:t>
      </w:r>
    </w:p>
    <w:p>
      <w:pPr>
        <w:widowControl/>
        <w:spacing w:line="360" w:lineRule="auto"/>
        <w:rPr>
          <w:rFonts w:hint="default" w:ascii="新宋体" w:hAnsi="新宋体" w:eastAsia="新宋体"/>
        </w:rPr>
      </w:pPr>
      <w:r>
        <w:rPr>
          <w:rFonts w:ascii="新宋体" w:hAnsi="新宋体" w:eastAsia="新宋体"/>
        </w:rPr>
        <w:t>（1）违反管理规定，造成重大伤亡或重大损失。</w:t>
      </w:r>
    </w:p>
    <w:p>
      <w:pPr>
        <w:widowControl/>
        <w:spacing w:line="360" w:lineRule="auto"/>
        <w:rPr>
          <w:rFonts w:hint="default" w:ascii="新宋体" w:hAnsi="新宋体" w:eastAsia="新宋体"/>
        </w:rPr>
      </w:pPr>
      <w:r>
        <w:rPr>
          <w:rFonts w:ascii="新宋体" w:hAnsi="新宋体" w:eastAsia="新宋体"/>
        </w:rPr>
        <w:t>（2）因管理不善造成恶劣影响。</w:t>
      </w:r>
    </w:p>
    <w:p>
      <w:pPr>
        <w:widowControl/>
        <w:spacing w:line="360" w:lineRule="auto"/>
        <w:rPr>
          <w:rFonts w:hint="default" w:ascii="新宋体" w:hAnsi="新宋体" w:eastAsia="新宋体"/>
        </w:rPr>
      </w:pPr>
      <w:r>
        <w:rPr>
          <w:rFonts w:ascii="新宋体" w:hAnsi="新宋体" w:eastAsia="新宋体"/>
        </w:rPr>
        <w:t>（3）擅自将合同转包给第三者。</w:t>
      </w:r>
    </w:p>
    <w:p>
      <w:pPr>
        <w:widowControl/>
        <w:spacing w:line="360" w:lineRule="auto"/>
        <w:rPr>
          <w:rFonts w:hint="default" w:ascii="新宋体" w:hAnsi="新宋体" w:eastAsia="新宋体"/>
        </w:rPr>
      </w:pPr>
      <w:r>
        <w:rPr>
          <w:rFonts w:ascii="新宋体" w:hAnsi="新宋体" w:eastAsia="新宋体"/>
        </w:rPr>
        <w:t>（4）违反劳动法或其他相关法律法规，造成恶劣影响。</w:t>
      </w:r>
    </w:p>
    <w:p>
      <w:pPr>
        <w:widowControl/>
        <w:spacing w:line="360" w:lineRule="auto"/>
        <w:rPr>
          <w:rFonts w:hint="default" w:ascii="新宋体" w:hAnsi="新宋体" w:eastAsia="新宋体"/>
        </w:rPr>
      </w:pPr>
      <w:r>
        <w:rPr>
          <w:rFonts w:ascii="新宋体" w:hAnsi="新宋体" w:eastAsia="新宋体"/>
        </w:rPr>
        <w:t>（5）弄虚作假及其他不正当行为。</w:t>
      </w:r>
    </w:p>
    <w:p>
      <w:pPr>
        <w:widowControl/>
        <w:spacing w:line="360" w:lineRule="auto"/>
        <w:rPr>
          <w:rFonts w:hint="default" w:ascii="新宋体" w:hAnsi="新宋体" w:eastAsia="新宋体"/>
        </w:rPr>
      </w:pPr>
      <w:r>
        <w:rPr>
          <w:rFonts w:ascii="新宋体" w:hAnsi="新宋体" w:eastAsia="新宋体"/>
        </w:rPr>
        <w:t>3、</w:t>
      </w:r>
      <w:r>
        <w:rPr>
          <w:rFonts w:ascii="宋体" w:hAnsi="宋体"/>
        </w:rPr>
        <w:t>如上述文件与本合同有不符之处，以有利于甲方的为准。</w:t>
      </w:r>
    </w:p>
    <w:p>
      <w:pPr>
        <w:widowControl/>
        <w:spacing w:line="360" w:lineRule="auto"/>
        <w:rPr>
          <w:rFonts w:hint="default" w:ascii="新宋体" w:hAnsi="新宋体" w:eastAsia="新宋体"/>
        </w:rPr>
      </w:pPr>
      <w:r>
        <w:rPr>
          <w:rFonts w:ascii="新宋体" w:hAnsi="新宋体" w:eastAsia="新宋体"/>
        </w:rPr>
        <w:t>4、法律规定的终止事由。</w:t>
      </w:r>
    </w:p>
    <w:p>
      <w:pPr>
        <w:widowControl/>
        <w:spacing w:line="360" w:lineRule="auto"/>
        <w:rPr>
          <w:rFonts w:hint="default" w:ascii="新宋体" w:hAnsi="新宋体" w:eastAsia="新宋体"/>
          <w:b/>
        </w:rPr>
      </w:pPr>
      <w:bookmarkStart w:id="355" w:name="_Toc24301"/>
      <w:r>
        <w:rPr>
          <w:rFonts w:ascii="新宋体" w:hAnsi="新宋体" w:eastAsia="新宋体"/>
          <w:b/>
        </w:rPr>
        <w:t>第十五条  争议及仲裁</w:t>
      </w:r>
    </w:p>
    <w:p>
      <w:pPr>
        <w:widowControl/>
        <w:spacing w:line="360" w:lineRule="auto"/>
        <w:rPr>
          <w:rFonts w:hint="default" w:ascii="新宋体" w:hAnsi="新宋体" w:eastAsia="新宋体"/>
          <w:bCs/>
        </w:rPr>
      </w:pPr>
      <w:r>
        <w:rPr>
          <w:rFonts w:ascii="新宋体" w:hAnsi="新宋体" w:eastAsia="新宋体"/>
          <w:bCs/>
        </w:rPr>
        <w:t>① 在本合同履行过程中发生争议，双方应当协商解决。双方不愿协商、调解解决或者协商、调解不成</w:t>
      </w:r>
      <w:r>
        <w:rPr>
          <w:rFonts w:ascii="新宋体" w:hAnsi="新宋体" w:eastAsia="新宋体"/>
          <w:bCs/>
          <w:color w:val="auto"/>
        </w:rPr>
        <w:t>的，可向瑞安市人民法院提起诉讼。</w:t>
      </w:r>
    </w:p>
    <w:p>
      <w:pPr>
        <w:widowControl/>
        <w:spacing w:line="360" w:lineRule="auto"/>
        <w:rPr>
          <w:rFonts w:hint="default" w:ascii="新宋体" w:hAnsi="新宋体" w:eastAsia="新宋体"/>
          <w:b/>
        </w:rPr>
      </w:pPr>
      <w:r>
        <w:rPr>
          <w:rFonts w:ascii="新宋体" w:hAnsi="新宋体" w:eastAsia="新宋体"/>
          <w:bCs/>
        </w:rPr>
        <w:t>② 在仲裁或诉讼期间，除正在进行仲裁或诉讼的部分外，本合同其他部分应继续执行。</w:t>
      </w:r>
    </w:p>
    <w:p>
      <w:pPr>
        <w:widowControl/>
        <w:spacing w:line="360" w:lineRule="auto"/>
        <w:rPr>
          <w:rFonts w:hint="default" w:ascii="新宋体" w:hAnsi="新宋体" w:eastAsia="新宋体"/>
          <w:b/>
        </w:rPr>
      </w:pPr>
      <w:r>
        <w:rPr>
          <w:rFonts w:ascii="新宋体" w:hAnsi="新宋体" w:eastAsia="新宋体"/>
          <w:b/>
        </w:rPr>
        <w:t>第十六条  合同修改</w:t>
      </w:r>
    </w:p>
    <w:p>
      <w:pPr>
        <w:widowControl/>
        <w:spacing w:line="360" w:lineRule="auto"/>
        <w:rPr>
          <w:rFonts w:hint="default" w:ascii="新宋体" w:hAnsi="新宋体" w:eastAsia="新宋体"/>
          <w:bCs/>
        </w:rPr>
      </w:pPr>
      <w:r>
        <w:rPr>
          <w:rFonts w:ascii="新宋体" w:hAnsi="新宋体" w:eastAsia="新宋体"/>
          <w:bCs/>
        </w:rPr>
        <w:t>① 合同履行期内甲乙双方均不得随意变更或解除合同。合同若有未尽事宜，需经双方共同协商，订立补充协议，补充协议与本合同有同等法律效力。</w:t>
      </w:r>
    </w:p>
    <w:p>
      <w:pPr>
        <w:widowControl/>
        <w:spacing w:line="360" w:lineRule="auto"/>
        <w:rPr>
          <w:rFonts w:hint="default" w:ascii="新宋体" w:hAnsi="新宋体" w:eastAsia="新宋体"/>
          <w:bCs/>
        </w:rPr>
      </w:pPr>
      <w:r>
        <w:rPr>
          <w:rFonts w:ascii="新宋体" w:hAnsi="新宋体" w:eastAsia="新宋体"/>
          <w:bCs/>
        </w:rPr>
        <w:t>② 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widowControl/>
        <w:spacing w:line="360" w:lineRule="auto"/>
        <w:rPr>
          <w:rFonts w:hint="default" w:ascii="新宋体" w:hAnsi="新宋体" w:eastAsia="新宋体"/>
          <w:b/>
        </w:rPr>
      </w:pPr>
      <w:r>
        <w:rPr>
          <w:rFonts w:ascii="新宋体" w:hAnsi="新宋体" w:eastAsia="新宋体"/>
          <w:b/>
        </w:rPr>
        <w:t>第十七条  合同的解释</w:t>
      </w:r>
      <w:bookmarkEnd w:id="355"/>
    </w:p>
    <w:p>
      <w:pPr>
        <w:widowControl/>
        <w:spacing w:line="360" w:lineRule="auto"/>
        <w:ind w:firstLine="420" w:firstLineChars="200"/>
        <w:rPr>
          <w:rFonts w:hint="default" w:ascii="新宋体" w:hAnsi="新宋体" w:eastAsia="新宋体"/>
        </w:rPr>
      </w:pPr>
      <w:r>
        <w:rPr>
          <w:rFonts w:ascii="新宋体" w:hAnsi="新宋体" w:eastAsia="新宋体"/>
        </w:rPr>
        <w:t>本合同的解释权在甲方</w:t>
      </w:r>
      <w:r>
        <w:rPr>
          <w:rFonts w:ascii="新宋体" w:hAnsi="新宋体" w:eastAsia="新宋体"/>
          <w:sz w:val="22"/>
        </w:rPr>
        <w:t>。</w:t>
      </w:r>
      <w:r>
        <w:rPr>
          <w:rFonts w:ascii="新宋体" w:hAnsi="新宋体" w:eastAsia="新宋体"/>
        </w:rPr>
        <w:t xml:space="preserve">         </w:t>
      </w:r>
    </w:p>
    <w:p>
      <w:pPr>
        <w:widowControl/>
        <w:spacing w:line="360" w:lineRule="auto"/>
        <w:rPr>
          <w:rFonts w:hint="default" w:ascii="新宋体" w:hAnsi="新宋体" w:eastAsia="新宋体"/>
          <w:b/>
        </w:rPr>
      </w:pPr>
      <w:bookmarkStart w:id="356" w:name="_Toc359"/>
      <w:r>
        <w:rPr>
          <w:rFonts w:ascii="新宋体" w:hAnsi="新宋体" w:eastAsia="新宋体"/>
          <w:b/>
        </w:rPr>
        <w:t>第十八条  合同的份数</w:t>
      </w:r>
      <w:bookmarkEnd w:id="356"/>
    </w:p>
    <w:p>
      <w:pPr>
        <w:pStyle w:val="32"/>
        <w:widowControl/>
        <w:snapToGrid w:val="0"/>
        <w:spacing w:line="360" w:lineRule="auto"/>
        <w:rPr>
          <w:rFonts w:hint="default" w:ascii="宋体" w:hAnsi="宋体"/>
        </w:rPr>
      </w:pPr>
      <w:r>
        <w:rPr>
          <w:rFonts w:ascii="宋体" w:hAnsi="宋体"/>
        </w:rPr>
        <w:t>本合同一式伍份，双方各执贰份，代理机构执壹份，每份具有同等法律效力，自双方签字盖章后生效。</w:t>
      </w:r>
    </w:p>
    <w:p>
      <w:pPr>
        <w:pStyle w:val="32"/>
        <w:widowControl/>
        <w:snapToGrid w:val="0"/>
        <w:spacing w:line="360" w:lineRule="auto"/>
        <w:ind w:firstLine="0" w:firstLineChars="0"/>
        <w:jc w:val="left"/>
        <w:rPr>
          <w:rFonts w:hint="default" w:ascii="宋体" w:hAnsi="宋体"/>
        </w:rPr>
      </w:pPr>
      <w:r>
        <w:rPr>
          <w:rFonts w:ascii="宋体" w:hAnsi="宋体"/>
        </w:rPr>
        <w:t>甲    方：（印章）                    乙    方：（印章）</w:t>
      </w:r>
    </w:p>
    <w:p>
      <w:pPr>
        <w:pStyle w:val="32"/>
        <w:widowControl/>
        <w:snapToGrid w:val="0"/>
        <w:spacing w:line="360" w:lineRule="auto"/>
        <w:ind w:firstLine="0" w:firstLineChars="0"/>
        <w:jc w:val="left"/>
        <w:rPr>
          <w:rFonts w:hint="default" w:ascii="宋体" w:hAnsi="宋体"/>
          <w:color w:val="auto"/>
        </w:rPr>
      </w:pPr>
      <w:r>
        <w:rPr>
          <w:rFonts w:ascii="宋体" w:hAnsi="宋体"/>
          <w:color w:val="auto"/>
        </w:rPr>
        <w:t>法定代表人：（签字）                  法定代表人：（签字）</w:t>
      </w:r>
    </w:p>
    <w:p>
      <w:pPr>
        <w:pStyle w:val="32"/>
        <w:widowControl/>
        <w:snapToGrid w:val="0"/>
        <w:spacing w:line="360" w:lineRule="auto"/>
        <w:ind w:firstLine="0" w:firstLineChars="0"/>
        <w:jc w:val="left"/>
        <w:rPr>
          <w:rFonts w:hint="default" w:ascii="宋体" w:hAnsi="宋体"/>
        </w:rPr>
      </w:pPr>
      <w:r>
        <w:rPr>
          <w:rFonts w:ascii="宋体" w:hAnsi="宋体"/>
        </w:rPr>
        <w:t>地    址：                           地    址：</w:t>
      </w:r>
    </w:p>
    <w:p>
      <w:pPr>
        <w:pStyle w:val="32"/>
        <w:widowControl/>
        <w:snapToGrid w:val="0"/>
        <w:spacing w:line="360" w:lineRule="auto"/>
        <w:ind w:firstLine="0" w:firstLineChars="0"/>
        <w:jc w:val="left"/>
        <w:rPr>
          <w:rFonts w:hint="default" w:ascii="宋体" w:hAnsi="宋体"/>
        </w:rPr>
      </w:pPr>
      <w:r>
        <w:rPr>
          <w:rFonts w:ascii="宋体" w:hAnsi="宋体"/>
        </w:rPr>
        <w:t>邮政编码：                           邮政编码：</w:t>
      </w:r>
    </w:p>
    <w:p>
      <w:pPr>
        <w:pStyle w:val="32"/>
        <w:widowControl/>
        <w:snapToGrid w:val="0"/>
        <w:spacing w:line="360" w:lineRule="auto"/>
        <w:ind w:firstLine="0" w:firstLineChars="0"/>
        <w:jc w:val="left"/>
        <w:rPr>
          <w:rFonts w:hint="default" w:ascii="宋体" w:hAnsi="宋体"/>
        </w:rPr>
      </w:pPr>
      <w:r>
        <w:rPr>
          <w:rFonts w:ascii="宋体" w:hAnsi="宋体"/>
        </w:rPr>
        <w:t>电    话：                           电    话：</w:t>
      </w:r>
    </w:p>
    <w:p>
      <w:pPr>
        <w:pStyle w:val="32"/>
        <w:widowControl/>
        <w:snapToGrid w:val="0"/>
        <w:spacing w:line="360" w:lineRule="auto"/>
        <w:ind w:firstLine="0" w:firstLineChars="0"/>
        <w:jc w:val="left"/>
        <w:rPr>
          <w:rFonts w:hint="default" w:ascii="宋体" w:hAnsi="宋体"/>
        </w:rPr>
      </w:pPr>
      <w:r>
        <w:rPr>
          <w:rFonts w:ascii="宋体" w:hAnsi="宋体"/>
        </w:rPr>
        <w:t>开户银行：                           开户银行：</w:t>
      </w:r>
    </w:p>
    <w:p>
      <w:pPr>
        <w:pStyle w:val="32"/>
        <w:widowControl/>
        <w:snapToGrid w:val="0"/>
        <w:spacing w:line="360" w:lineRule="auto"/>
        <w:ind w:firstLine="0" w:firstLineChars="0"/>
        <w:jc w:val="left"/>
        <w:rPr>
          <w:rFonts w:hint="default" w:ascii="宋体" w:hAnsi="宋体"/>
        </w:rPr>
      </w:pPr>
      <w:r>
        <w:rPr>
          <w:rFonts w:ascii="宋体" w:hAnsi="宋体"/>
        </w:rPr>
        <w:t>帐    号：                           帐    号：</w:t>
      </w:r>
    </w:p>
    <w:p>
      <w:pPr>
        <w:pStyle w:val="32"/>
        <w:widowControl/>
        <w:snapToGrid w:val="0"/>
        <w:spacing w:line="360" w:lineRule="auto"/>
        <w:ind w:firstLine="0" w:firstLineChars="0"/>
        <w:jc w:val="left"/>
        <w:rPr>
          <w:rFonts w:hint="default" w:ascii="宋体" w:hAnsi="宋体"/>
        </w:rPr>
      </w:pPr>
      <w:r>
        <w:rPr>
          <w:rFonts w:ascii="宋体" w:hAnsi="宋体"/>
        </w:rPr>
        <w:t>签约时间：                           签约时间：</w:t>
      </w:r>
    </w:p>
    <w:p>
      <w:pPr>
        <w:widowControl/>
        <w:spacing w:line="360" w:lineRule="auto"/>
        <w:rPr>
          <w:rFonts w:hint="default" w:ascii="宋体" w:hAnsi="宋体"/>
          <w:b/>
          <w:bCs/>
          <w:sz w:val="28"/>
        </w:rPr>
      </w:pPr>
      <w:r>
        <w:rPr>
          <w:rFonts w:ascii="宋体" w:hAnsi="宋体"/>
          <w:b/>
        </w:rPr>
        <w:t>注：本合同作为示范文本，具体以成交供应商与采购人所签定正式合同为准。</w:t>
      </w:r>
    </w:p>
    <w:p>
      <w:pPr>
        <w:adjustRightInd w:val="0"/>
        <w:snapToGrid w:val="0"/>
        <w:spacing w:line="460" w:lineRule="exact"/>
        <w:rPr>
          <w:rFonts w:hint="default" w:ascii="宋体" w:hAnsi="宋体"/>
          <w:b/>
          <w:sz w:val="24"/>
          <w:szCs w:val="24"/>
        </w:rPr>
      </w:pPr>
      <w:r>
        <w:rPr>
          <w:rFonts w:ascii="宋体" w:hAnsi="宋体"/>
          <w:b/>
          <w:sz w:val="24"/>
          <w:szCs w:val="24"/>
        </w:rPr>
        <w:t>附件:</w:t>
      </w:r>
    </w:p>
    <w:p>
      <w:pPr>
        <w:snapToGrid w:val="0"/>
        <w:spacing w:before="156" w:beforeLines="50" w:after="156" w:afterLines="50"/>
        <w:jc w:val="center"/>
        <w:rPr>
          <w:rFonts w:hint="default" w:eastAsia="黑体"/>
          <w:sz w:val="30"/>
          <w:szCs w:val="30"/>
        </w:rPr>
      </w:pPr>
      <w:r>
        <mc:AlternateContent>
          <mc:Choice Requires="wps">
            <w:drawing>
              <wp:anchor distT="0" distB="0" distL="114300" distR="114300" simplePos="0" relativeHeight="251660288" behindDoc="0" locked="0" layoutInCell="1" allowOverlap="1">
                <wp:simplePos x="0" y="0"/>
                <wp:positionH relativeFrom="column">
                  <wp:posOffset>4640580</wp:posOffset>
                </wp:positionH>
                <wp:positionV relativeFrom="paragraph">
                  <wp:posOffset>78740</wp:posOffset>
                </wp:positionV>
                <wp:extent cx="1209675" cy="285115"/>
                <wp:effectExtent l="0" t="0" r="9525" b="635"/>
                <wp:wrapNone/>
                <wp:docPr id="1" name="文本框 1"/>
                <wp:cNvGraphicFramePr/>
                <a:graphic xmlns:a="http://schemas.openxmlformats.org/drawingml/2006/main">
                  <a:graphicData uri="http://schemas.microsoft.com/office/word/2010/wordprocessingShape">
                    <wps:wsp>
                      <wps:cNvSpPr txBox="1"/>
                      <wps:spPr>
                        <a:xfrm>
                          <a:off x="0" y="0"/>
                          <a:ext cx="1209675" cy="285115"/>
                        </a:xfrm>
                        <a:prstGeom prst="rect">
                          <a:avLst/>
                        </a:prstGeom>
                        <a:solidFill>
                          <a:srgbClr val="FFFFFF"/>
                        </a:solidFill>
                        <a:ln>
                          <a:noFill/>
                        </a:ln>
                      </wps:spPr>
                      <wps:txbx>
                        <w:txbxContent>
                          <w:p>
                            <w:pPr>
                              <w:spacing w:line="320" w:lineRule="exact"/>
                              <w:rPr>
                                <w:rFonts w:hint="default"/>
                              </w:rPr>
                            </w:pPr>
                            <w:r>
                              <w:rPr>
                                <w:rFonts w:eastAsia="黑体"/>
                                <w:sz w:val="24"/>
                              </w:rPr>
                              <w:t>NO：</w:t>
                            </w:r>
                          </w:p>
                        </w:txbxContent>
                      </wps:txbx>
                      <wps:bodyPr upright="1"/>
                    </wps:wsp>
                  </a:graphicData>
                </a:graphic>
              </wp:anchor>
            </w:drawing>
          </mc:Choice>
          <mc:Fallback>
            <w:pict>
              <v:shape id="_x0000_s1026" o:spid="_x0000_s1026" o:spt="202" type="#_x0000_t202" style="position:absolute;left:0pt;margin-left:365.4pt;margin-top:6.2pt;height:22.45pt;width:95.25pt;z-index:251660288;mso-width-relative:page;mso-height-relative:page;" fillcolor="#FFFFFF" filled="t" stroked="f" coordsize="21600,21600" o:gfxdata="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d5iq7XAAAACQEAAA8AAAAAAAAAAQAgAAAAIgAAAGRycy9kb3ducmV2LnhtbFBL&#10;AQIUABQAAAAIAIdO4kBBLRh1vgEAAHcDAAAOAAAAAAAAAAEAIAAAACYBAABkcnMvZTJvRG9jLnht&#10;bFBLBQYAAAAABgAGAFkBAABWBQAAAAA=&#10;">
                <v:fill on="t" focussize="0,0"/>
                <v:stroke on="f"/>
                <v:imagedata o:title=""/>
                <o:lock v:ext="edit" aspectratio="f"/>
                <v:textbox>
                  <w:txbxContent>
                    <w:p>
                      <w:pPr>
                        <w:spacing w:line="320" w:lineRule="exact"/>
                        <w:rPr>
                          <w:rFonts w:hint="default"/>
                        </w:rPr>
                      </w:pPr>
                      <w:r>
                        <w:rPr>
                          <w:rFonts w:eastAsia="黑体"/>
                          <w:sz w:val="24"/>
                        </w:rPr>
                        <w:t>NO：</w:t>
                      </w:r>
                    </w:p>
                  </w:txbxContent>
                </v:textbox>
              </v:shape>
            </w:pict>
          </mc:Fallback>
        </mc:AlternateContent>
      </w:r>
      <w:r>
        <w:rPr>
          <w:rFonts w:eastAsia="黑体"/>
          <w:sz w:val="30"/>
          <w:szCs w:val="30"/>
        </w:rPr>
        <w:t>瑞安市政府采购项目诚信评价反馈表</w:t>
      </w:r>
    </w:p>
    <w:tbl>
      <w:tblPr>
        <w:tblStyle w:val="2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301"/>
        <w:gridCol w:w="2824"/>
        <w:gridCol w:w="9"/>
        <w:gridCol w:w="159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1765" w:type="dxa"/>
            <w:gridSpan w:val="2"/>
            <w:vAlign w:val="center"/>
          </w:tcPr>
          <w:p>
            <w:pPr>
              <w:jc w:val="center"/>
              <w:rPr>
                <w:rFonts w:hint="default"/>
              </w:rPr>
            </w:pPr>
            <w:r>
              <w:t>采购人</w:t>
            </w:r>
          </w:p>
        </w:tc>
        <w:tc>
          <w:tcPr>
            <w:tcW w:w="2824" w:type="dxa"/>
            <w:vAlign w:val="center"/>
          </w:tcPr>
          <w:p>
            <w:pPr>
              <w:jc w:val="center"/>
              <w:rPr>
                <w:rFonts w:hint="default"/>
              </w:rPr>
            </w:pPr>
          </w:p>
        </w:tc>
        <w:tc>
          <w:tcPr>
            <w:tcW w:w="1607" w:type="dxa"/>
            <w:gridSpan w:val="2"/>
            <w:vAlign w:val="center"/>
          </w:tcPr>
          <w:p>
            <w:pPr>
              <w:jc w:val="center"/>
              <w:rPr>
                <w:rFonts w:hint="default"/>
              </w:rPr>
            </w:pPr>
            <w:r>
              <w:t>联系方式</w:t>
            </w:r>
          </w:p>
        </w:tc>
        <w:tc>
          <w:tcPr>
            <w:tcW w:w="3090" w:type="dxa"/>
            <w:vAlign w:val="center"/>
          </w:tcPr>
          <w:p>
            <w:pPr>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65" w:type="dxa"/>
            <w:gridSpan w:val="2"/>
            <w:vAlign w:val="center"/>
          </w:tcPr>
          <w:p>
            <w:pPr>
              <w:jc w:val="center"/>
              <w:rPr>
                <w:rFonts w:hint="default"/>
              </w:rPr>
            </w:pPr>
            <w:r>
              <w:t>项目名称</w:t>
            </w:r>
          </w:p>
        </w:tc>
        <w:tc>
          <w:tcPr>
            <w:tcW w:w="2824" w:type="dxa"/>
            <w:vAlign w:val="center"/>
          </w:tcPr>
          <w:p>
            <w:pPr>
              <w:jc w:val="center"/>
              <w:rPr>
                <w:rFonts w:hint="default"/>
              </w:rPr>
            </w:pPr>
          </w:p>
        </w:tc>
        <w:tc>
          <w:tcPr>
            <w:tcW w:w="1607" w:type="dxa"/>
            <w:gridSpan w:val="2"/>
            <w:vAlign w:val="center"/>
          </w:tcPr>
          <w:p>
            <w:pPr>
              <w:jc w:val="center"/>
              <w:rPr>
                <w:rFonts w:hint="default"/>
              </w:rPr>
            </w:pPr>
            <w:r>
              <w:t>项目编号</w:t>
            </w:r>
          </w:p>
        </w:tc>
        <w:tc>
          <w:tcPr>
            <w:tcW w:w="3090" w:type="dxa"/>
            <w:vAlign w:val="center"/>
          </w:tcPr>
          <w:p>
            <w:pPr>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65" w:type="dxa"/>
            <w:gridSpan w:val="2"/>
            <w:vAlign w:val="center"/>
          </w:tcPr>
          <w:p>
            <w:pPr>
              <w:jc w:val="center"/>
              <w:rPr>
                <w:rFonts w:hint="default"/>
              </w:rPr>
            </w:pPr>
            <w:r>
              <w:t>成交供应商</w:t>
            </w:r>
          </w:p>
        </w:tc>
        <w:tc>
          <w:tcPr>
            <w:tcW w:w="2824" w:type="dxa"/>
            <w:vAlign w:val="center"/>
          </w:tcPr>
          <w:p>
            <w:pPr>
              <w:jc w:val="center"/>
              <w:rPr>
                <w:rFonts w:hint="default"/>
              </w:rPr>
            </w:pPr>
          </w:p>
        </w:tc>
        <w:tc>
          <w:tcPr>
            <w:tcW w:w="1607" w:type="dxa"/>
            <w:gridSpan w:val="2"/>
            <w:vAlign w:val="center"/>
          </w:tcPr>
          <w:p>
            <w:pPr>
              <w:jc w:val="center"/>
              <w:rPr>
                <w:rFonts w:hint="default"/>
              </w:rPr>
            </w:pPr>
            <w:r>
              <w:t>中标金额</w:t>
            </w:r>
          </w:p>
        </w:tc>
        <w:tc>
          <w:tcPr>
            <w:tcW w:w="3090" w:type="dxa"/>
            <w:vAlign w:val="center"/>
          </w:tcPr>
          <w:p>
            <w:pPr>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vAlign w:val="center"/>
          </w:tcPr>
          <w:p>
            <w:pPr>
              <w:jc w:val="center"/>
              <w:rPr>
                <w:rFonts w:hint="default"/>
              </w:rPr>
            </w:pPr>
            <w:r>
              <w:t>代理机构</w:t>
            </w:r>
          </w:p>
        </w:tc>
        <w:tc>
          <w:tcPr>
            <w:tcW w:w="2824" w:type="dxa"/>
            <w:vAlign w:val="center"/>
          </w:tcPr>
          <w:p>
            <w:pPr>
              <w:jc w:val="center"/>
              <w:rPr>
                <w:rFonts w:hint="default"/>
              </w:rPr>
            </w:pPr>
          </w:p>
        </w:tc>
        <w:tc>
          <w:tcPr>
            <w:tcW w:w="1607" w:type="dxa"/>
            <w:gridSpan w:val="2"/>
            <w:vAlign w:val="center"/>
          </w:tcPr>
          <w:p>
            <w:pPr>
              <w:jc w:val="center"/>
              <w:rPr>
                <w:rFonts w:hint="default"/>
              </w:rPr>
            </w:pPr>
            <w:r>
              <w:t>定标时间</w:t>
            </w:r>
          </w:p>
        </w:tc>
        <w:tc>
          <w:tcPr>
            <w:tcW w:w="3090" w:type="dxa"/>
            <w:vAlign w:val="center"/>
          </w:tcPr>
          <w:p>
            <w:pPr>
              <w:ind w:firstLine="420" w:firstLineChars="200"/>
              <w:jc w:val="center"/>
              <w:rPr>
                <w:rFonts w:hint="default"/>
              </w:rPr>
            </w:pP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9286" w:type="dxa"/>
            <w:gridSpan w:val="6"/>
            <w:tcBorders>
              <w:bottom w:val="single" w:color="auto" w:sz="4" w:space="0"/>
            </w:tcBorders>
            <w:vAlign w:val="center"/>
          </w:tcPr>
          <w:p>
            <w:pPr>
              <w:jc w:val="center"/>
              <w:rPr>
                <w:rFonts w:hint="default"/>
                <w:b/>
                <w:bCs/>
              </w:rPr>
            </w:pPr>
            <w:r>
              <w:rPr>
                <w:b/>
                <w:bCs/>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vAlign w:val="center"/>
          </w:tcPr>
          <w:p>
            <w:pPr>
              <w:jc w:val="center"/>
              <w:rPr>
                <w:rFonts w:hint="default"/>
                <w:b/>
                <w:bCs/>
              </w:rPr>
            </w:pPr>
            <w:r>
              <w:t>合同签订时间</w:t>
            </w:r>
          </w:p>
        </w:tc>
        <w:tc>
          <w:tcPr>
            <w:tcW w:w="2833" w:type="dxa"/>
            <w:gridSpan w:val="2"/>
            <w:tcBorders>
              <w:bottom w:val="single" w:color="auto" w:sz="4" w:space="0"/>
            </w:tcBorders>
            <w:vAlign w:val="center"/>
          </w:tcPr>
          <w:p>
            <w:pPr>
              <w:jc w:val="center"/>
              <w:rPr>
                <w:rFonts w:hint="default"/>
                <w:b/>
                <w:bCs/>
              </w:rPr>
            </w:pPr>
          </w:p>
        </w:tc>
        <w:tc>
          <w:tcPr>
            <w:tcW w:w="1598" w:type="dxa"/>
            <w:tcBorders>
              <w:bottom w:val="single" w:color="auto" w:sz="4" w:space="0"/>
            </w:tcBorders>
            <w:vAlign w:val="center"/>
          </w:tcPr>
          <w:p>
            <w:pPr>
              <w:jc w:val="center"/>
              <w:rPr>
                <w:rFonts w:hint="default"/>
                <w:b/>
                <w:bCs/>
              </w:rPr>
            </w:pPr>
            <w:r>
              <w:t>验收完成时间</w:t>
            </w:r>
          </w:p>
        </w:tc>
        <w:tc>
          <w:tcPr>
            <w:tcW w:w="3090" w:type="dxa"/>
            <w:tcBorders>
              <w:bottom w:val="single" w:color="auto" w:sz="4" w:space="0"/>
            </w:tcBorders>
            <w:vAlign w:val="center"/>
          </w:tcPr>
          <w:p>
            <w:pPr>
              <w:jc w:val="center"/>
              <w:rPr>
                <w:rFonts w:hint="default"/>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65" w:type="dxa"/>
            <w:gridSpan w:val="2"/>
            <w:tcBorders>
              <w:bottom w:val="single" w:color="auto" w:sz="4" w:space="0"/>
            </w:tcBorders>
            <w:vAlign w:val="center"/>
          </w:tcPr>
          <w:p>
            <w:pPr>
              <w:jc w:val="center"/>
              <w:rPr>
                <w:rFonts w:hint="default"/>
              </w:rPr>
            </w:pPr>
            <w:r>
              <w:t>政府采购标签</w:t>
            </w:r>
          </w:p>
        </w:tc>
        <w:tc>
          <w:tcPr>
            <w:tcW w:w="2833" w:type="dxa"/>
            <w:gridSpan w:val="2"/>
            <w:tcBorders>
              <w:bottom w:val="single" w:color="auto" w:sz="4" w:space="0"/>
            </w:tcBorders>
            <w:vAlign w:val="center"/>
          </w:tcPr>
          <w:p>
            <w:pPr>
              <w:jc w:val="center"/>
              <w:rPr>
                <w:rFonts w:hint="default"/>
                <w:b/>
                <w:bCs/>
              </w:rPr>
            </w:pPr>
            <w:r>
              <w:rPr>
                <w:b/>
                <w:bCs/>
              </w:rPr>
              <w:t>有/无</w:t>
            </w:r>
          </w:p>
        </w:tc>
        <w:tc>
          <w:tcPr>
            <w:tcW w:w="1598" w:type="dxa"/>
            <w:tcBorders>
              <w:bottom w:val="single" w:color="auto" w:sz="4" w:space="0"/>
            </w:tcBorders>
            <w:vAlign w:val="center"/>
          </w:tcPr>
          <w:p>
            <w:pPr>
              <w:jc w:val="center"/>
              <w:rPr>
                <w:rFonts w:hint="default"/>
              </w:rPr>
            </w:pPr>
            <w:r>
              <w:t>协助验收</w:t>
            </w:r>
          </w:p>
        </w:tc>
        <w:tc>
          <w:tcPr>
            <w:tcW w:w="3090" w:type="dxa"/>
            <w:tcBorders>
              <w:bottom w:val="single" w:color="auto" w:sz="4" w:space="0"/>
            </w:tcBorders>
            <w:vAlign w:val="center"/>
          </w:tcPr>
          <w:p>
            <w:pPr>
              <w:jc w:val="center"/>
              <w:rPr>
                <w:rFonts w:hint="default"/>
                <w:b/>
                <w:bCs/>
              </w:rPr>
            </w:pPr>
            <w:r>
              <w:rPr>
                <w:b/>
                <w:bCs/>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464" w:type="dxa"/>
            <w:vMerge w:val="restart"/>
            <w:vAlign w:val="center"/>
          </w:tcPr>
          <w:p>
            <w:pPr>
              <w:jc w:val="center"/>
              <w:rPr>
                <w:rFonts w:hint="default"/>
              </w:rPr>
            </w:pPr>
            <w:r>
              <w:t>采购人对本次政府采购的评价意见</w:t>
            </w:r>
          </w:p>
        </w:tc>
        <w:tc>
          <w:tcPr>
            <w:tcW w:w="8822" w:type="dxa"/>
            <w:gridSpan w:val="5"/>
            <w:vAlign w:val="center"/>
          </w:tcPr>
          <w:p>
            <w:pPr>
              <w:spacing w:line="360" w:lineRule="auto"/>
              <w:ind w:firstLine="420" w:firstLineChars="200"/>
              <w:jc w:val="left"/>
              <w:rPr>
                <w:rFonts w:hint="default"/>
              </w:rPr>
            </w:pPr>
            <w:r>
              <w:t xml:space="preserve">请如实填写您对本次政府采购的项目（货物、服务、工程）在价格、质量、服务方面的意见（在结论上打“ </w:t>
            </w:r>
            <w:r>
              <w:rPr>
                <w:b/>
                <w:bCs/>
              </w:rPr>
              <w:t>√</w:t>
            </w:r>
            <w:r>
              <w:t>”）。</w:t>
            </w:r>
          </w:p>
          <w:p>
            <w:pPr>
              <w:numPr>
                <w:ilvl w:val="0"/>
                <w:numId w:val="22"/>
              </w:numPr>
              <w:spacing w:line="360" w:lineRule="auto"/>
              <w:jc w:val="left"/>
              <w:rPr>
                <w:rFonts w:hint="default"/>
              </w:rPr>
            </w:pPr>
            <w:r>
              <w:t>对成交供应商的评价意见</w:t>
            </w:r>
          </w:p>
          <w:p>
            <w:pPr>
              <w:spacing w:line="360" w:lineRule="auto"/>
              <w:ind w:left="210" w:leftChars="100"/>
              <w:jc w:val="center"/>
              <w:rPr>
                <w:rFonts w:hint="default"/>
                <w:b/>
                <w:bCs/>
              </w:rPr>
            </w:pPr>
            <w:r>
              <w:rPr>
                <w:b/>
                <w:bCs/>
              </w:rPr>
              <w:t>1、价格     A、优     B、良     C、好     D、一般     E、差</w:t>
            </w:r>
          </w:p>
          <w:p>
            <w:pPr>
              <w:spacing w:line="360" w:lineRule="auto"/>
              <w:ind w:left="210" w:leftChars="100"/>
              <w:jc w:val="center"/>
              <w:rPr>
                <w:rFonts w:hint="default"/>
                <w:b/>
                <w:bCs/>
              </w:rPr>
            </w:pPr>
            <w:r>
              <w:rPr>
                <w:b/>
                <w:bCs/>
              </w:rPr>
              <w:t>2、质量     A、优     B、良     C、好     D、一般     E、差</w:t>
            </w:r>
          </w:p>
          <w:p>
            <w:pPr>
              <w:spacing w:line="360" w:lineRule="auto"/>
              <w:ind w:left="210" w:leftChars="100"/>
              <w:jc w:val="center"/>
              <w:rPr>
                <w:rFonts w:hint="default"/>
                <w:b/>
                <w:bCs/>
              </w:rPr>
            </w:pPr>
            <w:r>
              <w:rPr>
                <w:b/>
                <w:bCs/>
              </w:rPr>
              <w:t>3、服务     A、优     B、良     C、好     D、一般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464" w:type="dxa"/>
            <w:vMerge w:val="continue"/>
            <w:vAlign w:val="center"/>
          </w:tcPr>
          <w:p>
            <w:pPr>
              <w:jc w:val="center"/>
              <w:rPr>
                <w:rFonts w:hint="default"/>
              </w:rPr>
            </w:pPr>
          </w:p>
        </w:tc>
        <w:tc>
          <w:tcPr>
            <w:tcW w:w="8822" w:type="dxa"/>
            <w:gridSpan w:val="5"/>
            <w:vAlign w:val="center"/>
          </w:tcPr>
          <w:p>
            <w:pPr>
              <w:numPr>
                <w:ilvl w:val="0"/>
                <w:numId w:val="22"/>
              </w:numPr>
              <w:spacing w:line="360" w:lineRule="auto"/>
              <w:jc w:val="left"/>
              <w:rPr>
                <w:rFonts w:hint="default"/>
                <w:szCs w:val="21"/>
              </w:rPr>
            </w:pPr>
            <w:r>
              <w:rPr>
                <w:szCs w:val="21"/>
              </w:rPr>
              <w:t>对成交供应商诚信总体评价：</w:t>
            </w:r>
          </w:p>
          <w:p>
            <w:pPr>
              <w:spacing w:line="360" w:lineRule="auto"/>
              <w:jc w:val="center"/>
              <w:rPr>
                <w:rFonts w:hint="default"/>
              </w:rPr>
            </w:pPr>
            <w:r>
              <w:rPr>
                <w:rFonts w:ascii="新宋体" w:hAnsi="新宋体" w:eastAsia="新宋体"/>
                <w:szCs w:val="21"/>
              </w:rPr>
              <w:t>A、优（90-100） B、良（80-90） C、好（70-80） D、一般（60-70） E、差（60以下）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atLeast"/>
          <w:jc w:val="center"/>
        </w:trPr>
        <w:tc>
          <w:tcPr>
            <w:tcW w:w="464" w:type="dxa"/>
            <w:vMerge w:val="continue"/>
            <w:vAlign w:val="center"/>
          </w:tcPr>
          <w:p>
            <w:pPr>
              <w:jc w:val="center"/>
              <w:rPr>
                <w:rFonts w:hint="default"/>
              </w:rPr>
            </w:pPr>
          </w:p>
        </w:tc>
        <w:tc>
          <w:tcPr>
            <w:tcW w:w="8822" w:type="dxa"/>
            <w:gridSpan w:val="5"/>
          </w:tcPr>
          <w:p>
            <w:pPr>
              <w:spacing w:line="360" w:lineRule="auto"/>
              <w:jc w:val="left"/>
              <w:rPr>
                <w:rFonts w:hint="default"/>
              </w:rPr>
            </w:pPr>
            <w:r>
              <w:t>三、您若有政府采购方面的建议和措施，请说明（可附页说明）：</w:t>
            </w:r>
          </w:p>
          <w:p>
            <w:pPr>
              <w:spacing w:line="360" w:lineRule="auto"/>
              <w:ind w:left="210" w:leftChars="100"/>
              <w:jc w:val="left"/>
              <w:rPr>
                <w:rFonts w:hint="default" w:ascii="宋体" w:hAnsi="宋体"/>
                <w:b/>
                <w:bCs/>
              </w:rPr>
            </w:pPr>
            <w:r>
              <w:rPr>
                <w:rFonts w:ascii="宋体" w:hAnsi="宋体"/>
                <w:b/>
                <w:bCs/>
              </w:rPr>
              <w:t>1、</w:t>
            </w:r>
          </w:p>
          <w:p>
            <w:pPr>
              <w:spacing w:line="360" w:lineRule="auto"/>
              <w:ind w:left="210" w:leftChars="100"/>
              <w:jc w:val="left"/>
              <w:rPr>
                <w:rFonts w:hint="default" w:ascii="宋体" w:hAnsi="宋体"/>
                <w:b/>
                <w:bCs/>
              </w:rPr>
            </w:pPr>
            <w:r>
              <w:rPr>
                <w:rFonts w:ascii="宋体" w:hAnsi="宋体"/>
                <w:b/>
                <w:bCs/>
              </w:rPr>
              <w:t>2、</w:t>
            </w:r>
          </w:p>
          <w:p>
            <w:pPr>
              <w:spacing w:line="360" w:lineRule="auto"/>
              <w:ind w:left="210" w:leftChars="100"/>
              <w:jc w:val="left"/>
              <w:rPr>
                <w:rFonts w:hint="default" w:eastAsiaTheme="minorEastAsia"/>
              </w:rPr>
            </w:pPr>
            <w:r>
              <w:rPr>
                <w:rFonts w:ascii="宋体" w:hAnsi="宋体"/>
                <w:b/>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464" w:type="dxa"/>
            <w:vMerge w:val="continue"/>
            <w:tcBorders>
              <w:bottom w:val="single" w:color="auto" w:sz="4" w:space="0"/>
            </w:tcBorders>
            <w:vAlign w:val="center"/>
          </w:tcPr>
          <w:p>
            <w:pPr>
              <w:jc w:val="center"/>
              <w:rPr>
                <w:rFonts w:hint="default"/>
              </w:rPr>
            </w:pPr>
          </w:p>
        </w:tc>
        <w:tc>
          <w:tcPr>
            <w:tcW w:w="8822" w:type="dxa"/>
            <w:gridSpan w:val="5"/>
            <w:tcBorders>
              <w:bottom w:val="single" w:color="auto" w:sz="4" w:space="0"/>
            </w:tcBorders>
            <w:vAlign w:val="center"/>
          </w:tcPr>
          <w:p>
            <w:pPr>
              <w:jc w:val="left"/>
              <w:rPr>
                <w:rFonts w:hint="default"/>
              </w:rPr>
            </w:pPr>
            <w:r>
              <w:t>（此表由采购人填写，主要对成交供应商在项目履约过程中的诚信情况及项目验收后项目总体履约（满意度）进行评价，此表务必在项目验收完成后三日内交回公共资源交易中心）</w:t>
            </w:r>
          </w:p>
          <w:p>
            <w:pPr>
              <w:jc w:val="center"/>
              <w:rPr>
                <w:rFonts w:hint="default"/>
              </w:rPr>
            </w:pPr>
          </w:p>
          <w:p>
            <w:pPr>
              <w:jc w:val="left"/>
              <w:rPr>
                <w:rFonts w:hint="default"/>
              </w:rPr>
            </w:pPr>
            <w:r>
              <w:t>采购人确认：（盖章）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464" w:type="dxa"/>
            <w:tcBorders>
              <w:top w:val="single" w:color="auto" w:sz="4" w:space="0"/>
              <w:bottom w:val="single" w:color="auto" w:sz="4" w:space="0"/>
            </w:tcBorders>
            <w:vAlign w:val="center"/>
          </w:tcPr>
          <w:p>
            <w:pPr>
              <w:jc w:val="center"/>
              <w:rPr>
                <w:rFonts w:hint="default"/>
              </w:rPr>
            </w:pPr>
            <w:r>
              <w:t>备注</w:t>
            </w:r>
          </w:p>
        </w:tc>
        <w:tc>
          <w:tcPr>
            <w:tcW w:w="8822" w:type="dxa"/>
            <w:gridSpan w:val="5"/>
            <w:tcBorders>
              <w:top w:val="single" w:color="auto" w:sz="4" w:space="0"/>
              <w:bottom w:val="single" w:color="auto" w:sz="4" w:space="0"/>
            </w:tcBorders>
            <w:vAlign w:val="center"/>
          </w:tcPr>
          <w:tbl>
            <w:tblPr>
              <w:tblStyle w:val="21"/>
              <w:tblW w:w="8620" w:type="dxa"/>
              <w:tblInd w:w="0" w:type="dxa"/>
              <w:tblLayout w:type="fixed"/>
              <w:tblCellMar>
                <w:top w:w="57" w:type="dxa"/>
                <w:left w:w="108" w:type="dxa"/>
                <w:bottom w:w="57" w:type="dxa"/>
                <w:right w:w="108" w:type="dxa"/>
              </w:tblCellMar>
            </w:tblPr>
            <w:tblGrid>
              <w:gridCol w:w="2659"/>
              <w:gridCol w:w="3087"/>
              <w:gridCol w:w="2874"/>
            </w:tblGrid>
            <w:tr>
              <w:tblPrEx>
                <w:tblCellMar>
                  <w:top w:w="57" w:type="dxa"/>
                  <w:left w:w="108" w:type="dxa"/>
                  <w:bottom w:w="57" w:type="dxa"/>
                  <w:right w:w="108" w:type="dxa"/>
                </w:tblCellMar>
              </w:tblPrEx>
              <w:trPr>
                <w:trHeight w:val="348" w:hRule="atLeast"/>
              </w:trPr>
              <w:tc>
                <w:tcPr>
                  <w:tcW w:w="2659" w:type="dxa"/>
                  <w:vMerge w:val="restart"/>
                  <w:vAlign w:val="center"/>
                </w:tcPr>
                <w:p>
                  <w:pPr>
                    <w:jc w:val="center"/>
                    <w:rPr>
                      <w:rFonts w:hint="default"/>
                    </w:rPr>
                  </w:pPr>
                  <w:r>
                    <w:t>瑞安市公共资源交易中心</w:t>
                  </w:r>
                </w:p>
              </w:tc>
              <w:tc>
                <w:tcPr>
                  <w:tcW w:w="3087" w:type="dxa"/>
                </w:tcPr>
                <w:p>
                  <w:pPr>
                    <w:jc w:val="center"/>
                    <w:rPr>
                      <w:rFonts w:hint="default"/>
                    </w:rPr>
                  </w:pPr>
                  <w:r>
                    <w:t>地址：瑞安市满庭芳大楼三楼</w:t>
                  </w:r>
                </w:p>
              </w:tc>
              <w:tc>
                <w:tcPr>
                  <w:tcW w:w="2874" w:type="dxa"/>
                </w:tcPr>
                <w:p>
                  <w:pPr>
                    <w:jc w:val="center"/>
                    <w:rPr>
                      <w:rFonts w:hint="default"/>
                    </w:rPr>
                  </w:pPr>
                  <w:r>
                    <w:t>联系电话：0577-65879521</w:t>
                  </w:r>
                </w:p>
              </w:tc>
            </w:tr>
            <w:tr>
              <w:tblPrEx>
                <w:tblCellMar>
                  <w:top w:w="57" w:type="dxa"/>
                  <w:left w:w="108" w:type="dxa"/>
                  <w:bottom w:w="57" w:type="dxa"/>
                  <w:right w:w="108" w:type="dxa"/>
                </w:tblCellMar>
              </w:tblPrEx>
              <w:trPr>
                <w:trHeight w:val="348" w:hRule="atLeast"/>
              </w:trPr>
              <w:tc>
                <w:tcPr>
                  <w:tcW w:w="2659" w:type="dxa"/>
                  <w:vMerge w:val="continue"/>
                </w:tcPr>
                <w:p>
                  <w:pPr>
                    <w:jc w:val="center"/>
                    <w:rPr>
                      <w:rFonts w:hint="default"/>
                    </w:rPr>
                  </w:pPr>
                </w:p>
              </w:tc>
              <w:tc>
                <w:tcPr>
                  <w:tcW w:w="3087" w:type="dxa"/>
                </w:tcPr>
                <w:p>
                  <w:pPr>
                    <w:jc w:val="center"/>
                    <w:rPr>
                      <w:rFonts w:hint="default"/>
                    </w:rPr>
                  </w:pPr>
                  <w:r>
                    <w:t>传真：0577-65879523</w:t>
                  </w:r>
                </w:p>
              </w:tc>
              <w:tc>
                <w:tcPr>
                  <w:tcW w:w="2874" w:type="dxa"/>
                </w:tcPr>
                <w:p>
                  <w:pPr>
                    <w:jc w:val="center"/>
                    <w:rPr>
                      <w:rFonts w:hint="default"/>
                    </w:rPr>
                  </w:pPr>
                  <w:r>
                    <w:t>网址：http://www.raztb.com/</w:t>
                  </w:r>
                </w:p>
              </w:tc>
            </w:tr>
          </w:tbl>
          <w:p>
            <w:pPr>
              <w:jc w:val="center"/>
              <w:rPr>
                <w:rFonts w:hint="default"/>
              </w:rPr>
            </w:pPr>
          </w:p>
        </w:tc>
      </w:tr>
    </w:tbl>
    <w:p>
      <w:pPr>
        <w:rPr>
          <w:rFonts w:hint="default"/>
        </w:rPr>
      </w:pPr>
    </w:p>
    <w:p>
      <w:pPr>
        <w:snapToGrid w:val="0"/>
        <w:spacing w:line="340" w:lineRule="exact"/>
        <w:jc w:val="center"/>
        <w:rPr>
          <w:rFonts w:hint="default" w:ascii="宋体" w:hAnsi="宋体"/>
          <w:b/>
          <w:bCs/>
          <w:sz w:val="28"/>
        </w:rPr>
      </w:pPr>
    </w:p>
    <w:p>
      <w:pPr>
        <w:pStyle w:val="3"/>
        <w:keepNext w:val="0"/>
        <w:keepLines w:val="0"/>
        <w:pageBreakBefore/>
        <w:spacing w:before="312" w:beforeLines="100" w:after="312" w:afterLines="100" w:line="240" w:lineRule="auto"/>
        <w:jc w:val="center"/>
        <w:rPr>
          <w:rFonts w:hint="default" w:hAnsi="宋体" w:cs="宋体"/>
          <w:sz w:val="28"/>
          <w:szCs w:val="36"/>
        </w:rPr>
      </w:pPr>
      <w:bookmarkStart w:id="357" w:name="_Toc28647"/>
      <w:bookmarkStart w:id="358" w:name="_Toc19240"/>
      <w:bookmarkStart w:id="359" w:name="_Toc16135"/>
      <w:bookmarkStart w:id="360" w:name="_Toc20247"/>
      <w:bookmarkStart w:id="361" w:name="_Toc15479"/>
      <w:bookmarkStart w:id="362" w:name="_Toc29343"/>
      <w:r>
        <w:rPr>
          <w:rFonts w:hAnsi="宋体" w:cs="宋体"/>
          <w:sz w:val="28"/>
          <w:szCs w:val="36"/>
        </w:rPr>
        <w:t>第五部分  磋商响应文件格式</w:t>
      </w:r>
      <w:bookmarkEnd w:id="357"/>
      <w:bookmarkEnd w:id="358"/>
      <w:bookmarkEnd w:id="359"/>
      <w:bookmarkEnd w:id="360"/>
      <w:bookmarkEnd w:id="361"/>
      <w:bookmarkEnd w:id="362"/>
    </w:p>
    <w:p>
      <w:pPr>
        <w:snapToGrid w:val="0"/>
        <w:spacing w:before="624" w:beforeLines="200" w:after="156" w:afterLines="50"/>
        <w:jc w:val="center"/>
        <w:rPr>
          <w:rFonts w:hint="default" w:ascii="宋体" w:hAnsi="宋体" w:cs="宋体"/>
          <w:b/>
          <w:bCs/>
          <w:sz w:val="28"/>
        </w:rPr>
      </w:pPr>
      <w:bookmarkStart w:id="363" w:name="_Toc30728"/>
      <w:bookmarkStart w:id="364" w:name="_Toc11041"/>
      <w:bookmarkStart w:id="365" w:name="_Toc22646"/>
      <w:bookmarkStart w:id="366" w:name="_Toc10201"/>
      <w:bookmarkStart w:id="367" w:name="_Toc23685"/>
      <w:r>
        <w:rPr>
          <w:rFonts w:ascii="宋体" w:hAnsi="宋体" w:cs="宋体"/>
          <w:b/>
          <w:bCs/>
          <w:sz w:val="28"/>
        </w:rPr>
        <w:t>磋商供应商提交磋商响应文件须知</w:t>
      </w:r>
      <w:bookmarkEnd w:id="363"/>
      <w:bookmarkEnd w:id="364"/>
      <w:bookmarkEnd w:id="365"/>
      <w:bookmarkEnd w:id="366"/>
      <w:bookmarkEnd w:id="367"/>
    </w:p>
    <w:p>
      <w:pPr>
        <w:snapToGrid w:val="0"/>
        <w:jc w:val="center"/>
        <w:rPr>
          <w:rFonts w:hint="default" w:ascii="宋体" w:hAnsi="宋体" w:cs="宋体"/>
          <w:sz w:val="28"/>
          <w:szCs w:val="21"/>
        </w:rPr>
      </w:pPr>
    </w:p>
    <w:p>
      <w:pPr>
        <w:pStyle w:val="32"/>
        <w:snapToGrid w:val="0"/>
        <w:spacing w:line="400" w:lineRule="exact"/>
        <w:ind w:firstLine="0" w:firstLineChars="0"/>
        <w:rPr>
          <w:rFonts w:hint="default" w:ascii="宋体" w:hAnsi="宋体" w:cs="宋体"/>
          <w:szCs w:val="22"/>
        </w:rPr>
      </w:pPr>
      <w:r>
        <w:rPr>
          <w:rFonts w:ascii="宋体" w:hAnsi="宋体" w:cs="宋体"/>
          <w:szCs w:val="22"/>
        </w:rPr>
        <w:t>1、磋商供应商应严格按照磋商响应文件的组成提交下述规定的全部格式文件以及其他有关资料，混乱的编排导致磋商响应文件被误读或采购机构、磋商小组查找不到有效文件是磋商供应商的风险。</w:t>
      </w:r>
    </w:p>
    <w:p>
      <w:pPr>
        <w:pStyle w:val="32"/>
        <w:snapToGrid w:val="0"/>
        <w:spacing w:line="400" w:lineRule="exact"/>
        <w:ind w:firstLine="0" w:firstLineChars="0"/>
        <w:rPr>
          <w:rFonts w:hint="default" w:ascii="宋体" w:hAnsi="宋体" w:cs="宋体"/>
          <w:szCs w:val="22"/>
        </w:rPr>
      </w:pPr>
      <w:bookmarkStart w:id="368" w:name="_Toc8092"/>
      <w:bookmarkStart w:id="369" w:name="_Toc24815"/>
      <w:bookmarkStart w:id="370" w:name="_Toc7418"/>
      <w:bookmarkStart w:id="371" w:name="_Toc17398"/>
      <w:bookmarkStart w:id="372" w:name="_Toc2242"/>
      <w:r>
        <w:rPr>
          <w:rFonts w:ascii="宋体" w:hAnsi="宋体" w:cs="宋体"/>
          <w:szCs w:val="22"/>
        </w:rPr>
        <w:t>2、所附表格中要求回答的全部问题和/或信息都必须正面回答。</w:t>
      </w:r>
      <w:bookmarkEnd w:id="368"/>
      <w:bookmarkEnd w:id="369"/>
      <w:bookmarkEnd w:id="370"/>
      <w:bookmarkEnd w:id="371"/>
      <w:bookmarkEnd w:id="372"/>
    </w:p>
    <w:p>
      <w:pPr>
        <w:pStyle w:val="32"/>
        <w:snapToGrid w:val="0"/>
        <w:spacing w:line="400" w:lineRule="exact"/>
        <w:ind w:firstLine="0" w:firstLineChars="0"/>
        <w:rPr>
          <w:rFonts w:hint="default" w:ascii="宋体" w:hAnsi="宋体" w:cs="宋体"/>
          <w:szCs w:val="22"/>
        </w:rPr>
      </w:pPr>
      <w:r>
        <w:rPr>
          <w:rFonts w:ascii="宋体" w:hAnsi="宋体" w:cs="宋体"/>
          <w:szCs w:val="22"/>
        </w:rPr>
        <w:t>3、本资格声明的签字人应保证全部声明和问题的回答是真实的和准确的。</w:t>
      </w:r>
    </w:p>
    <w:p>
      <w:pPr>
        <w:pStyle w:val="32"/>
        <w:snapToGrid w:val="0"/>
        <w:spacing w:line="400" w:lineRule="exact"/>
        <w:ind w:firstLine="0" w:firstLineChars="0"/>
        <w:rPr>
          <w:rFonts w:hint="default" w:ascii="宋体" w:hAnsi="宋体" w:cs="宋体"/>
          <w:szCs w:val="22"/>
        </w:rPr>
      </w:pPr>
      <w:r>
        <w:rPr>
          <w:rFonts w:ascii="宋体" w:hAnsi="宋体" w:cs="宋体"/>
          <w:szCs w:val="22"/>
        </w:rPr>
        <w:t>4、采购机构将应用磋商供应商提交的资料根据自己的判断和考虑决定磋商供应商履行合同的合格性及能力。</w:t>
      </w:r>
    </w:p>
    <w:p>
      <w:pPr>
        <w:pStyle w:val="32"/>
        <w:snapToGrid w:val="0"/>
        <w:spacing w:line="400" w:lineRule="exact"/>
        <w:ind w:firstLine="0" w:firstLineChars="0"/>
        <w:rPr>
          <w:rFonts w:hint="default" w:ascii="宋体" w:hAnsi="宋体" w:cs="宋体"/>
          <w:szCs w:val="22"/>
        </w:rPr>
      </w:pPr>
      <w:r>
        <w:rPr>
          <w:rFonts w:ascii="宋体" w:hAnsi="宋体" w:cs="宋体"/>
          <w:szCs w:val="22"/>
        </w:rPr>
        <w:t>5、磋商供应商提交的材料将被保密保存，但不退还。</w:t>
      </w:r>
    </w:p>
    <w:p>
      <w:pPr>
        <w:pStyle w:val="32"/>
        <w:snapToGrid w:val="0"/>
        <w:spacing w:line="400" w:lineRule="exact"/>
        <w:ind w:firstLine="0" w:firstLineChars="0"/>
        <w:rPr>
          <w:rFonts w:hint="default" w:ascii="宋体" w:hAnsi="宋体" w:cs="宋体"/>
          <w:szCs w:val="22"/>
        </w:rPr>
      </w:pPr>
      <w:r>
        <w:t>6、全部文件应按磋商供应商须知中规定的语言和份数提交。</w:t>
      </w:r>
    </w:p>
    <w:p>
      <w:pPr>
        <w:snapToGrid w:val="0"/>
        <w:spacing w:line="340" w:lineRule="exact"/>
        <w:rPr>
          <w:rFonts w:hint="default" w:ascii="宋体" w:hAnsi="宋体"/>
          <w:b/>
          <w:bCs/>
          <w:sz w:val="28"/>
        </w:rPr>
      </w:pPr>
    </w:p>
    <w:p>
      <w:pPr>
        <w:tabs>
          <w:tab w:val="left" w:pos="840"/>
        </w:tabs>
        <w:outlineLvl w:val="9"/>
        <w:rPr>
          <w:rFonts w:hint="default"/>
        </w:rPr>
      </w:pPr>
    </w:p>
    <w:p>
      <w:pPr>
        <w:pStyle w:val="8"/>
        <w:outlineLvl w:val="9"/>
        <w:rPr>
          <w:rFonts w:hint="default"/>
        </w:rPr>
      </w:pPr>
    </w:p>
    <w:p>
      <w:pPr>
        <w:outlineLvl w:val="9"/>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pStyle w:val="2"/>
        <w:rPr>
          <w:rFonts w:hint="default"/>
        </w:rPr>
      </w:pPr>
    </w:p>
    <w:p>
      <w:pPr>
        <w:rPr>
          <w:rFonts w:hint="default"/>
        </w:rPr>
      </w:pPr>
    </w:p>
    <w:p>
      <w:pPr>
        <w:pStyle w:val="2"/>
        <w:rPr>
          <w:rFonts w:hint="default"/>
        </w:rPr>
      </w:pPr>
    </w:p>
    <w:p>
      <w:pPr>
        <w:tabs>
          <w:tab w:val="left" w:pos="840"/>
        </w:tabs>
        <w:outlineLvl w:val="9"/>
        <w:rPr>
          <w:rFonts w:hint="default"/>
        </w:rPr>
      </w:pPr>
    </w:p>
    <w:p>
      <w:pPr>
        <w:pStyle w:val="8"/>
        <w:outlineLvl w:val="9"/>
        <w:rPr>
          <w:rFonts w:hint="default"/>
        </w:rPr>
      </w:pPr>
    </w:p>
    <w:p>
      <w:pPr>
        <w:outlineLvl w:val="9"/>
        <w:rPr>
          <w:rFonts w:hint="default"/>
        </w:rPr>
      </w:pPr>
    </w:p>
    <w:p>
      <w:pPr>
        <w:jc w:val="center"/>
        <w:outlineLvl w:val="1"/>
        <w:rPr>
          <w:rFonts w:hint="default" w:ascii="宋体" w:hAnsi="宋体" w:cs="宋体"/>
          <w:b/>
          <w:bCs/>
          <w:sz w:val="28"/>
          <w:szCs w:val="28"/>
        </w:rPr>
      </w:pPr>
      <w:bookmarkStart w:id="373" w:name="_Toc1009"/>
      <w:bookmarkStart w:id="374" w:name="_Toc9700"/>
      <w:bookmarkStart w:id="375" w:name="_Toc156"/>
      <w:bookmarkStart w:id="376" w:name="_Toc2767"/>
      <w:bookmarkStart w:id="377" w:name="_Toc17896"/>
      <w:bookmarkStart w:id="378" w:name="_Toc16581"/>
      <w:bookmarkStart w:id="379" w:name="_Toc122"/>
      <w:bookmarkStart w:id="380" w:name="_Toc19899"/>
      <w:bookmarkStart w:id="381" w:name="_Toc14319"/>
      <w:r>
        <w:rPr>
          <w:rFonts w:ascii="宋体" w:hAnsi="宋体" w:cs="宋体"/>
          <w:b/>
          <w:bCs/>
          <w:sz w:val="28"/>
          <w:szCs w:val="28"/>
        </w:rPr>
        <w:t>附件一    资格、资质证明文件</w:t>
      </w:r>
      <w:bookmarkEnd w:id="373"/>
      <w:bookmarkEnd w:id="374"/>
      <w:bookmarkEnd w:id="375"/>
      <w:bookmarkEnd w:id="376"/>
      <w:bookmarkEnd w:id="377"/>
      <w:bookmarkEnd w:id="378"/>
      <w:bookmarkEnd w:id="379"/>
      <w:bookmarkEnd w:id="380"/>
      <w:bookmarkEnd w:id="381"/>
    </w:p>
    <w:p>
      <w:pPr>
        <w:spacing w:before="312" w:beforeLines="100" w:after="156" w:afterLines="50"/>
        <w:ind w:right="-11"/>
        <w:jc w:val="center"/>
        <w:rPr>
          <w:rFonts w:hint="default" w:ascii="宋体" w:hAnsi="宋体" w:cs="宋体"/>
          <w:b/>
          <w:bCs/>
          <w:sz w:val="24"/>
        </w:rPr>
      </w:pPr>
      <w:bookmarkStart w:id="382" w:name="_Toc25534"/>
      <w:bookmarkStart w:id="383" w:name="_Toc20488"/>
      <w:bookmarkStart w:id="384" w:name="_Toc30033"/>
      <w:bookmarkStart w:id="385" w:name="_Toc19034"/>
      <w:r>
        <w:rPr>
          <w:rFonts w:ascii="宋体" w:hAnsi="宋体" w:cs="宋体"/>
          <w:b/>
          <w:bCs/>
          <w:sz w:val="24"/>
        </w:rPr>
        <w:t>（一） 关于资格、资质证明文件的声明函</w:t>
      </w:r>
      <w:bookmarkEnd w:id="382"/>
      <w:bookmarkEnd w:id="383"/>
      <w:bookmarkEnd w:id="384"/>
      <w:bookmarkEnd w:id="385"/>
    </w:p>
    <w:p>
      <w:pPr>
        <w:pStyle w:val="8"/>
        <w:overflowPunct w:val="0"/>
        <w:spacing w:line="360" w:lineRule="auto"/>
        <w:ind w:right="-21" w:rightChars="-10" w:firstLine="0"/>
        <w:rPr>
          <w:rFonts w:hint="default" w:ascii="宋体" w:hAnsi="宋体" w:cs="宋体"/>
        </w:rPr>
      </w:pPr>
    </w:p>
    <w:p>
      <w:pPr>
        <w:pStyle w:val="8"/>
        <w:overflowPunct w:val="0"/>
        <w:spacing w:line="360" w:lineRule="auto"/>
        <w:ind w:right="-21" w:rightChars="-10" w:firstLine="0"/>
        <w:rPr>
          <w:rFonts w:hint="default" w:ascii="宋体" w:hAnsi="宋体" w:cs="宋体"/>
        </w:rPr>
      </w:pPr>
      <w:r>
        <w:rPr>
          <w:rFonts w:hint="eastAsia" w:ascii="宋体" w:hAnsi="宋体" w:cs="宋体"/>
          <w:lang w:eastAsia="zh-CN"/>
        </w:rPr>
        <w:t>瑞安市汀田街道办事处</w:t>
      </w:r>
      <w:r>
        <w:rPr>
          <w:rFonts w:ascii="宋体" w:hAnsi="宋体" w:cs="宋体"/>
        </w:rPr>
        <w:t>：</w:t>
      </w:r>
    </w:p>
    <w:p>
      <w:pPr>
        <w:pStyle w:val="8"/>
        <w:overflowPunct w:val="0"/>
        <w:spacing w:line="360" w:lineRule="auto"/>
        <w:ind w:right="-21" w:rightChars="-10" w:firstLine="480"/>
        <w:rPr>
          <w:rFonts w:hint="default" w:ascii="宋体" w:hAnsi="宋体" w:cs="宋体"/>
        </w:rPr>
      </w:pPr>
    </w:p>
    <w:p>
      <w:pPr>
        <w:pStyle w:val="8"/>
        <w:overflowPunct w:val="0"/>
        <w:spacing w:line="360" w:lineRule="auto"/>
        <w:ind w:right="-21" w:rightChars="-10" w:firstLine="400" w:firstLineChars="200"/>
        <w:rPr>
          <w:rFonts w:hint="default" w:ascii="宋体" w:hAnsi="宋体" w:cs="宋体"/>
        </w:rPr>
      </w:pPr>
      <w:r>
        <w:rPr>
          <w:rFonts w:ascii="宋体" w:hAnsi="宋体" w:cs="宋体"/>
        </w:rPr>
        <w:t>本公司愿就由贵单位组织实施的</w:t>
      </w:r>
      <w:r>
        <w:rPr>
          <w:rFonts w:ascii="宋体" w:hAnsi="宋体" w:cs="宋体"/>
          <w:u w:val="single"/>
        </w:rPr>
        <w:t xml:space="preserve">                       </w:t>
      </w:r>
      <w:r>
        <w:rPr>
          <w:rFonts w:ascii="宋体" w:hAnsi="宋体" w:cs="宋体"/>
        </w:rPr>
        <w:t>项目编号为</w:t>
      </w:r>
      <w:r>
        <w:rPr>
          <w:rFonts w:ascii="宋体" w:hAnsi="宋体" w:cs="宋体"/>
          <w:u w:val="single"/>
        </w:rPr>
        <w:t xml:space="preserve">             </w:t>
      </w:r>
      <w:r>
        <w:rPr>
          <w:rFonts w:ascii="宋体" w:hAnsi="宋体" w:cs="宋体"/>
        </w:rPr>
        <w:t>号的招标活动进行磋商。本公司所提交的磋商响应文件中所有关于磋商资格的文件、证明和陈述均是真实的、准确的。若与真实情况不符，本公司愿意承担由此而产生的一切后果。</w:t>
      </w:r>
    </w:p>
    <w:p>
      <w:pPr>
        <w:pStyle w:val="8"/>
        <w:overflowPunct w:val="0"/>
        <w:spacing w:line="360" w:lineRule="auto"/>
        <w:ind w:right="-21" w:rightChars="-10" w:firstLine="480"/>
        <w:rPr>
          <w:rFonts w:hint="default" w:ascii="宋体" w:hAnsi="宋体" w:cs="宋体"/>
        </w:rPr>
      </w:pP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日      期：    年   月     日</w:t>
      </w:r>
    </w:p>
    <w:p>
      <w:pPr>
        <w:spacing w:before="312" w:beforeLines="100" w:after="156" w:afterLines="50"/>
        <w:ind w:right="-11"/>
        <w:rPr>
          <w:rFonts w:hint="default" w:ascii="宋体" w:hAnsi="宋体" w:cs="宋体"/>
          <w:b/>
          <w:bCs/>
          <w:sz w:val="24"/>
        </w:rPr>
      </w:pPr>
    </w:p>
    <w:p>
      <w:pPr>
        <w:spacing w:before="312" w:beforeLines="100" w:after="156" w:afterLines="50"/>
        <w:ind w:right="-11"/>
        <w:jc w:val="center"/>
        <w:rPr>
          <w:rFonts w:hint="default" w:ascii="宋体" w:hAnsi="宋体" w:cs="宋体"/>
          <w:b/>
          <w:bCs/>
          <w:sz w:val="24"/>
        </w:rPr>
      </w:pPr>
      <w:bookmarkStart w:id="386" w:name="_Toc1248"/>
      <w:bookmarkStart w:id="387" w:name="_Toc16970"/>
      <w:bookmarkStart w:id="388" w:name="_Toc13249"/>
      <w:bookmarkStart w:id="389" w:name="_Toc9021"/>
      <w:r>
        <w:rPr>
          <w:rFonts w:ascii="宋体" w:hAnsi="宋体" w:cs="宋体"/>
          <w:b/>
          <w:bCs/>
          <w:sz w:val="24"/>
        </w:rPr>
        <w:t>（二） 其它证明文件</w:t>
      </w:r>
      <w:bookmarkEnd w:id="386"/>
      <w:bookmarkEnd w:id="387"/>
      <w:bookmarkEnd w:id="388"/>
      <w:bookmarkEnd w:id="389"/>
    </w:p>
    <w:p>
      <w:pPr>
        <w:pStyle w:val="9"/>
        <w:numPr>
          <w:ilvl w:val="0"/>
          <w:numId w:val="23"/>
        </w:numPr>
        <w:spacing w:line="400" w:lineRule="atLeast"/>
        <w:rPr>
          <w:rFonts w:hint="default" w:ascii="宋体" w:hAnsi="宋体" w:eastAsia="宋体" w:cs="宋体"/>
          <w:b/>
          <w:bCs/>
          <w:sz w:val="21"/>
          <w:szCs w:val="21"/>
        </w:rPr>
      </w:pPr>
      <w:r>
        <w:rPr>
          <w:rFonts w:ascii="宋体" w:hAnsi="宋体" w:eastAsia="宋体" w:cs="宋体"/>
          <w:b/>
          <w:bCs/>
          <w:sz w:val="21"/>
          <w:szCs w:val="21"/>
        </w:rPr>
        <w:t>出具符合以下情况的证明材料扫描件（五选一）</w:t>
      </w:r>
    </w:p>
    <w:p>
      <w:pPr>
        <w:pStyle w:val="9"/>
        <w:spacing w:line="400" w:lineRule="atLeast"/>
        <w:ind w:left="631" w:leftChars="200" w:hanging="211" w:hangingChars="100"/>
        <w:rPr>
          <w:rFonts w:hint="default" w:ascii="宋体" w:hAnsi="宋体" w:eastAsia="宋体" w:cs="宋体"/>
          <w:b/>
          <w:bCs/>
          <w:sz w:val="21"/>
          <w:szCs w:val="21"/>
        </w:rPr>
      </w:pPr>
      <w:r>
        <w:rPr>
          <w:rFonts w:ascii="宋体" w:hAnsi="宋体" w:eastAsia="宋体" w:cs="宋体"/>
          <w:b/>
          <w:bCs/>
          <w:sz w:val="21"/>
          <w:szCs w:val="21"/>
        </w:rPr>
        <w:t>①如磋商供应商是企业（包括合伙企业），提供在工商部门注册的有效“企业法人营业执照”或“营业执照”；</w:t>
      </w:r>
    </w:p>
    <w:p>
      <w:pPr>
        <w:pStyle w:val="9"/>
        <w:spacing w:line="400" w:lineRule="atLeast"/>
        <w:ind w:firstLine="422" w:firstLineChars="200"/>
        <w:rPr>
          <w:rFonts w:hint="default" w:ascii="宋体" w:hAnsi="宋体" w:eastAsia="宋体" w:cs="宋体"/>
          <w:b/>
          <w:bCs/>
          <w:sz w:val="21"/>
          <w:szCs w:val="21"/>
        </w:rPr>
      </w:pPr>
      <w:r>
        <w:rPr>
          <w:rFonts w:ascii="宋体" w:hAnsi="宋体" w:eastAsia="宋体" w:cs="宋体"/>
          <w:b/>
          <w:bCs/>
          <w:sz w:val="21"/>
          <w:szCs w:val="21"/>
        </w:rPr>
        <w:t>②如磋商供应商是事业单位，提供有效的“事业单位法人证书”；</w:t>
      </w:r>
    </w:p>
    <w:p>
      <w:pPr>
        <w:pStyle w:val="9"/>
        <w:spacing w:line="400" w:lineRule="atLeast"/>
        <w:ind w:firstLine="422" w:firstLineChars="200"/>
        <w:rPr>
          <w:rFonts w:hint="default" w:ascii="宋体" w:hAnsi="宋体" w:eastAsia="宋体" w:cs="宋体"/>
          <w:b/>
          <w:bCs/>
          <w:sz w:val="21"/>
          <w:szCs w:val="21"/>
        </w:rPr>
      </w:pPr>
      <w:r>
        <w:rPr>
          <w:rFonts w:ascii="宋体" w:hAnsi="宋体" w:eastAsia="宋体" w:cs="宋体"/>
          <w:b/>
          <w:bCs/>
          <w:sz w:val="21"/>
          <w:szCs w:val="21"/>
        </w:rPr>
        <w:t>③如磋商供应商是非企业专业服务机构的，提供执业许可证等证明文件；</w:t>
      </w:r>
    </w:p>
    <w:p>
      <w:pPr>
        <w:pStyle w:val="9"/>
        <w:spacing w:line="400" w:lineRule="atLeast"/>
        <w:ind w:firstLine="422" w:firstLineChars="200"/>
        <w:rPr>
          <w:rFonts w:hint="default" w:ascii="宋体" w:hAnsi="宋体" w:eastAsia="宋体" w:cs="宋体"/>
          <w:b/>
          <w:bCs/>
          <w:sz w:val="21"/>
          <w:szCs w:val="21"/>
        </w:rPr>
      </w:pPr>
      <w:r>
        <w:rPr>
          <w:rFonts w:ascii="宋体" w:hAnsi="宋体" w:eastAsia="宋体" w:cs="宋体"/>
          <w:b/>
          <w:bCs/>
          <w:sz w:val="21"/>
          <w:szCs w:val="21"/>
        </w:rPr>
        <w:t>④如磋商供应商是个体工商户，提供有效的“个体工商户营业执照”；</w:t>
      </w:r>
    </w:p>
    <w:p>
      <w:pPr>
        <w:pStyle w:val="9"/>
        <w:spacing w:line="400" w:lineRule="atLeast"/>
        <w:ind w:left="631" w:leftChars="200" w:hanging="211" w:hangingChars="100"/>
        <w:rPr>
          <w:rFonts w:hint="default" w:ascii="宋体" w:hAnsi="宋体" w:eastAsia="宋体" w:cs="宋体"/>
          <w:b/>
          <w:bCs/>
          <w:sz w:val="21"/>
          <w:szCs w:val="21"/>
        </w:rPr>
      </w:pPr>
      <w:r>
        <w:rPr>
          <w:rFonts w:ascii="宋体" w:hAnsi="宋体" w:eastAsia="宋体" w:cs="宋体"/>
          <w:b/>
          <w:bCs/>
          <w:sz w:val="21"/>
          <w:szCs w:val="21"/>
        </w:rPr>
        <w:t>⑤如磋商供应商是自然人，提供有效的自然人身份证明（居民身份证正反面或公安机关出具的临时居民身份证正反面或港澳台胞证或证照）。</w:t>
      </w:r>
    </w:p>
    <w:p>
      <w:pPr>
        <w:pStyle w:val="9"/>
        <w:numPr>
          <w:ilvl w:val="0"/>
          <w:numId w:val="23"/>
        </w:numPr>
        <w:spacing w:line="400" w:lineRule="atLeast"/>
        <w:rPr>
          <w:rFonts w:hint="default" w:ascii="宋体" w:hAnsi="宋体" w:eastAsia="宋体" w:cs="宋体"/>
          <w:b/>
          <w:bCs/>
          <w:sz w:val="21"/>
          <w:szCs w:val="21"/>
        </w:rPr>
      </w:pPr>
      <w:r>
        <w:rPr>
          <w:rFonts w:ascii="宋体" w:hAnsi="宋体" w:eastAsia="宋体" w:cs="宋体"/>
          <w:b/>
          <w:bCs/>
          <w:sz w:val="21"/>
          <w:szCs w:val="21"/>
        </w:rPr>
        <w:t>供应商相关资质证明文件扫描件（如有）；</w:t>
      </w:r>
    </w:p>
    <w:p>
      <w:pPr>
        <w:pStyle w:val="9"/>
        <w:numPr>
          <w:ilvl w:val="0"/>
          <w:numId w:val="23"/>
        </w:numPr>
        <w:spacing w:line="400" w:lineRule="atLeast"/>
        <w:rPr>
          <w:rFonts w:hint="default" w:ascii="宋体" w:hAnsi="宋体" w:eastAsia="宋体" w:cs="宋体"/>
          <w:b/>
          <w:bCs/>
          <w:sz w:val="21"/>
          <w:szCs w:val="21"/>
        </w:rPr>
      </w:pPr>
      <w:r>
        <w:rPr>
          <w:rFonts w:ascii="宋体" w:hAnsi="宋体" w:eastAsia="宋体" w:cs="宋体"/>
          <w:b/>
          <w:bCs/>
          <w:sz w:val="21"/>
          <w:szCs w:val="21"/>
        </w:rPr>
        <w:t>项目负责人相关证书扫描件（如有）；</w:t>
      </w:r>
    </w:p>
    <w:p>
      <w:pPr>
        <w:pStyle w:val="9"/>
        <w:numPr>
          <w:ilvl w:val="0"/>
          <w:numId w:val="23"/>
        </w:numPr>
        <w:spacing w:line="400" w:lineRule="atLeast"/>
        <w:rPr>
          <w:rFonts w:hint="default" w:ascii="宋体" w:hAnsi="宋体" w:eastAsia="宋体" w:cs="宋体"/>
          <w:b/>
          <w:bCs/>
          <w:kern w:val="0"/>
          <w:sz w:val="21"/>
          <w:szCs w:val="21"/>
        </w:rPr>
      </w:pPr>
      <w:r>
        <w:rPr>
          <w:rFonts w:ascii="宋体" w:hAnsi="宋体" w:eastAsia="宋体" w:cs="宋体"/>
          <w:b/>
          <w:bCs/>
          <w:sz w:val="21"/>
          <w:szCs w:val="21"/>
        </w:rPr>
        <w:t>供应商的其他证书扫描件（如有）。</w:t>
      </w:r>
    </w:p>
    <w:p>
      <w:pPr>
        <w:pStyle w:val="29"/>
        <w:spacing w:line="400" w:lineRule="exact"/>
        <w:rPr>
          <w:rFonts w:hint="default" w:hAnsi="宋体" w:cs="宋体"/>
          <w:b/>
          <w:bCs/>
        </w:rPr>
      </w:pPr>
    </w:p>
    <w:p>
      <w:pPr>
        <w:tabs>
          <w:tab w:val="left" w:pos="840"/>
        </w:tabs>
        <w:rPr>
          <w:rFonts w:hint="default" w:ascii="宋体" w:hAnsi="宋体" w:cs="宋体"/>
          <w:b/>
          <w:bCs/>
          <w:szCs w:val="21"/>
        </w:rPr>
      </w:pPr>
      <w:bookmarkStart w:id="390" w:name="_Toc12068"/>
      <w:r>
        <w:rPr>
          <w:rFonts w:ascii="宋体" w:hAnsi="宋体" w:cs="宋体"/>
          <w:b/>
          <w:bCs/>
          <w:szCs w:val="21"/>
        </w:rPr>
        <w:t>备注：以上所需的各种证书、证件、证明、执照等证明材料均须加盖供应商公章。</w:t>
      </w:r>
      <w:bookmarkEnd w:id="390"/>
    </w:p>
    <w:p>
      <w:pPr>
        <w:pStyle w:val="8"/>
        <w:rPr>
          <w:rFonts w:hint="default" w:ascii="宋体" w:hAnsi="宋体" w:cs="宋体"/>
          <w:b/>
          <w:bCs/>
          <w:sz w:val="21"/>
          <w:szCs w:val="21"/>
        </w:rPr>
      </w:pPr>
    </w:p>
    <w:p>
      <w:pPr>
        <w:jc w:val="center"/>
        <w:outlineLvl w:val="1"/>
        <w:rPr>
          <w:rFonts w:hint="default" w:ascii="宋体" w:hAnsi="宋体" w:cs="宋体"/>
          <w:b/>
          <w:bCs/>
          <w:sz w:val="28"/>
          <w:szCs w:val="28"/>
        </w:rPr>
      </w:pPr>
      <w:bookmarkStart w:id="391" w:name="_Toc16532"/>
      <w:bookmarkStart w:id="392" w:name="_Toc1967"/>
      <w:bookmarkStart w:id="393" w:name="_Toc9057"/>
      <w:bookmarkStart w:id="394" w:name="_Toc32722"/>
      <w:bookmarkStart w:id="395" w:name="_Toc9828"/>
      <w:bookmarkStart w:id="396" w:name="_Toc5464"/>
      <w:bookmarkStart w:id="397" w:name="_Toc6171"/>
      <w:bookmarkStart w:id="398" w:name="_Toc1664"/>
      <w:bookmarkStart w:id="399" w:name="_Toc10203"/>
      <w:r>
        <w:rPr>
          <w:rFonts w:ascii="宋体" w:hAnsi="宋体" w:cs="宋体"/>
          <w:b/>
          <w:bCs/>
          <w:sz w:val="28"/>
          <w:szCs w:val="28"/>
        </w:rPr>
        <w:t>附件二    关于满足《中华人民共和国政府采购法》第二十二条规定的</w:t>
      </w:r>
      <w:bookmarkEnd w:id="391"/>
      <w:bookmarkEnd w:id="392"/>
      <w:bookmarkEnd w:id="393"/>
      <w:bookmarkEnd w:id="394"/>
      <w:bookmarkEnd w:id="395"/>
      <w:bookmarkEnd w:id="396"/>
      <w:bookmarkEnd w:id="397"/>
      <w:bookmarkStart w:id="400" w:name="_Toc13171"/>
      <w:bookmarkStart w:id="401" w:name="_Toc12976"/>
      <w:bookmarkStart w:id="402" w:name="_Toc7964"/>
      <w:bookmarkStart w:id="403" w:name="_Toc8955"/>
      <w:bookmarkStart w:id="404" w:name="_Toc21525"/>
      <w:bookmarkStart w:id="405" w:name="_Toc9510"/>
      <w:bookmarkStart w:id="406" w:name="_Toc5866"/>
      <w:bookmarkStart w:id="407" w:name="_Toc31909"/>
      <w:bookmarkStart w:id="408" w:name="_Toc5178"/>
      <w:bookmarkStart w:id="409" w:name="_Toc21851"/>
      <w:r>
        <w:rPr>
          <w:rFonts w:ascii="宋体" w:hAnsi="宋体" w:cs="宋体"/>
          <w:b/>
          <w:bCs/>
          <w:sz w:val="28"/>
          <w:szCs w:val="28"/>
        </w:rPr>
        <w:t>承诺函</w:t>
      </w:r>
      <w:bookmarkEnd w:id="398"/>
      <w:bookmarkEnd w:id="399"/>
      <w:bookmarkEnd w:id="400"/>
      <w:bookmarkEnd w:id="401"/>
      <w:bookmarkEnd w:id="402"/>
      <w:bookmarkEnd w:id="403"/>
      <w:bookmarkEnd w:id="404"/>
      <w:bookmarkEnd w:id="405"/>
      <w:bookmarkEnd w:id="406"/>
      <w:bookmarkEnd w:id="407"/>
      <w:bookmarkEnd w:id="408"/>
      <w:bookmarkEnd w:id="409"/>
    </w:p>
    <w:p>
      <w:pPr>
        <w:rPr>
          <w:rFonts w:hint="default" w:ascii="宋体" w:hAnsi="宋体" w:cs="宋体"/>
        </w:rPr>
      </w:pPr>
    </w:p>
    <w:p>
      <w:pPr>
        <w:spacing w:line="276" w:lineRule="auto"/>
        <w:rPr>
          <w:rFonts w:hint="default" w:ascii="宋体" w:hAnsi="宋体" w:cs="宋体"/>
          <w:bCs/>
        </w:rPr>
      </w:pPr>
      <w:r>
        <w:rPr>
          <w:rFonts w:hint="eastAsia" w:ascii="宋体" w:hAnsi="宋体" w:cs="宋体"/>
          <w:bCs/>
          <w:lang w:eastAsia="zh-CN"/>
        </w:rPr>
        <w:t>瑞安市汀田街道办事处</w:t>
      </w:r>
      <w:r>
        <w:rPr>
          <w:rFonts w:ascii="宋体" w:hAnsi="宋体" w:cs="宋体"/>
          <w:bCs/>
        </w:rPr>
        <w:t>：</w:t>
      </w:r>
    </w:p>
    <w:p>
      <w:pPr>
        <w:snapToGrid w:val="0"/>
        <w:spacing w:before="156" w:beforeLines="50" w:after="50" w:line="276" w:lineRule="auto"/>
        <w:rPr>
          <w:rFonts w:hint="default" w:ascii="宋体" w:hAnsi="宋体" w:cs="宋体"/>
          <w:szCs w:val="21"/>
        </w:rPr>
      </w:pPr>
      <w:r>
        <w:rPr>
          <w:rFonts w:ascii="宋体" w:hAnsi="宋体" w:cs="宋体"/>
          <w:szCs w:val="21"/>
        </w:rPr>
        <w:t>浙江综盛项目管理有限公司：</w:t>
      </w:r>
    </w:p>
    <w:p>
      <w:pPr>
        <w:rPr>
          <w:rFonts w:hint="default" w:ascii="宋体" w:hAnsi="宋体" w:cs="宋体"/>
        </w:rPr>
      </w:pPr>
    </w:p>
    <w:p>
      <w:pPr>
        <w:spacing w:line="360" w:lineRule="auto"/>
        <w:ind w:firstLine="420" w:firstLineChars="200"/>
        <w:rPr>
          <w:rStyle w:val="28"/>
          <w:rFonts w:hint="default" w:ascii="宋体" w:hAnsi="宋体" w:cs="宋体"/>
        </w:rPr>
      </w:pPr>
      <w:r>
        <w:rPr>
          <w:rStyle w:val="28"/>
          <w:rFonts w:ascii="宋体" w:hAnsi="宋体" w:cs="宋体"/>
        </w:rPr>
        <w:t>我公司参与</w:t>
      </w:r>
      <w:r>
        <w:rPr>
          <w:rStyle w:val="28"/>
          <w:rFonts w:ascii="宋体" w:hAnsi="宋体" w:cs="宋体"/>
          <w:u w:val="single"/>
        </w:rPr>
        <w:t xml:space="preserve">        项目名称        </w:t>
      </w:r>
      <w:r>
        <w:rPr>
          <w:rStyle w:val="28"/>
          <w:rFonts w:ascii="宋体" w:hAnsi="宋体" w:cs="宋体"/>
        </w:rPr>
        <w:t>（项目编号：</w:t>
      </w:r>
      <w:r>
        <w:rPr>
          <w:rStyle w:val="28"/>
          <w:rFonts w:ascii="宋体" w:hAnsi="宋体" w:cs="宋体"/>
          <w:u w:val="single"/>
        </w:rPr>
        <w:t xml:space="preserve">                  </w:t>
      </w:r>
      <w:r>
        <w:rPr>
          <w:rStyle w:val="28"/>
          <w:rFonts w:ascii="宋体" w:hAnsi="宋体" w:cs="宋体"/>
        </w:rPr>
        <w:t>）投标，郑重承诺具备以下条件：</w:t>
      </w:r>
    </w:p>
    <w:p>
      <w:pPr>
        <w:numPr>
          <w:ilvl w:val="0"/>
          <w:numId w:val="24"/>
        </w:numPr>
        <w:spacing w:line="360" w:lineRule="auto"/>
        <w:rPr>
          <w:rStyle w:val="28"/>
          <w:rFonts w:hint="default" w:ascii="宋体" w:hAnsi="宋体" w:cs="宋体"/>
        </w:rPr>
      </w:pPr>
      <w:r>
        <w:rPr>
          <w:rStyle w:val="28"/>
          <w:rFonts w:ascii="宋体" w:hAnsi="宋体" w:cs="宋体"/>
        </w:rPr>
        <w:t>具有独立承担民事责任的能力；</w:t>
      </w:r>
    </w:p>
    <w:p>
      <w:pPr>
        <w:numPr>
          <w:ilvl w:val="0"/>
          <w:numId w:val="24"/>
        </w:numPr>
        <w:spacing w:line="360" w:lineRule="auto"/>
        <w:rPr>
          <w:rStyle w:val="28"/>
          <w:rFonts w:hint="default" w:ascii="宋体" w:hAnsi="宋体" w:cs="宋体"/>
        </w:rPr>
      </w:pPr>
      <w:r>
        <w:rPr>
          <w:rStyle w:val="28"/>
          <w:rFonts w:ascii="宋体" w:hAnsi="宋体" w:cs="宋体"/>
        </w:rPr>
        <w:t>具有良好的商业信誉和健全的财务会计制度；</w:t>
      </w:r>
    </w:p>
    <w:p>
      <w:pPr>
        <w:numPr>
          <w:ilvl w:val="0"/>
          <w:numId w:val="24"/>
        </w:numPr>
        <w:spacing w:line="360" w:lineRule="auto"/>
        <w:rPr>
          <w:rStyle w:val="28"/>
          <w:rFonts w:hint="default" w:ascii="宋体" w:hAnsi="宋体" w:cs="宋体"/>
        </w:rPr>
      </w:pPr>
      <w:r>
        <w:rPr>
          <w:rStyle w:val="28"/>
          <w:rFonts w:ascii="宋体" w:hAnsi="宋体" w:cs="宋体"/>
        </w:rPr>
        <w:t>具有履行合同所必需的设备和专业技术能力；</w:t>
      </w:r>
    </w:p>
    <w:p>
      <w:pPr>
        <w:numPr>
          <w:ilvl w:val="0"/>
          <w:numId w:val="24"/>
        </w:numPr>
        <w:spacing w:line="360" w:lineRule="auto"/>
        <w:rPr>
          <w:rStyle w:val="28"/>
          <w:rFonts w:hint="default" w:ascii="宋体" w:hAnsi="宋体" w:cs="宋体"/>
        </w:rPr>
      </w:pPr>
      <w:r>
        <w:rPr>
          <w:rStyle w:val="28"/>
          <w:rFonts w:ascii="宋体" w:hAnsi="宋体" w:cs="宋体"/>
        </w:rPr>
        <w:t>有依法缴纳税收和社会保障资金的良好记录；</w:t>
      </w:r>
    </w:p>
    <w:p>
      <w:pPr>
        <w:numPr>
          <w:ilvl w:val="0"/>
          <w:numId w:val="24"/>
        </w:numPr>
        <w:spacing w:line="360" w:lineRule="auto"/>
        <w:rPr>
          <w:rStyle w:val="28"/>
          <w:rFonts w:hint="default" w:ascii="宋体" w:hAnsi="宋体" w:cs="宋体"/>
        </w:rPr>
      </w:pPr>
      <w:r>
        <w:rPr>
          <w:rStyle w:val="28"/>
          <w:rFonts w:ascii="宋体" w:hAnsi="宋体" w:cs="宋体"/>
        </w:rPr>
        <w:t>参加政府采购活动前三年内，在经营活动中没有重大违法记录；</w:t>
      </w:r>
    </w:p>
    <w:p>
      <w:pPr>
        <w:numPr>
          <w:ilvl w:val="0"/>
          <w:numId w:val="24"/>
        </w:numPr>
        <w:spacing w:line="360" w:lineRule="auto"/>
        <w:rPr>
          <w:rStyle w:val="28"/>
          <w:rFonts w:hint="default" w:ascii="宋体" w:hAnsi="宋体" w:cs="宋体"/>
        </w:rPr>
      </w:pPr>
      <w:bookmarkStart w:id="410" w:name="_Toc20673"/>
      <w:bookmarkStart w:id="411" w:name="_Toc6253"/>
      <w:bookmarkStart w:id="412" w:name="_Toc7954"/>
      <w:bookmarkStart w:id="413" w:name="_Toc9392"/>
      <w:bookmarkStart w:id="414" w:name="_Toc18820"/>
      <w:r>
        <w:rPr>
          <w:rStyle w:val="28"/>
          <w:rFonts w:ascii="宋体" w:hAnsi="宋体" w:cs="宋体"/>
        </w:rPr>
        <w:t>法律、行政法规规定的其他条件。</w:t>
      </w:r>
      <w:bookmarkEnd w:id="410"/>
      <w:bookmarkEnd w:id="411"/>
      <w:bookmarkEnd w:id="412"/>
      <w:bookmarkEnd w:id="413"/>
      <w:bookmarkEnd w:id="414"/>
    </w:p>
    <w:p>
      <w:pPr>
        <w:spacing w:line="360" w:lineRule="auto"/>
        <w:ind w:firstLine="422" w:firstLineChars="200"/>
        <w:rPr>
          <w:rStyle w:val="28"/>
          <w:rFonts w:hint="default" w:ascii="宋体" w:hAnsi="宋体" w:cs="宋体"/>
        </w:rPr>
      </w:pPr>
      <w:r>
        <w:rPr>
          <w:rStyle w:val="28"/>
          <w:rFonts w:ascii="宋体" w:hAnsi="宋体" w:cs="宋体"/>
          <w:b/>
          <w:bCs/>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28"/>
          <w:rFonts w:ascii="宋体" w:hAnsi="宋体" w:cs="宋体"/>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rPr>
          <w:rStyle w:val="28"/>
          <w:rFonts w:hint="default" w:ascii="宋体" w:hAnsi="宋体" w:cs="宋体"/>
        </w:rPr>
      </w:pPr>
      <w:r>
        <w:rPr>
          <w:rStyle w:val="28"/>
          <w:rFonts w:ascii="宋体" w:hAnsi="宋体" w:cs="宋体"/>
        </w:rPr>
        <w:t>我单位已知晓前述法律规定，对此无任何异议。</w:t>
      </w:r>
    </w:p>
    <w:p>
      <w:pPr>
        <w:ind w:firstLine="420" w:firstLineChars="200"/>
        <w:rPr>
          <w:rStyle w:val="28"/>
          <w:rFonts w:hint="default" w:ascii="宋体" w:hAnsi="宋体" w:cs="宋体"/>
        </w:rPr>
      </w:pPr>
    </w:p>
    <w:p>
      <w:pPr>
        <w:ind w:firstLine="420" w:firstLineChars="200"/>
        <w:rPr>
          <w:rStyle w:val="28"/>
          <w:rFonts w:hint="default" w:ascii="宋体" w:hAnsi="宋体" w:cs="宋体"/>
        </w:rPr>
      </w:pPr>
    </w:p>
    <w:p>
      <w:pPr>
        <w:tabs>
          <w:tab w:val="left" w:pos="4635"/>
        </w:tabs>
        <w:spacing w:line="360" w:lineRule="auto"/>
        <w:ind w:left="4601" w:leftChars="2191" w:right="93" w:firstLine="16" w:firstLineChars="8"/>
        <w:rPr>
          <w:rFonts w:hint="default" w:ascii="宋体" w:hAnsi="宋体" w:cs="宋体"/>
          <w:szCs w:val="22"/>
        </w:rPr>
      </w:pPr>
      <w:r>
        <w:rPr>
          <w:rFonts w:ascii="宋体" w:hAnsi="宋体" w:cs="宋体"/>
          <w:szCs w:val="22"/>
        </w:rPr>
        <w:t>磋商供应商全称（电子签章）：</w:t>
      </w:r>
    </w:p>
    <w:p>
      <w:pPr>
        <w:tabs>
          <w:tab w:val="left" w:pos="4635"/>
        </w:tabs>
        <w:spacing w:line="360" w:lineRule="auto"/>
        <w:ind w:left="4601" w:leftChars="2191" w:right="93" w:firstLine="16" w:firstLineChars="8"/>
        <w:rPr>
          <w:rFonts w:hint="default" w:ascii="宋体" w:hAnsi="宋体" w:cs="宋体"/>
          <w:szCs w:val="22"/>
        </w:rPr>
      </w:pPr>
      <w:r>
        <w:rPr>
          <w:rFonts w:ascii="宋体" w:hAnsi="宋体" w:cs="宋体"/>
          <w:szCs w:val="22"/>
        </w:rPr>
        <w:t>日  期：</w:t>
      </w:r>
    </w:p>
    <w:p>
      <w:pPr>
        <w:rPr>
          <w:rStyle w:val="28"/>
          <w:rFonts w:hint="default" w:ascii="宋体" w:hAnsi="宋体" w:cs="宋体"/>
          <w:b/>
          <w:bCs/>
        </w:rPr>
      </w:pPr>
    </w:p>
    <w:p>
      <w:pPr>
        <w:rPr>
          <w:rStyle w:val="28"/>
          <w:rFonts w:hint="default" w:ascii="宋体" w:hAnsi="宋体" w:cs="宋体"/>
          <w:b/>
          <w:bCs/>
        </w:rPr>
      </w:pPr>
    </w:p>
    <w:p>
      <w:pPr>
        <w:tabs>
          <w:tab w:val="left" w:pos="1152"/>
        </w:tabs>
        <w:rPr>
          <w:rFonts w:hint="default"/>
        </w:rPr>
      </w:pPr>
      <w:bookmarkStart w:id="415" w:name="_Toc27711"/>
      <w:r>
        <w:rPr>
          <w:rStyle w:val="28"/>
          <w:rFonts w:ascii="宋体" w:hAnsi="宋体" w:cs="宋体"/>
          <w:b/>
          <w:bCs/>
          <w:szCs w:val="21"/>
        </w:rPr>
        <w:t>注：1、</w:t>
      </w:r>
      <w:r>
        <w:rPr>
          <w:rStyle w:val="28"/>
          <w:rFonts w:ascii="宋体" w:hAnsi="宋体" w:cs="宋体"/>
          <w:szCs w:val="21"/>
        </w:rPr>
        <w:t>▲</w:t>
      </w:r>
      <w:r>
        <w:rPr>
          <w:rStyle w:val="28"/>
          <w:rFonts w:ascii="宋体" w:hAnsi="宋体" w:cs="宋体"/>
          <w:b/>
          <w:bCs/>
          <w:szCs w:val="21"/>
        </w:rPr>
        <w:t>本承诺函必须提供。</w:t>
      </w:r>
      <w:bookmarkEnd w:id="415"/>
    </w:p>
    <w:p>
      <w:pPr>
        <w:rPr>
          <w:rFonts w:hint="default"/>
        </w:rPr>
      </w:pPr>
    </w:p>
    <w:p>
      <w:pPr>
        <w:tabs>
          <w:tab w:val="left" w:pos="840"/>
        </w:tabs>
        <w:rPr>
          <w:rFonts w:hint="default"/>
        </w:rPr>
      </w:pPr>
      <w:bookmarkStart w:id="416" w:name="_Toc21758"/>
      <w:bookmarkStart w:id="417" w:name="_Toc10761"/>
      <w:bookmarkStart w:id="418" w:name="_Toc21943"/>
      <w:bookmarkStart w:id="419" w:name="_Toc19370"/>
      <w:bookmarkStart w:id="420" w:name="_Toc19849"/>
    </w:p>
    <w:p>
      <w:pPr>
        <w:pStyle w:val="8"/>
        <w:rPr>
          <w:rFonts w:hint="default"/>
        </w:rPr>
      </w:pPr>
    </w:p>
    <w:p>
      <w:pPr>
        <w:rPr>
          <w:rFonts w:hint="default"/>
        </w:rPr>
      </w:pPr>
    </w:p>
    <w:p>
      <w:pPr>
        <w:jc w:val="center"/>
        <w:outlineLvl w:val="1"/>
        <w:rPr>
          <w:rFonts w:hint="default" w:ascii="宋体" w:hAnsi="宋体" w:cs="宋体"/>
          <w:b/>
          <w:bCs/>
          <w:sz w:val="28"/>
          <w:szCs w:val="28"/>
        </w:rPr>
      </w:pPr>
      <w:bookmarkStart w:id="421" w:name="_Toc31396"/>
      <w:bookmarkStart w:id="422" w:name="_Toc25118"/>
      <w:bookmarkStart w:id="423" w:name="_Toc10372"/>
      <w:r>
        <w:rPr>
          <w:rFonts w:ascii="宋体" w:hAnsi="宋体" w:cs="宋体"/>
          <w:b/>
          <w:bCs/>
          <w:sz w:val="28"/>
          <w:szCs w:val="28"/>
        </w:rPr>
        <w:t>附件三-1  法定代表人授权委托书</w:t>
      </w:r>
      <w:bookmarkEnd w:id="416"/>
      <w:bookmarkEnd w:id="417"/>
      <w:bookmarkEnd w:id="418"/>
      <w:bookmarkEnd w:id="419"/>
      <w:bookmarkEnd w:id="420"/>
      <w:bookmarkEnd w:id="421"/>
      <w:bookmarkEnd w:id="422"/>
      <w:bookmarkEnd w:id="423"/>
    </w:p>
    <w:p>
      <w:pPr>
        <w:spacing w:line="276" w:lineRule="auto"/>
        <w:rPr>
          <w:rFonts w:hint="default" w:ascii="宋体" w:hAnsi="宋体" w:cs="宋体"/>
          <w:bCs/>
        </w:rPr>
      </w:pPr>
      <w:r>
        <w:rPr>
          <w:rFonts w:hint="eastAsia" w:ascii="宋体" w:hAnsi="宋体" w:cs="宋体"/>
          <w:bCs/>
          <w:lang w:eastAsia="zh-CN"/>
        </w:rPr>
        <w:t>瑞安市汀田街道办事处</w:t>
      </w:r>
      <w:r>
        <w:rPr>
          <w:rFonts w:ascii="宋体" w:hAnsi="宋体" w:cs="宋体"/>
          <w:bCs/>
        </w:rPr>
        <w:t>：</w:t>
      </w:r>
    </w:p>
    <w:p>
      <w:pPr>
        <w:snapToGrid w:val="0"/>
        <w:spacing w:before="156" w:beforeLines="50" w:after="50" w:line="276" w:lineRule="auto"/>
        <w:rPr>
          <w:rFonts w:hint="default" w:ascii="宋体" w:hAnsi="宋体" w:cs="宋体"/>
          <w:szCs w:val="21"/>
        </w:rPr>
      </w:pPr>
      <w:r>
        <w:rPr>
          <w:rFonts w:ascii="宋体" w:hAnsi="宋体" w:cs="宋体"/>
          <w:szCs w:val="21"/>
        </w:rPr>
        <w:t>浙江综盛项目管理有限公司：</w:t>
      </w:r>
    </w:p>
    <w:p>
      <w:pPr>
        <w:spacing w:line="360" w:lineRule="auto"/>
        <w:ind w:firstLine="426" w:firstLineChars="203"/>
        <w:rPr>
          <w:rFonts w:hint="default" w:ascii="宋体" w:hAnsi="宋体" w:cs="宋体"/>
        </w:rPr>
      </w:pPr>
      <w:r>
        <w:rPr>
          <w:rFonts w:ascii="宋体" w:hAnsi="宋体" w:cs="宋体"/>
        </w:rPr>
        <w:t>本授权委托书声明：我</w:t>
      </w:r>
      <w:r>
        <w:rPr>
          <w:rFonts w:ascii="宋体" w:hAnsi="宋体" w:cs="宋体"/>
          <w:u w:val="single"/>
        </w:rPr>
        <w:t xml:space="preserve">   （法人代表姓名）  </w:t>
      </w:r>
      <w:r>
        <w:rPr>
          <w:rFonts w:ascii="宋体" w:hAnsi="宋体" w:cs="宋体"/>
        </w:rPr>
        <w:t>系</w:t>
      </w:r>
      <w:r>
        <w:rPr>
          <w:rFonts w:ascii="宋体" w:hAnsi="宋体" w:cs="宋体"/>
          <w:u w:val="single"/>
        </w:rPr>
        <w:t xml:space="preserve">  （磋商供应商名称）  </w:t>
      </w:r>
      <w:r>
        <w:rPr>
          <w:rFonts w:ascii="宋体" w:hAnsi="宋体" w:cs="宋体"/>
        </w:rPr>
        <w:t>的法定代表人，现授权委托本单位正式职工</w:t>
      </w:r>
      <w:r>
        <w:rPr>
          <w:rFonts w:ascii="宋体" w:hAnsi="宋体" w:cs="宋体"/>
          <w:u w:val="single"/>
        </w:rPr>
        <w:t xml:space="preserve">    （授权代表姓名）    </w:t>
      </w:r>
      <w:r>
        <w:rPr>
          <w:rFonts w:ascii="宋体" w:hAnsi="宋体" w:cs="宋体"/>
        </w:rPr>
        <w:t>为我公司法定代表人授权代表，参加贵处组织的</w:t>
      </w:r>
      <w:r>
        <w:rPr>
          <w:rFonts w:ascii="宋体" w:hAnsi="宋体" w:cs="宋体"/>
          <w:u w:val="single"/>
        </w:rPr>
        <w:t xml:space="preserve">（项目编号）          </w:t>
      </w:r>
      <w:r>
        <w:rPr>
          <w:rFonts w:ascii="宋体" w:hAnsi="宋体" w:cs="宋体"/>
        </w:rPr>
        <w:t xml:space="preserve">项目投标，全权处理本次招投标活动中的一切事宜，并代表我方全权办理针对上述项目的投标、开标、评标、签约等具体事务和签署相关文件。   </w:t>
      </w:r>
    </w:p>
    <w:p>
      <w:pPr>
        <w:spacing w:line="360" w:lineRule="auto"/>
        <w:ind w:left="283" w:leftChars="135" w:firstLine="140" w:firstLineChars="67"/>
        <w:rPr>
          <w:rFonts w:hint="default" w:ascii="宋体" w:hAnsi="宋体" w:cs="宋体"/>
        </w:rPr>
      </w:pPr>
      <w:r>
        <w:rPr>
          <w:rFonts w:ascii="宋体" w:hAnsi="宋体" w:cs="宋体"/>
        </w:rPr>
        <w:t>我方对被授权人的签名负全部责任。</w:t>
      </w:r>
    </w:p>
    <w:p>
      <w:pPr>
        <w:spacing w:line="360" w:lineRule="auto"/>
        <w:ind w:firstLine="420" w:firstLineChars="200"/>
        <w:rPr>
          <w:rFonts w:hint="default" w:ascii="宋体" w:hAnsi="宋体" w:cs="宋体"/>
        </w:rPr>
      </w:pPr>
      <w:r>
        <w:rPr>
          <w:rFonts w:ascii="宋体" w:hAnsi="宋体" w:cs="宋体"/>
        </w:rPr>
        <w:t>在撤销授权的书面通知以前，本授权委托书一直有效。被授权人在授权委托书有效期内签署的所有文件不因授权的撤销而失效。</w:t>
      </w:r>
    </w:p>
    <w:p>
      <w:pPr>
        <w:spacing w:line="360" w:lineRule="auto"/>
        <w:ind w:firstLine="420" w:firstLineChars="200"/>
        <w:rPr>
          <w:rFonts w:hint="default" w:ascii="宋体" w:hAnsi="宋体" w:cs="宋体"/>
        </w:rPr>
      </w:pPr>
      <w:r>
        <w:rPr>
          <w:rFonts w:ascii="宋体" w:hAnsi="宋体" w:cs="宋体"/>
        </w:rPr>
        <w:t>授权代表无转委托权，特此委托。</w:t>
      </w:r>
    </w:p>
    <w:p>
      <w:pPr>
        <w:spacing w:line="276" w:lineRule="auto"/>
        <w:ind w:firstLine="697"/>
        <w:rPr>
          <w:rFonts w:hint="default" w:ascii="宋体" w:hAnsi="宋体" w:cs="宋体"/>
        </w:rPr>
      </w:pPr>
    </w:p>
    <w:p>
      <w:pPr>
        <w:spacing w:before="312" w:beforeLines="100" w:after="312" w:afterLines="100" w:line="400" w:lineRule="atLeast"/>
        <w:ind w:firstLine="697"/>
        <w:rPr>
          <w:rFonts w:hint="default" w:ascii="宋体" w:hAnsi="宋体" w:cs="宋体"/>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140970</wp:posOffset>
                </wp:positionV>
                <wp:extent cx="2324100" cy="35337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0" y="0"/>
                          <a:ext cx="23241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center"/>
                              <w:rPr>
                                <w:rFonts w:hint="default"/>
                              </w:rPr>
                            </w:pPr>
                            <w:r>
                              <w:t>授权代表身份证复印件（正反两面）</w:t>
                            </w:r>
                          </w:p>
                        </w:txbxContent>
                      </wps:txbx>
                      <wps:bodyPr upright="1"/>
                    </wps:wsp>
                  </a:graphicData>
                </a:graphic>
              </wp:anchor>
            </w:drawing>
          </mc:Choice>
          <mc:Fallback>
            <w:pict>
              <v:shape id="_x0000_s1026" o:spid="_x0000_s1026" o:spt="202" type="#_x0000_t202" style="position:absolute;left:0pt;margin-left:-22.15pt;margin-top:11.1pt;height:278.25pt;width:183pt;z-index:251661312;mso-width-relative:page;mso-height-relative:page;" fillcolor="#FFFFFF" filled="t" stroked="t" coordsize="21600,21600" o:gfxdata="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M7nTNoAAAAKAQAADwAAAAAAAAABACAA&#10;AAAiAAAAZHJzL2Rvd25yZXYueG1sUEsBAhQAFAAAAAgAh07iQM2BKkQLAgAANwQAAA4AAAAAAAAA&#10;AQAgAAAAKQEAAGRycy9lMm9Eb2MueG1sUEsFBgAAAAAGAAYAWQEAAKYFAAAAAA==&#10;">
                <v:fill on="t" focussize="0,0"/>
                <v:stroke color="#000000" joinstyle="miter"/>
                <v:imagedata o:title=""/>
                <o:lock v:ext="edit" aspectratio="f"/>
                <v:textbox>
                  <w:txbxContent>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center"/>
                        <w:rPr>
                          <w:rFonts w:hint="default"/>
                        </w:rPr>
                      </w:pPr>
                      <w:r>
                        <w:t>授权代表身份证复印件（正反两面）</w:t>
                      </w:r>
                    </w:p>
                  </w:txbxContent>
                </v:textbox>
              </v:shape>
            </w:pict>
          </mc:Fallback>
        </mc:AlternateContent>
      </w:r>
    </w:p>
    <w:p>
      <w:pPr>
        <w:spacing w:before="312" w:beforeLines="100" w:after="312" w:afterLines="100" w:line="400" w:lineRule="atLeast"/>
        <w:ind w:left="2100" w:leftChars="1000" w:firstLine="1365" w:firstLineChars="650"/>
        <w:rPr>
          <w:rFonts w:hint="default" w:ascii="宋体" w:hAnsi="宋体" w:cs="宋体"/>
          <w:szCs w:val="21"/>
          <w:u w:val="single"/>
        </w:rPr>
      </w:pPr>
      <w:r>
        <w:rPr>
          <w:rFonts w:ascii="宋体" w:hAnsi="宋体" w:cs="宋体"/>
          <w:szCs w:val="21"/>
        </w:rPr>
        <w:t>授权代表：</w:t>
      </w:r>
      <w:r>
        <w:rPr>
          <w:rFonts w:ascii="宋体" w:hAnsi="宋体" w:cs="宋体"/>
          <w:szCs w:val="21"/>
          <w:u w:val="single"/>
        </w:rPr>
        <w:t xml:space="preserve">        </w:t>
      </w:r>
      <w:r>
        <w:rPr>
          <w:rFonts w:ascii="宋体" w:hAnsi="宋体" w:cs="宋体"/>
          <w:szCs w:val="21"/>
        </w:rPr>
        <w:t>性别 ：</w:t>
      </w:r>
      <w:r>
        <w:rPr>
          <w:rFonts w:ascii="宋体" w:hAnsi="宋体" w:cs="宋体"/>
          <w:szCs w:val="21"/>
          <w:u w:val="single"/>
        </w:rPr>
        <w:t xml:space="preserve">       </w:t>
      </w:r>
      <w:r>
        <w:rPr>
          <w:rFonts w:ascii="宋体" w:hAnsi="宋体" w:cs="宋体"/>
          <w:szCs w:val="21"/>
        </w:rPr>
        <w:t>年龄：</w:t>
      </w:r>
      <w:r>
        <w:rPr>
          <w:rFonts w:ascii="宋体" w:hAnsi="宋体" w:cs="宋体"/>
          <w:szCs w:val="21"/>
          <w:u w:val="single"/>
        </w:rPr>
        <w:t xml:space="preserve">        </w:t>
      </w:r>
      <w:r>
        <w:rPr>
          <w:rFonts w:ascii="宋体" w:hAnsi="宋体" w:cs="宋体"/>
          <w:szCs w:val="21"/>
        </w:rPr>
        <w:t xml:space="preserve"> </w:t>
      </w:r>
    </w:p>
    <w:p>
      <w:pPr>
        <w:spacing w:before="312" w:beforeLines="100" w:after="312" w:afterLines="100" w:line="400" w:lineRule="atLeast"/>
        <w:ind w:left="2100" w:leftChars="1000" w:firstLine="1365" w:firstLineChars="650"/>
        <w:rPr>
          <w:rFonts w:hint="default" w:ascii="宋体" w:hAnsi="宋体" w:cs="宋体"/>
          <w:szCs w:val="21"/>
          <w:u w:val="single"/>
        </w:rPr>
      </w:pPr>
      <w:r>
        <w:rPr>
          <w:rFonts w:ascii="宋体" w:hAnsi="宋体" w:cs="宋体"/>
          <w:szCs w:val="21"/>
        </w:rPr>
        <w:t>身份证号码：</w:t>
      </w:r>
      <w:r>
        <w:rPr>
          <w:rFonts w:ascii="宋体" w:hAnsi="宋体" w:cs="宋体"/>
          <w:szCs w:val="21"/>
          <w:u w:val="single"/>
        </w:rPr>
        <w:t xml:space="preserve">                    </w:t>
      </w:r>
      <w:r>
        <w:rPr>
          <w:rFonts w:ascii="宋体" w:hAnsi="宋体" w:cs="宋体"/>
          <w:szCs w:val="21"/>
        </w:rPr>
        <w:t>职务：</w:t>
      </w:r>
      <w:r>
        <w:rPr>
          <w:rFonts w:ascii="宋体" w:hAnsi="宋体" w:cs="宋体"/>
          <w:szCs w:val="21"/>
          <w:u w:val="single"/>
        </w:rPr>
        <w:t xml:space="preserve">             </w:t>
      </w:r>
    </w:p>
    <w:p>
      <w:pPr>
        <w:spacing w:before="312" w:beforeLines="100" w:after="312" w:afterLines="100" w:line="400" w:lineRule="atLeast"/>
        <w:ind w:left="2100" w:leftChars="1000" w:firstLine="1365" w:firstLineChars="650"/>
        <w:rPr>
          <w:rFonts w:hint="default" w:ascii="宋体" w:hAnsi="宋体" w:cs="宋体"/>
          <w:szCs w:val="21"/>
          <w:u w:val="single"/>
        </w:rPr>
      </w:pPr>
      <w:r>
        <w:rPr>
          <w:rFonts w:ascii="宋体" w:hAnsi="宋体" w:cs="宋体"/>
          <w:szCs w:val="21"/>
        </w:rPr>
        <w:t>详细通讯地址：</w:t>
      </w:r>
      <w:r>
        <w:rPr>
          <w:rFonts w:ascii="宋体" w:hAnsi="宋体" w:cs="宋体"/>
          <w:szCs w:val="21"/>
          <w:u w:val="single"/>
        </w:rPr>
        <w:t xml:space="preserve">              </w:t>
      </w:r>
      <w:r>
        <w:rPr>
          <w:rFonts w:ascii="宋体" w:hAnsi="宋体" w:cs="宋体"/>
          <w:szCs w:val="21"/>
        </w:rPr>
        <w:t>邮政编码：</w:t>
      </w:r>
      <w:r>
        <w:rPr>
          <w:rFonts w:ascii="宋体" w:hAnsi="宋体" w:cs="宋体"/>
          <w:szCs w:val="21"/>
          <w:u w:val="single"/>
        </w:rPr>
        <w:t xml:space="preserve">             </w:t>
      </w:r>
    </w:p>
    <w:p>
      <w:pPr>
        <w:spacing w:before="312" w:beforeLines="100" w:after="312" w:afterLines="100" w:line="400" w:lineRule="atLeast"/>
        <w:ind w:firstLine="3465" w:firstLineChars="1650"/>
        <w:rPr>
          <w:rFonts w:hint="default" w:ascii="宋体" w:hAnsi="宋体" w:cs="宋体"/>
          <w:szCs w:val="21"/>
          <w:u w:val="single"/>
        </w:rPr>
      </w:pPr>
      <w:r>
        <w:rPr>
          <w:rFonts w:ascii="宋体" w:hAnsi="宋体" w:cs="宋体"/>
          <w:szCs w:val="21"/>
        </w:rPr>
        <w:t xml:space="preserve">手机号码： </w:t>
      </w:r>
      <w:r>
        <w:rPr>
          <w:rFonts w:ascii="宋体" w:hAnsi="宋体" w:cs="宋体"/>
          <w:szCs w:val="21"/>
          <w:u w:val="single"/>
        </w:rPr>
        <w:t xml:space="preserve">              </w:t>
      </w:r>
      <w:r>
        <w:rPr>
          <w:rFonts w:ascii="宋体" w:hAnsi="宋体" w:cs="宋体"/>
          <w:szCs w:val="21"/>
        </w:rPr>
        <w:t>电子邮箱：</w:t>
      </w:r>
      <w:r>
        <w:rPr>
          <w:rFonts w:ascii="宋体" w:hAnsi="宋体" w:cs="宋体"/>
          <w:szCs w:val="21"/>
          <w:u w:val="single"/>
        </w:rPr>
        <w:t xml:space="preserve">              </w:t>
      </w:r>
    </w:p>
    <w:p>
      <w:pPr>
        <w:spacing w:before="312" w:beforeLines="100" w:after="312" w:afterLines="100" w:line="400" w:lineRule="atLeast"/>
        <w:ind w:firstLine="3465" w:firstLineChars="1650"/>
        <w:rPr>
          <w:rFonts w:hint="default" w:ascii="宋体" w:hAnsi="宋体" w:cs="宋体"/>
          <w:szCs w:val="21"/>
          <w:u w:val="single"/>
        </w:rPr>
      </w:pPr>
      <w:r>
        <w:rPr>
          <w:rFonts w:ascii="宋体" w:hAnsi="宋体" w:cs="宋体"/>
          <w:szCs w:val="21"/>
        </w:rPr>
        <w:t>电     话：</w:t>
      </w:r>
      <w:r>
        <w:rPr>
          <w:rFonts w:ascii="宋体" w:hAnsi="宋体" w:cs="宋体"/>
          <w:szCs w:val="21"/>
          <w:u w:val="single"/>
        </w:rPr>
        <w:t xml:space="preserve">            </w:t>
      </w:r>
      <w:r>
        <w:rPr>
          <w:rFonts w:ascii="宋体" w:hAnsi="宋体" w:cs="宋体"/>
          <w:szCs w:val="21"/>
        </w:rPr>
        <w:t>传    真：</w:t>
      </w:r>
      <w:r>
        <w:rPr>
          <w:rFonts w:ascii="宋体" w:hAnsi="宋体" w:cs="宋体"/>
          <w:szCs w:val="21"/>
          <w:u w:val="single"/>
        </w:rPr>
        <w:t xml:space="preserve">             </w:t>
      </w:r>
    </w:p>
    <w:p>
      <w:pPr>
        <w:spacing w:before="312" w:beforeLines="100" w:after="312" w:afterLines="100" w:line="400" w:lineRule="atLeast"/>
        <w:ind w:left="1" w:firstLine="403" w:firstLineChars="192"/>
        <w:rPr>
          <w:rFonts w:hint="default" w:ascii="宋体" w:hAnsi="宋体" w:cs="宋体"/>
          <w:szCs w:val="21"/>
        </w:rPr>
      </w:pPr>
      <w:r>
        <w:rPr>
          <w:rFonts w:ascii="宋体" w:hAnsi="宋体" w:cs="宋体"/>
          <w:szCs w:val="21"/>
        </w:rPr>
        <w:t xml:space="preserve">                             磋商供应商：</w:t>
      </w:r>
      <w:r>
        <w:rPr>
          <w:rFonts w:ascii="宋体" w:hAnsi="宋体" w:cs="宋体"/>
          <w:szCs w:val="21"/>
          <w:u w:val="single"/>
        </w:rPr>
        <w:t xml:space="preserve">                 （</w:t>
      </w:r>
      <w:r>
        <w:rPr>
          <w:rFonts w:ascii="宋体" w:hAnsi="宋体" w:cs="宋体"/>
          <w:u w:val="single"/>
        </w:rPr>
        <w:t>盖电子签章）</w:t>
      </w:r>
    </w:p>
    <w:p>
      <w:pPr>
        <w:spacing w:before="312" w:beforeLines="100" w:after="312" w:afterLines="100" w:line="400" w:lineRule="atLeast"/>
        <w:ind w:left="2100" w:right="420" w:firstLine="1365" w:firstLineChars="650"/>
        <w:rPr>
          <w:rFonts w:hint="default" w:ascii="宋体" w:hAnsi="宋体" w:cs="宋体"/>
          <w:szCs w:val="21"/>
        </w:rPr>
      </w:pPr>
      <w:r>
        <w:rPr>
          <w:rFonts w:ascii="宋体" w:hAnsi="宋体" w:cs="宋体"/>
          <w:szCs w:val="21"/>
        </w:rPr>
        <w:t>法定代表人：</w:t>
      </w:r>
      <w:r>
        <w:rPr>
          <w:rFonts w:ascii="宋体" w:hAnsi="宋体" w:cs="宋体"/>
          <w:szCs w:val="21"/>
          <w:u w:val="single"/>
        </w:rPr>
        <w:t xml:space="preserve">                 （签字或盖章）</w:t>
      </w:r>
    </w:p>
    <w:p>
      <w:pPr>
        <w:spacing w:before="312" w:beforeLines="100" w:after="312" w:afterLines="100" w:line="400" w:lineRule="atLeast"/>
        <w:ind w:firstLine="3150" w:firstLineChars="1500"/>
        <w:jc w:val="right"/>
        <w:rPr>
          <w:rFonts w:hint="default" w:ascii="宋体" w:hAnsi="宋体" w:cs="宋体"/>
          <w:szCs w:val="21"/>
        </w:rPr>
      </w:pPr>
    </w:p>
    <w:p>
      <w:pPr>
        <w:spacing w:before="312" w:beforeLines="100" w:after="312" w:afterLines="100" w:line="400" w:lineRule="atLeast"/>
        <w:ind w:firstLine="3150" w:firstLineChars="1500"/>
        <w:jc w:val="right"/>
        <w:rPr>
          <w:rFonts w:hint="default" w:ascii="宋体" w:hAnsi="宋体" w:cs="宋体"/>
          <w:szCs w:val="21"/>
        </w:rPr>
      </w:pPr>
    </w:p>
    <w:p>
      <w:pPr>
        <w:spacing w:before="312" w:beforeLines="100" w:after="312" w:afterLines="100" w:line="400" w:lineRule="atLeast"/>
        <w:ind w:firstLine="3150" w:firstLineChars="1500"/>
        <w:jc w:val="right"/>
        <w:rPr>
          <w:rFonts w:hint="default" w:ascii="宋体" w:hAnsi="宋体" w:cs="宋体"/>
          <w:b/>
          <w:bCs/>
          <w:sz w:val="28"/>
          <w:szCs w:val="28"/>
        </w:rPr>
      </w:pPr>
      <w:r>
        <w:rPr>
          <w:rFonts w:ascii="宋体" w:hAnsi="宋体" w:cs="宋体"/>
          <w:szCs w:val="21"/>
        </w:rPr>
        <w:t>授权委托日期：</w:t>
      </w:r>
      <w:r>
        <w:rPr>
          <w:rFonts w:ascii="宋体" w:hAnsi="宋体" w:cs="宋体"/>
          <w:szCs w:val="21"/>
          <w:u w:val="single"/>
        </w:rPr>
        <w:t xml:space="preserve">     </w:t>
      </w:r>
      <w:r>
        <w:rPr>
          <w:rFonts w:ascii="宋体" w:hAnsi="宋体" w:cs="宋体"/>
          <w:szCs w:val="21"/>
        </w:rPr>
        <w:t xml:space="preserve">年 </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bookmarkStart w:id="424" w:name="_Toc27037135"/>
      <w:bookmarkStart w:id="425" w:name="_Toc5271"/>
      <w:bookmarkStart w:id="426" w:name="_Toc19590"/>
      <w:bookmarkStart w:id="427" w:name="_Toc29170"/>
      <w:bookmarkStart w:id="428" w:name="_Toc15488"/>
      <w:bookmarkStart w:id="429" w:name="_Toc486931327"/>
      <w:bookmarkStart w:id="430" w:name="_Toc27035996"/>
      <w:bookmarkStart w:id="431" w:name="_Toc2075"/>
      <w:bookmarkStart w:id="432" w:name="_Toc10391"/>
      <w:bookmarkStart w:id="433" w:name="_Toc31384"/>
    </w:p>
    <w:p>
      <w:pPr>
        <w:jc w:val="center"/>
        <w:outlineLvl w:val="1"/>
        <w:rPr>
          <w:rFonts w:hint="default" w:ascii="宋体" w:hAnsi="宋体" w:cs="宋体"/>
          <w:b/>
          <w:bCs/>
          <w:sz w:val="28"/>
          <w:szCs w:val="28"/>
        </w:rPr>
      </w:pPr>
      <w:bookmarkStart w:id="434" w:name="_Toc17217"/>
      <w:bookmarkStart w:id="435" w:name="_Toc12958"/>
      <w:bookmarkStart w:id="436" w:name="_Toc18364"/>
      <w:r>
        <w:rPr>
          <w:rFonts w:ascii="宋体" w:hAnsi="宋体" w:cs="宋体"/>
          <w:b/>
          <w:bCs/>
          <w:sz w:val="28"/>
          <w:szCs w:val="28"/>
        </w:rPr>
        <w:t>附件三-2  法定代表人身份证明</w:t>
      </w:r>
      <w:bookmarkEnd w:id="424"/>
      <w:bookmarkEnd w:id="425"/>
      <w:bookmarkEnd w:id="426"/>
      <w:bookmarkEnd w:id="427"/>
      <w:bookmarkEnd w:id="428"/>
      <w:bookmarkEnd w:id="429"/>
      <w:bookmarkEnd w:id="430"/>
      <w:bookmarkEnd w:id="431"/>
      <w:bookmarkEnd w:id="432"/>
      <w:bookmarkEnd w:id="433"/>
      <w:bookmarkEnd w:id="434"/>
      <w:bookmarkEnd w:id="435"/>
      <w:bookmarkEnd w:id="436"/>
    </w:p>
    <w:p>
      <w:pPr>
        <w:rPr>
          <w:rFonts w:hint="default" w:ascii="宋体" w:hAnsi="宋体" w:cs="宋体"/>
        </w:rPr>
      </w:pPr>
    </w:p>
    <w:p>
      <w:pPr>
        <w:spacing w:line="360" w:lineRule="auto"/>
        <w:rPr>
          <w:rFonts w:hint="default" w:ascii="宋体" w:hAnsi="宋体" w:cs="宋体"/>
          <w:szCs w:val="21"/>
        </w:rPr>
      </w:pPr>
      <w:r>
        <w:rPr>
          <w:rFonts w:ascii="宋体" w:hAnsi="宋体" w:cs="宋体"/>
          <w:szCs w:val="21"/>
        </w:rPr>
        <w:t>申 请 人：</w:t>
      </w:r>
      <w:r>
        <w:rPr>
          <w:rFonts w:ascii="宋体" w:hAnsi="宋体" w:cs="宋体"/>
          <w:szCs w:val="21"/>
          <w:u w:val="single"/>
        </w:rPr>
        <w:t xml:space="preserve">                                                       </w:t>
      </w:r>
    </w:p>
    <w:p>
      <w:pPr>
        <w:spacing w:line="360" w:lineRule="auto"/>
        <w:rPr>
          <w:rFonts w:hint="default" w:ascii="宋体" w:hAnsi="宋体" w:cs="宋体"/>
          <w:szCs w:val="21"/>
          <w:u w:val="single"/>
        </w:rPr>
      </w:pPr>
      <w:r>
        <w:rPr>
          <w:rFonts w:ascii="宋体" w:hAnsi="宋体" w:cs="宋体"/>
          <w:szCs w:val="21"/>
        </w:rPr>
        <w:t>单位性质：</w:t>
      </w:r>
      <w:r>
        <w:rPr>
          <w:rFonts w:ascii="宋体" w:hAnsi="宋体" w:cs="宋体"/>
          <w:szCs w:val="21"/>
          <w:u w:val="single"/>
        </w:rPr>
        <w:t xml:space="preserve">                                                       </w:t>
      </w:r>
    </w:p>
    <w:p>
      <w:pPr>
        <w:spacing w:line="360" w:lineRule="auto"/>
        <w:rPr>
          <w:rFonts w:hint="default" w:ascii="宋体" w:hAnsi="宋体" w:cs="宋体"/>
          <w:szCs w:val="21"/>
        </w:rPr>
      </w:pPr>
      <w:r>
        <w:rPr>
          <w:rFonts w:ascii="宋体" w:hAnsi="宋体" w:cs="宋体"/>
          <w:szCs w:val="21"/>
        </w:rPr>
        <w:t>地    址：</w:t>
      </w:r>
      <w:r>
        <w:rPr>
          <w:rFonts w:ascii="宋体" w:hAnsi="宋体" w:cs="宋体"/>
          <w:szCs w:val="21"/>
          <w:u w:val="single"/>
        </w:rPr>
        <w:t xml:space="preserve">                                                       </w:t>
      </w:r>
    </w:p>
    <w:p>
      <w:pPr>
        <w:spacing w:line="360" w:lineRule="auto"/>
        <w:rPr>
          <w:rFonts w:hint="default" w:ascii="宋体" w:hAnsi="宋体" w:cs="宋体"/>
          <w:szCs w:val="21"/>
        </w:rPr>
      </w:pPr>
      <w:r>
        <w:rPr>
          <w:rFonts w:ascii="宋体" w:hAnsi="宋体" w:cs="宋体"/>
          <w:szCs w:val="21"/>
        </w:rPr>
        <w:t>成立时间：</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spacing w:line="360" w:lineRule="auto"/>
        <w:rPr>
          <w:rFonts w:hint="default" w:ascii="宋体" w:hAnsi="宋体" w:cs="宋体"/>
          <w:szCs w:val="21"/>
        </w:rPr>
      </w:pPr>
      <w:r>
        <w:rPr>
          <w:rFonts w:ascii="宋体" w:hAnsi="宋体" w:cs="宋体"/>
          <w:szCs w:val="21"/>
        </w:rPr>
        <w:t>经营期限：</w:t>
      </w:r>
      <w:r>
        <w:rPr>
          <w:rFonts w:ascii="宋体" w:hAnsi="宋体" w:cs="宋体"/>
          <w:szCs w:val="21"/>
          <w:u w:val="single"/>
        </w:rPr>
        <w:t xml:space="preserve">                                                       </w:t>
      </w:r>
    </w:p>
    <w:p>
      <w:pPr>
        <w:spacing w:line="360" w:lineRule="auto"/>
        <w:rPr>
          <w:rFonts w:hint="default" w:ascii="宋体" w:hAnsi="宋体" w:cs="宋体"/>
          <w:szCs w:val="21"/>
        </w:rPr>
      </w:pPr>
      <w:r>
        <w:rPr>
          <w:rFonts w:ascii="宋体" w:hAnsi="宋体" w:cs="宋体"/>
          <w:szCs w:val="21"/>
        </w:rPr>
        <w:t>姓    名：</w:t>
      </w:r>
      <w:r>
        <w:rPr>
          <w:rFonts w:ascii="宋体" w:hAnsi="宋体" w:cs="宋体"/>
          <w:szCs w:val="21"/>
          <w:u w:val="single"/>
        </w:rPr>
        <w:t xml:space="preserve">             </w:t>
      </w:r>
      <w:r>
        <w:rPr>
          <w:rFonts w:ascii="宋体" w:hAnsi="宋体" w:cs="宋体"/>
          <w:szCs w:val="21"/>
        </w:rPr>
        <w:t>性    别：</w:t>
      </w:r>
      <w:r>
        <w:rPr>
          <w:rFonts w:ascii="宋体" w:hAnsi="宋体" w:cs="宋体"/>
          <w:szCs w:val="21"/>
          <w:u w:val="single"/>
        </w:rPr>
        <w:t xml:space="preserve">               </w:t>
      </w:r>
    </w:p>
    <w:p>
      <w:pPr>
        <w:spacing w:line="360" w:lineRule="auto"/>
        <w:rPr>
          <w:rFonts w:hint="default" w:ascii="宋体" w:hAnsi="宋体" w:cs="宋体"/>
          <w:szCs w:val="21"/>
        </w:rPr>
      </w:pPr>
      <w:r>
        <w:rPr>
          <w:rFonts w:ascii="宋体" w:hAnsi="宋体" w:cs="宋体"/>
          <w:szCs w:val="21"/>
        </w:rPr>
        <w:t>年    龄：</w:t>
      </w:r>
      <w:r>
        <w:rPr>
          <w:rFonts w:ascii="宋体" w:hAnsi="宋体" w:cs="宋体"/>
          <w:szCs w:val="21"/>
          <w:u w:val="single"/>
        </w:rPr>
        <w:t xml:space="preserve">             </w:t>
      </w:r>
      <w:r>
        <w:rPr>
          <w:rFonts w:ascii="宋体" w:hAnsi="宋体" w:cs="宋体"/>
          <w:szCs w:val="21"/>
        </w:rPr>
        <w:t>职    务：</w:t>
      </w:r>
      <w:r>
        <w:rPr>
          <w:rFonts w:ascii="宋体" w:hAnsi="宋体" w:cs="宋体"/>
          <w:szCs w:val="21"/>
          <w:u w:val="single"/>
        </w:rPr>
        <w:t xml:space="preserve">               </w:t>
      </w:r>
    </w:p>
    <w:p>
      <w:pPr>
        <w:spacing w:line="360" w:lineRule="auto"/>
        <w:rPr>
          <w:rFonts w:hint="default" w:ascii="宋体" w:hAnsi="宋体" w:cs="宋体"/>
          <w:szCs w:val="21"/>
        </w:rPr>
      </w:pPr>
      <w:r>
        <w:rPr>
          <w:rFonts w:ascii="宋体" w:hAnsi="宋体" w:cs="宋体"/>
          <w:szCs w:val="21"/>
        </w:rPr>
        <w:t>系</w:t>
      </w:r>
      <w:r>
        <w:rPr>
          <w:rFonts w:ascii="宋体" w:hAnsi="宋体" w:cs="宋体"/>
          <w:szCs w:val="21"/>
          <w:u w:val="single"/>
        </w:rPr>
        <w:t xml:space="preserve">                                </w:t>
      </w:r>
      <w:r>
        <w:rPr>
          <w:rFonts w:ascii="宋体" w:hAnsi="宋体" w:cs="宋体"/>
          <w:szCs w:val="21"/>
        </w:rPr>
        <w:t>（申请人名称）的法定代表人。</w:t>
      </w:r>
    </w:p>
    <w:p>
      <w:pPr>
        <w:spacing w:line="360" w:lineRule="auto"/>
        <w:rPr>
          <w:rFonts w:hint="default" w:ascii="宋体" w:hAnsi="宋体" w:cs="宋体"/>
          <w:szCs w:val="21"/>
        </w:rPr>
      </w:pPr>
      <w:r>
        <w:rPr>
          <w:rFonts w:ascii="宋体" w:hAnsi="宋体" w:cs="宋体"/>
          <w:szCs w:val="21"/>
        </w:rPr>
        <w:t>特此证明。</w:t>
      </w:r>
    </w:p>
    <w:p>
      <w:pPr>
        <w:spacing w:line="360" w:lineRule="exact"/>
        <w:rPr>
          <w:rFonts w:hint="default" w:ascii="宋体" w:hAnsi="宋体" w:cs="宋体"/>
          <w:szCs w:val="21"/>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61595</wp:posOffset>
                </wp:positionV>
                <wp:extent cx="3529330" cy="2476500"/>
                <wp:effectExtent l="5080" t="4445" r="8890" b="14605"/>
                <wp:wrapNone/>
                <wp:docPr id="3" name="文本框 3"/>
                <wp:cNvGraphicFramePr/>
                <a:graphic xmlns:a="http://schemas.openxmlformats.org/drawingml/2006/main">
                  <a:graphicData uri="http://schemas.microsoft.com/office/word/2010/wordprocessingShape">
                    <wps:wsp>
                      <wps:cNvSpPr txBox="1"/>
                      <wps:spPr>
                        <a:xfrm>
                          <a:off x="0" y="0"/>
                          <a:ext cx="3529330" cy="24765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r>
                              <w:rPr>
                                <w:rFonts w:ascii="新宋体" w:hAnsi="新宋体" w:eastAsia="新宋体"/>
                                <w:sz w:val="22"/>
                              </w:rPr>
                              <w:t>法定代表人身份证复印件粘贴处（正反两面）：</w:t>
                            </w: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txbxContent>
                      </wps:txbx>
                      <wps:bodyPr upright="1"/>
                    </wps:wsp>
                  </a:graphicData>
                </a:graphic>
              </wp:anchor>
            </w:drawing>
          </mc:Choice>
          <mc:Fallback>
            <w:pict>
              <v:shape id="_x0000_s1026" o:spid="_x0000_s1026" o:spt="202" type="#_x0000_t202" style="position:absolute;left:0pt;margin-left:167.6pt;margin-top:4.85pt;height:195pt;width:277.9pt;z-index:251662336;mso-width-relative:page;mso-height-relative:page;" filled="f" stroked="t" coordsize="21600,21600" o:gfxdata="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bdqfVAAAACQEAAA8AAAAAAAAAAQAgAAAAIgAAAGRy&#10;cy9kb3ducmV2LnhtbFBLAQIUABQAAAAIAIdO4kCa5EdMCAIAAA4EAAAOAAAAAAAAAAEAIAAAACQB&#10;AABkcnMvZTJvRG9jLnhtbFBLBQYAAAAABgAGAFkBAACeBQAAAAA=&#10;">
                <v:fill on="f" focussize="0,0"/>
                <v:stroke color="#000000" joinstyle="miter"/>
                <v:imagedata o:title=""/>
                <o:lock v:ext="edit" aspectratio="f"/>
                <v:textbox>
                  <w:txbxContent>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r>
                        <w:rPr>
                          <w:rFonts w:ascii="新宋体" w:hAnsi="新宋体" w:eastAsia="新宋体"/>
                          <w:sz w:val="22"/>
                        </w:rPr>
                        <w:t>法定代表人身份证复印件粘贴处（正反两面）：</w:t>
                      </w: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ascii="新宋体" w:hAnsi="新宋体" w:eastAsia="新宋体"/>
                          <w:sz w:val="22"/>
                        </w:rPr>
                      </w:pPr>
                    </w:p>
                    <w:p>
                      <w:pPr>
                        <w:jc w:val="cente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txbxContent>
                </v:textbox>
              </v:shape>
            </w:pict>
          </mc:Fallback>
        </mc:AlternateContent>
      </w:r>
    </w:p>
    <w:p>
      <w:pPr>
        <w:wordWrap w:val="0"/>
        <w:rPr>
          <w:rFonts w:hint="default" w:ascii="宋体" w:hAnsi="宋体" w:cs="宋体"/>
        </w:rPr>
      </w:pPr>
      <w:r>
        <w:rPr>
          <w:rFonts w:ascii="宋体" w:hAnsi="宋体" w:cs="宋体"/>
          <w:szCs w:val="21"/>
        </w:rPr>
        <w:t xml:space="preserve">           </w:t>
      </w:r>
    </w:p>
    <w:p>
      <w:pPr>
        <w:tabs>
          <w:tab w:val="left" w:pos="4532"/>
        </w:tabs>
        <w:spacing w:line="360" w:lineRule="auto"/>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tabs>
          <w:tab w:val="left" w:pos="720"/>
          <w:tab w:val="left" w:pos="900"/>
        </w:tabs>
        <w:spacing w:line="360" w:lineRule="auto"/>
        <w:ind w:firstLine="4624" w:firstLineChars="2202"/>
        <w:rPr>
          <w:rFonts w:hint="default" w:ascii="宋体" w:hAnsi="宋体" w:cs="宋体"/>
        </w:rPr>
      </w:pPr>
    </w:p>
    <w:p>
      <w:pPr>
        <w:tabs>
          <w:tab w:val="left" w:pos="720"/>
          <w:tab w:val="left" w:pos="900"/>
        </w:tabs>
        <w:spacing w:line="360" w:lineRule="auto"/>
        <w:ind w:firstLine="4624" w:firstLineChars="2202"/>
        <w:rPr>
          <w:rFonts w:hint="default" w:ascii="宋体" w:hAnsi="宋体" w:cs="宋体"/>
        </w:rPr>
      </w:pPr>
    </w:p>
    <w:p>
      <w:pPr>
        <w:tabs>
          <w:tab w:val="left" w:pos="720"/>
          <w:tab w:val="left" w:pos="900"/>
        </w:tabs>
        <w:spacing w:line="360" w:lineRule="auto"/>
        <w:ind w:firstLine="4624" w:firstLineChars="2202"/>
        <w:rPr>
          <w:rFonts w:hint="default" w:ascii="宋体" w:hAnsi="宋体" w:cs="宋体"/>
        </w:rPr>
      </w:pPr>
    </w:p>
    <w:p>
      <w:pPr>
        <w:tabs>
          <w:tab w:val="left" w:pos="720"/>
          <w:tab w:val="left" w:pos="900"/>
        </w:tabs>
        <w:spacing w:line="360" w:lineRule="auto"/>
        <w:ind w:firstLine="3990" w:firstLineChars="1900"/>
        <w:rPr>
          <w:rFonts w:hint="default" w:ascii="宋体" w:hAnsi="宋体" w:cs="宋体"/>
        </w:rPr>
      </w:pPr>
    </w:p>
    <w:p>
      <w:pPr>
        <w:tabs>
          <w:tab w:val="left" w:pos="720"/>
          <w:tab w:val="left" w:pos="900"/>
        </w:tabs>
        <w:spacing w:line="360" w:lineRule="auto"/>
        <w:ind w:firstLine="3990" w:firstLineChars="1900"/>
        <w:rPr>
          <w:rFonts w:hint="default" w:ascii="宋体" w:hAnsi="宋体" w:cs="宋体"/>
        </w:rPr>
      </w:pPr>
      <w:r>
        <w:rPr>
          <w:rFonts w:ascii="宋体" w:hAnsi="宋体" w:cs="宋体"/>
        </w:rPr>
        <w:t>磋商供应商：</w:t>
      </w:r>
      <w:r>
        <w:rPr>
          <w:rFonts w:ascii="宋体" w:hAnsi="宋体" w:cs="宋体"/>
          <w:u w:val="single"/>
        </w:rPr>
        <w:t xml:space="preserve">        （盖电子签章）</w:t>
      </w:r>
    </w:p>
    <w:p>
      <w:pPr>
        <w:tabs>
          <w:tab w:val="left" w:pos="720"/>
          <w:tab w:val="left" w:pos="900"/>
        </w:tabs>
        <w:spacing w:line="360" w:lineRule="auto"/>
        <w:ind w:firstLine="3990" w:firstLineChars="1900"/>
        <w:rPr>
          <w:rFonts w:hint="default" w:ascii="宋体" w:hAnsi="宋体" w:cs="宋体"/>
        </w:rPr>
      </w:pPr>
      <w:r>
        <w:rPr>
          <w:rFonts w:ascii="宋体" w:hAnsi="宋体" w:cs="宋体"/>
        </w:rPr>
        <w:t>日      期：</w:t>
      </w:r>
      <w:r>
        <w:rPr>
          <w:rFonts w:ascii="宋体" w:hAnsi="宋体" w:cs="宋体"/>
          <w:u w:val="single"/>
        </w:rPr>
        <w:t xml:space="preserve">      </w:t>
      </w:r>
      <w:r>
        <w:rPr>
          <w:rFonts w:ascii="宋体" w:hAnsi="宋体" w:cs="宋体"/>
        </w:rPr>
        <w:t>年</w:t>
      </w:r>
      <w:r>
        <w:rPr>
          <w:rFonts w:ascii="宋体" w:hAnsi="宋体" w:cs="宋体"/>
          <w:u w:val="single"/>
        </w:rPr>
        <w:t xml:space="preserve">     </w:t>
      </w:r>
      <w:r>
        <w:rPr>
          <w:rFonts w:ascii="宋体" w:hAnsi="宋体" w:cs="宋体"/>
        </w:rPr>
        <w:t>月</w:t>
      </w:r>
      <w:r>
        <w:rPr>
          <w:rFonts w:ascii="宋体" w:hAnsi="宋体" w:cs="宋体"/>
          <w:u w:val="single"/>
        </w:rPr>
        <w:t xml:space="preserve">     </w:t>
      </w:r>
      <w:r>
        <w:rPr>
          <w:rFonts w:ascii="宋体" w:hAnsi="宋体" w:cs="宋体"/>
        </w:rPr>
        <w:t>日</w:t>
      </w:r>
    </w:p>
    <w:p>
      <w:pPr>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rPr>
          <w:rFonts w:hint="default" w:ascii="宋体" w:hAnsi="宋体" w:cs="宋体"/>
        </w:rPr>
      </w:pPr>
    </w:p>
    <w:p>
      <w:pPr>
        <w:pStyle w:val="2"/>
        <w:rPr>
          <w:rFonts w:hint="default" w:ascii="宋体" w:hAnsi="宋体" w:cs="宋体"/>
        </w:rPr>
      </w:pPr>
    </w:p>
    <w:p>
      <w:pPr>
        <w:rPr>
          <w:rFonts w:hint="default"/>
        </w:rPr>
      </w:pPr>
      <w:bookmarkStart w:id="437" w:name="_Toc24422"/>
      <w:bookmarkStart w:id="438" w:name="_Toc5697"/>
      <w:bookmarkStart w:id="439" w:name="_Toc18986"/>
      <w:bookmarkStart w:id="440" w:name="_Toc1064"/>
      <w:bookmarkStart w:id="441" w:name="_Toc27902"/>
    </w:p>
    <w:p>
      <w:pPr>
        <w:rPr>
          <w:rFonts w:hint="default"/>
        </w:rPr>
      </w:pPr>
    </w:p>
    <w:p>
      <w:pPr>
        <w:widowControl/>
        <w:spacing w:before="156" w:beforeLines="50" w:after="312" w:afterLines="100"/>
        <w:jc w:val="center"/>
        <w:outlineLvl w:val="1"/>
        <w:rPr>
          <w:rFonts w:hint="default" w:ascii="宋体" w:hAnsi="宋体" w:cs="宋体"/>
          <w:b/>
          <w:bCs/>
          <w:kern w:val="0"/>
          <w:sz w:val="28"/>
          <w:szCs w:val="28"/>
        </w:rPr>
      </w:pPr>
      <w:bookmarkStart w:id="442" w:name="_Toc17424"/>
      <w:bookmarkStart w:id="443" w:name="_Toc5086"/>
      <w:bookmarkStart w:id="444" w:name="_Toc30234"/>
      <w:bookmarkStart w:id="445" w:name="_Toc10810"/>
      <w:bookmarkStart w:id="446" w:name="_Toc12823"/>
      <w:r>
        <w:rPr>
          <w:rFonts w:ascii="宋体" w:hAnsi="宋体" w:cs="宋体"/>
          <w:b/>
          <w:bCs/>
          <w:kern w:val="0"/>
          <w:sz w:val="28"/>
          <w:szCs w:val="28"/>
        </w:rPr>
        <w:t>附件四    中小企业声明函</w:t>
      </w:r>
      <w:bookmarkEnd w:id="437"/>
      <w:bookmarkEnd w:id="438"/>
      <w:r>
        <w:rPr>
          <w:rFonts w:ascii="宋体" w:hAnsi="宋体" w:cs="宋体"/>
          <w:b/>
          <w:bCs/>
          <w:kern w:val="0"/>
          <w:sz w:val="28"/>
          <w:szCs w:val="28"/>
        </w:rPr>
        <w:t>（服务）</w:t>
      </w:r>
      <w:bookmarkEnd w:id="439"/>
      <w:bookmarkEnd w:id="440"/>
      <w:bookmarkEnd w:id="441"/>
      <w:bookmarkEnd w:id="442"/>
      <w:bookmarkEnd w:id="443"/>
      <w:bookmarkEnd w:id="444"/>
      <w:bookmarkEnd w:id="445"/>
      <w:bookmarkEnd w:id="446"/>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本公司（联合体）郑重声明，根据《政府采购促进中小企业发展管理办法》（财库﹝2020﹞46 号）的规定，本公司（联合体）参加</w:t>
      </w:r>
      <w:r>
        <w:rPr>
          <w:rFonts w:ascii="宋体" w:hAnsi="宋体" w:cs="宋体"/>
          <w:kern w:val="0"/>
          <w:szCs w:val="21"/>
          <w:u w:val="single"/>
          <w:lang w:bidi="ar"/>
        </w:rPr>
        <w:t>（单位名称）</w:t>
      </w:r>
      <w:r>
        <w:rPr>
          <w:rFonts w:ascii="宋体" w:hAnsi="宋体" w:cs="宋体"/>
          <w:kern w:val="0"/>
          <w:szCs w:val="21"/>
          <w:lang w:bidi="ar"/>
        </w:rPr>
        <w:t>的</w:t>
      </w:r>
      <w:r>
        <w:rPr>
          <w:rFonts w:ascii="宋体" w:hAnsi="宋体" w:cs="宋体"/>
          <w:kern w:val="0"/>
          <w:szCs w:val="21"/>
          <w:u w:val="single"/>
          <w:lang w:bidi="ar"/>
        </w:rPr>
        <w:t>（项目名称）</w:t>
      </w:r>
      <w:r>
        <w:rPr>
          <w:rFonts w:ascii="宋体" w:hAnsi="宋体" w:cs="宋体"/>
          <w:kern w:val="0"/>
          <w:szCs w:val="21"/>
          <w:lang w:bidi="ar"/>
        </w:rPr>
        <w:t>采购活动，</w:t>
      </w:r>
      <w:r>
        <w:rPr>
          <w:rFonts w:ascii="宋体" w:hAnsi="宋体"/>
          <w:b/>
          <w:bCs/>
          <w:szCs w:val="21"/>
        </w:rPr>
        <w:t>服务全部为符合政策要求的中小企业</w:t>
      </w:r>
      <w:r>
        <w:rPr>
          <w:rFonts w:ascii="宋体" w:hAnsi="宋体"/>
          <w:szCs w:val="21"/>
        </w:rPr>
        <w:t>。</w:t>
      </w:r>
      <w:r>
        <w:rPr>
          <w:rFonts w:ascii="宋体" w:hAnsi="宋体" w:cs="宋体"/>
          <w:kern w:val="0"/>
          <w:szCs w:val="21"/>
          <w:lang w:bidi="ar"/>
        </w:rPr>
        <w:t>相关企业（含联合体中的中小企业、签订分包意向协议的中小企业）的具体情况如下：</w:t>
      </w:r>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 xml:space="preserve">1. </w:t>
      </w:r>
      <w:r>
        <w:rPr>
          <w:rFonts w:ascii="宋体" w:hAnsi="宋体" w:cs="宋体"/>
          <w:kern w:val="0"/>
          <w:szCs w:val="21"/>
          <w:u w:val="single"/>
          <w:lang w:bidi="ar"/>
        </w:rPr>
        <w:t>（标的名称）</w:t>
      </w:r>
      <w:r>
        <w:rPr>
          <w:rFonts w:ascii="宋体" w:hAnsi="宋体" w:cs="宋体"/>
          <w:kern w:val="0"/>
          <w:szCs w:val="21"/>
          <w:lang w:bidi="ar"/>
        </w:rPr>
        <w:t xml:space="preserve"> ，属于</w:t>
      </w:r>
      <w:r>
        <w:rPr>
          <w:rFonts w:ascii="宋体" w:hAnsi="宋体" w:cs="宋体"/>
          <w:kern w:val="0"/>
          <w:szCs w:val="21"/>
          <w:u w:val="single"/>
          <w:lang w:bidi="ar"/>
        </w:rPr>
        <w:t>（采购文件中明确的所属行业）</w:t>
      </w:r>
      <w:r>
        <w:rPr>
          <w:rFonts w:ascii="宋体" w:hAnsi="宋体" w:cs="宋体"/>
          <w:kern w:val="0"/>
          <w:szCs w:val="21"/>
          <w:lang w:bidi="ar"/>
        </w:rPr>
        <w:t>；</w:t>
      </w:r>
      <w:r>
        <w:rPr>
          <w:rFonts w:ascii="宋体" w:hAnsi="宋体"/>
          <w:szCs w:val="21"/>
        </w:rPr>
        <w:t>承建（承接）企业</w:t>
      </w:r>
      <w:r>
        <w:rPr>
          <w:rFonts w:ascii="宋体" w:hAnsi="宋体" w:cs="宋体"/>
          <w:kern w:val="0"/>
          <w:szCs w:val="21"/>
          <w:lang w:bidi="ar"/>
        </w:rPr>
        <w:t>为</w:t>
      </w:r>
      <w:r>
        <w:rPr>
          <w:rFonts w:ascii="宋体" w:hAnsi="宋体" w:cs="宋体"/>
          <w:kern w:val="0"/>
          <w:szCs w:val="21"/>
          <w:u w:val="single"/>
          <w:lang w:bidi="ar"/>
        </w:rPr>
        <w:t>（企业名称）</w:t>
      </w:r>
      <w:r>
        <w:rPr>
          <w:rFonts w:ascii="宋体" w:hAnsi="宋体" w:cs="宋体"/>
          <w:kern w:val="0"/>
          <w:szCs w:val="21"/>
          <w:lang w:bidi="ar"/>
        </w:rPr>
        <w:t>，从业人员</w:t>
      </w:r>
      <w:r>
        <w:rPr>
          <w:rFonts w:ascii="宋体" w:hAnsi="宋体" w:cs="宋体"/>
          <w:kern w:val="0"/>
          <w:szCs w:val="21"/>
          <w:u w:val="single"/>
          <w:lang w:bidi="ar"/>
        </w:rPr>
        <w:t xml:space="preserve">    </w:t>
      </w:r>
      <w:r>
        <w:rPr>
          <w:rFonts w:ascii="宋体" w:hAnsi="宋体" w:cs="宋体"/>
          <w:kern w:val="0"/>
          <w:szCs w:val="21"/>
          <w:lang w:bidi="ar"/>
        </w:rPr>
        <w:t>人，营业收入为</w:t>
      </w:r>
      <w:r>
        <w:rPr>
          <w:rFonts w:ascii="宋体" w:hAnsi="宋体" w:cs="宋体"/>
          <w:kern w:val="0"/>
          <w:szCs w:val="21"/>
          <w:u w:val="single"/>
          <w:lang w:bidi="ar"/>
        </w:rPr>
        <w:t xml:space="preserve">       </w:t>
      </w:r>
      <w:r>
        <w:rPr>
          <w:rFonts w:ascii="宋体" w:hAnsi="宋体" w:cs="宋体"/>
          <w:kern w:val="0"/>
          <w:szCs w:val="21"/>
          <w:lang w:bidi="ar"/>
        </w:rPr>
        <w:t>万元，资产总额为</w:t>
      </w:r>
      <w:r>
        <w:rPr>
          <w:rFonts w:ascii="宋体" w:hAnsi="宋体" w:cs="宋体"/>
          <w:kern w:val="0"/>
          <w:szCs w:val="21"/>
          <w:u w:val="single"/>
          <w:lang w:bidi="ar"/>
        </w:rPr>
        <w:t xml:space="preserve">    </w:t>
      </w:r>
      <w:r>
        <w:rPr>
          <w:rFonts w:ascii="宋体" w:hAnsi="宋体" w:cs="宋体"/>
          <w:kern w:val="0"/>
          <w:szCs w:val="21"/>
          <w:lang w:bidi="ar"/>
        </w:rPr>
        <w:t>万元</w:t>
      </w:r>
      <w:r>
        <w:rPr>
          <w:rFonts w:ascii="宋体" w:hAnsi="宋体" w:cs="宋体"/>
          <w:kern w:val="0"/>
          <w:szCs w:val="21"/>
          <w:vertAlign w:val="superscript"/>
          <w:lang w:bidi="ar"/>
        </w:rPr>
        <w:t>1</w:t>
      </w:r>
      <w:r>
        <w:rPr>
          <w:rFonts w:ascii="宋体" w:hAnsi="宋体" w:cs="宋体"/>
          <w:kern w:val="0"/>
          <w:szCs w:val="21"/>
          <w:lang w:bidi="ar"/>
        </w:rPr>
        <w:t>，属于</w:t>
      </w:r>
      <w:r>
        <w:rPr>
          <w:rFonts w:ascii="宋体" w:hAnsi="宋体" w:cs="宋体"/>
          <w:kern w:val="0"/>
          <w:szCs w:val="21"/>
          <w:u w:val="single"/>
          <w:lang w:bidi="ar"/>
        </w:rPr>
        <w:t>（中型企业、小型企业、微型企业）</w:t>
      </w:r>
      <w:r>
        <w:rPr>
          <w:rFonts w:ascii="宋体" w:hAnsi="宋体" w:cs="宋体"/>
          <w:kern w:val="0"/>
          <w:szCs w:val="21"/>
          <w:lang w:bidi="ar"/>
        </w:rPr>
        <w:t xml:space="preserve">； </w:t>
      </w:r>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 xml:space="preserve">2. </w:t>
      </w:r>
      <w:r>
        <w:rPr>
          <w:rFonts w:ascii="宋体" w:hAnsi="宋体" w:cs="宋体"/>
          <w:kern w:val="0"/>
          <w:szCs w:val="21"/>
          <w:u w:val="single"/>
          <w:lang w:bidi="ar"/>
        </w:rPr>
        <w:t>（标的名称）</w:t>
      </w:r>
      <w:r>
        <w:rPr>
          <w:rFonts w:ascii="宋体" w:hAnsi="宋体" w:cs="宋体"/>
          <w:kern w:val="0"/>
          <w:szCs w:val="21"/>
          <w:lang w:bidi="ar"/>
        </w:rPr>
        <w:t xml:space="preserve"> ，属于</w:t>
      </w:r>
      <w:r>
        <w:rPr>
          <w:rFonts w:ascii="宋体" w:hAnsi="宋体" w:cs="宋体"/>
          <w:kern w:val="0"/>
          <w:szCs w:val="21"/>
          <w:u w:val="single"/>
          <w:lang w:bidi="ar"/>
        </w:rPr>
        <w:t>（采购文件中明确的所属行业）</w:t>
      </w:r>
      <w:r>
        <w:rPr>
          <w:rFonts w:ascii="宋体" w:hAnsi="宋体" w:cs="宋体"/>
          <w:kern w:val="0"/>
          <w:szCs w:val="21"/>
          <w:lang w:bidi="ar"/>
        </w:rPr>
        <w:t>；</w:t>
      </w:r>
      <w:r>
        <w:rPr>
          <w:rFonts w:ascii="宋体" w:hAnsi="宋体"/>
          <w:szCs w:val="21"/>
        </w:rPr>
        <w:t>承建（承接）企业</w:t>
      </w:r>
      <w:r>
        <w:rPr>
          <w:rFonts w:ascii="宋体" w:hAnsi="宋体" w:cs="宋体"/>
          <w:kern w:val="0"/>
          <w:szCs w:val="21"/>
          <w:lang w:bidi="ar"/>
        </w:rPr>
        <w:t>为</w:t>
      </w:r>
      <w:r>
        <w:rPr>
          <w:rFonts w:ascii="宋体" w:hAnsi="宋体" w:cs="宋体"/>
          <w:kern w:val="0"/>
          <w:szCs w:val="21"/>
          <w:u w:val="single"/>
          <w:lang w:bidi="ar"/>
        </w:rPr>
        <w:t>（企业名称）</w:t>
      </w:r>
      <w:r>
        <w:rPr>
          <w:rFonts w:ascii="宋体" w:hAnsi="宋体" w:cs="宋体"/>
          <w:kern w:val="0"/>
          <w:szCs w:val="21"/>
          <w:lang w:bidi="ar"/>
        </w:rPr>
        <w:t>，从业人员</w:t>
      </w:r>
      <w:r>
        <w:rPr>
          <w:rFonts w:ascii="宋体" w:hAnsi="宋体" w:cs="宋体"/>
          <w:kern w:val="0"/>
          <w:szCs w:val="21"/>
          <w:u w:val="single"/>
          <w:lang w:bidi="ar"/>
        </w:rPr>
        <w:t xml:space="preserve">     </w:t>
      </w:r>
      <w:r>
        <w:rPr>
          <w:rFonts w:ascii="宋体" w:hAnsi="宋体" w:cs="宋体"/>
          <w:kern w:val="0"/>
          <w:szCs w:val="21"/>
          <w:lang w:bidi="ar"/>
        </w:rPr>
        <w:t>人，营业收入为</w:t>
      </w:r>
      <w:r>
        <w:rPr>
          <w:rFonts w:ascii="宋体" w:hAnsi="宋体" w:cs="宋体"/>
          <w:kern w:val="0"/>
          <w:szCs w:val="21"/>
          <w:u w:val="single"/>
          <w:lang w:bidi="ar"/>
        </w:rPr>
        <w:t xml:space="preserve">      </w:t>
      </w:r>
      <w:r>
        <w:rPr>
          <w:rFonts w:ascii="宋体" w:hAnsi="宋体" w:cs="宋体"/>
          <w:kern w:val="0"/>
          <w:szCs w:val="21"/>
          <w:lang w:bidi="ar"/>
        </w:rPr>
        <w:t>万元，资产总额为</w:t>
      </w:r>
      <w:r>
        <w:rPr>
          <w:rFonts w:ascii="宋体" w:hAnsi="宋体" w:cs="宋体"/>
          <w:kern w:val="0"/>
          <w:szCs w:val="21"/>
          <w:u w:val="single"/>
          <w:lang w:bidi="ar"/>
        </w:rPr>
        <w:t xml:space="preserve">      </w:t>
      </w:r>
      <w:r>
        <w:rPr>
          <w:rFonts w:ascii="宋体" w:hAnsi="宋体" w:cs="宋体"/>
          <w:kern w:val="0"/>
          <w:szCs w:val="21"/>
          <w:lang w:bidi="ar"/>
        </w:rPr>
        <w:t>万元，属于</w:t>
      </w:r>
      <w:r>
        <w:rPr>
          <w:rFonts w:ascii="宋体" w:hAnsi="宋体" w:cs="宋体"/>
          <w:kern w:val="0"/>
          <w:szCs w:val="21"/>
          <w:u w:val="single"/>
          <w:lang w:bidi="ar"/>
        </w:rPr>
        <w:t>（中型企业、小型企业、微型企业）</w:t>
      </w:r>
      <w:r>
        <w:rPr>
          <w:rFonts w:ascii="宋体" w:hAnsi="宋体" w:cs="宋体"/>
          <w:kern w:val="0"/>
          <w:szCs w:val="21"/>
          <w:lang w:bidi="ar"/>
        </w:rPr>
        <w:t xml:space="preserve">； </w:t>
      </w:r>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w:t>
      </w:r>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以上企业，不属于大企业的分支机构，不存在控股股东为大企业的情形，也不存在与大企业的负责人为同一人的情形。</w:t>
      </w:r>
    </w:p>
    <w:p>
      <w:pPr>
        <w:widowControl/>
        <w:spacing w:line="600" w:lineRule="exact"/>
        <w:ind w:firstLine="420" w:firstLineChars="200"/>
        <w:jc w:val="left"/>
        <w:rPr>
          <w:rFonts w:hint="default" w:ascii="宋体" w:hAnsi="宋体" w:cs="宋体"/>
          <w:szCs w:val="21"/>
        </w:rPr>
      </w:pPr>
      <w:r>
        <w:rPr>
          <w:rFonts w:ascii="宋体" w:hAnsi="宋体" w:cs="宋体"/>
          <w:kern w:val="0"/>
          <w:szCs w:val="21"/>
          <w:lang w:bidi="ar"/>
        </w:rPr>
        <w:t xml:space="preserve">本企业对上述声明内容的真实性负责。如有虚假，将依法承担相应责任。 </w:t>
      </w:r>
    </w:p>
    <w:p>
      <w:pPr>
        <w:widowControl/>
        <w:spacing w:line="360" w:lineRule="auto"/>
        <w:jc w:val="left"/>
        <w:rPr>
          <w:rFonts w:hint="default" w:ascii="宋体" w:hAnsi="宋体" w:cs="宋体"/>
          <w:kern w:val="0"/>
          <w:szCs w:val="21"/>
          <w:lang w:bidi="ar"/>
        </w:rPr>
      </w:pPr>
    </w:p>
    <w:p>
      <w:pPr>
        <w:spacing w:line="480" w:lineRule="auto"/>
        <w:jc w:val="center"/>
        <w:rPr>
          <w:rFonts w:hint="default"/>
        </w:rPr>
      </w:pPr>
      <w:r>
        <w:t xml:space="preserve">                                      磋商供应商全称（盖电子签章）：</w:t>
      </w:r>
    </w:p>
    <w:p>
      <w:pPr>
        <w:spacing w:line="480" w:lineRule="auto"/>
        <w:jc w:val="center"/>
        <w:rPr>
          <w:rFonts w:hint="default"/>
        </w:rPr>
      </w:pPr>
      <w:r>
        <w:t xml:space="preserve">                                            法定代表人或授权代表（签字或盖章）：</w:t>
      </w:r>
    </w:p>
    <w:p>
      <w:pPr>
        <w:spacing w:line="480" w:lineRule="auto"/>
        <w:jc w:val="center"/>
        <w:rPr>
          <w:rFonts w:hint="default"/>
        </w:rPr>
      </w:pPr>
      <w:r>
        <w:t xml:space="preserve">                                     日      期：    年   月   日  </w:t>
      </w:r>
    </w:p>
    <w:p>
      <w:pPr>
        <w:spacing w:line="360" w:lineRule="auto"/>
        <w:rPr>
          <w:rFonts w:hint="default"/>
          <w:b/>
          <w:bCs/>
          <w:szCs w:val="21"/>
        </w:rPr>
      </w:pPr>
      <w:r>
        <w:rPr>
          <w:b/>
          <w:bCs/>
          <w:szCs w:val="21"/>
        </w:rPr>
        <w:t>1、从业人员、营业收入、资产总额填报上一年度数据，无上一年度数据的新成立企业可不填报。</w:t>
      </w:r>
    </w:p>
    <w:p>
      <w:pPr>
        <w:spacing w:line="360" w:lineRule="auto"/>
        <w:rPr>
          <w:rFonts w:hint="default"/>
          <w:b/>
          <w:bCs/>
          <w:sz w:val="22"/>
          <w:szCs w:val="21"/>
        </w:rPr>
      </w:pPr>
      <w:r>
        <w:rPr>
          <w:b/>
          <w:bCs/>
          <w:szCs w:val="21"/>
        </w:rPr>
        <w:t>2、中小微型企业划分标准参照国家统计局印发的《统计上大中小微型企业划分办法（2017）》。</w:t>
      </w:r>
    </w:p>
    <w:p>
      <w:pPr>
        <w:widowControl/>
        <w:spacing w:after="312" w:afterLines="100"/>
        <w:jc w:val="center"/>
        <w:outlineLvl w:val="1"/>
        <w:rPr>
          <w:rFonts w:hint="default" w:ascii="宋体" w:hAnsi="宋体" w:cs="宋体"/>
        </w:rPr>
      </w:pPr>
      <w:r>
        <w:rPr>
          <w:rFonts w:ascii="宋体" w:hAnsi="宋体" w:cs="宋体"/>
        </w:rPr>
        <w:br w:type="page"/>
      </w:r>
      <w:bookmarkStart w:id="447" w:name="_Toc9583"/>
      <w:bookmarkStart w:id="448" w:name="_Toc23751"/>
      <w:bookmarkStart w:id="449" w:name="_Toc15811"/>
      <w:bookmarkStart w:id="450" w:name="_Toc25728"/>
      <w:bookmarkStart w:id="451" w:name="_Toc4757"/>
      <w:bookmarkStart w:id="452" w:name="_Toc12196"/>
      <w:bookmarkStart w:id="453" w:name="_Toc14629"/>
      <w:bookmarkStart w:id="454" w:name="_Toc13235"/>
      <w:bookmarkStart w:id="455" w:name="_Toc12169"/>
      <w:bookmarkStart w:id="456" w:name="_Toc25364"/>
      <w:r>
        <w:rPr>
          <w:rFonts w:ascii="宋体" w:hAnsi="宋体" w:cs="宋体"/>
          <w:b/>
          <w:bCs/>
          <w:kern w:val="0"/>
          <w:sz w:val="28"/>
          <w:szCs w:val="28"/>
        </w:rPr>
        <w:t>附件五    残疾人福利性单位声明函</w:t>
      </w:r>
      <w:bookmarkEnd w:id="447"/>
      <w:bookmarkEnd w:id="448"/>
      <w:bookmarkEnd w:id="449"/>
      <w:bookmarkEnd w:id="450"/>
      <w:bookmarkEnd w:id="451"/>
      <w:bookmarkEnd w:id="452"/>
      <w:bookmarkEnd w:id="453"/>
      <w:bookmarkEnd w:id="454"/>
      <w:bookmarkEnd w:id="455"/>
      <w:bookmarkEnd w:id="456"/>
    </w:p>
    <w:p>
      <w:pPr>
        <w:spacing w:line="588" w:lineRule="exact"/>
        <w:rPr>
          <w:rFonts w:hint="default" w:ascii="宋体" w:hAnsi="宋体" w:cs="宋体"/>
          <w:b/>
          <w:spacing w:val="6"/>
          <w:sz w:val="30"/>
          <w:szCs w:val="30"/>
        </w:rPr>
      </w:pPr>
    </w:p>
    <w:p>
      <w:pPr>
        <w:widowControl/>
        <w:spacing w:line="600" w:lineRule="exact"/>
        <w:ind w:firstLine="420" w:firstLineChars="200"/>
        <w:rPr>
          <w:rFonts w:hint="default" w:ascii="宋体" w:hAnsi="宋体" w:cs="宋体"/>
        </w:rPr>
      </w:pPr>
      <w:r>
        <w:rPr>
          <w:rFonts w:ascii="宋体" w:hAnsi="宋体" w:cs="宋体"/>
        </w:rPr>
        <w:t>本单位郑重声明，根据《财政部 民政部 中国残疾人联合会关于促进残疾人就业政府采购政策的通知》（财库〔2017〕 141号）的规定，本单位为符合条件的残疾人福利性单位，且本单位参加__________单位的___________项目采购活动提供服务（由本单位承担工程/提供本单位制造的货物），或者提供其他残疾人福利性单位的服务（不包括使用非残疾人福利性单位注册商标的货物）。</w:t>
      </w:r>
    </w:p>
    <w:p>
      <w:pPr>
        <w:widowControl/>
        <w:spacing w:line="600" w:lineRule="exact"/>
        <w:ind w:firstLine="420" w:firstLineChars="200"/>
        <w:rPr>
          <w:rFonts w:hint="default" w:ascii="宋体" w:hAnsi="宋体" w:cs="宋体"/>
        </w:rPr>
      </w:pPr>
      <w:r>
        <w:rPr>
          <w:rFonts w:ascii="宋体" w:hAnsi="宋体" w:cs="宋体"/>
        </w:rPr>
        <w:t>本单位对上述声明的真实性负责。如有虚假，将依法承担相应责任。</w:t>
      </w:r>
    </w:p>
    <w:p>
      <w:pPr>
        <w:spacing w:line="588" w:lineRule="exact"/>
        <w:ind w:firstLine="624" w:firstLineChars="200"/>
        <w:rPr>
          <w:rFonts w:hint="default" w:ascii="宋体" w:hAnsi="宋体" w:cs="宋体"/>
          <w:spacing w:val="6"/>
          <w:sz w:val="30"/>
          <w:szCs w:val="30"/>
        </w:rPr>
      </w:pPr>
    </w:p>
    <w:p>
      <w:pPr>
        <w:spacing w:line="588" w:lineRule="exact"/>
        <w:ind w:firstLine="624" w:firstLineChars="200"/>
        <w:rPr>
          <w:rFonts w:hint="default" w:ascii="宋体" w:hAnsi="宋体" w:cs="宋体"/>
          <w:spacing w:val="6"/>
          <w:sz w:val="30"/>
          <w:szCs w:val="30"/>
        </w:rPr>
      </w:pPr>
    </w:p>
    <w:p>
      <w:pPr>
        <w:rPr>
          <w:rFonts w:hint="default" w:ascii="宋体" w:hAnsi="宋体" w:cs="宋体"/>
        </w:rPr>
      </w:pPr>
      <w:r>
        <w:rPr>
          <w:rFonts w:ascii="宋体" w:hAnsi="宋体" w:cs="宋体"/>
          <w:spacing w:val="6"/>
          <w:sz w:val="30"/>
          <w:szCs w:val="30"/>
        </w:rPr>
        <w:t xml:space="preserve">                        </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日      期：    年   月   日</w:t>
      </w:r>
    </w:p>
    <w:p>
      <w:pPr>
        <w:rPr>
          <w:rFonts w:hint="default" w:ascii="宋体" w:hAnsi="宋体" w:cs="宋体"/>
        </w:rPr>
      </w:pPr>
    </w:p>
    <w:p>
      <w:pPr>
        <w:rPr>
          <w:rFonts w:hint="default" w:ascii="宋体" w:hAnsi="宋体" w:cs="宋体"/>
        </w:rPr>
      </w:pPr>
    </w:p>
    <w:p>
      <w:pPr>
        <w:numPr>
          <w:ilvl w:val="0"/>
          <w:numId w:val="25"/>
        </w:numPr>
        <w:tabs>
          <w:tab w:val="left" w:pos="420"/>
          <w:tab w:val="clear" w:pos="1244"/>
        </w:tabs>
        <w:spacing w:before="100" w:beforeAutospacing="1" w:after="100" w:afterAutospacing="1" w:line="432" w:lineRule="auto"/>
        <w:ind w:hanging="1244"/>
        <w:rPr>
          <w:rFonts w:hint="default" w:ascii="宋体" w:hAnsi="宋体" w:cs="宋体"/>
          <w:b/>
          <w:szCs w:val="21"/>
        </w:rPr>
      </w:pPr>
      <w:bookmarkStart w:id="457" w:name="_Toc13296"/>
      <w:bookmarkStart w:id="458" w:name="_Toc14561"/>
      <w:bookmarkStart w:id="459" w:name="_Toc14863"/>
      <w:bookmarkStart w:id="460" w:name="_Toc26892"/>
      <w:bookmarkStart w:id="461" w:name="_Toc30199"/>
      <w:r>
        <w:rPr>
          <w:rFonts w:ascii="宋体" w:hAnsi="宋体" w:cs="宋体"/>
          <w:b/>
          <w:szCs w:val="21"/>
        </w:rPr>
        <w:t>残疾人福利性单位属于小型、微型企业的，不重复享受政策。</w:t>
      </w:r>
      <w:bookmarkEnd w:id="457"/>
      <w:bookmarkEnd w:id="458"/>
      <w:bookmarkEnd w:id="459"/>
      <w:bookmarkEnd w:id="460"/>
      <w:bookmarkEnd w:id="461"/>
    </w:p>
    <w:p>
      <w:pPr>
        <w:numPr>
          <w:ilvl w:val="0"/>
          <w:numId w:val="25"/>
        </w:numPr>
        <w:tabs>
          <w:tab w:val="left" w:pos="420"/>
          <w:tab w:val="clear" w:pos="1244"/>
        </w:tabs>
        <w:spacing w:before="100" w:beforeAutospacing="1" w:after="100" w:afterAutospacing="1" w:line="432" w:lineRule="auto"/>
        <w:ind w:hanging="1244"/>
        <w:rPr>
          <w:rFonts w:hint="default" w:ascii="宋体" w:hAnsi="宋体" w:cs="宋体"/>
          <w:b/>
          <w:szCs w:val="21"/>
        </w:rPr>
      </w:pPr>
      <w:r>
        <w:rPr>
          <w:rFonts w:ascii="宋体" w:hAnsi="宋体" w:cs="宋体"/>
          <w:b/>
          <w:szCs w:val="21"/>
        </w:rPr>
        <w:t>如中标人声明为残疾人福利性单位，本声明函将随中标结果同时公告，接受社会监督。</w:t>
      </w:r>
    </w:p>
    <w:p>
      <w:pPr>
        <w:rPr>
          <w:rFonts w:hint="default" w:ascii="宋体" w:hAnsi="宋体" w:cs="宋体"/>
        </w:rPr>
      </w:pPr>
    </w:p>
    <w:p>
      <w:pPr>
        <w:pStyle w:val="29"/>
        <w:rPr>
          <w:rFonts w:hint="default" w:hAnsi="宋体" w:cs="宋体"/>
        </w:rPr>
      </w:pPr>
    </w:p>
    <w:p>
      <w:pPr>
        <w:pStyle w:val="9"/>
        <w:rPr>
          <w:rFonts w:hint="default" w:ascii="宋体" w:hAnsi="宋体" w:eastAsia="宋体" w:cs="宋体"/>
        </w:rPr>
      </w:pPr>
    </w:p>
    <w:p>
      <w:pPr>
        <w:pStyle w:val="10"/>
        <w:rPr>
          <w:rFonts w:hint="default" w:ascii="宋体" w:hAnsi="宋体" w:eastAsia="宋体" w:cs="宋体"/>
        </w:rPr>
      </w:pPr>
    </w:p>
    <w:p>
      <w:pPr>
        <w:pStyle w:val="11"/>
        <w:ind w:firstLine="360"/>
        <w:rPr>
          <w:rFonts w:hint="default"/>
        </w:rPr>
      </w:pPr>
    </w:p>
    <w:p>
      <w:pPr>
        <w:jc w:val="center"/>
        <w:outlineLvl w:val="1"/>
        <w:rPr>
          <w:rFonts w:hint="default" w:ascii="宋体" w:hAnsi="宋体" w:cs="宋体"/>
          <w:b/>
          <w:bCs/>
          <w:sz w:val="28"/>
          <w:szCs w:val="28"/>
        </w:rPr>
      </w:pPr>
      <w:bookmarkStart w:id="462" w:name="_Toc30506"/>
      <w:bookmarkStart w:id="463" w:name="_Toc17341"/>
      <w:bookmarkStart w:id="464" w:name="_Toc1246"/>
      <w:bookmarkStart w:id="465" w:name="_Toc10289"/>
      <w:bookmarkStart w:id="466" w:name="_Toc7847"/>
      <w:bookmarkStart w:id="467" w:name="_Toc5596"/>
      <w:bookmarkStart w:id="468" w:name="_Toc17490"/>
      <w:bookmarkStart w:id="469" w:name="_Toc15664"/>
      <w:bookmarkStart w:id="470" w:name="_Toc31327"/>
      <w:r>
        <w:rPr>
          <w:rFonts w:ascii="宋体" w:hAnsi="宋体" w:cs="宋体"/>
          <w:b/>
          <w:bCs/>
          <w:sz w:val="28"/>
          <w:szCs w:val="28"/>
        </w:rPr>
        <w:t>附件六    磋商响应函</w:t>
      </w:r>
      <w:bookmarkEnd w:id="462"/>
      <w:bookmarkEnd w:id="463"/>
      <w:bookmarkEnd w:id="464"/>
      <w:bookmarkEnd w:id="465"/>
      <w:bookmarkEnd w:id="466"/>
      <w:bookmarkEnd w:id="467"/>
      <w:bookmarkEnd w:id="468"/>
      <w:bookmarkEnd w:id="469"/>
      <w:bookmarkEnd w:id="470"/>
    </w:p>
    <w:p>
      <w:pPr>
        <w:spacing w:line="360" w:lineRule="auto"/>
        <w:rPr>
          <w:rFonts w:hint="default" w:ascii="宋体" w:hAnsi="宋体" w:cs="宋体"/>
          <w:u w:val="single"/>
        </w:rPr>
      </w:pPr>
      <w:r>
        <w:rPr>
          <w:rFonts w:hint="eastAsia" w:ascii="宋体" w:hAnsi="宋体" w:cs="宋体"/>
          <w:u w:val="single"/>
          <w:lang w:eastAsia="zh-CN"/>
        </w:rPr>
        <w:t>瑞安市汀田街道办事处</w:t>
      </w:r>
      <w:r>
        <w:rPr>
          <w:rFonts w:ascii="宋体" w:hAnsi="宋体" w:cs="宋体"/>
        </w:rPr>
        <w:t>：</w:t>
      </w:r>
    </w:p>
    <w:p>
      <w:pPr>
        <w:spacing w:line="360" w:lineRule="auto"/>
        <w:ind w:firstLine="411" w:firstLineChars="196"/>
        <w:rPr>
          <w:rFonts w:hint="default" w:ascii="宋体" w:hAnsi="宋体" w:cs="宋体"/>
        </w:rPr>
      </w:pPr>
      <w:r>
        <w:rPr>
          <w:rFonts w:ascii="宋体" w:hAnsi="宋体" w:cs="宋体"/>
          <w:u w:val="single"/>
        </w:rPr>
        <w:t xml:space="preserve">（磋商供应商全称）  </w:t>
      </w:r>
      <w:r>
        <w:rPr>
          <w:rFonts w:ascii="宋体" w:hAnsi="宋体" w:cs="宋体"/>
        </w:rPr>
        <w:t xml:space="preserve"> 授权 </w:t>
      </w:r>
      <w:r>
        <w:rPr>
          <w:rFonts w:ascii="宋体" w:hAnsi="宋体" w:cs="宋体"/>
          <w:u w:val="single"/>
        </w:rPr>
        <w:t xml:space="preserve">   （授权代表名称、职务、职称）    </w:t>
      </w:r>
      <w:r>
        <w:rPr>
          <w:rFonts w:ascii="宋体" w:hAnsi="宋体" w:cs="宋体"/>
        </w:rPr>
        <w:t xml:space="preserve"> 为本公司授权代表，参加贵方组织的</w:t>
      </w:r>
      <w:r>
        <w:rPr>
          <w:rFonts w:ascii="宋体" w:hAnsi="宋体" w:cs="宋体"/>
          <w:u w:val="single"/>
        </w:rPr>
        <w:t xml:space="preserve"> </w:t>
      </w:r>
      <w:r>
        <w:rPr>
          <w:rFonts w:hint="eastAsia" w:ascii="宋体" w:hAnsi="宋体" w:cs="宋体"/>
          <w:u w:val="single"/>
          <w:lang w:eastAsia="zh-CN"/>
        </w:rPr>
        <w:t>瑞安市汀田街道2023-2024年违章拆除及环境整治服务</w:t>
      </w:r>
      <w:r>
        <w:rPr>
          <w:rFonts w:ascii="宋体" w:hAnsi="宋体" w:cs="宋体"/>
          <w:u w:val="single"/>
        </w:rPr>
        <w:t xml:space="preserve"> </w:t>
      </w:r>
      <w:r>
        <w:rPr>
          <w:rFonts w:ascii="宋体" w:hAnsi="宋体" w:cs="宋体"/>
        </w:rPr>
        <w:t>（项目编号:</w:t>
      </w:r>
      <w:r>
        <w:rPr>
          <w:rFonts w:ascii="宋体" w:hAnsi="宋体" w:cs="宋体"/>
          <w:u w:val="single"/>
        </w:rPr>
        <w:t xml:space="preserve">           </w:t>
      </w:r>
      <w:r>
        <w:rPr>
          <w:rFonts w:ascii="宋体" w:hAnsi="宋体" w:cs="宋体"/>
        </w:rPr>
        <w:t>）竞争性磋商采购的有关活动，进行磋商。为此：</w:t>
      </w:r>
    </w:p>
    <w:p>
      <w:pPr>
        <w:pStyle w:val="32"/>
        <w:numPr>
          <w:ilvl w:val="1"/>
          <w:numId w:val="26"/>
        </w:numPr>
        <w:spacing w:line="360" w:lineRule="auto"/>
        <w:ind w:left="851" w:firstLineChars="0"/>
        <w:rPr>
          <w:rFonts w:hint="default" w:ascii="宋体" w:hAnsi="宋体" w:cs="宋体"/>
        </w:rPr>
      </w:pPr>
      <w:r>
        <w:rPr>
          <w:rFonts w:ascii="宋体" w:hAnsi="宋体" w:cs="宋体"/>
        </w:rPr>
        <w:t>提供磋商须知规定的全部磋商响应文件。</w:t>
      </w:r>
    </w:p>
    <w:p>
      <w:pPr>
        <w:pStyle w:val="32"/>
        <w:numPr>
          <w:ilvl w:val="1"/>
          <w:numId w:val="26"/>
        </w:numPr>
        <w:spacing w:line="360" w:lineRule="auto"/>
        <w:ind w:left="851" w:firstLineChars="0"/>
        <w:rPr>
          <w:rFonts w:hint="default" w:ascii="宋体" w:hAnsi="宋体" w:cs="宋体"/>
        </w:rPr>
      </w:pPr>
      <w:r>
        <w:rPr>
          <w:rFonts w:ascii="宋体" w:hAnsi="宋体" w:cs="宋体"/>
        </w:rPr>
        <w:t>据此函，签字人兹宣布同意如下：</w:t>
      </w:r>
    </w:p>
    <w:p>
      <w:pPr>
        <w:pStyle w:val="32"/>
        <w:numPr>
          <w:ilvl w:val="2"/>
          <w:numId w:val="26"/>
        </w:numPr>
        <w:spacing w:line="360" w:lineRule="auto"/>
        <w:ind w:left="1276" w:firstLineChars="0"/>
        <w:rPr>
          <w:rFonts w:hint="default" w:ascii="宋体" w:hAnsi="宋体" w:cs="宋体"/>
        </w:rPr>
      </w:pPr>
      <w:r>
        <w:rPr>
          <w:rFonts w:ascii="宋体" w:hAnsi="宋体" w:cs="宋体"/>
          <w:szCs w:val="21"/>
        </w:rPr>
        <w:t>该项目的磋商报价</w:t>
      </w:r>
      <w:r>
        <w:rPr>
          <w:rFonts w:ascii="宋体" w:hAnsi="宋体" w:cs="宋体"/>
        </w:rPr>
        <w:t xml:space="preserve">以最后一轮报价为准； </w:t>
      </w:r>
    </w:p>
    <w:p>
      <w:pPr>
        <w:pStyle w:val="32"/>
        <w:numPr>
          <w:ilvl w:val="2"/>
          <w:numId w:val="26"/>
        </w:numPr>
        <w:spacing w:line="360" w:lineRule="auto"/>
        <w:ind w:left="1276" w:firstLineChars="0"/>
        <w:rPr>
          <w:rFonts w:hint="default" w:ascii="宋体" w:hAnsi="宋体" w:cs="宋体"/>
        </w:rPr>
      </w:pPr>
      <w:r>
        <w:rPr>
          <w:rFonts w:ascii="宋体" w:hAnsi="宋体" w:cs="宋体"/>
        </w:rPr>
        <w:t>保证遵守竞争性磋商的磋商文件中的有关规定。</w:t>
      </w:r>
    </w:p>
    <w:p>
      <w:pPr>
        <w:pStyle w:val="32"/>
        <w:numPr>
          <w:ilvl w:val="2"/>
          <w:numId w:val="26"/>
        </w:numPr>
        <w:spacing w:line="360" w:lineRule="auto"/>
        <w:ind w:left="1276" w:firstLineChars="0"/>
        <w:rPr>
          <w:rFonts w:hint="default" w:ascii="宋体" w:hAnsi="宋体" w:cs="宋体"/>
        </w:rPr>
      </w:pPr>
      <w:r>
        <w:rPr>
          <w:rFonts w:ascii="宋体" w:hAnsi="宋体" w:cs="宋体"/>
        </w:rPr>
        <w:t>保证严格执行双方所签的服务合同，并承担全部规定的责任义务。</w:t>
      </w:r>
    </w:p>
    <w:p>
      <w:pPr>
        <w:pStyle w:val="32"/>
        <w:numPr>
          <w:ilvl w:val="2"/>
          <w:numId w:val="26"/>
        </w:numPr>
        <w:spacing w:line="360" w:lineRule="auto"/>
        <w:ind w:left="1276" w:firstLineChars="0"/>
        <w:rPr>
          <w:rFonts w:hint="default" w:ascii="宋体" w:hAnsi="宋体" w:cs="宋体"/>
        </w:rPr>
      </w:pPr>
      <w:r>
        <w:rPr>
          <w:rFonts w:ascii="宋体" w:hAnsi="宋体" w:cs="宋体"/>
        </w:rPr>
        <w:t>磋商供应商已详细审查全部竞争性磋商文件，包括竞争性磋商文件补充文件（如果有的话）。我们完全理解并同意放弃对这方面有不明及误解的权力。</w:t>
      </w:r>
    </w:p>
    <w:p>
      <w:pPr>
        <w:pStyle w:val="32"/>
        <w:numPr>
          <w:ilvl w:val="2"/>
          <w:numId w:val="26"/>
        </w:numPr>
        <w:spacing w:line="360" w:lineRule="auto"/>
        <w:ind w:left="1276" w:firstLineChars="0"/>
        <w:rPr>
          <w:rFonts w:hint="default" w:ascii="宋体" w:hAnsi="宋体" w:cs="宋体"/>
        </w:rPr>
      </w:pPr>
      <w:r>
        <w:rPr>
          <w:rFonts w:ascii="宋体" w:hAnsi="宋体" w:cs="宋体"/>
        </w:rPr>
        <w:t>愿意向贵方提供任何与该项磋商有关的数据、情况和技术资料，完全理解贵方不一定接受最低价的投标或收到的任何投标。</w:t>
      </w:r>
    </w:p>
    <w:p>
      <w:pPr>
        <w:pStyle w:val="32"/>
        <w:numPr>
          <w:ilvl w:val="2"/>
          <w:numId w:val="26"/>
        </w:numPr>
        <w:spacing w:line="360" w:lineRule="auto"/>
        <w:ind w:left="1276" w:firstLineChars="0"/>
        <w:rPr>
          <w:rFonts w:hint="default" w:ascii="宋体" w:hAnsi="宋体" w:cs="宋体"/>
        </w:rPr>
      </w:pPr>
      <w:r>
        <w:rPr>
          <w:rFonts w:ascii="宋体" w:hAnsi="宋体" w:cs="宋体"/>
        </w:rPr>
        <w:t>本磋商自磋商截止时间之日起</w:t>
      </w:r>
      <w:r>
        <w:rPr>
          <w:rFonts w:ascii="宋体" w:hAnsi="宋体" w:cs="宋体"/>
          <w:u w:val="single"/>
        </w:rPr>
        <w:t>90</w:t>
      </w:r>
      <w:r>
        <w:rPr>
          <w:rFonts w:ascii="宋体" w:hAnsi="宋体" w:cs="宋体"/>
        </w:rPr>
        <w:t>日历天有效。</w:t>
      </w:r>
    </w:p>
    <w:p>
      <w:pPr>
        <w:pStyle w:val="32"/>
        <w:numPr>
          <w:ilvl w:val="2"/>
          <w:numId w:val="26"/>
        </w:numPr>
        <w:spacing w:line="360" w:lineRule="auto"/>
        <w:ind w:left="1276" w:firstLineChars="0"/>
        <w:rPr>
          <w:rFonts w:hint="default" w:ascii="宋体" w:hAnsi="宋体" w:cs="宋体"/>
          <w:szCs w:val="21"/>
        </w:rPr>
      </w:pPr>
      <w:r>
        <w:rPr>
          <w:rFonts w:ascii="宋体" w:hAnsi="宋体" w:cs="宋体"/>
          <w:szCs w:val="21"/>
        </w:rPr>
        <w:t>与本磋商有关的正式通讯地址为：</w:t>
      </w:r>
      <w:r>
        <w:rPr>
          <w:rFonts w:ascii="宋体" w:hAnsi="宋体" w:cs="宋体"/>
          <w:szCs w:val="21"/>
          <w:u w:val="single"/>
        </w:rPr>
        <w:t xml:space="preserve">                                           </w:t>
      </w:r>
    </w:p>
    <w:p>
      <w:pPr>
        <w:spacing w:line="360" w:lineRule="auto"/>
        <w:ind w:left="1276"/>
        <w:rPr>
          <w:rFonts w:hint="default" w:ascii="宋体" w:hAnsi="宋体" w:cs="宋体"/>
        </w:rPr>
      </w:pPr>
      <w:r>
        <w:rPr>
          <w:rFonts w:ascii="宋体" w:hAnsi="宋体" w:cs="宋体"/>
        </w:rPr>
        <w:t>邮编：</w:t>
      </w:r>
      <w:r>
        <w:rPr>
          <w:rFonts w:ascii="宋体" w:hAnsi="宋体" w:cs="宋体"/>
          <w:u w:val="single"/>
        </w:rPr>
        <w:t xml:space="preserve">              </w:t>
      </w:r>
      <w:r>
        <w:rPr>
          <w:rFonts w:ascii="宋体" w:hAnsi="宋体" w:cs="宋体"/>
        </w:rPr>
        <w:t>电话：</w:t>
      </w:r>
      <w:r>
        <w:rPr>
          <w:rFonts w:ascii="宋体" w:hAnsi="宋体" w:cs="宋体"/>
          <w:u w:val="single"/>
        </w:rPr>
        <w:t xml:space="preserve">                     </w:t>
      </w:r>
      <w:r>
        <w:rPr>
          <w:rFonts w:ascii="宋体" w:hAnsi="宋体" w:cs="宋体"/>
        </w:rPr>
        <w:t>传真：</w:t>
      </w:r>
      <w:r>
        <w:rPr>
          <w:rFonts w:ascii="宋体" w:hAnsi="宋体" w:cs="宋体"/>
          <w:u w:val="single"/>
        </w:rPr>
        <w:t xml:space="preserve">                   </w:t>
      </w:r>
      <w:r>
        <w:rPr>
          <w:rFonts w:ascii="宋体" w:hAnsi="宋体" w:cs="宋体"/>
        </w:rPr>
        <w:t xml:space="preserve">                    </w:t>
      </w:r>
    </w:p>
    <w:p>
      <w:pPr>
        <w:spacing w:line="480" w:lineRule="auto"/>
        <w:ind w:firstLine="5250" w:firstLineChars="2500"/>
        <w:rPr>
          <w:rFonts w:hint="default" w:ascii="宋体" w:hAnsi="宋体" w:cs="宋体"/>
        </w:rPr>
      </w:pPr>
    </w:p>
    <w:p>
      <w:pPr>
        <w:spacing w:line="480" w:lineRule="auto"/>
        <w:ind w:firstLine="5250" w:firstLineChars="2500"/>
        <w:rPr>
          <w:rFonts w:hint="default" w:ascii="宋体" w:hAnsi="宋体" w:cs="宋体"/>
        </w:rPr>
      </w:pP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日      期：    年   月     日</w:t>
      </w:r>
    </w:p>
    <w:p>
      <w:pPr>
        <w:pStyle w:val="9"/>
        <w:rPr>
          <w:rFonts w:hint="default" w:ascii="宋体" w:hAnsi="宋体" w:eastAsia="宋体" w:cs="宋体"/>
        </w:rPr>
      </w:pPr>
    </w:p>
    <w:p>
      <w:pPr>
        <w:rPr>
          <w:rFonts w:hint="default" w:ascii="宋体" w:hAnsi="宋体" w:cs="宋体"/>
        </w:rPr>
      </w:pPr>
    </w:p>
    <w:p>
      <w:pPr>
        <w:pStyle w:val="4"/>
        <w:jc w:val="center"/>
        <w:rPr>
          <w:rFonts w:hint="default" w:ascii="宋体" w:hAnsi="宋体" w:cs="宋体"/>
          <w:sz w:val="28"/>
          <w:szCs w:val="28"/>
        </w:rPr>
      </w:pPr>
      <w:bookmarkStart w:id="471" w:name="_Toc6776"/>
      <w:bookmarkStart w:id="472" w:name="_Toc27452"/>
      <w:r>
        <w:rPr>
          <w:rFonts w:ascii="宋体" w:hAnsi="宋体" w:cs="宋体"/>
          <w:sz w:val="28"/>
          <w:szCs w:val="28"/>
        </w:rPr>
        <w:t>附件七    磋商供应商情况一览表</w:t>
      </w:r>
      <w:bookmarkEnd w:id="471"/>
      <w:bookmarkEnd w:id="472"/>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911"/>
        <w:gridCol w:w="145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195" w:type="dxa"/>
            <w:tcBorders>
              <w:top w:val="single" w:color="auto" w:sz="4"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供应商名称</w:t>
            </w:r>
          </w:p>
        </w:tc>
        <w:tc>
          <w:tcPr>
            <w:tcW w:w="6418" w:type="dxa"/>
            <w:gridSpan w:val="3"/>
            <w:tcBorders>
              <w:top w:val="single" w:color="auto" w:sz="4"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单位地址</w:t>
            </w:r>
          </w:p>
        </w:tc>
        <w:tc>
          <w:tcPr>
            <w:tcW w:w="2911"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rPr>
            </w:pPr>
          </w:p>
        </w:tc>
        <w:tc>
          <w:tcPr>
            <w:tcW w:w="145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企业资质</w:t>
            </w:r>
          </w:p>
        </w:tc>
        <w:tc>
          <w:tcPr>
            <w:tcW w:w="6418"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法定代表人</w:t>
            </w:r>
          </w:p>
        </w:tc>
        <w:tc>
          <w:tcPr>
            <w:tcW w:w="2911"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rPr>
            </w:pPr>
          </w:p>
        </w:tc>
        <w:tc>
          <w:tcPr>
            <w:tcW w:w="145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项目负责人</w:t>
            </w:r>
          </w:p>
        </w:tc>
        <w:tc>
          <w:tcPr>
            <w:tcW w:w="2048"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2195" w:type="dxa"/>
            <w:tcBorders>
              <w:top w:val="single" w:color="auto" w:sz="6" w:space="0"/>
              <w:left w:val="single" w:color="auto" w:sz="4" w:space="0"/>
              <w:right w:val="single" w:color="auto" w:sz="6" w:space="0"/>
            </w:tcBorders>
            <w:vAlign w:val="center"/>
          </w:tcPr>
          <w:p>
            <w:pPr>
              <w:jc w:val="center"/>
              <w:rPr>
                <w:rFonts w:hint="default" w:ascii="宋体" w:hAnsi="宋体" w:cs="宋体"/>
                <w:b/>
                <w:bCs/>
              </w:rPr>
            </w:pPr>
            <w:r>
              <w:rPr>
                <w:rFonts w:ascii="宋体" w:hAnsi="宋体" w:cs="宋体"/>
                <w:b/>
                <w:bCs/>
              </w:rPr>
              <w:t>职工人数</w:t>
            </w:r>
          </w:p>
        </w:tc>
        <w:tc>
          <w:tcPr>
            <w:tcW w:w="2911" w:type="dxa"/>
            <w:tcBorders>
              <w:top w:val="single" w:color="auto" w:sz="6" w:space="0"/>
              <w:left w:val="single" w:color="auto" w:sz="6" w:space="0"/>
              <w:right w:val="single" w:color="auto" w:sz="4" w:space="0"/>
            </w:tcBorders>
            <w:vAlign w:val="center"/>
          </w:tcPr>
          <w:p>
            <w:pPr>
              <w:jc w:val="center"/>
              <w:rPr>
                <w:rFonts w:hint="default" w:ascii="宋体" w:hAnsi="宋体" w:cs="宋体"/>
              </w:rPr>
            </w:pPr>
          </w:p>
        </w:tc>
        <w:tc>
          <w:tcPr>
            <w:tcW w:w="1459" w:type="dxa"/>
            <w:tcBorders>
              <w:top w:val="single" w:color="auto" w:sz="6" w:space="0"/>
              <w:left w:val="single" w:color="auto" w:sz="6" w:space="0"/>
              <w:right w:val="single" w:color="auto" w:sz="4" w:space="0"/>
            </w:tcBorders>
            <w:vAlign w:val="center"/>
          </w:tcPr>
          <w:p>
            <w:pPr>
              <w:jc w:val="center"/>
              <w:rPr>
                <w:rFonts w:hint="default" w:ascii="宋体" w:hAnsi="宋体" w:cs="宋体"/>
                <w:b/>
                <w:bCs/>
              </w:rPr>
            </w:pPr>
            <w:r>
              <w:rPr>
                <w:rFonts w:ascii="宋体" w:hAnsi="宋体" w:cs="宋体"/>
                <w:b/>
                <w:bCs/>
              </w:rPr>
              <w:t>管理人员</w:t>
            </w:r>
          </w:p>
        </w:tc>
        <w:tc>
          <w:tcPr>
            <w:tcW w:w="2048"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授权委托代理人</w:t>
            </w:r>
          </w:p>
        </w:tc>
        <w:tc>
          <w:tcPr>
            <w:tcW w:w="2911"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rPr>
            </w:pPr>
          </w:p>
        </w:tc>
        <w:tc>
          <w:tcPr>
            <w:tcW w:w="145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驻瑞分支机构（如有）</w:t>
            </w:r>
          </w:p>
        </w:tc>
        <w:tc>
          <w:tcPr>
            <w:tcW w:w="6418"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驻瑞负责人</w:t>
            </w:r>
          </w:p>
        </w:tc>
        <w:tc>
          <w:tcPr>
            <w:tcW w:w="2911"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rPr>
            </w:pPr>
          </w:p>
        </w:tc>
        <w:tc>
          <w:tcPr>
            <w:tcW w:w="145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cs="宋体"/>
              </w:rPr>
            </w:pPr>
            <w:r>
              <w:rPr>
                <w:rFonts w:ascii="宋体" w:hAnsi="宋体" w:cs="宋体"/>
                <w:b/>
                <w:bCs/>
              </w:rPr>
              <w:t>电话</w:t>
            </w:r>
          </w:p>
        </w:tc>
        <w:tc>
          <w:tcPr>
            <w:tcW w:w="2048"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2195"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cs="宋体"/>
                <w:b/>
                <w:bCs/>
              </w:rPr>
            </w:pPr>
            <w:r>
              <w:rPr>
                <w:rFonts w:ascii="宋体" w:hAnsi="宋体" w:cs="宋体"/>
                <w:b/>
                <w:bCs/>
              </w:rPr>
              <w:t>企业概况</w:t>
            </w:r>
          </w:p>
        </w:tc>
        <w:tc>
          <w:tcPr>
            <w:tcW w:w="6418" w:type="dxa"/>
            <w:gridSpan w:val="3"/>
            <w:tcBorders>
              <w:top w:val="single" w:color="auto" w:sz="6" w:space="0"/>
              <w:left w:val="single" w:color="auto" w:sz="6" w:space="0"/>
              <w:bottom w:val="single" w:color="auto" w:sz="6" w:space="0"/>
              <w:right w:val="single" w:color="auto" w:sz="4" w:space="0"/>
            </w:tcBorders>
            <w:vAlign w:val="center"/>
          </w:tcPr>
          <w:p>
            <w:pPr>
              <w:rPr>
                <w:rFonts w:hint="default" w:ascii="宋体" w:hAnsi="宋体" w:cs="宋体"/>
              </w:rPr>
            </w:pPr>
            <w:r>
              <w:rPr>
                <w:rFonts w:ascii="宋体" w:hAnsi="宋体" w:cs="宋体"/>
              </w:rPr>
              <w:t xml:space="preserve">                      </w:t>
            </w:r>
          </w:p>
          <w:p>
            <w:pPr>
              <w:jc w:val="center"/>
              <w:rPr>
                <w:rFonts w:hint="default"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3" w:hRule="atLeast"/>
        </w:trPr>
        <w:tc>
          <w:tcPr>
            <w:tcW w:w="8613" w:type="dxa"/>
            <w:gridSpan w:val="4"/>
            <w:tcBorders>
              <w:top w:val="single" w:color="auto" w:sz="6" w:space="0"/>
              <w:left w:val="single" w:color="auto" w:sz="4" w:space="0"/>
              <w:bottom w:val="single" w:color="auto" w:sz="4" w:space="0"/>
              <w:right w:val="single" w:color="auto" w:sz="4" w:space="0"/>
            </w:tcBorders>
          </w:tcPr>
          <w:p>
            <w:pPr>
              <w:spacing w:line="360" w:lineRule="auto"/>
              <w:rPr>
                <w:rFonts w:hint="default" w:ascii="宋体" w:hAnsi="宋体" w:cs="宋体"/>
                <w:b/>
                <w:bCs/>
              </w:rPr>
            </w:pPr>
          </w:p>
          <w:p>
            <w:pPr>
              <w:spacing w:line="360" w:lineRule="auto"/>
              <w:rPr>
                <w:rFonts w:hint="default" w:ascii="宋体" w:hAnsi="宋体" w:cs="宋体"/>
                <w:b/>
                <w:bCs/>
              </w:rPr>
            </w:pPr>
            <w:r>
              <w:rPr>
                <w:rFonts w:ascii="宋体" w:hAnsi="宋体" w:cs="宋体"/>
                <w:b/>
                <w:bCs/>
              </w:rPr>
              <w:t>上述表格填写均已经过核对，确信没有疏漏或差错。</w:t>
            </w:r>
          </w:p>
          <w:p>
            <w:pPr>
              <w:rPr>
                <w:rFonts w:hint="default" w:ascii="宋体" w:hAnsi="宋体" w:cs="宋体"/>
              </w:rPr>
            </w:pPr>
          </w:p>
          <w:p>
            <w:pPr>
              <w:ind w:firstLine="6090" w:firstLineChars="2900"/>
              <w:rPr>
                <w:rFonts w:hint="default" w:ascii="宋体" w:hAnsi="宋体" w:cs="宋体"/>
              </w:rPr>
            </w:pPr>
          </w:p>
          <w:p>
            <w:pPr>
              <w:spacing w:before="312" w:beforeLines="100" w:after="312" w:afterLines="100" w:line="400" w:lineRule="atLeast"/>
              <w:jc w:val="right"/>
              <w:rPr>
                <w:rFonts w:hint="default" w:ascii="宋体" w:hAnsi="宋体"/>
                <w:szCs w:val="21"/>
              </w:rPr>
            </w:pPr>
            <w:r>
              <w:rPr>
                <w:rFonts w:ascii="宋体" w:hAnsi="宋体"/>
                <w:szCs w:val="21"/>
              </w:rPr>
              <w:t>磋商供应商全称（盖电子签章）：</w:t>
            </w:r>
          </w:p>
          <w:p>
            <w:pPr>
              <w:ind w:firstLine="6720" w:firstLineChars="3200"/>
              <w:jc w:val="right"/>
              <w:rPr>
                <w:rFonts w:hint="default" w:ascii="宋体" w:hAnsi="宋体"/>
                <w:szCs w:val="21"/>
              </w:rPr>
            </w:pPr>
            <w:r>
              <w:rPr>
                <w:rFonts w:ascii="宋体" w:hAnsi="宋体"/>
                <w:szCs w:val="21"/>
              </w:rPr>
              <w:t xml:space="preserve">                                          </w:t>
            </w:r>
          </w:p>
          <w:p>
            <w:pPr>
              <w:jc w:val="center"/>
              <w:rPr>
                <w:rFonts w:hint="default" w:ascii="宋体" w:hAnsi="宋体" w:cs="宋体"/>
              </w:rPr>
            </w:pPr>
            <w:r>
              <w:rPr>
                <w:rFonts w:ascii="宋体" w:hAnsi="宋体"/>
                <w:szCs w:val="21"/>
              </w:rPr>
              <w:t xml:space="preserve">                                             日期：    年   月    日</w:t>
            </w:r>
          </w:p>
        </w:tc>
      </w:tr>
    </w:tbl>
    <w:p>
      <w:pPr>
        <w:rPr>
          <w:rFonts w:hint="default"/>
          <w:szCs w:val="21"/>
        </w:rPr>
      </w:pPr>
    </w:p>
    <w:p>
      <w:pPr>
        <w:jc w:val="center"/>
        <w:rPr>
          <w:rFonts w:hint="default" w:ascii="宋体" w:hAnsi="宋体" w:cs="宋体"/>
          <w:b/>
          <w:bCs/>
          <w:sz w:val="28"/>
          <w:szCs w:val="28"/>
        </w:rPr>
      </w:pPr>
      <w:bookmarkStart w:id="473" w:name="_Toc2385"/>
      <w:bookmarkStart w:id="474" w:name="_Toc8371"/>
      <w:bookmarkStart w:id="475" w:name="_Toc32513"/>
      <w:bookmarkStart w:id="476" w:name="_Toc21237"/>
      <w:bookmarkStart w:id="477" w:name="_Toc29033"/>
      <w:bookmarkStart w:id="478" w:name="_Toc19345"/>
    </w:p>
    <w:p>
      <w:pPr>
        <w:pStyle w:val="2"/>
        <w:rPr>
          <w:rFonts w:hint="default" w:ascii="宋体" w:hAnsi="宋体" w:cs="宋体"/>
          <w:b/>
          <w:bCs/>
          <w:sz w:val="28"/>
          <w:szCs w:val="28"/>
        </w:rPr>
      </w:pPr>
    </w:p>
    <w:p>
      <w:pPr>
        <w:pStyle w:val="2"/>
        <w:ind w:left="0" w:leftChars="0"/>
        <w:rPr>
          <w:rFonts w:hint="default"/>
        </w:rPr>
      </w:pPr>
    </w:p>
    <w:p>
      <w:pPr>
        <w:jc w:val="center"/>
        <w:outlineLvl w:val="1"/>
        <w:rPr>
          <w:rFonts w:hint="default" w:ascii="宋体" w:hAnsi="宋体" w:cs="宋体"/>
          <w:b/>
          <w:bCs/>
          <w:sz w:val="28"/>
          <w:szCs w:val="28"/>
        </w:rPr>
      </w:pPr>
      <w:bookmarkStart w:id="479" w:name="_Toc12932"/>
      <w:bookmarkStart w:id="480" w:name="_Toc28772"/>
      <w:bookmarkStart w:id="481" w:name="_Toc16911"/>
      <w:r>
        <w:rPr>
          <w:rFonts w:ascii="宋体" w:hAnsi="宋体" w:cs="宋体"/>
          <w:b/>
          <w:bCs/>
          <w:sz w:val="28"/>
          <w:szCs w:val="28"/>
        </w:rPr>
        <w:t>附件八    少量偏离表</w:t>
      </w:r>
      <w:bookmarkEnd w:id="473"/>
      <w:bookmarkEnd w:id="474"/>
      <w:bookmarkEnd w:id="475"/>
      <w:bookmarkEnd w:id="476"/>
      <w:bookmarkEnd w:id="477"/>
      <w:bookmarkEnd w:id="478"/>
      <w:bookmarkEnd w:id="479"/>
      <w:bookmarkEnd w:id="480"/>
      <w:bookmarkEnd w:id="481"/>
    </w:p>
    <w:p>
      <w:pPr>
        <w:pStyle w:val="8"/>
        <w:ind w:firstLine="400"/>
        <w:rPr>
          <w:rFonts w:hint="default" w:ascii="宋体" w:hAnsi="宋体" w:cs="宋体"/>
        </w:rPr>
      </w:pPr>
    </w:p>
    <w:tbl>
      <w:tblPr>
        <w:tblStyle w:val="21"/>
        <w:tblW w:w="84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035"/>
        <w:gridCol w:w="3268"/>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61" w:hRule="atLeast"/>
          <w:jc w:val="center"/>
        </w:trPr>
        <w:tc>
          <w:tcPr>
            <w:tcW w:w="911" w:type="dxa"/>
            <w:tcBorders>
              <w:top w:val="single" w:color="auto" w:sz="12" w:space="0"/>
              <w:bottom w:val="single" w:color="auto" w:sz="12" w:space="0"/>
            </w:tcBorders>
            <w:vAlign w:val="center"/>
          </w:tcPr>
          <w:p>
            <w:pPr>
              <w:jc w:val="center"/>
              <w:rPr>
                <w:rFonts w:hint="default" w:ascii="宋体" w:hAnsi="宋体" w:cs="宋体"/>
                <w:b/>
                <w:bCs/>
              </w:rPr>
            </w:pPr>
            <w:r>
              <w:rPr>
                <w:rFonts w:ascii="宋体" w:hAnsi="宋体" w:cs="宋体"/>
                <w:b/>
                <w:bCs/>
              </w:rPr>
              <w:t>序号</w:t>
            </w:r>
          </w:p>
        </w:tc>
        <w:tc>
          <w:tcPr>
            <w:tcW w:w="3035" w:type="dxa"/>
            <w:tcBorders>
              <w:top w:val="single" w:color="auto" w:sz="12" w:space="0"/>
              <w:bottom w:val="single" w:color="auto" w:sz="12" w:space="0"/>
            </w:tcBorders>
            <w:vAlign w:val="center"/>
          </w:tcPr>
          <w:p>
            <w:pPr>
              <w:jc w:val="center"/>
              <w:rPr>
                <w:rFonts w:hint="default" w:ascii="宋体" w:hAnsi="宋体" w:cs="宋体"/>
                <w:b/>
                <w:bCs/>
              </w:rPr>
            </w:pPr>
            <w:r>
              <w:rPr>
                <w:rFonts w:ascii="宋体" w:hAnsi="宋体" w:cs="宋体"/>
                <w:b/>
                <w:bCs/>
              </w:rPr>
              <w:t>磋商文件重述</w:t>
            </w:r>
          </w:p>
        </w:tc>
        <w:tc>
          <w:tcPr>
            <w:tcW w:w="3268" w:type="dxa"/>
            <w:tcBorders>
              <w:top w:val="single" w:color="auto" w:sz="12" w:space="0"/>
              <w:bottom w:val="single" w:color="auto" w:sz="12" w:space="0"/>
            </w:tcBorders>
            <w:vAlign w:val="center"/>
          </w:tcPr>
          <w:p>
            <w:pPr>
              <w:jc w:val="center"/>
              <w:rPr>
                <w:rFonts w:hint="default" w:ascii="宋体" w:hAnsi="宋体" w:cs="宋体"/>
                <w:b/>
                <w:bCs/>
              </w:rPr>
            </w:pPr>
            <w:r>
              <w:rPr>
                <w:rFonts w:ascii="宋体" w:hAnsi="宋体" w:cs="宋体"/>
                <w:b/>
                <w:bCs/>
              </w:rPr>
              <w:t>对应磋商响应文件偏离</w:t>
            </w:r>
          </w:p>
        </w:tc>
        <w:tc>
          <w:tcPr>
            <w:tcW w:w="1282" w:type="dxa"/>
            <w:tcBorders>
              <w:top w:val="single" w:color="auto" w:sz="12" w:space="0"/>
              <w:bottom w:val="single" w:color="auto" w:sz="12" w:space="0"/>
            </w:tcBorders>
            <w:vAlign w:val="center"/>
          </w:tcPr>
          <w:p>
            <w:pPr>
              <w:jc w:val="center"/>
              <w:rPr>
                <w:rFonts w:hint="default" w:ascii="宋体" w:hAnsi="宋体" w:cs="宋体"/>
                <w:b/>
                <w:bCs/>
              </w:rPr>
            </w:pPr>
            <w:r>
              <w:rPr>
                <w:rFonts w:ascii="宋体" w:hAnsi="宋体" w:cs="宋体"/>
                <w:b/>
                <w:bCs/>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7" w:hRule="atLeast"/>
          <w:jc w:val="center"/>
        </w:trPr>
        <w:tc>
          <w:tcPr>
            <w:tcW w:w="911" w:type="dxa"/>
            <w:tcBorders>
              <w:top w:val="single" w:color="auto" w:sz="12" w:space="0"/>
            </w:tcBorders>
          </w:tcPr>
          <w:p>
            <w:pPr>
              <w:ind w:firstLine="592"/>
              <w:rPr>
                <w:rFonts w:hint="default" w:ascii="宋体" w:hAnsi="宋体" w:cs="宋体"/>
              </w:rPr>
            </w:pPr>
          </w:p>
        </w:tc>
        <w:tc>
          <w:tcPr>
            <w:tcW w:w="3035" w:type="dxa"/>
            <w:tcBorders>
              <w:top w:val="single" w:color="auto" w:sz="12" w:space="0"/>
            </w:tcBorders>
          </w:tcPr>
          <w:p>
            <w:pPr>
              <w:ind w:firstLine="592"/>
              <w:rPr>
                <w:rFonts w:hint="default" w:ascii="宋体" w:hAnsi="宋体" w:cs="宋体"/>
              </w:rPr>
            </w:pPr>
          </w:p>
        </w:tc>
        <w:tc>
          <w:tcPr>
            <w:tcW w:w="3268" w:type="dxa"/>
            <w:tcBorders>
              <w:top w:val="single" w:color="auto" w:sz="12" w:space="0"/>
            </w:tcBorders>
          </w:tcPr>
          <w:p>
            <w:pPr>
              <w:ind w:firstLine="592"/>
              <w:rPr>
                <w:rFonts w:hint="default" w:ascii="宋体" w:hAnsi="宋体" w:cs="宋体"/>
              </w:rPr>
            </w:pPr>
          </w:p>
        </w:tc>
        <w:tc>
          <w:tcPr>
            <w:tcW w:w="1282" w:type="dxa"/>
            <w:tcBorders>
              <w:top w:val="single" w:color="auto" w:sz="12" w:space="0"/>
            </w:tcBorders>
          </w:tcPr>
          <w:p>
            <w:pPr>
              <w:ind w:firstLine="592"/>
              <w:rPr>
                <w:rFonts w:hint="default" w:ascii="宋体" w:hAnsi="宋体" w:cs="宋体"/>
              </w:rPr>
            </w:pPr>
          </w:p>
        </w:tc>
      </w:tr>
    </w:tbl>
    <w:p>
      <w:pPr>
        <w:pStyle w:val="17"/>
        <w:tabs>
          <w:tab w:val="left" w:pos="945"/>
        </w:tabs>
        <w:rPr>
          <w:rFonts w:hint="default" w:cs="宋体"/>
        </w:rPr>
      </w:pPr>
    </w:p>
    <w:p>
      <w:pPr>
        <w:pStyle w:val="17"/>
        <w:tabs>
          <w:tab w:val="left" w:pos="945"/>
        </w:tabs>
        <w:rPr>
          <w:rFonts w:hint="default" w:cs="宋体"/>
        </w:rPr>
      </w:pPr>
      <w:r>
        <w:rPr>
          <w:rFonts w:cs="宋体"/>
        </w:rPr>
        <w:t>注：如不填写，则视为完全响应磋商文件的技术及商务要求。</w:t>
      </w:r>
    </w:p>
    <w:p>
      <w:pPr>
        <w:spacing w:after="156" w:afterLines="50" w:line="400" w:lineRule="exact"/>
        <w:ind w:firstLine="4412" w:firstLineChars="2101"/>
        <w:rPr>
          <w:rFonts w:hint="default" w:ascii="宋体" w:hAnsi="宋体" w:cs="宋体"/>
          <w:szCs w:val="21"/>
        </w:rPr>
      </w:pPr>
    </w:p>
    <w:p>
      <w:pPr>
        <w:spacing w:after="156" w:afterLines="50" w:line="400" w:lineRule="exact"/>
        <w:ind w:firstLine="4412" w:firstLineChars="2101"/>
        <w:rPr>
          <w:rFonts w:hint="default" w:ascii="宋体" w:hAnsi="宋体" w:cs="宋体"/>
          <w:szCs w:val="21"/>
        </w:rPr>
      </w:pP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ind w:firstLine="4620" w:firstLineChars="2200"/>
        <w:rPr>
          <w:rFonts w:hint="default"/>
        </w:rPr>
      </w:pPr>
      <w:r>
        <w:t>日      期：    年   月     日</w:t>
      </w:r>
    </w:p>
    <w:p>
      <w:pPr>
        <w:rPr>
          <w:rFonts w:hint="default"/>
        </w:rPr>
      </w:pPr>
    </w:p>
    <w:p>
      <w:pPr>
        <w:pStyle w:val="4"/>
        <w:tabs>
          <w:tab w:val="left" w:pos="1152"/>
          <w:tab w:val="clear" w:pos="840"/>
        </w:tabs>
        <w:jc w:val="center"/>
        <w:rPr>
          <w:rFonts w:hint="default"/>
        </w:rPr>
      </w:pPr>
      <w:bookmarkStart w:id="482" w:name="_Toc6757"/>
      <w:bookmarkStart w:id="483" w:name="_Toc18449"/>
      <w:r>
        <w:rPr>
          <w:rFonts w:ascii="宋体" w:hAnsi="宋体" w:cs="宋体"/>
          <w:sz w:val="28"/>
          <w:szCs w:val="28"/>
        </w:rPr>
        <w:t>附件九    项目负责人简历表</w:t>
      </w:r>
      <w:bookmarkEnd w:id="482"/>
      <w:bookmarkEnd w:id="483"/>
    </w:p>
    <w:tbl>
      <w:tblPr>
        <w:tblStyle w:val="21"/>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534"/>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r>
              <w:rPr>
                <w:rFonts w:asciiTheme="majorEastAsia" w:hAnsiTheme="majorEastAsia" w:eastAsiaTheme="majorEastAsia" w:cstheme="majorEastAsia"/>
                <w:b/>
                <w:bCs/>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学  历</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职  务</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职  称</w:t>
            </w:r>
          </w:p>
          <w:p>
            <w:pPr>
              <w:spacing w:line="2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参加工作时间</w:t>
            </w:r>
          </w:p>
        </w:tc>
        <w:tc>
          <w:tcPr>
            <w:tcW w:w="1503"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r>
              <w:rPr>
                <w:rFonts w:asciiTheme="majorEastAsia" w:hAnsiTheme="majorEastAsia" w:eastAsiaTheme="majorEastAsia" w:cstheme="majorEastAsia"/>
                <w:b/>
                <w:bCs/>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szCs w:val="21"/>
              </w:rPr>
            </w:pPr>
            <w:r>
              <w:rPr>
                <w:rFonts w:asciiTheme="majorEastAsia" w:hAnsiTheme="majorEastAsia" w:eastAsiaTheme="majorEastAsia" w:cstheme="majorEastAsia"/>
                <w:b/>
                <w:bCs/>
                <w:szCs w:val="21"/>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default" w:asciiTheme="majorEastAsia" w:hAnsiTheme="majorEastAsia" w:eastAsiaTheme="majorEastAsia" w:cstheme="majorEastAsia"/>
                <w:b/>
                <w:bCs/>
                <w:szCs w:val="21"/>
              </w:rPr>
            </w:pPr>
            <w:r>
              <w:rPr>
                <w:rFonts w:asciiTheme="majorEastAsia" w:hAnsiTheme="majorEastAsia" w:eastAsiaTheme="majorEastAsia" w:cstheme="majorEastAsia"/>
                <w:b/>
                <w:bCs/>
                <w:szCs w:val="21"/>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heme="majorEastAsia" w:hAnsiTheme="majorEastAsia" w:eastAsiaTheme="majorEastAsia" w:cstheme="majorEastAsia"/>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default" w:asciiTheme="majorEastAsia" w:hAnsiTheme="majorEastAsia" w:eastAsiaTheme="majorEastAsia" w:cstheme="majorEastAsia"/>
                <w:szCs w:val="21"/>
              </w:rPr>
            </w:pPr>
          </w:p>
        </w:tc>
      </w:tr>
    </w:tbl>
    <w:p>
      <w:pPr>
        <w:spacing w:line="360" w:lineRule="auto"/>
        <w:rPr>
          <w:rFonts w:hint="default"/>
          <w:b/>
          <w:bCs/>
        </w:rPr>
      </w:pPr>
      <w:r>
        <w:rPr>
          <w:b/>
          <w:bCs/>
        </w:rPr>
        <w:t>注：1、本表应附学历证书、技术职称/资格证书、业绩证明等扫描件并加盖公章；</w:t>
      </w:r>
    </w:p>
    <w:p>
      <w:pPr>
        <w:spacing w:line="360" w:lineRule="auto"/>
        <w:ind w:left="632" w:hanging="632" w:hangingChars="300"/>
        <w:rPr>
          <w:rFonts w:hint="default"/>
          <w:b/>
          <w:bCs/>
        </w:rPr>
      </w:pPr>
      <w:r>
        <w:rPr>
          <w:b/>
          <w:bCs/>
        </w:rPr>
        <w:t xml:space="preserve">    2、提供所在单位连续缴纳近三个月社保证明（公司注册时间未满三个月的，提供最近一个月的社保证明,公司注册时间未满一个月的，提供公司社会保险参保证明）</w:t>
      </w:r>
    </w:p>
    <w:p>
      <w:pPr>
        <w:spacing w:line="360" w:lineRule="auto"/>
        <w:ind w:firstLine="422" w:firstLineChars="200"/>
        <w:rPr>
          <w:rFonts w:hint="default"/>
        </w:rPr>
      </w:pPr>
      <w:bookmarkStart w:id="484" w:name="_Toc2448"/>
      <w:r>
        <w:rPr>
          <w:b/>
          <w:bCs/>
        </w:rPr>
        <w:t>3、本表可在不改变格式的情况下根据具体需要自行增减。</w:t>
      </w:r>
      <w:bookmarkEnd w:id="484"/>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ind w:firstLine="4620" w:firstLineChars="2200"/>
        <w:rPr>
          <w:rFonts w:hint="default"/>
        </w:rPr>
      </w:pPr>
      <w:r>
        <w:t>日      期：    年   月     日</w:t>
      </w:r>
    </w:p>
    <w:p>
      <w:pPr>
        <w:rPr>
          <w:rFonts w:hint="default"/>
        </w:rPr>
      </w:pPr>
    </w:p>
    <w:p>
      <w:pPr>
        <w:tabs>
          <w:tab w:val="left" w:pos="840"/>
        </w:tabs>
        <w:jc w:val="center"/>
        <w:outlineLvl w:val="1"/>
        <w:rPr>
          <w:rFonts w:hint="default" w:ascii="Arial" w:hAnsi="Arial" w:cs="Arial"/>
          <w:sz w:val="28"/>
        </w:rPr>
      </w:pPr>
      <w:bookmarkStart w:id="485" w:name="_Toc22134"/>
      <w:bookmarkStart w:id="486" w:name="_Toc10692"/>
      <w:bookmarkStart w:id="487" w:name="_Toc22694"/>
      <w:r>
        <w:rPr>
          <w:rFonts w:ascii="Arial" w:hAnsi="Arial" w:cs="Arial"/>
          <w:b/>
          <w:bCs/>
          <w:sz w:val="28"/>
        </w:rPr>
        <w:t>附件十    拟投入本项目</w:t>
      </w:r>
      <w:r>
        <w:rPr>
          <w:rFonts w:ascii="Arial" w:hAnsi="Arial" w:cs="Arial"/>
          <w:b/>
          <w:bCs/>
          <w:color w:val="000000"/>
          <w:sz w:val="28"/>
        </w:rPr>
        <w:t>服务</w:t>
      </w:r>
      <w:r>
        <w:rPr>
          <w:rFonts w:ascii="Arial" w:hAnsi="Arial" w:cs="Arial"/>
          <w:b/>
          <w:bCs/>
          <w:sz w:val="28"/>
        </w:rPr>
        <w:t>人员配备情况表</w:t>
      </w:r>
      <w:bookmarkEnd w:id="485"/>
      <w:bookmarkEnd w:id="486"/>
      <w:bookmarkEnd w:id="487"/>
    </w:p>
    <w:p>
      <w:pPr>
        <w:tabs>
          <w:tab w:val="left" w:pos="540"/>
        </w:tabs>
        <w:spacing w:line="360" w:lineRule="auto"/>
        <w:rPr>
          <w:rFonts w:hint="default"/>
        </w:rPr>
      </w:pPr>
      <w:r>
        <w:rPr>
          <w:rFonts w:asciiTheme="majorEastAsia" w:hAnsiTheme="majorEastAsia" w:eastAsiaTheme="majorEastAsia" w:cstheme="majorEastAsia"/>
          <w:b/>
          <w:bCs/>
          <w:szCs w:val="21"/>
        </w:rPr>
        <w:t>项目名称：                                      项目编号：</w:t>
      </w:r>
      <w:r>
        <w:rPr>
          <w:rFonts w:asciiTheme="majorEastAsia" w:hAnsiTheme="majorEastAsia" w:eastAsiaTheme="majorEastAsia" w:cstheme="majorEastAsia"/>
          <w:szCs w:val="21"/>
        </w:rPr>
        <w:t xml:space="preserve">                            </w:t>
      </w:r>
    </w:p>
    <w:tbl>
      <w:tblPr>
        <w:tblStyle w:val="21"/>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909"/>
        <w:gridCol w:w="908"/>
        <w:gridCol w:w="909"/>
        <w:gridCol w:w="909"/>
        <w:gridCol w:w="1293"/>
        <w:gridCol w:w="130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exact"/>
          <w:jc w:val="center"/>
        </w:trPr>
        <w:tc>
          <w:tcPr>
            <w:tcW w:w="908" w:type="dxa"/>
            <w:vAlign w:val="center"/>
          </w:tcPr>
          <w:p>
            <w:pPr>
              <w:spacing w:before="31" w:beforeLines="10" w:line="400" w:lineRule="exact"/>
              <w:jc w:val="center"/>
              <w:rPr>
                <w:rFonts w:hint="default" w:ascii="Arial" w:hAnsi="Arial" w:cs="Arial"/>
                <w:b/>
                <w:bCs/>
                <w:szCs w:val="21"/>
              </w:rPr>
            </w:pPr>
            <w:r>
              <w:rPr>
                <w:rFonts w:ascii="Arial" w:hAnsi="Arial" w:cs="Arial"/>
                <w:b/>
                <w:bCs/>
                <w:szCs w:val="21"/>
              </w:rPr>
              <w:t>姓名</w:t>
            </w:r>
          </w:p>
        </w:tc>
        <w:tc>
          <w:tcPr>
            <w:tcW w:w="909" w:type="dxa"/>
            <w:vAlign w:val="center"/>
          </w:tcPr>
          <w:p>
            <w:pPr>
              <w:spacing w:before="31" w:beforeLines="10" w:line="400" w:lineRule="exact"/>
              <w:jc w:val="center"/>
              <w:rPr>
                <w:rFonts w:hint="default" w:ascii="Arial" w:hAnsi="Arial" w:cs="Arial"/>
                <w:b/>
                <w:bCs/>
                <w:szCs w:val="21"/>
              </w:rPr>
            </w:pPr>
            <w:r>
              <w:rPr>
                <w:rFonts w:ascii="Arial" w:hAnsi="Arial" w:cs="Arial"/>
                <w:b/>
                <w:bCs/>
                <w:szCs w:val="21"/>
              </w:rPr>
              <w:t>性别</w:t>
            </w:r>
          </w:p>
        </w:tc>
        <w:tc>
          <w:tcPr>
            <w:tcW w:w="908" w:type="dxa"/>
            <w:vAlign w:val="center"/>
          </w:tcPr>
          <w:p>
            <w:pPr>
              <w:spacing w:before="31" w:beforeLines="10" w:line="400" w:lineRule="exact"/>
              <w:jc w:val="center"/>
              <w:rPr>
                <w:rFonts w:hint="default" w:ascii="Arial" w:hAnsi="Arial" w:cs="Arial"/>
                <w:b/>
                <w:bCs/>
                <w:szCs w:val="21"/>
              </w:rPr>
            </w:pPr>
            <w:r>
              <w:rPr>
                <w:rFonts w:ascii="Arial" w:hAnsi="Arial" w:cs="Arial"/>
                <w:b/>
                <w:bCs/>
                <w:szCs w:val="21"/>
              </w:rPr>
              <w:t>年龄</w:t>
            </w:r>
          </w:p>
        </w:tc>
        <w:tc>
          <w:tcPr>
            <w:tcW w:w="909" w:type="dxa"/>
            <w:vAlign w:val="center"/>
          </w:tcPr>
          <w:p>
            <w:pPr>
              <w:spacing w:before="31" w:beforeLines="10" w:line="400" w:lineRule="exact"/>
              <w:jc w:val="center"/>
              <w:rPr>
                <w:rFonts w:hint="default" w:ascii="Arial" w:hAnsi="Arial" w:cs="Arial"/>
                <w:b/>
                <w:bCs/>
                <w:szCs w:val="21"/>
              </w:rPr>
            </w:pPr>
            <w:r>
              <w:rPr>
                <w:rFonts w:ascii="Arial" w:hAnsi="Arial" w:cs="Arial"/>
                <w:b/>
                <w:bCs/>
                <w:szCs w:val="21"/>
              </w:rPr>
              <w:t>职务/</w:t>
            </w:r>
          </w:p>
          <w:p>
            <w:pPr>
              <w:spacing w:before="31" w:beforeLines="10" w:line="400" w:lineRule="exact"/>
              <w:jc w:val="center"/>
              <w:rPr>
                <w:rFonts w:hint="default" w:ascii="Arial" w:hAnsi="Arial" w:cs="Arial"/>
                <w:b/>
                <w:bCs/>
                <w:szCs w:val="21"/>
              </w:rPr>
            </w:pPr>
            <w:r>
              <w:rPr>
                <w:rFonts w:ascii="Arial" w:hAnsi="Arial" w:cs="Arial"/>
                <w:b/>
                <w:bCs/>
                <w:szCs w:val="21"/>
              </w:rPr>
              <w:t>职称</w:t>
            </w:r>
          </w:p>
        </w:tc>
        <w:tc>
          <w:tcPr>
            <w:tcW w:w="909" w:type="dxa"/>
            <w:vAlign w:val="center"/>
          </w:tcPr>
          <w:p>
            <w:pPr>
              <w:spacing w:line="400" w:lineRule="atLeast"/>
              <w:jc w:val="center"/>
              <w:rPr>
                <w:rFonts w:hint="default" w:ascii="Arial" w:hAnsi="Arial" w:cs="Arial"/>
                <w:b/>
                <w:bCs/>
              </w:rPr>
            </w:pPr>
            <w:r>
              <w:rPr>
                <w:rFonts w:ascii="Arial" w:hAnsi="Arial" w:cs="Arial"/>
                <w:b/>
                <w:bCs/>
              </w:rPr>
              <w:t>专业/</w:t>
            </w:r>
          </w:p>
          <w:p>
            <w:pPr>
              <w:spacing w:line="400" w:lineRule="atLeast"/>
              <w:jc w:val="center"/>
              <w:rPr>
                <w:rFonts w:hint="default" w:ascii="Arial" w:hAnsi="Arial" w:cs="Arial"/>
                <w:b/>
                <w:bCs/>
                <w:szCs w:val="21"/>
              </w:rPr>
            </w:pPr>
            <w:r>
              <w:rPr>
                <w:rFonts w:ascii="Arial" w:hAnsi="Arial" w:cs="Arial"/>
                <w:b/>
                <w:bCs/>
              </w:rPr>
              <w:t>年限</w:t>
            </w:r>
          </w:p>
        </w:tc>
        <w:tc>
          <w:tcPr>
            <w:tcW w:w="1293" w:type="dxa"/>
            <w:vAlign w:val="center"/>
          </w:tcPr>
          <w:p>
            <w:pPr>
              <w:spacing w:line="400" w:lineRule="atLeast"/>
              <w:jc w:val="center"/>
              <w:rPr>
                <w:rFonts w:hint="default" w:ascii="Arial" w:hAnsi="Arial" w:cs="Arial"/>
                <w:b/>
                <w:bCs/>
              </w:rPr>
            </w:pPr>
            <w:r>
              <w:rPr>
                <w:rFonts w:ascii="Arial" w:hAnsi="Arial" w:cs="Arial"/>
                <w:b/>
                <w:bCs/>
              </w:rPr>
              <w:t>承诺</w:t>
            </w:r>
          </w:p>
          <w:p>
            <w:pPr>
              <w:spacing w:line="400" w:lineRule="atLeast"/>
              <w:jc w:val="center"/>
              <w:rPr>
                <w:rFonts w:hint="default" w:ascii="Arial" w:hAnsi="Arial" w:cs="Arial"/>
                <w:b/>
                <w:bCs/>
                <w:szCs w:val="21"/>
              </w:rPr>
            </w:pPr>
            <w:r>
              <w:rPr>
                <w:rFonts w:ascii="Arial" w:hAnsi="Arial" w:cs="Arial"/>
                <w:b/>
                <w:bCs/>
              </w:rPr>
              <w:t>到位率</w:t>
            </w:r>
          </w:p>
        </w:tc>
        <w:tc>
          <w:tcPr>
            <w:tcW w:w="1300" w:type="dxa"/>
            <w:vAlign w:val="center"/>
          </w:tcPr>
          <w:p>
            <w:pPr>
              <w:spacing w:line="400" w:lineRule="atLeast"/>
              <w:jc w:val="center"/>
              <w:rPr>
                <w:rFonts w:hint="default" w:ascii="Arial" w:hAnsi="Arial" w:cs="Arial"/>
                <w:b/>
                <w:bCs/>
                <w:szCs w:val="21"/>
              </w:rPr>
            </w:pPr>
            <w:r>
              <w:rPr>
                <w:rFonts w:ascii="Arial" w:hAnsi="Arial" w:cs="Arial"/>
                <w:b/>
                <w:bCs/>
              </w:rPr>
              <w:t>到现场服务起止时间</w:t>
            </w:r>
          </w:p>
        </w:tc>
        <w:tc>
          <w:tcPr>
            <w:tcW w:w="1874" w:type="dxa"/>
            <w:vAlign w:val="center"/>
          </w:tcPr>
          <w:p>
            <w:pPr>
              <w:spacing w:line="400" w:lineRule="atLeast"/>
              <w:jc w:val="center"/>
              <w:rPr>
                <w:rFonts w:hint="default" w:ascii="Arial" w:hAnsi="Arial" w:cs="Arial"/>
                <w:b/>
                <w:bCs/>
              </w:rPr>
            </w:pPr>
            <w:r>
              <w:rPr>
                <w:rFonts w:ascii="Arial" w:hAnsi="Arial" w:cs="Arial"/>
                <w:b/>
                <w:bCs/>
              </w:rPr>
              <w:t>类似服务的经历、业绩、是否有上岗证等介绍</w:t>
            </w:r>
          </w:p>
          <w:p>
            <w:pPr>
              <w:spacing w:line="400" w:lineRule="atLeast"/>
              <w:jc w:val="center"/>
              <w:rPr>
                <w:rFonts w:hint="default" w:ascii="Arial" w:hAnsi="Arial" w:cs="Arial"/>
                <w:b/>
                <w:bCs/>
                <w:szCs w:val="21"/>
              </w:rPr>
            </w:pPr>
            <w:r>
              <w:rPr>
                <w:rFonts w:ascii="Arial" w:hAnsi="Arial" w:cs="Arial"/>
                <w:b/>
                <w:bCs/>
              </w:rPr>
              <w:t>（或另附简历）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exact"/>
          <w:jc w:val="center"/>
        </w:trPr>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8"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909" w:type="dxa"/>
          </w:tcPr>
          <w:p>
            <w:pPr>
              <w:spacing w:before="31" w:beforeLines="10" w:line="400" w:lineRule="exact"/>
              <w:rPr>
                <w:rFonts w:hint="default" w:ascii="Arial" w:hAnsi="Arial" w:cs="Arial"/>
                <w:szCs w:val="21"/>
              </w:rPr>
            </w:pPr>
          </w:p>
        </w:tc>
        <w:tc>
          <w:tcPr>
            <w:tcW w:w="1293" w:type="dxa"/>
          </w:tcPr>
          <w:p>
            <w:pPr>
              <w:spacing w:before="31" w:beforeLines="10" w:line="400" w:lineRule="exact"/>
              <w:rPr>
                <w:rFonts w:hint="default" w:ascii="Arial" w:hAnsi="Arial" w:cs="Arial"/>
                <w:szCs w:val="21"/>
              </w:rPr>
            </w:pPr>
          </w:p>
        </w:tc>
        <w:tc>
          <w:tcPr>
            <w:tcW w:w="1300" w:type="dxa"/>
          </w:tcPr>
          <w:p>
            <w:pPr>
              <w:spacing w:before="31" w:beforeLines="10" w:line="400" w:lineRule="exact"/>
              <w:rPr>
                <w:rFonts w:hint="default" w:ascii="Arial" w:hAnsi="Arial" w:cs="Arial"/>
                <w:szCs w:val="21"/>
              </w:rPr>
            </w:pPr>
          </w:p>
        </w:tc>
        <w:tc>
          <w:tcPr>
            <w:tcW w:w="1874" w:type="dxa"/>
          </w:tcPr>
          <w:p>
            <w:pPr>
              <w:spacing w:before="31" w:beforeLines="10" w:line="400" w:lineRule="exact"/>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8" w:type="dxa"/>
          </w:tcPr>
          <w:p>
            <w:pPr>
              <w:spacing w:before="31" w:beforeLines="10" w:line="360" w:lineRule="auto"/>
              <w:rPr>
                <w:rFonts w:hint="default" w:ascii="Arial" w:hAnsi="Arial" w:cs="Arial"/>
                <w:szCs w:val="21"/>
              </w:rPr>
            </w:pPr>
          </w:p>
        </w:tc>
        <w:tc>
          <w:tcPr>
            <w:tcW w:w="909" w:type="dxa"/>
          </w:tcPr>
          <w:p>
            <w:pPr>
              <w:spacing w:before="31" w:beforeLines="10" w:line="360" w:lineRule="auto"/>
              <w:rPr>
                <w:rFonts w:hint="default" w:ascii="Arial" w:hAnsi="Arial" w:cs="Arial"/>
                <w:szCs w:val="21"/>
              </w:rPr>
            </w:pPr>
          </w:p>
        </w:tc>
        <w:tc>
          <w:tcPr>
            <w:tcW w:w="908" w:type="dxa"/>
          </w:tcPr>
          <w:p>
            <w:pPr>
              <w:spacing w:before="31" w:beforeLines="10" w:line="360" w:lineRule="auto"/>
              <w:rPr>
                <w:rFonts w:hint="default" w:ascii="Arial" w:hAnsi="Arial" w:cs="Arial"/>
                <w:szCs w:val="21"/>
              </w:rPr>
            </w:pPr>
          </w:p>
        </w:tc>
        <w:tc>
          <w:tcPr>
            <w:tcW w:w="909" w:type="dxa"/>
          </w:tcPr>
          <w:p>
            <w:pPr>
              <w:spacing w:before="31" w:beforeLines="10" w:line="360" w:lineRule="auto"/>
              <w:rPr>
                <w:rFonts w:hint="default" w:ascii="Arial" w:hAnsi="Arial" w:cs="Arial"/>
                <w:szCs w:val="21"/>
              </w:rPr>
            </w:pPr>
          </w:p>
        </w:tc>
        <w:tc>
          <w:tcPr>
            <w:tcW w:w="909" w:type="dxa"/>
          </w:tcPr>
          <w:p>
            <w:pPr>
              <w:spacing w:before="31" w:beforeLines="10" w:line="360" w:lineRule="auto"/>
              <w:rPr>
                <w:rFonts w:hint="default" w:ascii="Arial" w:hAnsi="Arial" w:cs="Arial"/>
                <w:szCs w:val="21"/>
              </w:rPr>
            </w:pPr>
          </w:p>
        </w:tc>
        <w:tc>
          <w:tcPr>
            <w:tcW w:w="1293" w:type="dxa"/>
          </w:tcPr>
          <w:p>
            <w:pPr>
              <w:spacing w:before="31" w:beforeLines="10" w:line="360" w:lineRule="auto"/>
              <w:rPr>
                <w:rFonts w:hint="default" w:ascii="Arial" w:hAnsi="Arial" w:cs="Arial"/>
                <w:szCs w:val="21"/>
              </w:rPr>
            </w:pPr>
          </w:p>
        </w:tc>
        <w:tc>
          <w:tcPr>
            <w:tcW w:w="1300" w:type="dxa"/>
          </w:tcPr>
          <w:p>
            <w:pPr>
              <w:spacing w:before="31" w:beforeLines="10" w:line="360" w:lineRule="auto"/>
              <w:rPr>
                <w:rFonts w:hint="default" w:ascii="Arial" w:hAnsi="Arial" w:cs="Arial"/>
                <w:szCs w:val="21"/>
              </w:rPr>
            </w:pPr>
          </w:p>
        </w:tc>
        <w:tc>
          <w:tcPr>
            <w:tcW w:w="1874" w:type="dxa"/>
          </w:tcPr>
          <w:p>
            <w:pPr>
              <w:spacing w:before="31" w:beforeLines="10" w:line="360" w:lineRule="auto"/>
              <w:rPr>
                <w:rFonts w:hint="default"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9010" w:type="dxa"/>
            <w:gridSpan w:val="8"/>
          </w:tcPr>
          <w:p>
            <w:pPr>
              <w:spacing w:before="31" w:beforeLines="10" w:line="360" w:lineRule="auto"/>
              <w:rPr>
                <w:rFonts w:hint="default" w:ascii="Arial" w:hAnsi="Arial" w:cs="Arial"/>
              </w:rPr>
            </w:pPr>
            <w:r>
              <w:rPr>
                <w:rFonts w:ascii="Arial" w:hAnsi="Arial" w:cs="Arial"/>
              </w:rPr>
              <w:t>1、一旦我单位中标，将实行项目经理（负责人）负责制，我方保证并配备上述项目管理机构。</w:t>
            </w:r>
          </w:p>
          <w:p>
            <w:pPr>
              <w:spacing w:before="31" w:beforeLines="10" w:line="360" w:lineRule="auto"/>
              <w:rPr>
                <w:rFonts w:hint="default" w:ascii="Arial" w:hAnsi="Arial" w:cs="Arial"/>
                <w:szCs w:val="21"/>
              </w:rPr>
            </w:pPr>
            <w:r>
              <w:rPr>
                <w:rFonts w:ascii="Arial" w:hAnsi="Arial" w:cs="Arial"/>
              </w:rPr>
              <w:t>2、上述填报内容真实，若不真实，愿按有关规定接受处理。</w:t>
            </w:r>
          </w:p>
        </w:tc>
      </w:tr>
    </w:tbl>
    <w:p>
      <w:pPr>
        <w:spacing w:line="360" w:lineRule="auto"/>
        <w:rPr>
          <w:rFonts w:hint="default"/>
          <w:b/>
          <w:bCs/>
        </w:rPr>
      </w:pPr>
      <w:r>
        <w:rPr>
          <w:b/>
          <w:bCs/>
        </w:rPr>
        <w:t xml:space="preserve">注：1、本表应附学历证书、技术职称/资格证书、业绩证明等扫描件并加盖公章； </w:t>
      </w:r>
    </w:p>
    <w:p>
      <w:pPr>
        <w:spacing w:line="360" w:lineRule="auto"/>
        <w:ind w:left="632" w:hanging="632" w:hangingChars="300"/>
        <w:rPr>
          <w:rFonts w:hint="default"/>
          <w:b/>
          <w:bCs/>
        </w:rPr>
      </w:pPr>
      <w:r>
        <w:rPr>
          <w:b/>
          <w:bCs/>
        </w:rPr>
        <w:t xml:space="preserve">    2、提供所在单位连续缴纳近三个月社保证明（公司注册时间未满三个月的，提供最近一个月的社保证明,公司注册时间未满一个月的，提供公司社会保险参保证明）</w:t>
      </w:r>
    </w:p>
    <w:p>
      <w:pPr>
        <w:spacing w:line="360" w:lineRule="auto"/>
        <w:ind w:firstLine="422" w:firstLineChars="200"/>
        <w:rPr>
          <w:rFonts w:hint="default"/>
          <w:b/>
          <w:bCs/>
        </w:rPr>
      </w:pPr>
      <w:bookmarkStart w:id="488" w:name="_Toc9955"/>
      <w:r>
        <w:rPr>
          <w:b/>
          <w:bCs/>
        </w:rPr>
        <w:t>3、本表可在不改变格式的情况下根据具体需要自行增减。</w:t>
      </w:r>
      <w:bookmarkEnd w:id="488"/>
    </w:p>
    <w:p>
      <w:pPr>
        <w:tabs>
          <w:tab w:val="left" w:pos="840"/>
        </w:tabs>
        <w:outlineLvl w:val="9"/>
        <w:rPr>
          <w:rFonts w:hint="default"/>
        </w:rPr>
      </w:pP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磋商供应商全称（</w:t>
      </w:r>
      <w:r>
        <w:rPr>
          <w:rFonts w:ascii="宋体" w:hAnsi="宋体" w:cs="宋体"/>
        </w:rPr>
        <w:t>盖电子签章</w:t>
      </w:r>
      <w:r>
        <w:rPr>
          <w:rFonts w:ascii="宋体" w:hAnsi="宋体" w:cs="宋体"/>
          <w:szCs w:val="21"/>
        </w:rPr>
        <w:t>）：</w:t>
      </w:r>
    </w:p>
    <w:p>
      <w:pPr>
        <w:spacing w:before="312" w:beforeLines="100" w:after="312" w:afterLines="100" w:line="400" w:lineRule="atLeast"/>
        <w:ind w:left="4620" w:leftChars="2200"/>
        <w:rPr>
          <w:rFonts w:hint="default" w:ascii="宋体" w:hAnsi="宋体" w:cs="宋体"/>
          <w:szCs w:val="21"/>
        </w:rPr>
      </w:pPr>
      <w:r>
        <w:rPr>
          <w:rFonts w:ascii="宋体" w:hAnsi="宋体" w:cs="宋体"/>
          <w:szCs w:val="21"/>
        </w:rPr>
        <w:t>法定代表人或授权代表（签字或盖章）：</w:t>
      </w:r>
    </w:p>
    <w:p>
      <w:pPr>
        <w:ind w:firstLine="4620" w:firstLineChars="2200"/>
        <w:rPr>
          <w:rFonts w:hint="default"/>
        </w:rPr>
      </w:pPr>
      <w:r>
        <w:t>日      期：    年   月     日</w:t>
      </w:r>
    </w:p>
    <w:p>
      <w:pPr>
        <w:tabs>
          <w:tab w:val="left" w:pos="840"/>
        </w:tabs>
        <w:jc w:val="center"/>
        <w:outlineLvl w:val="1"/>
        <w:rPr>
          <w:rFonts w:hint="default" w:ascii="Arial" w:hAnsi="Arial" w:cs="Arial"/>
          <w:b/>
          <w:sz w:val="28"/>
        </w:rPr>
      </w:pPr>
      <w:bookmarkStart w:id="489" w:name="_Toc27756"/>
      <w:bookmarkStart w:id="490" w:name="_Toc28518"/>
      <w:bookmarkStart w:id="491" w:name="_Toc22717"/>
      <w:bookmarkStart w:id="492" w:name="_Toc28867"/>
      <w:bookmarkStart w:id="493" w:name="_Toc6987"/>
      <w:bookmarkStart w:id="494" w:name="_Toc15760"/>
      <w:r>
        <w:rPr>
          <w:rFonts w:ascii="Arial" w:hAnsi="Arial" w:cs="Arial"/>
          <w:b/>
          <w:sz w:val="28"/>
        </w:rPr>
        <w:t>附件十一  磋商供应</w:t>
      </w:r>
      <w:r>
        <w:rPr>
          <w:rFonts w:ascii="Arial" w:hAnsi="Arial" w:cs="Arial"/>
          <w:b/>
          <w:sz w:val="28"/>
          <w:szCs w:val="28"/>
        </w:rPr>
        <w:t>商</w:t>
      </w:r>
      <w:r>
        <w:rPr>
          <w:rFonts w:ascii="Arial" w:hAnsi="Arial" w:cs="Arial"/>
          <w:b/>
          <w:kern w:val="28"/>
          <w:sz w:val="28"/>
          <w:szCs w:val="28"/>
        </w:rPr>
        <w:t>2020年1月1日</w:t>
      </w:r>
      <w:r>
        <w:rPr>
          <w:rFonts w:ascii="Arial" w:hAnsi="Arial" w:cs="Arial"/>
          <w:b/>
          <w:sz w:val="28"/>
        </w:rPr>
        <w:t>以来</w:t>
      </w:r>
      <w:r>
        <w:rPr>
          <w:rFonts w:hint="eastAsia" w:ascii="Arial" w:hAnsi="Arial" w:cs="Arial"/>
          <w:b/>
          <w:sz w:val="28"/>
          <w:lang w:val="en-US" w:eastAsia="zh-CN"/>
        </w:rPr>
        <w:t>类似项目</w:t>
      </w:r>
      <w:r>
        <w:rPr>
          <w:rFonts w:ascii="Arial" w:hAnsi="Arial" w:cs="Arial"/>
          <w:b/>
          <w:sz w:val="28"/>
        </w:rPr>
        <w:t>业绩一览表</w:t>
      </w:r>
      <w:bookmarkEnd w:id="489"/>
      <w:bookmarkEnd w:id="490"/>
      <w:bookmarkEnd w:id="491"/>
      <w:bookmarkEnd w:id="492"/>
      <w:bookmarkEnd w:id="493"/>
      <w:bookmarkEnd w:id="494"/>
    </w:p>
    <w:tbl>
      <w:tblPr>
        <w:tblStyle w:val="21"/>
        <w:tblW w:w="8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48"/>
        <w:gridCol w:w="1764"/>
        <w:gridCol w:w="1203"/>
        <w:gridCol w:w="109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r>
              <w:rPr>
                <w:rFonts w:ascii="Arial" w:hAnsi="Arial" w:cs="Arial"/>
                <w:b/>
                <w:bCs/>
                <w:sz w:val="22"/>
              </w:rPr>
              <w:t>序号</w:t>
            </w:r>
          </w:p>
        </w:tc>
        <w:tc>
          <w:tcPr>
            <w:tcW w:w="1948" w:type="dxa"/>
            <w:vAlign w:val="center"/>
          </w:tcPr>
          <w:p>
            <w:pPr>
              <w:spacing w:line="380" w:lineRule="exact"/>
              <w:jc w:val="center"/>
              <w:rPr>
                <w:rFonts w:hint="default" w:ascii="Arial" w:hAnsi="Arial" w:cs="Arial"/>
                <w:b/>
                <w:bCs/>
                <w:sz w:val="22"/>
              </w:rPr>
            </w:pPr>
            <w:r>
              <w:rPr>
                <w:rFonts w:ascii="Arial" w:hAnsi="Arial" w:cs="Arial"/>
                <w:b/>
                <w:bCs/>
                <w:sz w:val="22"/>
              </w:rPr>
              <w:t>项目名称</w:t>
            </w:r>
          </w:p>
        </w:tc>
        <w:tc>
          <w:tcPr>
            <w:tcW w:w="1764" w:type="dxa"/>
            <w:vAlign w:val="center"/>
          </w:tcPr>
          <w:p>
            <w:pPr>
              <w:spacing w:line="380" w:lineRule="exact"/>
              <w:jc w:val="center"/>
              <w:rPr>
                <w:rFonts w:hint="default" w:ascii="Arial" w:hAnsi="Arial" w:cs="Arial"/>
                <w:b/>
                <w:bCs/>
                <w:sz w:val="22"/>
              </w:rPr>
            </w:pPr>
            <w:r>
              <w:rPr>
                <w:rFonts w:ascii="Arial" w:hAnsi="Arial" w:cs="Arial"/>
                <w:b/>
                <w:bCs/>
                <w:sz w:val="22"/>
              </w:rPr>
              <w:t>用户单位</w:t>
            </w:r>
          </w:p>
        </w:tc>
        <w:tc>
          <w:tcPr>
            <w:tcW w:w="1203" w:type="dxa"/>
            <w:vAlign w:val="center"/>
          </w:tcPr>
          <w:p>
            <w:pPr>
              <w:spacing w:line="380" w:lineRule="exact"/>
              <w:jc w:val="center"/>
              <w:rPr>
                <w:rFonts w:hint="default" w:ascii="Arial" w:hAnsi="Arial" w:cs="Arial"/>
                <w:b/>
                <w:bCs/>
                <w:sz w:val="22"/>
              </w:rPr>
            </w:pPr>
            <w:r>
              <w:rPr>
                <w:rFonts w:ascii="Arial" w:hAnsi="Arial" w:cs="Arial"/>
                <w:b/>
                <w:bCs/>
                <w:sz w:val="22"/>
              </w:rPr>
              <w:t>合同金额</w:t>
            </w:r>
          </w:p>
        </w:tc>
        <w:tc>
          <w:tcPr>
            <w:tcW w:w="1093" w:type="dxa"/>
            <w:vAlign w:val="center"/>
          </w:tcPr>
          <w:p>
            <w:pPr>
              <w:spacing w:line="380" w:lineRule="exact"/>
              <w:jc w:val="center"/>
              <w:rPr>
                <w:rFonts w:hint="default" w:ascii="Arial" w:hAnsi="Arial" w:cs="Arial"/>
                <w:b/>
                <w:bCs/>
                <w:sz w:val="22"/>
              </w:rPr>
            </w:pPr>
            <w:r>
              <w:rPr>
                <w:rFonts w:ascii="Arial" w:hAnsi="Arial" w:cs="Arial"/>
                <w:b/>
                <w:bCs/>
                <w:sz w:val="22"/>
              </w:rPr>
              <w:t>合同签订时间</w:t>
            </w:r>
          </w:p>
        </w:tc>
        <w:tc>
          <w:tcPr>
            <w:tcW w:w="1440" w:type="dxa"/>
            <w:vAlign w:val="center"/>
          </w:tcPr>
          <w:p>
            <w:pPr>
              <w:spacing w:line="380" w:lineRule="exact"/>
              <w:jc w:val="center"/>
              <w:rPr>
                <w:rFonts w:hint="default" w:ascii="Arial" w:hAnsi="Arial" w:cs="Arial"/>
                <w:b/>
                <w:bCs/>
                <w:sz w:val="22"/>
              </w:rPr>
            </w:pPr>
            <w:r>
              <w:rPr>
                <w:rFonts w:ascii="Arial" w:hAnsi="Arial" w:cs="Arial"/>
                <w:b/>
                <w:bCs/>
                <w:sz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3" w:type="dxa"/>
            <w:vAlign w:val="center"/>
          </w:tcPr>
          <w:p>
            <w:pPr>
              <w:spacing w:line="380" w:lineRule="exact"/>
              <w:jc w:val="center"/>
              <w:rPr>
                <w:rFonts w:hint="default" w:ascii="Arial" w:hAnsi="Arial" w:cs="Arial"/>
                <w:b/>
                <w:bCs/>
                <w:sz w:val="22"/>
              </w:rPr>
            </w:pPr>
          </w:p>
        </w:tc>
        <w:tc>
          <w:tcPr>
            <w:tcW w:w="1948" w:type="dxa"/>
            <w:vAlign w:val="center"/>
          </w:tcPr>
          <w:p>
            <w:pPr>
              <w:spacing w:line="380" w:lineRule="exact"/>
              <w:jc w:val="center"/>
              <w:rPr>
                <w:rFonts w:hint="default" w:ascii="Arial" w:hAnsi="Arial" w:cs="Arial"/>
                <w:b/>
                <w:bCs/>
                <w:sz w:val="22"/>
              </w:rPr>
            </w:pPr>
          </w:p>
        </w:tc>
        <w:tc>
          <w:tcPr>
            <w:tcW w:w="1764" w:type="dxa"/>
            <w:vAlign w:val="center"/>
          </w:tcPr>
          <w:p>
            <w:pPr>
              <w:spacing w:line="380" w:lineRule="exact"/>
              <w:jc w:val="center"/>
              <w:rPr>
                <w:rFonts w:hint="default" w:ascii="Arial" w:hAnsi="Arial" w:cs="Arial"/>
                <w:b/>
                <w:bCs/>
                <w:sz w:val="22"/>
              </w:rPr>
            </w:pPr>
          </w:p>
        </w:tc>
        <w:tc>
          <w:tcPr>
            <w:tcW w:w="1203" w:type="dxa"/>
            <w:vAlign w:val="center"/>
          </w:tcPr>
          <w:p>
            <w:pPr>
              <w:spacing w:line="380" w:lineRule="exact"/>
              <w:jc w:val="center"/>
              <w:rPr>
                <w:rFonts w:hint="default" w:ascii="Arial" w:hAnsi="Arial" w:cs="Arial"/>
                <w:b/>
                <w:bCs/>
                <w:sz w:val="22"/>
              </w:rPr>
            </w:pPr>
          </w:p>
        </w:tc>
        <w:tc>
          <w:tcPr>
            <w:tcW w:w="1093" w:type="dxa"/>
            <w:vAlign w:val="center"/>
          </w:tcPr>
          <w:p>
            <w:pPr>
              <w:spacing w:line="380" w:lineRule="exact"/>
              <w:jc w:val="center"/>
              <w:rPr>
                <w:rFonts w:hint="default" w:ascii="Arial" w:hAnsi="Arial" w:cs="Arial"/>
                <w:b/>
                <w:bCs/>
                <w:sz w:val="22"/>
              </w:rPr>
            </w:pPr>
          </w:p>
        </w:tc>
        <w:tc>
          <w:tcPr>
            <w:tcW w:w="1440" w:type="dxa"/>
            <w:vAlign w:val="center"/>
          </w:tcPr>
          <w:p>
            <w:pPr>
              <w:spacing w:line="380" w:lineRule="exact"/>
              <w:jc w:val="center"/>
              <w:rPr>
                <w:rFonts w:hint="default" w:ascii="Arial" w:hAnsi="Arial" w:cs="Arial"/>
                <w:b/>
                <w:bCs/>
                <w:sz w:val="22"/>
              </w:rPr>
            </w:pPr>
          </w:p>
        </w:tc>
      </w:tr>
    </w:tbl>
    <w:p>
      <w:pPr>
        <w:autoSpaceDE w:val="0"/>
        <w:autoSpaceDN w:val="0"/>
        <w:adjustRightInd w:val="0"/>
        <w:spacing w:line="360" w:lineRule="auto"/>
        <w:rPr>
          <w:rFonts w:hint="default" w:ascii="Arial" w:hAnsi="Arial" w:cs="Arial"/>
          <w:b/>
          <w:bCs/>
          <w:szCs w:val="21"/>
          <w:lang w:val="zh-CN"/>
        </w:rPr>
      </w:pPr>
      <w:r>
        <w:rPr>
          <w:rFonts w:ascii="Arial" w:hAnsi="Arial" w:cs="Arial"/>
          <w:b/>
          <w:szCs w:val="21"/>
        </w:rPr>
        <w:t>注：</w:t>
      </w:r>
      <w:r>
        <w:rPr>
          <w:rFonts w:ascii="宋体" w:hAnsi="宋体" w:cs="Arial"/>
          <w:b/>
          <w:szCs w:val="21"/>
        </w:rPr>
        <w:t>业绩有效性认定：提供2020年1月1日以来的中标通知书和合同扫描件并加盖公章，或者提供合同和发票扫描件并加盖公章</w:t>
      </w:r>
      <w:r>
        <w:rPr>
          <w:rFonts w:ascii="宋体" w:hAnsi="宋体" w:cs="宋体"/>
          <w:b/>
          <w:bCs/>
          <w:szCs w:val="21"/>
        </w:rPr>
        <w:t>；</w:t>
      </w:r>
      <w:r>
        <w:rPr>
          <w:rFonts w:ascii="宋体" w:hAnsi="宋体" w:cs="Arial"/>
          <w:b/>
          <w:szCs w:val="21"/>
        </w:rPr>
        <w:t>业绩认定时间以合同的签订时间为准。</w:t>
      </w:r>
    </w:p>
    <w:p>
      <w:pPr>
        <w:rPr>
          <w:rFonts w:hint="default" w:ascii="Arial" w:hAnsi="Arial" w:cs="Arial"/>
        </w:rPr>
      </w:pPr>
    </w:p>
    <w:p>
      <w:pPr>
        <w:spacing w:before="312" w:beforeLines="100" w:after="312" w:afterLines="100" w:line="400" w:lineRule="atLeast"/>
        <w:ind w:firstLine="4200" w:firstLineChars="2000"/>
        <w:rPr>
          <w:rFonts w:hint="default" w:ascii="Arial" w:hAnsi="Arial" w:cs="Arial"/>
          <w:szCs w:val="21"/>
        </w:rPr>
      </w:pPr>
      <w:r>
        <w:rPr>
          <w:rFonts w:ascii="Arial" w:hAnsi="Arial" w:cs="Arial"/>
          <w:szCs w:val="21"/>
        </w:rPr>
        <w:t>磋商供应商全称（盖章）：</w:t>
      </w:r>
    </w:p>
    <w:p>
      <w:pPr>
        <w:spacing w:before="312" w:beforeLines="100" w:after="312" w:afterLines="100" w:line="400" w:lineRule="atLeast"/>
        <w:rPr>
          <w:rFonts w:hint="default" w:ascii="Arial" w:hAnsi="Arial" w:cs="Arial"/>
          <w:szCs w:val="21"/>
        </w:rPr>
      </w:pPr>
      <w:r>
        <w:rPr>
          <w:rFonts w:ascii="Arial" w:hAnsi="Arial" w:cs="Arial"/>
          <w:szCs w:val="21"/>
        </w:rPr>
        <w:t xml:space="preserve">                                        法定代表人或授权代表（签字或盖章）：</w:t>
      </w:r>
    </w:p>
    <w:p>
      <w:pPr>
        <w:jc w:val="center"/>
        <w:rPr>
          <w:rFonts w:hint="default" w:ascii="Arial" w:hAnsi="Arial" w:cs="Arial"/>
          <w:szCs w:val="21"/>
        </w:rPr>
      </w:pPr>
      <w:r>
        <w:rPr>
          <w:rFonts w:ascii="Arial" w:hAnsi="Arial" w:cs="Arial"/>
          <w:szCs w:val="21"/>
        </w:rPr>
        <w:t xml:space="preserve">                         日 期：    年   月    日</w:t>
      </w:r>
    </w:p>
    <w:p>
      <w:pPr>
        <w:pStyle w:val="2"/>
        <w:rPr>
          <w:rFonts w:hint="default" w:ascii="Arial" w:hAnsi="Arial" w:cs="Arial"/>
          <w:szCs w:val="21"/>
        </w:rPr>
      </w:pPr>
    </w:p>
    <w:p>
      <w:pPr>
        <w:rPr>
          <w:rFonts w:hint="default" w:ascii="Arial" w:hAnsi="Arial" w:cs="Arial"/>
          <w:szCs w:val="21"/>
        </w:rPr>
      </w:pPr>
    </w:p>
    <w:p>
      <w:pPr>
        <w:pStyle w:val="4"/>
        <w:jc w:val="center"/>
        <w:rPr>
          <w:rFonts w:hint="default" w:ascii="Arial" w:hAnsi="Arial" w:cs="Arial"/>
          <w:sz w:val="28"/>
        </w:rPr>
      </w:pPr>
      <w:bookmarkStart w:id="495" w:name="_Toc11813"/>
      <w:bookmarkStart w:id="496" w:name="_Toc16703"/>
      <w:bookmarkStart w:id="497" w:name="_Toc4888"/>
      <w:bookmarkStart w:id="498" w:name="_Toc26090"/>
      <w:bookmarkStart w:id="499" w:name="_Toc1843"/>
      <w:bookmarkStart w:id="500" w:name="_Toc14108"/>
      <w:bookmarkStart w:id="501" w:name="_Toc30339"/>
      <w:bookmarkStart w:id="502" w:name="_Toc18692"/>
      <w:bookmarkStart w:id="503" w:name="_Toc29876"/>
      <w:r>
        <w:rPr>
          <w:rFonts w:ascii="Arial" w:hAnsi="Arial" w:cs="Arial"/>
          <w:sz w:val="28"/>
        </w:rPr>
        <w:t>附件</w:t>
      </w:r>
      <w:bookmarkEnd w:id="495"/>
      <w:r>
        <w:rPr>
          <w:rFonts w:ascii="Arial" w:hAnsi="Arial" w:cs="Arial"/>
          <w:sz w:val="28"/>
        </w:rPr>
        <w:t>十二  投入车辆、设备及工具一览表</w:t>
      </w:r>
      <w:bookmarkEnd w:id="496"/>
      <w:bookmarkEnd w:id="497"/>
      <w:bookmarkEnd w:id="498"/>
      <w:bookmarkEnd w:id="499"/>
      <w:bookmarkEnd w:id="500"/>
      <w:bookmarkEnd w:id="501"/>
      <w:bookmarkEnd w:id="502"/>
      <w:bookmarkEnd w:id="503"/>
    </w:p>
    <w:p>
      <w:pPr>
        <w:spacing w:line="400" w:lineRule="atLeast"/>
        <w:ind w:firstLine="422" w:firstLineChars="200"/>
        <w:rPr>
          <w:rFonts w:hint="default" w:ascii="Arial" w:hAnsi="Arial" w:cs="Arial"/>
          <w:szCs w:val="21"/>
        </w:rPr>
      </w:pPr>
      <w:r>
        <w:rPr>
          <w:rFonts w:ascii="Arial" w:hAnsi="Arial" w:cs="Arial"/>
          <w:b/>
          <w:szCs w:val="21"/>
        </w:rPr>
        <w:t>项目名称：                                     项目编号：</w:t>
      </w:r>
    </w:p>
    <w:tbl>
      <w:tblPr>
        <w:tblStyle w:val="21"/>
        <w:tblW w:w="81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26"/>
        <w:gridCol w:w="1575"/>
        <w:gridCol w:w="1452"/>
        <w:gridCol w:w="1006"/>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726"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序号</w:t>
            </w:r>
          </w:p>
        </w:tc>
        <w:tc>
          <w:tcPr>
            <w:tcW w:w="1726"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名称</w:t>
            </w:r>
          </w:p>
        </w:tc>
        <w:tc>
          <w:tcPr>
            <w:tcW w:w="1575"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型号规格</w:t>
            </w:r>
          </w:p>
        </w:tc>
        <w:tc>
          <w:tcPr>
            <w:tcW w:w="1452"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品牌/产地</w:t>
            </w:r>
          </w:p>
        </w:tc>
        <w:tc>
          <w:tcPr>
            <w:tcW w:w="1006"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数量</w:t>
            </w:r>
          </w:p>
        </w:tc>
        <w:tc>
          <w:tcPr>
            <w:tcW w:w="1640" w:type="dxa"/>
            <w:tcBorders>
              <w:top w:val="single" w:color="auto" w:sz="12" w:space="0"/>
              <w:bottom w:val="single" w:color="auto" w:sz="12" w:space="0"/>
            </w:tcBorders>
            <w:vAlign w:val="center"/>
          </w:tcPr>
          <w:p>
            <w:pPr>
              <w:spacing w:line="400" w:lineRule="atLeast"/>
              <w:jc w:val="center"/>
              <w:rPr>
                <w:rFonts w:hint="default" w:ascii="Arial" w:hAnsi="Arial" w:cs="Arial"/>
                <w:b/>
                <w:bCs/>
              </w:rPr>
            </w:pPr>
            <w:r>
              <w:rPr>
                <w:rFonts w:ascii="Arial" w:hAnsi="Arial" w:cs="Arial"/>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tcBorders>
              <w:top w:val="single" w:color="auto" w:sz="12" w:space="0"/>
            </w:tcBorders>
            <w:vAlign w:val="center"/>
          </w:tcPr>
          <w:p>
            <w:pPr>
              <w:spacing w:line="400" w:lineRule="atLeast"/>
              <w:ind w:firstLine="592"/>
              <w:jc w:val="center"/>
              <w:rPr>
                <w:rFonts w:hint="default" w:ascii="Arial" w:hAnsi="Arial" w:cs="Arial"/>
              </w:rPr>
            </w:pPr>
          </w:p>
        </w:tc>
        <w:tc>
          <w:tcPr>
            <w:tcW w:w="1726" w:type="dxa"/>
            <w:tcBorders>
              <w:top w:val="single" w:color="auto" w:sz="12" w:space="0"/>
            </w:tcBorders>
            <w:vAlign w:val="center"/>
          </w:tcPr>
          <w:p>
            <w:pPr>
              <w:spacing w:line="400" w:lineRule="atLeast"/>
              <w:ind w:firstLine="592"/>
              <w:jc w:val="center"/>
              <w:rPr>
                <w:rFonts w:hint="default" w:ascii="Arial" w:hAnsi="Arial" w:cs="Arial"/>
              </w:rPr>
            </w:pPr>
          </w:p>
        </w:tc>
        <w:tc>
          <w:tcPr>
            <w:tcW w:w="1575" w:type="dxa"/>
            <w:tcBorders>
              <w:top w:val="single" w:color="auto" w:sz="12" w:space="0"/>
            </w:tcBorders>
            <w:vAlign w:val="center"/>
          </w:tcPr>
          <w:p>
            <w:pPr>
              <w:spacing w:line="400" w:lineRule="atLeast"/>
              <w:ind w:firstLine="592"/>
              <w:jc w:val="center"/>
              <w:rPr>
                <w:rFonts w:hint="default" w:ascii="Arial" w:hAnsi="Arial" w:cs="Arial"/>
              </w:rPr>
            </w:pPr>
          </w:p>
        </w:tc>
        <w:tc>
          <w:tcPr>
            <w:tcW w:w="1452" w:type="dxa"/>
            <w:tcBorders>
              <w:top w:val="single" w:color="auto" w:sz="12" w:space="0"/>
            </w:tcBorders>
            <w:vAlign w:val="center"/>
          </w:tcPr>
          <w:p>
            <w:pPr>
              <w:spacing w:line="400" w:lineRule="atLeast"/>
              <w:ind w:firstLine="592"/>
              <w:jc w:val="center"/>
              <w:rPr>
                <w:rFonts w:hint="default" w:ascii="Arial" w:hAnsi="Arial" w:cs="Arial"/>
              </w:rPr>
            </w:pPr>
          </w:p>
        </w:tc>
        <w:tc>
          <w:tcPr>
            <w:tcW w:w="1006" w:type="dxa"/>
            <w:tcBorders>
              <w:top w:val="single" w:color="auto" w:sz="12" w:space="0"/>
            </w:tcBorders>
            <w:vAlign w:val="center"/>
          </w:tcPr>
          <w:p>
            <w:pPr>
              <w:spacing w:line="400" w:lineRule="atLeast"/>
              <w:ind w:firstLine="592"/>
              <w:jc w:val="center"/>
              <w:rPr>
                <w:rFonts w:hint="default" w:ascii="Arial" w:hAnsi="Arial" w:cs="Arial"/>
              </w:rPr>
            </w:pPr>
          </w:p>
        </w:tc>
        <w:tc>
          <w:tcPr>
            <w:tcW w:w="1640" w:type="dxa"/>
            <w:tcBorders>
              <w:top w:val="single" w:color="auto" w:sz="12" w:space="0"/>
            </w:tcBorders>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6" w:type="dxa"/>
            <w:vAlign w:val="center"/>
          </w:tcPr>
          <w:p>
            <w:pPr>
              <w:spacing w:line="400" w:lineRule="atLeast"/>
              <w:ind w:firstLine="592"/>
              <w:jc w:val="center"/>
              <w:rPr>
                <w:rFonts w:hint="default" w:ascii="Arial" w:hAnsi="Arial" w:cs="Arial"/>
              </w:rPr>
            </w:pPr>
          </w:p>
        </w:tc>
        <w:tc>
          <w:tcPr>
            <w:tcW w:w="1726" w:type="dxa"/>
            <w:vAlign w:val="center"/>
          </w:tcPr>
          <w:p>
            <w:pPr>
              <w:spacing w:line="400" w:lineRule="atLeast"/>
              <w:ind w:firstLine="592"/>
              <w:jc w:val="center"/>
              <w:rPr>
                <w:rFonts w:hint="default" w:ascii="Arial" w:hAnsi="Arial" w:cs="Arial"/>
              </w:rPr>
            </w:pPr>
          </w:p>
        </w:tc>
        <w:tc>
          <w:tcPr>
            <w:tcW w:w="1575" w:type="dxa"/>
            <w:vAlign w:val="center"/>
          </w:tcPr>
          <w:p>
            <w:pPr>
              <w:spacing w:line="400" w:lineRule="atLeast"/>
              <w:ind w:firstLine="592"/>
              <w:jc w:val="center"/>
              <w:rPr>
                <w:rFonts w:hint="default" w:ascii="Arial" w:hAnsi="Arial" w:cs="Arial"/>
              </w:rPr>
            </w:pPr>
          </w:p>
        </w:tc>
        <w:tc>
          <w:tcPr>
            <w:tcW w:w="1452" w:type="dxa"/>
            <w:vAlign w:val="center"/>
          </w:tcPr>
          <w:p>
            <w:pPr>
              <w:spacing w:line="400" w:lineRule="atLeast"/>
              <w:ind w:firstLine="592"/>
              <w:jc w:val="center"/>
              <w:rPr>
                <w:rFonts w:hint="default" w:ascii="Arial" w:hAnsi="Arial" w:cs="Arial"/>
              </w:rPr>
            </w:pPr>
          </w:p>
        </w:tc>
        <w:tc>
          <w:tcPr>
            <w:tcW w:w="1006" w:type="dxa"/>
            <w:vAlign w:val="center"/>
          </w:tcPr>
          <w:p>
            <w:pPr>
              <w:spacing w:line="400" w:lineRule="atLeast"/>
              <w:ind w:firstLine="592"/>
              <w:jc w:val="center"/>
              <w:rPr>
                <w:rFonts w:hint="default" w:ascii="Arial" w:hAnsi="Arial" w:cs="Arial"/>
              </w:rPr>
            </w:pPr>
          </w:p>
        </w:tc>
        <w:tc>
          <w:tcPr>
            <w:tcW w:w="1640" w:type="dxa"/>
            <w:vAlign w:val="center"/>
          </w:tcPr>
          <w:p>
            <w:pPr>
              <w:spacing w:line="400" w:lineRule="atLeast"/>
              <w:ind w:firstLine="592"/>
              <w:jc w:val="center"/>
              <w:rPr>
                <w:rFonts w:hint="default" w:ascii="Arial" w:hAnsi="Arial" w:cs="Arial"/>
              </w:rPr>
            </w:pPr>
          </w:p>
        </w:tc>
      </w:tr>
    </w:tbl>
    <w:p>
      <w:pPr>
        <w:pStyle w:val="8"/>
        <w:spacing w:line="360" w:lineRule="auto"/>
        <w:ind w:firstLine="0"/>
        <w:rPr>
          <w:rFonts w:hint="default" w:ascii="宋体" w:hAnsi="宋体" w:cs="Arial"/>
          <w:b/>
          <w:color w:val="000000"/>
          <w:sz w:val="21"/>
          <w:szCs w:val="21"/>
        </w:rPr>
      </w:pPr>
      <w:r>
        <w:rPr>
          <w:rFonts w:ascii="宋体" w:hAnsi="宋体"/>
          <w:b/>
          <w:color w:val="000000"/>
          <w:sz w:val="21"/>
          <w:szCs w:val="21"/>
        </w:rPr>
        <w:t>注:</w:t>
      </w:r>
      <w:r>
        <w:rPr>
          <w:rFonts w:ascii="宋体" w:hAnsi="宋体"/>
          <w:b/>
          <w:color w:val="000000"/>
        </w:rPr>
        <w:tab/>
      </w:r>
      <w:r>
        <w:rPr>
          <w:rFonts w:ascii="宋体" w:hAnsi="宋体" w:cs="Arial"/>
          <w:b/>
          <w:color w:val="000000"/>
          <w:sz w:val="21"/>
          <w:szCs w:val="21"/>
        </w:rPr>
        <w:t>1. 本表所列为磋商供应商拟投入的车辆、设备、人员装备清单。</w:t>
      </w:r>
    </w:p>
    <w:p>
      <w:pPr>
        <w:pStyle w:val="8"/>
        <w:spacing w:line="360" w:lineRule="auto"/>
        <w:ind w:firstLineChars="199"/>
        <w:rPr>
          <w:rFonts w:hint="default" w:ascii="宋体" w:hAnsi="宋体" w:cs="Arial"/>
          <w:b/>
          <w:color w:val="000000"/>
          <w:sz w:val="21"/>
          <w:szCs w:val="21"/>
        </w:rPr>
      </w:pPr>
      <w:r>
        <w:rPr>
          <w:rFonts w:ascii="宋体" w:hAnsi="宋体" w:cs="Arial"/>
          <w:b/>
          <w:color w:val="000000"/>
          <w:sz w:val="21"/>
          <w:szCs w:val="21"/>
        </w:rPr>
        <w:t>2. 本表中车辆、设备、人员装备折旧费应已计入投标综合单价，将作为评分的参考值。</w:t>
      </w:r>
    </w:p>
    <w:p>
      <w:pPr>
        <w:pStyle w:val="8"/>
        <w:spacing w:line="360" w:lineRule="auto"/>
        <w:ind w:firstLine="0"/>
        <w:rPr>
          <w:rFonts w:hint="default" w:ascii="宋体" w:hAnsi="宋体" w:cs="Arial"/>
          <w:b/>
          <w:color w:val="000000"/>
          <w:sz w:val="21"/>
          <w:szCs w:val="21"/>
        </w:rPr>
      </w:pPr>
      <w:r>
        <w:rPr>
          <w:rFonts w:ascii="宋体" w:hAnsi="宋体" w:cs="Arial"/>
          <w:b/>
          <w:color w:val="000000"/>
          <w:sz w:val="21"/>
          <w:szCs w:val="21"/>
        </w:rPr>
        <w:t xml:space="preserve">    3. 随表提交投入的车辆、设备、人员装备的相关照片（如有加盖公章）。</w:t>
      </w:r>
    </w:p>
    <w:p>
      <w:pPr>
        <w:pStyle w:val="8"/>
        <w:spacing w:line="360" w:lineRule="auto"/>
        <w:ind w:firstLineChars="199"/>
        <w:rPr>
          <w:rFonts w:hint="default" w:ascii="宋体" w:hAnsi="宋体" w:cs="Arial"/>
          <w:b/>
          <w:color w:val="000000"/>
          <w:sz w:val="21"/>
          <w:szCs w:val="21"/>
        </w:rPr>
      </w:pPr>
      <w:r>
        <w:rPr>
          <w:rFonts w:ascii="宋体" w:hAnsi="宋体" w:cs="Arial"/>
          <w:b/>
          <w:color w:val="000000"/>
          <w:sz w:val="21"/>
          <w:szCs w:val="21"/>
        </w:rPr>
        <w:t>4. 随表提供本表中车辆、设备、人员装备的保养、维修计划情况说明。</w:t>
      </w:r>
    </w:p>
    <w:p>
      <w:pPr>
        <w:spacing w:line="360" w:lineRule="auto"/>
        <w:ind w:firstLine="421"/>
        <w:rPr>
          <w:rFonts w:hint="default" w:ascii="宋体" w:hAnsi="宋体" w:cs="Arial"/>
          <w:b/>
          <w:color w:val="000000"/>
          <w:szCs w:val="21"/>
        </w:rPr>
      </w:pPr>
      <w:r>
        <w:rPr>
          <w:rFonts w:ascii="宋体" w:hAnsi="宋体" w:cs="Arial"/>
          <w:b/>
          <w:color w:val="000000"/>
          <w:szCs w:val="21"/>
        </w:rPr>
        <w:t>5. 此表仅提供了表格形式，磋商供应商应根据需要准备足够数量的表格来填写。</w:t>
      </w:r>
    </w:p>
    <w:p>
      <w:pPr>
        <w:spacing w:line="360" w:lineRule="auto"/>
        <w:ind w:firstLine="421"/>
        <w:jc w:val="center"/>
        <w:rPr>
          <w:rFonts w:hint="default" w:ascii="Arial" w:hAnsi="Arial" w:cs="Arial"/>
          <w:szCs w:val="21"/>
        </w:rPr>
      </w:pPr>
      <w:r>
        <w:rPr>
          <w:rFonts w:ascii="Arial" w:hAnsi="Arial" w:cs="Arial"/>
          <w:szCs w:val="21"/>
        </w:rPr>
        <w:t xml:space="preserve">　　　　　　　　　　　      </w:t>
      </w:r>
    </w:p>
    <w:p>
      <w:pPr>
        <w:spacing w:line="360" w:lineRule="auto"/>
        <w:ind w:firstLine="421"/>
        <w:jc w:val="center"/>
        <w:rPr>
          <w:rFonts w:hint="default" w:ascii="Arial" w:hAnsi="Arial" w:cs="Arial"/>
          <w:szCs w:val="21"/>
        </w:rPr>
      </w:pPr>
      <w:r>
        <w:rPr>
          <w:rFonts w:ascii="Arial" w:hAnsi="Arial" w:cs="Arial"/>
          <w:szCs w:val="21"/>
        </w:rPr>
        <w:t xml:space="preserve">                            磋商供应商全称（公章）：</w:t>
      </w:r>
    </w:p>
    <w:p>
      <w:pPr>
        <w:spacing w:line="360" w:lineRule="auto"/>
        <w:jc w:val="center"/>
        <w:rPr>
          <w:rFonts w:hint="default"/>
        </w:rPr>
      </w:pPr>
      <w:r>
        <w:t xml:space="preserve">                                            法定代表人或授权代表（签字或盖章）：</w:t>
      </w:r>
    </w:p>
    <w:p>
      <w:pPr>
        <w:spacing w:line="360" w:lineRule="auto"/>
        <w:jc w:val="center"/>
        <w:rPr>
          <w:rFonts w:hint="default"/>
        </w:rPr>
      </w:pPr>
      <w:r>
        <w:t xml:space="preserve">                                  日   期：    年   月   日</w:t>
      </w:r>
    </w:p>
    <w:p>
      <w:pPr>
        <w:pStyle w:val="2"/>
        <w:spacing w:line="360" w:lineRule="auto"/>
        <w:rPr>
          <w:rFonts w:hint="default"/>
        </w:rPr>
      </w:pPr>
    </w:p>
    <w:p>
      <w:pPr>
        <w:jc w:val="center"/>
        <w:outlineLvl w:val="1"/>
        <w:rPr>
          <w:rFonts w:hint="default" w:ascii="宋体" w:hAnsi="宋体" w:cs="宋体"/>
          <w:b/>
          <w:bCs/>
          <w:szCs w:val="28"/>
        </w:rPr>
      </w:pPr>
      <w:bookmarkStart w:id="504" w:name="_Toc15745"/>
      <w:r>
        <w:rPr>
          <w:b/>
          <w:bCs/>
          <w:sz w:val="28"/>
          <w:szCs w:val="28"/>
        </w:rPr>
        <w:t>附件十三  报价一览表</w:t>
      </w:r>
      <w:bookmarkEnd w:id="504"/>
    </w:p>
    <w:p>
      <w:pPr>
        <w:pStyle w:val="8"/>
        <w:spacing w:line="400" w:lineRule="exact"/>
        <w:ind w:firstLine="0"/>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项目名称：                                                 项目编号：</w:t>
      </w:r>
    </w:p>
    <w:tbl>
      <w:tblPr>
        <w:tblStyle w:val="21"/>
        <w:tblpPr w:leftFromText="180" w:rightFromText="180" w:vertAnchor="text" w:horzAnchor="page" w:tblpXSpec="center" w:tblpY="423"/>
        <w:tblOverlap w:val="never"/>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45"/>
        <w:gridCol w:w="1905"/>
        <w:gridCol w:w="136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944" w:type="dxa"/>
            <w:vAlign w:val="center"/>
          </w:tcPr>
          <w:p>
            <w:pPr>
              <w:spacing w:line="240" w:lineRule="atLeast"/>
              <w:ind w:right="-21" w:rightChars="-10"/>
              <w:jc w:val="center"/>
              <w:rPr>
                <w:rFonts w:hint="default" w:ascii="宋体" w:hAnsi="宋体"/>
                <w:b/>
                <w:bCs/>
              </w:rPr>
            </w:pPr>
            <w:r>
              <w:rPr>
                <w:rFonts w:ascii="宋体" w:hAnsi="宋体"/>
                <w:b/>
                <w:bCs/>
              </w:rPr>
              <w:t>项目名称</w:t>
            </w:r>
          </w:p>
        </w:tc>
        <w:tc>
          <w:tcPr>
            <w:tcW w:w="2145" w:type="dxa"/>
            <w:vAlign w:val="center"/>
          </w:tcPr>
          <w:p>
            <w:pPr>
              <w:spacing w:line="240" w:lineRule="atLeast"/>
              <w:ind w:right="-21" w:rightChars="-10"/>
              <w:jc w:val="center"/>
              <w:rPr>
                <w:rFonts w:hint="eastAsia" w:ascii="宋体" w:hAnsi="宋体" w:eastAsia="宋体"/>
                <w:b/>
                <w:bCs/>
                <w:szCs w:val="21"/>
                <w:lang w:val="en-US" w:eastAsia="zh-CN"/>
              </w:rPr>
            </w:pPr>
            <w:r>
              <w:rPr>
                <w:rFonts w:hint="eastAsia" w:ascii="宋体" w:hAnsi="宋体" w:eastAsia="宋体"/>
                <w:b/>
                <w:bCs/>
                <w:szCs w:val="21"/>
                <w:lang w:val="en-US" w:eastAsia="zh-CN"/>
              </w:rPr>
              <w:t>投标单价</w:t>
            </w:r>
          </w:p>
          <w:p>
            <w:pPr>
              <w:spacing w:line="240" w:lineRule="atLeast"/>
              <w:ind w:right="-21" w:rightChars="-10"/>
              <w:jc w:val="center"/>
              <w:rPr>
                <w:rFonts w:hint="default"/>
                <w:b/>
                <w:bCs/>
              </w:rPr>
            </w:pPr>
            <w:r>
              <w:rPr>
                <w:rFonts w:hint="eastAsia" w:ascii="宋体" w:hAnsi="宋体" w:eastAsia="宋体"/>
                <w:b/>
                <w:bCs/>
                <w:szCs w:val="21"/>
                <w:lang w:val="en-US" w:eastAsia="zh-CN"/>
              </w:rPr>
              <w:t>（人民币/元）</w:t>
            </w:r>
          </w:p>
        </w:tc>
        <w:tc>
          <w:tcPr>
            <w:tcW w:w="1905" w:type="dxa"/>
            <w:vAlign w:val="center"/>
          </w:tcPr>
          <w:p>
            <w:pPr>
              <w:spacing w:line="240" w:lineRule="atLeast"/>
              <w:ind w:right="-21" w:rightChars="-10"/>
              <w:jc w:val="center"/>
              <w:rPr>
                <w:rFonts w:hint="eastAsia" w:ascii="宋体" w:hAnsi="宋体" w:eastAsia="宋体"/>
                <w:b/>
                <w:bCs/>
                <w:szCs w:val="21"/>
                <w:lang w:val="en-US" w:eastAsia="zh-CN"/>
              </w:rPr>
            </w:pPr>
            <w:r>
              <w:rPr>
                <w:rFonts w:hint="eastAsia" w:ascii="宋体" w:hAnsi="宋体" w:eastAsia="宋体"/>
                <w:b/>
                <w:bCs/>
                <w:szCs w:val="21"/>
                <w:lang w:val="en-US" w:eastAsia="zh-CN"/>
              </w:rPr>
              <w:t>最高综合单价限价</w:t>
            </w:r>
          </w:p>
          <w:p>
            <w:pPr>
              <w:spacing w:line="240" w:lineRule="atLeast"/>
              <w:ind w:right="-21" w:rightChars="-10"/>
              <w:jc w:val="center"/>
              <w:rPr>
                <w:b/>
                <w:bCs/>
              </w:rPr>
            </w:pPr>
            <w:r>
              <w:rPr>
                <w:rFonts w:hint="eastAsia" w:ascii="宋体" w:hAnsi="宋体" w:eastAsia="宋体"/>
                <w:b/>
                <w:bCs/>
                <w:szCs w:val="21"/>
                <w:lang w:val="en-US" w:eastAsia="zh-CN"/>
              </w:rPr>
              <w:t>（人民币/元）</w:t>
            </w:r>
          </w:p>
        </w:tc>
        <w:tc>
          <w:tcPr>
            <w:tcW w:w="1364" w:type="dxa"/>
            <w:vAlign w:val="center"/>
          </w:tcPr>
          <w:p>
            <w:pPr>
              <w:spacing w:line="360" w:lineRule="auto"/>
              <w:ind w:right="-21" w:rightChars="-10"/>
              <w:jc w:val="center"/>
              <w:rPr>
                <w:rFonts w:hint="default"/>
              </w:rPr>
            </w:pPr>
            <w:r>
              <w:rPr>
                <w:rFonts w:ascii="Arial" w:hAnsi="Arial" w:eastAsia="新宋体" w:cs="Arial"/>
                <w:b/>
                <w:szCs w:val="21"/>
              </w:rPr>
              <w:t>服务期</w:t>
            </w:r>
          </w:p>
        </w:tc>
        <w:tc>
          <w:tcPr>
            <w:tcW w:w="1515" w:type="dxa"/>
            <w:vAlign w:val="center"/>
          </w:tcPr>
          <w:p>
            <w:pPr>
              <w:spacing w:line="240" w:lineRule="atLeast"/>
              <w:ind w:right="-21" w:rightChars="-10"/>
              <w:jc w:val="center"/>
              <w:rPr>
                <w:rFonts w:hint="default"/>
              </w:rPr>
            </w:pPr>
            <w:r>
              <w:rPr>
                <w:rFonts w:ascii="Arial" w:hAnsi="Arial" w:eastAsia="新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44" w:type="dxa"/>
            <w:vAlign w:val="center"/>
          </w:tcPr>
          <w:p>
            <w:pPr>
              <w:spacing w:line="240" w:lineRule="atLeast"/>
              <w:ind w:right="-21" w:rightChars="-10"/>
              <w:jc w:val="center"/>
              <w:rPr>
                <w:rFonts w:hint="default" w:ascii="宋体" w:hAnsi="宋体"/>
                <w:bCs/>
              </w:rPr>
            </w:pPr>
            <w:r>
              <w:rPr>
                <w:rFonts w:ascii="宋体" w:hAnsi="宋体"/>
                <w:bCs/>
              </w:rPr>
              <w:t xml:space="preserve"> </w:t>
            </w:r>
          </w:p>
        </w:tc>
        <w:tc>
          <w:tcPr>
            <w:tcW w:w="2145" w:type="dxa"/>
            <w:vAlign w:val="center"/>
          </w:tcPr>
          <w:p>
            <w:pPr>
              <w:bidi w:val="0"/>
              <w:rPr>
                <w:rFonts w:hint="eastAsia"/>
                <w:lang w:val="en-US" w:eastAsia="zh-CN"/>
              </w:rPr>
            </w:pPr>
            <w:r>
              <w:rPr>
                <w:rFonts w:hint="eastAsia"/>
                <w:lang w:val="en-US" w:eastAsia="zh-CN"/>
              </w:rPr>
              <w:t>小写：</w:t>
            </w:r>
          </w:p>
          <w:p>
            <w:pPr>
              <w:bidi w:val="0"/>
              <w:rPr>
                <w:rFonts w:hint="default"/>
              </w:rPr>
            </w:pPr>
            <w:r>
              <w:rPr>
                <w:rFonts w:hint="eastAsia"/>
                <w:lang w:val="en-US" w:eastAsia="zh-CN"/>
              </w:rPr>
              <w:t>大写：</w:t>
            </w:r>
          </w:p>
        </w:tc>
        <w:tc>
          <w:tcPr>
            <w:tcW w:w="1905" w:type="dxa"/>
            <w:vAlign w:val="center"/>
          </w:tcPr>
          <w:p>
            <w:pPr>
              <w:spacing w:line="360" w:lineRule="auto"/>
              <w:ind w:right="-21" w:rightChars="-10"/>
              <w:jc w:val="center"/>
              <w:rPr>
                <w:rFonts w:hint="default"/>
                <w:lang w:val="en-US"/>
              </w:rPr>
            </w:pPr>
            <w:r>
              <w:rPr>
                <w:rFonts w:hint="eastAsia"/>
                <w:b w:val="0"/>
                <w:bCs w:val="0"/>
                <w:lang w:val="en-US" w:eastAsia="zh-CN"/>
              </w:rPr>
              <w:t>合计：68685</w:t>
            </w:r>
          </w:p>
        </w:tc>
        <w:tc>
          <w:tcPr>
            <w:tcW w:w="1364" w:type="dxa"/>
            <w:vAlign w:val="center"/>
          </w:tcPr>
          <w:p>
            <w:pPr>
              <w:spacing w:line="360" w:lineRule="auto"/>
              <w:ind w:right="-21" w:rightChars="-10"/>
              <w:jc w:val="center"/>
              <w:rPr>
                <w:rFonts w:hint="default"/>
              </w:rPr>
            </w:pPr>
          </w:p>
        </w:tc>
        <w:tc>
          <w:tcPr>
            <w:tcW w:w="1515" w:type="dxa"/>
            <w:vAlign w:val="center"/>
          </w:tcPr>
          <w:p>
            <w:pPr>
              <w:spacing w:line="360" w:lineRule="auto"/>
              <w:ind w:right="-21" w:rightChars="-10"/>
              <w:jc w:val="center"/>
              <w:rPr>
                <w:rFonts w:hint="default"/>
              </w:rPr>
            </w:pPr>
          </w:p>
        </w:tc>
      </w:tr>
    </w:tbl>
    <w:p>
      <w:pPr>
        <w:spacing w:line="360" w:lineRule="auto"/>
        <w:ind w:left="660" w:leftChars="104" w:hanging="442" w:hangingChars="200"/>
        <w:rPr>
          <w:rFonts w:hint="default" w:ascii="宋体" w:hAnsi="宋体" w:cs="宋体"/>
          <w:szCs w:val="21"/>
        </w:rPr>
      </w:pPr>
      <w:r>
        <w:rPr>
          <w:rFonts w:ascii="宋体" w:hAnsi="宋体" w:cs="宋体"/>
          <w:b/>
          <w:bCs/>
          <w:sz w:val="22"/>
          <w:szCs w:val="22"/>
        </w:rPr>
        <w:t>注：</w:t>
      </w:r>
      <w:r>
        <w:rPr>
          <w:rFonts w:ascii="宋体" w:hAnsi="宋体" w:cs="宋体"/>
          <w:szCs w:val="21"/>
        </w:rPr>
        <w:t>1.投标报价包括工人工资、奖金、劳保福利社保、意外保险、交通费、工伤费、教育培训费及处理一切伤亡事故、机械设备损耗费与折旧费、餐费、管理费用、</w:t>
      </w:r>
      <w:r>
        <w:rPr>
          <w:rFonts w:hint="eastAsia" w:ascii="宋体" w:hAnsi="宋体" w:cs="宋体"/>
          <w:szCs w:val="21"/>
          <w:lang w:val="en-US" w:eastAsia="zh-CN"/>
        </w:rPr>
        <w:t>法定节假日加班费、</w:t>
      </w:r>
      <w:r>
        <w:rPr>
          <w:rFonts w:ascii="宋体" w:hAnsi="宋体" w:cs="宋体"/>
          <w:szCs w:val="21"/>
        </w:rPr>
        <w:t>垃圾外运及消纳、企业应缴税金和应得利润、应急、物价因素等完成合同所需的一切本身和不可所缺的所有工作开支、政策性文件规定及合同包含的所有风险、责任等各项全部费用组成。</w:t>
      </w:r>
    </w:p>
    <w:p>
      <w:pPr>
        <w:spacing w:line="360" w:lineRule="auto"/>
        <w:ind w:left="630" w:hanging="630" w:hangingChars="300"/>
        <w:rPr>
          <w:rFonts w:hint="default" w:ascii="宋体" w:hAnsi="宋体" w:cs="宋体"/>
          <w:szCs w:val="21"/>
        </w:rPr>
      </w:pPr>
      <w:r>
        <w:rPr>
          <w:rFonts w:ascii="宋体" w:hAnsi="宋体" w:cs="宋体"/>
          <w:szCs w:val="21"/>
        </w:rPr>
        <w:t xml:space="preserve">    </w:t>
      </w:r>
      <w:r>
        <w:rPr>
          <w:rFonts w:hint="eastAsia" w:ascii="宋体" w:hAnsi="宋体" w:cs="宋体"/>
          <w:szCs w:val="21"/>
          <w:lang w:val="en-US" w:eastAsia="zh-CN"/>
        </w:rPr>
        <w:t>2</w:t>
      </w:r>
      <w:r>
        <w:rPr>
          <w:rFonts w:ascii="宋体" w:hAnsi="宋体" w:cs="宋体"/>
          <w:szCs w:val="21"/>
        </w:rPr>
        <w:t>.▲</w:t>
      </w:r>
      <w:r>
        <w:rPr>
          <w:rFonts w:hint="eastAsia" w:ascii="宋体" w:hAnsi="宋体" w:eastAsia="宋体" w:cs="宋体"/>
          <w:szCs w:val="21"/>
          <w:lang w:val="en-US" w:eastAsia="zh-CN"/>
        </w:rPr>
        <w:t>投标综合单价超过最高综合单价限价的</w:t>
      </w:r>
      <w:r>
        <w:rPr>
          <w:rFonts w:hint="eastAsia" w:ascii="宋体" w:hAnsi="宋体" w:eastAsia="宋体" w:cs="宋体"/>
          <w:szCs w:val="21"/>
        </w:rPr>
        <w:t>，作无效标处理</w:t>
      </w:r>
    </w:p>
    <w:p>
      <w:pPr>
        <w:spacing w:line="360" w:lineRule="auto"/>
        <w:ind w:firstLine="630" w:firstLineChars="300"/>
        <w:rPr>
          <w:rFonts w:hint="default"/>
        </w:rPr>
      </w:pPr>
      <w:r>
        <w:rPr>
          <w:rStyle w:val="28"/>
          <w:rFonts w:hint="eastAsia" w:ascii="宋体" w:hAnsi="宋体" w:cs="宋体"/>
          <w:szCs w:val="21"/>
          <w:lang w:val="en-US" w:eastAsia="zh-CN"/>
        </w:rPr>
        <w:t>3</w:t>
      </w:r>
      <w:r>
        <w:rPr>
          <w:rStyle w:val="28"/>
          <w:rFonts w:ascii="宋体" w:hAnsi="宋体" w:cs="宋体"/>
          <w:szCs w:val="21"/>
        </w:rPr>
        <w:t>.▲</w:t>
      </w:r>
      <w:r>
        <w:t>此表不得自行增减内容。</w:t>
      </w:r>
    </w:p>
    <w:p>
      <w:pPr>
        <w:spacing w:line="360" w:lineRule="auto"/>
        <w:ind w:left="630" w:hanging="630" w:hangingChars="300"/>
        <w:rPr>
          <w:rFonts w:hint="default"/>
        </w:rPr>
      </w:pPr>
      <w:r>
        <w:t xml:space="preserve">      </w:t>
      </w:r>
      <w:r>
        <w:rPr>
          <w:rFonts w:hint="eastAsia" w:ascii="宋体" w:hAnsi="宋体" w:cs="宋体"/>
          <w:szCs w:val="21"/>
          <w:lang w:val="en-US" w:eastAsia="zh-CN"/>
        </w:rPr>
        <w:t>4</w:t>
      </w:r>
      <w:r>
        <w:rPr>
          <w:rFonts w:ascii="宋体" w:hAnsi="宋体" w:cs="宋体"/>
          <w:szCs w:val="21"/>
        </w:rPr>
        <w:t>.</w:t>
      </w:r>
      <w:r>
        <w:t>该表中</w:t>
      </w:r>
      <w:r>
        <w:rPr>
          <w:rFonts w:hint="eastAsia" w:ascii="宋体" w:hAnsi="宋体" w:eastAsia="宋体"/>
          <w:b w:val="0"/>
          <w:bCs w:val="0"/>
          <w:szCs w:val="21"/>
          <w:lang w:val="en-US" w:eastAsia="zh-CN"/>
        </w:rPr>
        <w:t>投标单价</w:t>
      </w:r>
      <w:r>
        <w:t>应与附件十四“投标分项报价表”中对应</w:t>
      </w:r>
      <w:r>
        <w:rPr>
          <w:rFonts w:hint="eastAsia" w:ascii="宋体" w:hAnsi="宋体" w:cs="宋体"/>
          <w:color w:val="auto"/>
          <w:sz w:val="21"/>
          <w:szCs w:val="21"/>
          <w:highlight w:val="none"/>
          <w:lang w:val="en-US" w:eastAsia="zh-CN"/>
        </w:rPr>
        <w:t>合计综合单价</w:t>
      </w:r>
      <w:r>
        <w:t>相一致。</w:t>
      </w:r>
    </w:p>
    <w:p>
      <w:pPr>
        <w:pStyle w:val="2"/>
        <w:rPr>
          <w:rFonts w:hint="default"/>
        </w:rPr>
      </w:pPr>
      <w:r>
        <w:t xml:space="preserve">  </w:t>
      </w:r>
      <w:r>
        <w:rPr>
          <w:rFonts w:hint="eastAsia" w:ascii="宋体" w:hAnsi="宋体" w:cs="宋体"/>
          <w:lang w:val="en-US" w:eastAsia="zh-CN"/>
        </w:rPr>
        <w:t>5</w:t>
      </w:r>
      <w:r>
        <w:rPr>
          <w:rFonts w:ascii="宋体" w:hAnsi="宋体" w:cs="宋体"/>
        </w:rPr>
        <w:t>.</w:t>
      </w:r>
      <w:r>
        <w:rPr>
          <w:rFonts w:hint="default" w:eastAsiaTheme="minorEastAsia"/>
          <w:b/>
          <w:bCs/>
        </w:rPr>
        <w:t>▲不提供此表的报价，视为没有实质性响应磋商文件要求。</w:t>
      </w:r>
    </w:p>
    <w:p>
      <w:pPr>
        <w:spacing w:before="312" w:beforeLines="100" w:after="312" w:afterLines="100" w:line="400" w:lineRule="atLeast"/>
        <w:ind w:left="4620" w:leftChars="2200"/>
        <w:rPr>
          <w:rFonts w:hint="default" w:ascii="宋体" w:hAnsi="宋体"/>
          <w:szCs w:val="21"/>
        </w:rPr>
      </w:pPr>
      <w:r>
        <w:rPr>
          <w:rFonts w:ascii="宋体" w:hAnsi="宋体"/>
          <w:szCs w:val="21"/>
        </w:rPr>
        <w:t>磋商供应商全称（盖章）：</w:t>
      </w:r>
    </w:p>
    <w:p>
      <w:pPr>
        <w:spacing w:before="312" w:beforeLines="100" w:after="312" w:afterLines="100" w:line="400" w:lineRule="atLeast"/>
        <w:ind w:firstLine="4620" w:firstLineChars="2200"/>
        <w:rPr>
          <w:rFonts w:hint="default" w:ascii="宋体" w:hAnsi="宋体"/>
          <w:szCs w:val="21"/>
        </w:rPr>
      </w:pPr>
      <w:r>
        <w:rPr>
          <w:rFonts w:ascii="宋体" w:hAnsi="宋体"/>
          <w:szCs w:val="21"/>
        </w:rPr>
        <w:t>法定代表人或授权代表（签字或盖章）：</w:t>
      </w:r>
    </w:p>
    <w:p>
      <w:pPr>
        <w:spacing w:before="312" w:beforeLines="100" w:after="312" w:afterLines="100" w:line="400" w:lineRule="atLeast"/>
        <w:jc w:val="center"/>
        <w:rPr>
          <w:rFonts w:hint="default" w:ascii="宋体" w:hAnsi="宋体" w:cs="宋体"/>
          <w:b/>
          <w:bCs/>
          <w:sz w:val="28"/>
          <w:szCs w:val="28"/>
        </w:rPr>
      </w:pPr>
      <w:r>
        <w:rPr>
          <w:rFonts w:ascii="宋体" w:hAnsi="宋体"/>
          <w:szCs w:val="21"/>
        </w:rPr>
        <w:t xml:space="preserve">                                日期：    年   月    日</w:t>
      </w:r>
    </w:p>
    <w:p>
      <w:pPr>
        <w:spacing w:before="312" w:beforeLines="100" w:after="312" w:afterLines="100" w:line="400" w:lineRule="atLeast"/>
        <w:rPr>
          <w:rFonts w:hint="default" w:ascii="宋体" w:hAnsi="宋体" w:cs="宋体"/>
          <w:b/>
          <w:bCs/>
          <w:sz w:val="28"/>
          <w:szCs w:val="28"/>
        </w:rPr>
      </w:pPr>
    </w:p>
    <w:p>
      <w:pPr>
        <w:rPr>
          <w:rFonts w:hint="default" w:ascii="宋体" w:hAnsi="宋体" w:cs="宋体"/>
          <w:b/>
          <w:bCs/>
          <w:sz w:val="28"/>
          <w:szCs w:val="28"/>
        </w:rPr>
      </w:pPr>
    </w:p>
    <w:p>
      <w:pPr>
        <w:pStyle w:val="2"/>
        <w:rPr>
          <w:rFonts w:hint="default" w:ascii="宋体" w:hAnsi="宋体" w:cs="宋体"/>
          <w:b/>
          <w:bCs/>
          <w:sz w:val="28"/>
          <w:szCs w:val="28"/>
        </w:rPr>
      </w:pPr>
    </w:p>
    <w:p>
      <w:pPr>
        <w:rPr>
          <w:rFonts w:hint="default" w:ascii="宋体" w:hAnsi="宋体" w:cs="宋体"/>
          <w:b/>
          <w:bCs/>
          <w:sz w:val="28"/>
          <w:szCs w:val="28"/>
        </w:rPr>
      </w:pPr>
    </w:p>
    <w:p>
      <w:pPr>
        <w:pStyle w:val="2"/>
        <w:rPr>
          <w:rFonts w:hint="default"/>
        </w:rPr>
      </w:pPr>
    </w:p>
    <w:p>
      <w:pPr>
        <w:rPr>
          <w:rFonts w:hint="default"/>
        </w:rPr>
      </w:pPr>
    </w:p>
    <w:p>
      <w:pPr>
        <w:jc w:val="center"/>
        <w:outlineLvl w:val="1"/>
        <w:rPr>
          <w:rFonts w:hint="default"/>
          <w:b/>
          <w:bCs/>
          <w:sz w:val="28"/>
          <w:szCs w:val="28"/>
        </w:rPr>
      </w:pPr>
      <w:bookmarkStart w:id="505" w:name="_Toc2865"/>
      <w:r>
        <w:rPr>
          <w:b/>
          <w:bCs/>
          <w:sz w:val="28"/>
          <w:szCs w:val="28"/>
        </w:rPr>
        <w:t>附件十四  投标分项报价表</w:t>
      </w:r>
      <w:bookmarkEnd w:id="505"/>
    </w:p>
    <w:p>
      <w:pPr>
        <w:pStyle w:val="8"/>
        <w:spacing w:line="400" w:lineRule="exact"/>
        <w:ind w:firstLine="0"/>
        <w:rPr>
          <w:rFonts w:hint="default" w:asciiTheme="majorEastAsia" w:hAnsiTheme="majorEastAsia" w:eastAsiaTheme="majorEastAsia" w:cstheme="majorEastAsia"/>
          <w:b/>
          <w:bCs/>
          <w:sz w:val="21"/>
          <w:szCs w:val="21"/>
        </w:rPr>
      </w:pPr>
      <w:r>
        <w:rPr>
          <w:rFonts w:asciiTheme="majorEastAsia" w:hAnsiTheme="majorEastAsia" w:eastAsiaTheme="majorEastAsia" w:cstheme="majorEastAsia"/>
          <w:b/>
          <w:bCs/>
          <w:sz w:val="21"/>
          <w:szCs w:val="21"/>
        </w:rPr>
        <w:t>项目名称：                                                 项目编号：</w:t>
      </w:r>
    </w:p>
    <w:tbl>
      <w:tblPr>
        <w:tblStyle w:val="21"/>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612"/>
        <w:gridCol w:w="1050"/>
        <w:gridCol w:w="2644"/>
        <w:gridCol w:w="1095"/>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91" w:type="dxa"/>
            <w:vAlign w:val="center"/>
          </w:tcPr>
          <w:p>
            <w:pPr>
              <w:jc w:val="center"/>
              <w:rPr>
                <w:rFonts w:hint="default"/>
                <w:b/>
              </w:rPr>
            </w:pPr>
            <w:r>
              <w:rPr>
                <w:rFonts w:ascii="宋体" w:hAnsi="宋体" w:cs="宋体"/>
                <w:b/>
                <w:szCs w:val="21"/>
              </w:rPr>
              <w:t>序号</w:t>
            </w:r>
          </w:p>
        </w:tc>
        <w:tc>
          <w:tcPr>
            <w:tcW w:w="2612" w:type="dxa"/>
            <w:vAlign w:val="center"/>
          </w:tcPr>
          <w:p>
            <w:pPr>
              <w:jc w:val="center"/>
              <w:rPr>
                <w:rFonts w:hint="default" w:ascii="宋体" w:hAnsi="宋体" w:cs="宋体"/>
                <w:b/>
                <w:szCs w:val="21"/>
              </w:rPr>
            </w:pPr>
            <w:r>
              <w:rPr>
                <w:rFonts w:ascii="宋体" w:hAnsi="宋体" w:cs="宋体"/>
                <w:b/>
                <w:szCs w:val="21"/>
              </w:rPr>
              <w:t>投标</w:t>
            </w:r>
          </w:p>
          <w:p>
            <w:pPr>
              <w:jc w:val="center"/>
              <w:rPr>
                <w:rFonts w:hint="default" w:ascii="宋体" w:hAnsi="宋体" w:cs="宋体"/>
                <w:b/>
                <w:szCs w:val="21"/>
              </w:rPr>
            </w:pPr>
            <w:r>
              <w:rPr>
                <w:rFonts w:ascii="宋体" w:hAnsi="宋体" w:cs="宋体"/>
                <w:b/>
                <w:szCs w:val="21"/>
              </w:rPr>
              <w:t>品目</w:t>
            </w:r>
          </w:p>
        </w:tc>
        <w:tc>
          <w:tcPr>
            <w:tcW w:w="1050" w:type="dxa"/>
            <w:vAlign w:val="center"/>
          </w:tcPr>
          <w:p>
            <w:pPr>
              <w:jc w:val="center"/>
              <w:rPr>
                <w:rFonts w:hint="default" w:ascii="宋体" w:hAnsi="宋体" w:cs="宋体"/>
                <w:b/>
                <w:szCs w:val="21"/>
              </w:rPr>
            </w:pPr>
            <w:r>
              <w:rPr>
                <w:rFonts w:ascii="宋体" w:hAnsi="宋体" w:cs="宋体"/>
                <w:b/>
                <w:szCs w:val="21"/>
              </w:rPr>
              <w:t>计量</w:t>
            </w:r>
          </w:p>
          <w:p>
            <w:pPr>
              <w:jc w:val="center"/>
              <w:rPr>
                <w:rFonts w:hint="default" w:ascii="宋体" w:hAnsi="宋体" w:cs="宋体"/>
                <w:b/>
                <w:szCs w:val="21"/>
              </w:rPr>
            </w:pPr>
            <w:r>
              <w:rPr>
                <w:rFonts w:ascii="宋体" w:hAnsi="宋体" w:cs="宋体"/>
                <w:b/>
                <w:szCs w:val="21"/>
              </w:rPr>
              <w:t>单位</w:t>
            </w:r>
          </w:p>
        </w:tc>
        <w:tc>
          <w:tcPr>
            <w:tcW w:w="2644" w:type="dxa"/>
            <w:vAlign w:val="center"/>
          </w:tcPr>
          <w:p>
            <w:pPr>
              <w:jc w:val="center"/>
              <w:rPr>
                <w:rFonts w:hint="default" w:ascii="宋体" w:hAnsi="宋体" w:cs="宋体"/>
                <w:b/>
                <w:szCs w:val="21"/>
              </w:rPr>
            </w:pPr>
            <w:r>
              <w:rPr>
                <w:rFonts w:ascii="宋体" w:hAnsi="宋体" w:cs="宋体"/>
                <w:b/>
                <w:szCs w:val="21"/>
              </w:rPr>
              <w:t>备注</w:t>
            </w:r>
          </w:p>
        </w:tc>
        <w:tc>
          <w:tcPr>
            <w:tcW w:w="1095" w:type="dxa"/>
            <w:vAlign w:val="center"/>
          </w:tcPr>
          <w:p>
            <w:pPr>
              <w:jc w:val="center"/>
              <w:rPr>
                <w:rFonts w:hint="default" w:ascii="宋体" w:hAnsi="宋体" w:cs="宋体"/>
                <w:b/>
                <w:szCs w:val="21"/>
              </w:rPr>
            </w:pPr>
            <w:r>
              <w:rPr>
                <w:rFonts w:ascii="宋体" w:hAnsi="宋体" w:cs="宋体"/>
                <w:b/>
                <w:szCs w:val="21"/>
              </w:rPr>
              <w:t>综合单价</w:t>
            </w:r>
          </w:p>
          <w:p>
            <w:pPr>
              <w:jc w:val="center"/>
              <w:rPr>
                <w:rFonts w:hint="default" w:ascii="宋体" w:hAnsi="宋体" w:cs="宋体"/>
                <w:b/>
                <w:szCs w:val="21"/>
              </w:rPr>
            </w:pPr>
            <w:r>
              <w:rPr>
                <w:rFonts w:ascii="宋体" w:hAnsi="宋体" w:cs="宋体"/>
                <w:b/>
                <w:szCs w:val="21"/>
              </w:rPr>
              <w:t>最高限价</w:t>
            </w:r>
          </w:p>
          <w:p>
            <w:pPr>
              <w:jc w:val="center"/>
              <w:rPr>
                <w:rFonts w:hint="default" w:ascii="宋体" w:hAnsi="宋体" w:cs="宋体"/>
                <w:b/>
                <w:szCs w:val="21"/>
              </w:rPr>
            </w:pPr>
            <w:r>
              <w:rPr>
                <w:rFonts w:ascii="宋体" w:hAnsi="宋体" w:cs="宋体"/>
                <w:b/>
                <w:szCs w:val="21"/>
              </w:rPr>
              <w:t>（元）</w:t>
            </w:r>
          </w:p>
        </w:tc>
        <w:tc>
          <w:tcPr>
            <w:tcW w:w="728" w:type="dxa"/>
            <w:vAlign w:val="center"/>
          </w:tcPr>
          <w:p>
            <w:pPr>
              <w:jc w:val="center"/>
              <w:rPr>
                <w:rFonts w:hint="default" w:ascii="宋体" w:hAnsi="宋体" w:cs="宋体"/>
                <w:b/>
                <w:sz w:val="18"/>
                <w:szCs w:val="18"/>
              </w:rPr>
            </w:pPr>
            <w:r>
              <w:rPr>
                <w:rFonts w:ascii="宋体" w:hAnsi="宋体" w:cs="宋体"/>
                <w:b/>
                <w:sz w:val="18"/>
                <w:szCs w:val="18"/>
              </w:rPr>
              <w:t>综合</w:t>
            </w:r>
          </w:p>
          <w:p>
            <w:pPr>
              <w:jc w:val="center"/>
              <w:rPr>
                <w:rFonts w:hint="default" w:ascii="宋体" w:hAnsi="宋体" w:eastAsia="宋体" w:cs="宋体"/>
                <w:b/>
                <w:sz w:val="18"/>
                <w:szCs w:val="18"/>
                <w:lang w:val="en-US" w:eastAsia="zh-CN"/>
              </w:rPr>
            </w:pPr>
            <w:r>
              <w:rPr>
                <w:rFonts w:ascii="宋体" w:hAnsi="宋体" w:cs="宋体"/>
                <w:b/>
                <w:sz w:val="18"/>
                <w:szCs w:val="18"/>
              </w:rPr>
              <w:t>单价</w:t>
            </w:r>
            <w:r>
              <w:rPr>
                <w:rFonts w:hint="eastAsia" w:ascii="宋体" w:hAnsi="宋体" w:cs="宋体"/>
                <w:b/>
                <w:sz w:val="18"/>
                <w:szCs w:val="18"/>
                <w:lang w:eastAsia="zh-CN"/>
              </w:rPr>
              <w:t>（</w:t>
            </w:r>
            <w:r>
              <w:rPr>
                <w:rFonts w:hint="eastAsia" w:ascii="宋体" w:hAnsi="宋体" w:cs="宋体"/>
                <w:b/>
                <w:sz w:val="18"/>
                <w:szCs w:val="18"/>
                <w:lang w:val="en-US" w:eastAsia="zh-CN"/>
              </w:rPr>
              <w:t>元</w:t>
            </w:r>
            <w:r>
              <w:rPr>
                <w:rFonts w:hint="eastAsia" w:ascii="宋体" w:hAnsi="宋体" w:cs="宋体"/>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w:t>
            </w:r>
          </w:p>
        </w:tc>
        <w:tc>
          <w:tcPr>
            <w:tcW w:w="2612" w:type="dxa"/>
            <w:vAlign w:val="center"/>
          </w:tcPr>
          <w:p>
            <w:pPr>
              <w:spacing w:line="400" w:lineRule="exact"/>
              <w:jc w:val="center"/>
              <w:rPr>
                <w:rFonts w:hint="default" w:ascii="宋体" w:hAnsi="宋体" w:cs="宋体"/>
                <w:bCs/>
                <w:szCs w:val="21"/>
              </w:rPr>
            </w:pPr>
            <w:r>
              <w:rPr>
                <w:rFonts w:hint="eastAsia" w:ascii="宋体" w:hAnsi="宋体" w:eastAsia="宋体" w:cs="宋体"/>
                <w:color w:val="auto"/>
                <w:sz w:val="21"/>
                <w:szCs w:val="21"/>
                <w:highlight w:val="none"/>
              </w:rPr>
              <w:t>工人</w:t>
            </w:r>
          </w:p>
        </w:tc>
        <w:tc>
          <w:tcPr>
            <w:tcW w:w="1050" w:type="dxa"/>
            <w:vAlign w:val="center"/>
          </w:tcPr>
          <w:p>
            <w:pPr>
              <w:spacing w:line="440" w:lineRule="exact"/>
              <w:jc w:val="center"/>
              <w:rPr>
                <w:rFonts w:hint="default" w:ascii="宋体" w:hAnsi="宋体" w:cs="宋体"/>
                <w:bCs/>
                <w:szCs w:val="21"/>
              </w:rPr>
            </w:pPr>
            <w:r>
              <w:rPr>
                <w:rFonts w:hint="eastAsia" w:ascii="宋体" w:hAnsi="宋体" w:eastAsia="宋体" w:cs="宋体"/>
                <w:color w:val="auto"/>
                <w:sz w:val="21"/>
                <w:szCs w:val="21"/>
                <w:highlight w:val="none"/>
              </w:rPr>
              <w:t>半天/人</w:t>
            </w:r>
          </w:p>
        </w:tc>
        <w:tc>
          <w:tcPr>
            <w:tcW w:w="2644" w:type="dxa"/>
            <w:vMerge w:val="restart"/>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含餐费、饮水、到达招标人指定地点的交通费等</w:t>
            </w:r>
          </w:p>
        </w:tc>
        <w:tc>
          <w:tcPr>
            <w:tcW w:w="1095" w:type="dxa"/>
            <w:vAlign w:val="center"/>
          </w:tcPr>
          <w:p>
            <w:pPr>
              <w:jc w:val="center"/>
              <w:rPr>
                <w:rFonts w:hint="default" w:ascii="宋体" w:hAnsi="宋体" w:cs="宋体"/>
                <w:bCs/>
                <w:szCs w:val="21"/>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w:t>
            </w:r>
          </w:p>
        </w:tc>
        <w:tc>
          <w:tcPr>
            <w:tcW w:w="2612" w:type="dxa"/>
            <w:vAlign w:val="center"/>
          </w:tcPr>
          <w:p>
            <w:pPr>
              <w:spacing w:line="400" w:lineRule="exact"/>
              <w:jc w:val="center"/>
              <w:rPr>
                <w:rFonts w:hint="default" w:ascii="宋体" w:hAnsi="宋体" w:cs="宋体"/>
                <w:bCs/>
                <w:szCs w:val="21"/>
              </w:rPr>
            </w:pPr>
            <w:r>
              <w:rPr>
                <w:rFonts w:hint="eastAsia" w:ascii="宋体" w:hAnsi="宋体" w:eastAsia="宋体" w:cs="宋体"/>
                <w:color w:val="auto"/>
                <w:sz w:val="21"/>
                <w:szCs w:val="21"/>
                <w:highlight w:val="none"/>
              </w:rPr>
              <w:t>工人</w:t>
            </w:r>
          </w:p>
        </w:tc>
        <w:tc>
          <w:tcPr>
            <w:tcW w:w="1050" w:type="dxa"/>
            <w:vAlign w:val="center"/>
          </w:tcPr>
          <w:p>
            <w:pPr>
              <w:spacing w:line="440" w:lineRule="exact"/>
              <w:jc w:val="center"/>
              <w:rPr>
                <w:rFonts w:hint="default" w:ascii="宋体" w:hAnsi="宋体" w:cs="宋体"/>
                <w:bCs/>
                <w:szCs w:val="21"/>
              </w:rPr>
            </w:pPr>
            <w:r>
              <w:rPr>
                <w:rFonts w:hint="eastAsia" w:ascii="宋体" w:hAnsi="宋体" w:eastAsia="宋体" w:cs="宋体"/>
                <w:color w:val="auto"/>
                <w:sz w:val="21"/>
                <w:szCs w:val="21"/>
                <w:highlight w:val="none"/>
              </w:rPr>
              <w:t>全天/人</w:t>
            </w:r>
          </w:p>
        </w:tc>
        <w:tc>
          <w:tcPr>
            <w:tcW w:w="2644" w:type="dxa"/>
            <w:vMerge w:val="continue"/>
            <w:vAlign w:val="center"/>
          </w:tcPr>
          <w:p>
            <w:pPr>
              <w:spacing w:line="360" w:lineRule="auto"/>
              <w:jc w:val="center"/>
              <w:rPr>
                <w:rFonts w:hint="default" w:ascii="宋体" w:hAnsi="宋体" w:cs="宋体"/>
                <w:bCs/>
                <w:szCs w:val="21"/>
              </w:rPr>
            </w:pPr>
          </w:p>
        </w:tc>
        <w:tc>
          <w:tcPr>
            <w:tcW w:w="1095" w:type="dxa"/>
            <w:vAlign w:val="center"/>
          </w:tcPr>
          <w:p>
            <w:pPr>
              <w:jc w:val="center"/>
              <w:rPr>
                <w:rFonts w:hint="default" w:ascii="宋体" w:hAnsi="宋体" w:cs="宋体"/>
                <w:bCs/>
                <w:szCs w:val="21"/>
              </w:rPr>
            </w:pPr>
            <w:r>
              <w:rPr>
                <w:rFonts w:hint="eastAsia" w:ascii="宋体" w:hAnsi="宋体" w:eastAsia="宋体" w:cs="宋体"/>
                <w:b w:val="0"/>
                <w:bCs w:val="0"/>
                <w:color w:val="auto"/>
                <w:sz w:val="21"/>
                <w:szCs w:val="21"/>
                <w:highlight w:val="none"/>
                <w:lang w:val="en-US" w:eastAsia="zh-CN"/>
              </w:rPr>
              <w:t>225</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5</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登高作业车辆</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1600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6</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风炮破碎机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7</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气体火焰切割机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台/次</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800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8</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0.5吨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700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9</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800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91" w:type="dxa"/>
            <w:vAlign w:val="center"/>
          </w:tcPr>
          <w:p>
            <w:pPr>
              <w:jc w:val="center"/>
              <w:rPr>
                <w:rFonts w:hint="default"/>
              </w:rPr>
            </w:pPr>
            <w:r>
              <w:t>10</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1000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11</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吨</w:t>
            </w:r>
            <w:r>
              <w:rPr>
                <w:rFonts w:hint="eastAsia" w:ascii="宋体" w:hAnsi="宋体" w:eastAsia="宋体" w:cs="宋体"/>
                <w:color w:val="auto"/>
                <w:sz w:val="21"/>
                <w:szCs w:val="21"/>
                <w:highlight w:val="none"/>
                <w:lang w:eastAsia="zh-CN"/>
              </w:rPr>
              <w:t>＜货车≤</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1200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12</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货车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10吨</w:t>
            </w:r>
            <w:r>
              <w:rPr>
                <w:rFonts w:hint="eastAsia" w:ascii="宋体" w:hAnsi="宋体" w:eastAsia="宋体" w:cs="宋体"/>
                <w:color w:val="auto"/>
                <w:sz w:val="21"/>
                <w:szCs w:val="21"/>
                <w:highlight w:val="none"/>
                <w:lang w:eastAsia="zh-CN"/>
              </w:rPr>
              <w:t>＜货车</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1400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13</w:t>
            </w:r>
          </w:p>
        </w:tc>
        <w:tc>
          <w:tcPr>
            <w:tcW w:w="2612"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pacing w:val="-20"/>
                <w:szCs w:val="21"/>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≤220型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3000</w:t>
            </w:r>
          </w:p>
        </w:tc>
        <w:tc>
          <w:tcPr>
            <w:tcW w:w="728" w:type="dxa"/>
            <w:vAlign w:val="center"/>
          </w:tcPr>
          <w:p>
            <w:pPr>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挖土机</w:t>
            </w:r>
            <w:r>
              <w:rPr>
                <w:rFonts w:hint="eastAsia" w:ascii="宋体" w:hAnsi="宋体" w:eastAsia="宋体" w:cs="宋体"/>
                <w:color w:val="auto"/>
                <w:sz w:val="21"/>
                <w:szCs w:val="21"/>
                <w:highlight w:val="none"/>
                <w:lang w:val="en-US" w:eastAsia="zh-CN"/>
              </w:rPr>
              <w:t>≤350型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4000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15</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长臂挖土机</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5000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16</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1800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691" w:type="dxa"/>
            <w:vAlign w:val="center"/>
          </w:tcPr>
          <w:p>
            <w:pPr>
              <w:jc w:val="center"/>
              <w:rPr>
                <w:rFonts w:hint="default"/>
              </w:rPr>
            </w:pPr>
            <w:r>
              <w:t>17</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≤220型（含作业所需机械、设备）</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691" w:type="dxa"/>
            <w:vAlign w:val="center"/>
          </w:tcPr>
          <w:p>
            <w:pPr>
              <w:jc w:val="center"/>
              <w:rPr>
                <w:rFonts w:hint="default"/>
              </w:rPr>
            </w:pPr>
            <w:r>
              <w:t>18</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平板车长放空费（包括</w:t>
            </w:r>
            <w:r>
              <w:rPr>
                <w:rFonts w:hint="eastAsia" w:ascii="宋体" w:hAnsi="宋体" w:eastAsia="宋体" w:cs="宋体"/>
                <w:color w:val="auto"/>
                <w:sz w:val="21"/>
                <w:szCs w:val="21"/>
                <w:highlight w:val="none"/>
                <w:lang w:eastAsia="zh-CN"/>
              </w:rPr>
              <w:t>挖机、平板车、驾驶员</w:t>
            </w:r>
            <w:r>
              <w:rPr>
                <w:rFonts w:hint="eastAsia" w:ascii="宋体" w:hAnsi="宋体" w:eastAsia="宋体" w:cs="宋体"/>
                <w:color w:val="auto"/>
                <w:sz w:val="21"/>
                <w:szCs w:val="21"/>
                <w:highlight w:val="none"/>
              </w:rPr>
              <w:t>）</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平板车</w:t>
            </w:r>
            <w:r>
              <w:rPr>
                <w:rFonts w:hint="eastAsia" w:ascii="宋体" w:hAnsi="宋体" w:eastAsia="宋体" w:cs="宋体"/>
                <w:color w:val="auto"/>
                <w:sz w:val="21"/>
                <w:szCs w:val="21"/>
                <w:highlight w:val="none"/>
                <w:lang w:val="en-US" w:eastAsia="zh-CN"/>
              </w:rPr>
              <w:t>≤350型（含作业所需机械、设备）</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2600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19</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空压机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20</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≤220型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4600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21</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eastAsia="zh-CN"/>
              </w:rPr>
              <w:t>（含人工）</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220型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炮头机</w:t>
            </w:r>
            <w:r>
              <w:rPr>
                <w:rFonts w:hint="eastAsia" w:ascii="宋体" w:hAnsi="宋体" w:eastAsia="宋体" w:cs="宋体"/>
                <w:color w:val="auto"/>
                <w:sz w:val="21"/>
                <w:szCs w:val="21"/>
                <w:highlight w:val="none"/>
                <w:lang w:val="en-US" w:eastAsia="zh-CN"/>
              </w:rPr>
              <w:t>≤350型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5500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22</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大客车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35人及以上</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900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23</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12-20人</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750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10-11人</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600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25</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中巴车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7人及以下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26</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8吨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2100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27</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25吨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3300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28</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4500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29</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lang w:eastAsia="zh-CN"/>
              </w:rPr>
              <w:t>吊车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100吨</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9500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30</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铲车（大）</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2700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91" w:type="dxa"/>
            <w:vAlign w:val="center"/>
          </w:tcPr>
          <w:p>
            <w:pPr>
              <w:jc w:val="center"/>
              <w:rPr>
                <w:rFonts w:hint="default"/>
              </w:rPr>
            </w:pPr>
            <w:r>
              <w:t>31</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铲车（小）</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＜50型</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2300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32</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电锯</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台/</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eastAsia="zh-CN"/>
              </w:rPr>
              <w:t>含人工</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450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33</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后四轮</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1100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1" w:type="dxa"/>
            <w:vAlign w:val="center"/>
          </w:tcPr>
          <w:p>
            <w:pPr>
              <w:jc w:val="center"/>
              <w:rPr>
                <w:rFonts w:hint="default"/>
              </w:rPr>
            </w:pPr>
            <w:r>
              <w:t>34</w:t>
            </w:r>
          </w:p>
        </w:tc>
        <w:tc>
          <w:tcPr>
            <w:tcW w:w="2612" w:type="dxa"/>
            <w:vAlign w:val="center"/>
          </w:tcPr>
          <w:p>
            <w:pPr>
              <w:spacing w:line="360" w:lineRule="auto"/>
              <w:jc w:val="center"/>
              <w:rPr>
                <w:rFonts w:hint="default"/>
              </w:rPr>
            </w:pPr>
            <w:r>
              <w:rPr>
                <w:rFonts w:hint="eastAsia" w:ascii="宋体" w:hAnsi="宋体" w:eastAsia="宋体" w:cs="宋体"/>
                <w:color w:val="auto"/>
                <w:sz w:val="21"/>
                <w:szCs w:val="21"/>
                <w:highlight w:val="none"/>
              </w:rPr>
              <w:t>工程车</w:t>
            </w:r>
            <w:r>
              <w:rPr>
                <w:rFonts w:hint="eastAsia" w:ascii="宋体" w:hAnsi="宋体" w:eastAsia="宋体" w:cs="宋体"/>
                <w:color w:val="auto"/>
                <w:sz w:val="21"/>
                <w:szCs w:val="21"/>
                <w:highlight w:val="none"/>
                <w:lang w:val="en-US" w:eastAsia="zh-CN"/>
              </w:rPr>
              <w:t>(含驾驶员）</w:t>
            </w:r>
          </w:p>
        </w:tc>
        <w:tc>
          <w:tcPr>
            <w:tcW w:w="1050"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644"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rPr>
              <w:t>后八轮</w:t>
            </w:r>
          </w:p>
        </w:tc>
        <w:tc>
          <w:tcPr>
            <w:tcW w:w="1095" w:type="dxa"/>
            <w:vAlign w:val="center"/>
          </w:tcPr>
          <w:p>
            <w:pPr>
              <w:spacing w:line="360" w:lineRule="auto"/>
              <w:jc w:val="center"/>
              <w:rPr>
                <w:rFonts w:hint="default" w:ascii="宋体" w:hAnsi="宋体" w:cs="宋体"/>
                <w:bCs/>
                <w:szCs w:val="21"/>
              </w:rPr>
            </w:pPr>
            <w:r>
              <w:rPr>
                <w:rFonts w:hint="eastAsia" w:ascii="宋体" w:hAnsi="宋体" w:eastAsia="宋体" w:cs="宋体"/>
                <w:color w:val="auto"/>
                <w:sz w:val="21"/>
                <w:szCs w:val="21"/>
                <w:highlight w:val="none"/>
                <w:lang w:val="en-US" w:eastAsia="zh-CN"/>
              </w:rPr>
              <w:t>1300</w:t>
            </w:r>
          </w:p>
        </w:tc>
        <w:tc>
          <w:tcPr>
            <w:tcW w:w="728" w:type="dxa"/>
            <w:vAlign w:val="center"/>
          </w:tcPr>
          <w:p>
            <w:pPr>
              <w:spacing w:line="360" w:lineRule="auto"/>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92" w:type="dxa"/>
            <w:gridSpan w:val="5"/>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合计综合单价</w:t>
            </w:r>
          </w:p>
        </w:tc>
        <w:tc>
          <w:tcPr>
            <w:tcW w:w="728" w:type="dxa"/>
            <w:vAlign w:val="center"/>
          </w:tcPr>
          <w:p>
            <w:pPr>
              <w:spacing w:line="360" w:lineRule="auto"/>
              <w:jc w:val="center"/>
              <w:rPr>
                <w:rFonts w:hint="default" w:ascii="宋体" w:hAnsi="宋体" w:cs="宋体"/>
                <w:bCs/>
                <w:szCs w:val="21"/>
              </w:rPr>
            </w:pPr>
          </w:p>
        </w:tc>
      </w:tr>
    </w:tbl>
    <w:p>
      <w:pPr>
        <w:spacing w:line="400" w:lineRule="exact"/>
        <w:rPr>
          <w:rFonts w:hint="default" w:ascii="宋体" w:hAnsi="宋体" w:cs="宋体"/>
          <w:b/>
          <w:bCs/>
          <w:sz w:val="22"/>
          <w:szCs w:val="22"/>
        </w:rPr>
      </w:pPr>
      <w:r>
        <w:rPr>
          <w:rFonts w:ascii="宋体" w:hAnsi="宋体" w:cs="宋体"/>
          <w:b/>
          <w:bCs/>
          <w:sz w:val="22"/>
          <w:szCs w:val="22"/>
        </w:rPr>
        <w:t>注：</w:t>
      </w:r>
    </w:p>
    <w:p>
      <w:pPr>
        <w:spacing w:line="400" w:lineRule="exact"/>
        <w:rPr>
          <w:rFonts w:hint="default" w:ascii="宋体" w:hAnsi="宋体" w:cs="宋体"/>
          <w:szCs w:val="21"/>
        </w:rPr>
      </w:pPr>
      <w:r>
        <w:rPr>
          <w:rFonts w:ascii="宋体" w:hAnsi="宋体" w:cs="宋体"/>
          <w:szCs w:val="21"/>
        </w:rPr>
        <w:t>1.综合单价包括工人工资、奖金、劳保福利社保、意外保险、交通费、工伤费、教育培训费及处理一切伤亡事故、机械设备损耗费与折旧费、餐费、管理费用、</w:t>
      </w:r>
      <w:r>
        <w:rPr>
          <w:rFonts w:hint="eastAsia" w:ascii="宋体" w:hAnsi="宋体" w:cs="宋体"/>
          <w:szCs w:val="21"/>
          <w:lang w:val="en-US" w:eastAsia="zh-CN"/>
        </w:rPr>
        <w:t>法定节假日加班费、</w:t>
      </w:r>
      <w:r>
        <w:rPr>
          <w:rFonts w:ascii="宋体" w:hAnsi="宋体" w:cs="宋体"/>
          <w:szCs w:val="21"/>
        </w:rPr>
        <w:t>垃圾外运及消纳、企业应缴税金和应得利润、应急、物价因素等完成合同所需的一切本身和不可所缺的所有工作开支、政策性文件规定及合同包含的所有风险、责任等各项全部费用组成。</w:t>
      </w:r>
    </w:p>
    <w:p>
      <w:pPr>
        <w:spacing w:line="400" w:lineRule="exact"/>
        <w:ind w:left="630" w:hanging="630" w:hangingChars="300"/>
        <w:rPr>
          <w:rFonts w:hint="eastAsia" w:ascii="宋体" w:hAnsi="宋体" w:eastAsia="宋体" w:cs="宋体"/>
          <w:szCs w:val="21"/>
          <w:lang w:eastAsia="zh-CN"/>
        </w:rPr>
      </w:pPr>
      <w:r>
        <w:rPr>
          <w:rFonts w:ascii="宋体" w:hAnsi="宋体" w:cs="宋体"/>
          <w:szCs w:val="21"/>
        </w:rPr>
        <w:t>2.▲</w:t>
      </w:r>
      <w:r>
        <w:rPr>
          <w:rFonts w:hint="eastAsia" w:ascii="宋体" w:hAnsi="宋体" w:eastAsia="宋体" w:cs="宋体"/>
          <w:szCs w:val="21"/>
          <w:lang w:val="en-US" w:eastAsia="zh-CN"/>
        </w:rPr>
        <w:t>投标综合单价超过最高综合单价限价的</w:t>
      </w:r>
      <w:r>
        <w:rPr>
          <w:rFonts w:hint="eastAsia" w:ascii="宋体" w:hAnsi="宋体" w:eastAsia="宋体" w:cs="宋体"/>
          <w:szCs w:val="21"/>
        </w:rPr>
        <w:t>，作无效标处理</w:t>
      </w:r>
      <w:r>
        <w:rPr>
          <w:rFonts w:hint="eastAsia" w:ascii="宋体" w:hAnsi="宋体" w:eastAsia="宋体" w:cs="宋体"/>
          <w:szCs w:val="21"/>
          <w:lang w:eastAsia="zh-CN"/>
        </w:rPr>
        <w:t>。</w:t>
      </w:r>
    </w:p>
    <w:p>
      <w:pPr>
        <w:spacing w:line="400" w:lineRule="exact"/>
        <w:ind w:left="630" w:hanging="630" w:hangingChars="300"/>
        <w:rPr>
          <w:rFonts w:hint="default"/>
        </w:rPr>
      </w:pPr>
      <w:r>
        <w:rPr>
          <w:rFonts w:hint="eastAsia" w:ascii="宋体" w:hAnsi="宋体" w:cs="宋体"/>
          <w:szCs w:val="21"/>
          <w:lang w:val="en-US" w:eastAsia="zh-CN"/>
        </w:rPr>
        <w:t>3</w:t>
      </w:r>
      <w:r>
        <w:rPr>
          <w:rFonts w:ascii="宋体" w:hAnsi="宋体" w:cs="宋体"/>
          <w:szCs w:val="21"/>
        </w:rPr>
        <w:t>.</w:t>
      </w:r>
      <w:r>
        <w:rPr>
          <w:rStyle w:val="28"/>
          <w:rFonts w:ascii="宋体" w:hAnsi="宋体" w:cs="宋体"/>
          <w:szCs w:val="21"/>
        </w:rPr>
        <w:t>▲</w:t>
      </w:r>
      <w:r>
        <w:t>此表不得自行增减内容。</w:t>
      </w:r>
      <w:bookmarkStart w:id="506" w:name="_Toc26135"/>
      <w:bookmarkStart w:id="507" w:name="_Toc2583"/>
      <w:bookmarkStart w:id="508" w:name="_Toc26161"/>
    </w:p>
    <w:p>
      <w:pPr>
        <w:spacing w:line="400" w:lineRule="exact"/>
        <w:ind w:left="630" w:hanging="630" w:hangingChars="300"/>
        <w:rPr>
          <w:rFonts w:ascii="宋体" w:hAnsi="宋体" w:cs="宋体"/>
          <w:szCs w:val="21"/>
        </w:rPr>
      </w:pPr>
      <w:r>
        <w:rPr>
          <w:rFonts w:hint="eastAsia" w:ascii="宋体" w:hAnsi="宋体" w:cs="宋体"/>
          <w:szCs w:val="21"/>
          <w:lang w:val="en-US" w:eastAsia="zh-CN"/>
        </w:rPr>
        <w:t>4.</w:t>
      </w:r>
      <w:r>
        <w:rPr>
          <w:rFonts w:ascii="宋体" w:hAnsi="宋体" w:cs="宋体"/>
          <w:szCs w:val="21"/>
        </w:rPr>
        <w:t>此表中的</w:t>
      </w:r>
      <w:r>
        <w:rPr>
          <w:rFonts w:hint="eastAsia" w:ascii="宋体" w:hAnsi="宋体" w:cs="宋体"/>
          <w:color w:val="auto"/>
          <w:sz w:val="21"/>
          <w:szCs w:val="21"/>
          <w:highlight w:val="none"/>
          <w:lang w:val="en-US" w:eastAsia="zh-CN"/>
        </w:rPr>
        <w:t>合计综合单价</w:t>
      </w:r>
      <w:r>
        <w:rPr>
          <w:rFonts w:ascii="宋体" w:hAnsi="宋体" w:cs="宋体"/>
          <w:szCs w:val="21"/>
        </w:rPr>
        <w:t>应与附件十三“报价一览表”中</w:t>
      </w:r>
      <w:r>
        <w:rPr>
          <w:rFonts w:hint="eastAsia" w:ascii="宋体" w:hAnsi="宋体" w:eastAsia="宋体"/>
          <w:b w:val="0"/>
          <w:bCs w:val="0"/>
          <w:szCs w:val="21"/>
          <w:lang w:val="en-US" w:eastAsia="zh-CN"/>
        </w:rPr>
        <w:t>投标单价</w:t>
      </w:r>
      <w:r>
        <w:rPr>
          <w:rFonts w:ascii="宋体" w:hAnsi="宋体" w:cs="宋体"/>
          <w:szCs w:val="21"/>
        </w:rPr>
        <w:t>相一致。</w:t>
      </w:r>
      <w:bookmarkEnd w:id="506"/>
      <w:bookmarkEnd w:id="507"/>
      <w:bookmarkEnd w:id="508"/>
    </w:p>
    <w:p>
      <w:pPr>
        <w:pStyle w:val="2"/>
        <w:rPr>
          <w:rFonts w:ascii="宋体" w:hAnsi="宋体" w:cs="宋体"/>
          <w:szCs w:val="21"/>
        </w:rPr>
      </w:pPr>
    </w:p>
    <w:p>
      <w:pPr>
        <w:rPr>
          <w:rFonts w:hint="default"/>
        </w:rPr>
      </w:pPr>
    </w:p>
    <w:p>
      <w:pPr>
        <w:wordWrap w:val="0"/>
        <w:spacing w:line="360" w:lineRule="auto"/>
        <w:jc w:val="right"/>
        <w:rPr>
          <w:rFonts w:hint="default" w:eastAsiaTheme="minorEastAsia"/>
        </w:rPr>
      </w:pPr>
      <w:r>
        <w:t xml:space="preserve">磋商供应商全称（盖章）：            </w:t>
      </w:r>
    </w:p>
    <w:p>
      <w:pPr>
        <w:spacing w:line="360" w:lineRule="auto"/>
        <w:jc w:val="right"/>
        <w:rPr>
          <w:rFonts w:hint="default"/>
        </w:rPr>
      </w:pPr>
      <w:r>
        <w:t>法定代表人或授权代表（签字或盖章）：</w:t>
      </w:r>
    </w:p>
    <w:p>
      <w:pPr>
        <w:wordWrap w:val="0"/>
        <w:spacing w:line="360" w:lineRule="auto"/>
        <w:jc w:val="right"/>
        <w:rPr>
          <w:rFonts w:hint="default" w:ascii="宋体" w:hAnsi="宋体" w:eastAsiaTheme="minorEastAsia"/>
          <w:szCs w:val="21"/>
        </w:rPr>
      </w:pPr>
      <w:r>
        <w:t xml:space="preserve">日期：    年   月    日            </w:t>
      </w:r>
    </w:p>
    <w:p>
      <w:pPr>
        <w:keepNext w:val="0"/>
        <w:keepLines w:val="0"/>
        <w:tabs>
          <w:tab w:val="left" w:pos="840"/>
        </w:tabs>
        <w:spacing w:after="156" w:afterLines="50" w:line="400" w:lineRule="exact"/>
        <w:jc w:val="center"/>
        <w:outlineLvl w:val="9"/>
        <w:rPr>
          <w:rFonts w:hint="default" w:hAnsi="宋体" w:cs="宋体"/>
          <w:sz w:val="28"/>
          <w:szCs w:val="36"/>
        </w:rPr>
      </w:pPr>
      <w:bookmarkStart w:id="509" w:name="_Toc24828"/>
      <w:bookmarkStart w:id="510" w:name="_Toc5084"/>
      <w:bookmarkStart w:id="511" w:name="_Toc28862"/>
      <w:bookmarkStart w:id="512" w:name="_Toc17650"/>
      <w:bookmarkStart w:id="513" w:name="_Toc4507"/>
      <w:bookmarkStart w:id="514" w:name="_Toc9567"/>
    </w:p>
    <w:p>
      <w:pPr>
        <w:keepNext w:val="0"/>
        <w:keepLines w:val="0"/>
        <w:tabs>
          <w:tab w:val="left" w:pos="840"/>
        </w:tabs>
        <w:spacing w:after="156" w:afterLines="50" w:line="400" w:lineRule="exact"/>
        <w:jc w:val="center"/>
        <w:outlineLvl w:val="9"/>
        <w:rPr>
          <w:rFonts w:hint="default" w:hAnsi="宋体" w:cs="宋体"/>
          <w:sz w:val="28"/>
          <w:szCs w:val="36"/>
        </w:rPr>
      </w:pPr>
    </w:p>
    <w:p>
      <w:pPr>
        <w:keepNext w:val="0"/>
        <w:keepLines w:val="0"/>
        <w:tabs>
          <w:tab w:val="left" w:pos="840"/>
        </w:tabs>
        <w:spacing w:after="156" w:afterLines="50" w:line="400" w:lineRule="exact"/>
        <w:jc w:val="center"/>
        <w:outlineLvl w:val="9"/>
        <w:rPr>
          <w:rFonts w:hint="eastAsia" w:hAnsi="宋体" w:eastAsia="宋体" w:cs="宋体"/>
          <w:sz w:val="28"/>
          <w:szCs w:val="36"/>
          <w:lang w:eastAsia="zh-CN"/>
        </w:rPr>
      </w:pPr>
    </w:p>
    <w:p>
      <w:pPr>
        <w:pStyle w:val="2"/>
        <w:rPr>
          <w:rFonts w:hint="eastAsia"/>
          <w:lang w:eastAsia="zh-CN"/>
        </w:rPr>
      </w:pPr>
    </w:p>
    <w:p>
      <w:pPr>
        <w:pStyle w:val="2"/>
        <w:rPr>
          <w:rFonts w:hint="eastAsia" w:hAnsi="宋体" w:eastAsia="宋体" w:cs="宋体"/>
          <w:sz w:val="28"/>
          <w:szCs w:val="36"/>
          <w:lang w:eastAsia="zh-CN"/>
        </w:rPr>
      </w:pPr>
    </w:p>
    <w:p>
      <w:pPr>
        <w:rPr>
          <w:rFonts w:hint="eastAsia" w:hAnsi="宋体" w:eastAsia="宋体" w:cs="宋体"/>
          <w:sz w:val="28"/>
          <w:szCs w:val="36"/>
          <w:lang w:eastAsia="zh-CN"/>
        </w:rPr>
      </w:pPr>
    </w:p>
    <w:p>
      <w:pPr>
        <w:pStyle w:val="2"/>
        <w:rPr>
          <w:rFonts w:hint="eastAsia"/>
          <w:lang w:eastAsia="zh-CN"/>
        </w:rPr>
      </w:pPr>
    </w:p>
    <w:p>
      <w:pPr>
        <w:keepNext w:val="0"/>
        <w:keepLines w:val="0"/>
        <w:tabs>
          <w:tab w:val="left" w:pos="840"/>
        </w:tabs>
        <w:spacing w:after="156" w:afterLines="50" w:line="400" w:lineRule="exact"/>
        <w:jc w:val="center"/>
        <w:outlineLvl w:val="9"/>
        <w:rPr>
          <w:rFonts w:hint="default" w:hAnsi="宋体" w:cs="宋体"/>
          <w:sz w:val="28"/>
          <w:szCs w:val="36"/>
        </w:rPr>
      </w:pPr>
    </w:p>
    <w:p>
      <w:pPr>
        <w:pStyle w:val="3"/>
        <w:keepNext w:val="0"/>
        <w:keepLines w:val="0"/>
        <w:spacing w:after="156" w:afterLines="50" w:line="400" w:lineRule="exact"/>
        <w:jc w:val="center"/>
        <w:rPr>
          <w:rFonts w:hint="default" w:hAnsi="宋体" w:cs="宋体"/>
          <w:sz w:val="28"/>
          <w:szCs w:val="36"/>
        </w:rPr>
      </w:pPr>
      <w:r>
        <w:rPr>
          <w:rFonts w:hAnsi="宋体" w:cs="宋体"/>
          <w:sz w:val="28"/>
          <w:szCs w:val="36"/>
        </w:rPr>
        <w:t>第六部分  评定办法</w:t>
      </w:r>
      <w:bookmarkEnd w:id="509"/>
      <w:bookmarkEnd w:id="510"/>
      <w:bookmarkEnd w:id="511"/>
      <w:bookmarkEnd w:id="512"/>
      <w:bookmarkEnd w:id="513"/>
      <w:bookmarkEnd w:id="514"/>
    </w:p>
    <w:p>
      <w:pPr>
        <w:spacing w:line="400" w:lineRule="exact"/>
        <w:ind w:firstLine="420" w:firstLineChars="200"/>
        <w:rPr>
          <w:rFonts w:hint="default" w:ascii="宋体" w:hAnsi="宋体" w:cs="宋体"/>
          <w:bCs/>
          <w:kern w:val="28"/>
        </w:rPr>
      </w:pPr>
      <w:r>
        <w:rPr>
          <w:rFonts w:ascii="宋体" w:hAnsi="宋体" w:cs="宋体"/>
          <w:bCs/>
          <w:kern w:val="28"/>
        </w:rPr>
        <w:t>根据《中华人民共和国政府采购法》、《政府采购竞争性磋商采购方式管理暂行办法》和本项目磋商文件，按照公平、公正、科学、择优的原则选择成交人，特制定本办法。</w:t>
      </w:r>
    </w:p>
    <w:p>
      <w:pPr>
        <w:spacing w:line="400" w:lineRule="exact"/>
        <w:ind w:firstLine="422" w:firstLineChars="200"/>
        <w:outlineLvl w:val="1"/>
        <w:rPr>
          <w:rFonts w:hint="default" w:ascii="宋体" w:hAnsi="宋体" w:cs="宋体"/>
          <w:b/>
          <w:bCs/>
          <w:kern w:val="28"/>
        </w:rPr>
      </w:pPr>
      <w:bookmarkStart w:id="515" w:name="_Toc7454"/>
      <w:r>
        <w:rPr>
          <w:rFonts w:ascii="宋体" w:hAnsi="宋体" w:cs="宋体"/>
          <w:b/>
          <w:bCs/>
          <w:kern w:val="28"/>
        </w:rPr>
        <w:t>一、评定原则</w:t>
      </w:r>
      <w:bookmarkEnd w:id="515"/>
    </w:p>
    <w:p>
      <w:pPr>
        <w:spacing w:line="400" w:lineRule="exact"/>
        <w:ind w:firstLine="420" w:firstLineChars="200"/>
        <w:rPr>
          <w:rFonts w:hint="default" w:ascii="宋体" w:hAnsi="宋体" w:cs="宋体"/>
          <w:bCs/>
          <w:kern w:val="28"/>
        </w:rPr>
      </w:pPr>
      <w:r>
        <w:rPr>
          <w:rFonts w:ascii="宋体" w:hAnsi="宋体" w:cs="宋体"/>
          <w:bCs/>
          <w:kern w:val="28"/>
        </w:rPr>
        <w:t>评审工作遵循公平、公正、民主、科学的原则和诚实、信誉、效率的服务原则。本着科学、严谨的态度，认真进行评审，择优选定服务单位。确保服务质量，节约投资，最大限度的保护当事人权益，严格按照磋商文件的商务、技术要求，对磋商响应文件进行综合评定，编写评标报告。评定人员必须严格遵守保密规定，不得泄漏评定的有关情况，不得索贿受贿，不得接受吃请和礼品，不得参加影响公正评标的有关活动。磋商供应商不得以任何方式干扰采购工作的进行，一经发现其磋商响应文件将被否决。</w:t>
      </w:r>
    </w:p>
    <w:p>
      <w:pPr>
        <w:spacing w:line="400" w:lineRule="exact"/>
        <w:ind w:firstLine="422" w:firstLineChars="200"/>
        <w:outlineLvl w:val="1"/>
        <w:rPr>
          <w:rFonts w:hint="default" w:ascii="宋体" w:hAnsi="宋体" w:cs="宋体"/>
          <w:b/>
          <w:bCs/>
          <w:kern w:val="28"/>
        </w:rPr>
      </w:pPr>
      <w:bookmarkStart w:id="516" w:name="_Toc5819"/>
      <w:r>
        <w:rPr>
          <w:rFonts w:ascii="宋体" w:hAnsi="宋体" w:cs="宋体"/>
          <w:b/>
          <w:bCs/>
          <w:kern w:val="28"/>
        </w:rPr>
        <w:t>二、评标组织</w:t>
      </w:r>
      <w:bookmarkEnd w:id="516"/>
    </w:p>
    <w:p>
      <w:pPr>
        <w:spacing w:line="400" w:lineRule="exact"/>
        <w:ind w:firstLine="420" w:firstLineChars="200"/>
        <w:rPr>
          <w:rFonts w:hint="default" w:ascii="宋体" w:hAnsi="宋体" w:cs="宋体"/>
          <w:bCs/>
          <w:kern w:val="28"/>
        </w:rPr>
      </w:pPr>
      <w:r>
        <w:rPr>
          <w:rFonts w:ascii="宋体" w:hAnsi="宋体" w:cs="宋体"/>
          <w:bCs/>
          <w:kern w:val="28"/>
        </w:rPr>
        <w:t>开标后，首先采购人或采购代理机构对磋商响应文件进行资格性检查；接着磋商小组对符合资格的供应商进行符合性审查，以确定是否对磋商文件的要求作出响应凡磋商供应商资格不符合磋商文件要求；磋商响应文件内容和格式严重不符合有关规定或不响应磋商文件要求者，经磋商小组认定作为无效投标，不再进入后续磋商。对磋商文件完善后，由磋商小组对磋商供应商进行询标，磋商供应商做出书面答复作为磋商响应文件的补充文件。</w:t>
      </w:r>
    </w:p>
    <w:p>
      <w:pPr>
        <w:spacing w:line="400" w:lineRule="exact"/>
        <w:ind w:firstLine="420" w:firstLineChars="200"/>
        <w:rPr>
          <w:rFonts w:hint="default" w:ascii="宋体" w:hAnsi="宋体" w:cs="宋体"/>
          <w:bCs/>
          <w:kern w:val="28"/>
        </w:rPr>
      </w:pPr>
      <w:r>
        <w:rPr>
          <w:rFonts w:ascii="宋体" w:hAnsi="宋体" w:cs="宋体"/>
        </w:rPr>
        <w:t>经资格性检查和符合性检查后，开、评标期间出现符合资格条件的供应商或者对磋商文件作出实质响应的供应商（有效供应商）不足三家的，按政府</w:t>
      </w:r>
      <w:r>
        <w:rPr>
          <w:rFonts w:ascii="宋体" w:hAnsi="宋体" w:cs="宋体"/>
          <w:szCs w:val="21"/>
        </w:rPr>
        <w:t>采购法律法规有关规定，依法继续进行或转为其它政府采购人式进行采购，或宣布本次招标失败，重新组织招标。</w:t>
      </w:r>
    </w:p>
    <w:p>
      <w:pPr>
        <w:spacing w:line="400" w:lineRule="exact"/>
        <w:ind w:firstLine="422" w:firstLineChars="200"/>
        <w:outlineLvl w:val="1"/>
        <w:rPr>
          <w:rFonts w:hint="default" w:ascii="宋体" w:hAnsi="宋体" w:cs="宋体"/>
          <w:b/>
          <w:bCs/>
          <w:kern w:val="28"/>
        </w:rPr>
      </w:pPr>
      <w:bookmarkStart w:id="517" w:name="_Toc11299"/>
      <w:r>
        <w:rPr>
          <w:rFonts w:ascii="宋体" w:hAnsi="宋体" w:cs="宋体"/>
          <w:b/>
          <w:bCs/>
          <w:kern w:val="28"/>
        </w:rPr>
        <w:t>三、评定办法</w:t>
      </w:r>
      <w:bookmarkEnd w:id="517"/>
    </w:p>
    <w:p>
      <w:pPr>
        <w:spacing w:line="400" w:lineRule="exact"/>
        <w:ind w:firstLine="420" w:firstLineChars="200"/>
        <w:rPr>
          <w:rFonts w:hint="default" w:ascii="宋体" w:hAnsi="宋体" w:cs="宋体"/>
          <w:bCs/>
          <w:kern w:val="28"/>
        </w:rPr>
      </w:pPr>
      <w:r>
        <w:rPr>
          <w:rFonts w:ascii="宋体" w:hAnsi="宋体" w:cs="宋体"/>
          <w:bCs/>
          <w:kern w:val="28"/>
        </w:rPr>
        <w:t>本次评标采用综合评分法，总分为100分，其中报价分</w:t>
      </w:r>
      <w:r>
        <w:rPr>
          <w:rFonts w:hint="eastAsia" w:ascii="宋体" w:hAnsi="宋体" w:cs="宋体"/>
          <w:bCs/>
          <w:kern w:val="28"/>
          <w:lang w:val="en-US" w:eastAsia="zh-CN"/>
        </w:rPr>
        <w:t>2</w:t>
      </w:r>
      <w:r>
        <w:rPr>
          <w:rFonts w:ascii="宋体" w:hAnsi="宋体" w:cs="宋体"/>
          <w:bCs/>
          <w:kern w:val="28"/>
        </w:rPr>
        <w:t>0分、商务技术分</w:t>
      </w:r>
      <w:r>
        <w:rPr>
          <w:rFonts w:hint="eastAsia" w:ascii="宋体" w:hAnsi="宋体" w:cs="宋体"/>
          <w:bCs/>
          <w:kern w:val="28"/>
          <w:lang w:val="en-US" w:eastAsia="zh-CN"/>
        </w:rPr>
        <w:t>8</w:t>
      </w:r>
      <w:r>
        <w:rPr>
          <w:rFonts w:ascii="宋体" w:hAnsi="宋体" w:cs="宋体"/>
          <w:bCs/>
          <w:kern w:val="28"/>
        </w:rPr>
        <w:t>0分。合格供应商的评标得分为各项目汇总得分。评分过程中数值计算采用四舍五入法，并保留小数2位。</w:t>
      </w:r>
    </w:p>
    <w:tbl>
      <w:tblPr>
        <w:tblStyle w:val="21"/>
        <w:tblpPr w:leftFromText="180" w:rightFromText="180" w:vertAnchor="text" w:horzAnchor="page" w:tblpX="1746" w:tblpY="814"/>
        <w:tblOverlap w:val="never"/>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9"/>
        <w:gridCol w:w="914"/>
        <w:gridCol w:w="1551"/>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50" w:type="dxa"/>
            <w:vAlign w:val="center"/>
          </w:tcPr>
          <w:p>
            <w:pPr>
              <w:ind w:right="3"/>
              <w:jc w:val="center"/>
              <w:rPr>
                <w:rFonts w:hint="default" w:ascii="宋体" w:hAnsi="宋体" w:cs="宋体"/>
                <w:b/>
                <w:bCs/>
                <w:szCs w:val="21"/>
              </w:rPr>
            </w:pPr>
            <w:r>
              <w:rPr>
                <w:rFonts w:ascii="宋体" w:hAnsi="宋体" w:cs="宋体"/>
                <w:b/>
                <w:bCs/>
                <w:szCs w:val="21"/>
              </w:rPr>
              <w:t>序号</w:t>
            </w:r>
          </w:p>
        </w:tc>
        <w:tc>
          <w:tcPr>
            <w:tcW w:w="1459" w:type="dxa"/>
            <w:vAlign w:val="center"/>
          </w:tcPr>
          <w:p>
            <w:pPr>
              <w:ind w:right="3"/>
              <w:jc w:val="center"/>
              <w:rPr>
                <w:rFonts w:hint="default" w:ascii="宋体" w:hAnsi="宋体" w:cs="宋体"/>
                <w:b/>
                <w:bCs/>
                <w:szCs w:val="21"/>
              </w:rPr>
            </w:pPr>
            <w:r>
              <w:rPr>
                <w:rFonts w:ascii="宋体" w:hAnsi="宋体" w:cs="宋体"/>
                <w:b/>
                <w:bCs/>
                <w:szCs w:val="21"/>
              </w:rPr>
              <w:t>评审类型</w:t>
            </w:r>
          </w:p>
        </w:tc>
        <w:tc>
          <w:tcPr>
            <w:tcW w:w="2465" w:type="dxa"/>
            <w:gridSpan w:val="2"/>
            <w:vAlign w:val="center"/>
          </w:tcPr>
          <w:p>
            <w:pPr>
              <w:pStyle w:val="8"/>
              <w:ind w:firstLine="0"/>
              <w:jc w:val="center"/>
              <w:rPr>
                <w:rFonts w:hint="default" w:ascii="宋体" w:hAnsi="宋体" w:cs="宋体"/>
                <w:b/>
                <w:bCs/>
                <w:sz w:val="21"/>
                <w:szCs w:val="21"/>
              </w:rPr>
            </w:pPr>
            <w:r>
              <w:rPr>
                <w:rFonts w:ascii="宋体" w:hAnsi="宋体" w:cs="宋体"/>
                <w:b/>
                <w:bCs/>
                <w:sz w:val="21"/>
                <w:szCs w:val="21"/>
              </w:rPr>
              <w:t>评审内容</w:t>
            </w:r>
          </w:p>
        </w:tc>
        <w:tc>
          <w:tcPr>
            <w:tcW w:w="4340" w:type="dxa"/>
            <w:vAlign w:val="center"/>
          </w:tcPr>
          <w:p>
            <w:pPr>
              <w:pStyle w:val="8"/>
              <w:ind w:firstLine="0"/>
              <w:jc w:val="center"/>
              <w:rPr>
                <w:rFonts w:hint="default" w:ascii="宋体" w:hAnsi="宋体" w:cs="宋体"/>
                <w:b/>
                <w:bCs/>
                <w:sz w:val="21"/>
                <w:szCs w:val="21"/>
              </w:rPr>
            </w:pPr>
            <w:r>
              <w:rPr>
                <w:rFonts w:ascii="宋体" w:hAnsi="宋体" w:cs="宋体"/>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50" w:type="dxa"/>
            <w:vMerge w:val="restart"/>
            <w:vAlign w:val="center"/>
          </w:tcPr>
          <w:p>
            <w:pPr>
              <w:ind w:right="3"/>
              <w:jc w:val="center"/>
              <w:rPr>
                <w:rFonts w:hint="default" w:ascii="宋体" w:hAnsi="宋体" w:cs="宋体"/>
                <w:spacing w:val="4"/>
                <w:szCs w:val="21"/>
              </w:rPr>
            </w:pPr>
            <w:r>
              <w:rPr>
                <w:rFonts w:ascii="宋体" w:hAnsi="宋体" w:cs="宋体"/>
                <w:spacing w:val="4"/>
                <w:szCs w:val="21"/>
              </w:rPr>
              <w:t>1</w:t>
            </w:r>
          </w:p>
        </w:tc>
        <w:tc>
          <w:tcPr>
            <w:tcW w:w="1459" w:type="dxa"/>
            <w:vMerge w:val="restart"/>
            <w:vAlign w:val="center"/>
          </w:tcPr>
          <w:p>
            <w:pPr>
              <w:ind w:right="3"/>
              <w:jc w:val="center"/>
              <w:rPr>
                <w:rFonts w:hint="default" w:ascii="宋体" w:hAnsi="宋体" w:cs="宋体"/>
                <w:b/>
                <w:bCs/>
                <w:kern w:val="28"/>
                <w:szCs w:val="21"/>
              </w:rPr>
            </w:pPr>
            <w:r>
              <w:rPr>
                <w:rFonts w:ascii="宋体" w:hAnsi="宋体" w:cs="宋体"/>
                <w:b/>
                <w:szCs w:val="21"/>
              </w:rPr>
              <w:t>资格</w:t>
            </w:r>
            <w:r>
              <w:rPr>
                <w:rFonts w:ascii="宋体" w:hAnsi="宋体" w:cs="宋体"/>
                <w:b/>
                <w:bCs/>
                <w:kern w:val="28"/>
                <w:szCs w:val="21"/>
              </w:rPr>
              <w:t>性</w:t>
            </w:r>
          </w:p>
          <w:p>
            <w:pPr>
              <w:ind w:right="3"/>
              <w:jc w:val="center"/>
              <w:rPr>
                <w:rFonts w:hint="default" w:ascii="宋体" w:hAnsi="宋体" w:cs="宋体"/>
                <w:b/>
                <w:spacing w:val="4"/>
                <w:szCs w:val="21"/>
              </w:rPr>
            </w:pPr>
            <w:r>
              <w:rPr>
                <w:rFonts w:ascii="宋体" w:hAnsi="宋体" w:cs="宋体"/>
                <w:b/>
                <w:bCs/>
                <w:kern w:val="28"/>
                <w:szCs w:val="21"/>
              </w:rPr>
              <w:t>检查</w:t>
            </w:r>
          </w:p>
        </w:tc>
        <w:tc>
          <w:tcPr>
            <w:tcW w:w="2465" w:type="dxa"/>
            <w:gridSpan w:val="2"/>
            <w:vAlign w:val="center"/>
          </w:tcPr>
          <w:p>
            <w:pPr>
              <w:pStyle w:val="8"/>
              <w:ind w:firstLine="0"/>
              <w:jc w:val="center"/>
              <w:rPr>
                <w:rFonts w:hint="default" w:ascii="宋体" w:hAnsi="宋体" w:cs="宋体"/>
                <w:sz w:val="21"/>
                <w:szCs w:val="21"/>
              </w:rPr>
            </w:pPr>
            <w:r>
              <w:rPr>
                <w:rFonts w:ascii="宋体" w:hAnsi="宋体" w:cs="宋体"/>
                <w:sz w:val="21"/>
                <w:szCs w:val="21"/>
              </w:rPr>
              <w:t>营业执照</w:t>
            </w:r>
          </w:p>
        </w:tc>
        <w:tc>
          <w:tcPr>
            <w:tcW w:w="4340" w:type="dxa"/>
            <w:vAlign w:val="center"/>
          </w:tcPr>
          <w:p>
            <w:pPr>
              <w:pStyle w:val="8"/>
              <w:ind w:firstLine="0"/>
              <w:jc w:val="center"/>
              <w:rPr>
                <w:rFonts w:hint="default" w:ascii="宋体" w:hAnsi="宋体" w:cs="宋体"/>
                <w:sz w:val="21"/>
                <w:szCs w:val="21"/>
              </w:rPr>
            </w:pPr>
            <w:r>
              <w:rPr>
                <w:rFonts w:ascii="宋体" w:hAnsi="宋体" w:cs="宋体"/>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750" w:type="dxa"/>
            <w:vMerge w:val="continue"/>
            <w:vAlign w:val="center"/>
          </w:tcPr>
          <w:p>
            <w:pPr>
              <w:ind w:right="3"/>
              <w:jc w:val="center"/>
              <w:rPr>
                <w:rFonts w:hint="default" w:ascii="宋体" w:hAnsi="宋体" w:cs="宋体"/>
                <w:spacing w:val="4"/>
                <w:szCs w:val="21"/>
              </w:rPr>
            </w:pPr>
          </w:p>
        </w:tc>
        <w:tc>
          <w:tcPr>
            <w:tcW w:w="1459" w:type="dxa"/>
            <w:vMerge w:val="continue"/>
            <w:vAlign w:val="center"/>
          </w:tcPr>
          <w:p>
            <w:pPr>
              <w:ind w:right="3"/>
              <w:jc w:val="center"/>
              <w:rPr>
                <w:rFonts w:hint="default" w:ascii="宋体" w:hAnsi="宋体" w:cs="宋体"/>
                <w:b/>
                <w:szCs w:val="21"/>
              </w:rPr>
            </w:pPr>
          </w:p>
        </w:tc>
        <w:tc>
          <w:tcPr>
            <w:tcW w:w="2465" w:type="dxa"/>
            <w:gridSpan w:val="2"/>
            <w:vAlign w:val="center"/>
          </w:tcPr>
          <w:p>
            <w:pPr>
              <w:pStyle w:val="8"/>
              <w:ind w:firstLine="0"/>
              <w:jc w:val="center"/>
              <w:rPr>
                <w:rFonts w:hint="default" w:ascii="宋体" w:hAnsi="宋体" w:cs="宋体"/>
                <w:sz w:val="21"/>
                <w:szCs w:val="21"/>
              </w:rPr>
            </w:pPr>
            <w:r>
              <w:rPr>
                <w:rFonts w:ascii="宋体" w:hAnsi="宋体" w:cs="宋体"/>
                <w:sz w:val="21"/>
                <w:szCs w:val="21"/>
              </w:rPr>
              <w:t>供应商资格</w:t>
            </w:r>
          </w:p>
        </w:tc>
        <w:tc>
          <w:tcPr>
            <w:tcW w:w="4340" w:type="dxa"/>
            <w:vAlign w:val="center"/>
          </w:tcPr>
          <w:p>
            <w:pPr>
              <w:pStyle w:val="8"/>
              <w:ind w:firstLine="0"/>
              <w:jc w:val="center"/>
              <w:rPr>
                <w:rFonts w:hint="default" w:ascii="宋体" w:hAnsi="宋体" w:cs="宋体"/>
                <w:sz w:val="21"/>
                <w:szCs w:val="21"/>
              </w:rPr>
            </w:pPr>
            <w:r>
              <w:rPr>
                <w:rFonts w:ascii="宋体" w:hAnsi="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50" w:type="dxa"/>
            <w:vMerge w:val="continue"/>
            <w:vAlign w:val="center"/>
          </w:tcPr>
          <w:p>
            <w:pPr>
              <w:ind w:right="3"/>
              <w:jc w:val="center"/>
              <w:rPr>
                <w:rFonts w:hint="default" w:ascii="宋体" w:hAnsi="宋体" w:cs="宋体"/>
                <w:spacing w:val="4"/>
                <w:szCs w:val="21"/>
              </w:rPr>
            </w:pPr>
          </w:p>
        </w:tc>
        <w:tc>
          <w:tcPr>
            <w:tcW w:w="1459" w:type="dxa"/>
            <w:vMerge w:val="continue"/>
            <w:vAlign w:val="center"/>
          </w:tcPr>
          <w:p>
            <w:pPr>
              <w:ind w:right="3"/>
              <w:jc w:val="center"/>
              <w:rPr>
                <w:rFonts w:hint="default" w:ascii="宋体" w:hAnsi="宋体" w:cs="宋体"/>
                <w:b/>
                <w:szCs w:val="21"/>
              </w:rPr>
            </w:pPr>
          </w:p>
        </w:tc>
        <w:tc>
          <w:tcPr>
            <w:tcW w:w="2465" w:type="dxa"/>
            <w:gridSpan w:val="2"/>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法定代表人授权委托书或法定代表人身份证明</w:t>
            </w:r>
          </w:p>
        </w:tc>
        <w:tc>
          <w:tcPr>
            <w:tcW w:w="4340" w:type="dxa"/>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750" w:type="dxa"/>
            <w:vMerge w:val="continue"/>
            <w:vAlign w:val="center"/>
          </w:tcPr>
          <w:p>
            <w:pPr>
              <w:ind w:right="3"/>
              <w:jc w:val="center"/>
              <w:rPr>
                <w:rFonts w:hint="default" w:ascii="宋体" w:hAnsi="宋体" w:cs="宋体"/>
                <w:szCs w:val="21"/>
              </w:rPr>
            </w:pPr>
          </w:p>
        </w:tc>
        <w:tc>
          <w:tcPr>
            <w:tcW w:w="1459" w:type="dxa"/>
            <w:vMerge w:val="continue"/>
            <w:vAlign w:val="center"/>
          </w:tcPr>
          <w:p>
            <w:pPr>
              <w:ind w:right="3"/>
              <w:jc w:val="center"/>
              <w:rPr>
                <w:rFonts w:hint="default" w:ascii="宋体" w:hAnsi="宋体" w:cs="宋体"/>
                <w:szCs w:val="21"/>
              </w:rPr>
            </w:pPr>
          </w:p>
        </w:tc>
        <w:tc>
          <w:tcPr>
            <w:tcW w:w="2465" w:type="dxa"/>
            <w:gridSpan w:val="2"/>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中小企业声明函</w:t>
            </w:r>
          </w:p>
        </w:tc>
        <w:tc>
          <w:tcPr>
            <w:tcW w:w="4340" w:type="dxa"/>
            <w:vAlign w:val="center"/>
          </w:tcPr>
          <w:p>
            <w:pPr>
              <w:pStyle w:val="8"/>
              <w:spacing w:line="320" w:lineRule="exact"/>
              <w:ind w:firstLine="0"/>
              <w:jc w:val="center"/>
              <w:rPr>
                <w:rFonts w:hint="default" w:ascii="宋体" w:hAnsi="宋体" w:cs="宋体"/>
                <w:bCs/>
                <w:sz w:val="21"/>
                <w:szCs w:val="21"/>
              </w:rPr>
            </w:pPr>
            <w:r>
              <w:rPr>
                <w:rFonts w:ascii="宋体" w:hAnsi="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750" w:type="dxa"/>
            <w:vMerge w:val="continue"/>
            <w:vAlign w:val="center"/>
          </w:tcPr>
          <w:p>
            <w:pPr>
              <w:ind w:right="3"/>
              <w:jc w:val="center"/>
              <w:rPr>
                <w:rFonts w:hint="default" w:ascii="宋体" w:hAnsi="宋体" w:cs="宋体"/>
                <w:szCs w:val="21"/>
              </w:rPr>
            </w:pPr>
          </w:p>
        </w:tc>
        <w:tc>
          <w:tcPr>
            <w:tcW w:w="1459" w:type="dxa"/>
            <w:vMerge w:val="continue"/>
            <w:vAlign w:val="center"/>
          </w:tcPr>
          <w:p>
            <w:pPr>
              <w:ind w:right="3"/>
              <w:jc w:val="center"/>
              <w:rPr>
                <w:rFonts w:hint="default" w:ascii="宋体" w:hAnsi="宋体" w:cs="宋体"/>
                <w:szCs w:val="21"/>
              </w:rPr>
            </w:pPr>
          </w:p>
        </w:tc>
        <w:tc>
          <w:tcPr>
            <w:tcW w:w="2465" w:type="dxa"/>
            <w:gridSpan w:val="2"/>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提供关于《中华人民共和国政府采购法》第二十二条规定的承诺函</w:t>
            </w:r>
          </w:p>
        </w:tc>
        <w:tc>
          <w:tcPr>
            <w:tcW w:w="4340" w:type="dxa"/>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50" w:type="dxa"/>
            <w:vMerge w:val="continue"/>
            <w:vAlign w:val="center"/>
          </w:tcPr>
          <w:p>
            <w:pPr>
              <w:ind w:right="3"/>
              <w:jc w:val="center"/>
              <w:rPr>
                <w:rFonts w:hint="default" w:ascii="宋体" w:hAnsi="宋体" w:cs="宋体"/>
                <w:szCs w:val="21"/>
              </w:rPr>
            </w:pPr>
          </w:p>
        </w:tc>
        <w:tc>
          <w:tcPr>
            <w:tcW w:w="1459" w:type="dxa"/>
            <w:vMerge w:val="continue"/>
            <w:vAlign w:val="center"/>
          </w:tcPr>
          <w:p>
            <w:pPr>
              <w:ind w:right="3"/>
              <w:jc w:val="center"/>
              <w:rPr>
                <w:rFonts w:hint="default" w:ascii="宋体" w:hAnsi="宋体" w:cs="宋体"/>
                <w:szCs w:val="21"/>
              </w:rPr>
            </w:pPr>
          </w:p>
        </w:tc>
        <w:tc>
          <w:tcPr>
            <w:tcW w:w="2465" w:type="dxa"/>
            <w:gridSpan w:val="2"/>
            <w:vAlign w:val="center"/>
          </w:tcPr>
          <w:p>
            <w:pPr>
              <w:pStyle w:val="8"/>
              <w:widowControl/>
              <w:spacing w:line="400" w:lineRule="exact"/>
              <w:ind w:firstLine="0"/>
              <w:jc w:val="center"/>
              <w:rPr>
                <w:rFonts w:hint="default" w:ascii="宋体" w:hAnsi="宋体" w:cs="宋体"/>
                <w:sz w:val="21"/>
                <w:szCs w:val="21"/>
              </w:rPr>
            </w:pPr>
            <w:r>
              <w:rPr>
                <w:rFonts w:ascii="宋体" w:hAnsi="宋体" w:cs="宋体"/>
                <w:sz w:val="21"/>
                <w:szCs w:val="21"/>
              </w:rPr>
              <w:t>未被“信用中国”、“中国政府采购网”、列入失信被执行人、重大违法案件当事人名单、政府采购严重违法失信行为记录名单。（以采购组织机构在开标当日在“信用中国”（www.creditchina.go</w:t>
            </w:r>
            <w:r>
              <w:rPr>
                <w:rFonts w:hint="eastAsia" w:ascii="宋体" w:hAnsi="宋体" w:cs="宋体"/>
                <w:sz w:val="21"/>
                <w:szCs w:val="21"/>
                <w:lang w:val="en-US" w:eastAsia="zh-CN"/>
              </w:rPr>
              <w:t>v</w:t>
            </w:r>
            <w:r>
              <w:rPr>
                <w:rFonts w:ascii="宋体" w:hAnsi="宋体" w:cs="宋体"/>
                <w:sz w:val="21"/>
                <w:szCs w:val="21"/>
              </w:rPr>
              <w:t>.cn）、中国政府采购网（www.ccgp.go</w:t>
            </w:r>
            <w:r>
              <w:rPr>
                <w:rFonts w:hint="eastAsia" w:ascii="宋体" w:hAnsi="宋体" w:cs="宋体"/>
                <w:sz w:val="21"/>
                <w:szCs w:val="21"/>
                <w:lang w:val="en-US" w:eastAsia="zh-CN"/>
              </w:rPr>
              <w:t>v</w:t>
            </w:r>
            <w:r>
              <w:rPr>
                <w:rFonts w:ascii="宋体" w:hAnsi="宋体" w:cs="宋体"/>
                <w:sz w:val="21"/>
                <w:szCs w:val="21"/>
              </w:rPr>
              <w:t>.cn）网页查询记录为准。）</w:t>
            </w:r>
          </w:p>
        </w:tc>
        <w:tc>
          <w:tcPr>
            <w:tcW w:w="4340" w:type="dxa"/>
            <w:vAlign w:val="center"/>
          </w:tcPr>
          <w:p>
            <w:pPr>
              <w:pStyle w:val="8"/>
              <w:widowControl/>
              <w:spacing w:line="400" w:lineRule="exact"/>
              <w:ind w:firstLine="0"/>
              <w:jc w:val="center"/>
              <w:rPr>
                <w:rFonts w:hint="default" w:ascii="宋体" w:hAnsi="宋体" w:cs="宋体"/>
                <w:sz w:val="21"/>
                <w:szCs w:val="21"/>
              </w:rPr>
            </w:pPr>
            <w:r>
              <w:rPr>
                <w:rFonts w:ascii="宋体" w:hAnsi="宋体" w:cs="宋体"/>
                <w:sz w:val="21"/>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750" w:type="dxa"/>
            <w:vMerge w:val="restart"/>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r>
              <w:rPr>
                <w:rFonts w:ascii="宋体" w:hAnsi="宋体" w:cs="宋体"/>
                <w:szCs w:val="21"/>
              </w:rPr>
              <w:t>2</w:t>
            </w:r>
          </w:p>
        </w:tc>
        <w:tc>
          <w:tcPr>
            <w:tcW w:w="1459" w:type="dxa"/>
            <w:vMerge w:val="restart"/>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b/>
                <w:bCs/>
                <w:kern w:val="28"/>
                <w:szCs w:val="21"/>
              </w:rPr>
            </w:pPr>
            <w:r>
              <w:rPr>
                <w:rFonts w:ascii="宋体" w:hAnsi="宋体" w:cs="宋体"/>
                <w:b/>
                <w:bCs/>
                <w:kern w:val="28"/>
                <w:szCs w:val="21"/>
              </w:rPr>
              <w:t>符合性</w:t>
            </w:r>
          </w:p>
          <w:p>
            <w:pPr>
              <w:ind w:right="3"/>
              <w:jc w:val="center"/>
              <w:rPr>
                <w:rFonts w:hint="default" w:ascii="宋体" w:hAnsi="宋体" w:cs="宋体"/>
                <w:b/>
                <w:szCs w:val="21"/>
              </w:rPr>
            </w:pPr>
            <w:r>
              <w:rPr>
                <w:rFonts w:ascii="宋体" w:hAnsi="宋体" w:cs="宋体"/>
                <w:b/>
                <w:bCs/>
                <w:kern w:val="28"/>
                <w:szCs w:val="21"/>
              </w:rPr>
              <w:t>检查</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default" w:ascii="宋体" w:hAnsi="宋体" w:cs="宋体"/>
                <w:sz w:val="21"/>
                <w:szCs w:val="21"/>
              </w:rPr>
            </w:pPr>
            <w:r>
              <w:rPr>
                <w:rFonts w:ascii="宋体" w:hAnsi="宋体" w:cs="宋体"/>
                <w:sz w:val="21"/>
                <w:szCs w:val="21"/>
              </w:rPr>
              <w:t>供应商名称</w:t>
            </w:r>
          </w:p>
        </w:tc>
        <w:tc>
          <w:tcPr>
            <w:tcW w:w="4340" w:type="dxa"/>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default" w:ascii="宋体" w:hAnsi="宋体" w:cs="宋体"/>
                <w:sz w:val="21"/>
                <w:szCs w:val="21"/>
              </w:rPr>
            </w:pPr>
            <w:r>
              <w:rPr>
                <w:rFonts w:ascii="宋体" w:hAnsi="宋体" w:cs="宋体"/>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rPr>
            </w:pPr>
            <w:r>
              <w:rPr>
                <w:rFonts w:ascii="宋体" w:hAnsi="宋体" w:cs="宋体"/>
                <w:szCs w:val="21"/>
              </w:rPr>
              <w:t>磋商响应函签字盖章</w:t>
            </w:r>
          </w:p>
        </w:tc>
        <w:tc>
          <w:tcPr>
            <w:tcW w:w="4340"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rPr>
            </w:pPr>
            <w:r>
              <w:rPr>
                <w:szCs w:val="21"/>
              </w:rPr>
              <w:t>有法定代表人或其授权代表签字</w:t>
            </w:r>
          </w:p>
          <w:p>
            <w:pPr>
              <w:jc w:val="center"/>
              <w:rPr>
                <w:rFonts w:hint="default"/>
                <w:szCs w:val="21"/>
              </w:rPr>
            </w:pPr>
            <w:r>
              <w:rPr>
                <w:szCs w:val="21"/>
              </w:rPr>
              <w:t>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rPr>
            </w:pPr>
            <w:r>
              <w:rPr>
                <w:rFonts w:ascii="宋体" w:hAnsi="宋体" w:cs="宋体"/>
                <w:szCs w:val="21"/>
              </w:rPr>
              <w:t>磋商响应文件格式</w:t>
            </w:r>
          </w:p>
        </w:tc>
        <w:tc>
          <w:tcPr>
            <w:tcW w:w="4340"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rPr>
            </w:pPr>
            <w:r>
              <w:rPr>
                <w:szCs w:val="21"/>
              </w:rPr>
              <w:t>符合第五部分“磋商响应文件格式”的要求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pStyle w:val="8"/>
              <w:spacing w:line="320" w:lineRule="exact"/>
              <w:ind w:firstLine="0"/>
              <w:jc w:val="center"/>
              <w:rPr>
                <w:rFonts w:hint="default" w:ascii="宋体" w:hAnsi="宋体" w:cs="宋体"/>
                <w:sz w:val="21"/>
                <w:szCs w:val="21"/>
              </w:rPr>
            </w:pPr>
            <w:r>
              <w:rPr>
                <w:rFonts w:ascii="宋体" w:hAnsi="宋体" w:cs="宋体"/>
                <w:sz w:val="21"/>
                <w:szCs w:val="21"/>
              </w:rPr>
              <w:t>磋商响应文件编制</w:t>
            </w:r>
          </w:p>
        </w:tc>
        <w:tc>
          <w:tcPr>
            <w:tcW w:w="4340"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rPr>
            </w:pPr>
            <w:r>
              <w:rPr>
                <w:szCs w:val="21"/>
              </w:rPr>
              <w:t>资格审查部分、商务技术部分和报价部分</w:t>
            </w:r>
          </w:p>
          <w:p>
            <w:pPr>
              <w:jc w:val="center"/>
              <w:rPr>
                <w:rFonts w:hint="default"/>
                <w:szCs w:val="21"/>
              </w:rPr>
            </w:pPr>
            <w:r>
              <w:rPr>
                <w:szCs w:val="21"/>
              </w:rPr>
              <w:t>三部分内容分开制作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rPr>
            </w:pPr>
            <w:r>
              <w:rPr>
                <w:rFonts w:ascii="宋体" w:hAnsi="宋体" w:cs="宋体"/>
                <w:szCs w:val="21"/>
              </w:rPr>
              <w:t>投标有效期</w:t>
            </w:r>
          </w:p>
        </w:tc>
        <w:tc>
          <w:tcPr>
            <w:tcW w:w="4340" w:type="dxa"/>
            <w:tcBorders>
              <w:top w:val="single" w:color="auto" w:sz="4" w:space="0"/>
              <w:left w:val="single" w:color="auto" w:sz="4" w:space="0"/>
              <w:bottom w:val="single" w:color="auto" w:sz="4" w:space="0"/>
              <w:right w:val="single" w:color="auto" w:sz="4" w:space="0"/>
            </w:tcBorders>
            <w:vAlign w:val="center"/>
          </w:tcPr>
          <w:p>
            <w:pPr>
              <w:jc w:val="center"/>
              <w:rPr>
                <w:rFonts w:hint="default"/>
                <w:szCs w:val="21"/>
              </w:rPr>
            </w:pPr>
            <w:r>
              <w:rPr>
                <w:szCs w:val="21"/>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ind w:right="3"/>
              <w:jc w:val="center"/>
              <w:rPr>
                <w:rFonts w:hint="default" w:ascii="宋体" w:hAnsi="宋体" w:cs="宋体"/>
                <w:szCs w:val="21"/>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pStyle w:val="8"/>
              <w:ind w:firstLine="0"/>
              <w:jc w:val="center"/>
              <w:rPr>
                <w:rFonts w:hint="default" w:ascii="宋体" w:hAnsi="宋体" w:cs="宋体"/>
                <w:sz w:val="21"/>
                <w:szCs w:val="21"/>
              </w:rPr>
            </w:pPr>
            <w:r>
              <w:rPr>
                <w:rFonts w:ascii="宋体" w:hAnsi="宋体" w:cs="宋体"/>
                <w:sz w:val="21"/>
                <w:szCs w:val="21"/>
              </w:rPr>
              <w:t>磋商响应文件</w:t>
            </w:r>
          </w:p>
          <w:p>
            <w:pPr>
              <w:pStyle w:val="8"/>
              <w:ind w:firstLine="0"/>
              <w:jc w:val="center"/>
              <w:rPr>
                <w:rFonts w:hint="default" w:ascii="宋体" w:hAnsi="宋体" w:cs="宋体"/>
                <w:sz w:val="21"/>
                <w:szCs w:val="21"/>
              </w:rPr>
            </w:pPr>
            <w:r>
              <w:rPr>
                <w:rFonts w:ascii="宋体" w:hAnsi="宋体" w:cs="宋体"/>
                <w:sz w:val="21"/>
                <w:szCs w:val="21"/>
              </w:rPr>
              <w:t>实质性内容</w:t>
            </w:r>
          </w:p>
        </w:tc>
        <w:tc>
          <w:tcPr>
            <w:tcW w:w="43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rPr>
            </w:pPr>
            <w:r>
              <w:rPr>
                <w:rFonts w:ascii="宋体" w:hAnsi="宋体" w:cs="宋体"/>
                <w:szCs w:val="21"/>
              </w:rPr>
              <w:t>实质性响应磋商文件要求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4"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default" w:ascii="宋体" w:hAnsi="宋体" w:cs="宋体"/>
                <w:szCs w:val="21"/>
              </w:rPr>
            </w:pPr>
            <w:r>
              <w:rPr>
                <w:rFonts w:ascii="宋体" w:hAnsi="宋体" w:cs="宋体"/>
                <w:szCs w:val="21"/>
              </w:rPr>
              <w:t>3</w:t>
            </w:r>
          </w:p>
        </w:tc>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default" w:ascii="宋体" w:hAnsi="宋体" w:cs="宋体"/>
                <w:b/>
                <w:szCs w:val="21"/>
              </w:rPr>
            </w:pPr>
            <w:r>
              <w:rPr>
                <w:rFonts w:ascii="宋体" w:hAnsi="宋体" w:cs="宋体"/>
                <w:b/>
                <w:szCs w:val="21"/>
              </w:rPr>
              <w:t>无效标</w:t>
            </w:r>
          </w:p>
          <w:p>
            <w:pPr>
              <w:spacing w:line="360" w:lineRule="exact"/>
              <w:ind w:right="3"/>
              <w:jc w:val="center"/>
              <w:rPr>
                <w:rFonts w:hint="default" w:ascii="宋体" w:hAnsi="宋体" w:cs="宋体"/>
                <w:b/>
                <w:szCs w:val="21"/>
              </w:rPr>
            </w:pPr>
            <w:r>
              <w:rPr>
                <w:rFonts w:ascii="宋体" w:hAnsi="宋体" w:cs="宋体"/>
                <w:b/>
                <w:szCs w:val="21"/>
              </w:rPr>
              <w:t>条款</w:t>
            </w:r>
          </w:p>
        </w:tc>
        <w:tc>
          <w:tcPr>
            <w:tcW w:w="680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rPr>
            </w:pPr>
            <w:r>
              <w:t>(1)</w:t>
            </w:r>
            <w:r>
              <w:rPr>
                <w:rFonts w:hint="eastAsia"/>
                <w:lang w:eastAsia="zh-CN"/>
              </w:rPr>
              <w:t>报价不是固定的或超过预算金额的或超过最高限价的</w:t>
            </w:r>
            <w:r>
              <w:t>；</w:t>
            </w:r>
          </w:p>
          <w:p>
            <w:pPr>
              <w:spacing w:line="360" w:lineRule="auto"/>
              <w:rPr>
                <w:rFonts w:hint="default"/>
              </w:rPr>
            </w:pPr>
            <w:r>
              <w:t>(2)未在报价时限内提交最后报价的；</w:t>
            </w:r>
          </w:p>
          <w:p>
            <w:pPr>
              <w:spacing w:line="360" w:lineRule="auto"/>
              <w:rPr>
                <w:rFonts w:hint="default"/>
              </w:rPr>
            </w:pPr>
            <w:r>
              <w:t>(3)磋商小组认为响应文件未实质性响应磋商文件的要求的；</w:t>
            </w:r>
          </w:p>
          <w:p>
            <w:pPr>
              <w:spacing w:line="360" w:lineRule="auto"/>
              <w:rPr>
                <w:rFonts w:hint="default"/>
              </w:rPr>
            </w:pPr>
            <w:r>
              <w:t>(4)报价不是固定的或超过最高限价的；</w:t>
            </w:r>
          </w:p>
          <w:p>
            <w:pPr>
              <w:spacing w:line="360" w:lineRule="auto"/>
              <w:rPr>
                <w:rFonts w:hint="default"/>
              </w:rPr>
            </w:pPr>
            <w:r>
              <w:t>(5)在报价评审中，发现价格计算有误，又不接受磋商小组修正的报价；</w:t>
            </w:r>
          </w:p>
          <w:p>
            <w:pPr>
              <w:spacing w:line="360" w:lineRule="auto"/>
              <w:rPr>
                <w:rFonts w:hint="default"/>
              </w:rPr>
            </w:pPr>
            <w:r>
              <w:t>(6)不具备磋商文件中规定资格要求的；</w:t>
            </w:r>
          </w:p>
          <w:p>
            <w:pPr>
              <w:spacing w:line="360" w:lineRule="auto"/>
              <w:rPr>
                <w:rFonts w:hint="default"/>
              </w:rPr>
            </w:pPr>
            <w:r>
              <w:t>(7)未按规定提供关于满足《中华人民共和国政府采购法》第二十二条规定的承诺函的；</w:t>
            </w:r>
          </w:p>
          <w:p>
            <w:pPr>
              <w:spacing w:line="360" w:lineRule="auto"/>
              <w:rPr>
                <w:rFonts w:hint="default"/>
              </w:rPr>
            </w:pPr>
            <w:r>
              <w:t>(8)投标截止时间止，供应商仅递交了“备份响应文件”而未将电子加密投标文件上传至“政府采购云平台”的；</w:t>
            </w:r>
          </w:p>
          <w:p>
            <w:pPr>
              <w:spacing w:line="360" w:lineRule="auto"/>
              <w:rPr>
                <w:rFonts w:hint="default"/>
              </w:rPr>
            </w:pPr>
            <w:r>
              <w:t>(9)电子响应文件解密失败的，且未在规定时间内提交备份响应文件的；</w:t>
            </w:r>
          </w:p>
          <w:p>
            <w:pPr>
              <w:spacing w:line="360" w:lineRule="auto"/>
              <w:rPr>
                <w:rFonts w:hint="default"/>
              </w:rPr>
            </w:pPr>
            <w:r>
              <w:t>(10)未提供中小型企业声明函或磋商供应商不属于中小型企业的；</w:t>
            </w:r>
          </w:p>
          <w:p>
            <w:pPr>
              <w:spacing w:line="360" w:lineRule="auto"/>
              <w:rPr>
                <w:rFonts w:hint="default"/>
              </w:rPr>
            </w:pPr>
            <w:r>
              <w:t>(11)资格性审查、符合性审查不符合要求的；</w:t>
            </w:r>
          </w:p>
          <w:p>
            <w:pPr>
              <w:spacing w:line="360" w:lineRule="auto"/>
              <w:rPr>
                <w:rFonts w:hint="default"/>
              </w:rPr>
            </w:pPr>
            <w:r>
              <w:t>(12)存在串标、抬标或弄虚作假情况的；</w:t>
            </w:r>
          </w:p>
          <w:p>
            <w:pPr>
              <w:spacing w:line="360" w:lineRule="auto"/>
              <w:rPr>
                <w:rFonts w:hint="default"/>
              </w:rPr>
            </w:pPr>
            <w:r>
              <w:t xml:space="preserve">(13)磋商响应文件中需签字或盖章的地方未加盖磋商供应商单位全称的电子签章，或使用投标专用章、合同章等类似图章代替，或未经法定代表人或其委托代理人签字或盖章； </w:t>
            </w:r>
          </w:p>
          <w:p>
            <w:pPr>
              <w:spacing w:line="360" w:lineRule="auto"/>
              <w:rPr>
                <w:rFonts w:hint="default"/>
              </w:rPr>
            </w:pPr>
            <w:r>
              <w:t>(14)磋商响应文件存在一个或一个以上备选（替代）投标方案的；</w:t>
            </w:r>
          </w:p>
          <w:p>
            <w:pPr>
              <w:spacing w:line="360" w:lineRule="auto"/>
              <w:rPr>
                <w:rFonts w:hint="default"/>
              </w:rPr>
            </w:pPr>
            <w:r>
              <w:t>(15)在磋商结束前，磋商供应商发生重大变化或变更，未及时告知采购人或不再具备磋商文件规定的资格条件或者其投标影响招标公正性的；</w:t>
            </w:r>
          </w:p>
          <w:p>
            <w:pPr>
              <w:spacing w:line="360" w:lineRule="auto"/>
              <w:rPr>
                <w:rFonts w:hint="default"/>
              </w:rPr>
            </w:pPr>
            <w:r>
              <w:t>(16)磋商小组认为磋商供应商的报价明显低于其他通过符合性审查供应商的报价，有可能影响产品质量或者不能诚信履约的，应当要求其在规定时间内作出书面说明，必要时提交相关证明材料，供应商不能证明其报价合理性的；</w:t>
            </w:r>
          </w:p>
          <w:p>
            <w:pPr>
              <w:spacing w:line="360" w:lineRule="auto"/>
              <w:rPr>
                <w:rFonts w:hint="default"/>
              </w:rPr>
            </w:pPr>
            <w:r>
              <w:t>(17)不是法定代表人未在磋商响应文件中提供有效法定代表人授权委托书的；</w:t>
            </w:r>
          </w:p>
          <w:p>
            <w:pPr>
              <w:spacing w:line="360" w:lineRule="auto"/>
              <w:rPr>
                <w:rFonts w:hint="default"/>
              </w:rPr>
            </w:pPr>
            <w:r>
              <w:t>(18)被列入失信被执行人、重大税收违法案件当事人名单、政府采购严重违法失信行为记录名单的；</w:t>
            </w:r>
          </w:p>
          <w:p>
            <w:pPr>
              <w:spacing w:line="360" w:lineRule="auto"/>
              <w:rPr>
                <w:rFonts w:hint="default"/>
              </w:rPr>
            </w:pPr>
            <w:r>
              <w:t>(19)不符合法律、法规和磋商文件中规定的其他实质性要求的。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tcBorders>
              <w:top w:val="single" w:color="auto" w:sz="4" w:space="0"/>
            </w:tcBorders>
            <w:vAlign w:val="center"/>
          </w:tcPr>
          <w:p>
            <w:pPr>
              <w:spacing w:line="360" w:lineRule="exact"/>
              <w:jc w:val="center"/>
              <w:rPr>
                <w:rFonts w:hint="default" w:ascii="宋体" w:hAnsi="宋体" w:cs="宋体"/>
                <w:b/>
                <w:kern w:val="28"/>
                <w:szCs w:val="21"/>
              </w:rPr>
            </w:pPr>
            <w:r>
              <w:rPr>
                <w:rFonts w:ascii="宋体" w:hAnsi="宋体" w:cs="宋体"/>
                <w:b/>
                <w:kern w:val="28"/>
                <w:szCs w:val="21"/>
              </w:rPr>
              <w:t>序号</w:t>
            </w:r>
          </w:p>
        </w:tc>
        <w:tc>
          <w:tcPr>
            <w:tcW w:w="1459" w:type="dxa"/>
            <w:tcBorders>
              <w:top w:val="single" w:color="auto" w:sz="4" w:space="0"/>
            </w:tcBorders>
            <w:vAlign w:val="center"/>
          </w:tcPr>
          <w:p>
            <w:pPr>
              <w:spacing w:line="360" w:lineRule="exact"/>
              <w:jc w:val="center"/>
              <w:rPr>
                <w:rFonts w:hint="default" w:ascii="宋体" w:hAnsi="宋体" w:cs="宋体"/>
                <w:b/>
                <w:kern w:val="28"/>
                <w:szCs w:val="21"/>
              </w:rPr>
            </w:pPr>
            <w:r>
              <w:rPr>
                <w:rFonts w:ascii="宋体" w:hAnsi="宋体" w:cs="宋体"/>
                <w:b/>
                <w:kern w:val="28"/>
                <w:szCs w:val="21"/>
              </w:rPr>
              <w:t>评审内容及分值</w:t>
            </w:r>
          </w:p>
        </w:tc>
        <w:tc>
          <w:tcPr>
            <w:tcW w:w="6805" w:type="dxa"/>
            <w:gridSpan w:val="3"/>
            <w:tcBorders>
              <w:top w:val="single" w:color="auto" w:sz="4" w:space="0"/>
            </w:tcBorders>
            <w:vAlign w:val="center"/>
          </w:tcPr>
          <w:p>
            <w:pPr>
              <w:spacing w:line="360" w:lineRule="exact"/>
              <w:jc w:val="center"/>
              <w:rPr>
                <w:rFonts w:hint="default" w:ascii="宋体" w:hAnsi="宋体" w:cs="宋体"/>
                <w:b/>
                <w:kern w:val="28"/>
                <w:szCs w:val="21"/>
              </w:rPr>
            </w:pPr>
            <w:r>
              <w:rPr>
                <w:rFonts w:ascii="宋体" w:hAnsi="宋体" w:cs="宋体"/>
                <w:b/>
                <w:kern w:val="28"/>
                <w:szCs w:val="21"/>
              </w:rPr>
              <w:t>合计</w:t>
            </w:r>
            <w:r>
              <w:rPr>
                <w:rFonts w:hint="eastAsia" w:ascii="宋体" w:hAnsi="宋体" w:cs="宋体"/>
                <w:b/>
                <w:kern w:val="28"/>
                <w:szCs w:val="21"/>
                <w:lang w:val="en-US" w:eastAsia="zh-CN"/>
              </w:rPr>
              <w:t>2</w:t>
            </w:r>
            <w:r>
              <w:rPr>
                <w:rFonts w:ascii="宋体" w:hAnsi="宋体" w:cs="宋体"/>
                <w:b/>
                <w:kern w:val="28"/>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750" w:type="dxa"/>
            <w:vAlign w:val="center"/>
          </w:tcPr>
          <w:p>
            <w:pPr>
              <w:spacing w:line="400" w:lineRule="exact"/>
              <w:jc w:val="center"/>
              <w:rPr>
                <w:rFonts w:hint="default" w:ascii="宋体" w:hAnsi="宋体" w:cs="宋体"/>
                <w:bCs/>
                <w:kern w:val="28"/>
                <w:szCs w:val="21"/>
              </w:rPr>
            </w:pPr>
            <w:r>
              <w:rPr>
                <w:rFonts w:ascii="宋体" w:hAnsi="宋体" w:cs="宋体"/>
                <w:bCs/>
                <w:kern w:val="28"/>
                <w:szCs w:val="21"/>
              </w:rPr>
              <w:t>4</w:t>
            </w:r>
          </w:p>
        </w:tc>
        <w:tc>
          <w:tcPr>
            <w:tcW w:w="1459" w:type="dxa"/>
            <w:vAlign w:val="center"/>
          </w:tcPr>
          <w:p>
            <w:pPr>
              <w:spacing w:line="370" w:lineRule="exact"/>
              <w:jc w:val="center"/>
              <w:rPr>
                <w:rFonts w:hint="default" w:ascii="宋体" w:hAnsi="宋体" w:cs="宋体"/>
                <w:bCs/>
                <w:kern w:val="28"/>
                <w:szCs w:val="21"/>
              </w:rPr>
            </w:pPr>
            <w:r>
              <w:rPr>
                <w:rFonts w:ascii="宋体" w:hAnsi="宋体" w:cs="宋体"/>
                <w:b/>
                <w:kern w:val="28"/>
                <w:szCs w:val="21"/>
              </w:rPr>
              <w:t>报价分</w:t>
            </w:r>
          </w:p>
        </w:tc>
        <w:tc>
          <w:tcPr>
            <w:tcW w:w="6805" w:type="dxa"/>
            <w:gridSpan w:val="3"/>
            <w:vAlign w:val="center"/>
          </w:tcPr>
          <w:p>
            <w:pPr>
              <w:spacing w:line="360" w:lineRule="auto"/>
              <w:rPr>
                <w:rFonts w:hint="eastAsia" w:ascii="宋体" w:hAnsi="宋体" w:cs="Arial"/>
                <w:szCs w:val="21"/>
              </w:rPr>
            </w:pPr>
            <w:r>
              <w:rPr>
                <w:rFonts w:hint="eastAsia" w:ascii="宋体" w:hAnsi="宋体" w:cs="Arial"/>
                <w:szCs w:val="21"/>
              </w:rPr>
              <w:t>资格及符合性审查通过并且技术商务标合格的投标单位参加报价评分。</w:t>
            </w:r>
          </w:p>
          <w:p>
            <w:pPr>
              <w:spacing w:line="360" w:lineRule="auto"/>
              <w:rPr>
                <w:rFonts w:hint="default" w:ascii="宋体" w:hAnsi="宋体" w:cs="宋体"/>
                <w:bCs/>
                <w:kern w:val="28"/>
                <w:szCs w:val="21"/>
              </w:rPr>
            </w:pPr>
            <w:r>
              <w:rPr>
                <w:rFonts w:hint="eastAsia" w:ascii="宋体" w:hAnsi="宋体" w:cs="Arial"/>
                <w:szCs w:val="21"/>
              </w:rPr>
              <w:t>价格分统一采用低价优先法计算，即满足竞争性磋商文件要求且磋商价格最低的磋商报价(即评标价=投标报价)为评标基准价，其价格分为满分。其他供应商的价格分统一按照下列公式计算：磋商报价得分=（评标基准价/评标价）*价格权值*100。计算分数时四舍五入取小数点后两位。（价格权值指价格分值占总分值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14" w:type="dxa"/>
            <w:gridSpan w:val="5"/>
            <w:vAlign w:val="center"/>
          </w:tcPr>
          <w:p>
            <w:pPr>
              <w:spacing w:line="360" w:lineRule="auto"/>
              <w:rPr>
                <w:rFonts w:hint="default" w:ascii="宋体" w:hAnsi="宋体" w:cs="宋体"/>
                <w:bCs/>
                <w:kern w:val="28"/>
                <w:szCs w:val="21"/>
              </w:rPr>
            </w:pPr>
            <w:r>
              <w:rPr>
                <w:rFonts w:ascii="宋体" w:hAnsi="宋体" w:cs="宋体"/>
                <w:bCs/>
                <w:kern w:val="28"/>
                <w:szCs w:val="21"/>
              </w:rPr>
              <w:t>初审时发现价格计算有误，将按下述原则修正：</w:t>
            </w:r>
          </w:p>
          <w:p>
            <w:pPr>
              <w:widowControl/>
              <w:snapToGrid w:val="0"/>
              <w:spacing w:line="360" w:lineRule="auto"/>
              <w:rPr>
                <w:rFonts w:hint="default" w:ascii="宋体" w:hAnsi="宋体" w:cs="宋体"/>
                <w:szCs w:val="21"/>
              </w:rPr>
            </w:pPr>
            <w:r>
              <w:rPr>
                <w:rFonts w:ascii="宋体" w:hAnsi="宋体" w:cs="宋体"/>
                <w:szCs w:val="21"/>
              </w:rPr>
              <w:t>（1）报价文件上传的价格和报价一览表里填写的金额不一致时，以磋商供应商上传的报价文件为准，对磋商供应商的报价进行修正。</w:t>
            </w:r>
          </w:p>
          <w:p>
            <w:pPr>
              <w:widowControl/>
              <w:snapToGrid w:val="0"/>
              <w:spacing w:line="360" w:lineRule="auto"/>
              <w:rPr>
                <w:rFonts w:hint="default" w:ascii="宋体" w:hAnsi="宋体" w:cs="宋体"/>
                <w:szCs w:val="21"/>
              </w:rPr>
            </w:pPr>
            <w:r>
              <w:rPr>
                <w:rFonts w:ascii="宋体" w:hAnsi="宋体" w:cs="宋体"/>
                <w:szCs w:val="21"/>
              </w:rPr>
              <w:t>（2）大写金额和小写金额不一致的，以大写金额为准；</w:t>
            </w:r>
          </w:p>
          <w:p>
            <w:pPr>
              <w:widowControl/>
              <w:snapToGrid w:val="0"/>
              <w:spacing w:line="360" w:lineRule="auto"/>
              <w:rPr>
                <w:rFonts w:hint="default" w:ascii="宋体" w:hAnsi="宋体" w:cs="宋体"/>
                <w:szCs w:val="21"/>
              </w:rPr>
            </w:pPr>
            <w:r>
              <w:rPr>
                <w:rFonts w:ascii="宋体" w:hAnsi="宋体" w:cs="宋体"/>
                <w:szCs w:val="21"/>
              </w:rPr>
              <w:t>（3）单价金额小数点或者百分比有明显错位的，以最终报价一览表的总价为准，并修正单价；</w:t>
            </w:r>
          </w:p>
          <w:p>
            <w:pPr>
              <w:widowControl/>
              <w:snapToGrid w:val="0"/>
              <w:spacing w:line="360" w:lineRule="auto"/>
              <w:rPr>
                <w:rFonts w:hint="default" w:ascii="宋体" w:hAnsi="宋体" w:cs="宋体"/>
                <w:szCs w:val="21"/>
              </w:rPr>
            </w:pPr>
            <w:r>
              <w:rPr>
                <w:rFonts w:ascii="宋体" w:hAnsi="宋体" w:cs="宋体"/>
                <w:szCs w:val="21"/>
              </w:rPr>
              <w:t>（4）总价金额与按单价汇总金额不一致的，以单价金额计算结果为准。</w:t>
            </w:r>
          </w:p>
          <w:p>
            <w:pPr>
              <w:widowControl/>
              <w:snapToGrid w:val="0"/>
              <w:spacing w:line="360" w:lineRule="auto"/>
              <w:rPr>
                <w:rFonts w:hint="default" w:ascii="宋体" w:hAnsi="宋体" w:cs="宋体"/>
                <w:szCs w:val="21"/>
              </w:rPr>
            </w:pPr>
            <w:r>
              <w:rPr>
                <w:rFonts w:ascii="宋体" w:hAnsi="宋体" w:cs="宋体"/>
                <w:szCs w:val="21"/>
              </w:rPr>
              <w:t>（5）如以文字表示的数据与数字表示的有差别，以文字为准修正数字。</w:t>
            </w:r>
          </w:p>
          <w:p>
            <w:pPr>
              <w:widowControl/>
              <w:snapToGrid w:val="0"/>
              <w:spacing w:line="360" w:lineRule="auto"/>
              <w:rPr>
                <w:rFonts w:hint="default" w:ascii="宋体" w:hAnsi="宋体" w:cs="宋体"/>
                <w:szCs w:val="21"/>
              </w:rPr>
            </w:pPr>
            <w:r>
              <w:rPr>
                <w:rFonts w:ascii="宋体" w:hAnsi="宋体" w:cs="宋体"/>
                <w:szCs w:val="21"/>
              </w:rPr>
              <w:t>（6）开评标供应商在报价文件上传的价格和报价一览表里填写的金额不一致时，以供应商上传的报价文件为准，对磋商供应商的报价进行修正。</w:t>
            </w:r>
          </w:p>
          <w:p>
            <w:pPr>
              <w:widowControl/>
              <w:snapToGrid w:val="0"/>
              <w:spacing w:line="360" w:lineRule="auto"/>
              <w:rPr>
                <w:rFonts w:hint="default" w:ascii="宋体" w:hAnsi="宋体" w:cs="宋体"/>
                <w:szCs w:val="21"/>
              </w:rPr>
            </w:pPr>
            <w:r>
              <w:rPr>
                <w:rFonts w:ascii="宋体" w:hAnsi="宋体" w:cs="宋体"/>
                <w:szCs w:val="21"/>
                <w:u w:val="wave"/>
              </w:rPr>
              <w:t>（7）▲如磋商供应商缺漏项价格比例达到投标报价的5%（含）以上时，属于重大偏离，磋商小组将对其投标按无效标处理。</w:t>
            </w:r>
          </w:p>
          <w:p>
            <w:pPr>
              <w:widowControl/>
              <w:snapToGrid w:val="0"/>
              <w:spacing w:line="360" w:lineRule="auto"/>
              <w:rPr>
                <w:rFonts w:hint="default" w:ascii="宋体" w:hAnsi="宋体" w:cs="宋体"/>
                <w:szCs w:val="21"/>
              </w:rPr>
            </w:pPr>
            <w:r>
              <w:rPr>
                <w:rFonts w:ascii="宋体" w:hAnsi="宋体" w:cs="宋体"/>
                <w:szCs w:val="21"/>
              </w:rPr>
              <w:t xml:space="preserve">（8）如磋商供应商的磋商响应文件前后矛盾，磋商小组会将作出不利于磋商供应商的修正。 </w:t>
            </w:r>
          </w:p>
          <w:p>
            <w:pPr>
              <w:spacing w:line="360" w:lineRule="auto"/>
              <w:rPr>
                <w:rFonts w:hint="default" w:ascii="宋体" w:hAnsi="宋体" w:cs="宋体"/>
                <w:bCs/>
                <w:kern w:val="28"/>
                <w:szCs w:val="21"/>
              </w:rPr>
            </w:pPr>
            <w:r>
              <w:rPr>
                <w:rFonts w:ascii="宋体" w:hAnsi="宋体" w:cs="宋体"/>
                <w:bCs/>
                <w:kern w:val="28"/>
                <w:szCs w:val="21"/>
              </w:rPr>
              <w:t>注：（1）~（6）同时出现两种以上不一致的，按照前款规定的顺序修正。修正后的报价按照相关法律规定经磋商供应商确认后产生约束力，磋商供应商在规定时间内不确认的，其磋商响应文件作无效处理。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default" w:ascii="宋体" w:hAnsi="宋体" w:cs="宋体"/>
                <w:b/>
                <w:szCs w:val="21"/>
              </w:rPr>
            </w:pPr>
            <w:r>
              <w:rPr>
                <w:rFonts w:ascii="宋体" w:hAnsi="宋体" w:cs="宋体"/>
                <w:b/>
                <w:szCs w:val="21"/>
              </w:rPr>
              <w:t>5</w:t>
            </w:r>
          </w:p>
        </w:tc>
        <w:tc>
          <w:tcPr>
            <w:tcW w:w="1459" w:type="dxa"/>
            <w:tcBorders>
              <w:top w:val="single" w:color="auto" w:sz="4" w:space="0"/>
              <w:left w:val="single" w:color="auto" w:sz="4" w:space="0"/>
              <w:bottom w:val="single" w:color="auto" w:sz="4" w:space="0"/>
              <w:right w:val="single" w:color="auto" w:sz="4" w:space="0"/>
            </w:tcBorders>
            <w:vAlign w:val="center"/>
          </w:tcPr>
          <w:p>
            <w:pPr>
              <w:spacing w:line="360" w:lineRule="exact"/>
              <w:ind w:right="3"/>
              <w:jc w:val="center"/>
              <w:rPr>
                <w:rFonts w:hint="default" w:ascii="宋体" w:hAnsi="宋体" w:cs="宋体"/>
                <w:b/>
                <w:szCs w:val="21"/>
              </w:rPr>
            </w:pPr>
            <w:r>
              <w:rPr>
                <w:rFonts w:ascii="宋体" w:hAnsi="宋体" w:cs="宋体"/>
                <w:b/>
                <w:szCs w:val="21"/>
              </w:rPr>
              <w:t>商务技术</w:t>
            </w:r>
          </w:p>
          <w:p>
            <w:pPr>
              <w:spacing w:line="360" w:lineRule="exact"/>
              <w:ind w:right="3"/>
              <w:jc w:val="center"/>
              <w:rPr>
                <w:rFonts w:hint="default" w:ascii="宋体" w:hAnsi="宋体" w:cs="宋体"/>
                <w:b/>
                <w:szCs w:val="21"/>
              </w:rPr>
            </w:pPr>
            <w:r>
              <w:rPr>
                <w:rFonts w:ascii="宋体" w:hAnsi="宋体" w:cs="宋体"/>
                <w:b/>
                <w:szCs w:val="21"/>
              </w:rPr>
              <w:t>评分</w:t>
            </w:r>
          </w:p>
        </w:tc>
        <w:tc>
          <w:tcPr>
            <w:tcW w:w="6805" w:type="dxa"/>
            <w:gridSpan w:val="3"/>
            <w:tcBorders>
              <w:top w:val="single" w:color="auto" w:sz="4" w:space="0"/>
              <w:left w:val="single" w:color="auto" w:sz="4" w:space="0"/>
              <w:bottom w:val="single" w:color="auto" w:sz="4" w:space="0"/>
              <w:right w:val="single" w:color="auto" w:sz="4" w:space="0"/>
            </w:tcBorders>
            <w:vAlign w:val="center"/>
          </w:tcPr>
          <w:p>
            <w:pPr>
              <w:tabs>
                <w:tab w:val="left" w:pos="993"/>
                <w:tab w:val="left" w:pos="1276"/>
              </w:tabs>
              <w:spacing w:line="360" w:lineRule="exact"/>
              <w:jc w:val="center"/>
              <w:rPr>
                <w:rFonts w:hint="default" w:ascii="宋体" w:hAnsi="宋体" w:cs="宋体"/>
                <w:b/>
                <w:szCs w:val="21"/>
              </w:rPr>
            </w:pPr>
            <w:r>
              <w:rPr>
                <w:rFonts w:ascii="宋体" w:hAnsi="宋体" w:cs="宋体"/>
                <w:b/>
                <w:szCs w:val="21"/>
              </w:rPr>
              <w:t>合计</w:t>
            </w:r>
            <w:r>
              <w:rPr>
                <w:rFonts w:hint="eastAsia" w:ascii="宋体" w:hAnsi="宋体" w:cs="宋体"/>
                <w:b/>
                <w:szCs w:val="21"/>
                <w:lang w:val="en-US" w:eastAsia="zh-CN"/>
              </w:rPr>
              <w:t>8</w:t>
            </w:r>
            <w:r>
              <w:rPr>
                <w:rFonts w:ascii="宋体" w:hAnsi="宋体" w:cs="宋体"/>
                <w:b/>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50" w:type="dxa"/>
            <w:vAlign w:val="center"/>
          </w:tcPr>
          <w:p>
            <w:pPr>
              <w:spacing w:line="360" w:lineRule="exact"/>
              <w:ind w:left="-50"/>
              <w:jc w:val="center"/>
              <w:rPr>
                <w:rFonts w:hint="default" w:ascii="宋体" w:hAnsi="宋体" w:cs="宋体"/>
                <w:snapToGrid w:val="0"/>
                <w:szCs w:val="21"/>
              </w:rPr>
            </w:pPr>
          </w:p>
        </w:tc>
        <w:tc>
          <w:tcPr>
            <w:tcW w:w="1459" w:type="dxa"/>
            <w:vAlign w:val="center"/>
          </w:tcPr>
          <w:p>
            <w:pPr>
              <w:spacing w:line="360" w:lineRule="exact"/>
              <w:ind w:left="-50"/>
              <w:jc w:val="center"/>
              <w:rPr>
                <w:rFonts w:hint="default" w:ascii="宋体" w:hAnsi="宋体" w:cs="宋体"/>
                <w:b/>
                <w:bCs/>
                <w:snapToGrid w:val="0"/>
                <w:szCs w:val="21"/>
              </w:rPr>
            </w:pPr>
            <w:r>
              <w:rPr>
                <w:rFonts w:ascii="宋体" w:hAnsi="宋体" w:cs="宋体"/>
                <w:b/>
                <w:bCs/>
                <w:snapToGrid w:val="0"/>
                <w:szCs w:val="21"/>
              </w:rPr>
              <w:t>评分内容</w:t>
            </w:r>
          </w:p>
        </w:tc>
        <w:tc>
          <w:tcPr>
            <w:tcW w:w="914" w:type="dxa"/>
            <w:vAlign w:val="center"/>
          </w:tcPr>
          <w:p>
            <w:pPr>
              <w:spacing w:line="360" w:lineRule="exact"/>
              <w:ind w:left="-50"/>
              <w:jc w:val="center"/>
              <w:rPr>
                <w:rFonts w:hint="default" w:ascii="宋体" w:hAnsi="宋体" w:cs="宋体"/>
                <w:b/>
                <w:bCs/>
                <w:snapToGrid w:val="0"/>
                <w:szCs w:val="21"/>
              </w:rPr>
            </w:pPr>
            <w:r>
              <w:rPr>
                <w:rFonts w:ascii="宋体" w:hAnsi="宋体" w:cs="宋体"/>
                <w:b/>
                <w:bCs/>
                <w:snapToGrid w:val="0"/>
                <w:szCs w:val="21"/>
              </w:rPr>
              <w:t>分数值</w:t>
            </w:r>
          </w:p>
        </w:tc>
        <w:tc>
          <w:tcPr>
            <w:tcW w:w="5891" w:type="dxa"/>
            <w:gridSpan w:val="2"/>
            <w:vAlign w:val="center"/>
          </w:tcPr>
          <w:p>
            <w:pPr>
              <w:spacing w:line="360" w:lineRule="exact"/>
              <w:ind w:left="-50"/>
              <w:jc w:val="center"/>
              <w:rPr>
                <w:rFonts w:hint="default" w:ascii="宋体" w:hAnsi="宋体" w:cs="宋体"/>
                <w:snapToGrid w:val="0"/>
                <w:szCs w:val="21"/>
              </w:rPr>
            </w:pPr>
            <w:r>
              <w:rPr>
                <w:rFonts w:ascii="宋体" w:hAnsi="宋体" w:cs="宋体"/>
                <w:b/>
                <w:bCs/>
                <w:szCs w:val="21"/>
              </w:rPr>
              <w:t>评定原则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750" w:type="dxa"/>
            <w:vAlign w:val="center"/>
          </w:tcPr>
          <w:p>
            <w:pPr>
              <w:spacing w:line="360" w:lineRule="exact"/>
              <w:jc w:val="center"/>
              <w:rPr>
                <w:rFonts w:hint="default" w:ascii="宋体" w:hAnsi="宋体" w:cs="宋体"/>
                <w:snapToGrid w:val="0"/>
                <w:szCs w:val="21"/>
              </w:rPr>
            </w:pPr>
            <w:r>
              <w:rPr>
                <w:rFonts w:ascii="宋体" w:hAnsi="宋体" w:cs="宋体"/>
                <w:snapToGrid w:val="0"/>
                <w:szCs w:val="21"/>
              </w:rPr>
              <w:t>5.1</w:t>
            </w:r>
          </w:p>
        </w:tc>
        <w:tc>
          <w:tcPr>
            <w:tcW w:w="1459" w:type="dxa"/>
            <w:vAlign w:val="center"/>
          </w:tcPr>
          <w:p>
            <w:pPr>
              <w:spacing w:line="360" w:lineRule="exact"/>
              <w:jc w:val="center"/>
              <w:rPr>
                <w:rFonts w:hint="default" w:ascii="宋体" w:hAnsi="宋体" w:cs="宋体"/>
                <w:snapToGrid w:val="0"/>
                <w:szCs w:val="21"/>
              </w:rPr>
            </w:pPr>
            <w:r>
              <w:rPr>
                <w:rFonts w:ascii="新宋体" w:hAnsi="新宋体" w:eastAsia="新宋体" w:cs="Arial Black"/>
                <w:snapToGrid w:val="0"/>
                <w:szCs w:val="21"/>
              </w:rPr>
              <w:t>磋商供应商业绩</w:t>
            </w:r>
          </w:p>
        </w:tc>
        <w:tc>
          <w:tcPr>
            <w:tcW w:w="914" w:type="dxa"/>
            <w:vAlign w:val="center"/>
          </w:tcPr>
          <w:p>
            <w:pPr>
              <w:spacing w:line="360" w:lineRule="exact"/>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2</w:t>
            </w:r>
            <w:r>
              <w:rPr>
                <w:rFonts w:ascii="宋体" w:hAnsi="宋体" w:cs="宋体"/>
                <w:snapToGrid w:val="0"/>
                <w:szCs w:val="21"/>
              </w:rPr>
              <w:t>分</w:t>
            </w:r>
          </w:p>
        </w:tc>
        <w:tc>
          <w:tcPr>
            <w:tcW w:w="5891" w:type="dxa"/>
            <w:gridSpan w:val="2"/>
            <w:vAlign w:val="center"/>
          </w:tcPr>
          <w:p>
            <w:pPr>
              <w:spacing w:line="276" w:lineRule="auto"/>
              <w:jc w:val="left"/>
              <w:rPr>
                <w:rFonts w:hint="default" w:ascii="新宋体" w:hAnsi="新宋体" w:eastAsia="新宋体" w:cs="Arial Black"/>
                <w:snapToGrid w:val="0"/>
                <w:szCs w:val="21"/>
              </w:rPr>
            </w:pPr>
            <w:r>
              <w:rPr>
                <w:rFonts w:ascii="新宋体" w:hAnsi="新宋体" w:eastAsia="新宋体" w:cs="Arial Black"/>
                <w:snapToGrid w:val="0"/>
                <w:szCs w:val="21"/>
              </w:rPr>
              <w:t>磋商供应商自2020年1月1日以来类似项目业绩的证明材料，提供一个得</w:t>
            </w:r>
            <w:r>
              <w:rPr>
                <w:rFonts w:hint="eastAsia" w:ascii="新宋体" w:hAnsi="新宋体" w:eastAsia="新宋体" w:cs="Arial Black"/>
                <w:snapToGrid w:val="0"/>
                <w:szCs w:val="21"/>
                <w:lang w:val="en-US" w:eastAsia="zh-CN"/>
              </w:rPr>
              <w:t>1</w:t>
            </w:r>
            <w:r>
              <w:rPr>
                <w:rFonts w:ascii="新宋体" w:hAnsi="新宋体" w:eastAsia="新宋体" w:cs="Arial Black"/>
                <w:snapToGrid w:val="0"/>
                <w:szCs w:val="21"/>
              </w:rPr>
              <w:t>分，最高得分</w:t>
            </w:r>
            <w:r>
              <w:rPr>
                <w:rFonts w:hint="eastAsia" w:ascii="新宋体" w:hAnsi="新宋体" w:eastAsia="新宋体" w:cs="Arial Black"/>
                <w:snapToGrid w:val="0"/>
                <w:szCs w:val="21"/>
                <w:lang w:val="en-US" w:eastAsia="zh-CN"/>
              </w:rPr>
              <w:t>2</w:t>
            </w:r>
            <w:r>
              <w:rPr>
                <w:rFonts w:ascii="新宋体" w:hAnsi="新宋体" w:eastAsia="新宋体" w:cs="Arial Black"/>
                <w:snapToGrid w:val="0"/>
                <w:szCs w:val="21"/>
              </w:rPr>
              <w:t>分。</w:t>
            </w:r>
          </w:p>
          <w:p>
            <w:pPr>
              <w:spacing w:line="360" w:lineRule="exact"/>
              <w:ind w:left="-50"/>
              <w:jc w:val="left"/>
              <w:rPr>
                <w:rFonts w:hint="default" w:ascii="宋体" w:hAnsi="宋体" w:cs="宋体"/>
                <w:b/>
                <w:bCs/>
                <w:szCs w:val="21"/>
              </w:rPr>
            </w:pPr>
            <w:r>
              <w:rPr>
                <w:rFonts w:ascii="新宋体" w:hAnsi="新宋体" w:eastAsia="新宋体" w:cs="Arial Black"/>
                <w:b/>
                <w:bCs/>
                <w:snapToGrid w:val="0"/>
                <w:szCs w:val="21"/>
              </w:rPr>
              <w:t>（业绩有效性认定：提供2020年1月1日以来的中标通知书和合同扫描件并加盖公章，或者提供合同和发票扫描件并加盖公章；业绩认定时间以合同的签订时间为准。）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50" w:type="dxa"/>
            <w:vAlign w:val="center"/>
          </w:tcPr>
          <w:p>
            <w:pPr>
              <w:spacing w:line="360" w:lineRule="exact"/>
              <w:jc w:val="center"/>
              <w:rPr>
                <w:rFonts w:hint="default" w:ascii="宋体" w:hAnsi="宋体" w:cs="宋体"/>
                <w:snapToGrid w:val="0"/>
                <w:szCs w:val="21"/>
              </w:rPr>
            </w:pPr>
            <w:r>
              <w:rPr>
                <w:rFonts w:ascii="宋体" w:hAnsi="宋体" w:cs="宋体"/>
                <w:snapToGrid w:val="0"/>
                <w:szCs w:val="21"/>
              </w:rPr>
              <w:t>5.2</w:t>
            </w:r>
          </w:p>
        </w:tc>
        <w:tc>
          <w:tcPr>
            <w:tcW w:w="1459" w:type="dxa"/>
            <w:vAlign w:val="center"/>
          </w:tcPr>
          <w:p>
            <w:pPr>
              <w:spacing w:line="360" w:lineRule="exact"/>
              <w:jc w:val="center"/>
              <w:rPr>
                <w:rFonts w:hint="default" w:ascii="新宋体" w:hAnsi="新宋体" w:eastAsia="新宋体" w:cs="Arial Black"/>
                <w:snapToGrid w:val="0"/>
                <w:szCs w:val="21"/>
              </w:rPr>
            </w:pPr>
            <w:r>
              <w:rPr>
                <w:rFonts w:ascii="宋体" w:hAnsi="宋体" w:cs="宋体"/>
                <w:bCs/>
                <w:kern w:val="28"/>
                <w:szCs w:val="21"/>
              </w:rPr>
              <w:t>证书情况</w:t>
            </w:r>
          </w:p>
        </w:tc>
        <w:tc>
          <w:tcPr>
            <w:tcW w:w="914" w:type="dxa"/>
            <w:vAlign w:val="center"/>
          </w:tcPr>
          <w:p>
            <w:pPr>
              <w:spacing w:line="360" w:lineRule="exact"/>
              <w:jc w:val="center"/>
              <w:rPr>
                <w:rFonts w:hint="default" w:ascii="宋体" w:hAnsi="宋体" w:cs="宋体"/>
                <w:snapToGrid w:val="0"/>
                <w:szCs w:val="21"/>
              </w:rPr>
            </w:pPr>
            <w:r>
              <w:rPr>
                <w:rFonts w:ascii="宋体" w:hAnsi="宋体" w:cs="宋体"/>
                <w:snapToGrid w:val="0"/>
                <w:szCs w:val="21"/>
              </w:rPr>
              <w:t>0-3分</w:t>
            </w:r>
          </w:p>
        </w:tc>
        <w:tc>
          <w:tcPr>
            <w:tcW w:w="5891" w:type="dxa"/>
            <w:gridSpan w:val="2"/>
            <w:vAlign w:val="center"/>
          </w:tcPr>
          <w:p>
            <w:pPr>
              <w:widowControl/>
              <w:spacing w:line="360" w:lineRule="auto"/>
              <w:jc w:val="left"/>
              <w:rPr>
                <w:rFonts w:hint="default" w:ascii="宋体" w:hAnsi="宋体" w:cs="宋体"/>
                <w:szCs w:val="21"/>
              </w:rPr>
            </w:pPr>
            <w:r>
              <w:rPr>
                <w:rFonts w:ascii="宋体" w:hAnsi="宋体" w:cs="宋体"/>
                <w:szCs w:val="21"/>
              </w:rPr>
              <w:t>供应商提供有效的质量管理体系认证证书、环境管理体系认证证书、职业健康安全管理体系认证证书，每提供一</w:t>
            </w:r>
            <w:r>
              <w:rPr>
                <w:rFonts w:hint="eastAsia" w:ascii="宋体" w:hAnsi="宋体" w:cs="宋体"/>
                <w:szCs w:val="21"/>
                <w:lang w:val="en-US" w:eastAsia="zh-CN"/>
              </w:rPr>
              <w:t>项</w:t>
            </w:r>
            <w:r>
              <w:rPr>
                <w:rFonts w:ascii="宋体" w:hAnsi="宋体" w:cs="宋体"/>
                <w:szCs w:val="21"/>
              </w:rPr>
              <w:t>得1分，最高得3分。</w:t>
            </w:r>
          </w:p>
          <w:p>
            <w:pPr>
              <w:widowControl/>
              <w:spacing w:line="360" w:lineRule="auto"/>
              <w:jc w:val="left"/>
              <w:rPr>
                <w:rFonts w:hint="default" w:ascii="宋体" w:hAnsi="宋体" w:cs="宋体"/>
                <w:b/>
                <w:snapToGrid w:val="0"/>
                <w:szCs w:val="21"/>
              </w:rPr>
            </w:pPr>
            <w:r>
              <w:rPr>
                <w:rFonts w:ascii="宋体" w:hAnsi="宋体" w:cs="宋体"/>
                <w:b/>
                <w:snapToGrid w:val="0"/>
                <w:szCs w:val="21"/>
              </w:rPr>
              <w:t>注：有效性认定：须提供以上证书扫描件加盖单位公章，并在全国认证认可信息公共服务平台</w:t>
            </w:r>
          </w:p>
          <w:p>
            <w:pPr>
              <w:spacing w:line="360" w:lineRule="auto"/>
              <w:ind w:left="-50"/>
              <w:jc w:val="left"/>
              <w:rPr>
                <w:rFonts w:hint="default" w:ascii="新宋体" w:hAnsi="新宋体" w:eastAsia="新宋体" w:cs="Arial Black"/>
                <w:b/>
                <w:bCs/>
                <w:snapToGrid w:val="0"/>
                <w:szCs w:val="21"/>
              </w:rPr>
            </w:pPr>
            <w:r>
              <w:rPr>
                <w:rFonts w:ascii="宋体" w:hAnsi="宋体" w:cs="宋体"/>
                <w:b/>
                <w:snapToGrid w:val="0"/>
                <w:szCs w:val="21"/>
              </w:rPr>
              <w:t>(http://cx.cnca.cn/CertECloud/result/skipResultList）查询到相关证书信息，否则不得分；以开标当日核实的查询结果为准。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50" w:type="dxa"/>
            <w:vMerge w:val="restart"/>
            <w:vAlign w:val="center"/>
          </w:tcPr>
          <w:p>
            <w:pPr>
              <w:spacing w:line="360" w:lineRule="exact"/>
              <w:jc w:val="center"/>
              <w:rPr>
                <w:rFonts w:hint="default" w:ascii="宋体" w:hAnsi="宋体" w:eastAsia="宋体" w:cs="宋体"/>
                <w:snapToGrid w:val="0"/>
                <w:szCs w:val="21"/>
                <w:lang w:val="en-US" w:eastAsia="zh-CN"/>
              </w:rPr>
            </w:pPr>
            <w:r>
              <w:rPr>
                <w:rFonts w:hint="eastAsia" w:ascii="宋体" w:hAnsi="宋体" w:cs="宋体"/>
                <w:snapToGrid w:val="0"/>
                <w:szCs w:val="21"/>
                <w:lang w:val="en-US" w:eastAsia="zh-CN"/>
              </w:rPr>
              <w:t>5.3</w:t>
            </w:r>
          </w:p>
        </w:tc>
        <w:tc>
          <w:tcPr>
            <w:tcW w:w="1459" w:type="dxa"/>
            <w:vMerge w:val="restart"/>
            <w:vAlign w:val="center"/>
          </w:tcPr>
          <w:p>
            <w:pPr>
              <w:spacing w:line="360" w:lineRule="exact"/>
              <w:jc w:val="center"/>
              <w:rPr>
                <w:rFonts w:ascii="宋体" w:hAnsi="宋体" w:cs="宋体"/>
                <w:bCs/>
                <w:kern w:val="28"/>
                <w:szCs w:val="21"/>
              </w:rPr>
            </w:pPr>
            <w:r>
              <w:rPr>
                <w:rFonts w:hint="eastAsia" w:ascii="新宋体" w:hAnsi="新宋体" w:eastAsia="新宋体" w:cs="Arial Black"/>
                <w:snapToGrid w:val="0"/>
                <w:szCs w:val="21"/>
                <w:highlight w:val="none"/>
              </w:rPr>
              <w:t>拟投入本项目负责人情况</w:t>
            </w:r>
            <w:r>
              <w:rPr>
                <w:rFonts w:hint="eastAsia" w:ascii="新宋体" w:hAnsi="新宋体" w:eastAsia="新宋体" w:cs="Arial Black"/>
                <w:snapToGrid w:val="0"/>
                <w:szCs w:val="21"/>
                <w:highlight w:val="none"/>
                <w:lang w:eastAsia="zh-CN"/>
              </w:rPr>
              <w:t>（</w:t>
            </w:r>
            <w:r>
              <w:rPr>
                <w:rFonts w:hint="eastAsia" w:ascii="新宋体" w:hAnsi="新宋体" w:eastAsia="新宋体" w:cs="Arial Black"/>
                <w:snapToGrid w:val="0"/>
                <w:szCs w:val="21"/>
                <w:highlight w:val="none"/>
                <w:lang w:val="en-US" w:eastAsia="zh-CN"/>
              </w:rPr>
              <w:t>年龄在18周岁至50周岁之间</w:t>
            </w:r>
            <w:r>
              <w:rPr>
                <w:rFonts w:hint="eastAsia" w:ascii="新宋体" w:hAnsi="新宋体" w:eastAsia="新宋体" w:cs="Arial Black"/>
                <w:snapToGrid w:val="0"/>
                <w:szCs w:val="21"/>
                <w:highlight w:val="none"/>
                <w:lang w:eastAsia="zh-CN"/>
              </w:rPr>
              <w:t>）</w:t>
            </w:r>
          </w:p>
        </w:tc>
        <w:tc>
          <w:tcPr>
            <w:tcW w:w="914" w:type="dxa"/>
            <w:vMerge w:val="restart"/>
            <w:vAlign w:val="center"/>
          </w:tcPr>
          <w:p>
            <w:pPr>
              <w:spacing w:line="360" w:lineRule="exact"/>
              <w:jc w:val="center"/>
              <w:rPr>
                <w:rFonts w:hint="default" w:ascii="宋体" w:hAnsi="宋体" w:eastAsia="宋体" w:cs="宋体"/>
                <w:snapToGrid w:val="0"/>
                <w:szCs w:val="21"/>
                <w:lang w:val="en-US" w:eastAsia="zh-CN"/>
              </w:rPr>
            </w:pPr>
            <w:r>
              <w:rPr>
                <w:rFonts w:hint="eastAsia" w:ascii="宋体" w:hAnsi="宋体" w:cs="宋体"/>
                <w:snapToGrid w:val="0"/>
                <w:szCs w:val="21"/>
                <w:lang w:val="en-US" w:eastAsia="zh-CN"/>
              </w:rPr>
              <w:t>0-8分</w:t>
            </w:r>
          </w:p>
        </w:tc>
        <w:tc>
          <w:tcPr>
            <w:tcW w:w="5891" w:type="dxa"/>
            <w:gridSpan w:val="2"/>
            <w:vAlign w:val="center"/>
          </w:tcPr>
          <w:p>
            <w:pPr>
              <w:bidi w:val="0"/>
              <w:spacing w:line="360" w:lineRule="auto"/>
              <w:rPr>
                <w:rFonts w:hint="eastAsia"/>
                <w:highlight w:val="none"/>
                <w:lang w:val="en-US" w:eastAsia="zh-CN"/>
              </w:rPr>
            </w:pPr>
            <w:r>
              <w:rPr>
                <w:rFonts w:hint="eastAsia"/>
                <w:highlight w:val="none"/>
                <w:lang w:eastAsia="zh-CN"/>
              </w:rPr>
              <w:t>拟派</w:t>
            </w:r>
            <w:r>
              <w:rPr>
                <w:rFonts w:hint="eastAsia"/>
                <w:highlight w:val="none"/>
              </w:rPr>
              <w:t>项目负责人</w:t>
            </w:r>
            <w:r>
              <w:rPr>
                <w:rFonts w:hint="eastAsia"/>
                <w:highlight w:val="none"/>
                <w:lang w:val="en-US" w:eastAsia="zh-CN"/>
              </w:rPr>
              <w:t>具有二级及以上建造师执业资格证书的得2分。</w:t>
            </w:r>
          </w:p>
          <w:p>
            <w:pPr>
              <w:bidi w:val="0"/>
              <w:spacing w:line="360" w:lineRule="auto"/>
              <w:rPr>
                <w:rFonts w:ascii="宋体" w:hAnsi="宋体" w:cs="宋体"/>
                <w:b/>
                <w:snapToGrid w:val="0"/>
                <w:szCs w:val="21"/>
              </w:rPr>
            </w:pPr>
            <w:r>
              <w:rPr>
                <w:rFonts w:hint="eastAsia"/>
                <w:b/>
                <w:bCs/>
                <w:highlight w:val="none"/>
                <w:lang w:val="en-US" w:eastAsia="zh-CN"/>
              </w:rPr>
              <w:t>注：提供所在单位连续缴纳近三个月社保证明和相关证明材料扫描件加盖公章，未提供不得分。（公司注册时间未满三个月的，提供最近一个月的社保证明，公司注册时间未满一个月的，提供公司社会保险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50" w:type="dxa"/>
            <w:vMerge w:val="continue"/>
            <w:vAlign w:val="center"/>
          </w:tcPr>
          <w:p>
            <w:pPr>
              <w:spacing w:line="360" w:lineRule="auto"/>
              <w:ind w:left="-50"/>
              <w:jc w:val="left"/>
            </w:pPr>
          </w:p>
        </w:tc>
        <w:tc>
          <w:tcPr>
            <w:tcW w:w="1459" w:type="dxa"/>
            <w:vMerge w:val="continue"/>
            <w:vAlign w:val="center"/>
          </w:tcPr>
          <w:p>
            <w:pPr>
              <w:spacing w:line="360" w:lineRule="auto"/>
              <w:ind w:left="-50"/>
              <w:jc w:val="left"/>
            </w:pPr>
          </w:p>
        </w:tc>
        <w:tc>
          <w:tcPr>
            <w:tcW w:w="914" w:type="dxa"/>
            <w:vMerge w:val="continue"/>
            <w:vAlign w:val="center"/>
          </w:tcPr>
          <w:p>
            <w:pPr>
              <w:spacing w:line="360" w:lineRule="auto"/>
              <w:ind w:left="-50"/>
              <w:jc w:val="left"/>
            </w:pPr>
          </w:p>
        </w:tc>
        <w:tc>
          <w:tcPr>
            <w:tcW w:w="5891" w:type="dxa"/>
            <w:gridSpan w:val="2"/>
            <w:vAlign w:val="center"/>
          </w:tcPr>
          <w:p>
            <w:pPr>
              <w:bidi w:val="0"/>
              <w:spacing w:line="360" w:lineRule="auto"/>
              <w:rPr>
                <w:rFonts w:hint="eastAsia"/>
                <w:b/>
                <w:bCs/>
                <w:lang w:val="en-US" w:eastAsia="zh-CN"/>
              </w:rPr>
            </w:pPr>
            <w:r>
              <w:rPr>
                <w:rFonts w:hint="eastAsia"/>
                <w:b/>
                <w:bCs/>
                <w:lang w:val="en-US" w:eastAsia="zh-CN"/>
              </w:rPr>
              <w:t>针对本次的项目负责人进行打分：</w:t>
            </w:r>
          </w:p>
          <w:p>
            <w:pPr>
              <w:bidi w:val="0"/>
              <w:spacing w:line="360" w:lineRule="auto"/>
              <w:rPr>
                <w:rFonts w:hint="eastAsia"/>
                <w:lang w:val="en-US" w:eastAsia="zh-CN"/>
              </w:rPr>
            </w:pPr>
            <w:r>
              <w:rPr>
                <w:rFonts w:hint="eastAsia"/>
                <w:lang w:val="en-US" w:eastAsia="zh-CN"/>
              </w:rPr>
              <w:t>① 项目负责人综合实力较强，工作经验丰富，业绩情况突出，在该领域有着较长的工作时间，对该领域有着深刻的理解和认识，有着良好应变和沟通能力，全面符合采购要求的得4-6分；</w:t>
            </w:r>
          </w:p>
          <w:p>
            <w:pPr>
              <w:bidi w:val="0"/>
              <w:spacing w:line="360" w:lineRule="auto"/>
              <w:rPr>
                <w:rFonts w:hint="eastAsia"/>
                <w:lang w:val="en-US" w:eastAsia="zh-CN"/>
              </w:rPr>
            </w:pPr>
            <w:r>
              <w:rPr>
                <w:rFonts w:hint="eastAsia"/>
                <w:lang w:val="en-US" w:eastAsia="zh-CN"/>
              </w:rPr>
              <w:t>② 项目负责人有一定的综合实力，工作经验较丰富，有少量业绩，在该领域有着一定的工作时间，基本符合采购要求的得2-4分；</w:t>
            </w:r>
          </w:p>
          <w:p>
            <w:pPr>
              <w:bidi w:val="0"/>
              <w:spacing w:line="360" w:lineRule="auto"/>
              <w:rPr>
                <w:rFonts w:hint="eastAsia"/>
                <w:lang w:val="en-US" w:eastAsia="zh-CN"/>
              </w:rPr>
            </w:pPr>
            <w:r>
              <w:rPr>
                <w:rFonts w:hint="eastAsia"/>
                <w:lang w:val="en-US" w:eastAsia="zh-CN"/>
              </w:rPr>
              <w:t>③ 项目负责人工作经验不足，无法满足采购要求的得0-2分。</w:t>
            </w:r>
          </w:p>
          <w:p>
            <w:pPr>
              <w:bidi w:val="0"/>
              <w:spacing w:line="360" w:lineRule="auto"/>
              <w:rPr>
                <w:rFonts w:ascii="宋体" w:hAnsi="宋体" w:cs="宋体"/>
                <w:b/>
                <w:snapToGrid w:val="0"/>
                <w:szCs w:val="21"/>
              </w:rPr>
            </w:pPr>
            <w:r>
              <w:rPr>
                <w:rFonts w:hint="eastAsia"/>
                <w:lang w:val="en-US" w:eastAsia="zh-CN"/>
              </w:rPr>
              <w:t>④ 没有项目负责人的不得分。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Merge w:val="restart"/>
            <w:vAlign w:val="center"/>
          </w:tcPr>
          <w:p>
            <w:pPr>
              <w:spacing w:line="360" w:lineRule="exact"/>
              <w:ind w:left="-50"/>
              <w:jc w:val="center"/>
              <w:rPr>
                <w:rFonts w:hint="eastAsia" w:ascii="宋体" w:hAnsi="宋体" w:eastAsia="宋体" w:cs="宋体"/>
                <w:snapToGrid w:val="0"/>
                <w:szCs w:val="21"/>
                <w:lang w:eastAsia="zh-CN"/>
              </w:rPr>
            </w:pPr>
            <w:r>
              <w:rPr>
                <w:rFonts w:ascii="宋体" w:hAnsi="宋体" w:cs="宋体"/>
                <w:snapToGrid w:val="0"/>
                <w:szCs w:val="21"/>
              </w:rPr>
              <w:t>5.</w:t>
            </w:r>
            <w:r>
              <w:rPr>
                <w:rFonts w:hint="eastAsia" w:ascii="宋体" w:hAnsi="宋体" w:cs="宋体"/>
                <w:snapToGrid w:val="0"/>
                <w:szCs w:val="21"/>
                <w:lang w:val="en-US" w:eastAsia="zh-CN"/>
              </w:rPr>
              <w:t>4</w:t>
            </w:r>
          </w:p>
        </w:tc>
        <w:tc>
          <w:tcPr>
            <w:tcW w:w="1459" w:type="dxa"/>
            <w:vMerge w:val="restart"/>
            <w:vAlign w:val="center"/>
          </w:tcPr>
          <w:p>
            <w:pPr>
              <w:spacing w:line="360" w:lineRule="exact"/>
              <w:ind w:left="-50"/>
              <w:jc w:val="center"/>
              <w:rPr>
                <w:rFonts w:hint="default" w:ascii="宋体" w:hAnsi="宋体" w:cs="宋体"/>
                <w:b/>
                <w:bCs/>
                <w:snapToGrid w:val="0"/>
                <w:szCs w:val="21"/>
              </w:rPr>
            </w:pPr>
            <w:r>
              <w:rPr>
                <w:rFonts w:ascii="新宋体" w:hAnsi="新宋体" w:eastAsia="新宋体" w:cs="Arial Black"/>
                <w:snapToGrid w:val="0"/>
                <w:szCs w:val="21"/>
              </w:rPr>
              <w:t>具体实施方案</w:t>
            </w:r>
          </w:p>
        </w:tc>
        <w:tc>
          <w:tcPr>
            <w:tcW w:w="914" w:type="dxa"/>
            <w:vAlign w:val="center"/>
          </w:tcPr>
          <w:p>
            <w:pPr>
              <w:spacing w:line="360" w:lineRule="exact"/>
              <w:ind w:left="-50"/>
              <w:jc w:val="center"/>
              <w:rPr>
                <w:rFonts w:hint="default" w:ascii="宋体" w:hAnsi="宋体" w:cs="宋体"/>
                <w:b/>
                <w:bCs/>
                <w:snapToGrid w:val="0"/>
                <w:szCs w:val="21"/>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spacing w:line="360" w:lineRule="auto"/>
              <w:rPr>
                <w:rFonts w:hint="default"/>
                <w:b/>
                <w:bCs/>
              </w:rPr>
            </w:pPr>
            <w:r>
              <w:rPr>
                <w:b/>
                <w:bCs/>
              </w:rPr>
              <w:t>针对</w:t>
            </w:r>
            <w:r>
              <w:rPr>
                <w:rFonts w:hint="eastAsia"/>
                <w:b/>
                <w:bCs/>
                <w:lang w:eastAsia="zh-CN"/>
              </w:rPr>
              <w:t>汀田</w:t>
            </w:r>
            <w:r>
              <w:rPr>
                <w:b/>
                <w:bCs/>
              </w:rPr>
              <w:t>当地环境整治及违章拆除情况的分析及建议：</w:t>
            </w:r>
          </w:p>
          <w:p>
            <w:pPr>
              <w:spacing w:line="360" w:lineRule="auto"/>
              <w:rPr>
                <w:rFonts w:hint="default"/>
              </w:rPr>
            </w:pPr>
            <w:r>
              <w:t>① 分析及建议具有针对性，根据</w:t>
            </w:r>
            <w:r>
              <w:rPr>
                <w:rFonts w:hint="eastAsia"/>
                <w:lang w:eastAsia="zh-CN"/>
              </w:rPr>
              <w:t>汀田</w:t>
            </w:r>
            <w:r>
              <w:t>街道当地的实际情况提出详细、具体、明确的分析及建议，有专门进行实地考察，分析全面到位，满足采购需求且建议针对性强的得</w:t>
            </w:r>
            <w:r>
              <w:rPr>
                <w:rFonts w:hint="eastAsia"/>
                <w:lang w:val="en-US" w:eastAsia="zh-CN"/>
              </w:rPr>
              <w:t>4-6</w:t>
            </w:r>
            <w:r>
              <w:t>分；</w:t>
            </w:r>
          </w:p>
          <w:p>
            <w:pPr>
              <w:spacing w:line="360" w:lineRule="auto"/>
              <w:rPr>
                <w:rFonts w:hint="default"/>
              </w:rPr>
            </w:pPr>
            <w:r>
              <w:t>② 分析及建议分析基本到位，有根据</w:t>
            </w:r>
            <w:r>
              <w:rPr>
                <w:rFonts w:hint="eastAsia"/>
                <w:lang w:eastAsia="zh-CN"/>
              </w:rPr>
              <w:t>汀田</w:t>
            </w:r>
            <w:r>
              <w:t>街道当地的实际情况提出分析及建议的，基本符合</w:t>
            </w:r>
            <w:r>
              <w:rPr>
                <w:rFonts w:hint="eastAsia"/>
                <w:lang w:eastAsia="zh-CN"/>
              </w:rPr>
              <w:t>汀田</w:t>
            </w:r>
            <w:r>
              <w:t>当地情况的得2-</w:t>
            </w:r>
            <w:r>
              <w:rPr>
                <w:rFonts w:hint="eastAsia"/>
                <w:lang w:val="en-US" w:eastAsia="zh-CN"/>
              </w:rPr>
              <w:t>4</w:t>
            </w:r>
            <w:r>
              <w:t>分；</w:t>
            </w:r>
          </w:p>
          <w:p>
            <w:pPr>
              <w:spacing w:line="360" w:lineRule="auto"/>
              <w:rPr>
                <w:rFonts w:hint="default"/>
              </w:rPr>
            </w:pPr>
            <w:r>
              <w:t>③ 分析及建议不合理或不符合</w:t>
            </w:r>
            <w:r>
              <w:rPr>
                <w:rFonts w:hint="eastAsia"/>
                <w:lang w:eastAsia="zh-CN"/>
              </w:rPr>
              <w:t>汀田</w:t>
            </w:r>
            <w:r>
              <w:t>当地情况的得0-2分；</w:t>
            </w:r>
          </w:p>
          <w:p>
            <w:pPr>
              <w:spacing w:line="360" w:lineRule="auto"/>
              <w:rPr>
                <w:rFonts w:hint="default"/>
              </w:rPr>
            </w:pPr>
            <w:r>
              <w:t>④ 未提供</w:t>
            </w:r>
            <w:r>
              <w:rPr>
                <w:rFonts w:hint="eastAsia"/>
                <w:lang w:val="en-US" w:eastAsia="zh-CN"/>
              </w:rPr>
              <w:t>方案</w:t>
            </w:r>
            <w: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Merge w:val="continue"/>
            <w:vAlign w:val="center"/>
          </w:tcPr>
          <w:p>
            <w:pPr>
              <w:spacing w:line="360" w:lineRule="auto"/>
              <w:rPr>
                <w:rFonts w:hint="default"/>
              </w:rPr>
            </w:pPr>
          </w:p>
        </w:tc>
        <w:tc>
          <w:tcPr>
            <w:tcW w:w="1459" w:type="dxa"/>
            <w:vMerge w:val="continue"/>
            <w:vAlign w:val="center"/>
          </w:tcPr>
          <w:p>
            <w:pPr>
              <w:spacing w:line="360" w:lineRule="auto"/>
              <w:rPr>
                <w:rFonts w:hint="default"/>
              </w:rPr>
            </w:pPr>
          </w:p>
        </w:tc>
        <w:tc>
          <w:tcPr>
            <w:tcW w:w="914" w:type="dxa"/>
            <w:vAlign w:val="center"/>
          </w:tcPr>
          <w:p>
            <w:pPr>
              <w:spacing w:line="360" w:lineRule="auto"/>
              <w:jc w:val="center"/>
              <w:rPr>
                <w:rFonts w:hint="default"/>
              </w:rPr>
            </w:pPr>
            <w:r>
              <w:rPr>
                <w:rFonts w:ascii="宋体" w:hAnsi="宋体" w:cs="宋体"/>
                <w:snapToGrid w:val="0"/>
                <w:szCs w:val="21"/>
              </w:rPr>
              <w:t>0-6分</w:t>
            </w:r>
          </w:p>
        </w:tc>
        <w:tc>
          <w:tcPr>
            <w:tcW w:w="5891" w:type="dxa"/>
            <w:gridSpan w:val="2"/>
            <w:vAlign w:val="center"/>
          </w:tcPr>
          <w:p>
            <w:pPr>
              <w:spacing w:line="360" w:lineRule="auto"/>
              <w:rPr>
                <w:rFonts w:hint="default"/>
                <w:b/>
                <w:bCs/>
              </w:rPr>
            </w:pPr>
            <w:r>
              <w:rPr>
                <w:b/>
                <w:bCs/>
              </w:rPr>
              <w:t>根据质量保障措施及安全保障措施</w:t>
            </w:r>
            <w:r>
              <w:rPr>
                <w:rFonts w:hint="eastAsia"/>
                <w:b/>
                <w:bCs/>
                <w:lang w:eastAsia="zh-CN"/>
              </w:rPr>
              <w:t>（</w:t>
            </w:r>
            <w:r>
              <w:rPr>
                <w:rFonts w:hint="eastAsia"/>
                <w:b/>
                <w:bCs/>
                <w:lang w:val="en-US" w:eastAsia="zh-CN"/>
              </w:rPr>
              <w:t>提供案例）</w:t>
            </w:r>
            <w:r>
              <w:rPr>
                <w:b/>
                <w:bCs/>
              </w:rPr>
              <w:t>：</w:t>
            </w:r>
          </w:p>
          <w:p>
            <w:pPr>
              <w:spacing w:line="360" w:lineRule="auto"/>
              <w:rPr>
                <w:rFonts w:hint="default"/>
              </w:rPr>
            </w:pPr>
            <w:r>
              <w:t>① 有制定相应具体全面的质量保障措施及安全保障措施，能够避免质量问题和安全问题的出现或出现问题能及时有效处理的，满足采购需求得4-6分；</w:t>
            </w:r>
          </w:p>
          <w:p>
            <w:pPr>
              <w:spacing w:line="360" w:lineRule="auto"/>
              <w:rPr>
                <w:rFonts w:hint="default"/>
              </w:rPr>
            </w:pPr>
            <w:r>
              <w:t>② 指定的措施较为简单，但能基本符合采购需求，能解决安全问题和质量问题的，得2-4分；</w:t>
            </w:r>
          </w:p>
          <w:p>
            <w:pPr>
              <w:spacing w:line="360" w:lineRule="auto"/>
              <w:rPr>
                <w:rFonts w:hint="default"/>
              </w:rPr>
            </w:pPr>
            <w:r>
              <w:t>③ 保障措施不合理或不符合采购需求的得0-2分；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Merge w:val="continue"/>
            <w:vAlign w:val="center"/>
          </w:tcPr>
          <w:p>
            <w:pPr>
              <w:spacing w:line="360" w:lineRule="auto"/>
              <w:rPr>
                <w:rFonts w:hint="default"/>
              </w:rPr>
            </w:pPr>
          </w:p>
        </w:tc>
        <w:tc>
          <w:tcPr>
            <w:tcW w:w="1459" w:type="dxa"/>
            <w:vMerge w:val="continue"/>
            <w:vAlign w:val="center"/>
          </w:tcPr>
          <w:p>
            <w:pPr>
              <w:spacing w:line="360" w:lineRule="auto"/>
              <w:rPr>
                <w:rFonts w:hint="default"/>
              </w:rPr>
            </w:pPr>
          </w:p>
        </w:tc>
        <w:tc>
          <w:tcPr>
            <w:tcW w:w="914" w:type="dxa"/>
            <w:vAlign w:val="center"/>
          </w:tcPr>
          <w:p>
            <w:pPr>
              <w:spacing w:line="360" w:lineRule="auto"/>
              <w:jc w:val="center"/>
              <w:rPr>
                <w:rFonts w:hint="default"/>
              </w:rPr>
            </w:pPr>
            <w:r>
              <w:rPr>
                <w:rFonts w:ascii="宋体" w:hAnsi="宋体" w:cs="宋体"/>
                <w:snapToGrid w:val="0"/>
                <w:szCs w:val="21"/>
              </w:rPr>
              <w:t>0-6分</w:t>
            </w:r>
          </w:p>
        </w:tc>
        <w:tc>
          <w:tcPr>
            <w:tcW w:w="5891" w:type="dxa"/>
            <w:gridSpan w:val="2"/>
            <w:vAlign w:val="center"/>
          </w:tcPr>
          <w:p>
            <w:pPr>
              <w:spacing w:line="360" w:lineRule="auto"/>
              <w:rPr>
                <w:rFonts w:hint="default"/>
              </w:rPr>
            </w:pPr>
            <w:r>
              <w:rPr>
                <w:b/>
                <w:bCs/>
              </w:rPr>
              <w:t>根据环境整治及违章拆除方案：</w:t>
            </w:r>
          </w:p>
          <w:p>
            <w:pPr>
              <w:spacing w:line="360" w:lineRule="auto"/>
              <w:rPr>
                <w:rFonts w:hint="default"/>
              </w:rPr>
            </w:pPr>
            <w:r>
              <w:t>① 环境整治及违章拆除方案有针对性，对</w:t>
            </w:r>
            <w:r>
              <w:rPr>
                <w:rFonts w:hint="eastAsia"/>
                <w:lang w:eastAsia="zh-CN"/>
              </w:rPr>
              <w:t>汀田</w:t>
            </w:r>
            <w:r>
              <w:t>当地的情况进行分析，针对不同的情况有不同的方案来应对的，满足采购需求、科学合理的得4-6分；</w:t>
            </w:r>
          </w:p>
          <w:p>
            <w:pPr>
              <w:spacing w:line="360" w:lineRule="auto"/>
              <w:rPr>
                <w:rFonts w:hint="default"/>
              </w:rPr>
            </w:pPr>
            <w:r>
              <w:t>② 有提供环境整治及违章拆除方案，但方案较为简单，基本符合采购需求的得2-4分；</w:t>
            </w:r>
          </w:p>
          <w:p>
            <w:pPr>
              <w:spacing w:line="360" w:lineRule="auto"/>
              <w:rPr>
                <w:rFonts w:hint="default"/>
              </w:rPr>
            </w:pPr>
            <w:r>
              <w:t>③ 环境整治及违章拆除方案不合理或不符合采购需求的得0-2分；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50" w:type="dxa"/>
            <w:vAlign w:val="center"/>
          </w:tcPr>
          <w:p>
            <w:pPr>
              <w:spacing w:line="360" w:lineRule="exact"/>
              <w:ind w:left="-50"/>
              <w:jc w:val="center"/>
              <w:rPr>
                <w:rFonts w:hint="eastAsia" w:ascii="宋体" w:hAnsi="宋体" w:eastAsia="宋体" w:cs="宋体"/>
                <w:snapToGrid w:val="0"/>
                <w:szCs w:val="21"/>
                <w:lang w:eastAsia="zh-CN"/>
              </w:rPr>
            </w:pPr>
            <w:r>
              <w:rPr>
                <w:rFonts w:ascii="宋体" w:hAnsi="宋体" w:cs="宋体"/>
                <w:snapToGrid w:val="0"/>
                <w:szCs w:val="21"/>
              </w:rPr>
              <w:t>5.</w:t>
            </w:r>
            <w:r>
              <w:rPr>
                <w:rFonts w:hint="eastAsia" w:ascii="宋体" w:hAnsi="宋体" w:cs="宋体"/>
                <w:snapToGrid w:val="0"/>
                <w:szCs w:val="21"/>
                <w:lang w:val="en-US" w:eastAsia="zh-CN"/>
              </w:rPr>
              <w:t>5</w:t>
            </w:r>
          </w:p>
        </w:tc>
        <w:tc>
          <w:tcPr>
            <w:tcW w:w="1459" w:type="dxa"/>
            <w:vAlign w:val="center"/>
          </w:tcPr>
          <w:p>
            <w:pPr>
              <w:spacing w:line="360" w:lineRule="exact"/>
              <w:ind w:left="-50"/>
              <w:jc w:val="center"/>
              <w:rPr>
                <w:rFonts w:hint="default" w:ascii="新宋体" w:hAnsi="新宋体" w:eastAsia="新宋体" w:cs="Arial Black"/>
                <w:snapToGrid w:val="0"/>
                <w:szCs w:val="21"/>
              </w:rPr>
            </w:pPr>
            <w:r>
              <w:rPr>
                <w:rFonts w:ascii="新宋体" w:hAnsi="新宋体" w:eastAsia="新宋体" w:cs="Arial Black"/>
                <w:snapToGrid w:val="0"/>
                <w:szCs w:val="21"/>
              </w:rPr>
              <w:t>各项管理</w:t>
            </w:r>
          </w:p>
          <w:p>
            <w:pPr>
              <w:spacing w:line="360" w:lineRule="exact"/>
              <w:ind w:left="-50"/>
              <w:jc w:val="center"/>
              <w:rPr>
                <w:rFonts w:hint="default" w:ascii="新宋体" w:hAnsi="新宋体" w:eastAsia="新宋体" w:cs="Arial Black"/>
                <w:snapToGrid w:val="0"/>
                <w:szCs w:val="21"/>
              </w:rPr>
            </w:pPr>
            <w:r>
              <w:rPr>
                <w:rFonts w:ascii="新宋体" w:hAnsi="新宋体" w:eastAsia="新宋体" w:cs="Arial Black"/>
                <w:snapToGrid w:val="0"/>
                <w:szCs w:val="21"/>
              </w:rPr>
              <w:t>规章制度</w:t>
            </w:r>
          </w:p>
        </w:tc>
        <w:tc>
          <w:tcPr>
            <w:tcW w:w="914" w:type="dxa"/>
            <w:vAlign w:val="center"/>
          </w:tcPr>
          <w:p>
            <w:pPr>
              <w:spacing w:line="360" w:lineRule="auto"/>
              <w:ind w:left="-50"/>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3</w:t>
            </w:r>
            <w:r>
              <w:rPr>
                <w:rFonts w:ascii="宋体" w:hAnsi="宋体" w:cs="宋体"/>
                <w:snapToGrid w:val="0"/>
                <w:szCs w:val="21"/>
              </w:rPr>
              <w:t>分</w:t>
            </w:r>
          </w:p>
        </w:tc>
        <w:tc>
          <w:tcPr>
            <w:tcW w:w="5891" w:type="dxa"/>
            <w:gridSpan w:val="2"/>
            <w:vAlign w:val="center"/>
          </w:tcPr>
          <w:p>
            <w:pPr>
              <w:widowControl/>
              <w:spacing w:line="360" w:lineRule="auto"/>
              <w:rPr>
                <w:rFonts w:hint="default" w:ascii="宋体"/>
                <w:snapToGrid w:val="0"/>
                <w:szCs w:val="24"/>
              </w:rPr>
            </w:pPr>
            <w:r>
              <w:rPr>
                <w:rFonts w:hint="default" w:ascii="宋体" w:hAnsi="宋体"/>
                <w:b/>
                <w:bCs/>
                <w:snapToGrid w:val="0"/>
                <w:szCs w:val="24"/>
              </w:rPr>
              <w:t>各项内部岗位责任制度、管理运作制度、考核制度及标准</w:t>
            </w:r>
            <w:r>
              <w:rPr>
                <w:rFonts w:hint="default" w:ascii="宋体"/>
                <w:b/>
                <w:bCs/>
                <w:snapToGrid w:val="0"/>
                <w:szCs w:val="24"/>
              </w:rPr>
              <w:t>：</w:t>
            </w:r>
          </w:p>
          <w:p>
            <w:pPr>
              <w:widowControl/>
              <w:spacing w:line="360" w:lineRule="auto"/>
              <w:rPr>
                <w:rFonts w:hint="default" w:ascii="宋体" w:hAnsi="宋体"/>
                <w:snapToGrid w:val="0"/>
                <w:szCs w:val="24"/>
              </w:rPr>
            </w:pPr>
            <w:r>
              <w:t>①</w:t>
            </w:r>
            <w:r>
              <w:rPr>
                <w:rFonts w:hint="default" w:ascii="宋体"/>
                <w:szCs w:val="24"/>
              </w:rPr>
              <w:t>有制定相应具体全面规范的</w:t>
            </w:r>
            <w:r>
              <w:rPr>
                <w:rFonts w:hint="default" w:ascii="宋体" w:hAnsi="宋体"/>
                <w:snapToGrid w:val="0"/>
                <w:szCs w:val="24"/>
              </w:rPr>
              <w:t>内部岗位责任制度、管理运作制度、考核制度及标准等的得</w:t>
            </w:r>
            <w:r>
              <w:rPr>
                <w:rFonts w:hint="eastAsia" w:ascii="宋体" w:hAnsi="宋体"/>
                <w:snapToGrid w:val="0"/>
                <w:szCs w:val="24"/>
                <w:lang w:val="en-US" w:eastAsia="zh-CN"/>
              </w:rPr>
              <w:t>2-3</w:t>
            </w:r>
            <w:r>
              <w:rPr>
                <w:rFonts w:hint="default" w:ascii="宋体" w:hAnsi="宋体"/>
                <w:snapToGrid w:val="0"/>
                <w:szCs w:val="24"/>
              </w:rPr>
              <w:t>分；</w:t>
            </w:r>
          </w:p>
          <w:p>
            <w:pPr>
              <w:widowControl/>
              <w:spacing w:line="360" w:lineRule="auto"/>
              <w:rPr>
                <w:rFonts w:hint="default" w:ascii="宋体" w:hAnsi="宋体"/>
                <w:snapToGrid w:val="0"/>
                <w:szCs w:val="24"/>
              </w:rPr>
            </w:pPr>
            <w:r>
              <w:t>②</w:t>
            </w:r>
            <w:r>
              <w:rPr>
                <w:rFonts w:hint="default" w:ascii="宋体" w:hAnsi="宋体"/>
                <w:snapToGrid w:val="0"/>
                <w:szCs w:val="24"/>
              </w:rPr>
              <w:t>基本有设定责任制度、管理运作制度、考核制度及标准等的得</w:t>
            </w:r>
            <w:r>
              <w:rPr>
                <w:rFonts w:hint="eastAsia" w:ascii="宋体" w:hAnsi="宋体"/>
                <w:snapToGrid w:val="0"/>
                <w:szCs w:val="24"/>
                <w:lang w:val="en-US" w:eastAsia="zh-CN"/>
              </w:rPr>
              <w:t>1</w:t>
            </w:r>
            <w:r>
              <w:rPr>
                <w:rFonts w:ascii="宋体" w:hAnsi="宋体"/>
                <w:snapToGrid w:val="0"/>
                <w:szCs w:val="24"/>
              </w:rPr>
              <w:t>-</w:t>
            </w:r>
            <w:r>
              <w:rPr>
                <w:rFonts w:hint="eastAsia" w:ascii="宋体" w:hAnsi="宋体"/>
                <w:snapToGrid w:val="0"/>
                <w:szCs w:val="24"/>
                <w:lang w:val="en-US" w:eastAsia="zh-CN"/>
              </w:rPr>
              <w:t>2</w:t>
            </w:r>
            <w:r>
              <w:rPr>
                <w:rFonts w:hint="default" w:ascii="宋体" w:hAnsi="宋体"/>
                <w:snapToGrid w:val="0"/>
                <w:szCs w:val="24"/>
              </w:rPr>
              <w:t>分；</w:t>
            </w:r>
          </w:p>
          <w:p>
            <w:pPr>
              <w:widowControl/>
              <w:spacing w:line="360" w:lineRule="auto"/>
              <w:rPr>
                <w:rFonts w:hint="default" w:ascii="宋体" w:cs="宋体"/>
                <w:szCs w:val="21"/>
              </w:rPr>
            </w:pPr>
            <w:r>
              <w:t>③</w:t>
            </w:r>
            <w:r>
              <w:rPr>
                <w:rFonts w:hint="default" w:ascii="宋体" w:hAnsi="宋体" w:cs="宋体"/>
                <w:szCs w:val="21"/>
              </w:rPr>
              <w:t>不合理或</w:t>
            </w:r>
            <w:r>
              <w:rPr>
                <w:rFonts w:hint="default" w:ascii="宋体" w:cs="宋体"/>
                <w:szCs w:val="21"/>
              </w:rPr>
              <w:t>不符合采购需求的得</w:t>
            </w:r>
            <w:r>
              <w:rPr>
                <w:rFonts w:ascii="宋体" w:cs="宋体"/>
                <w:szCs w:val="21"/>
              </w:rPr>
              <w:t>0-</w:t>
            </w:r>
            <w:r>
              <w:rPr>
                <w:rFonts w:hint="eastAsia" w:ascii="宋体" w:cs="宋体"/>
                <w:szCs w:val="21"/>
                <w:lang w:val="en-US" w:eastAsia="zh-CN"/>
              </w:rPr>
              <w:t>1</w:t>
            </w:r>
            <w:r>
              <w:rPr>
                <w:rFonts w:hint="default" w:ascii="宋体" w:cs="宋体"/>
                <w:szCs w:val="21"/>
              </w:rPr>
              <w:t>分；</w:t>
            </w:r>
          </w:p>
          <w:p>
            <w:pPr>
              <w:widowControl/>
              <w:spacing w:line="360" w:lineRule="auto"/>
              <w:rPr>
                <w:rFonts w:hint="default"/>
              </w:rPr>
            </w:pPr>
            <w:r>
              <w:t>④</w:t>
            </w:r>
            <w:r>
              <w:rPr>
                <w:rFonts w:hint="default" w:ascii="宋体" w:cs="宋体"/>
                <w:szCs w:val="21"/>
              </w:rPr>
              <w:t>未提供的不得分</w:t>
            </w:r>
            <w:r>
              <w:rPr>
                <w:rFonts w:ascii="宋体" w:hAnsi="宋体"/>
                <w:snapToGrid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0" w:type="dxa"/>
            <w:vAlign w:val="center"/>
          </w:tcPr>
          <w:p>
            <w:pPr>
              <w:spacing w:line="360" w:lineRule="exact"/>
              <w:ind w:left="-50"/>
              <w:jc w:val="center"/>
              <w:rPr>
                <w:rFonts w:hint="eastAsia" w:ascii="宋体" w:hAnsi="宋体" w:eastAsia="宋体" w:cs="宋体"/>
                <w:snapToGrid w:val="0"/>
                <w:szCs w:val="21"/>
                <w:lang w:eastAsia="zh-CN"/>
              </w:rPr>
            </w:pPr>
            <w:r>
              <w:rPr>
                <w:rFonts w:ascii="宋体" w:hAnsi="宋体" w:cs="宋体"/>
                <w:snapToGrid w:val="0"/>
                <w:szCs w:val="21"/>
              </w:rPr>
              <w:t>5.</w:t>
            </w:r>
            <w:r>
              <w:rPr>
                <w:rFonts w:hint="eastAsia" w:ascii="宋体" w:hAnsi="宋体" w:cs="宋体"/>
                <w:snapToGrid w:val="0"/>
                <w:szCs w:val="21"/>
                <w:lang w:val="en-US" w:eastAsia="zh-CN"/>
              </w:rPr>
              <w:t>6</w:t>
            </w:r>
          </w:p>
        </w:tc>
        <w:tc>
          <w:tcPr>
            <w:tcW w:w="1459" w:type="dxa"/>
            <w:vAlign w:val="center"/>
          </w:tcPr>
          <w:p>
            <w:pPr>
              <w:spacing w:line="360" w:lineRule="exact"/>
              <w:ind w:left="-50"/>
              <w:jc w:val="center"/>
              <w:rPr>
                <w:rFonts w:hint="default" w:ascii="新宋体" w:hAnsi="新宋体" w:eastAsia="新宋体" w:cs="Arial Black"/>
                <w:snapToGrid w:val="0"/>
                <w:szCs w:val="21"/>
              </w:rPr>
            </w:pPr>
            <w:r>
              <w:rPr>
                <w:rFonts w:ascii="宋体" w:hAnsi="宋体" w:cs="宋体"/>
              </w:rPr>
              <w:t>设备配备情况</w:t>
            </w:r>
          </w:p>
        </w:tc>
        <w:tc>
          <w:tcPr>
            <w:tcW w:w="914" w:type="dxa"/>
            <w:vAlign w:val="center"/>
          </w:tcPr>
          <w:p>
            <w:pPr>
              <w:spacing w:line="360" w:lineRule="auto"/>
              <w:ind w:left="-50"/>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widowControl/>
              <w:spacing w:line="360" w:lineRule="auto"/>
              <w:rPr>
                <w:rFonts w:hint="default"/>
                <w:b/>
                <w:bCs/>
              </w:rPr>
            </w:pPr>
            <w:r>
              <w:rPr>
                <w:b/>
                <w:bCs/>
              </w:rPr>
              <w:t>根据投标人的设备配备：</w:t>
            </w:r>
          </w:p>
          <w:p>
            <w:pPr>
              <w:widowControl/>
              <w:spacing w:line="360" w:lineRule="auto"/>
              <w:rPr>
                <w:rFonts w:hint="default"/>
              </w:rPr>
            </w:pPr>
            <w:r>
              <w:t>①设备</w:t>
            </w:r>
            <w:r>
              <w:rPr>
                <w:rFonts w:ascii="宋体" w:hAnsi="宋体" w:cs="宋体"/>
              </w:rPr>
              <w:t>配备</w:t>
            </w:r>
            <w:r>
              <w:rPr>
                <w:rFonts w:hint="eastAsia" w:ascii="宋体" w:hAnsi="宋体" w:cs="宋体"/>
                <w:lang w:val="en-US" w:eastAsia="zh-CN"/>
              </w:rPr>
              <w:t>齐全，</w:t>
            </w:r>
            <w:r>
              <w:t>满足采购需求的得</w:t>
            </w:r>
            <w:r>
              <w:rPr>
                <w:rFonts w:hint="eastAsia"/>
                <w:lang w:val="en-US" w:eastAsia="zh-CN"/>
              </w:rPr>
              <w:t>4-6</w:t>
            </w:r>
            <w:r>
              <w:t>分；</w:t>
            </w:r>
          </w:p>
          <w:p>
            <w:pPr>
              <w:widowControl/>
              <w:spacing w:line="360" w:lineRule="auto"/>
              <w:rPr>
                <w:rFonts w:hint="default"/>
              </w:rPr>
            </w:pPr>
            <w:r>
              <w:t>②</w:t>
            </w:r>
            <w:r>
              <w:rPr>
                <w:rFonts w:hint="eastAsia"/>
                <w:lang w:val="en-US" w:eastAsia="zh-CN"/>
              </w:rPr>
              <w:t>设备配备较齐全，</w:t>
            </w:r>
            <w:r>
              <w:t>基本符合本项目需求的得</w:t>
            </w:r>
            <w:r>
              <w:rPr>
                <w:rFonts w:hint="eastAsia"/>
                <w:lang w:val="en-US" w:eastAsia="zh-CN"/>
              </w:rPr>
              <w:t>2-4</w:t>
            </w:r>
            <w:r>
              <w:t>分；</w:t>
            </w:r>
          </w:p>
          <w:p>
            <w:pPr>
              <w:widowControl/>
              <w:spacing w:line="360" w:lineRule="auto"/>
              <w:rPr>
                <w:rFonts w:hint="default"/>
              </w:rPr>
            </w:pPr>
            <w:r>
              <w:t>③</w:t>
            </w:r>
            <w:r>
              <w:rPr>
                <w:rFonts w:hint="eastAsia"/>
                <w:lang w:val="en-US" w:eastAsia="zh-CN"/>
              </w:rPr>
              <w:t>设备配备</w:t>
            </w:r>
            <w:r>
              <w:t>不合理或不符合采购需求的得</w:t>
            </w:r>
            <w:r>
              <w:rPr>
                <w:rFonts w:hint="eastAsia"/>
                <w:lang w:val="en-US" w:eastAsia="zh-CN"/>
              </w:rPr>
              <w:t>0-2</w:t>
            </w:r>
            <w:r>
              <w:t>分；</w:t>
            </w:r>
          </w:p>
          <w:p>
            <w:pPr>
              <w:widowControl/>
              <w:spacing w:line="360" w:lineRule="auto"/>
              <w:rPr>
                <w:rFonts w:hint="default"/>
              </w:rPr>
            </w:pPr>
            <w:r>
              <w:t>④未提供的不得分。</w:t>
            </w:r>
          </w:p>
          <w:p>
            <w:pPr>
              <w:pStyle w:val="3"/>
              <w:rPr>
                <w:rFonts w:hint="default"/>
              </w:rPr>
            </w:pPr>
            <w:bookmarkStart w:id="518" w:name="_Toc8480"/>
            <w:bookmarkStart w:id="519" w:name="_Toc13404"/>
            <w:r>
              <w:rPr>
                <w:rFonts w:ascii="新宋体" w:hAnsi="新宋体" w:eastAsia="新宋体" w:cs="Arial Black"/>
                <w:bCs/>
                <w:snapToGrid w:val="0"/>
                <w:sz w:val="21"/>
                <w:szCs w:val="21"/>
              </w:rPr>
              <w:t>注：须提供相关证明材料扫描件加盖公章。</w:t>
            </w:r>
            <w:bookmarkEnd w:id="518"/>
            <w:bookmarkEnd w:id="5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0" w:type="dxa"/>
            <w:vAlign w:val="center"/>
          </w:tcPr>
          <w:p>
            <w:pPr>
              <w:spacing w:line="360" w:lineRule="exact"/>
              <w:ind w:left="-50"/>
              <w:jc w:val="center"/>
              <w:rPr>
                <w:rFonts w:hint="default" w:ascii="宋体" w:hAnsi="宋体" w:eastAsia="宋体" w:cs="宋体"/>
                <w:snapToGrid w:val="0"/>
                <w:szCs w:val="21"/>
                <w:lang w:val="en-US" w:eastAsia="zh-CN"/>
              </w:rPr>
            </w:pPr>
            <w:r>
              <w:rPr>
                <w:rFonts w:hint="eastAsia" w:ascii="宋体" w:hAnsi="宋体" w:cs="宋体"/>
                <w:snapToGrid w:val="0"/>
                <w:szCs w:val="21"/>
                <w:lang w:val="en-US" w:eastAsia="zh-CN"/>
              </w:rPr>
              <w:t>5.7</w:t>
            </w:r>
          </w:p>
        </w:tc>
        <w:tc>
          <w:tcPr>
            <w:tcW w:w="1459" w:type="dxa"/>
            <w:vAlign w:val="center"/>
          </w:tcPr>
          <w:p>
            <w:pPr>
              <w:spacing w:line="360" w:lineRule="exact"/>
              <w:ind w:left="-50"/>
              <w:jc w:val="center"/>
              <w:rPr>
                <w:rFonts w:hint="eastAsia" w:ascii="宋体" w:hAnsi="宋体" w:cs="宋体"/>
                <w:lang w:val="en-US" w:eastAsia="zh-CN"/>
              </w:rPr>
            </w:pPr>
            <w:r>
              <w:rPr>
                <w:rFonts w:hint="eastAsia" w:ascii="宋体" w:hAnsi="宋体" w:cs="宋体"/>
                <w:lang w:val="en-US" w:eastAsia="zh-CN"/>
              </w:rPr>
              <w:t>视频演示</w:t>
            </w:r>
          </w:p>
          <w:p>
            <w:pPr>
              <w:spacing w:line="360" w:lineRule="exact"/>
              <w:ind w:left="-50"/>
              <w:jc w:val="center"/>
              <w:rPr>
                <w:rFonts w:hint="default" w:ascii="宋体" w:hAnsi="宋体" w:eastAsia="宋体" w:cs="宋体"/>
                <w:lang w:val="en-US" w:eastAsia="zh-CN"/>
              </w:rPr>
            </w:pPr>
            <w:r>
              <w:rPr>
                <w:rFonts w:hint="eastAsia" w:ascii="宋体" w:hAnsi="宋体" w:cs="宋体"/>
                <w:lang w:val="en-US" w:eastAsia="zh-CN"/>
              </w:rPr>
              <w:t>（具体要求详见第三部分相关信息）</w:t>
            </w:r>
          </w:p>
        </w:tc>
        <w:tc>
          <w:tcPr>
            <w:tcW w:w="914" w:type="dxa"/>
            <w:vAlign w:val="center"/>
          </w:tcPr>
          <w:p>
            <w:pPr>
              <w:spacing w:line="360" w:lineRule="auto"/>
              <w:ind w:left="-50"/>
              <w:jc w:val="center"/>
              <w:rPr>
                <w:rFonts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spacing w:line="360" w:lineRule="auto"/>
              <w:rPr>
                <w:rFonts w:hint="default"/>
              </w:rPr>
            </w:pPr>
            <w:r>
              <w:rPr>
                <w:b/>
                <w:bCs/>
              </w:rPr>
              <w:t>针对本项目</w:t>
            </w:r>
            <w:r>
              <w:rPr>
                <w:rFonts w:hint="eastAsia"/>
                <w:b/>
                <w:bCs/>
                <w:lang w:val="en-US" w:eastAsia="zh-CN"/>
              </w:rPr>
              <w:t>提供的视频演示进行打分</w:t>
            </w:r>
            <w:r>
              <w:rPr>
                <w:b/>
                <w:bCs/>
              </w:rPr>
              <w:t>：</w:t>
            </w:r>
          </w:p>
          <w:p>
            <w:pPr>
              <w:spacing w:line="360" w:lineRule="auto"/>
              <w:rPr>
                <w:rFonts w:hint="default"/>
              </w:rPr>
            </w:pPr>
            <w:r>
              <w:t xml:space="preserve">① </w:t>
            </w:r>
            <w:r>
              <w:rPr>
                <w:rFonts w:hint="eastAsia"/>
                <w:lang w:val="en-US" w:eastAsia="zh-CN"/>
              </w:rPr>
              <w:t>视频演示画质清晰，演示现场拆违内容完整，演示案例具有代表性，人员精神面貌较好且保存时间长</w:t>
            </w:r>
            <w:r>
              <w:t>的，得</w:t>
            </w:r>
            <w:r>
              <w:rPr>
                <w:rFonts w:hint="eastAsia"/>
                <w:lang w:val="en-US" w:eastAsia="zh-CN"/>
              </w:rPr>
              <w:t>4-6</w:t>
            </w:r>
            <w:r>
              <w:t>分；</w:t>
            </w:r>
          </w:p>
          <w:p>
            <w:pPr>
              <w:spacing w:line="360" w:lineRule="auto"/>
              <w:rPr>
                <w:rFonts w:hint="default"/>
              </w:rPr>
            </w:pPr>
            <w:r>
              <w:t xml:space="preserve">② </w:t>
            </w:r>
            <w:r>
              <w:rPr>
                <w:rFonts w:hint="eastAsia"/>
                <w:lang w:val="en-US" w:eastAsia="zh-CN"/>
              </w:rPr>
              <w:t>视频演示较满足采购需求，能完整演示案例</w:t>
            </w:r>
            <w:r>
              <w:t>的</w:t>
            </w:r>
            <w:r>
              <w:rPr>
                <w:rFonts w:hint="eastAsia"/>
                <w:lang w:eastAsia="zh-CN"/>
              </w:rPr>
              <w:t>，</w:t>
            </w:r>
            <w:r>
              <w:t>得</w:t>
            </w:r>
            <w:r>
              <w:rPr>
                <w:rFonts w:hint="eastAsia"/>
                <w:lang w:val="en-US" w:eastAsia="zh-CN"/>
              </w:rPr>
              <w:t>2-4</w:t>
            </w:r>
            <w:r>
              <w:t>分；</w:t>
            </w:r>
          </w:p>
          <w:p>
            <w:pPr>
              <w:bidi w:val="0"/>
              <w:spacing w:line="360" w:lineRule="auto"/>
              <w:rPr>
                <w:rFonts w:hint="default"/>
              </w:rPr>
            </w:pPr>
            <w:r>
              <w:t xml:space="preserve">③ </w:t>
            </w:r>
            <w:r>
              <w:rPr>
                <w:rFonts w:hint="eastAsia"/>
                <w:lang w:val="en-US" w:eastAsia="zh-CN"/>
              </w:rPr>
              <w:t>视频演示</w:t>
            </w:r>
            <w:r>
              <w:t>不合理或不符合采购需求的得</w:t>
            </w:r>
            <w:r>
              <w:rPr>
                <w:rFonts w:hint="eastAsia"/>
                <w:lang w:val="en-US" w:eastAsia="zh-CN"/>
              </w:rPr>
              <w:t>0-2</w:t>
            </w:r>
            <w:r>
              <w:t>分；</w:t>
            </w:r>
          </w:p>
          <w:p>
            <w:pPr>
              <w:bidi w:val="0"/>
              <w:spacing w:line="360" w:lineRule="auto"/>
              <w:rPr>
                <w:rFonts w:ascii="新宋体" w:hAnsi="新宋体" w:eastAsia="新宋体" w:cs="Arial Black"/>
                <w:bCs/>
                <w:snapToGrid w:val="0"/>
                <w:szCs w:val="21"/>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50" w:type="dxa"/>
            <w:vMerge w:val="restart"/>
            <w:vAlign w:val="center"/>
          </w:tcPr>
          <w:p>
            <w:pPr>
              <w:spacing w:line="360" w:lineRule="auto"/>
              <w:jc w:val="center"/>
              <w:rPr>
                <w:rFonts w:hint="eastAsia" w:eastAsia="宋体"/>
                <w:lang w:eastAsia="zh-CN"/>
              </w:rPr>
            </w:pPr>
            <w:r>
              <w:rPr>
                <w:rFonts w:ascii="宋体" w:hAnsi="宋体" w:cs="宋体"/>
                <w:snapToGrid w:val="0"/>
                <w:szCs w:val="21"/>
              </w:rPr>
              <w:t>5.</w:t>
            </w:r>
            <w:r>
              <w:rPr>
                <w:rFonts w:hint="eastAsia" w:ascii="宋体" w:hAnsi="宋体" w:cs="宋体"/>
                <w:snapToGrid w:val="0"/>
                <w:szCs w:val="21"/>
                <w:lang w:val="en-US" w:eastAsia="zh-CN"/>
              </w:rPr>
              <w:t>8</w:t>
            </w:r>
          </w:p>
        </w:tc>
        <w:tc>
          <w:tcPr>
            <w:tcW w:w="1459" w:type="dxa"/>
            <w:vMerge w:val="restart"/>
            <w:vAlign w:val="center"/>
          </w:tcPr>
          <w:p>
            <w:pPr>
              <w:spacing w:line="360" w:lineRule="auto"/>
              <w:jc w:val="center"/>
              <w:rPr>
                <w:rFonts w:hint="default"/>
              </w:rPr>
            </w:pPr>
            <w:r>
              <w:t>应急预案及服务响应</w:t>
            </w:r>
          </w:p>
          <w:p>
            <w:pPr>
              <w:spacing w:line="360" w:lineRule="auto"/>
              <w:jc w:val="center"/>
              <w:rPr>
                <w:rFonts w:hint="default"/>
              </w:rPr>
            </w:pPr>
            <w:r>
              <w:t>时间承诺</w:t>
            </w:r>
          </w:p>
        </w:tc>
        <w:tc>
          <w:tcPr>
            <w:tcW w:w="914" w:type="dxa"/>
            <w:vAlign w:val="center"/>
          </w:tcPr>
          <w:p>
            <w:pPr>
              <w:spacing w:line="360" w:lineRule="auto"/>
              <w:jc w:val="center"/>
              <w:rPr>
                <w:rFonts w:hint="default"/>
              </w:rPr>
            </w:pPr>
            <w:r>
              <w:rPr>
                <w:rFonts w:ascii="宋体" w:hAnsi="宋体" w:cs="宋体"/>
                <w:snapToGrid w:val="0"/>
                <w:szCs w:val="21"/>
              </w:rPr>
              <w:t>0-6分</w:t>
            </w:r>
          </w:p>
        </w:tc>
        <w:tc>
          <w:tcPr>
            <w:tcW w:w="5891" w:type="dxa"/>
            <w:gridSpan w:val="2"/>
            <w:vAlign w:val="center"/>
          </w:tcPr>
          <w:p>
            <w:pPr>
              <w:spacing w:line="360" w:lineRule="auto"/>
              <w:rPr>
                <w:rFonts w:hint="default"/>
              </w:rPr>
            </w:pPr>
            <w:r>
              <w:rPr>
                <w:b/>
                <w:bCs/>
              </w:rPr>
              <w:t>针对本项目有具体的应急预案</w:t>
            </w:r>
            <w:r>
              <w:rPr>
                <w:rFonts w:hint="eastAsia"/>
                <w:b/>
                <w:bCs/>
                <w:lang w:eastAsia="zh-CN"/>
              </w:rPr>
              <w:t>（</w:t>
            </w:r>
            <w:r>
              <w:rPr>
                <w:rFonts w:hint="eastAsia"/>
                <w:b/>
                <w:bCs/>
                <w:lang w:val="en-US" w:eastAsia="zh-CN"/>
              </w:rPr>
              <w:t>提供案例）</w:t>
            </w:r>
            <w:r>
              <w:rPr>
                <w:b/>
                <w:bCs/>
              </w:rPr>
              <w:t>：</w:t>
            </w:r>
          </w:p>
          <w:p>
            <w:pPr>
              <w:spacing w:line="360" w:lineRule="auto"/>
              <w:rPr>
                <w:rFonts w:hint="default"/>
              </w:rPr>
            </w:pPr>
            <w:r>
              <w:t>① 有制定相应具体的突发事件应急预案，对本项目不同的情况和特点有提出针对性的应急预案，能有效防止紧急情况发生或者恶化的，得4-6分；</w:t>
            </w:r>
          </w:p>
          <w:p>
            <w:pPr>
              <w:spacing w:line="360" w:lineRule="auto"/>
              <w:rPr>
                <w:rFonts w:hint="default"/>
              </w:rPr>
            </w:pPr>
            <w:r>
              <w:t>② 有制定相应的突发事件应急预案，基本满足本项目需求的得2-4分；</w:t>
            </w:r>
          </w:p>
          <w:p>
            <w:pPr>
              <w:spacing w:line="360" w:lineRule="auto"/>
              <w:rPr>
                <w:rFonts w:hint="default"/>
              </w:rPr>
            </w:pPr>
            <w:r>
              <w:t>③ 应急预案不合理或不符合采购需求的得0-2分；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0" w:type="dxa"/>
            <w:vMerge w:val="continue"/>
            <w:vAlign w:val="center"/>
          </w:tcPr>
          <w:p>
            <w:pPr>
              <w:spacing w:line="360" w:lineRule="auto"/>
              <w:rPr>
                <w:rFonts w:hint="default"/>
              </w:rPr>
            </w:pPr>
          </w:p>
        </w:tc>
        <w:tc>
          <w:tcPr>
            <w:tcW w:w="1459" w:type="dxa"/>
            <w:vMerge w:val="continue"/>
            <w:vAlign w:val="center"/>
          </w:tcPr>
          <w:p>
            <w:pPr>
              <w:spacing w:line="360" w:lineRule="auto"/>
              <w:rPr>
                <w:rFonts w:hint="default"/>
              </w:rPr>
            </w:pPr>
          </w:p>
        </w:tc>
        <w:tc>
          <w:tcPr>
            <w:tcW w:w="914" w:type="dxa"/>
            <w:vAlign w:val="center"/>
          </w:tcPr>
          <w:p>
            <w:pPr>
              <w:spacing w:line="360" w:lineRule="auto"/>
              <w:jc w:val="center"/>
              <w:rPr>
                <w:rFonts w:hint="default"/>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spacing w:line="360" w:lineRule="auto"/>
              <w:rPr>
                <w:rFonts w:hint="default"/>
                <w:b/>
                <w:bCs/>
              </w:rPr>
            </w:pPr>
            <w:r>
              <w:rPr>
                <w:b/>
                <w:bCs/>
              </w:rPr>
              <w:t>针对本项目实施的响应方案，由评委自行评审</w:t>
            </w:r>
            <w:r>
              <w:rPr>
                <w:rFonts w:hint="eastAsia"/>
                <w:b/>
                <w:bCs/>
                <w:lang w:eastAsia="zh-CN"/>
              </w:rPr>
              <w:t>（</w:t>
            </w:r>
            <w:r>
              <w:rPr>
                <w:rFonts w:hint="eastAsia"/>
                <w:b/>
                <w:bCs/>
                <w:lang w:val="en-US" w:eastAsia="zh-CN"/>
              </w:rPr>
              <w:t>提供案例）</w:t>
            </w:r>
            <w:r>
              <w:rPr>
                <w:b/>
                <w:bCs/>
              </w:rPr>
              <w:t>：</w:t>
            </w:r>
          </w:p>
          <w:p>
            <w:pPr>
              <w:spacing w:line="360" w:lineRule="auto"/>
              <w:rPr>
                <w:rFonts w:hint="default"/>
              </w:rPr>
            </w:pPr>
            <w:r>
              <w:t>① 服务承诺满足采购需求，提供流畅的项目实施响应方案，有充足的人员和车辆能响应项目需求，有详细的项目规划，能对项目的服务区域做好勘察，针对不同的安保种类和地点做出不同的响应方案的，得</w:t>
            </w:r>
            <w:r>
              <w:rPr>
                <w:rFonts w:hint="eastAsia"/>
                <w:lang w:val="en-US" w:eastAsia="zh-CN"/>
              </w:rPr>
              <w:t>4</w:t>
            </w:r>
            <w:r>
              <w:t>-</w:t>
            </w:r>
            <w:r>
              <w:rPr>
                <w:rFonts w:hint="eastAsia"/>
                <w:lang w:val="en-US" w:eastAsia="zh-CN"/>
              </w:rPr>
              <w:t>6</w:t>
            </w:r>
            <w:r>
              <w:t>分；</w:t>
            </w:r>
          </w:p>
          <w:p>
            <w:pPr>
              <w:spacing w:line="360" w:lineRule="auto"/>
              <w:rPr>
                <w:rFonts w:hint="default"/>
              </w:rPr>
            </w:pPr>
            <w:r>
              <w:t>② 有提供项目实施响应方案，有少量的人员和车辆准备，能快速响应项目需求的，基本满足采购需求的得2-</w:t>
            </w:r>
            <w:r>
              <w:rPr>
                <w:rFonts w:hint="eastAsia"/>
                <w:lang w:val="en-US" w:eastAsia="zh-CN"/>
              </w:rPr>
              <w:t>4</w:t>
            </w:r>
            <w:r>
              <w:t>分；</w:t>
            </w:r>
          </w:p>
          <w:p>
            <w:pPr>
              <w:spacing w:line="360" w:lineRule="auto"/>
              <w:rPr>
                <w:rFonts w:hint="default"/>
              </w:rPr>
            </w:pPr>
            <w:r>
              <w:t>③ 响应方案不合理或不符合采购需求的得0-2分；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0" w:type="dxa"/>
            <w:vMerge w:val="restart"/>
            <w:vAlign w:val="center"/>
          </w:tcPr>
          <w:p>
            <w:pPr>
              <w:spacing w:line="360" w:lineRule="auto"/>
              <w:jc w:val="center"/>
              <w:rPr>
                <w:rFonts w:hint="eastAsia" w:eastAsia="宋体"/>
                <w:lang w:eastAsia="zh-CN"/>
              </w:rPr>
            </w:pPr>
            <w:r>
              <w:rPr>
                <w:rFonts w:ascii="宋体" w:hAnsi="宋体" w:cs="宋体"/>
              </w:rPr>
              <w:t>5.</w:t>
            </w:r>
            <w:r>
              <w:rPr>
                <w:rFonts w:hint="eastAsia" w:ascii="宋体" w:hAnsi="宋体" w:cs="宋体"/>
                <w:lang w:val="en-US" w:eastAsia="zh-CN"/>
              </w:rPr>
              <w:t>9</w:t>
            </w:r>
          </w:p>
        </w:tc>
        <w:tc>
          <w:tcPr>
            <w:tcW w:w="1459" w:type="dxa"/>
            <w:vMerge w:val="restart"/>
            <w:vAlign w:val="center"/>
          </w:tcPr>
          <w:p>
            <w:pPr>
              <w:spacing w:line="360" w:lineRule="auto"/>
              <w:jc w:val="center"/>
              <w:rPr>
                <w:rFonts w:hint="default" w:ascii="宋体" w:hAnsi="宋体" w:cs="宋体"/>
              </w:rPr>
            </w:pPr>
            <w:r>
              <w:rPr>
                <w:rFonts w:ascii="宋体" w:hAnsi="宋体" w:cs="宋体"/>
              </w:rPr>
              <w:t>现场勘查</w:t>
            </w:r>
          </w:p>
          <w:p>
            <w:pPr>
              <w:spacing w:line="360" w:lineRule="auto"/>
              <w:jc w:val="center"/>
              <w:rPr>
                <w:rFonts w:hint="default"/>
              </w:rPr>
            </w:pPr>
            <w:r>
              <w:rPr>
                <w:rFonts w:ascii="宋体" w:hAnsi="宋体" w:cs="宋体"/>
              </w:rPr>
              <w:t>情况与分析</w:t>
            </w:r>
          </w:p>
        </w:tc>
        <w:tc>
          <w:tcPr>
            <w:tcW w:w="914" w:type="dxa"/>
            <w:vAlign w:val="center"/>
          </w:tcPr>
          <w:p>
            <w:pPr>
              <w:spacing w:line="360" w:lineRule="auto"/>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spacing w:line="360" w:lineRule="auto"/>
              <w:rPr>
                <w:rFonts w:hint="default"/>
                <w:b/>
                <w:bCs/>
              </w:rPr>
            </w:pPr>
            <w:r>
              <w:rPr>
                <w:b/>
                <w:bCs/>
              </w:rPr>
              <w:t>针对本项目现场勘查情况：</w:t>
            </w:r>
          </w:p>
          <w:p>
            <w:pPr>
              <w:spacing w:line="360" w:lineRule="auto"/>
              <w:rPr>
                <w:rFonts w:hint="default"/>
              </w:rPr>
            </w:pPr>
            <w:r>
              <w:t>① 现场勘查情况完整，有进行拍照和记录，资料齐全的得4</w:t>
            </w:r>
            <w:r>
              <w:rPr>
                <w:rFonts w:hint="eastAsia"/>
                <w:lang w:val="en-US" w:eastAsia="zh-CN"/>
              </w:rPr>
              <w:t>-6</w:t>
            </w:r>
            <w:r>
              <w:t>分；</w:t>
            </w:r>
          </w:p>
          <w:p>
            <w:pPr>
              <w:spacing w:line="360" w:lineRule="auto"/>
              <w:rPr>
                <w:rFonts w:hint="default"/>
              </w:rPr>
            </w:pPr>
            <w:r>
              <w:t>② 有去现场勘察，有提供基本情况的，得2-4分；</w:t>
            </w:r>
          </w:p>
          <w:p>
            <w:pPr>
              <w:spacing w:line="360" w:lineRule="auto"/>
              <w:rPr>
                <w:rFonts w:hint="default"/>
              </w:rPr>
            </w:pPr>
            <w:r>
              <w:t>③ 未勘察或不符合项目现场实际的得0-2分；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0" w:type="dxa"/>
            <w:vMerge w:val="continue"/>
            <w:vAlign w:val="center"/>
          </w:tcPr>
          <w:p>
            <w:pPr>
              <w:spacing w:line="360" w:lineRule="auto"/>
              <w:jc w:val="center"/>
              <w:rPr>
                <w:rFonts w:hint="default"/>
              </w:rPr>
            </w:pPr>
          </w:p>
        </w:tc>
        <w:tc>
          <w:tcPr>
            <w:tcW w:w="1459" w:type="dxa"/>
            <w:vMerge w:val="continue"/>
            <w:vAlign w:val="center"/>
          </w:tcPr>
          <w:p>
            <w:pPr>
              <w:spacing w:line="360" w:lineRule="auto"/>
              <w:jc w:val="center"/>
              <w:rPr>
                <w:rFonts w:hint="default" w:ascii="宋体" w:hAnsi="宋体" w:cs="宋体"/>
              </w:rPr>
            </w:pPr>
          </w:p>
        </w:tc>
        <w:tc>
          <w:tcPr>
            <w:tcW w:w="914" w:type="dxa"/>
            <w:vAlign w:val="center"/>
          </w:tcPr>
          <w:p>
            <w:pPr>
              <w:spacing w:line="360" w:lineRule="auto"/>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6</w:t>
            </w:r>
            <w:r>
              <w:rPr>
                <w:rFonts w:ascii="宋体" w:hAnsi="宋体" w:cs="宋体"/>
                <w:snapToGrid w:val="0"/>
                <w:szCs w:val="21"/>
              </w:rPr>
              <w:t>分</w:t>
            </w:r>
          </w:p>
        </w:tc>
        <w:tc>
          <w:tcPr>
            <w:tcW w:w="5891" w:type="dxa"/>
            <w:gridSpan w:val="2"/>
            <w:vAlign w:val="center"/>
          </w:tcPr>
          <w:p>
            <w:pPr>
              <w:spacing w:line="360" w:lineRule="auto"/>
              <w:rPr>
                <w:rFonts w:hint="default"/>
              </w:rPr>
            </w:pPr>
            <w:r>
              <w:rPr>
                <w:b/>
                <w:bCs/>
              </w:rPr>
              <w:t>针对本项目现场勘查情况的分析：</w:t>
            </w:r>
          </w:p>
          <w:p>
            <w:pPr>
              <w:spacing w:line="360" w:lineRule="auto"/>
              <w:rPr>
                <w:rFonts w:hint="default"/>
              </w:rPr>
            </w:pPr>
            <w:r>
              <w:t>① 对勘查情况分析的全面到位，有图文分析，详细完整的，得4-</w:t>
            </w:r>
            <w:r>
              <w:rPr>
                <w:rFonts w:hint="eastAsia"/>
                <w:lang w:val="en-US" w:eastAsia="zh-CN"/>
              </w:rPr>
              <w:t>6</w:t>
            </w:r>
            <w:r>
              <w:t>分；</w:t>
            </w:r>
          </w:p>
          <w:p>
            <w:pPr>
              <w:spacing w:line="360" w:lineRule="auto"/>
              <w:rPr>
                <w:rFonts w:hint="default"/>
              </w:rPr>
            </w:pPr>
            <w:r>
              <w:t>② 有对勘查情况进行分析，分析基本全面的得2-4分；</w:t>
            </w:r>
          </w:p>
          <w:p>
            <w:pPr>
              <w:spacing w:line="360" w:lineRule="auto"/>
              <w:rPr>
                <w:rFonts w:hint="default"/>
              </w:rPr>
            </w:pPr>
            <w:r>
              <w:t>③ 未勘察或未分析或不符合项目实际的得0-2分；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0" w:type="dxa"/>
            <w:vMerge w:val="restart"/>
            <w:vAlign w:val="center"/>
          </w:tcPr>
          <w:p>
            <w:pPr>
              <w:spacing w:line="360" w:lineRule="auto"/>
              <w:jc w:val="center"/>
              <w:rPr>
                <w:rFonts w:hint="default" w:ascii="宋体" w:hAnsi="宋体" w:eastAsia="宋体" w:cs="宋体"/>
                <w:lang w:val="en-US" w:eastAsia="zh-CN"/>
              </w:rPr>
            </w:pPr>
            <w:r>
              <w:rPr>
                <w:rFonts w:ascii="宋体" w:hAnsi="宋体" w:cs="宋体"/>
              </w:rPr>
              <w:t>5.</w:t>
            </w:r>
            <w:r>
              <w:rPr>
                <w:rFonts w:hint="eastAsia" w:ascii="宋体" w:hAnsi="宋体" w:cs="宋体"/>
                <w:lang w:val="en-US" w:eastAsia="zh-CN"/>
              </w:rPr>
              <w:t>10</w:t>
            </w:r>
          </w:p>
        </w:tc>
        <w:tc>
          <w:tcPr>
            <w:tcW w:w="1459" w:type="dxa"/>
            <w:vMerge w:val="restart"/>
            <w:vAlign w:val="center"/>
          </w:tcPr>
          <w:p>
            <w:pPr>
              <w:spacing w:line="360" w:lineRule="auto"/>
              <w:jc w:val="center"/>
              <w:rPr>
                <w:rFonts w:hint="default" w:ascii="新宋体" w:hAnsi="新宋体" w:eastAsia="新宋体" w:cs="Arial Unicode MS"/>
                <w:snapToGrid w:val="0"/>
                <w:szCs w:val="21"/>
              </w:rPr>
            </w:pPr>
            <w:r>
              <w:rPr>
                <w:rFonts w:ascii="新宋体" w:hAnsi="新宋体" w:eastAsia="新宋体" w:cs="Arial Unicode MS"/>
                <w:snapToGrid w:val="0"/>
                <w:szCs w:val="21"/>
              </w:rPr>
              <w:t>协调和沟通</w:t>
            </w:r>
          </w:p>
          <w:p>
            <w:pPr>
              <w:spacing w:line="360" w:lineRule="auto"/>
              <w:jc w:val="center"/>
              <w:rPr>
                <w:rFonts w:hint="default" w:ascii="宋体" w:hAnsi="宋体" w:cs="宋体"/>
              </w:rPr>
            </w:pPr>
            <w:r>
              <w:rPr>
                <w:rFonts w:ascii="新宋体" w:hAnsi="新宋体" w:eastAsia="新宋体" w:cs="Arial Unicode MS"/>
                <w:snapToGrid w:val="0"/>
                <w:szCs w:val="21"/>
              </w:rPr>
              <w:t>方案</w:t>
            </w:r>
          </w:p>
        </w:tc>
        <w:tc>
          <w:tcPr>
            <w:tcW w:w="914" w:type="dxa"/>
            <w:vAlign w:val="center"/>
          </w:tcPr>
          <w:p>
            <w:pPr>
              <w:spacing w:line="360" w:lineRule="auto"/>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5</w:t>
            </w:r>
            <w:r>
              <w:rPr>
                <w:rFonts w:ascii="宋体" w:hAnsi="宋体" w:cs="宋体"/>
                <w:snapToGrid w:val="0"/>
                <w:szCs w:val="21"/>
              </w:rPr>
              <w:t>分</w:t>
            </w:r>
          </w:p>
        </w:tc>
        <w:tc>
          <w:tcPr>
            <w:tcW w:w="5891" w:type="dxa"/>
            <w:gridSpan w:val="2"/>
            <w:vAlign w:val="center"/>
          </w:tcPr>
          <w:p>
            <w:pPr>
              <w:widowControl/>
              <w:spacing w:line="360" w:lineRule="auto"/>
              <w:rPr>
                <w:rFonts w:hint="default"/>
                <w:b/>
                <w:bCs/>
              </w:rPr>
            </w:pPr>
            <w:r>
              <w:rPr>
                <w:b/>
                <w:bCs/>
              </w:rPr>
              <w:t>针对项目在实施过程中可能存在的问题分析：</w:t>
            </w:r>
          </w:p>
          <w:p>
            <w:pPr>
              <w:widowControl/>
              <w:spacing w:line="360" w:lineRule="auto"/>
              <w:rPr>
                <w:rFonts w:hint="default"/>
              </w:rPr>
            </w:pPr>
            <w:r>
              <w:t>① 对本项目可能出现的问题有事先分析，进行预估和评判，并制定相应的分析方案，准备相应的人力、物力投入安排，能够避免问题出现或出现问题能及时有效处理的，得</w:t>
            </w:r>
            <w:r>
              <w:rPr>
                <w:rFonts w:hint="eastAsia"/>
                <w:lang w:val="en-US" w:eastAsia="zh-CN"/>
              </w:rPr>
              <w:t>4</w:t>
            </w:r>
            <w:r>
              <w:t>-</w:t>
            </w:r>
            <w:r>
              <w:rPr>
                <w:rFonts w:hint="eastAsia"/>
                <w:lang w:val="en-US" w:eastAsia="zh-CN"/>
              </w:rPr>
              <w:t>5</w:t>
            </w:r>
            <w:r>
              <w:t>分；</w:t>
            </w:r>
          </w:p>
          <w:p>
            <w:pPr>
              <w:widowControl/>
              <w:spacing w:line="360" w:lineRule="auto"/>
              <w:rPr>
                <w:rFonts w:hint="default"/>
              </w:rPr>
            </w:pPr>
            <w:r>
              <w:t>② 有提出本项目可能出现的问题，但制定的分析方案较为简单的，有少量的人力、物力投入安排的2-</w:t>
            </w:r>
            <w:r>
              <w:rPr>
                <w:rFonts w:hint="eastAsia"/>
                <w:lang w:val="en-US" w:eastAsia="zh-CN"/>
              </w:rPr>
              <w:t>4</w:t>
            </w:r>
            <w:r>
              <w:t>分；</w:t>
            </w:r>
          </w:p>
          <w:p>
            <w:pPr>
              <w:widowControl/>
              <w:spacing w:line="360" w:lineRule="auto"/>
              <w:rPr>
                <w:rFonts w:hint="default"/>
              </w:rPr>
            </w:pPr>
            <w:r>
              <w:t>③ 分析不合理或不符合采购需求的得0-2分；</w:t>
            </w:r>
          </w:p>
          <w:p>
            <w:pPr>
              <w:widowControl/>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0" w:type="dxa"/>
            <w:vMerge w:val="continue"/>
            <w:vAlign w:val="center"/>
          </w:tcPr>
          <w:p>
            <w:pPr>
              <w:spacing w:line="360" w:lineRule="auto"/>
              <w:jc w:val="center"/>
              <w:rPr>
                <w:rFonts w:hint="default" w:ascii="宋体" w:hAnsi="宋体" w:cs="宋体"/>
              </w:rPr>
            </w:pPr>
          </w:p>
        </w:tc>
        <w:tc>
          <w:tcPr>
            <w:tcW w:w="1459" w:type="dxa"/>
            <w:vMerge w:val="continue"/>
            <w:vAlign w:val="center"/>
          </w:tcPr>
          <w:p>
            <w:pPr>
              <w:spacing w:line="360" w:lineRule="auto"/>
              <w:jc w:val="center"/>
              <w:rPr>
                <w:rFonts w:hint="default" w:ascii="新宋体" w:hAnsi="新宋体" w:eastAsia="新宋体" w:cs="Arial Unicode MS"/>
                <w:snapToGrid w:val="0"/>
                <w:szCs w:val="21"/>
              </w:rPr>
            </w:pPr>
          </w:p>
        </w:tc>
        <w:tc>
          <w:tcPr>
            <w:tcW w:w="914" w:type="dxa"/>
            <w:vAlign w:val="center"/>
          </w:tcPr>
          <w:p>
            <w:pPr>
              <w:spacing w:line="360" w:lineRule="auto"/>
              <w:jc w:val="center"/>
              <w:rPr>
                <w:rFonts w:hint="default" w:ascii="宋体" w:hAnsi="宋体" w:cs="宋体"/>
                <w:snapToGrid w:val="0"/>
                <w:szCs w:val="21"/>
              </w:rPr>
            </w:pPr>
            <w:r>
              <w:rPr>
                <w:rFonts w:ascii="宋体" w:hAnsi="宋体" w:cs="宋体"/>
                <w:snapToGrid w:val="0"/>
                <w:szCs w:val="21"/>
              </w:rPr>
              <w:t>0-</w:t>
            </w:r>
            <w:r>
              <w:rPr>
                <w:rFonts w:hint="eastAsia" w:ascii="宋体" w:hAnsi="宋体" w:cs="宋体"/>
                <w:snapToGrid w:val="0"/>
                <w:szCs w:val="21"/>
                <w:lang w:val="en-US" w:eastAsia="zh-CN"/>
              </w:rPr>
              <w:t>5</w:t>
            </w:r>
            <w:r>
              <w:rPr>
                <w:rFonts w:ascii="宋体" w:hAnsi="宋体" w:cs="宋体"/>
                <w:snapToGrid w:val="0"/>
                <w:szCs w:val="21"/>
              </w:rPr>
              <w:t>分</w:t>
            </w:r>
          </w:p>
        </w:tc>
        <w:tc>
          <w:tcPr>
            <w:tcW w:w="5891" w:type="dxa"/>
            <w:gridSpan w:val="2"/>
            <w:vAlign w:val="center"/>
          </w:tcPr>
          <w:p>
            <w:pPr>
              <w:spacing w:line="360" w:lineRule="auto"/>
              <w:rPr>
                <w:b/>
                <w:bCs/>
              </w:rPr>
            </w:pPr>
            <w:r>
              <w:rPr>
                <w:b/>
                <w:bCs/>
              </w:rPr>
              <w:t>针对项目在实施过程中可能存在的问题制定协调和沟通方案：</w:t>
            </w:r>
          </w:p>
          <w:p>
            <w:pPr>
              <w:spacing w:line="360" w:lineRule="auto"/>
              <w:rPr>
                <w:rFonts w:hint="default"/>
              </w:rPr>
            </w:pPr>
            <w:r>
              <w:t>① 对本项目实施过程中可能存在的问题提出合理的协调和沟通方案，对当地的民风民情有所了解，有相应的人力、物力能迅速投入安排，能够快速解决问题的，得</w:t>
            </w:r>
            <w:r>
              <w:rPr>
                <w:rFonts w:hint="eastAsia"/>
                <w:lang w:val="en-US" w:eastAsia="zh-CN"/>
              </w:rPr>
              <w:t>4-5</w:t>
            </w:r>
            <w:r>
              <w:t>分；</w:t>
            </w:r>
          </w:p>
          <w:p>
            <w:pPr>
              <w:spacing w:line="360" w:lineRule="auto"/>
              <w:rPr>
                <w:rFonts w:hint="default"/>
              </w:rPr>
            </w:pPr>
            <w:r>
              <w:t>② 对本项目实施过程中可能存在的问题有提出协调和沟通的方案，方案基本全面的得2-</w:t>
            </w:r>
            <w:r>
              <w:rPr>
                <w:rFonts w:hint="eastAsia"/>
                <w:lang w:val="en-US" w:eastAsia="zh-CN"/>
              </w:rPr>
              <w:t>4</w:t>
            </w:r>
            <w:r>
              <w:t>分；</w:t>
            </w:r>
          </w:p>
          <w:p>
            <w:pPr>
              <w:spacing w:line="360" w:lineRule="auto"/>
              <w:rPr>
                <w:rFonts w:hint="default"/>
              </w:rPr>
            </w:pPr>
            <w:r>
              <w:t>③ 方案不合理的得0-2分；</w:t>
            </w:r>
          </w:p>
          <w:p>
            <w:pPr>
              <w:spacing w:line="360" w:lineRule="auto"/>
              <w:rPr>
                <w:rFonts w:hint="default"/>
              </w:rPr>
            </w:pPr>
            <w:r>
              <w:t>④ 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14" w:type="dxa"/>
            <w:gridSpan w:val="5"/>
            <w:vAlign w:val="center"/>
          </w:tcPr>
          <w:p>
            <w:pPr>
              <w:spacing w:line="360" w:lineRule="auto"/>
              <w:rPr>
                <w:rFonts w:hint="default"/>
              </w:rPr>
            </w:pPr>
            <w:r>
              <w:rPr>
                <w:rFonts w:ascii="宋体" w:hAnsi="宋体" w:cs="宋体"/>
                <w:b/>
                <w:spacing w:val="-6"/>
                <w:kern w:val="28"/>
                <w:szCs w:val="21"/>
              </w:rPr>
              <w:t>注：所有证明资料、承诺、方案等均需提供扫描件加盖公章，不提供的视为不得分。</w:t>
            </w:r>
          </w:p>
        </w:tc>
      </w:tr>
    </w:tbl>
    <w:p>
      <w:pPr>
        <w:spacing w:line="360" w:lineRule="auto"/>
        <w:rPr>
          <w:rFonts w:hint="default" w:ascii="宋体" w:hAnsi="宋体" w:cs="宋体"/>
          <w:bCs/>
          <w:kern w:val="28"/>
        </w:rPr>
      </w:pPr>
      <w:r>
        <w:rPr>
          <w:rFonts w:ascii="宋体" w:hAnsi="宋体" w:cs="宋体"/>
          <w:bCs/>
          <w:kern w:val="28"/>
        </w:rPr>
        <w:t>磋商程序详见第二部分磋商供应商须知“（六）磋商与评审”</w:t>
      </w:r>
    </w:p>
    <w:p>
      <w:pPr>
        <w:spacing w:line="360" w:lineRule="auto"/>
        <w:rPr>
          <w:rFonts w:hint="default" w:ascii="宋体" w:hAnsi="宋体" w:cs="宋体"/>
          <w:bCs/>
          <w:kern w:val="28"/>
        </w:rPr>
      </w:pPr>
      <w:r>
        <w:rPr>
          <w:rFonts w:ascii="宋体" w:hAnsi="宋体" w:cs="宋体"/>
          <w:bCs/>
          <w:kern w:val="28"/>
        </w:rPr>
        <w:t>注：以上单位、人员各类证明文件扫描件均需加盖电子签章，附在响应文件中；提供材料不真实、不完整或伪造证明材料的，后果自负。</w:t>
      </w:r>
    </w:p>
    <w:p>
      <w:pPr>
        <w:spacing w:line="360" w:lineRule="auto"/>
        <w:rPr>
          <w:rFonts w:hint="default" w:ascii="宋体" w:hAnsi="宋体" w:cs="宋体"/>
          <w:b/>
          <w:kern w:val="28"/>
        </w:rPr>
      </w:pPr>
      <w:r>
        <w:rPr>
          <w:rFonts w:ascii="宋体" w:hAnsi="宋体" w:cs="宋体"/>
          <w:b/>
          <w:kern w:val="28"/>
        </w:rPr>
        <w:t>综合得分的计算：</w:t>
      </w:r>
    </w:p>
    <w:p>
      <w:pPr>
        <w:spacing w:line="360" w:lineRule="auto"/>
        <w:rPr>
          <w:rFonts w:hint="default" w:ascii="宋体" w:hAnsi="宋体" w:cs="宋体"/>
          <w:bCs/>
          <w:kern w:val="28"/>
        </w:rPr>
      </w:pPr>
      <w:r>
        <w:rPr>
          <w:rFonts w:ascii="宋体" w:hAnsi="宋体" w:cs="宋体"/>
          <w:bCs/>
          <w:kern w:val="28"/>
        </w:rPr>
        <w:t>商务分得分根据磋商文件约定的因素和方法进行计算，商务分得分=A</w:t>
      </w:r>
    </w:p>
    <w:p>
      <w:pPr>
        <w:spacing w:line="360" w:lineRule="auto"/>
        <w:rPr>
          <w:rFonts w:hint="default" w:ascii="宋体" w:hAnsi="宋体" w:cs="宋体"/>
          <w:bCs/>
          <w:kern w:val="28"/>
        </w:rPr>
      </w:pPr>
      <w:r>
        <w:rPr>
          <w:rFonts w:ascii="宋体" w:hAnsi="宋体" w:cs="宋体"/>
          <w:bCs/>
          <w:kern w:val="28"/>
        </w:rPr>
        <w:t>技术资信分得分按照磋商小组成员的独立评分结果汇总数算术平均分=B</w:t>
      </w:r>
    </w:p>
    <w:p>
      <w:pPr>
        <w:spacing w:line="360" w:lineRule="auto"/>
        <w:rPr>
          <w:rFonts w:hint="default" w:ascii="宋体" w:hAnsi="宋体" w:cs="宋体"/>
          <w:bCs/>
          <w:kern w:val="28"/>
        </w:rPr>
      </w:pPr>
      <w:r>
        <w:rPr>
          <w:rFonts w:ascii="宋体" w:hAnsi="宋体" w:cs="宋体"/>
          <w:bCs/>
          <w:kern w:val="28"/>
        </w:rPr>
        <w:t>综合得分=A+B</w:t>
      </w:r>
    </w:p>
    <w:p>
      <w:pPr>
        <w:spacing w:line="360" w:lineRule="auto"/>
        <w:outlineLvl w:val="1"/>
        <w:rPr>
          <w:rFonts w:hint="default" w:ascii="宋体" w:hAnsi="宋体" w:cs="宋体"/>
          <w:b/>
          <w:bCs/>
          <w:kern w:val="28"/>
        </w:rPr>
      </w:pPr>
      <w:bookmarkStart w:id="520" w:name="_Toc11963"/>
      <w:r>
        <w:rPr>
          <w:rFonts w:ascii="宋体" w:hAnsi="宋体" w:cs="宋体"/>
          <w:b/>
          <w:bCs/>
          <w:kern w:val="28"/>
        </w:rPr>
        <w:t>四、评定结果</w:t>
      </w:r>
      <w:bookmarkEnd w:id="520"/>
    </w:p>
    <w:p>
      <w:pPr>
        <w:tabs>
          <w:tab w:val="left" w:pos="851"/>
        </w:tabs>
        <w:spacing w:line="360" w:lineRule="auto"/>
        <w:ind w:firstLine="420" w:firstLineChars="200"/>
        <w:rPr>
          <w:rFonts w:hint="default" w:ascii="宋体" w:hAnsi="宋体" w:cs="宋体"/>
        </w:rPr>
      </w:pPr>
      <w:r>
        <w:rPr>
          <w:rFonts w:ascii="宋体" w:hAnsi="宋体" w:cs="宋体"/>
        </w:rPr>
        <w:t>本次采购根据有效磋商供应商的综合评分从高到低原则，确定一个成交预选供应商，其他有效供应商依次确定为成交备选供应商。综合得分相同的，按投标报价由低到高顺序排列；合计得分且投标报价相同的，则由采购人代表在所有得分均相同者中随机抽取其中一名为名次优先者，依法予以确认为成交供应商。</w:t>
      </w:r>
    </w:p>
    <w:p>
      <w:pPr>
        <w:spacing w:line="360" w:lineRule="auto"/>
        <w:outlineLvl w:val="1"/>
        <w:rPr>
          <w:rFonts w:hint="default" w:ascii="宋体" w:hAnsi="宋体" w:cs="宋体"/>
          <w:b/>
          <w:bCs/>
          <w:kern w:val="28"/>
        </w:rPr>
      </w:pPr>
      <w:bookmarkStart w:id="521" w:name="_Toc23465"/>
      <w:r>
        <w:rPr>
          <w:rFonts w:ascii="宋体" w:hAnsi="宋体" w:cs="宋体"/>
          <w:b/>
          <w:bCs/>
          <w:kern w:val="28"/>
        </w:rPr>
        <w:t>五、磋商供应商的义务</w:t>
      </w:r>
      <w:bookmarkEnd w:id="521"/>
    </w:p>
    <w:p>
      <w:pPr>
        <w:spacing w:line="360" w:lineRule="auto"/>
        <w:ind w:firstLine="420" w:firstLineChars="200"/>
        <w:rPr>
          <w:rFonts w:hint="default" w:ascii="宋体" w:hAnsi="宋体" w:cs="宋体"/>
          <w:bCs/>
          <w:kern w:val="28"/>
        </w:rPr>
      </w:pPr>
      <w:r>
        <w:rPr>
          <w:rFonts w:ascii="宋体" w:hAnsi="宋体" w:cs="宋体"/>
          <w:bCs/>
          <w:kern w:val="28"/>
        </w:rPr>
        <w:t>磋商供应商应随时随地答复磋商小组的询标，解答包括有关的商务、技术问题等。磋商结束，所有评定资料存采购机构备案。</w:t>
      </w:r>
    </w:p>
    <w:p>
      <w:pPr>
        <w:spacing w:line="360" w:lineRule="auto"/>
        <w:rPr>
          <w:rFonts w:hint="default"/>
        </w:rPr>
      </w:pPr>
    </w:p>
    <w:p>
      <w:pPr>
        <w:pStyle w:val="8"/>
        <w:rPr>
          <w:rFonts w:hint="default"/>
        </w:rPr>
      </w:pPr>
    </w:p>
    <w:p>
      <w:pPr>
        <w:rPr>
          <w:rFonts w:hint="default"/>
        </w:rPr>
      </w:pPr>
    </w:p>
    <w:p>
      <w:pPr>
        <w:tabs>
          <w:tab w:val="left" w:pos="840"/>
        </w:tabs>
        <w:outlineLvl w:val="9"/>
        <w:rPr>
          <w:rFonts w:hint="default"/>
        </w:rPr>
      </w:pPr>
    </w:p>
    <w:p>
      <w:pPr>
        <w:pStyle w:val="8"/>
        <w:rPr>
          <w:rFonts w:hint="default"/>
        </w:rPr>
      </w:pPr>
    </w:p>
    <w:p>
      <w:pPr>
        <w:rPr>
          <w:rFonts w:hint="default"/>
        </w:rPr>
      </w:pPr>
    </w:p>
    <w:p>
      <w:pPr>
        <w:pStyle w:val="3"/>
        <w:keepNext w:val="0"/>
        <w:keepLines w:val="0"/>
        <w:pageBreakBefore/>
        <w:shd w:val="clear" w:color="auto" w:fill="FFFFFF"/>
        <w:spacing w:before="156" w:beforeLines="50" w:after="156" w:afterLines="50" w:line="400" w:lineRule="atLeast"/>
        <w:jc w:val="center"/>
        <w:rPr>
          <w:rFonts w:hint="default"/>
          <w:bCs/>
          <w:sz w:val="32"/>
          <w:szCs w:val="28"/>
        </w:rPr>
      </w:pPr>
      <w:bookmarkStart w:id="522" w:name="_Toc16720"/>
      <w:bookmarkStart w:id="523" w:name="_Toc13745"/>
      <w:bookmarkStart w:id="524" w:name="_Toc23969"/>
      <w:bookmarkStart w:id="525" w:name="_Toc75352678"/>
      <w:bookmarkStart w:id="526" w:name="_Toc26049"/>
      <w:bookmarkStart w:id="527" w:name="_Toc76399195"/>
      <w:bookmarkStart w:id="528" w:name="_Toc9663"/>
      <w:bookmarkStart w:id="529" w:name="_Toc79686188"/>
      <w:r>
        <w:rPr>
          <w:rFonts w:hAnsi="宋体"/>
          <w:bCs/>
          <w:sz w:val="28"/>
          <w:szCs w:val="36"/>
        </w:rPr>
        <w:t>第七部分  信贷政策</w:t>
      </w:r>
      <w:bookmarkEnd w:id="522"/>
      <w:bookmarkEnd w:id="523"/>
      <w:bookmarkEnd w:id="524"/>
      <w:bookmarkEnd w:id="525"/>
      <w:bookmarkEnd w:id="526"/>
      <w:bookmarkEnd w:id="527"/>
      <w:bookmarkEnd w:id="528"/>
      <w:bookmarkEnd w:id="529"/>
    </w:p>
    <w:p>
      <w:pPr>
        <w:widowControl/>
        <w:spacing w:line="400" w:lineRule="exact"/>
        <w:ind w:left="-199" w:leftChars="-95" w:firstLine="420" w:firstLineChars="200"/>
        <w:rPr>
          <w:rFonts w:hint="default" w:ascii="宋体" w:hAnsi="宋体" w:cs="宋体"/>
          <w:szCs w:val="21"/>
        </w:rPr>
      </w:pPr>
      <w:r>
        <w:rPr>
          <w:rFonts w:ascii="宋体" w:hAnsi="宋体" w:cs="宋体"/>
          <w:szCs w:val="21"/>
        </w:rPr>
        <w:t>温州市财政局关于温州市政府采购支持中小企业信用融资的通知（温财采〔2020〕3号），中标单位如需要融资，可联系以下银行：</w:t>
      </w:r>
    </w:p>
    <w:p>
      <w:pPr>
        <w:widowControl/>
        <w:spacing w:before="156" w:beforeLines="50" w:after="156" w:afterLines="50"/>
        <w:jc w:val="center"/>
        <w:rPr>
          <w:rFonts w:hint="default" w:ascii="黑体" w:hAnsi="黑体" w:eastAsia="黑体" w:cs="黑体"/>
          <w:sz w:val="28"/>
          <w:szCs w:val="28"/>
        </w:rPr>
      </w:pPr>
      <w:bookmarkStart w:id="530" w:name="_Toc22303"/>
      <w:bookmarkStart w:id="531" w:name="_Toc28302"/>
      <w:bookmarkStart w:id="532" w:name="_Toc22054"/>
      <w:bookmarkStart w:id="533" w:name="_Toc29431"/>
      <w:r>
        <w:rPr>
          <w:rFonts w:ascii="黑体" w:hAnsi="黑体" w:eastAsia="黑体" w:cs="黑体"/>
          <w:sz w:val="28"/>
          <w:szCs w:val="28"/>
        </w:rPr>
        <w:t>温州市政府采购支持中小企业信用融资合作银行</w:t>
      </w:r>
      <w:bookmarkEnd w:id="530"/>
      <w:bookmarkEnd w:id="531"/>
      <w:bookmarkEnd w:id="532"/>
    </w:p>
    <w:tbl>
      <w:tblPr>
        <w:tblStyle w:val="21"/>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5611"/>
        <w:gridCol w:w="10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1112" w:type="dxa"/>
            <w:vAlign w:val="center"/>
          </w:tcPr>
          <w:p>
            <w:pPr>
              <w:pStyle w:val="33"/>
              <w:spacing w:line="360" w:lineRule="exact"/>
              <w:ind w:firstLine="0" w:firstLineChars="0"/>
              <w:jc w:val="center"/>
              <w:rPr>
                <w:rFonts w:hint="default" w:ascii="宋体" w:hAnsi="宋体" w:eastAsia="宋体" w:cs="宋体"/>
                <w:b/>
                <w:bCs/>
                <w:kern w:val="0"/>
                <w:sz w:val="21"/>
                <w:szCs w:val="21"/>
              </w:rPr>
            </w:pPr>
            <w:r>
              <w:rPr>
                <w:rFonts w:ascii="宋体" w:hAnsi="宋体" w:eastAsia="宋体" w:cs="宋体"/>
                <w:b/>
                <w:bCs/>
                <w:kern w:val="0"/>
                <w:sz w:val="21"/>
                <w:szCs w:val="21"/>
              </w:rPr>
              <w:t>银行名称</w:t>
            </w:r>
          </w:p>
        </w:tc>
        <w:tc>
          <w:tcPr>
            <w:tcW w:w="5611" w:type="dxa"/>
            <w:vAlign w:val="center"/>
          </w:tcPr>
          <w:p>
            <w:pPr>
              <w:pStyle w:val="33"/>
              <w:spacing w:line="360" w:lineRule="exact"/>
              <w:ind w:firstLine="0" w:firstLineChars="0"/>
              <w:jc w:val="center"/>
              <w:rPr>
                <w:rFonts w:hint="default" w:ascii="宋体" w:hAnsi="宋体" w:eastAsia="宋体" w:cs="宋体"/>
                <w:b/>
                <w:bCs/>
                <w:kern w:val="0"/>
                <w:sz w:val="21"/>
                <w:szCs w:val="21"/>
              </w:rPr>
            </w:pPr>
            <w:r>
              <w:rPr>
                <w:rFonts w:ascii="宋体" w:hAnsi="宋体" w:eastAsia="宋体" w:cs="宋体"/>
                <w:b/>
                <w:bCs/>
                <w:kern w:val="0"/>
                <w:sz w:val="21"/>
                <w:szCs w:val="21"/>
              </w:rPr>
              <w:t>产品特点（不超过120字）</w:t>
            </w:r>
          </w:p>
        </w:tc>
        <w:tc>
          <w:tcPr>
            <w:tcW w:w="1020" w:type="dxa"/>
            <w:vAlign w:val="center"/>
          </w:tcPr>
          <w:p>
            <w:pPr>
              <w:pStyle w:val="33"/>
              <w:spacing w:line="360" w:lineRule="exact"/>
              <w:ind w:firstLine="0" w:firstLineChars="0"/>
              <w:jc w:val="center"/>
              <w:rPr>
                <w:rFonts w:hint="default" w:ascii="宋体" w:hAnsi="宋体" w:eastAsia="宋体" w:cs="宋体"/>
                <w:b/>
                <w:bCs/>
                <w:kern w:val="0"/>
                <w:sz w:val="21"/>
                <w:szCs w:val="21"/>
              </w:rPr>
            </w:pPr>
            <w:r>
              <w:rPr>
                <w:rFonts w:ascii="宋体" w:hAnsi="宋体" w:eastAsia="宋体" w:cs="宋体"/>
                <w:b/>
                <w:bCs/>
                <w:kern w:val="0"/>
                <w:sz w:val="21"/>
                <w:szCs w:val="21"/>
              </w:rPr>
              <w:t>经办人</w:t>
            </w:r>
          </w:p>
        </w:tc>
        <w:tc>
          <w:tcPr>
            <w:tcW w:w="1680" w:type="dxa"/>
            <w:vAlign w:val="center"/>
          </w:tcPr>
          <w:p>
            <w:pPr>
              <w:spacing w:line="360" w:lineRule="exact"/>
              <w:jc w:val="center"/>
              <w:rPr>
                <w:rFonts w:hint="default" w:ascii="宋体" w:hAnsi="宋体" w:cs="宋体"/>
                <w:b/>
                <w:bCs/>
                <w:szCs w:val="21"/>
              </w:rPr>
            </w:pPr>
            <w:r>
              <w:rPr>
                <w:rFonts w:ascii="宋体" w:hAnsi="宋体" w:cs="宋体"/>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112" w:type="dxa"/>
            <w:vAlign w:val="center"/>
          </w:tcPr>
          <w:p>
            <w:pPr>
              <w:spacing w:line="360" w:lineRule="exact"/>
              <w:jc w:val="center"/>
              <w:rPr>
                <w:rFonts w:hint="default" w:ascii="宋体" w:hAnsi="宋体" w:cs="宋体"/>
                <w:szCs w:val="21"/>
              </w:rPr>
            </w:pPr>
            <w:r>
              <w:rPr>
                <w:rFonts w:ascii="宋体" w:hAnsi="宋体" w:cs="宋体"/>
                <w:szCs w:val="21"/>
              </w:rPr>
              <w:t>中国建设银行股份有限公司温州分行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张经理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0577-65819553（瑞安）</w:t>
            </w:r>
          </w:p>
          <w:p>
            <w:pPr>
              <w:spacing w:line="360" w:lineRule="exact"/>
              <w:jc w:val="center"/>
              <w:rPr>
                <w:rFonts w:hint="default" w:ascii="宋体" w:hAnsi="宋体" w:cs="宋体"/>
                <w:szCs w:val="21"/>
              </w:rPr>
            </w:pPr>
            <w:r>
              <w:rPr>
                <w:rFonts w:ascii="宋体" w:hAnsi="宋体" w:cs="宋体"/>
                <w:szCs w:val="21"/>
              </w:rPr>
              <w:t>0577-88093286（温州）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中国工商银行股份有限公司温州分行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20"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王经理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中国邮政储蓄银行股份有限公司温州市分行</w:t>
            </w:r>
          </w:p>
        </w:tc>
        <w:tc>
          <w:tcPr>
            <w:tcW w:w="5611" w:type="dxa"/>
            <w:vAlign w:val="center"/>
          </w:tcPr>
          <w:p>
            <w:pPr>
              <w:spacing w:line="360" w:lineRule="exact"/>
              <w:rPr>
                <w:rFonts w:hint="default" w:ascii="宋体" w:hAnsi="宋体" w:cs="宋体"/>
                <w:szCs w:val="21"/>
              </w:rPr>
            </w:pPr>
            <w:r>
              <w:rPr>
                <w:rFonts w:ascii="宋体" w:hAnsi="宋体" w:cs="宋体"/>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郑经理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中国民生银行股份有限公司温州分行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项经理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0"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宁波银行股份有限公司温州分行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陈经理</w:t>
            </w:r>
          </w:p>
        </w:tc>
        <w:tc>
          <w:tcPr>
            <w:tcW w:w="1680" w:type="dxa"/>
            <w:vAlign w:val="center"/>
          </w:tcPr>
          <w:p>
            <w:pPr>
              <w:jc w:val="center"/>
              <w:rPr>
                <w:rFonts w:hint="default" w:ascii="宋体" w:hAnsi="宋体" w:cs="宋体"/>
                <w:szCs w:val="21"/>
              </w:rPr>
            </w:pPr>
            <w:r>
              <w:t>0577-88007377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杭州银行股份有限公司温州分行</w:t>
            </w:r>
          </w:p>
        </w:tc>
        <w:tc>
          <w:tcPr>
            <w:tcW w:w="5611" w:type="dxa"/>
            <w:vAlign w:val="center"/>
          </w:tcPr>
          <w:p>
            <w:pPr>
              <w:spacing w:line="360" w:lineRule="exact"/>
              <w:rPr>
                <w:rFonts w:hint="default" w:ascii="宋体" w:hAnsi="宋体" w:cs="宋体"/>
                <w:bCs/>
                <w:szCs w:val="21"/>
              </w:rPr>
            </w:pPr>
            <w:r>
              <w:rPr>
                <w:rFonts w:ascii="宋体" w:hAnsi="宋体" w:cs="宋体"/>
                <w:bCs/>
                <w:szCs w:val="21"/>
              </w:rPr>
              <w:t>门槛低：纯信用，平台注册入库并取得采购合同即可申请</w:t>
            </w:r>
          </w:p>
          <w:p>
            <w:pPr>
              <w:spacing w:line="360" w:lineRule="exact"/>
              <w:rPr>
                <w:rFonts w:hint="default" w:ascii="宋体" w:hAnsi="宋体" w:cs="宋体"/>
                <w:bCs/>
                <w:szCs w:val="21"/>
              </w:rPr>
            </w:pPr>
            <w:r>
              <w:rPr>
                <w:rFonts w:ascii="宋体" w:hAnsi="宋体" w:cs="宋体"/>
                <w:bCs/>
                <w:szCs w:val="21"/>
              </w:rPr>
              <w:t>手续简：线上申请+线上签约，足不出户</w:t>
            </w:r>
          </w:p>
          <w:p>
            <w:pPr>
              <w:spacing w:line="360" w:lineRule="exact"/>
              <w:rPr>
                <w:rFonts w:hint="default" w:ascii="宋体" w:hAnsi="宋体" w:cs="宋体"/>
                <w:bCs/>
                <w:szCs w:val="21"/>
              </w:rPr>
            </w:pPr>
            <w:r>
              <w:rPr>
                <w:rFonts w:ascii="宋体" w:hAnsi="宋体" w:cs="宋体"/>
                <w:bCs/>
                <w:szCs w:val="21"/>
              </w:rPr>
              <w:t>利率优：按优于一般中小企业贷款利率执行</w:t>
            </w:r>
          </w:p>
          <w:p>
            <w:pPr>
              <w:spacing w:line="360" w:lineRule="exact"/>
              <w:rPr>
                <w:rFonts w:hint="default" w:ascii="宋体" w:hAnsi="宋体" w:cs="宋体"/>
                <w:szCs w:val="21"/>
              </w:rPr>
            </w:pPr>
            <w:r>
              <w:rPr>
                <w:rFonts w:ascii="宋体" w:hAnsi="宋体" w:cs="宋体"/>
                <w:bCs/>
                <w:szCs w:val="21"/>
              </w:rPr>
              <w:t>额度高：最高为合同金额的80%</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叶经理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招商银行股份有限公司温州分行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陈经理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兴业银行股份有限公司温州分行</w:t>
            </w:r>
          </w:p>
        </w:tc>
        <w:tc>
          <w:tcPr>
            <w:tcW w:w="5611" w:type="dxa"/>
            <w:vAlign w:val="center"/>
          </w:tcPr>
          <w:p>
            <w:pPr>
              <w:pStyle w:val="33"/>
              <w:widowControl/>
              <w:spacing w:line="360" w:lineRule="exact"/>
              <w:ind w:firstLine="0" w:firstLineChars="0"/>
              <w:rPr>
                <w:rFonts w:hint="default" w:ascii="宋体" w:hAnsi="宋体" w:eastAsia="宋体" w:cs="宋体"/>
                <w:bCs/>
                <w:kern w:val="0"/>
                <w:sz w:val="21"/>
                <w:szCs w:val="21"/>
              </w:rPr>
            </w:pPr>
            <w:r>
              <w:rPr>
                <w:rFonts w:ascii="宋体" w:hAnsi="宋体" w:eastAsia="宋体" w:cs="宋体"/>
                <w:bCs/>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张经理</w:t>
            </w:r>
          </w:p>
          <w:p>
            <w:pPr>
              <w:spacing w:line="360" w:lineRule="exact"/>
              <w:jc w:val="center"/>
              <w:rPr>
                <w:rFonts w:hint="default" w:ascii="宋体" w:hAnsi="宋体" w:cs="宋体"/>
                <w:szCs w:val="21"/>
              </w:rPr>
            </w:pPr>
            <w:r>
              <w:rPr>
                <w:rFonts w:ascii="宋体" w:hAnsi="宋体" w:cs="宋体"/>
                <w:szCs w:val="21"/>
              </w:rPr>
              <w:t>陈经理</w:t>
            </w:r>
          </w:p>
        </w:tc>
        <w:tc>
          <w:tcPr>
            <w:tcW w:w="1680"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0577-88369368/13857713118</w:t>
            </w:r>
          </w:p>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温州银行股份有限公司温州分行</w:t>
            </w:r>
          </w:p>
        </w:tc>
        <w:tc>
          <w:tcPr>
            <w:tcW w:w="5611" w:type="dxa"/>
            <w:vAlign w:val="center"/>
          </w:tcPr>
          <w:p>
            <w:pPr>
              <w:spacing w:line="360" w:lineRule="exact"/>
              <w:rPr>
                <w:rFonts w:hint="default" w:ascii="宋体" w:hAnsi="宋体" w:cs="宋体"/>
                <w:bCs/>
                <w:szCs w:val="21"/>
              </w:rPr>
            </w:pPr>
            <w:r>
              <w:rPr>
                <w:rFonts w:ascii="宋体" w:hAnsi="宋体" w:cs="宋体"/>
                <w:bCs/>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陈经理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温州银行股份有限公司鹿城分行</w:t>
            </w:r>
          </w:p>
        </w:tc>
        <w:tc>
          <w:tcPr>
            <w:tcW w:w="5611" w:type="dxa"/>
            <w:vAlign w:val="center"/>
          </w:tcPr>
          <w:p>
            <w:pPr>
              <w:spacing w:line="360" w:lineRule="exact"/>
              <w:rPr>
                <w:rFonts w:hint="default" w:ascii="宋体" w:hAnsi="宋体" w:cs="宋体"/>
                <w:szCs w:val="21"/>
              </w:rPr>
            </w:pPr>
            <w:r>
              <w:rPr>
                <w:rFonts w:ascii="宋体" w:hAnsi="宋体" w:cs="宋体"/>
                <w:szCs w:val="21"/>
              </w:rPr>
              <w:t>政采订单贷：1、面向政府采购项目供应商，满足供应商资金周转需求，凭中标通知书即可申请，2、秒知额高，最高可贷500万元，单笔业务金额可贷中标金额的80%，</w:t>
            </w:r>
          </w:p>
          <w:p>
            <w:pPr>
              <w:pStyle w:val="26"/>
              <w:spacing w:line="360" w:lineRule="exact"/>
              <w:ind w:left="5" w:firstLine="0" w:firstLineChars="0"/>
              <w:rPr>
                <w:rFonts w:hint="default" w:ascii="宋体" w:hAnsi="宋体" w:cs="宋体"/>
                <w:szCs w:val="21"/>
              </w:rPr>
            </w:pPr>
            <w:r>
              <w:rPr>
                <w:rFonts w:ascii="宋体" w:hAnsi="宋体" w:cs="宋体"/>
                <w:szCs w:val="21"/>
              </w:rPr>
              <w:t>最长期限可贷1年。信保贷：1、额度最高可达500万元</w:t>
            </w:r>
          </w:p>
          <w:p>
            <w:pPr>
              <w:spacing w:line="360" w:lineRule="exact"/>
              <w:rPr>
                <w:rFonts w:hint="default" w:ascii="宋体" w:hAnsi="宋体" w:cs="宋体"/>
                <w:szCs w:val="21"/>
              </w:rPr>
            </w:pPr>
            <w:r>
              <w:rPr>
                <w:rFonts w:ascii="宋体" w:hAnsi="宋体" w:cs="宋体"/>
                <w:szCs w:val="21"/>
              </w:rPr>
              <w:t>2、担保灵活，信用贷款3、贷款年利率至少可享受本单位一般性中小企业信用贷款利率基础上下浮10 %</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戴经理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交通银行股份有限公司温州分行</w:t>
            </w:r>
          </w:p>
        </w:tc>
        <w:tc>
          <w:tcPr>
            <w:tcW w:w="5611" w:type="dxa"/>
            <w:vAlign w:val="center"/>
          </w:tcPr>
          <w:p>
            <w:pPr>
              <w:spacing w:line="360" w:lineRule="exact"/>
              <w:rPr>
                <w:rFonts w:hint="default" w:ascii="宋体" w:hAnsi="宋体" w:cs="宋体"/>
                <w:szCs w:val="21"/>
              </w:rPr>
            </w:pPr>
            <w:r>
              <w:rPr>
                <w:rFonts w:ascii="宋体" w:hAnsi="宋体" w:cs="宋体"/>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缪经理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112" w:type="dxa"/>
            <w:vAlign w:val="center"/>
          </w:tcPr>
          <w:p>
            <w:pPr>
              <w:pStyle w:val="33"/>
              <w:widowControl/>
              <w:spacing w:line="360" w:lineRule="exact"/>
              <w:ind w:firstLine="0" w:firstLineChars="0"/>
              <w:jc w:val="center"/>
              <w:rPr>
                <w:rFonts w:hint="default" w:ascii="宋体" w:hAnsi="宋体" w:eastAsia="宋体" w:cs="宋体"/>
                <w:kern w:val="0"/>
                <w:sz w:val="21"/>
                <w:szCs w:val="21"/>
              </w:rPr>
            </w:pPr>
            <w:r>
              <w:rPr>
                <w:rFonts w:ascii="宋体" w:hAnsi="宋体" w:eastAsia="宋体" w:cs="宋体"/>
                <w:kern w:val="0"/>
                <w:sz w:val="21"/>
                <w:szCs w:val="21"/>
              </w:rPr>
              <w:t>上海浦东发展银行股份有限公司温州分行</w:t>
            </w:r>
          </w:p>
        </w:tc>
        <w:tc>
          <w:tcPr>
            <w:tcW w:w="5611" w:type="dxa"/>
            <w:vAlign w:val="center"/>
          </w:tcPr>
          <w:p>
            <w:pPr>
              <w:spacing w:line="360" w:lineRule="exact"/>
              <w:rPr>
                <w:rFonts w:hint="default" w:ascii="宋体" w:hAnsi="宋体" w:cs="宋体"/>
                <w:bCs/>
                <w:szCs w:val="21"/>
              </w:rPr>
            </w:pPr>
            <w:r>
              <w:rPr>
                <w:rFonts w:ascii="宋体" w:hAnsi="宋体" w:cs="宋体"/>
                <w:bCs/>
                <w:szCs w:val="21"/>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spacing w:line="360" w:lineRule="exact"/>
              <w:rPr>
                <w:rFonts w:hint="default" w:ascii="宋体" w:hAnsi="宋体" w:cs="宋体"/>
                <w:szCs w:val="21"/>
              </w:rPr>
            </w:pPr>
            <w:r>
              <w:rPr>
                <w:rFonts w:ascii="宋体" w:hAnsi="宋体" w:cs="宋体"/>
                <w:bCs/>
                <w:szCs w:val="21"/>
              </w:rPr>
              <w:t>所需材料：企业基础证件、相关中标文件（中标通知书 、采购合同等）、其他必要文件</w:t>
            </w:r>
          </w:p>
        </w:tc>
        <w:tc>
          <w:tcPr>
            <w:tcW w:w="1020" w:type="dxa"/>
            <w:vAlign w:val="center"/>
          </w:tcPr>
          <w:p>
            <w:pPr>
              <w:spacing w:line="360" w:lineRule="exact"/>
              <w:jc w:val="center"/>
              <w:rPr>
                <w:rFonts w:hint="default" w:ascii="宋体" w:hAnsi="宋体" w:cs="宋体"/>
                <w:szCs w:val="21"/>
              </w:rPr>
            </w:pPr>
            <w:r>
              <w:rPr>
                <w:rFonts w:ascii="宋体" w:hAnsi="宋体" w:cs="宋体"/>
                <w:szCs w:val="21"/>
              </w:rPr>
              <w:t>叶经理</w:t>
            </w:r>
          </w:p>
        </w:tc>
        <w:tc>
          <w:tcPr>
            <w:tcW w:w="1680" w:type="dxa"/>
            <w:vAlign w:val="center"/>
          </w:tcPr>
          <w:p>
            <w:pPr>
              <w:spacing w:line="360" w:lineRule="exact"/>
              <w:jc w:val="center"/>
              <w:rPr>
                <w:rFonts w:hint="default" w:ascii="宋体" w:hAnsi="宋体" w:cs="宋体"/>
                <w:szCs w:val="21"/>
              </w:rPr>
            </w:pPr>
            <w:r>
              <w:rPr>
                <w:rFonts w:ascii="宋体" w:hAnsi="宋体" w:cs="宋体"/>
                <w:szCs w:val="21"/>
              </w:rPr>
              <w:t>0577-55570829</w:t>
            </w:r>
          </w:p>
        </w:tc>
      </w:tr>
    </w:tbl>
    <w:p>
      <w:pPr>
        <w:widowControl/>
        <w:spacing w:before="78" w:beforeLines="25"/>
        <w:jc w:val="center"/>
        <w:rPr>
          <w:rFonts w:hint="default" w:ascii="黑体" w:hAnsi="黑体" w:eastAsia="黑体" w:cs="黑体"/>
          <w:sz w:val="30"/>
          <w:szCs w:val="30"/>
        </w:rPr>
      </w:pPr>
      <w:bookmarkStart w:id="534" w:name="_Toc17671"/>
      <w:bookmarkStart w:id="535" w:name="_Toc27890"/>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p>
    <w:p>
      <w:pPr>
        <w:widowControl/>
        <w:spacing w:before="78" w:beforeLines="25"/>
        <w:jc w:val="center"/>
        <w:rPr>
          <w:rFonts w:hint="default" w:ascii="黑体" w:hAnsi="黑体" w:eastAsia="黑体" w:cs="黑体"/>
          <w:sz w:val="30"/>
          <w:szCs w:val="30"/>
        </w:rPr>
      </w:pPr>
      <w:r>
        <w:rPr>
          <w:rFonts w:ascii="黑体" w:hAnsi="黑体" w:eastAsia="黑体" w:cs="黑体"/>
          <w:sz w:val="30"/>
          <w:szCs w:val="30"/>
        </w:rPr>
        <w:t>温州市政府采购信用融资意向银行选择表</w:t>
      </w:r>
      <w:bookmarkEnd w:id="534"/>
      <w:bookmarkEnd w:id="535"/>
    </w:p>
    <w:p>
      <w:pPr>
        <w:widowControl/>
        <w:spacing w:before="156" w:beforeLines="50" w:after="156" w:afterLines="50"/>
        <w:jc w:val="center"/>
        <w:rPr>
          <w:rFonts w:hint="default" w:ascii="黑体" w:hAnsi="黑体" w:eastAsia="黑体" w:cs="黑体"/>
          <w:sz w:val="24"/>
          <w:szCs w:val="24"/>
        </w:rPr>
      </w:pPr>
      <w:bookmarkStart w:id="536" w:name="_Toc10603"/>
      <w:bookmarkStart w:id="537" w:name="_Toc13252"/>
      <w:r>
        <w:rPr>
          <w:rFonts w:ascii="黑体" w:hAnsi="黑体" w:eastAsia="黑体" w:cs="黑体"/>
          <w:sz w:val="22"/>
          <w:szCs w:val="22"/>
        </w:rPr>
        <w:t>（温州市供应商填写）</w:t>
      </w:r>
      <w:bookmarkEnd w:id="536"/>
      <w:bookmarkEnd w:id="537"/>
    </w:p>
    <w:tbl>
      <w:tblPr>
        <w:tblStyle w:val="21"/>
        <w:tblW w:w="8631"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411"/>
        <w:gridCol w:w="1131"/>
        <w:gridCol w:w="191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企业名称</w:t>
            </w:r>
          </w:p>
        </w:tc>
        <w:tc>
          <w:tcPr>
            <w:tcW w:w="6957" w:type="dxa"/>
            <w:gridSpan w:val="4"/>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企业注册地</w:t>
            </w:r>
          </w:p>
        </w:tc>
        <w:tc>
          <w:tcPr>
            <w:tcW w:w="3542"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c>
          <w:tcPr>
            <w:tcW w:w="1919"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是否有融资意向</w:t>
            </w:r>
          </w:p>
        </w:tc>
        <w:tc>
          <w:tcPr>
            <w:tcW w:w="1496"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74"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融资联系人</w:t>
            </w:r>
          </w:p>
        </w:tc>
        <w:tc>
          <w:tcPr>
            <w:tcW w:w="2411"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c>
          <w:tcPr>
            <w:tcW w:w="1131" w:type="dxa"/>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联系方式</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
                <w:kern w:val="0"/>
                <w:sz w:val="21"/>
                <w:szCs w:val="20"/>
              </w:rPr>
            </w:pPr>
            <w:r>
              <w:rPr>
                <w:rFonts w:ascii="宋体" w:hAnsi="宋体" w:eastAsia="宋体" w:cs="宋体"/>
                <w:b/>
                <w:kern w:val="0"/>
                <w:sz w:val="21"/>
                <w:szCs w:val="20"/>
              </w:rPr>
              <w:t>温州市政府采购信用融资合作银行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
                <w:kern w:val="0"/>
                <w:sz w:val="21"/>
                <w:szCs w:val="20"/>
              </w:rPr>
            </w:pPr>
            <w:r>
              <w:rPr>
                <w:rFonts w:ascii="宋体" w:hAnsi="宋体" w:eastAsia="宋体" w:cs="宋体"/>
                <w:b/>
                <w:kern w:val="0"/>
                <w:sz w:val="21"/>
                <w:szCs w:val="2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温州银行股份有限公司温州分行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温州银行股份有限公司鹿城分行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中国工商银行股份有限公司温州分行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216" w:type="dxa"/>
            <w:gridSpan w:val="3"/>
            <w:vAlign w:val="center"/>
          </w:tcPr>
          <w:p>
            <w:pPr>
              <w:snapToGrid w:val="0"/>
              <w:jc w:val="center"/>
              <w:rPr>
                <w:rFonts w:hint="default" w:ascii="宋体" w:hAnsi="宋体" w:cs="宋体"/>
                <w:bCs/>
              </w:rPr>
            </w:pPr>
            <w:r>
              <w:rPr>
                <w:rFonts w:ascii="宋体" w:hAnsi="宋体" w:cs="宋体"/>
                <w:bCs/>
              </w:rPr>
              <w:t>中国建设银行股份有限公司温州分行</w:t>
            </w:r>
          </w:p>
        </w:tc>
        <w:tc>
          <w:tcPr>
            <w:tcW w:w="3415" w:type="dxa"/>
            <w:gridSpan w:val="2"/>
            <w:vAlign w:val="center"/>
          </w:tcPr>
          <w:p>
            <w:pPr>
              <w:snapToGrid w:val="0"/>
              <w:jc w:val="center"/>
              <w:rPr>
                <w:rFonts w:hint="default"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中国邮政储蓄银行股份有限公司温州市分行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中国民生银行股份有限公司温州分行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宁波银行股份有限公司温州分行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杭州银行股份有限公司温州分行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招商银行股份有限公司温州分行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兴业银行股份有限公司温州分行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交通银行股份有限公司温州分行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216" w:type="dxa"/>
            <w:gridSpan w:val="3"/>
            <w:vAlign w:val="center"/>
          </w:tcPr>
          <w:p>
            <w:pPr>
              <w:pStyle w:val="33"/>
              <w:snapToGrid w:val="0"/>
              <w:spacing w:line="240" w:lineRule="auto"/>
              <w:ind w:firstLine="0" w:firstLineChars="0"/>
              <w:jc w:val="center"/>
              <w:rPr>
                <w:rFonts w:hint="default" w:ascii="宋体" w:hAnsi="宋体" w:eastAsia="宋体" w:cs="宋体"/>
                <w:bCs/>
                <w:kern w:val="0"/>
                <w:sz w:val="21"/>
                <w:szCs w:val="20"/>
              </w:rPr>
            </w:pPr>
            <w:r>
              <w:rPr>
                <w:rFonts w:ascii="宋体" w:hAnsi="宋体" w:eastAsia="宋体" w:cs="宋体"/>
                <w:bCs/>
                <w:kern w:val="0"/>
                <w:sz w:val="21"/>
                <w:szCs w:val="20"/>
              </w:rPr>
              <w:t>上海浦东发展银行股份有限公司温州分行</w:t>
            </w:r>
          </w:p>
        </w:tc>
        <w:tc>
          <w:tcPr>
            <w:tcW w:w="3415" w:type="dxa"/>
            <w:gridSpan w:val="2"/>
            <w:vAlign w:val="center"/>
          </w:tcPr>
          <w:p>
            <w:pPr>
              <w:pStyle w:val="33"/>
              <w:snapToGrid w:val="0"/>
              <w:spacing w:line="240" w:lineRule="auto"/>
              <w:ind w:firstLine="0" w:firstLineChars="0"/>
              <w:jc w:val="center"/>
              <w:rPr>
                <w:rFonts w:hint="default" w:ascii="宋体" w:hAnsi="宋体" w:eastAsia="宋体" w:cs="宋体"/>
                <w:bCs/>
                <w:kern w:val="0"/>
                <w:sz w:val="21"/>
                <w:szCs w:val="20"/>
              </w:rPr>
            </w:pPr>
          </w:p>
        </w:tc>
      </w:tr>
    </w:tbl>
    <w:p>
      <w:pPr>
        <w:rPr>
          <w:rFonts w:hint="default" w:ascii="宋体" w:hAnsi="宋体" w:cs="宋体"/>
          <w:bCs/>
        </w:rPr>
      </w:pPr>
      <w:r>
        <w:rPr>
          <w:rFonts w:ascii="宋体" w:hAnsi="宋体" w:cs="宋体"/>
          <w:bCs/>
        </w:rPr>
        <w:t>注：1、本表填写对象为注册地在温州市域内的供应商。</w:t>
      </w:r>
    </w:p>
    <w:p>
      <w:pPr>
        <w:ind w:left="420" w:leftChars="200"/>
        <w:rPr>
          <w:rFonts w:hint="default" w:ascii="宋体" w:hAnsi="宋体" w:cs="宋体"/>
          <w:bCs/>
        </w:rPr>
      </w:pPr>
      <w:r>
        <w:rPr>
          <w:rFonts w:ascii="宋体" w:hAnsi="宋体" w:cs="宋体"/>
          <w:bCs/>
        </w:rPr>
        <w:t>2、财政部门根据企业自行选择，将本表及企业相关信息推送至相对应的融资意向银行经办人。</w:t>
      </w:r>
    </w:p>
    <w:p>
      <w:pPr>
        <w:pStyle w:val="29"/>
        <w:adjustRightInd/>
        <w:spacing w:line="240" w:lineRule="auto"/>
        <w:ind w:left="420" w:leftChars="200"/>
        <w:textAlignment w:val="auto"/>
        <w:rPr>
          <w:rFonts w:hint="default"/>
        </w:rPr>
      </w:pPr>
      <w:r>
        <w:t>3、</w:t>
      </w:r>
      <w:r>
        <w:rPr>
          <w:rFonts w:hAnsi="宋体"/>
          <w:sz w:val="22"/>
        </w:rPr>
        <w:t>供应商填表后发送至racgb@126.com</w:t>
      </w:r>
      <w:bookmarkEnd w:id="533"/>
    </w:p>
    <w:p>
      <w:pPr>
        <w:rPr>
          <w:rFonts w:hint="default"/>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7F" w:usb3="00000000" w:csb0="203F01FF" w:csb1="DFFF0000"/>
  </w:font>
  <w:font w:name="Times">
    <w:altName w:val="Times New Roman"/>
    <w:panose1 w:val="020206030504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Arial Black">
    <w:panose1 w:val="020B0A04020102020204"/>
    <w:charset w:val="00"/>
    <w:family w:val="swiss"/>
    <w:pitch w:val="default"/>
    <w:sig w:usb0="A00002AF" w:usb1="4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both"/>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rPr>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rPr>
                        <w:rFonts w:hint="default"/>
                      </w:rPr>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rPr>
                          </w:pPr>
                          <w:r>
                            <w:t xml:space="preserve">第 </w:t>
                          </w:r>
                          <w:r>
                            <w:fldChar w:fldCharType="begin"/>
                          </w:r>
                          <w:r>
                            <w:instrText xml:space="preserve"> PAGE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5"/>
                      <w:rPr>
                        <w:rFonts w:hint="default"/>
                      </w:rPr>
                    </w:pPr>
                    <w:r>
                      <w:t xml:space="preserve">第 </w:t>
                    </w:r>
                    <w:r>
                      <w:fldChar w:fldCharType="begin"/>
                    </w:r>
                    <w:r>
                      <w:instrText xml:space="preserve"> PAGE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utlineLvl w:val="0"/>
      <w:rPr>
        <w:rFonts w:hint="default" w:eastAsiaTheme="minorEastAsia"/>
        <w:sz w:val="10"/>
        <w:szCs w:val="16"/>
      </w:rPr>
    </w:pPr>
    <w:r>
      <w:rPr>
        <w:rFonts w:hint="eastAsia"/>
        <w:sz w:val="20"/>
      </w:rPr>
      <w:t>瑞安市汀田街道2023-2024年违章拆除及环境整治服务</w:t>
    </w:r>
    <w:r>
      <w:rPr>
        <w:rFonts w:hint="eastAsia"/>
        <w:sz w:val="20"/>
        <w:lang w:val="en-US" w:eastAsia="zh-CN"/>
      </w:rPr>
      <w:t xml:space="preserve">    </w:t>
    </w:r>
    <w:r>
      <w:rPr>
        <w:sz w:val="20"/>
      </w:rPr>
      <w:t xml:space="preserve">    </w:t>
    </w:r>
    <w:r>
      <w:rPr>
        <w:sz w:val="20"/>
        <w:szCs w:val="22"/>
      </w:rPr>
      <w:t>浙江综盛项目管理有限公司制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utlineLvl w:val="0"/>
      <w:rPr>
        <w:rFonts w:hint="default" w:eastAsiaTheme="minorEastAsia"/>
        <w:sz w:val="10"/>
        <w:szCs w:val="16"/>
      </w:rPr>
    </w:pPr>
    <w:r>
      <w:rPr>
        <w:rFonts w:hint="eastAsia"/>
        <w:sz w:val="20"/>
        <w:lang w:eastAsia="zh-CN"/>
      </w:rPr>
      <w:t>瑞安市汀田街道2023-2024年违章拆除及环境整治服务</w:t>
    </w:r>
    <w:r>
      <w:rPr>
        <w:sz w:val="20"/>
      </w:rPr>
      <w:t xml:space="preserve">    </w:t>
    </w:r>
    <w:r>
      <w:rPr>
        <w:sz w:val="20"/>
        <w:szCs w:val="22"/>
      </w:rPr>
      <w:t>浙江综盛项目管理有限公司制</w:t>
    </w:r>
  </w:p>
  <w:p>
    <w:pPr>
      <w:pStyle w:val="1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7CED6"/>
    <w:multiLevelType w:val="singleLevel"/>
    <w:tmpl w:val="81F7CED6"/>
    <w:lvl w:ilvl="0" w:tentative="0">
      <w:start w:val="1"/>
      <w:numFmt w:val="decimal"/>
      <w:lvlText w:val="(%1)"/>
      <w:lvlJc w:val="left"/>
      <w:pPr>
        <w:ind w:left="425" w:hanging="425"/>
      </w:pPr>
      <w:rPr>
        <w:rFonts w:hint="default"/>
      </w:rPr>
    </w:lvl>
  </w:abstractNum>
  <w:abstractNum w:abstractNumId="1">
    <w:nsid w:val="84A24ADA"/>
    <w:multiLevelType w:val="multilevel"/>
    <w:tmpl w:val="84A24ADA"/>
    <w:lvl w:ilvl="0" w:tentative="0">
      <w:start w:val="1"/>
      <w:numFmt w:val="decimal"/>
      <w:suff w:val="nothing"/>
      <w:lvlText w:val="（%1）"/>
      <w:lvlJc w:val="left"/>
      <w:pPr>
        <w:tabs>
          <w:tab w:val="left" w:pos="420"/>
        </w:tabs>
        <w:ind w:left="1138" w:hanging="420"/>
      </w:pPr>
      <w:rPr>
        <w:rFonts w:hint="default" w:ascii="宋体" w:hAnsi="宋体" w:eastAsia="宋体" w:cs="Times New Roman"/>
        <w:color w:val="auto"/>
        <w:sz w:val="21"/>
        <w:szCs w:val="21"/>
        <w:lang w:val="en-US"/>
      </w:rPr>
    </w:lvl>
    <w:lvl w:ilvl="1" w:tentative="0">
      <w:start w:val="1"/>
      <w:numFmt w:val="lowerLetter"/>
      <w:lvlText w:val="%2)"/>
      <w:lvlJc w:val="left"/>
      <w:pPr>
        <w:ind w:left="1558" w:hanging="420"/>
      </w:pPr>
      <w:rPr>
        <w:rFonts w:cs="Times New Roman"/>
      </w:rPr>
    </w:lvl>
    <w:lvl w:ilvl="2" w:tentative="0">
      <w:start w:val="1"/>
      <w:numFmt w:val="lowerRoman"/>
      <w:lvlText w:val="%3."/>
      <w:lvlJc w:val="right"/>
      <w:pPr>
        <w:ind w:left="1978" w:hanging="420"/>
      </w:pPr>
      <w:rPr>
        <w:rFonts w:cs="Times New Roman"/>
      </w:rPr>
    </w:lvl>
    <w:lvl w:ilvl="3" w:tentative="0">
      <w:start w:val="1"/>
      <w:numFmt w:val="decimal"/>
      <w:lvlText w:val="%4."/>
      <w:lvlJc w:val="left"/>
      <w:pPr>
        <w:ind w:left="2398" w:hanging="420"/>
      </w:pPr>
      <w:rPr>
        <w:rFonts w:cs="Times New Roman"/>
      </w:rPr>
    </w:lvl>
    <w:lvl w:ilvl="4" w:tentative="0">
      <w:start w:val="1"/>
      <w:numFmt w:val="lowerLetter"/>
      <w:lvlText w:val="%5)"/>
      <w:lvlJc w:val="left"/>
      <w:pPr>
        <w:ind w:left="2818" w:hanging="420"/>
      </w:pPr>
      <w:rPr>
        <w:rFonts w:cs="Times New Roman"/>
      </w:rPr>
    </w:lvl>
    <w:lvl w:ilvl="5" w:tentative="0">
      <w:start w:val="1"/>
      <w:numFmt w:val="lowerRoman"/>
      <w:lvlText w:val="%6."/>
      <w:lvlJc w:val="right"/>
      <w:pPr>
        <w:ind w:left="3238" w:hanging="420"/>
      </w:pPr>
      <w:rPr>
        <w:rFonts w:cs="Times New Roman"/>
      </w:rPr>
    </w:lvl>
    <w:lvl w:ilvl="6" w:tentative="0">
      <w:start w:val="1"/>
      <w:numFmt w:val="decimal"/>
      <w:lvlText w:val="%7."/>
      <w:lvlJc w:val="left"/>
      <w:pPr>
        <w:ind w:left="3658" w:hanging="420"/>
      </w:pPr>
      <w:rPr>
        <w:rFonts w:cs="Times New Roman"/>
      </w:rPr>
    </w:lvl>
    <w:lvl w:ilvl="7" w:tentative="0">
      <w:start w:val="1"/>
      <w:numFmt w:val="lowerLetter"/>
      <w:lvlText w:val="%8)"/>
      <w:lvlJc w:val="left"/>
      <w:pPr>
        <w:ind w:left="4078" w:hanging="420"/>
      </w:pPr>
      <w:rPr>
        <w:rFonts w:cs="Times New Roman"/>
      </w:rPr>
    </w:lvl>
    <w:lvl w:ilvl="8" w:tentative="0">
      <w:start w:val="1"/>
      <w:numFmt w:val="lowerRoman"/>
      <w:lvlText w:val="%9."/>
      <w:lvlJc w:val="right"/>
      <w:pPr>
        <w:ind w:left="4498" w:hanging="420"/>
      </w:pPr>
      <w:rPr>
        <w:rFonts w:cs="Times New Roman"/>
      </w:rPr>
    </w:lvl>
  </w:abstractNum>
  <w:abstractNum w:abstractNumId="2">
    <w:nsid w:val="93D77E27"/>
    <w:multiLevelType w:val="singleLevel"/>
    <w:tmpl w:val="93D77E27"/>
    <w:lvl w:ilvl="0" w:tentative="0">
      <w:start w:val="1"/>
      <w:numFmt w:val="decimal"/>
      <w:suff w:val="space"/>
      <w:lvlText w:val="%1."/>
      <w:lvlJc w:val="left"/>
    </w:lvl>
  </w:abstractNum>
  <w:abstractNum w:abstractNumId="3">
    <w:nsid w:val="9FF36C32"/>
    <w:multiLevelType w:val="singleLevel"/>
    <w:tmpl w:val="9FF36C32"/>
    <w:lvl w:ilvl="0" w:tentative="0">
      <w:start w:val="2"/>
      <w:numFmt w:val="chineseCounting"/>
      <w:suff w:val="nothing"/>
      <w:lvlText w:val="%1、"/>
      <w:lvlJc w:val="left"/>
      <w:rPr>
        <w:rFonts w:hint="eastAsia"/>
      </w:rPr>
    </w:lvl>
  </w:abstractNum>
  <w:abstractNum w:abstractNumId="4">
    <w:nsid w:val="BDD12A83"/>
    <w:multiLevelType w:val="multilevel"/>
    <w:tmpl w:val="BDD12A83"/>
    <w:lvl w:ilvl="0" w:tentative="0">
      <w:start w:val="1"/>
      <w:numFmt w:val="decimal"/>
      <w:suff w:val="space"/>
      <w:lvlText w:val="（%1）"/>
      <w:lvlJc w:val="left"/>
      <w:pPr>
        <w:tabs>
          <w:tab w:val="left" w:pos="420"/>
        </w:tabs>
        <w:ind w:left="0" w:firstLine="0"/>
      </w:pPr>
      <w:rPr>
        <w:rFonts w:hint="default" w:cs="Times New Roman"/>
        <w:color w:val="auto"/>
        <w:sz w:val="21"/>
        <w:lang w:val="en-US"/>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DB6A8EA1"/>
    <w:multiLevelType w:val="singleLevel"/>
    <w:tmpl w:val="DB6A8EA1"/>
    <w:lvl w:ilvl="0" w:tentative="0">
      <w:start w:val="1"/>
      <w:numFmt w:val="decimal"/>
      <w:suff w:val="space"/>
      <w:lvlText w:val="%1."/>
      <w:lvlJc w:val="left"/>
    </w:lvl>
  </w:abstractNum>
  <w:abstractNum w:abstractNumId="6">
    <w:nsid w:val="E4BBD852"/>
    <w:multiLevelType w:val="singleLevel"/>
    <w:tmpl w:val="E4BBD852"/>
    <w:lvl w:ilvl="0" w:tentative="0">
      <w:start w:val="1"/>
      <w:numFmt w:val="decimal"/>
      <w:lvlText w:val="%1."/>
      <w:lvlJc w:val="left"/>
      <w:pPr>
        <w:tabs>
          <w:tab w:val="left" w:pos="312"/>
        </w:tabs>
      </w:pPr>
    </w:lvl>
  </w:abstractNum>
  <w:abstractNum w:abstractNumId="7">
    <w:nsid w:val="EA48FFAD"/>
    <w:multiLevelType w:val="singleLevel"/>
    <w:tmpl w:val="EA48FFAD"/>
    <w:lvl w:ilvl="0" w:tentative="0">
      <w:start w:val="1"/>
      <w:numFmt w:val="decimal"/>
      <w:lvlText w:val="(%1)"/>
      <w:lvlJc w:val="left"/>
      <w:pPr>
        <w:ind w:left="425" w:hanging="425"/>
      </w:pPr>
      <w:rPr>
        <w:rFonts w:hint="default"/>
      </w:rPr>
    </w:lvl>
  </w:abstractNum>
  <w:abstractNum w:abstractNumId="8">
    <w:nsid w:val="FC8332B9"/>
    <w:multiLevelType w:val="singleLevel"/>
    <w:tmpl w:val="FC8332B9"/>
    <w:lvl w:ilvl="0" w:tentative="0">
      <w:start w:val="1"/>
      <w:numFmt w:val="decimal"/>
      <w:suff w:val="nothing"/>
      <w:lvlText w:val="（%1）"/>
      <w:lvlJc w:val="left"/>
    </w:lvl>
  </w:abstractNum>
  <w:abstractNum w:abstractNumId="9">
    <w:nsid w:val="00000015"/>
    <w:multiLevelType w:val="singleLevel"/>
    <w:tmpl w:val="00000015"/>
    <w:lvl w:ilvl="0" w:tentative="0">
      <w:start w:val="1"/>
      <w:numFmt w:val="decimal"/>
      <w:lvlText w:val="（%1）"/>
      <w:lvlJc w:val="left"/>
      <w:pPr>
        <w:ind w:left="420" w:hanging="420"/>
      </w:pPr>
      <w:rPr>
        <w:rFonts w:hint="eastAsia"/>
        <w:color w:val="auto"/>
        <w:lang w:val="en-US"/>
      </w:rPr>
    </w:lvl>
  </w:abstractNum>
  <w:abstractNum w:abstractNumId="10">
    <w:nsid w:val="00000019"/>
    <w:multiLevelType w:val="multilevel"/>
    <w:tmpl w:val="00000019"/>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1">
    <w:nsid w:val="0000001A"/>
    <w:multiLevelType w:val="multilevel"/>
    <w:tmpl w:val="0000001A"/>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0000001C"/>
    <w:multiLevelType w:val="multilevel"/>
    <w:tmpl w:val="0000001C"/>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E"/>
    <w:multiLevelType w:val="multilevel"/>
    <w:tmpl w:val="0000001E"/>
    <w:lvl w:ilvl="0" w:tentative="0">
      <w:start w:val="1"/>
      <w:numFmt w:val="decimal"/>
      <w:lvlText w:val="（%1）"/>
      <w:lvlJc w:val="left"/>
      <w:pPr>
        <w:ind w:left="1560" w:hanging="720"/>
      </w:pPr>
      <w:rPr>
        <w:rFonts w:hint="default" w:cs="Times New Roman"/>
        <w:color w:val="auto"/>
        <w:sz w:val="21"/>
      </w:rPr>
    </w:lvl>
    <w:lvl w:ilvl="1" w:tentative="0">
      <w:start w:val="1"/>
      <w:numFmt w:val="decimal"/>
      <w:lvlText w:val="2.%2"/>
      <w:lvlJc w:val="left"/>
      <w:pPr>
        <w:ind w:left="1620" w:hanging="360"/>
      </w:pPr>
      <w:rPr>
        <w:rFonts w:hint="eastAsia" w:cs="Times New Roman"/>
        <w:color w:val="auto"/>
      </w:rPr>
    </w:lvl>
    <w:lvl w:ilvl="2" w:tentative="0">
      <w:start w:val="1"/>
      <w:numFmt w:val="decimalEnclosedCircle"/>
      <w:lvlText w:val="%3"/>
      <w:lvlJc w:val="left"/>
      <w:pPr>
        <w:ind w:left="2085" w:hanging="405"/>
      </w:pPr>
      <w:rPr>
        <w:rFonts w:hint="default" w:hAnsi="宋体"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14">
    <w:nsid w:val="0F1A6F35"/>
    <w:multiLevelType w:val="singleLevel"/>
    <w:tmpl w:val="0F1A6F35"/>
    <w:lvl w:ilvl="0" w:tentative="0">
      <w:start w:val="1"/>
      <w:numFmt w:val="decimal"/>
      <w:suff w:val="nothing"/>
      <w:lvlText w:val="（%1）"/>
      <w:lvlJc w:val="left"/>
    </w:lvl>
  </w:abstractNum>
  <w:abstractNum w:abstractNumId="15">
    <w:nsid w:val="1759A82E"/>
    <w:multiLevelType w:val="singleLevel"/>
    <w:tmpl w:val="1759A82E"/>
    <w:lvl w:ilvl="0" w:tentative="0">
      <w:start w:val="1"/>
      <w:numFmt w:val="decimal"/>
      <w:suff w:val="nothing"/>
      <w:lvlText w:val="%1．"/>
      <w:lvlJc w:val="left"/>
      <w:pPr>
        <w:ind w:left="0" w:firstLine="400"/>
      </w:pPr>
      <w:rPr>
        <w:rFonts w:hint="default"/>
      </w:rPr>
    </w:lvl>
  </w:abstractNum>
  <w:abstractNum w:abstractNumId="16">
    <w:nsid w:val="35223091"/>
    <w:multiLevelType w:val="singleLevel"/>
    <w:tmpl w:val="35223091"/>
    <w:lvl w:ilvl="0" w:tentative="0">
      <w:start w:val="1"/>
      <w:numFmt w:val="decimal"/>
      <w:lvlText w:val="(%1)"/>
      <w:lvlJc w:val="left"/>
      <w:pPr>
        <w:ind w:left="425" w:hanging="425"/>
      </w:pPr>
      <w:rPr>
        <w:rFonts w:hint="default"/>
      </w:rPr>
    </w:lvl>
  </w:abstractNum>
  <w:abstractNum w:abstractNumId="17">
    <w:nsid w:val="3E0A99FA"/>
    <w:multiLevelType w:val="multilevel"/>
    <w:tmpl w:val="3E0A99FA"/>
    <w:lvl w:ilvl="0" w:tentative="0">
      <w:start w:val="1"/>
      <w:numFmt w:val="decimal"/>
      <w:suff w:val="nothing"/>
      <w:lvlText w:val="（%1）"/>
      <w:lvlJc w:val="left"/>
      <w:pPr>
        <w:tabs>
          <w:tab w:val="left" w:pos="420"/>
        </w:tabs>
        <w:ind w:left="1138" w:hanging="420"/>
      </w:pPr>
      <w:rPr>
        <w:rFonts w:hint="default" w:ascii="宋体" w:hAnsi="宋体" w:eastAsia="宋体" w:cs="Times New Roman"/>
        <w:color w:val="auto"/>
        <w:sz w:val="21"/>
        <w:szCs w:val="21"/>
        <w:lang w:val="en-US"/>
      </w:rPr>
    </w:lvl>
    <w:lvl w:ilvl="1" w:tentative="0">
      <w:start w:val="1"/>
      <w:numFmt w:val="lowerLetter"/>
      <w:lvlText w:val="%2)"/>
      <w:lvlJc w:val="left"/>
      <w:pPr>
        <w:ind w:left="1558" w:hanging="420"/>
      </w:pPr>
      <w:rPr>
        <w:rFonts w:cs="Times New Roman"/>
      </w:rPr>
    </w:lvl>
    <w:lvl w:ilvl="2" w:tentative="0">
      <w:start w:val="1"/>
      <w:numFmt w:val="lowerRoman"/>
      <w:lvlText w:val="%3."/>
      <w:lvlJc w:val="right"/>
      <w:pPr>
        <w:ind w:left="1978" w:hanging="420"/>
      </w:pPr>
      <w:rPr>
        <w:rFonts w:cs="Times New Roman"/>
      </w:rPr>
    </w:lvl>
    <w:lvl w:ilvl="3" w:tentative="0">
      <w:start w:val="1"/>
      <w:numFmt w:val="decimal"/>
      <w:lvlText w:val="%4."/>
      <w:lvlJc w:val="left"/>
      <w:pPr>
        <w:ind w:left="2398" w:hanging="420"/>
      </w:pPr>
      <w:rPr>
        <w:rFonts w:cs="Times New Roman"/>
      </w:rPr>
    </w:lvl>
    <w:lvl w:ilvl="4" w:tentative="0">
      <w:start w:val="1"/>
      <w:numFmt w:val="lowerLetter"/>
      <w:lvlText w:val="%5)"/>
      <w:lvlJc w:val="left"/>
      <w:pPr>
        <w:ind w:left="2818" w:hanging="420"/>
      </w:pPr>
      <w:rPr>
        <w:rFonts w:cs="Times New Roman"/>
      </w:rPr>
    </w:lvl>
    <w:lvl w:ilvl="5" w:tentative="0">
      <w:start w:val="1"/>
      <w:numFmt w:val="lowerRoman"/>
      <w:lvlText w:val="%6."/>
      <w:lvlJc w:val="right"/>
      <w:pPr>
        <w:ind w:left="3238" w:hanging="420"/>
      </w:pPr>
      <w:rPr>
        <w:rFonts w:cs="Times New Roman"/>
      </w:rPr>
    </w:lvl>
    <w:lvl w:ilvl="6" w:tentative="0">
      <w:start w:val="1"/>
      <w:numFmt w:val="decimal"/>
      <w:lvlText w:val="%7."/>
      <w:lvlJc w:val="left"/>
      <w:pPr>
        <w:ind w:left="3658" w:hanging="420"/>
      </w:pPr>
      <w:rPr>
        <w:rFonts w:cs="Times New Roman"/>
      </w:rPr>
    </w:lvl>
    <w:lvl w:ilvl="7" w:tentative="0">
      <w:start w:val="1"/>
      <w:numFmt w:val="lowerLetter"/>
      <w:lvlText w:val="%8)"/>
      <w:lvlJc w:val="left"/>
      <w:pPr>
        <w:ind w:left="4078" w:hanging="420"/>
      </w:pPr>
      <w:rPr>
        <w:rFonts w:cs="Times New Roman"/>
      </w:rPr>
    </w:lvl>
    <w:lvl w:ilvl="8" w:tentative="0">
      <w:start w:val="1"/>
      <w:numFmt w:val="lowerRoman"/>
      <w:lvlText w:val="%9."/>
      <w:lvlJc w:val="right"/>
      <w:pPr>
        <w:ind w:left="4498" w:hanging="420"/>
      </w:pPr>
      <w:rPr>
        <w:rFonts w:cs="Times New Roman"/>
      </w:rPr>
    </w:lvl>
  </w:abstractNum>
  <w:abstractNum w:abstractNumId="18">
    <w:nsid w:val="4F50C2A5"/>
    <w:multiLevelType w:val="singleLevel"/>
    <w:tmpl w:val="4F50C2A5"/>
    <w:lvl w:ilvl="0" w:tentative="0">
      <w:start w:val="1"/>
      <w:numFmt w:val="decimal"/>
      <w:suff w:val="space"/>
      <w:lvlText w:val="%1."/>
      <w:lvlJc w:val="left"/>
    </w:lvl>
  </w:abstractNum>
  <w:abstractNum w:abstractNumId="19">
    <w:nsid w:val="557FD3DA"/>
    <w:multiLevelType w:val="singleLevel"/>
    <w:tmpl w:val="557FD3DA"/>
    <w:lvl w:ilvl="0" w:tentative="0">
      <w:start w:val="3"/>
      <w:numFmt w:val="chineseCounting"/>
      <w:suff w:val="nothing"/>
      <w:lvlText w:val="%1、"/>
      <w:lvlJc w:val="left"/>
    </w:lvl>
  </w:abstractNum>
  <w:abstractNum w:abstractNumId="20">
    <w:nsid w:val="593C976F"/>
    <w:multiLevelType w:val="singleLevel"/>
    <w:tmpl w:val="593C976F"/>
    <w:lvl w:ilvl="0" w:tentative="0">
      <w:start w:val="1"/>
      <w:numFmt w:val="chineseCounting"/>
      <w:suff w:val="nothing"/>
      <w:lvlText w:val="（%1）"/>
      <w:lvlJc w:val="left"/>
    </w:lvl>
  </w:abstractNum>
  <w:abstractNum w:abstractNumId="21">
    <w:nsid w:val="5C1A6A8E"/>
    <w:multiLevelType w:val="singleLevel"/>
    <w:tmpl w:val="5C1A6A8E"/>
    <w:lvl w:ilvl="0" w:tentative="0">
      <w:start w:val="1"/>
      <w:numFmt w:val="decimal"/>
      <w:suff w:val="space"/>
      <w:lvlText w:val="%1)"/>
      <w:lvlJc w:val="left"/>
    </w:lvl>
  </w:abstractNum>
  <w:abstractNum w:abstractNumId="22">
    <w:nsid w:val="612C0E64"/>
    <w:multiLevelType w:val="multilevel"/>
    <w:tmpl w:val="612C0E64"/>
    <w:lvl w:ilvl="0" w:tentative="0">
      <w:start w:val="1"/>
      <w:numFmt w:val="decimal"/>
      <w:lvlText w:val="%1."/>
      <w:lvlJc w:val="left"/>
      <w:pPr>
        <w:tabs>
          <w:tab w:val="left" w:pos="1244"/>
        </w:tabs>
        <w:ind w:left="1260"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23">
    <w:nsid w:val="6BE89767"/>
    <w:multiLevelType w:val="singleLevel"/>
    <w:tmpl w:val="6BE89767"/>
    <w:lvl w:ilvl="0" w:tentative="0">
      <w:start w:val="1"/>
      <w:numFmt w:val="decimal"/>
      <w:suff w:val="space"/>
      <w:lvlText w:val="%1）"/>
      <w:lvlJc w:val="left"/>
    </w:lvl>
  </w:abstractNum>
  <w:abstractNum w:abstractNumId="24">
    <w:nsid w:val="792E58DD"/>
    <w:multiLevelType w:val="multilevel"/>
    <w:tmpl w:val="792E58DD"/>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5">
    <w:nsid w:val="7D0529F4"/>
    <w:multiLevelType w:val="singleLevel"/>
    <w:tmpl w:val="7D0529F4"/>
    <w:lvl w:ilvl="0" w:tentative="0">
      <w:start w:val="1"/>
      <w:numFmt w:val="decimal"/>
      <w:lvlText w:val="%1."/>
      <w:lvlJc w:val="left"/>
      <w:pPr>
        <w:tabs>
          <w:tab w:val="left" w:pos="454"/>
        </w:tabs>
        <w:ind w:left="454" w:hanging="454"/>
      </w:pPr>
      <w:rPr>
        <w:rFonts w:hint="default"/>
      </w:rPr>
    </w:lvl>
  </w:abstractNum>
  <w:num w:numId="1">
    <w:abstractNumId w:val="24"/>
  </w:num>
  <w:num w:numId="2">
    <w:abstractNumId w:val="25"/>
  </w:num>
  <w:num w:numId="3">
    <w:abstractNumId w:val="14"/>
  </w:num>
  <w:num w:numId="4">
    <w:abstractNumId w:val="21"/>
  </w:num>
  <w:num w:numId="5">
    <w:abstractNumId w:val="2"/>
  </w:num>
  <w:num w:numId="6">
    <w:abstractNumId w:val="6"/>
  </w:num>
  <w:num w:numId="7">
    <w:abstractNumId w:val="8"/>
  </w:num>
  <w:num w:numId="8">
    <w:abstractNumId w:val="15"/>
  </w:num>
  <w:num w:numId="9">
    <w:abstractNumId w:val="18"/>
  </w:num>
  <w:num w:numId="10">
    <w:abstractNumId w:val="5"/>
  </w:num>
  <w:num w:numId="11">
    <w:abstractNumId w:val="19"/>
  </w:num>
  <w:num w:numId="12">
    <w:abstractNumId w:val="10"/>
  </w:num>
  <w:num w:numId="13">
    <w:abstractNumId w:val="7"/>
  </w:num>
  <w:num w:numId="14">
    <w:abstractNumId w:val="23"/>
  </w:num>
  <w:num w:numId="15">
    <w:abstractNumId w:val="3"/>
  </w:num>
  <w:num w:numId="16">
    <w:abstractNumId w:val="17"/>
  </w:num>
  <w:num w:numId="17">
    <w:abstractNumId w:val="1"/>
  </w:num>
  <w:num w:numId="18">
    <w:abstractNumId w:val="11"/>
  </w:num>
  <w:num w:numId="19">
    <w:abstractNumId w:val="4"/>
  </w:num>
  <w:num w:numId="20">
    <w:abstractNumId w:val="16"/>
  </w:num>
  <w:num w:numId="21">
    <w:abstractNumId w:val="9"/>
  </w:num>
  <w:num w:numId="22">
    <w:abstractNumId w:val="12"/>
  </w:num>
  <w:num w:numId="23">
    <w:abstractNumId w:val="0"/>
  </w:num>
  <w:num w:numId="24">
    <w:abstractNumId w:val="2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hMjcxYmM2ODM0ODdjOTExMjE3MjMxNDk2YmFmZTEifQ=="/>
  </w:docVars>
  <w:rsids>
    <w:rsidRoot w:val="00172A27"/>
    <w:rsid w:val="00172A27"/>
    <w:rsid w:val="0079317A"/>
    <w:rsid w:val="0094463E"/>
    <w:rsid w:val="00E56D53"/>
    <w:rsid w:val="00E802BC"/>
    <w:rsid w:val="00F17AD4"/>
    <w:rsid w:val="01DE744B"/>
    <w:rsid w:val="05BC4419"/>
    <w:rsid w:val="082816B3"/>
    <w:rsid w:val="09427BD1"/>
    <w:rsid w:val="0A316F4C"/>
    <w:rsid w:val="0E03452D"/>
    <w:rsid w:val="10EF681B"/>
    <w:rsid w:val="11357601"/>
    <w:rsid w:val="13EE4319"/>
    <w:rsid w:val="156905C4"/>
    <w:rsid w:val="1A1562E3"/>
    <w:rsid w:val="1EB15DEE"/>
    <w:rsid w:val="206C2914"/>
    <w:rsid w:val="212D771A"/>
    <w:rsid w:val="23A27F1A"/>
    <w:rsid w:val="284F3A4C"/>
    <w:rsid w:val="293F179E"/>
    <w:rsid w:val="29F2010B"/>
    <w:rsid w:val="2F631FAB"/>
    <w:rsid w:val="39057B3A"/>
    <w:rsid w:val="39990705"/>
    <w:rsid w:val="3C9A2C39"/>
    <w:rsid w:val="3D2C725B"/>
    <w:rsid w:val="3E4B69D4"/>
    <w:rsid w:val="3EDC080D"/>
    <w:rsid w:val="3FCD7982"/>
    <w:rsid w:val="42C1492C"/>
    <w:rsid w:val="47747901"/>
    <w:rsid w:val="53F169C0"/>
    <w:rsid w:val="563839F4"/>
    <w:rsid w:val="57E5652D"/>
    <w:rsid w:val="594C6615"/>
    <w:rsid w:val="5C6C3898"/>
    <w:rsid w:val="5DC42FCB"/>
    <w:rsid w:val="5E5D3A59"/>
    <w:rsid w:val="5FC217B7"/>
    <w:rsid w:val="61D5264B"/>
    <w:rsid w:val="62055A75"/>
    <w:rsid w:val="621433AD"/>
    <w:rsid w:val="641011F4"/>
    <w:rsid w:val="67485FD8"/>
    <w:rsid w:val="690C1867"/>
    <w:rsid w:val="6A335BC7"/>
    <w:rsid w:val="6A926AAD"/>
    <w:rsid w:val="6AF053DA"/>
    <w:rsid w:val="6C5145B9"/>
    <w:rsid w:val="727A6BC9"/>
    <w:rsid w:val="738D2ADA"/>
    <w:rsid w:val="75D055AD"/>
    <w:rsid w:val="76800D71"/>
    <w:rsid w:val="7A1342E0"/>
    <w:rsid w:val="7BAE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1"/>
    <w:qFormat/>
    <w:uiPriority w:val="0"/>
    <w:pPr>
      <w:keepNext/>
      <w:keepLines/>
      <w:tabs>
        <w:tab w:val="left" w:pos="840"/>
      </w:tabs>
      <w:adjustRightInd w:val="0"/>
      <w:snapToGrid w:val="0"/>
      <w:spacing w:line="360" w:lineRule="auto"/>
      <w:outlineLvl w:val="0"/>
    </w:pPr>
    <w:rPr>
      <w:rFonts w:ascii="宋体"/>
      <w:b/>
      <w:kern w:val="44"/>
      <w:sz w:val="24"/>
    </w:rPr>
  </w:style>
  <w:style w:type="paragraph" w:styleId="4">
    <w:name w:val="heading 2"/>
    <w:basedOn w:val="3"/>
    <w:next w:val="1"/>
    <w:qFormat/>
    <w:uiPriority w:val="9"/>
    <w:pPr>
      <w:spacing w:before="260" w:after="260" w:line="416" w:lineRule="auto"/>
      <w:outlineLvl w:val="1"/>
    </w:pPr>
    <w:rPr>
      <w:rFonts w:ascii="Cambria" w:hAnsi="Cambria"/>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numPr>
        <w:ilvl w:val="3"/>
        <w:numId w:val="1"/>
      </w:numPr>
      <w:autoSpaceDE w:val="0"/>
      <w:autoSpaceDN w:val="0"/>
      <w:adjustRightInd w:val="0"/>
      <w:snapToGrid w:val="0"/>
      <w:spacing w:line="360" w:lineRule="auto"/>
      <w:outlineLvl w:val="3"/>
    </w:pPr>
    <w:rPr>
      <w:rFonts w:ascii="宋体" w:hAnsi="Arial"/>
      <w:color w:val="000000"/>
      <w:sz w:val="20"/>
    </w:rPr>
  </w:style>
  <w:style w:type="paragraph" w:styleId="7">
    <w:name w:val="heading 6"/>
    <w:basedOn w:val="1"/>
    <w:next w:val="1"/>
    <w:qFormat/>
    <w:uiPriority w:val="0"/>
    <w:pPr>
      <w:keepNext/>
      <w:keepLines/>
      <w:tabs>
        <w:tab w:val="left" w:pos="1152"/>
      </w:tabs>
      <w:spacing w:before="240" w:after="64" w:line="320" w:lineRule="auto"/>
      <w:ind w:left="425" w:hanging="425"/>
      <w:outlineLvl w:val="5"/>
    </w:pPr>
    <w:rPr>
      <w:rFonts w:ascii="Arial" w:hAnsi="Arial" w:eastAsia="黑体"/>
      <w:b/>
      <w:bCs/>
      <w:spacing w:val="6"/>
      <w:sz w:val="24"/>
      <w:szCs w:val="24"/>
      <w:lang w:val="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8">
    <w:name w:val="Normal Indent"/>
    <w:basedOn w:val="1"/>
    <w:next w:val="1"/>
    <w:qFormat/>
    <w:uiPriority w:val="0"/>
    <w:pPr>
      <w:ind w:firstLine="420"/>
    </w:pPr>
    <w:rPr>
      <w:sz w:val="20"/>
    </w:rPr>
  </w:style>
  <w:style w:type="paragraph" w:styleId="9">
    <w:name w:val="Body Text"/>
    <w:basedOn w:val="1"/>
    <w:next w:val="10"/>
    <w:qFormat/>
    <w:uiPriority w:val="0"/>
    <w:pPr>
      <w:spacing w:line="360" w:lineRule="auto"/>
    </w:pPr>
    <w:rPr>
      <w:rFonts w:ascii="楷体_GB2312" w:eastAsia="楷体_GB2312"/>
      <w:sz w:val="32"/>
    </w:rPr>
  </w:style>
  <w:style w:type="paragraph" w:styleId="10">
    <w:name w:val="Body Text First Indent"/>
    <w:basedOn w:val="9"/>
    <w:next w:val="11"/>
    <w:qFormat/>
    <w:uiPriority w:val="99"/>
    <w:pPr>
      <w:tabs>
        <w:tab w:val="left" w:pos="482"/>
        <w:tab w:val="left" w:pos="2183"/>
        <w:tab w:val="left" w:pos="3884"/>
        <w:tab w:val="left" w:pos="5585"/>
      </w:tabs>
      <w:adjustRightInd w:val="0"/>
      <w:ind w:firstLine="482"/>
      <w:textAlignment w:val="baseline"/>
    </w:pPr>
    <w:rPr>
      <w:sz w:val="24"/>
    </w:rPr>
  </w:style>
  <w:style w:type="paragraph" w:styleId="11">
    <w:name w:val="toc 6"/>
    <w:basedOn w:val="1"/>
    <w:next w:val="1"/>
    <w:qFormat/>
    <w:uiPriority w:val="0"/>
    <w:pPr>
      <w:spacing w:line="360" w:lineRule="auto"/>
      <w:ind w:left="1200" w:firstLine="200" w:firstLineChars="200"/>
      <w:jc w:val="left"/>
    </w:pPr>
    <w:rPr>
      <w:rFonts w:cs="Calibri"/>
      <w:sz w:val="18"/>
      <w:szCs w:val="18"/>
    </w:rPr>
  </w:style>
  <w:style w:type="paragraph" w:styleId="12">
    <w:name w:val="List 2"/>
    <w:basedOn w:val="1"/>
    <w:qFormat/>
    <w:uiPriority w:val="0"/>
    <w:pPr>
      <w:ind w:left="100" w:leftChars="200" w:hanging="200" w:hangingChars="200"/>
    </w:pPr>
    <w:rPr>
      <w:szCs w:val="22"/>
    </w:rPr>
  </w:style>
  <w:style w:type="paragraph" w:styleId="13">
    <w:name w:val="toc 3"/>
    <w:basedOn w:val="1"/>
    <w:next w:val="1"/>
    <w:qFormat/>
    <w:uiPriority w:val="0"/>
    <w:pPr>
      <w:ind w:left="840" w:leftChars="400"/>
    </w:pPr>
  </w:style>
  <w:style w:type="paragraph" w:styleId="14">
    <w:name w:val="Plain Text"/>
    <w:basedOn w:val="1"/>
    <w:next w:val="1"/>
    <w:qFormat/>
    <w:uiPriority w:val="99"/>
    <w:rPr>
      <w:rFonts w:ascii="宋体" w:hAnsi="Courier New"/>
      <w:szCs w:val="22"/>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tabs>
        <w:tab w:val="right" w:leader="middleDot" w:pos="8948"/>
      </w:tabs>
    </w:pPr>
    <w:rPr>
      <w:rFonts w:ascii="宋体" w:hAnsi="宋体"/>
      <w:b/>
      <w:bCs/>
      <w:caps/>
      <w:szCs w:val="21"/>
    </w:rPr>
  </w:style>
  <w:style w:type="paragraph" w:styleId="18">
    <w:name w:val="toc 2"/>
    <w:basedOn w:val="1"/>
    <w:next w:val="1"/>
    <w:qFormat/>
    <w:uiPriority w:val="0"/>
    <w:pPr>
      <w:ind w:left="420" w:leftChars="200"/>
    </w:pPr>
  </w:style>
  <w:style w:type="paragraph" w:styleId="19">
    <w:name w:val="Normal (Web)"/>
    <w:basedOn w:val="1"/>
    <w:qFormat/>
    <w:uiPriority w:val="0"/>
    <w:pPr>
      <w:spacing w:before="100" w:beforeAutospacing="1" w:after="100" w:afterAutospacing="1"/>
    </w:pPr>
    <w:rPr>
      <w:rFonts w:ascii="Arial Unicode MS" w:hAnsi="Arial Unicode MS" w:eastAsia="Times New Roman"/>
      <w:color w:val="000000"/>
      <w:sz w:val="24"/>
    </w:rPr>
  </w:style>
  <w:style w:type="paragraph" w:styleId="20">
    <w:name w:val="Body Text First Indent 2"/>
    <w:basedOn w:val="2"/>
    <w:unhideWhenUsed/>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Hyperlink"/>
    <w:qFormat/>
    <w:uiPriority w:val="99"/>
    <w:rPr>
      <w:rFonts w:hint="eastAsia" w:ascii="宋体" w:hAnsi="宋体" w:eastAsia="宋体" w:cs="宋体"/>
      <w:color w:val="000000"/>
      <w:sz w:val="18"/>
      <w:szCs w:val="18"/>
      <w:u w:val="none"/>
    </w:rPr>
  </w:style>
  <w:style w:type="paragraph" w:customStyle="1" w:styleId="26">
    <w:name w:val="列表段落1"/>
    <w:basedOn w:val="1"/>
    <w:qFormat/>
    <w:uiPriority w:val="0"/>
    <w:pPr>
      <w:ind w:firstLine="420" w:firstLineChars="200"/>
    </w:pPr>
  </w:style>
  <w:style w:type="character" w:customStyle="1" w:styleId="27">
    <w:name w:val="op-map-singlepoint-info-right1"/>
    <w:basedOn w:val="23"/>
    <w:qFormat/>
    <w:uiPriority w:val="0"/>
  </w:style>
  <w:style w:type="character" w:customStyle="1" w:styleId="28">
    <w:name w:val="NormalCharacter"/>
    <w:qFormat/>
    <w:uiPriority w:val="0"/>
  </w:style>
  <w:style w:type="paragraph" w:customStyle="1" w:styleId="29">
    <w:name w:val="表格文字"/>
    <w:basedOn w:val="14"/>
    <w:next w:val="9"/>
    <w:qFormat/>
    <w:uiPriority w:val="0"/>
    <w:pPr>
      <w:adjustRightInd w:val="0"/>
      <w:spacing w:line="420" w:lineRule="atLeast"/>
      <w:textAlignment w:val="baseline"/>
    </w:pPr>
  </w:style>
  <w:style w:type="paragraph" w:customStyle="1" w:styleId="30">
    <w:name w:val="纯文本1"/>
    <w:basedOn w:val="31"/>
    <w:qFormat/>
    <w:uiPriority w:val="0"/>
    <w:pPr>
      <w:widowControl/>
      <w:jc w:val="left"/>
    </w:pPr>
    <w:rPr>
      <w:rFonts w:ascii="宋体" w:hAnsi="Courier New"/>
    </w:rPr>
  </w:style>
  <w:style w:type="paragraph" w:customStyle="1" w:styleId="31">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2">
    <w:name w:val="中等深浅网格 1 - 强调文字颜色 21"/>
    <w:basedOn w:val="1"/>
    <w:qFormat/>
    <w:uiPriority w:val="34"/>
    <w:pPr>
      <w:ind w:firstLine="420" w:firstLineChars="200"/>
    </w:pPr>
  </w:style>
  <w:style w:type="paragraph" w:customStyle="1" w:styleId="33">
    <w:name w:val="l正文"/>
    <w:basedOn w:val="1"/>
    <w:qFormat/>
    <w:uiPriority w:val="0"/>
    <w:pPr>
      <w:spacing w:line="300" w:lineRule="auto"/>
      <w:ind w:firstLine="200" w:firstLineChars="200"/>
    </w:pPr>
    <w:rPr>
      <w:rFonts w:ascii="楷体_GB2312" w:hAnsi="Times" w:eastAsia="楷体_GB2312" w:cs="等线"/>
      <w:sz w:val="24"/>
      <w:szCs w:val="24"/>
    </w:rPr>
  </w:style>
  <w:style w:type="paragraph" w:customStyle="1" w:styleId="34">
    <w:name w:val="Table Paragraph"/>
    <w:basedOn w:val="1"/>
    <w:unhideWhenUsed/>
    <w:qFormat/>
    <w:uiPriority w:val="1"/>
    <w:pPr>
      <w:autoSpaceDE w:val="0"/>
      <w:autoSpaceDN w:val="0"/>
    </w:pPr>
    <w:rPr>
      <w:rFonts w:hint="default" w:ascii="宋体" w:hAnsi="宋体" w:cs="宋体"/>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44147</Words>
  <Characters>46715</Characters>
  <Lines>437</Lines>
  <Paragraphs>123</Paragraphs>
  <TotalTime>23</TotalTime>
  <ScaleCrop>false</ScaleCrop>
  <LinksUpToDate>false</LinksUpToDate>
  <CharactersWithSpaces>54362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2023-02-21T05:16:00Z</dcterms:created>
  <dc:creator>天下为攻</dc:creator>
  <cp:lastModifiedBy>天下为攻</cp:lastModifiedBy>
  <dcterms:modified xsi:type="dcterms:W3CDTF">2023-10-16T09:55:18Z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9F5F350D22DB4B9E9CE5049CC16A7556</vt:lpwstr>
  </property>
</Properties>
</file>