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spacing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瑞安市公共资源交易中心</w:t>
      </w:r>
    </w:p>
    <w:p>
      <w:pPr>
        <w:spacing w:beforeLines="50" w:line="360" w:lineRule="auto"/>
        <w:jc w:val="center"/>
        <w:rPr>
          <w:rFonts w:ascii="宋体" w:hAnsi="宋体" w:cs="宋体"/>
          <w:b/>
          <w:bCs/>
          <w:color w:val="auto"/>
          <w:sz w:val="72"/>
          <w:highlight w:val="none"/>
        </w:rPr>
      </w:pPr>
      <w:bookmarkStart w:id="0" w:name="_Hlt162751967"/>
      <w:bookmarkEnd w:id="0"/>
      <w:bookmarkStart w:id="1" w:name="_Toc164669529"/>
      <w:r>
        <w:rPr>
          <w:rFonts w:hint="eastAsia" w:ascii="宋体" w:hAnsi="宋体" w:cs="宋体"/>
          <w:b/>
          <w:bCs/>
          <w:color w:val="auto"/>
          <w:sz w:val="72"/>
          <w:highlight w:val="none"/>
        </w:rPr>
        <w:t>招 标 文 件</w:t>
      </w:r>
      <w:bookmarkEnd w:id="1"/>
    </w:p>
    <w:p>
      <w:pPr>
        <w:widowControl w:val="0"/>
        <w:spacing w:beforeLines="50" w:line="360" w:lineRule="auto"/>
        <w:jc w:val="center"/>
        <w:rPr>
          <w:rFonts w:ascii="Arial" w:hAnsi="Arial" w:cs="Arial"/>
          <w:b/>
          <w:color w:val="auto"/>
          <w:sz w:val="28"/>
          <w:szCs w:val="28"/>
          <w:highlight w:val="none"/>
        </w:rPr>
      </w:pPr>
      <w:r>
        <w:rPr>
          <w:rFonts w:ascii="Arial" w:hAnsi="Arial" w:cs="Arial"/>
          <w:b/>
          <w:color w:val="auto"/>
          <w:sz w:val="28"/>
          <w:szCs w:val="28"/>
          <w:highlight w:val="none"/>
        </w:rPr>
        <w:t>（电子招投标方式）</w:t>
      </w:r>
    </w:p>
    <w:p>
      <w:pPr>
        <w:spacing w:beforeLines="50" w:line="360" w:lineRule="auto"/>
        <w:rPr>
          <w:rFonts w:ascii="宋体" w:hAnsi="宋体" w:cs="宋体"/>
          <w:color w:val="auto"/>
          <w:sz w:val="30"/>
          <w:highlight w:val="none"/>
        </w:rPr>
      </w:pPr>
    </w:p>
    <w:p>
      <w:pPr>
        <w:spacing w:beforeLines="50" w:line="360" w:lineRule="auto"/>
        <w:rPr>
          <w:rFonts w:ascii="宋体" w:hAnsi="宋体" w:cs="宋体"/>
          <w:color w:val="auto"/>
          <w:sz w:val="30"/>
          <w:highlight w:val="none"/>
        </w:rPr>
      </w:pPr>
    </w:p>
    <w:p>
      <w:pPr>
        <w:spacing w:beforeLines="50" w:line="360" w:lineRule="auto"/>
        <w:rPr>
          <w:rFonts w:ascii="Arial" w:hAnsi="Arial" w:cs="Arial"/>
          <w:color w:val="auto"/>
          <w:sz w:val="30"/>
          <w:highlight w:val="none"/>
        </w:rPr>
      </w:pPr>
    </w:p>
    <w:tbl>
      <w:tblPr>
        <w:tblStyle w:val="25"/>
        <w:tblW w:w="9237" w:type="dxa"/>
        <w:jc w:val="center"/>
        <w:tblLayout w:type="fixed"/>
        <w:tblCellMar>
          <w:top w:w="0" w:type="dxa"/>
          <w:left w:w="108" w:type="dxa"/>
          <w:bottom w:w="0" w:type="dxa"/>
          <w:right w:w="108" w:type="dxa"/>
        </w:tblCellMar>
      </w:tblPr>
      <w:tblGrid>
        <w:gridCol w:w="2636"/>
        <w:gridCol w:w="6601"/>
      </w:tblGrid>
      <w:tr>
        <w:tblPrEx>
          <w:tblCellMar>
            <w:top w:w="0" w:type="dxa"/>
            <w:left w:w="108" w:type="dxa"/>
            <w:bottom w:w="0" w:type="dxa"/>
            <w:right w:w="108" w:type="dxa"/>
          </w:tblCellMar>
        </w:tblPrEx>
        <w:trPr>
          <w:trHeight w:val="598" w:hRule="atLeast"/>
          <w:jc w:val="center"/>
        </w:trPr>
        <w:tc>
          <w:tcPr>
            <w:tcW w:w="2636" w:type="dxa"/>
            <w:vAlign w:val="center"/>
          </w:tcPr>
          <w:p>
            <w:pPr>
              <w:spacing w:beforeLines="50" w:line="360" w:lineRule="auto"/>
              <w:jc w:val="right"/>
              <w:rPr>
                <w:rFonts w:ascii="Arial" w:hAnsi="Arial" w:cs="Arial"/>
                <w:color w:val="auto"/>
                <w:sz w:val="30"/>
                <w:szCs w:val="30"/>
                <w:highlight w:val="none"/>
              </w:rPr>
            </w:pPr>
            <w:r>
              <w:rPr>
                <w:rFonts w:ascii="Arial" w:hAnsi="Arial" w:cs="Arial"/>
                <w:color w:val="auto"/>
                <w:sz w:val="30"/>
                <w:szCs w:val="30"/>
                <w:highlight w:val="none"/>
              </w:rPr>
              <w:t>项 目 编 号：</w:t>
            </w:r>
          </w:p>
        </w:tc>
        <w:tc>
          <w:tcPr>
            <w:tcW w:w="6601" w:type="dxa"/>
            <w:vAlign w:val="center"/>
          </w:tcPr>
          <w:p>
            <w:pPr>
              <w:spacing w:beforeLines="50" w:line="360" w:lineRule="auto"/>
              <w:jc w:val="both"/>
              <w:rPr>
                <w:rFonts w:hint="eastAsia" w:ascii="Arial" w:hAnsi="Arial" w:eastAsia="宋体" w:cs="Arial"/>
                <w:color w:val="auto"/>
                <w:sz w:val="30"/>
                <w:szCs w:val="30"/>
                <w:highlight w:val="none"/>
                <w:lang w:eastAsia="zh-CN"/>
              </w:rPr>
            </w:pPr>
            <w:r>
              <w:rPr>
                <w:rFonts w:hint="eastAsia" w:ascii="Arial" w:hAnsi="Arial" w:cs="Arial"/>
                <w:color w:val="auto"/>
                <w:sz w:val="30"/>
                <w:szCs w:val="30"/>
                <w:highlight w:val="none"/>
                <w:lang w:eastAsia="zh-CN"/>
              </w:rPr>
              <w:t>WZRZ20230406</w:t>
            </w:r>
          </w:p>
        </w:tc>
      </w:tr>
      <w:tr>
        <w:tblPrEx>
          <w:tblCellMar>
            <w:top w:w="0" w:type="dxa"/>
            <w:left w:w="108" w:type="dxa"/>
            <w:bottom w:w="0" w:type="dxa"/>
            <w:right w:w="108" w:type="dxa"/>
          </w:tblCellMar>
        </w:tblPrEx>
        <w:trPr>
          <w:jc w:val="center"/>
        </w:trPr>
        <w:tc>
          <w:tcPr>
            <w:tcW w:w="2636" w:type="dxa"/>
            <w:vAlign w:val="center"/>
          </w:tcPr>
          <w:p>
            <w:pPr>
              <w:spacing w:beforeLines="50" w:line="360" w:lineRule="auto"/>
              <w:jc w:val="right"/>
              <w:rPr>
                <w:rFonts w:ascii="Arial" w:hAnsi="Arial" w:cs="Arial"/>
                <w:color w:val="auto"/>
                <w:sz w:val="30"/>
                <w:szCs w:val="30"/>
                <w:highlight w:val="none"/>
              </w:rPr>
            </w:pPr>
          </w:p>
        </w:tc>
        <w:tc>
          <w:tcPr>
            <w:tcW w:w="6601" w:type="dxa"/>
            <w:vAlign w:val="center"/>
          </w:tcPr>
          <w:p>
            <w:pPr>
              <w:spacing w:beforeLines="50"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trHeight w:val="330" w:hRule="atLeast"/>
          <w:jc w:val="center"/>
        </w:trPr>
        <w:tc>
          <w:tcPr>
            <w:tcW w:w="2636" w:type="dxa"/>
            <w:vAlign w:val="center"/>
          </w:tcPr>
          <w:p>
            <w:pPr>
              <w:spacing w:beforeLines="50" w:line="360" w:lineRule="auto"/>
              <w:jc w:val="right"/>
              <w:rPr>
                <w:rFonts w:ascii="Arial" w:hAnsi="Arial" w:cs="Arial"/>
                <w:color w:val="auto"/>
                <w:sz w:val="30"/>
                <w:szCs w:val="30"/>
                <w:highlight w:val="none"/>
              </w:rPr>
            </w:pPr>
          </w:p>
        </w:tc>
        <w:tc>
          <w:tcPr>
            <w:tcW w:w="6601" w:type="dxa"/>
            <w:vAlign w:val="center"/>
          </w:tcPr>
          <w:p>
            <w:pPr>
              <w:spacing w:beforeLines="50"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jc w:val="center"/>
        </w:trPr>
        <w:tc>
          <w:tcPr>
            <w:tcW w:w="2636" w:type="dxa"/>
            <w:vAlign w:val="center"/>
          </w:tcPr>
          <w:p>
            <w:pPr>
              <w:spacing w:beforeLines="50" w:line="360" w:lineRule="auto"/>
              <w:jc w:val="right"/>
              <w:rPr>
                <w:rFonts w:ascii="Arial" w:hAnsi="Arial" w:cs="Arial"/>
                <w:color w:val="auto"/>
                <w:sz w:val="30"/>
                <w:szCs w:val="30"/>
                <w:highlight w:val="none"/>
              </w:rPr>
            </w:pPr>
            <w:r>
              <w:rPr>
                <w:rFonts w:ascii="Arial" w:hAnsi="Arial" w:cs="Arial"/>
                <w:color w:val="auto"/>
                <w:sz w:val="30"/>
                <w:szCs w:val="30"/>
                <w:highlight w:val="none"/>
              </w:rPr>
              <w:t>项 目 名 称：</w:t>
            </w:r>
          </w:p>
        </w:tc>
        <w:tc>
          <w:tcPr>
            <w:tcW w:w="6601" w:type="dxa"/>
            <w:vAlign w:val="center"/>
          </w:tcPr>
          <w:p>
            <w:pPr>
              <w:spacing w:beforeLines="50" w:line="360" w:lineRule="auto"/>
              <w:jc w:val="both"/>
              <w:rPr>
                <w:rFonts w:ascii="Arial" w:hAnsi="Arial" w:cs="Arial"/>
                <w:color w:val="auto"/>
                <w:sz w:val="30"/>
                <w:szCs w:val="30"/>
                <w:highlight w:val="none"/>
              </w:rPr>
            </w:pPr>
            <w:r>
              <w:rPr>
                <w:rFonts w:hint="eastAsia" w:ascii="Arial" w:hAnsi="Arial" w:cs="Arial"/>
                <w:color w:val="auto"/>
                <w:sz w:val="30"/>
                <w:szCs w:val="30"/>
                <w:highlight w:val="none"/>
              </w:rPr>
              <w:t>瑞安市综合行政执法局及下属事业单位辅助人员劳务派遣</w:t>
            </w:r>
          </w:p>
        </w:tc>
      </w:tr>
      <w:tr>
        <w:tblPrEx>
          <w:tblCellMar>
            <w:top w:w="0" w:type="dxa"/>
            <w:left w:w="108" w:type="dxa"/>
            <w:bottom w:w="0" w:type="dxa"/>
            <w:right w:w="108" w:type="dxa"/>
          </w:tblCellMar>
        </w:tblPrEx>
        <w:trPr>
          <w:trHeight w:val="364" w:hRule="atLeast"/>
          <w:jc w:val="center"/>
        </w:trPr>
        <w:tc>
          <w:tcPr>
            <w:tcW w:w="2636" w:type="dxa"/>
            <w:vAlign w:val="center"/>
          </w:tcPr>
          <w:p>
            <w:pPr>
              <w:spacing w:beforeLines="50" w:line="360" w:lineRule="auto"/>
              <w:jc w:val="right"/>
              <w:rPr>
                <w:rFonts w:ascii="Arial" w:hAnsi="Arial" w:cs="Arial"/>
                <w:color w:val="auto"/>
                <w:sz w:val="30"/>
                <w:szCs w:val="30"/>
                <w:highlight w:val="none"/>
              </w:rPr>
            </w:pPr>
          </w:p>
        </w:tc>
        <w:tc>
          <w:tcPr>
            <w:tcW w:w="6601" w:type="dxa"/>
            <w:vAlign w:val="center"/>
          </w:tcPr>
          <w:p>
            <w:pPr>
              <w:spacing w:beforeLines="50"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trHeight w:val="596" w:hRule="atLeast"/>
          <w:jc w:val="center"/>
        </w:trPr>
        <w:tc>
          <w:tcPr>
            <w:tcW w:w="2636" w:type="dxa"/>
            <w:vAlign w:val="center"/>
          </w:tcPr>
          <w:p>
            <w:pPr>
              <w:spacing w:beforeLines="50" w:line="360" w:lineRule="auto"/>
              <w:jc w:val="right"/>
              <w:rPr>
                <w:rFonts w:ascii="Arial" w:hAnsi="Arial" w:cs="Arial"/>
                <w:color w:val="auto"/>
                <w:sz w:val="30"/>
                <w:szCs w:val="30"/>
                <w:highlight w:val="none"/>
              </w:rPr>
            </w:pPr>
            <w:r>
              <w:rPr>
                <w:rFonts w:ascii="Arial" w:hAnsi="Arial" w:cs="Arial"/>
                <w:color w:val="auto"/>
                <w:sz w:val="30"/>
                <w:szCs w:val="30"/>
                <w:highlight w:val="none"/>
              </w:rPr>
              <w:t>采 购 方 式：</w:t>
            </w:r>
          </w:p>
        </w:tc>
        <w:tc>
          <w:tcPr>
            <w:tcW w:w="6601" w:type="dxa"/>
            <w:vAlign w:val="center"/>
          </w:tcPr>
          <w:p>
            <w:pPr>
              <w:spacing w:beforeLines="50" w:line="360" w:lineRule="auto"/>
              <w:jc w:val="both"/>
              <w:rPr>
                <w:rFonts w:ascii="Arial" w:hAnsi="Arial" w:cs="Arial"/>
                <w:color w:val="auto"/>
                <w:sz w:val="30"/>
                <w:szCs w:val="30"/>
                <w:highlight w:val="none"/>
              </w:rPr>
            </w:pPr>
            <w:r>
              <w:rPr>
                <w:rFonts w:ascii="Arial" w:hAnsi="Arial" w:cs="Arial"/>
                <w:color w:val="auto"/>
                <w:sz w:val="30"/>
                <w:szCs w:val="30"/>
                <w:highlight w:val="none"/>
              </w:rPr>
              <w:t>公开招标</w:t>
            </w:r>
          </w:p>
        </w:tc>
      </w:tr>
      <w:tr>
        <w:tblPrEx>
          <w:tblCellMar>
            <w:top w:w="0" w:type="dxa"/>
            <w:left w:w="108" w:type="dxa"/>
            <w:bottom w:w="0" w:type="dxa"/>
            <w:right w:w="108" w:type="dxa"/>
          </w:tblCellMar>
        </w:tblPrEx>
        <w:trPr>
          <w:jc w:val="center"/>
        </w:trPr>
        <w:tc>
          <w:tcPr>
            <w:tcW w:w="2636" w:type="dxa"/>
            <w:vAlign w:val="center"/>
          </w:tcPr>
          <w:p>
            <w:pPr>
              <w:spacing w:beforeLines="50" w:line="360" w:lineRule="auto"/>
              <w:jc w:val="right"/>
              <w:rPr>
                <w:rFonts w:ascii="Arial" w:hAnsi="Arial" w:cs="Arial"/>
                <w:color w:val="auto"/>
                <w:sz w:val="30"/>
                <w:szCs w:val="30"/>
                <w:highlight w:val="none"/>
              </w:rPr>
            </w:pPr>
            <w:r>
              <w:rPr>
                <w:rFonts w:ascii="Arial" w:hAnsi="Arial" w:cs="Arial"/>
                <w:color w:val="auto"/>
                <w:sz w:val="30"/>
                <w:szCs w:val="30"/>
                <w:highlight w:val="none"/>
              </w:rPr>
              <w:t xml:space="preserve">  采  购  人：</w:t>
            </w:r>
          </w:p>
        </w:tc>
        <w:tc>
          <w:tcPr>
            <w:tcW w:w="6601" w:type="dxa"/>
            <w:vAlign w:val="center"/>
          </w:tcPr>
          <w:p>
            <w:pPr>
              <w:spacing w:beforeLines="50" w:line="240" w:lineRule="exact"/>
              <w:jc w:val="both"/>
              <w:rPr>
                <w:rFonts w:ascii="Arial" w:hAnsi="Arial" w:cs="Arial"/>
                <w:color w:val="auto"/>
                <w:sz w:val="30"/>
                <w:szCs w:val="30"/>
                <w:highlight w:val="none"/>
              </w:rPr>
            </w:pPr>
            <w:r>
              <w:rPr>
                <w:rFonts w:hint="eastAsia" w:ascii="Arial" w:hAnsi="Arial" w:cs="Arial"/>
                <w:color w:val="auto"/>
                <w:sz w:val="30"/>
                <w:szCs w:val="30"/>
                <w:highlight w:val="none"/>
              </w:rPr>
              <w:t>瑞安市综合行政执法局</w:t>
            </w:r>
          </w:p>
          <w:p>
            <w:pPr>
              <w:spacing w:beforeLines="50" w:line="240" w:lineRule="exact"/>
              <w:jc w:val="both"/>
              <w:rPr>
                <w:rFonts w:ascii="Arial" w:hAnsi="Arial" w:cs="Arial"/>
                <w:color w:val="auto"/>
                <w:sz w:val="30"/>
                <w:szCs w:val="30"/>
                <w:highlight w:val="none"/>
              </w:rPr>
            </w:pPr>
            <w:r>
              <w:rPr>
                <w:rFonts w:hint="eastAsia" w:ascii="Arial" w:hAnsi="Arial" w:cs="Arial"/>
                <w:color w:val="auto"/>
                <w:sz w:val="30"/>
                <w:szCs w:val="30"/>
                <w:highlight w:val="none"/>
              </w:rPr>
              <w:t>瑞安市公园管理中心（瑞安市绿化养护管理中心）</w:t>
            </w:r>
          </w:p>
        </w:tc>
      </w:tr>
      <w:tr>
        <w:tblPrEx>
          <w:tblCellMar>
            <w:top w:w="0" w:type="dxa"/>
            <w:left w:w="108" w:type="dxa"/>
            <w:bottom w:w="0" w:type="dxa"/>
            <w:right w:w="108" w:type="dxa"/>
          </w:tblCellMar>
        </w:tblPrEx>
        <w:trPr>
          <w:jc w:val="center"/>
        </w:trPr>
        <w:tc>
          <w:tcPr>
            <w:tcW w:w="2636" w:type="dxa"/>
            <w:vAlign w:val="center"/>
          </w:tcPr>
          <w:p>
            <w:pPr>
              <w:spacing w:beforeLines="50" w:line="360" w:lineRule="auto"/>
              <w:jc w:val="right"/>
              <w:rPr>
                <w:rFonts w:ascii="Arial" w:hAnsi="Arial" w:cs="Arial"/>
                <w:color w:val="auto"/>
                <w:sz w:val="30"/>
                <w:szCs w:val="30"/>
                <w:highlight w:val="none"/>
              </w:rPr>
            </w:pPr>
            <w:r>
              <w:rPr>
                <w:rFonts w:ascii="Arial" w:hAnsi="Arial" w:cs="Arial"/>
                <w:color w:val="auto"/>
                <w:sz w:val="30"/>
                <w:szCs w:val="30"/>
                <w:highlight w:val="none"/>
              </w:rPr>
              <w:t>招标代理机构：</w:t>
            </w:r>
          </w:p>
        </w:tc>
        <w:tc>
          <w:tcPr>
            <w:tcW w:w="6601" w:type="dxa"/>
            <w:vAlign w:val="center"/>
          </w:tcPr>
          <w:p>
            <w:pPr>
              <w:spacing w:beforeLines="50" w:line="360" w:lineRule="auto"/>
              <w:jc w:val="both"/>
              <w:rPr>
                <w:rFonts w:ascii="Arial" w:hAnsi="Arial" w:cs="Arial"/>
                <w:color w:val="auto"/>
                <w:sz w:val="30"/>
                <w:szCs w:val="30"/>
                <w:highlight w:val="none"/>
              </w:rPr>
            </w:pPr>
            <w:r>
              <w:rPr>
                <w:rFonts w:hint="eastAsia" w:ascii="Arial" w:hAnsi="Arial" w:cs="Arial"/>
                <w:color w:val="auto"/>
                <w:sz w:val="30"/>
                <w:szCs w:val="30"/>
                <w:highlight w:val="none"/>
              </w:rPr>
              <w:t>温州瑞辀工程项目管理有限公司</w:t>
            </w:r>
          </w:p>
        </w:tc>
      </w:tr>
      <w:tr>
        <w:tblPrEx>
          <w:tblCellMar>
            <w:top w:w="0" w:type="dxa"/>
            <w:left w:w="108" w:type="dxa"/>
            <w:bottom w:w="0" w:type="dxa"/>
            <w:right w:w="108" w:type="dxa"/>
          </w:tblCellMar>
        </w:tblPrEx>
        <w:trPr>
          <w:jc w:val="center"/>
        </w:trPr>
        <w:tc>
          <w:tcPr>
            <w:tcW w:w="9237" w:type="dxa"/>
            <w:gridSpan w:val="2"/>
            <w:vAlign w:val="center"/>
          </w:tcPr>
          <w:p>
            <w:pPr>
              <w:spacing w:beforeLines="50" w:line="360" w:lineRule="auto"/>
              <w:jc w:val="center"/>
              <w:rPr>
                <w:rFonts w:ascii="Arial" w:hAnsi="Arial" w:cs="Arial"/>
                <w:color w:val="auto"/>
                <w:sz w:val="30"/>
                <w:szCs w:val="30"/>
                <w:highlight w:val="none"/>
              </w:rPr>
            </w:pPr>
            <w:r>
              <w:rPr>
                <w:rFonts w:ascii="Arial" w:hAnsi="Arial" w:cs="Arial"/>
                <w:color w:val="auto"/>
                <w:sz w:val="30"/>
                <w:szCs w:val="30"/>
                <w:highlight w:val="none"/>
              </w:rPr>
              <w:t>二O二</w:t>
            </w:r>
            <w:r>
              <w:rPr>
                <w:rFonts w:hint="eastAsia" w:ascii="Arial" w:hAnsi="Arial" w:cs="Arial"/>
                <w:color w:val="auto"/>
                <w:sz w:val="30"/>
                <w:szCs w:val="30"/>
                <w:highlight w:val="none"/>
              </w:rPr>
              <w:t>三</w:t>
            </w:r>
            <w:r>
              <w:rPr>
                <w:rFonts w:ascii="Arial" w:hAnsi="Arial" w:cs="Arial"/>
                <w:color w:val="auto"/>
                <w:sz w:val="30"/>
                <w:szCs w:val="30"/>
                <w:highlight w:val="none"/>
              </w:rPr>
              <w:t>年</w:t>
            </w:r>
            <w:r>
              <w:rPr>
                <w:rFonts w:hint="eastAsia" w:ascii="Arial" w:hAnsi="Arial" w:cs="Arial"/>
                <w:color w:val="auto"/>
                <w:sz w:val="30"/>
                <w:szCs w:val="30"/>
                <w:highlight w:val="none"/>
                <w:lang w:val="en-US" w:eastAsia="zh-CN"/>
              </w:rPr>
              <w:t>四</w:t>
            </w:r>
            <w:r>
              <w:rPr>
                <w:rFonts w:ascii="Arial" w:hAnsi="Arial" w:cs="Arial"/>
                <w:color w:val="auto"/>
                <w:sz w:val="30"/>
                <w:szCs w:val="30"/>
                <w:highlight w:val="none"/>
              </w:rPr>
              <w:t>月</w:t>
            </w:r>
          </w:p>
        </w:tc>
      </w:tr>
    </w:tbl>
    <w:p>
      <w:pPr>
        <w:spacing w:line="360" w:lineRule="auto"/>
        <w:jc w:val="center"/>
        <w:rPr>
          <w:rFonts w:ascii="Arial" w:hAnsi="Arial" w:cs="Arial"/>
          <w:b/>
          <w:color w:val="auto"/>
          <w:sz w:val="32"/>
          <w:szCs w:val="32"/>
          <w:highlight w:val="none"/>
        </w:rPr>
        <w:sectPr>
          <w:headerReference r:id="rId3" w:type="default"/>
          <w:headerReference r:id="rId4" w:type="even"/>
          <w:pgSz w:w="11906" w:h="16838"/>
          <w:pgMar w:top="1417" w:right="1417" w:bottom="1417" w:left="1417" w:header="850" w:footer="992" w:gutter="0"/>
          <w:pgNumType w:start="1"/>
          <w:cols w:space="0" w:num="1"/>
          <w:docGrid w:type="lines" w:linePitch="312" w:charSpace="0"/>
        </w:sectPr>
      </w:pPr>
    </w:p>
    <w:p>
      <w:pPr>
        <w:spacing w:line="360" w:lineRule="auto"/>
        <w:jc w:val="center"/>
        <w:rPr>
          <w:rFonts w:ascii="Arial" w:hAnsi="Arial" w:cs="Arial"/>
          <w:b/>
          <w:color w:val="auto"/>
          <w:sz w:val="36"/>
          <w:szCs w:val="36"/>
          <w:highlight w:val="none"/>
        </w:rPr>
      </w:pPr>
      <w:r>
        <w:rPr>
          <w:rFonts w:ascii="Arial" w:hAnsi="Arial" w:cs="Arial"/>
          <w:b/>
          <w:color w:val="auto"/>
          <w:sz w:val="36"/>
          <w:szCs w:val="36"/>
          <w:highlight w:val="none"/>
        </w:rPr>
        <w:t>目    录</w:t>
      </w:r>
    </w:p>
    <w:p>
      <w:pPr>
        <w:pStyle w:val="19"/>
        <w:tabs>
          <w:tab w:val="right" w:leader="dot" w:pos="9040"/>
          <w:tab w:val="clear" w:pos="8948"/>
        </w:tabs>
        <w:spacing w:before="0" w:after="0" w:line="480" w:lineRule="auto"/>
        <w:rPr>
          <w:color w:val="auto"/>
          <w:highlight w:val="none"/>
        </w:rPr>
      </w:pPr>
      <w:r>
        <w:rPr>
          <w:rFonts w:ascii="Arial" w:hAnsi="Arial"/>
          <w:color w:val="auto"/>
          <w:kern w:val="2"/>
          <w:sz w:val="28"/>
          <w:szCs w:val="28"/>
          <w:highlight w:val="none"/>
        </w:rPr>
        <w:fldChar w:fldCharType="begin"/>
      </w:r>
      <w:r>
        <w:rPr>
          <w:rFonts w:ascii="Arial" w:hAnsi="Arial"/>
          <w:color w:val="auto"/>
          <w:kern w:val="2"/>
          <w:sz w:val="28"/>
          <w:szCs w:val="28"/>
          <w:highlight w:val="none"/>
        </w:rPr>
        <w:instrText xml:space="preserve"> TOC \o "1-3" \h \z \u </w:instrText>
      </w:r>
      <w:r>
        <w:rPr>
          <w:rFonts w:ascii="Arial" w:hAnsi="Arial"/>
          <w:color w:val="auto"/>
          <w:kern w:val="2"/>
          <w:sz w:val="28"/>
          <w:szCs w:val="28"/>
          <w:highlight w:val="none"/>
        </w:rPr>
        <w:fldChar w:fldCharType="separate"/>
      </w:r>
      <w:r>
        <w:rPr>
          <w:color w:val="auto"/>
          <w:highlight w:val="none"/>
        </w:rPr>
        <w:fldChar w:fldCharType="begin"/>
      </w:r>
      <w:r>
        <w:rPr>
          <w:color w:val="auto"/>
          <w:highlight w:val="none"/>
        </w:rPr>
        <w:instrText xml:space="preserve"> HYPERLINK \l "_Toc28376" </w:instrText>
      </w:r>
      <w:r>
        <w:rPr>
          <w:color w:val="auto"/>
          <w:highlight w:val="none"/>
        </w:rPr>
        <w:fldChar w:fldCharType="separate"/>
      </w:r>
      <w:r>
        <w:rPr>
          <w:rFonts w:hint="eastAsia" w:cs="宋体"/>
          <w:color w:val="auto"/>
          <w:szCs w:val="36"/>
          <w:highlight w:val="none"/>
        </w:rPr>
        <w:t>第一部分招标公告</w:t>
      </w:r>
      <w:r>
        <w:rPr>
          <w:color w:val="auto"/>
          <w:highlight w:val="none"/>
        </w:rPr>
        <w:tab/>
      </w:r>
      <w:r>
        <w:rPr>
          <w:color w:val="auto"/>
          <w:highlight w:val="none"/>
        </w:rPr>
        <w:fldChar w:fldCharType="begin"/>
      </w:r>
      <w:r>
        <w:rPr>
          <w:color w:val="auto"/>
          <w:highlight w:val="none"/>
        </w:rPr>
        <w:instrText xml:space="preserve"> PAGEREF _Toc28376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9"/>
        <w:tabs>
          <w:tab w:val="right" w:leader="dot" w:pos="9040"/>
          <w:tab w:val="clear" w:pos="8948"/>
        </w:tabs>
        <w:spacing w:before="0" w:after="0" w:line="480" w:lineRule="auto"/>
        <w:rPr>
          <w:rFonts w:cs="宋体"/>
          <w:color w:val="auto"/>
          <w:szCs w:val="36"/>
          <w:highlight w:val="none"/>
        </w:rPr>
      </w:pPr>
      <w:r>
        <w:rPr>
          <w:color w:val="auto"/>
          <w:highlight w:val="none"/>
        </w:rPr>
        <w:fldChar w:fldCharType="begin"/>
      </w:r>
      <w:r>
        <w:rPr>
          <w:color w:val="auto"/>
          <w:highlight w:val="none"/>
        </w:rPr>
        <w:instrText xml:space="preserve"> HYPERLINK \l "_Toc19614" </w:instrText>
      </w:r>
      <w:r>
        <w:rPr>
          <w:color w:val="auto"/>
          <w:highlight w:val="none"/>
        </w:rPr>
        <w:fldChar w:fldCharType="separate"/>
      </w:r>
      <w:r>
        <w:rPr>
          <w:rFonts w:hint="eastAsia" w:cs="宋体"/>
          <w:color w:val="auto"/>
          <w:szCs w:val="36"/>
          <w:highlight w:val="none"/>
        </w:rPr>
        <w:t>第二部分  投标供应商须知</w:t>
      </w:r>
      <w:r>
        <w:rPr>
          <w:rFonts w:hint="eastAsia" w:cs="宋体"/>
          <w:color w:val="auto"/>
          <w:szCs w:val="36"/>
          <w:highlight w:val="none"/>
        </w:rPr>
        <w:tab/>
      </w:r>
      <w:r>
        <w:rPr>
          <w:rFonts w:hint="eastAsia" w:cs="宋体"/>
          <w:color w:val="auto"/>
          <w:szCs w:val="36"/>
          <w:highlight w:val="none"/>
        </w:rPr>
        <w:fldChar w:fldCharType="begin"/>
      </w:r>
      <w:r>
        <w:rPr>
          <w:rFonts w:hint="eastAsia" w:cs="宋体"/>
          <w:color w:val="auto"/>
          <w:szCs w:val="36"/>
          <w:highlight w:val="none"/>
        </w:rPr>
        <w:instrText xml:space="preserve"> PAGEREF _Toc19614 \h </w:instrText>
      </w:r>
      <w:r>
        <w:rPr>
          <w:rFonts w:hint="eastAsia" w:cs="宋体"/>
          <w:color w:val="auto"/>
          <w:szCs w:val="36"/>
          <w:highlight w:val="none"/>
        </w:rPr>
        <w:fldChar w:fldCharType="separate"/>
      </w:r>
      <w:r>
        <w:rPr>
          <w:rFonts w:hint="eastAsia" w:cs="宋体"/>
          <w:color w:val="auto"/>
          <w:szCs w:val="36"/>
          <w:highlight w:val="none"/>
        </w:rPr>
        <w:t>7</w:t>
      </w:r>
      <w:r>
        <w:rPr>
          <w:rFonts w:hint="eastAsia" w:cs="宋体"/>
          <w:color w:val="auto"/>
          <w:szCs w:val="36"/>
          <w:highlight w:val="none"/>
        </w:rPr>
        <w:fldChar w:fldCharType="end"/>
      </w:r>
      <w:r>
        <w:rPr>
          <w:rFonts w:hint="eastAsia" w:cs="宋体"/>
          <w:color w:val="auto"/>
          <w:szCs w:val="36"/>
          <w:highlight w:val="none"/>
        </w:rPr>
        <w:fldChar w:fldCharType="end"/>
      </w:r>
    </w:p>
    <w:p>
      <w:pPr>
        <w:pStyle w:val="19"/>
        <w:tabs>
          <w:tab w:val="right" w:leader="dot" w:pos="9040"/>
          <w:tab w:val="clear" w:pos="8948"/>
        </w:tabs>
        <w:spacing w:before="0" w:after="0" w:line="480" w:lineRule="auto"/>
        <w:ind w:firstLine="422" w:firstLineChars="200"/>
        <w:rPr>
          <w:rFonts w:cs="宋体"/>
          <w:b w:val="0"/>
          <w:bCs w:val="0"/>
          <w:color w:val="auto"/>
          <w:szCs w:val="36"/>
          <w:highlight w:val="none"/>
        </w:rPr>
      </w:pPr>
      <w:r>
        <w:rPr>
          <w:color w:val="auto"/>
          <w:highlight w:val="none"/>
        </w:rPr>
        <w:fldChar w:fldCharType="begin"/>
      </w:r>
      <w:r>
        <w:rPr>
          <w:color w:val="auto"/>
          <w:highlight w:val="none"/>
        </w:rPr>
        <w:instrText xml:space="preserve"> HYPERLINK \l "_Toc1359" </w:instrText>
      </w:r>
      <w:r>
        <w:rPr>
          <w:color w:val="auto"/>
          <w:highlight w:val="none"/>
        </w:rPr>
        <w:fldChar w:fldCharType="separate"/>
      </w:r>
      <w:r>
        <w:rPr>
          <w:rFonts w:hint="eastAsia" w:cs="宋体"/>
          <w:b w:val="0"/>
          <w:bCs w:val="0"/>
          <w:color w:val="auto"/>
          <w:szCs w:val="36"/>
          <w:highlight w:val="none"/>
        </w:rPr>
        <w:t>（一）投标须知前附表</w:t>
      </w:r>
      <w:r>
        <w:rPr>
          <w:rFonts w:hint="eastAsia" w:cs="宋体"/>
          <w:b w:val="0"/>
          <w:bCs w:val="0"/>
          <w:color w:val="auto"/>
          <w:szCs w:val="36"/>
          <w:highlight w:val="none"/>
        </w:rPr>
        <w:tab/>
      </w:r>
      <w:r>
        <w:rPr>
          <w:rFonts w:hint="eastAsia" w:cs="宋体"/>
          <w:b w:val="0"/>
          <w:bCs w:val="0"/>
          <w:color w:val="auto"/>
          <w:szCs w:val="36"/>
          <w:highlight w:val="none"/>
        </w:rPr>
        <w:fldChar w:fldCharType="begin"/>
      </w:r>
      <w:r>
        <w:rPr>
          <w:rFonts w:hint="eastAsia" w:cs="宋体"/>
          <w:b w:val="0"/>
          <w:bCs w:val="0"/>
          <w:color w:val="auto"/>
          <w:szCs w:val="36"/>
          <w:highlight w:val="none"/>
        </w:rPr>
        <w:instrText xml:space="preserve"> PAGEREF _Toc1359 \h </w:instrText>
      </w:r>
      <w:r>
        <w:rPr>
          <w:rFonts w:hint="eastAsia" w:cs="宋体"/>
          <w:b w:val="0"/>
          <w:bCs w:val="0"/>
          <w:color w:val="auto"/>
          <w:szCs w:val="36"/>
          <w:highlight w:val="none"/>
        </w:rPr>
        <w:fldChar w:fldCharType="separate"/>
      </w:r>
      <w:r>
        <w:rPr>
          <w:rFonts w:hint="eastAsia" w:cs="宋体"/>
          <w:b w:val="0"/>
          <w:bCs w:val="0"/>
          <w:color w:val="auto"/>
          <w:szCs w:val="36"/>
          <w:highlight w:val="none"/>
        </w:rPr>
        <w:t>7</w:t>
      </w:r>
      <w:r>
        <w:rPr>
          <w:rFonts w:hint="eastAsia" w:cs="宋体"/>
          <w:b w:val="0"/>
          <w:bCs w:val="0"/>
          <w:color w:val="auto"/>
          <w:szCs w:val="36"/>
          <w:highlight w:val="none"/>
        </w:rPr>
        <w:fldChar w:fldCharType="end"/>
      </w:r>
      <w:r>
        <w:rPr>
          <w:rFonts w:hint="eastAsia" w:cs="宋体"/>
          <w:b w:val="0"/>
          <w:bCs w:val="0"/>
          <w:color w:val="auto"/>
          <w:szCs w:val="36"/>
          <w:highlight w:val="none"/>
        </w:rPr>
        <w:fldChar w:fldCharType="end"/>
      </w:r>
    </w:p>
    <w:p>
      <w:pPr>
        <w:pStyle w:val="19"/>
        <w:tabs>
          <w:tab w:val="right" w:leader="dot" w:pos="9040"/>
          <w:tab w:val="clear" w:pos="8948"/>
        </w:tabs>
        <w:spacing w:before="0" w:after="0" w:line="480" w:lineRule="auto"/>
        <w:ind w:firstLine="422" w:firstLineChars="200"/>
        <w:rPr>
          <w:rFonts w:cs="宋体"/>
          <w:b w:val="0"/>
          <w:bCs w:val="0"/>
          <w:color w:val="auto"/>
          <w:szCs w:val="36"/>
          <w:highlight w:val="none"/>
        </w:rPr>
      </w:pPr>
      <w:r>
        <w:rPr>
          <w:color w:val="auto"/>
          <w:highlight w:val="none"/>
        </w:rPr>
        <w:fldChar w:fldCharType="begin"/>
      </w:r>
      <w:r>
        <w:rPr>
          <w:color w:val="auto"/>
          <w:highlight w:val="none"/>
        </w:rPr>
        <w:instrText xml:space="preserve"> HYPERLINK \l "_Toc12581" </w:instrText>
      </w:r>
      <w:r>
        <w:rPr>
          <w:color w:val="auto"/>
          <w:highlight w:val="none"/>
        </w:rPr>
        <w:fldChar w:fldCharType="separate"/>
      </w:r>
      <w:r>
        <w:rPr>
          <w:rFonts w:hint="eastAsia" w:cs="宋体"/>
          <w:b w:val="0"/>
          <w:bCs w:val="0"/>
          <w:color w:val="auto"/>
          <w:szCs w:val="36"/>
          <w:highlight w:val="none"/>
        </w:rPr>
        <w:t>（二）总   则</w:t>
      </w:r>
      <w:r>
        <w:rPr>
          <w:rFonts w:hint="eastAsia" w:cs="宋体"/>
          <w:b w:val="0"/>
          <w:bCs w:val="0"/>
          <w:color w:val="auto"/>
          <w:szCs w:val="36"/>
          <w:highlight w:val="none"/>
        </w:rPr>
        <w:tab/>
      </w:r>
      <w:r>
        <w:rPr>
          <w:rFonts w:hint="eastAsia" w:cs="宋体"/>
          <w:b w:val="0"/>
          <w:bCs w:val="0"/>
          <w:color w:val="auto"/>
          <w:szCs w:val="36"/>
          <w:highlight w:val="none"/>
        </w:rPr>
        <w:fldChar w:fldCharType="begin"/>
      </w:r>
      <w:r>
        <w:rPr>
          <w:rFonts w:hint="eastAsia" w:cs="宋体"/>
          <w:b w:val="0"/>
          <w:bCs w:val="0"/>
          <w:color w:val="auto"/>
          <w:szCs w:val="36"/>
          <w:highlight w:val="none"/>
        </w:rPr>
        <w:instrText xml:space="preserve"> PAGEREF _Toc12581 \h </w:instrText>
      </w:r>
      <w:r>
        <w:rPr>
          <w:rFonts w:hint="eastAsia" w:cs="宋体"/>
          <w:b w:val="0"/>
          <w:bCs w:val="0"/>
          <w:color w:val="auto"/>
          <w:szCs w:val="36"/>
          <w:highlight w:val="none"/>
        </w:rPr>
        <w:fldChar w:fldCharType="separate"/>
      </w:r>
      <w:r>
        <w:rPr>
          <w:rFonts w:hint="eastAsia" w:cs="宋体"/>
          <w:b w:val="0"/>
          <w:bCs w:val="0"/>
          <w:color w:val="auto"/>
          <w:szCs w:val="36"/>
          <w:highlight w:val="none"/>
        </w:rPr>
        <w:t>13</w:t>
      </w:r>
      <w:r>
        <w:rPr>
          <w:rFonts w:hint="eastAsia" w:cs="宋体"/>
          <w:b w:val="0"/>
          <w:bCs w:val="0"/>
          <w:color w:val="auto"/>
          <w:szCs w:val="36"/>
          <w:highlight w:val="none"/>
        </w:rPr>
        <w:fldChar w:fldCharType="end"/>
      </w:r>
      <w:r>
        <w:rPr>
          <w:rFonts w:hint="eastAsia" w:cs="宋体"/>
          <w:b w:val="0"/>
          <w:bCs w:val="0"/>
          <w:color w:val="auto"/>
          <w:szCs w:val="36"/>
          <w:highlight w:val="none"/>
        </w:rPr>
        <w:fldChar w:fldCharType="end"/>
      </w:r>
    </w:p>
    <w:p>
      <w:pPr>
        <w:pStyle w:val="19"/>
        <w:tabs>
          <w:tab w:val="right" w:leader="dot" w:pos="9040"/>
          <w:tab w:val="clear" w:pos="8948"/>
        </w:tabs>
        <w:spacing w:before="0" w:after="0" w:line="480" w:lineRule="auto"/>
        <w:ind w:firstLine="422" w:firstLineChars="200"/>
        <w:rPr>
          <w:rFonts w:cs="宋体"/>
          <w:b w:val="0"/>
          <w:bCs w:val="0"/>
          <w:color w:val="auto"/>
          <w:szCs w:val="36"/>
          <w:highlight w:val="none"/>
        </w:rPr>
      </w:pPr>
      <w:r>
        <w:rPr>
          <w:color w:val="auto"/>
          <w:highlight w:val="none"/>
        </w:rPr>
        <w:fldChar w:fldCharType="begin"/>
      </w:r>
      <w:r>
        <w:rPr>
          <w:color w:val="auto"/>
          <w:highlight w:val="none"/>
        </w:rPr>
        <w:instrText xml:space="preserve"> HYPERLINK \l "_Toc2070" </w:instrText>
      </w:r>
      <w:r>
        <w:rPr>
          <w:color w:val="auto"/>
          <w:highlight w:val="none"/>
        </w:rPr>
        <w:fldChar w:fldCharType="separate"/>
      </w:r>
      <w:r>
        <w:rPr>
          <w:rFonts w:hint="eastAsia" w:cs="宋体"/>
          <w:b w:val="0"/>
          <w:bCs w:val="0"/>
          <w:color w:val="auto"/>
          <w:szCs w:val="36"/>
          <w:highlight w:val="none"/>
        </w:rPr>
        <w:t>（三）招标文件说明</w:t>
      </w:r>
      <w:r>
        <w:rPr>
          <w:rFonts w:hint="eastAsia" w:cs="宋体"/>
          <w:b w:val="0"/>
          <w:bCs w:val="0"/>
          <w:color w:val="auto"/>
          <w:szCs w:val="36"/>
          <w:highlight w:val="none"/>
        </w:rPr>
        <w:tab/>
      </w:r>
      <w:r>
        <w:rPr>
          <w:rFonts w:hint="eastAsia" w:cs="宋体"/>
          <w:b w:val="0"/>
          <w:bCs w:val="0"/>
          <w:color w:val="auto"/>
          <w:szCs w:val="36"/>
          <w:highlight w:val="none"/>
        </w:rPr>
        <w:fldChar w:fldCharType="begin"/>
      </w:r>
      <w:r>
        <w:rPr>
          <w:rFonts w:hint="eastAsia" w:cs="宋体"/>
          <w:b w:val="0"/>
          <w:bCs w:val="0"/>
          <w:color w:val="auto"/>
          <w:szCs w:val="36"/>
          <w:highlight w:val="none"/>
        </w:rPr>
        <w:instrText xml:space="preserve"> PAGEREF _Toc2070 \h </w:instrText>
      </w:r>
      <w:r>
        <w:rPr>
          <w:rFonts w:hint="eastAsia" w:cs="宋体"/>
          <w:b w:val="0"/>
          <w:bCs w:val="0"/>
          <w:color w:val="auto"/>
          <w:szCs w:val="36"/>
          <w:highlight w:val="none"/>
        </w:rPr>
        <w:fldChar w:fldCharType="separate"/>
      </w:r>
      <w:r>
        <w:rPr>
          <w:rFonts w:hint="eastAsia" w:cs="宋体"/>
          <w:b w:val="0"/>
          <w:bCs w:val="0"/>
          <w:color w:val="auto"/>
          <w:szCs w:val="36"/>
          <w:highlight w:val="none"/>
        </w:rPr>
        <w:t>15</w:t>
      </w:r>
      <w:r>
        <w:rPr>
          <w:rFonts w:hint="eastAsia" w:cs="宋体"/>
          <w:b w:val="0"/>
          <w:bCs w:val="0"/>
          <w:color w:val="auto"/>
          <w:szCs w:val="36"/>
          <w:highlight w:val="none"/>
        </w:rPr>
        <w:fldChar w:fldCharType="end"/>
      </w:r>
      <w:r>
        <w:rPr>
          <w:rFonts w:hint="eastAsia" w:cs="宋体"/>
          <w:b w:val="0"/>
          <w:bCs w:val="0"/>
          <w:color w:val="auto"/>
          <w:szCs w:val="36"/>
          <w:highlight w:val="none"/>
        </w:rPr>
        <w:fldChar w:fldCharType="end"/>
      </w:r>
    </w:p>
    <w:p>
      <w:pPr>
        <w:pStyle w:val="19"/>
        <w:tabs>
          <w:tab w:val="right" w:leader="dot" w:pos="9040"/>
          <w:tab w:val="clear" w:pos="8948"/>
        </w:tabs>
        <w:spacing w:before="0" w:after="0" w:line="480" w:lineRule="auto"/>
        <w:ind w:firstLine="422" w:firstLineChars="200"/>
        <w:rPr>
          <w:rFonts w:cs="宋体"/>
          <w:b w:val="0"/>
          <w:bCs w:val="0"/>
          <w:color w:val="auto"/>
          <w:szCs w:val="36"/>
          <w:highlight w:val="none"/>
        </w:rPr>
      </w:pPr>
      <w:r>
        <w:rPr>
          <w:color w:val="auto"/>
          <w:highlight w:val="none"/>
        </w:rPr>
        <w:fldChar w:fldCharType="begin"/>
      </w:r>
      <w:r>
        <w:rPr>
          <w:color w:val="auto"/>
          <w:highlight w:val="none"/>
        </w:rPr>
        <w:instrText xml:space="preserve"> HYPERLINK \l "_Toc8023" </w:instrText>
      </w:r>
      <w:r>
        <w:rPr>
          <w:color w:val="auto"/>
          <w:highlight w:val="none"/>
        </w:rPr>
        <w:fldChar w:fldCharType="separate"/>
      </w:r>
      <w:r>
        <w:rPr>
          <w:rFonts w:hint="eastAsia" w:cs="宋体"/>
          <w:b w:val="0"/>
          <w:bCs w:val="0"/>
          <w:color w:val="auto"/>
          <w:szCs w:val="36"/>
          <w:highlight w:val="none"/>
        </w:rPr>
        <w:t>（四）投标文件的编制</w:t>
      </w:r>
      <w:r>
        <w:rPr>
          <w:rFonts w:hint="eastAsia" w:cs="宋体"/>
          <w:b w:val="0"/>
          <w:bCs w:val="0"/>
          <w:color w:val="auto"/>
          <w:szCs w:val="36"/>
          <w:highlight w:val="none"/>
        </w:rPr>
        <w:tab/>
      </w:r>
      <w:r>
        <w:rPr>
          <w:rFonts w:hint="eastAsia" w:cs="宋体"/>
          <w:b w:val="0"/>
          <w:bCs w:val="0"/>
          <w:color w:val="auto"/>
          <w:szCs w:val="36"/>
          <w:highlight w:val="none"/>
        </w:rPr>
        <w:fldChar w:fldCharType="begin"/>
      </w:r>
      <w:r>
        <w:rPr>
          <w:rFonts w:hint="eastAsia" w:cs="宋体"/>
          <w:b w:val="0"/>
          <w:bCs w:val="0"/>
          <w:color w:val="auto"/>
          <w:szCs w:val="36"/>
          <w:highlight w:val="none"/>
        </w:rPr>
        <w:instrText xml:space="preserve"> PAGEREF _Toc8023 \h </w:instrText>
      </w:r>
      <w:r>
        <w:rPr>
          <w:rFonts w:hint="eastAsia" w:cs="宋体"/>
          <w:b w:val="0"/>
          <w:bCs w:val="0"/>
          <w:color w:val="auto"/>
          <w:szCs w:val="36"/>
          <w:highlight w:val="none"/>
        </w:rPr>
        <w:fldChar w:fldCharType="separate"/>
      </w:r>
      <w:r>
        <w:rPr>
          <w:rFonts w:hint="eastAsia" w:cs="宋体"/>
          <w:b w:val="0"/>
          <w:bCs w:val="0"/>
          <w:color w:val="auto"/>
          <w:szCs w:val="36"/>
          <w:highlight w:val="none"/>
        </w:rPr>
        <w:t>16</w:t>
      </w:r>
      <w:r>
        <w:rPr>
          <w:rFonts w:hint="eastAsia" w:cs="宋体"/>
          <w:b w:val="0"/>
          <w:bCs w:val="0"/>
          <w:color w:val="auto"/>
          <w:szCs w:val="36"/>
          <w:highlight w:val="none"/>
        </w:rPr>
        <w:fldChar w:fldCharType="end"/>
      </w:r>
      <w:r>
        <w:rPr>
          <w:rFonts w:hint="eastAsia" w:cs="宋体"/>
          <w:b w:val="0"/>
          <w:bCs w:val="0"/>
          <w:color w:val="auto"/>
          <w:szCs w:val="36"/>
          <w:highlight w:val="none"/>
        </w:rPr>
        <w:fldChar w:fldCharType="end"/>
      </w:r>
    </w:p>
    <w:p>
      <w:pPr>
        <w:pStyle w:val="19"/>
        <w:tabs>
          <w:tab w:val="right" w:leader="dot" w:pos="9040"/>
          <w:tab w:val="clear" w:pos="8948"/>
        </w:tabs>
        <w:spacing w:before="0" w:after="0" w:line="480" w:lineRule="auto"/>
        <w:ind w:firstLine="422" w:firstLineChars="200"/>
        <w:rPr>
          <w:rFonts w:cs="宋体"/>
          <w:b w:val="0"/>
          <w:bCs w:val="0"/>
          <w:color w:val="auto"/>
          <w:szCs w:val="36"/>
          <w:highlight w:val="none"/>
        </w:rPr>
      </w:pPr>
      <w:r>
        <w:rPr>
          <w:color w:val="auto"/>
          <w:highlight w:val="none"/>
        </w:rPr>
        <w:fldChar w:fldCharType="begin"/>
      </w:r>
      <w:r>
        <w:rPr>
          <w:color w:val="auto"/>
          <w:highlight w:val="none"/>
        </w:rPr>
        <w:instrText xml:space="preserve"> HYPERLINK \l "_Toc17160" </w:instrText>
      </w:r>
      <w:r>
        <w:rPr>
          <w:color w:val="auto"/>
          <w:highlight w:val="none"/>
        </w:rPr>
        <w:fldChar w:fldCharType="separate"/>
      </w:r>
      <w:r>
        <w:rPr>
          <w:rFonts w:hint="eastAsia" w:cs="宋体"/>
          <w:b w:val="0"/>
          <w:bCs w:val="0"/>
          <w:color w:val="auto"/>
          <w:szCs w:val="36"/>
          <w:highlight w:val="none"/>
        </w:rPr>
        <w:t>（五）投标文件的递交</w:t>
      </w:r>
      <w:r>
        <w:rPr>
          <w:rFonts w:hint="eastAsia" w:cs="宋体"/>
          <w:b w:val="0"/>
          <w:bCs w:val="0"/>
          <w:color w:val="auto"/>
          <w:szCs w:val="36"/>
          <w:highlight w:val="none"/>
        </w:rPr>
        <w:tab/>
      </w:r>
      <w:r>
        <w:rPr>
          <w:rFonts w:hint="eastAsia" w:cs="宋体"/>
          <w:b w:val="0"/>
          <w:bCs w:val="0"/>
          <w:color w:val="auto"/>
          <w:szCs w:val="36"/>
          <w:highlight w:val="none"/>
        </w:rPr>
        <w:fldChar w:fldCharType="begin"/>
      </w:r>
      <w:r>
        <w:rPr>
          <w:rFonts w:hint="eastAsia" w:cs="宋体"/>
          <w:b w:val="0"/>
          <w:bCs w:val="0"/>
          <w:color w:val="auto"/>
          <w:szCs w:val="36"/>
          <w:highlight w:val="none"/>
        </w:rPr>
        <w:instrText xml:space="preserve"> PAGEREF _Toc17160 \h </w:instrText>
      </w:r>
      <w:r>
        <w:rPr>
          <w:rFonts w:hint="eastAsia" w:cs="宋体"/>
          <w:b w:val="0"/>
          <w:bCs w:val="0"/>
          <w:color w:val="auto"/>
          <w:szCs w:val="36"/>
          <w:highlight w:val="none"/>
        </w:rPr>
        <w:fldChar w:fldCharType="separate"/>
      </w:r>
      <w:r>
        <w:rPr>
          <w:rFonts w:hint="eastAsia" w:cs="宋体"/>
          <w:b w:val="0"/>
          <w:bCs w:val="0"/>
          <w:color w:val="auto"/>
          <w:szCs w:val="36"/>
          <w:highlight w:val="none"/>
        </w:rPr>
        <w:t>20</w:t>
      </w:r>
      <w:r>
        <w:rPr>
          <w:rFonts w:hint="eastAsia" w:cs="宋体"/>
          <w:b w:val="0"/>
          <w:bCs w:val="0"/>
          <w:color w:val="auto"/>
          <w:szCs w:val="36"/>
          <w:highlight w:val="none"/>
        </w:rPr>
        <w:fldChar w:fldCharType="end"/>
      </w:r>
      <w:r>
        <w:rPr>
          <w:rFonts w:hint="eastAsia" w:cs="宋体"/>
          <w:b w:val="0"/>
          <w:bCs w:val="0"/>
          <w:color w:val="auto"/>
          <w:szCs w:val="36"/>
          <w:highlight w:val="none"/>
        </w:rPr>
        <w:fldChar w:fldCharType="end"/>
      </w:r>
    </w:p>
    <w:p>
      <w:pPr>
        <w:pStyle w:val="19"/>
        <w:tabs>
          <w:tab w:val="right" w:leader="dot" w:pos="9040"/>
          <w:tab w:val="clear" w:pos="8948"/>
        </w:tabs>
        <w:spacing w:before="0" w:after="0" w:line="480" w:lineRule="auto"/>
        <w:ind w:firstLine="422" w:firstLineChars="200"/>
        <w:rPr>
          <w:rFonts w:cs="宋体"/>
          <w:b w:val="0"/>
          <w:bCs w:val="0"/>
          <w:color w:val="auto"/>
          <w:szCs w:val="36"/>
          <w:highlight w:val="none"/>
        </w:rPr>
      </w:pPr>
      <w:r>
        <w:rPr>
          <w:color w:val="auto"/>
          <w:highlight w:val="none"/>
        </w:rPr>
        <w:fldChar w:fldCharType="begin"/>
      </w:r>
      <w:r>
        <w:rPr>
          <w:color w:val="auto"/>
          <w:highlight w:val="none"/>
        </w:rPr>
        <w:instrText xml:space="preserve"> HYPERLINK \l "_Toc8839" </w:instrText>
      </w:r>
      <w:r>
        <w:rPr>
          <w:color w:val="auto"/>
          <w:highlight w:val="none"/>
        </w:rPr>
        <w:fldChar w:fldCharType="separate"/>
      </w:r>
      <w:r>
        <w:rPr>
          <w:rFonts w:hint="eastAsia" w:cs="宋体"/>
          <w:b w:val="0"/>
          <w:bCs w:val="0"/>
          <w:color w:val="auto"/>
          <w:szCs w:val="36"/>
          <w:highlight w:val="none"/>
        </w:rPr>
        <w:t>（六）开标与评审</w:t>
      </w:r>
      <w:r>
        <w:rPr>
          <w:rFonts w:hint="eastAsia" w:cs="宋体"/>
          <w:b w:val="0"/>
          <w:bCs w:val="0"/>
          <w:color w:val="auto"/>
          <w:szCs w:val="36"/>
          <w:highlight w:val="none"/>
        </w:rPr>
        <w:tab/>
      </w:r>
      <w:r>
        <w:rPr>
          <w:rFonts w:hint="eastAsia" w:cs="宋体"/>
          <w:b w:val="0"/>
          <w:bCs w:val="0"/>
          <w:color w:val="auto"/>
          <w:szCs w:val="36"/>
          <w:highlight w:val="none"/>
        </w:rPr>
        <w:fldChar w:fldCharType="begin"/>
      </w:r>
      <w:r>
        <w:rPr>
          <w:rFonts w:hint="eastAsia" w:cs="宋体"/>
          <w:b w:val="0"/>
          <w:bCs w:val="0"/>
          <w:color w:val="auto"/>
          <w:szCs w:val="36"/>
          <w:highlight w:val="none"/>
        </w:rPr>
        <w:instrText xml:space="preserve"> PAGEREF _Toc8839 \h </w:instrText>
      </w:r>
      <w:r>
        <w:rPr>
          <w:rFonts w:hint="eastAsia" w:cs="宋体"/>
          <w:b w:val="0"/>
          <w:bCs w:val="0"/>
          <w:color w:val="auto"/>
          <w:szCs w:val="36"/>
          <w:highlight w:val="none"/>
        </w:rPr>
        <w:fldChar w:fldCharType="separate"/>
      </w:r>
      <w:r>
        <w:rPr>
          <w:rFonts w:hint="eastAsia" w:cs="宋体"/>
          <w:b w:val="0"/>
          <w:bCs w:val="0"/>
          <w:color w:val="auto"/>
          <w:szCs w:val="36"/>
          <w:highlight w:val="none"/>
        </w:rPr>
        <w:t>21</w:t>
      </w:r>
      <w:r>
        <w:rPr>
          <w:rFonts w:hint="eastAsia" w:cs="宋体"/>
          <w:b w:val="0"/>
          <w:bCs w:val="0"/>
          <w:color w:val="auto"/>
          <w:szCs w:val="36"/>
          <w:highlight w:val="none"/>
        </w:rPr>
        <w:fldChar w:fldCharType="end"/>
      </w:r>
      <w:r>
        <w:rPr>
          <w:rFonts w:hint="eastAsia" w:cs="宋体"/>
          <w:b w:val="0"/>
          <w:bCs w:val="0"/>
          <w:color w:val="auto"/>
          <w:szCs w:val="36"/>
          <w:highlight w:val="none"/>
        </w:rPr>
        <w:fldChar w:fldCharType="end"/>
      </w:r>
    </w:p>
    <w:p>
      <w:pPr>
        <w:pStyle w:val="19"/>
        <w:tabs>
          <w:tab w:val="right" w:leader="dot" w:pos="9040"/>
          <w:tab w:val="clear" w:pos="8948"/>
        </w:tabs>
        <w:spacing w:before="0" w:after="0" w:line="480" w:lineRule="auto"/>
        <w:ind w:firstLine="422" w:firstLineChars="200"/>
        <w:rPr>
          <w:rFonts w:cs="宋体"/>
          <w:b w:val="0"/>
          <w:bCs w:val="0"/>
          <w:color w:val="auto"/>
          <w:szCs w:val="36"/>
          <w:highlight w:val="none"/>
        </w:rPr>
      </w:pPr>
      <w:r>
        <w:rPr>
          <w:color w:val="auto"/>
          <w:highlight w:val="none"/>
        </w:rPr>
        <w:fldChar w:fldCharType="begin"/>
      </w:r>
      <w:r>
        <w:rPr>
          <w:color w:val="auto"/>
          <w:highlight w:val="none"/>
        </w:rPr>
        <w:instrText xml:space="preserve"> HYPERLINK \l "_Toc20357" </w:instrText>
      </w:r>
      <w:r>
        <w:rPr>
          <w:color w:val="auto"/>
          <w:highlight w:val="none"/>
        </w:rPr>
        <w:fldChar w:fldCharType="separate"/>
      </w:r>
      <w:r>
        <w:rPr>
          <w:rFonts w:hint="eastAsia" w:cs="宋体"/>
          <w:b w:val="0"/>
          <w:bCs w:val="0"/>
          <w:color w:val="auto"/>
          <w:szCs w:val="36"/>
          <w:highlight w:val="none"/>
        </w:rPr>
        <w:t>（七）其他</w:t>
      </w:r>
      <w:r>
        <w:rPr>
          <w:rFonts w:hint="eastAsia" w:cs="宋体"/>
          <w:b w:val="0"/>
          <w:bCs w:val="0"/>
          <w:color w:val="auto"/>
          <w:szCs w:val="36"/>
          <w:highlight w:val="none"/>
        </w:rPr>
        <w:tab/>
      </w:r>
      <w:r>
        <w:rPr>
          <w:rFonts w:hint="eastAsia" w:cs="宋体"/>
          <w:b w:val="0"/>
          <w:bCs w:val="0"/>
          <w:color w:val="auto"/>
          <w:szCs w:val="36"/>
          <w:highlight w:val="none"/>
        </w:rPr>
        <w:fldChar w:fldCharType="begin"/>
      </w:r>
      <w:r>
        <w:rPr>
          <w:rFonts w:hint="eastAsia" w:cs="宋体"/>
          <w:b w:val="0"/>
          <w:bCs w:val="0"/>
          <w:color w:val="auto"/>
          <w:szCs w:val="36"/>
          <w:highlight w:val="none"/>
        </w:rPr>
        <w:instrText xml:space="preserve"> PAGEREF _Toc20357 \h </w:instrText>
      </w:r>
      <w:r>
        <w:rPr>
          <w:rFonts w:hint="eastAsia" w:cs="宋体"/>
          <w:b w:val="0"/>
          <w:bCs w:val="0"/>
          <w:color w:val="auto"/>
          <w:szCs w:val="36"/>
          <w:highlight w:val="none"/>
        </w:rPr>
        <w:fldChar w:fldCharType="separate"/>
      </w:r>
      <w:r>
        <w:rPr>
          <w:rFonts w:hint="eastAsia" w:cs="宋体"/>
          <w:b w:val="0"/>
          <w:bCs w:val="0"/>
          <w:color w:val="auto"/>
          <w:szCs w:val="36"/>
          <w:highlight w:val="none"/>
        </w:rPr>
        <w:t>27</w:t>
      </w:r>
      <w:r>
        <w:rPr>
          <w:rFonts w:hint="eastAsia" w:cs="宋体"/>
          <w:b w:val="0"/>
          <w:bCs w:val="0"/>
          <w:color w:val="auto"/>
          <w:szCs w:val="36"/>
          <w:highlight w:val="none"/>
        </w:rPr>
        <w:fldChar w:fldCharType="end"/>
      </w:r>
      <w:r>
        <w:rPr>
          <w:rFonts w:hint="eastAsia" w:cs="宋体"/>
          <w:b w:val="0"/>
          <w:bCs w:val="0"/>
          <w:color w:val="auto"/>
          <w:szCs w:val="36"/>
          <w:highlight w:val="none"/>
        </w:rPr>
        <w:fldChar w:fldCharType="end"/>
      </w:r>
    </w:p>
    <w:p>
      <w:pPr>
        <w:pStyle w:val="19"/>
        <w:tabs>
          <w:tab w:val="right" w:leader="dot" w:pos="9040"/>
          <w:tab w:val="clear" w:pos="8948"/>
        </w:tabs>
        <w:spacing w:before="0" w:after="0" w:line="480" w:lineRule="auto"/>
        <w:rPr>
          <w:rFonts w:cs="宋体"/>
          <w:color w:val="auto"/>
          <w:szCs w:val="36"/>
          <w:highlight w:val="none"/>
        </w:rPr>
      </w:pPr>
      <w:r>
        <w:rPr>
          <w:color w:val="auto"/>
          <w:highlight w:val="none"/>
        </w:rPr>
        <w:fldChar w:fldCharType="begin"/>
      </w:r>
      <w:r>
        <w:rPr>
          <w:color w:val="auto"/>
          <w:highlight w:val="none"/>
        </w:rPr>
        <w:instrText xml:space="preserve"> HYPERLINK \l "_Toc9349" </w:instrText>
      </w:r>
      <w:r>
        <w:rPr>
          <w:color w:val="auto"/>
          <w:highlight w:val="none"/>
        </w:rPr>
        <w:fldChar w:fldCharType="separate"/>
      </w:r>
      <w:r>
        <w:rPr>
          <w:rFonts w:hint="eastAsia" w:cs="宋体"/>
          <w:color w:val="auto"/>
          <w:szCs w:val="36"/>
          <w:highlight w:val="none"/>
        </w:rPr>
        <w:t>第三部分 招标内容及要求</w:t>
      </w:r>
      <w:r>
        <w:rPr>
          <w:rFonts w:hint="eastAsia" w:cs="宋体"/>
          <w:color w:val="auto"/>
          <w:szCs w:val="36"/>
          <w:highlight w:val="none"/>
        </w:rPr>
        <w:tab/>
      </w:r>
      <w:r>
        <w:rPr>
          <w:rFonts w:hint="eastAsia" w:cs="宋体"/>
          <w:color w:val="auto"/>
          <w:szCs w:val="36"/>
          <w:highlight w:val="none"/>
        </w:rPr>
        <w:fldChar w:fldCharType="begin"/>
      </w:r>
      <w:r>
        <w:rPr>
          <w:rFonts w:hint="eastAsia" w:cs="宋体"/>
          <w:color w:val="auto"/>
          <w:szCs w:val="36"/>
          <w:highlight w:val="none"/>
        </w:rPr>
        <w:instrText xml:space="preserve"> PAGEREF _Toc9349 \h </w:instrText>
      </w:r>
      <w:r>
        <w:rPr>
          <w:rFonts w:hint="eastAsia" w:cs="宋体"/>
          <w:color w:val="auto"/>
          <w:szCs w:val="36"/>
          <w:highlight w:val="none"/>
        </w:rPr>
        <w:fldChar w:fldCharType="separate"/>
      </w:r>
      <w:r>
        <w:rPr>
          <w:rFonts w:hint="eastAsia" w:cs="宋体"/>
          <w:color w:val="auto"/>
          <w:szCs w:val="36"/>
          <w:highlight w:val="none"/>
        </w:rPr>
        <w:t>28</w:t>
      </w:r>
      <w:r>
        <w:rPr>
          <w:rFonts w:hint="eastAsia" w:cs="宋体"/>
          <w:color w:val="auto"/>
          <w:szCs w:val="36"/>
          <w:highlight w:val="none"/>
        </w:rPr>
        <w:fldChar w:fldCharType="end"/>
      </w:r>
      <w:r>
        <w:rPr>
          <w:rFonts w:hint="eastAsia" w:cs="宋体"/>
          <w:color w:val="auto"/>
          <w:szCs w:val="36"/>
          <w:highlight w:val="none"/>
        </w:rPr>
        <w:fldChar w:fldCharType="end"/>
      </w:r>
    </w:p>
    <w:p>
      <w:pPr>
        <w:pStyle w:val="19"/>
        <w:tabs>
          <w:tab w:val="right" w:leader="dot" w:pos="9040"/>
          <w:tab w:val="clear" w:pos="8948"/>
        </w:tabs>
        <w:spacing w:before="0" w:after="0" w:line="480" w:lineRule="auto"/>
        <w:rPr>
          <w:rFonts w:cs="宋体"/>
          <w:color w:val="auto"/>
          <w:szCs w:val="36"/>
          <w:highlight w:val="none"/>
        </w:rPr>
      </w:pPr>
      <w:r>
        <w:rPr>
          <w:color w:val="auto"/>
          <w:highlight w:val="none"/>
        </w:rPr>
        <w:fldChar w:fldCharType="begin"/>
      </w:r>
      <w:r>
        <w:rPr>
          <w:color w:val="auto"/>
          <w:highlight w:val="none"/>
        </w:rPr>
        <w:instrText xml:space="preserve"> HYPERLINK \l "_Toc5706" </w:instrText>
      </w:r>
      <w:r>
        <w:rPr>
          <w:color w:val="auto"/>
          <w:highlight w:val="none"/>
        </w:rPr>
        <w:fldChar w:fldCharType="separate"/>
      </w:r>
      <w:r>
        <w:rPr>
          <w:rFonts w:hint="eastAsia" w:cs="宋体"/>
          <w:color w:val="auto"/>
          <w:szCs w:val="36"/>
          <w:highlight w:val="none"/>
        </w:rPr>
        <w:t>第四部分  小、微企业（含监狱企业）扶持政策说明</w:t>
      </w:r>
      <w:r>
        <w:rPr>
          <w:rFonts w:hint="eastAsia" w:cs="宋体"/>
          <w:color w:val="auto"/>
          <w:szCs w:val="36"/>
          <w:highlight w:val="none"/>
        </w:rPr>
        <w:tab/>
      </w:r>
      <w:r>
        <w:rPr>
          <w:rFonts w:hint="eastAsia" w:cs="宋体"/>
          <w:color w:val="auto"/>
          <w:szCs w:val="36"/>
          <w:highlight w:val="none"/>
        </w:rPr>
        <w:fldChar w:fldCharType="begin"/>
      </w:r>
      <w:r>
        <w:rPr>
          <w:rFonts w:hint="eastAsia" w:cs="宋体"/>
          <w:color w:val="auto"/>
          <w:szCs w:val="36"/>
          <w:highlight w:val="none"/>
        </w:rPr>
        <w:instrText xml:space="preserve"> PAGEREF _Toc5706 \h </w:instrText>
      </w:r>
      <w:r>
        <w:rPr>
          <w:rFonts w:hint="eastAsia" w:cs="宋体"/>
          <w:color w:val="auto"/>
          <w:szCs w:val="36"/>
          <w:highlight w:val="none"/>
        </w:rPr>
        <w:fldChar w:fldCharType="separate"/>
      </w:r>
      <w:r>
        <w:rPr>
          <w:rFonts w:hint="eastAsia" w:cs="宋体"/>
          <w:color w:val="auto"/>
          <w:szCs w:val="36"/>
          <w:highlight w:val="none"/>
        </w:rPr>
        <w:t>32</w:t>
      </w:r>
      <w:r>
        <w:rPr>
          <w:rFonts w:hint="eastAsia" w:cs="宋体"/>
          <w:color w:val="auto"/>
          <w:szCs w:val="36"/>
          <w:highlight w:val="none"/>
        </w:rPr>
        <w:fldChar w:fldCharType="end"/>
      </w:r>
      <w:r>
        <w:rPr>
          <w:rFonts w:hint="eastAsia" w:cs="宋体"/>
          <w:color w:val="auto"/>
          <w:szCs w:val="36"/>
          <w:highlight w:val="none"/>
        </w:rPr>
        <w:fldChar w:fldCharType="end"/>
      </w:r>
    </w:p>
    <w:p>
      <w:pPr>
        <w:pStyle w:val="19"/>
        <w:tabs>
          <w:tab w:val="right" w:leader="dot" w:pos="9040"/>
          <w:tab w:val="clear" w:pos="8948"/>
        </w:tabs>
        <w:spacing w:before="0" w:after="0" w:line="480" w:lineRule="auto"/>
        <w:rPr>
          <w:rFonts w:cs="宋体"/>
          <w:color w:val="auto"/>
          <w:szCs w:val="36"/>
          <w:highlight w:val="none"/>
        </w:rPr>
      </w:pPr>
      <w:r>
        <w:rPr>
          <w:color w:val="auto"/>
          <w:highlight w:val="none"/>
        </w:rPr>
        <w:fldChar w:fldCharType="begin"/>
      </w:r>
      <w:r>
        <w:rPr>
          <w:color w:val="auto"/>
          <w:highlight w:val="none"/>
        </w:rPr>
        <w:instrText xml:space="preserve"> HYPERLINK \l "_Toc8351" </w:instrText>
      </w:r>
      <w:r>
        <w:rPr>
          <w:color w:val="auto"/>
          <w:highlight w:val="none"/>
        </w:rPr>
        <w:fldChar w:fldCharType="separate"/>
      </w:r>
      <w:r>
        <w:rPr>
          <w:rFonts w:hint="eastAsia" w:cs="宋体"/>
          <w:color w:val="auto"/>
          <w:szCs w:val="36"/>
          <w:highlight w:val="none"/>
        </w:rPr>
        <w:t>第五部分合同条款</w:t>
      </w:r>
      <w:r>
        <w:rPr>
          <w:rFonts w:hint="eastAsia" w:cs="宋体"/>
          <w:color w:val="auto"/>
          <w:szCs w:val="36"/>
          <w:highlight w:val="none"/>
        </w:rPr>
        <w:tab/>
      </w:r>
      <w:r>
        <w:rPr>
          <w:rFonts w:hint="eastAsia" w:cs="宋体"/>
          <w:color w:val="auto"/>
          <w:szCs w:val="36"/>
          <w:highlight w:val="none"/>
        </w:rPr>
        <w:fldChar w:fldCharType="begin"/>
      </w:r>
      <w:r>
        <w:rPr>
          <w:rFonts w:hint="eastAsia" w:cs="宋体"/>
          <w:color w:val="auto"/>
          <w:szCs w:val="36"/>
          <w:highlight w:val="none"/>
        </w:rPr>
        <w:instrText xml:space="preserve"> PAGEREF _Toc8351 \h </w:instrText>
      </w:r>
      <w:r>
        <w:rPr>
          <w:rFonts w:hint="eastAsia" w:cs="宋体"/>
          <w:color w:val="auto"/>
          <w:szCs w:val="36"/>
          <w:highlight w:val="none"/>
        </w:rPr>
        <w:fldChar w:fldCharType="separate"/>
      </w:r>
      <w:r>
        <w:rPr>
          <w:rFonts w:hint="eastAsia" w:cs="宋体"/>
          <w:color w:val="auto"/>
          <w:szCs w:val="36"/>
          <w:highlight w:val="none"/>
        </w:rPr>
        <w:t>33</w:t>
      </w:r>
      <w:r>
        <w:rPr>
          <w:rFonts w:hint="eastAsia" w:cs="宋体"/>
          <w:color w:val="auto"/>
          <w:szCs w:val="36"/>
          <w:highlight w:val="none"/>
        </w:rPr>
        <w:fldChar w:fldCharType="end"/>
      </w:r>
      <w:r>
        <w:rPr>
          <w:rFonts w:hint="eastAsia" w:cs="宋体"/>
          <w:color w:val="auto"/>
          <w:szCs w:val="36"/>
          <w:highlight w:val="none"/>
        </w:rPr>
        <w:fldChar w:fldCharType="end"/>
      </w:r>
    </w:p>
    <w:p>
      <w:pPr>
        <w:pStyle w:val="19"/>
        <w:tabs>
          <w:tab w:val="right" w:leader="dot" w:pos="9040"/>
          <w:tab w:val="clear" w:pos="8948"/>
        </w:tabs>
        <w:spacing w:before="0" w:after="0" w:line="480" w:lineRule="auto"/>
        <w:rPr>
          <w:rFonts w:cs="宋体"/>
          <w:color w:val="auto"/>
          <w:szCs w:val="36"/>
          <w:highlight w:val="none"/>
        </w:rPr>
      </w:pPr>
      <w:r>
        <w:rPr>
          <w:color w:val="auto"/>
          <w:highlight w:val="none"/>
        </w:rPr>
        <w:fldChar w:fldCharType="begin"/>
      </w:r>
      <w:r>
        <w:rPr>
          <w:color w:val="auto"/>
          <w:highlight w:val="none"/>
        </w:rPr>
        <w:instrText xml:space="preserve"> HYPERLINK \l "_Toc26567" </w:instrText>
      </w:r>
      <w:r>
        <w:rPr>
          <w:color w:val="auto"/>
          <w:highlight w:val="none"/>
        </w:rPr>
        <w:fldChar w:fldCharType="separate"/>
      </w:r>
      <w:r>
        <w:rPr>
          <w:rFonts w:hint="eastAsia" w:cs="宋体"/>
          <w:color w:val="auto"/>
          <w:szCs w:val="36"/>
          <w:highlight w:val="none"/>
        </w:rPr>
        <w:t>第六部分  投标文件格式</w:t>
      </w:r>
      <w:r>
        <w:rPr>
          <w:rFonts w:hint="eastAsia" w:cs="宋体"/>
          <w:color w:val="auto"/>
          <w:szCs w:val="36"/>
          <w:highlight w:val="none"/>
        </w:rPr>
        <w:tab/>
      </w:r>
      <w:r>
        <w:rPr>
          <w:rFonts w:hint="eastAsia" w:cs="宋体"/>
          <w:color w:val="auto"/>
          <w:szCs w:val="36"/>
          <w:highlight w:val="none"/>
        </w:rPr>
        <w:fldChar w:fldCharType="begin"/>
      </w:r>
      <w:r>
        <w:rPr>
          <w:rFonts w:hint="eastAsia" w:cs="宋体"/>
          <w:color w:val="auto"/>
          <w:szCs w:val="36"/>
          <w:highlight w:val="none"/>
        </w:rPr>
        <w:instrText xml:space="preserve"> PAGEREF _Toc26567 \h </w:instrText>
      </w:r>
      <w:r>
        <w:rPr>
          <w:rFonts w:hint="eastAsia" w:cs="宋体"/>
          <w:color w:val="auto"/>
          <w:szCs w:val="36"/>
          <w:highlight w:val="none"/>
        </w:rPr>
        <w:fldChar w:fldCharType="separate"/>
      </w:r>
      <w:r>
        <w:rPr>
          <w:rFonts w:hint="eastAsia" w:cs="宋体"/>
          <w:color w:val="auto"/>
          <w:szCs w:val="36"/>
          <w:highlight w:val="none"/>
        </w:rPr>
        <w:t>39</w:t>
      </w:r>
      <w:r>
        <w:rPr>
          <w:rFonts w:hint="eastAsia" w:cs="宋体"/>
          <w:color w:val="auto"/>
          <w:szCs w:val="36"/>
          <w:highlight w:val="none"/>
        </w:rPr>
        <w:fldChar w:fldCharType="end"/>
      </w:r>
      <w:r>
        <w:rPr>
          <w:rFonts w:hint="eastAsia" w:cs="宋体"/>
          <w:color w:val="auto"/>
          <w:szCs w:val="36"/>
          <w:highlight w:val="none"/>
        </w:rPr>
        <w:fldChar w:fldCharType="end"/>
      </w:r>
    </w:p>
    <w:p>
      <w:pPr>
        <w:pStyle w:val="19"/>
        <w:tabs>
          <w:tab w:val="right" w:leader="dot" w:pos="9040"/>
          <w:tab w:val="clear" w:pos="8948"/>
        </w:tabs>
        <w:spacing w:before="0" w:after="0" w:line="480" w:lineRule="auto"/>
        <w:rPr>
          <w:rFonts w:cs="宋体"/>
          <w:color w:val="auto"/>
          <w:szCs w:val="36"/>
          <w:highlight w:val="none"/>
        </w:rPr>
      </w:pPr>
      <w:r>
        <w:rPr>
          <w:color w:val="auto"/>
          <w:highlight w:val="none"/>
        </w:rPr>
        <w:fldChar w:fldCharType="begin"/>
      </w:r>
      <w:r>
        <w:rPr>
          <w:color w:val="auto"/>
          <w:highlight w:val="none"/>
        </w:rPr>
        <w:instrText xml:space="preserve"> HYPERLINK \l "_Toc17918" </w:instrText>
      </w:r>
      <w:r>
        <w:rPr>
          <w:color w:val="auto"/>
          <w:highlight w:val="none"/>
        </w:rPr>
        <w:fldChar w:fldCharType="separate"/>
      </w:r>
      <w:r>
        <w:rPr>
          <w:rFonts w:hint="eastAsia" w:cs="宋体"/>
          <w:color w:val="auto"/>
          <w:szCs w:val="36"/>
          <w:highlight w:val="none"/>
        </w:rPr>
        <w:t>第七部分  评标办法</w:t>
      </w:r>
      <w:r>
        <w:rPr>
          <w:rFonts w:hint="eastAsia" w:cs="宋体"/>
          <w:color w:val="auto"/>
          <w:szCs w:val="36"/>
          <w:highlight w:val="none"/>
        </w:rPr>
        <w:tab/>
      </w:r>
      <w:r>
        <w:rPr>
          <w:rFonts w:hint="eastAsia" w:cs="宋体"/>
          <w:color w:val="auto"/>
          <w:szCs w:val="36"/>
          <w:highlight w:val="none"/>
        </w:rPr>
        <w:fldChar w:fldCharType="begin"/>
      </w:r>
      <w:r>
        <w:rPr>
          <w:rFonts w:hint="eastAsia" w:cs="宋体"/>
          <w:color w:val="auto"/>
          <w:szCs w:val="36"/>
          <w:highlight w:val="none"/>
        </w:rPr>
        <w:instrText xml:space="preserve"> PAGEREF _Toc17918 \h </w:instrText>
      </w:r>
      <w:r>
        <w:rPr>
          <w:rFonts w:hint="eastAsia" w:cs="宋体"/>
          <w:color w:val="auto"/>
          <w:szCs w:val="36"/>
          <w:highlight w:val="none"/>
        </w:rPr>
        <w:fldChar w:fldCharType="separate"/>
      </w:r>
      <w:r>
        <w:rPr>
          <w:rFonts w:hint="eastAsia" w:cs="宋体"/>
          <w:color w:val="auto"/>
          <w:szCs w:val="36"/>
          <w:highlight w:val="none"/>
        </w:rPr>
        <w:t>54</w:t>
      </w:r>
      <w:r>
        <w:rPr>
          <w:rFonts w:hint="eastAsia" w:cs="宋体"/>
          <w:color w:val="auto"/>
          <w:szCs w:val="36"/>
          <w:highlight w:val="none"/>
        </w:rPr>
        <w:fldChar w:fldCharType="end"/>
      </w:r>
      <w:r>
        <w:rPr>
          <w:rFonts w:hint="eastAsia" w:cs="宋体"/>
          <w:color w:val="auto"/>
          <w:szCs w:val="36"/>
          <w:highlight w:val="none"/>
        </w:rPr>
        <w:fldChar w:fldCharType="end"/>
      </w:r>
    </w:p>
    <w:p>
      <w:pPr>
        <w:pStyle w:val="19"/>
        <w:tabs>
          <w:tab w:val="right" w:leader="dot" w:pos="9040"/>
          <w:tab w:val="clear" w:pos="8948"/>
        </w:tabs>
        <w:spacing w:before="0" w:after="0" w:line="480" w:lineRule="auto"/>
        <w:rPr>
          <w:rFonts w:cs="宋体"/>
          <w:color w:val="auto"/>
          <w:szCs w:val="36"/>
          <w:highlight w:val="none"/>
        </w:rPr>
      </w:pPr>
      <w:r>
        <w:rPr>
          <w:color w:val="auto"/>
          <w:highlight w:val="none"/>
        </w:rPr>
        <w:fldChar w:fldCharType="begin"/>
      </w:r>
      <w:r>
        <w:rPr>
          <w:color w:val="auto"/>
          <w:highlight w:val="none"/>
        </w:rPr>
        <w:instrText xml:space="preserve"> HYPERLINK \l "_Toc23786" </w:instrText>
      </w:r>
      <w:r>
        <w:rPr>
          <w:color w:val="auto"/>
          <w:highlight w:val="none"/>
        </w:rPr>
        <w:fldChar w:fldCharType="separate"/>
      </w:r>
      <w:r>
        <w:rPr>
          <w:rFonts w:hint="eastAsia" w:cs="宋体"/>
          <w:color w:val="auto"/>
          <w:szCs w:val="36"/>
          <w:highlight w:val="none"/>
        </w:rPr>
        <w:t xml:space="preserve">第八部分  </w:t>
      </w:r>
      <w:r>
        <w:rPr>
          <w:rFonts w:cs="宋体"/>
          <w:color w:val="auto"/>
          <w:szCs w:val="36"/>
          <w:highlight w:val="none"/>
        </w:rPr>
        <w:t>政府采购信用融资政策</w:t>
      </w:r>
      <w:r>
        <w:rPr>
          <w:rFonts w:hint="eastAsia" w:cs="宋体"/>
          <w:color w:val="auto"/>
          <w:szCs w:val="36"/>
          <w:highlight w:val="none"/>
        </w:rPr>
        <w:tab/>
      </w:r>
      <w:r>
        <w:rPr>
          <w:rFonts w:hint="eastAsia" w:cs="宋体"/>
          <w:color w:val="auto"/>
          <w:szCs w:val="36"/>
          <w:highlight w:val="none"/>
        </w:rPr>
        <w:fldChar w:fldCharType="begin"/>
      </w:r>
      <w:r>
        <w:rPr>
          <w:rFonts w:hint="eastAsia" w:cs="宋体"/>
          <w:color w:val="auto"/>
          <w:szCs w:val="36"/>
          <w:highlight w:val="none"/>
        </w:rPr>
        <w:instrText xml:space="preserve"> PAGEREF _Toc23786 \h </w:instrText>
      </w:r>
      <w:r>
        <w:rPr>
          <w:rFonts w:hint="eastAsia" w:cs="宋体"/>
          <w:color w:val="auto"/>
          <w:szCs w:val="36"/>
          <w:highlight w:val="none"/>
        </w:rPr>
        <w:fldChar w:fldCharType="separate"/>
      </w:r>
      <w:r>
        <w:rPr>
          <w:rFonts w:hint="eastAsia" w:cs="宋体"/>
          <w:color w:val="auto"/>
          <w:szCs w:val="36"/>
          <w:highlight w:val="none"/>
        </w:rPr>
        <w:t>64</w:t>
      </w:r>
      <w:r>
        <w:rPr>
          <w:rFonts w:hint="eastAsia" w:cs="宋体"/>
          <w:color w:val="auto"/>
          <w:szCs w:val="36"/>
          <w:highlight w:val="none"/>
        </w:rPr>
        <w:fldChar w:fldCharType="end"/>
      </w:r>
      <w:r>
        <w:rPr>
          <w:rFonts w:hint="eastAsia" w:cs="宋体"/>
          <w:color w:val="auto"/>
          <w:szCs w:val="36"/>
          <w:highlight w:val="none"/>
        </w:rPr>
        <w:fldChar w:fldCharType="end"/>
      </w:r>
    </w:p>
    <w:p>
      <w:pPr>
        <w:pStyle w:val="19"/>
        <w:tabs>
          <w:tab w:val="right" w:leader="dot" w:pos="8306"/>
          <w:tab w:val="clear" w:pos="8948"/>
        </w:tabs>
        <w:spacing w:before="0" w:after="0" w:line="480" w:lineRule="auto"/>
        <w:rPr>
          <w:rFonts w:ascii="Arial" w:hAnsi="Arial"/>
          <w:color w:val="auto"/>
          <w:highlight w:val="none"/>
        </w:rPr>
      </w:pPr>
      <w:r>
        <w:rPr>
          <w:rFonts w:ascii="Arial" w:hAnsi="Arial"/>
          <w:color w:val="auto"/>
          <w:highlight w:val="none"/>
        </w:rPr>
        <w:fldChar w:fldCharType="end"/>
      </w:r>
    </w:p>
    <w:p>
      <w:pPr>
        <w:pStyle w:val="3"/>
        <w:keepNext w:val="0"/>
        <w:keepLines w:val="0"/>
        <w:pageBreakBefore/>
        <w:adjustRightInd/>
        <w:snapToGrid/>
        <w:jc w:val="center"/>
        <w:rPr>
          <w:rFonts w:hAnsi="宋体" w:cs="宋体"/>
          <w:color w:val="auto"/>
          <w:sz w:val="28"/>
          <w:szCs w:val="36"/>
          <w:highlight w:val="none"/>
        </w:rPr>
      </w:pPr>
      <w:bookmarkStart w:id="2" w:name="_Toc28376"/>
      <w:r>
        <w:rPr>
          <w:rFonts w:hint="eastAsia" w:hAnsi="宋体" w:cs="宋体"/>
          <w:color w:val="auto"/>
          <w:sz w:val="28"/>
          <w:szCs w:val="36"/>
          <w:highlight w:val="none"/>
        </w:rPr>
        <w:t>第一部分招标公告</w:t>
      </w:r>
      <w:bookmarkEnd w:id="2"/>
    </w:p>
    <w:p>
      <w:pPr>
        <w:spacing w:line="360" w:lineRule="auto"/>
        <w:jc w:val="center"/>
        <w:rPr>
          <w:rFonts w:ascii="Arial" w:hAnsi="Arial" w:cs="Arial"/>
          <w:color w:val="auto"/>
          <w:highlight w:val="none"/>
        </w:rPr>
      </w:pPr>
      <w:r>
        <w:rPr>
          <w:rFonts w:ascii="Arial" w:hAnsi="Arial" w:cs="Arial"/>
          <w:color w:val="auto"/>
          <w:highlight w:val="none"/>
        </w:rPr>
        <w:t>发布日期：</w:t>
      </w:r>
      <w:r>
        <w:rPr>
          <w:rFonts w:hint="eastAsia" w:ascii="Arial" w:hAnsi="Arial" w:cs="Arial"/>
          <w:color w:val="auto"/>
          <w:highlight w:val="none"/>
        </w:rPr>
        <w:t>2023</w:t>
      </w:r>
      <w:r>
        <w:rPr>
          <w:rFonts w:ascii="Arial" w:hAnsi="Arial" w:cs="Arial"/>
          <w:color w:val="auto"/>
          <w:highlight w:val="none"/>
        </w:rPr>
        <w:t>年</w:t>
      </w:r>
      <w:r>
        <w:rPr>
          <w:rFonts w:hint="eastAsia" w:ascii="Arial" w:hAnsi="Arial" w:cs="Arial"/>
          <w:color w:val="auto"/>
          <w:highlight w:val="none"/>
          <w:lang w:val="en-US" w:eastAsia="zh-CN"/>
        </w:rPr>
        <w:t>4</w:t>
      </w:r>
      <w:r>
        <w:rPr>
          <w:rFonts w:ascii="Arial" w:hAnsi="Arial" w:cs="Arial"/>
          <w:color w:val="auto"/>
          <w:highlight w:val="none"/>
        </w:rPr>
        <w:t>月</w:t>
      </w:r>
      <w:r>
        <w:rPr>
          <w:rFonts w:hint="eastAsia" w:ascii="Arial" w:hAnsi="Arial" w:cs="Arial"/>
          <w:color w:val="auto"/>
          <w:highlight w:val="none"/>
          <w:lang w:val="en-US" w:eastAsia="zh-CN"/>
        </w:rPr>
        <w:t>28</w:t>
      </w:r>
      <w:bookmarkStart w:id="190" w:name="_GoBack"/>
      <w:bookmarkEnd w:id="190"/>
      <w:r>
        <w:rPr>
          <w:rFonts w:ascii="Arial" w:hAnsi="Arial" w:cs="Arial"/>
          <w:color w:val="auto"/>
          <w:highlight w:val="none"/>
        </w:rPr>
        <w:t>日</w:t>
      </w:r>
    </w:p>
    <w:tbl>
      <w:tblPr>
        <w:tblStyle w:val="25"/>
        <w:tblW w:w="906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0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瑞安市综合行政执法局及下属事业单位辅助人员劳务派遣招标项目的潜在投标人应在</w:t>
            </w:r>
            <w:r>
              <w:rPr>
                <w:rFonts w:hint="eastAsia" w:ascii="宋体" w:hAnsi="宋体" w:cs="宋体"/>
                <w:color w:val="auto"/>
                <w:szCs w:val="21"/>
                <w:highlight w:val="none"/>
                <w:u w:val="single"/>
              </w:rPr>
              <w:t>浙江政府采购网（http：//zfcg.czt.zj.gov.cn）</w:t>
            </w:r>
            <w:r>
              <w:rPr>
                <w:rFonts w:hint="eastAsia" w:ascii="宋体" w:hAnsi="宋体" w:cs="宋体"/>
                <w:color w:val="auto"/>
                <w:szCs w:val="21"/>
                <w:highlight w:val="none"/>
              </w:rPr>
              <w:t>申请获取（下载）招标文件，并于</w:t>
            </w:r>
            <w:r>
              <w:rPr>
                <w:rFonts w:hint="eastAsia" w:ascii="宋体" w:hAnsi="宋体"/>
                <w:bCs/>
                <w:color w:val="auto"/>
                <w:highlight w:val="none"/>
              </w:rPr>
              <w:t>2023年</w:t>
            </w:r>
            <w:r>
              <w:rPr>
                <w:rFonts w:hint="eastAsia" w:ascii="宋体" w:hAnsi="宋体"/>
                <w:bCs/>
                <w:color w:val="auto"/>
                <w:highlight w:val="none"/>
                <w:lang w:val="en-US" w:eastAsia="zh-CN"/>
              </w:rPr>
              <w:t>5</w:t>
            </w:r>
            <w:r>
              <w:rPr>
                <w:rFonts w:hint="eastAsia" w:ascii="宋体" w:hAnsi="宋体"/>
                <w:bCs/>
                <w:color w:val="auto"/>
                <w:highlight w:val="none"/>
              </w:rPr>
              <w:t>月</w:t>
            </w:r>
            <w:r>
              <w:rPr>
                <w:rFonts w:hint="eastAsia" w:ascii="宋体" w:hAnsi="宋体"/>
                <w:bCs/>
                <w:color w:val="auto"/>
                <w:highlight w:val="none"/>
                <w:lang w:val="en-US" w:eastAsia="zh-CN"/>
              </w:rPr>
              <w:t>22</w:t>
            </w:r>
            <w:r>
              <w:rPr>
                <w:rFonts w:hint="eastAsia" w:ascii="宋体" w:hAnsi="宋体"/>
                <w:bCs/>
                <w:color w:val="auto"/>
                <w:highlight w:val="none"/>
              </w:rPr>
              <w:t>日</w:t>
            </w:r>
            <w:r>
              <w:rPr>
                <w:rFonts w:hint="eastAsia" w:ascii="宋体" w:hAnsi="宋体" w:cs="宋体"/>
                <w:color w:val="auto"/>
                <w:szCs w:val="21"/>
                <w:highlight w:val="none"/>
              </w:rPr>
              <w:t>09点00分（北京时间）前递交投标文件。</w:t>
            </w:r>
          </w:p>
        </w:tc>
      </w:tr>
    </w:tbl>
    <w:p>
      <w:pPr>
        <w:pStyle w:val="23"/>
        <w:shd w:val="clear" w:color="auto" w:fill="FFFFFF"/>
        <w:spacing w:before="0" w:beforeAutospacing="0" w:after="0" w:afterAutospacing="0" w:line="360" w:lineRule="auto"/>
        <w:rPr>
          <w:rFonts w:ascii="宋体" w:hAnsi="宋体"/>
          <w:b/>
          <w:bCs/>
          <w:color w:val="auto"/>
          <w:sz w:val="21"/>
          <w:szCs w:val="21"/>
          <w:highlight w:val="none"/>
        </w:rPr>
      </w:pPr>
      <w:r>
        <w:rPr>
          <w:rFonts w:hint="eastAsia" w:ascii="宋体" w:hAnsi="宋体"/>
          <w:b/>
          <w:bCs/>
          <w:color w:val="auto"/>
          <w:sz w:val="21"/>
          <w:szCs w:val="21"/>
          <w:highlight w:val="none"/>
        </w:rPr>
        <w:t>一、项目基本情况：</w:t>
      </w:r>
    </w:p>
    <w:p>
      <w:pPr>
        <w:pStyle w:val="23"/>
        <w:shd w:val="clear" w:color="auto" w:fill="FFFFFF"/>
        <w:spacing w:before="0" w:beforeAutospacing="0" w:after="0" w:afterAutospacing="0" w:line="360" w:lineRule="auto"/>
        <w:ind w:firstLine="44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1、项目编号：</w:t>
      </w:r>
      <w:r>
        <w:rPr>
          <w:rFonts w:hint="eastAsia" w:ascii="宋体" w:hAnsi="宋体"/>
          <w:color w:val="auto"/>
          <w:sz w:val="21"/>
          <w:szCs w:val="21"/>
          <w:highlight w:val="none"/>
          <w:lang w:eastAsia="zh-CN"/>
        </w:rPr>
        <w:t>WZRZ20230406</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2、项目名称：瑞安市综合行政执法局及下属事业单位辅助人员劳务派遣</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3、预算金额：4697.196万元（三年）</w:t>
      </w:r>
    </w:p>
    <w:p>
      <w:pPr>
        <w:pStyle w:val="23"/>
        <w:numPr>
          <w:ilvl w:val="0"/>
          <w:numId w:val="1"/>
        </w:numPr>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最高限价：4697.196万元（三年）</w:t>
      </w:r>
    </w:p>
    <w:p>
      <w:pPr>
        <w:pStyle w:val="23"/>
        <w:numPr>
          <w:ilvl w:val="0"/>
          <w:numId w:val="1"/>
        </w:numPr>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采购需求：</w:t>
      </w:r>
    </w:p>
    <w:tbl>
      <w:tblPr>
        <w:tblStyle w:val="25"/>
        <w:tblW w:w="9514"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136"/>
        <w:gridCol w:w="465"/>
        <w:gridCol w:w="435"/>
        <w:gridCol w:w="1140"/>
        <w:gridCol w:w="2460"/>
        <w:gridCol w:w="15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58" w:type="dxa"/>
            <w:noWrap/>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标项序号</w:t>
            </w:r>
          </w:p>
        </w:tc>
        <w:tc>
          <w:tcPr>
            <w:tcW w:w="2136" w:type="dxa"/>
            <w:noWrap/>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465" w:type="dxa"/>
            <w:noWrap/>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435" w:type="dxa"/>
            <w:noWrap/>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140" w:type="dxa"/>
            <w:noWrap/>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预算金额(万元)</w:t>
            </w:r>
          </w:p>
        </w:tc>
        <w:tc>
          <w:tcPr>
            <w:tcW w:w="2460" w:type="dxa"/>
            <w:noWrap/>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简要规格描述或标项基本概况介绍</w:t>
            </w:r>
          </w:p>
        </w:tc>
        <w:tc>
          <w:tcPr>
            <w:tcW w:w="1500" w:type="dxa"/>
            <w:noWrap/>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管理费综合单价最高限价</w:t>
            </w:r>
          </w:p>
        </w:tc>
        <w:tc>
          <w:tcPr>
            <w:tcW w:w="720" w:type="dxa"/>
            <w:noWrap/>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658" w:type="dxa"/>
            <w:noWrap/>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36" w:type="dxa"/>
            <w:noWrap/>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瑞安市综合行政执法局及下属事业单位辅助人员劳务派遣</w:t>
            </w:r>
          </w:p>
        </w:tc>
        <w:tc>
          <w:tcPr>
            <w:tcW w:w="465" w:type="dxa"/>
            <w:noWrap/>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35" w:type="dxa"/>
            <w:noWrap/>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140" w:type="dxa"/>
            <w:noWrap/>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4697.196（三年）</w:t>
            </w:r>
          </w:p>
        </w:tc>
        <w:tc>
          <w:tcPr>
            <w:tcW w:w="2460" w:type="dxa"/>
            <w:noWrap/>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瑞安市综合行政执法局及下属事业单位辅助人员劳务派遣（详见招标文件第三部分内容)</w:t>
            </w:r>
          </w:p>
        </w:tc>
        <w:tc>
          <w:tcPr>
            <w:tcW w:w="1500" w:type="dxa"/>
            <w:noWrap/>
            <w:vAlign w:val="center"/>
          </w:tcPr>
          <w:p>
            <w:pPr>
              <w:spacing w:line="420" w:lineRule="exact"/>
              <w:jc w:val="center"/>
              <w:rPr>
                <w:rFonts w:ascii="宋体" w:hAnsi="宋体" w:cs="宋体"/>
                <w:color w:val="auto"/>
                <w:szCs w:val="21"/>
                <w:highlight w:val="none"/>
              </w:rPr>
            </w:pPr>
            <w:r>
              <w:rPr>
                <w:rFonts w:ascii="宋体" w:hAnsi="宋体" w:cs="宋体"/>
                <w:color w:val="auto"/>
                <w:szCs w:val="21"/>
                <w:highlight w:val="none"/>
              </w:rPr>
              <w:t>60</w:t>
            </w:r>
            <w:r>
              <w:rPr>
                <w:rFonts w:hint="eastAsia" w:ascii="宋体" w:hAnsi="宋体" w:cs="宋体"/>
                <w:color w:val="auto"/>
                <w:szCs w:val="21"/>
                <w:highlight w:val="none"/>
              </w:rPr>
              <w:t>元/月/人</w:t>
            </w:r>
          </w:p>
        </w:tc>
        <w:tc>
          <w:tcPr>
            <w:tcW w:w="720" w:type="dxa"/>
            <w:noWrap/>
            <w:vAlign w:val="center"/>
          </w:tcPr>
          <w:p>
            <w:pPr>
              <w:spacing w:line="420" w:lineRule="exact"/>
              <w:jc w:val="center"/>
              <w:rPr>
                <w:rFonts w:ascii="宋体" w:hAnsi="宋体" w:cs="宋体"/>
                <w:bCs/>
                <w:color w:val="auto"/>
                <w:szCs w:val="21"/>
                <w:highlight w:val="none"/>
              </w:rPr>
            </w:pPr>
            <w:r>
              <w:rPr>
                <w:rFonts w:hint="eastAsia" w:ascii="宋体" w:hAnsi="宋体"/>
                <w:color w:val="auto"/>
                <w:szCs w:val="21"/>
                <w:highlight w:val="none"/>
              </w:rPr>
              <w:t>/</w:t>
            </w:r>
          </w:p>
        </w:tc>
      </w:tr>
    </w:tbl>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6、合同履行期限：三年，合同按一年一签。</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7、本项目（否）接受联合体投标。</w:t>
      </w:r>
    </w:p>
    <w:p>
      <w:pPr>
        <w:pStyle w:val="23"/>
        <w:shd w:val="clear" w:color="auto" w:fill="FFFFFF"/>
        <w:spacing w:before="0" w:beforeAutospacing="0" w:after="0" w:afterAutospacing="0" w:line="360" w:lineRule="auto"/>
        <w:rPr>
          <w:rFonts w:ascii="宋体" w:hAnsi="宋体"/>
          <w:color w:val="auto"/>
          <w:sz w:val="21"/>
          <w:szCs w:val="21"/>
          <w:highlight w:val="none"/>
        </w:rPr>
      </w:pPr>
      <w:r>
        <w:rPr>
          <w:rFonts w:hint="eastAsia" w:ascii="宋体" w:hAnsi="宋体"/>
          <w:b/>
          <w:bCs/>
          <w:color w:val="auto"/>
          <w:sz w:val="21"/>
          <w:szCs w:val="21"/>
          <w:highlight w:val="none"/>
        </w:rPr>
        <w:t>二、申请人的资格要求：</w:t>
      </w:r>
    </w:p>
    <w:p>
      <w:pPr>
        <w:pStyle w:val="23"/>
        <w:widowControl w:val="0"/>
        <w:shd w:val="clear" w:color="auto" w:fill="FFFFFF"/>
        <w:spacing w:before="0" w:beforeAutospacing="0" w:after="0" w:afterAutospacing="0" w:line="360" w:lineRule="auto"/>
        <w:ind w:firstLine="442"/>
        <w:rPr>
          <w:rFonts w:ascii="宋体" w:hAnsi="宋体"/>
          <w:color w:val="auto"/>
          <w:sz w:val="21"/>
          <w:szCs w:val="21"/>
          <w:highlight w:val="none"/>
        </w:rPr>
      </w:pPr>
      <w:r>
        <w:rPr>
          <w:rFonts w:hint="eastAsia" w:ascii="宋体" w:hAnsi="宋体"/>
          <w:color w:val="auto"/>
          <w:sz w:val="21"/>
          <w:szCs w:val="21"/>
          <w:highlight w:val="none"/>
        </w:rPr>
        <w:t>1、满足《中华人民共和国政府采购法》第二十二条规定；未被“信用中国”（www.creditchina.gov.cn)、中国政府采购网（www.ccgp.gov.cn）、浙江政府采购网（zfcg.czt.zj.gov.cn）列入失信被执行人、重大税收违法案件当事人名单、政府采购严重违法失信行为记录名单；</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2、落实政府采购政策需满足的资格要求：无</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3、本项目的特定资格要求：具有有效的《劳务派遣经营许可证》；</w:t>
      </w:r>
    </w:p>
    <w:p>
      <w:pPr>
        <w:pStyle w:val="23"/>
        <w:shd w:val="clear" w:color="auto" w:fill="FFFFFF"/>
        <w:spacing w:before="0" w:beforeAutospacing="0" w:after="0" w:afterAutospacing="0" w:line="360" w:lineRule="auto"/>
        <w:rPr>
          <w:rFonts w:ascii="宋体" w:hAnsi="宋体"/>
          <w:color w:val="auto"/>
          <w:sz w:val="21"/>
          <w:szCs w:val="21"/>
          <w:highlight w:val="none"/>
        </w:rPr>
      </w:pPr>
      <w:r>
        <w:rPr>
          <w:rFonts w:hint="eastAsia" w:ascii="宋体" w:hAnsi="宋体"/>
          <w:b/>
          <w:bCs/>
          <w:color w:val="auto"/>
          <w:sz w:val="21"/>
          <w:szCs w:val="21"/>
          <w:highlight w:val="none"/>
        </w:rPr>
        <w:t>三、获取招标文件</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时间：公告之日起至投标截止时间前，每天上午 00:00至12:00 ，下午 12:00至23:59（北京时间，线上获取法定节假日均可，线下获取文件法定节假日除外）</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地点（网址）：浙江政府采购网（http://zfcg.czt.zj.gov.cn/）。</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方式：供应商登录浙江政府采购网（http://zfcg.czt.zj.gov.cn/）申请获取采购文件。操作路径：浙江政府采购网：供应商注册-项目采购-获取采购文件-申请获取采购文件。</w:t>
      </w:r>
      <w:r>
        <w:rPr>
          <w:rFonts w:ascii="Arial" w:hAnsi="Arial" w:cs="Arial"/>
          <w:b/>
          <w:bCs/>
          <w:color w:val="auto"/>
          <w:szCs w:val="21"/>
          <w:highlight w:val="none"/>
        </w:rPr>
        <w:t>注：采购公告上附件里的采购文件仅供阅览使用。</w:t>
      </w:r>
      <w:r>
        <w:rPr>
          <w:rFonts w:ascii="Arial" w:hAnsi="Arial" w:cs="Arial"/>
          <w:color w:val="auto"/>
          <w:szCs w:val="21"/>
          <w:highlight w:val="none"/>
        </w:rPr>
        <w:t>  </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售价：0元。</w:t>
      </w:r>
    </w:p>
    <w:p>
      <w:pPr>
        <w:pStyle w:val="23"/>
        <w:shd w:val="clear" w:color="auto" w:fill="FFFFFF"/>
        <w:spacing w:before="0" w:beforeAutospacing="0" w:after="0" w:afterAutospacing="0" w:line="360" w:lineRule="auto"/>
        <w:rPr>
          <w:rFonts w:ascii="宋体" w:hAnsi="宋体"/>
          <w:color w:val="auto"/>
          <w:sz w:val="21"/>
          <w:szCs w:val="21"/>
          <w:highlight w:val="none"/>
        </w:rPr>
      </w:pPr>
      <w:r>
        <w:rPr>
          <w:rFonts w:hint="eastAsia" w:ascii="宋体" w:hAnsi="宋体"/>
          <w:b/>
          <w:bCs/>
          <w:color w:val="auto"/>
          <w:sz w:val="21"/>
          <w:szCs w:val="21"/>
          <w:highlight w:val="none"/>
        </w:rPr>
        <w:t>四、提交投标文件截止时间、开标时间和地点</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提交投标截止时间：2023年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日上午</w:t>
      </w: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0</w:t>
      </w:r>
      <w:r>
        <w:rPr>
          <w:rFonts w:hint="eastAsia" w:ascii="宋体" w:hAnsi="宋体"/>
          <w:color w:val="auto"/>
          <w:sz w:val="21"/>
          <w:szCs w:val="21"/>
          <w:highlight w:val="none"/>
        </w:rPr>
        <w:t>0止（北京时间）</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投标地点（网址）：瑞安市公共资源交易中心开标室。（政府采购云平台在线投标，投标供应商无须前往评审现场）</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开标时间：2023年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日上午9：00 正（北京时间）</w:t>
      </w:r>
    </w:p>
    <w:p>
      <w:pPr>
        <w:pStyle w:val="23"/>
        <w:shd w:val="clear" w:color="auto" w:fill="FFFFFF"/>
        <w:spacing w:before="0" w:beforeAutospacing="0" w:after="0" w:afterAutospacing="0" w:line="360" w:lineRule="auto"/>
        <w:ind w:firstLine="440"/>
        <w:rPr>
          <w:rFonts w:ascii="宋体" w:hAnsi="宋体"/>
          <w:color w:val="auto"/>
          <w:sz w:val="21"/>
          <w:szCs w:val="21"/>
          <w:highlight w:val="none"/>
        </w:rPr>
      </w:pPr>
      <w:r>
        <w:rPr>
          <w:rFonts w:hint="eastAsia" w:ascii="宋体" w:hAnsi="宋体"/>
          <w:color w:val="auto"/>
          <w:sz w:val="21"/>
          <w:szCs w:val="21"/>
          <w:highlight w:val="none"/>
        </w:rPr>
        <w:t>开标地点（网址）：瑞安市公共资源交易中心开标室。（政府采购云平台在线投标，投标供应商无须前往评审现场）</w:t>
      </w:r>
    </w:p>
    <w:p>
      <w:pPr>
        <w:pStyle w:val="23"/>
        <w:shd w:val="clear" w:color="auto" w:fill="FFFFFF"/>
        <w:spacing w:before="0" w:beforeAutospacing="0" w:after="0" w:afterAutospacing="0" w:line="360" w:lineRule="auto"/>
        <w:rPr>
          <w:rFonts w:ascii="宋体" w:hAnsi="宋体"/>
          <w:color w:val="auto"/>
          <w:sz w:val="21"/>
          <w:szCs w:val="21"/>
          <w:highlight w:val="none"/>
        </w:rPr>
      </w:pPr>
      <w:r>
        <w:rPr>
          <w:rFonts w:hint="eastAsia" w:ascii="宋体" w:hAnsi="宋体"/>
          <w:b/>
          <w:bCs/>
          <w:color w:val="auto"/>
          <w:sz w:val="21"/>
          <w:szCs w:val="21"/>
          <w:highlight w:val="none"/>
        </w:rPr>
        <w:t>五、公告期限</w:t>
      </w:r>
      <w:r>
        <w:rPr>
          <w:rFonts w:hint="eastAsia" w:ascii="宋体" w:hAnsi="宋体"/>
          <w:color w:val="auto"/>
          <w:sz w:val="21"/>
          <w:szCs w:val="21"/>
          <w:highlight w:val="none"/>
        </w:rPr>
        <w:t>:自本公告发布之日起5个工作日</w:t>
      </w:r>
    </w:p>
    <w:p>
      <w:pPr>
        <w:pStyle w:val="23"/>
        <w:shd w:val="clear" w:color="auto" w:fill="FFFFFF"/>
        <w:spacing w:before="0" w:beforeAutospacing="0" w:after="0" w:afterAutospacing="0" w:line="360" w:lineRule="auto"/>
        <w:rPr>
          <w:rFonts w:ascii="宋体" w:hAnsi="宋体"/>
          <w:b/>
          <w:bCs/>
          <w:color w:val="auto"/>
          <w:sz w:val="21"/>
          <w:szCs w:val="21"/>
          <w:highlight w:val="none"/>
        </w:rPr>
      </w:pPr>
      <w:r>
        <w:rPr>
          <w:rFonts w:hint="eastAsia" w:ascii="宋体" w:hAnsi="宋体"/>
          <w:b/>
          <w:bCs/>
          <w:color w:val="auto"/>
          <w:sz w:val="21"/>
          <w:szCs w:val="21"/>
          <w:highlight w:val="none"/>
        </w:rPr>
        <w:t>六、其他补充事宜</w:t>
      </w:r>
    </w:p>
    <w:p>
      <w:pPr>
        <w:pStyle w:val="32"/>
        <w:adjustRightInd/>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adjustRightInd/>
        <w:spacing w:line="360" w:lineRule="auto"/>
        <w:ind w:firstLine="420" w:firstLineChars="200"/>
        <w:rPr>
          <w:rFonts w:ascii="Arial" w:hAnsi="Arial" w:cs="Arial"/>
          <w:color w:val="auto"/>
          <w:highlight w:val="none"/>
        </w:rPr>
      </w:pPr>
      <w:r>
        <w:rPr>
          <w:rFonts w:ascii="Arial" w:hAnsi="Arial" w:cs="Arial"/>
          <w:color w:val="auto"/>
          <w:szCs w:val="21"/>
          <w:highlight w:val="none"/>
        </w:rPr>
        <w:t>2、</w:t>
      </w:r>
      <w:r>
        <w:rPr>
          <w:rFonts w:ascii="Arial" w:hAnsi="Arial" w:cs="Arial"/>
          <w:color w:val="auto"/>
          <w:highlight w:val="none"/>
        </w:rPr>
        <w:t>潜在供应商应当按照规定方式获取采购文件，未按照规定方式获取采购文件的，不得对采购文件提起质疑投诉。</w:t>
      </w:r>
    </w:p>
    <w:p>
      <w:pPr>
        <w:pStyle w:val="32"/>
        <w:adjustRightInd/>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3、本项目采取电子招投标，电子招投标有关事项说明如下：</w:t>
      </w:r>
    </w:p>
    <w:p>
      <w:pPr>
        <w:pStyle w:val="14"/>
        <w:numPr>
          <w:ilvl w:val="0"/>
          <w:numId w:val="2"/>
        </w:numPr>
        <w:adjustRightInd/>
        <w:spacing w:line="360" w:lineRule="auto"/>
        <w:ind w:left="845"/>
        <w:rPr>
          <w:rFonts w:ascii="Arial" w:hAnsi="Arial" w:cs="Arial"/>
          <w:bCs/>
          <w:color w:val="auto"/>
          <w:highlight w:val="none"/>
        </w:rPr>
      </w:pPr>
      <w:r>
        <w:rPr>
          <w:rFonts w:ascii="Arial" w:hAnsi="Arial" w:cs="Arial"/>
          <w:bCs/>
          <w:color w:val="auto"/>
          <w:highlight w:val="none"/>
        </w:rPr>
        <w:t>本项目实行电子投标，供应商无须提交纸质响应文件，无须授权代表参加开标会议。应按照本项目文件和政采云平台的要求编制、加密并递交响应文件。供应商在使用系统进行投标的过程中遇到涉及平台使用的任何问题，可致电政采云平台技术支持热线咨询，联系方式：</w:t>
      </w:r>
      <w:r>
        <w:rPr>
          <w:rFonts w:hint="eastAsia" w:ascii="Arial" w:hAnsi="Arial" w:cs="Arial"/>
          <w:bCs/>
          <w:color w:val="auto"/>
          <w:highlight w:val="none"/>
        </w:rPr>
        <w:t>95763</w:t>
      </w:r>
      <w:r>
        <w:rPr>
          <w:rFonts w:ascii="Arial" w:hAnsi="Arial" w:cs="Arial"/>
          <w:bCs/>
          <w:color w:val="auto"/>
          <w:highlight w:val="none"/>
        </w:rPr>
        <w:t xml:space="preserve">。                                                               </w:t>
      </w:r>
    </w:p>
    <w:p>
      <w:pPr>
        <w:pStyle w:val="14"/>
        <w:numPr>
          <w:ilvl w:val="0"/>
          <w:numId w:val="2"/>
        </w:numPr>
        <w:adjustRightInd/>
        <w:spacing w:line="360" w:lineRule="auto"/>
        <w:ind w:left="845"/>
        <w:rPr>
          <w:rFonts w:ascii="Arial" w:hAnsi="Arial" w:cs="Arial"/>
          <w:bCs/>
          <w:color w:val="auto"/>
          <w:highlight w:val="none"/>
        </w:rPr>
      </w:pPr>
      <w:r>
        <w:rPr>
          <w:rFonts w:ascii="Arial" w:hAnsi="Arial" w:cs="Arial"/>
          <w:bCs/>
          <w:color w:val="auto"/>
          <w:highlight w:val="none"/>
        </w:rPr>
        <w:t>供应商应在开标前完成CA数字证书办理。</w:t>
      </w:r>
    </w:p>
    <w:p>
      <w:pPr>
        <w:pStyle w:val="14"/>
        <w:adjustRightInd/>
        <w:spacing w:line="360" w:lineRule="auto"/>
        <w:ind w:left="420" w:firstLine="420" w:firstLineChars="200"/>
        <w:rPr>
          <w:rFonts w:ascii="Arial" w:hAnsi="Arial" w:cs="Arial"/>
          <w:bCs/>
          <w:color w:val="auto"/>
          <w:highlight w:val="none"/>
        </w:rPr>
      </w:pPr>
      <w:r>
        <w:rPr>
          <w:rFonts w:ascii="Arial" w:hAnsi="Arial" w:cs="Arial"/>
          <w:bCs/>
          <w:color w:val="auto"/>
          <w:highlight w:val="none"/>
        </w:rPr>
        <w:t>（办理流程详见http://zfcg.czt.zj.gov.cn//bidClientTemplate/2019-05-27/12945.html）。</w:t>
      </w:r>
    </w:p>
    <w:p>
      <w:pPr>
        <w:pStyle w:val="14"/>
        <w:adjustRightInd/>
        <w:spacing w:line="360" w:lineRule="auto"/>
        <w:ind w:left="420" w:firstLine="422" w:firstLineChars="200"/>
        <w:rPr>
          <w:rFonts w:ascii="Arial" w:hAnsi="Arial" w:cs="Arial"/>
          <w:b/>
          <w:color w:val="auto"/>
          <w:highlight w:val="none"/>
        </w:rPr>
      </w:pPr>
      <w:r>
        <w:rPr>
          <w:rFonts w:ascii="Arial" w:hAnsi="Arial" w:cs="Arial"/>
          <w:b/>
          <w:color w:val="auto"/>
          <w:highlight w:val="none"/>
        </w:rPr>
        <w:t>完成CA数字证书办理预计一周左右，建议各供应商抓紧时间办理。</w:t>
      </w:r>
    </w:p>
    <w:p>
      <w:pPr>
        <w:pStyle w:val="14"/>
        <w:numPr>
          <w:ilvl w:val="0"/>
          <w:numId w:val="2"/>
        </w:numPr>
        <w:adjustRightInd/>
        <w:spacing w:line="360" w:lineRule="auto"/>
        <w:ind w:left="845"/>
        <w:rPr>
          <w:rFonts w:ascii="Arial" w:hAnsi="Arial" w:cs="Arial"/>
          <w:bCs/>
          <w:color w:val="auto"/>
          <w:highlight w:val="none"/>
        </w:rPr>
      </w:pPr>
      <w:r>
        <w:rPr>
          <w:rFonts w:ascii="Arial" w:hAnsi="Arial" w:cs="Arial"/>
          <w:bCs/>
          <w:color w:val="auto"/>
          <w:highlight w:val="none"/>
        </w:rPr>
        <w:t>供应商通过政采云平台电子投标工具制作响应文件，电子投标工具请供应商自行前往浙江省政府采购网下载并安装，</w:t>
      </w:r>
    </w:p>
    <w:p>
      <w:pPr>
        <w:pStyle w:val="14"/>
        <w:adjustRightInd/>
        <w:spacing w:line="360" w:lineRule="auto"/>
        <w:ind w:left="840" w:leftChars="400"/>
        <w:rPr>
          <w:rFonts w:ascii="Arial" w:hAnsi="Arial" w:cs="Arial"/>
          <w:bCs/>
          <w:color w:val="auto"/>
          <w:highlight w:val="none"/>
        </w:rPr>
      </w:pPr>
      <w:r>
        <w:rPr>
          <w:rFonts w:ascii="Arial" w:hAnsi="Arial" w:cs="Arial"/>
          <w:bCs/>
          <w:color w:val="auto"/>
          <w:highlight w:val="none"/>
        </w:rPr>
        <w:t xml:space="preserve">（下载网址：http://zfcg.czt.zj.gov.cn//bidClientTemplate/2019-05-27/12946.html），电子投标具体流程详见《供应商-政府采购项目电子交易操作指南》 </w:t>
      </w:r>
    </w:p>
    <w:p>
      <w:pPr>
        <w:pStyle w:val="14"/>
        <w:adjustRightInd/>
        <w:spacing w:line="360" w:lineRule="auto"/>
        <w:ind w:left="840" w:leftChars="400"/>
        <w:rPr>
          <w:rFonts w:ascii="Arial" w:hAnsi="Arial" w:cs="Arial"/>
          <w:bCs/>
          <w:color w:val="auto"/>
          <w:highlight w:val="none"/>
        </w:rPr>
      </w:pPr>
      <w:r>
        <w:rPr>
          <w:rFonts w:ascii="Arial" w:hAnsi="Arial" w:cs="Arial"/>
          <w:bCs/>
          <w:color w:val="auto"/>
          <w:highlight w:val="none"/>
        </w:rPr>
        <w:t>（网址：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ascii="Arial" w:hAnsi="Arial" w:cs="Arial"/>
          <w:bCs/>
          <w:color w:val="auto"/>
          <w:highlight w:val="none"/>
        </w:rPr>
        <w:t>https://help.zcygov.cn/web/site_2/2018/12-28/2573.html</w:t>
      </w:r>
      <w:r>
        <w:rPr>
          <w:rFonts w:ascii="Arial" w:hAnsi="Arial" w:cs="Arial"/>
          <w:bCs/>
          <w:color w:val="auto"/>
          <w:highlight w:val="none"/>
        </w:rPr>
        <w:fldChar w:fldCharType="end"/>
      </w:r>
      <w:r>
        <w:rPr>
          <w:rFonts w:hint="eastAsia" w:ascii="Arial" w:hAnsi="Arial" w:cs="Arial"/>
          <w:bCs/>
          <w:color w:val="auto"/>
          <w:highlight w:val="none"/>
        </w:rPr>
        <w:t>）</w:t>
      </w:r>
      <w:r>
        <w:rPr>
          <w:rFonts w:ascii="Arial" w:hAnsi="Arial" w:cs="Arial"/>
          <w:bCs/>
          <w:color w:val="auto"/>
          <w:highlight w:val="none"/>
        </w:rPr>
        <w:t>（以下简称《操作指南》）。</w:t>
      </w:r>
    </w:p>
    <w:p>
      <w:pPr>
        <w:pStyle w:val="14"/>
        <w:numPr>
          <w:ilvl w:val="0"/>
          <w:numId w:val="2"/>
        </w:numPr>
        <w:adjustRightInd/>
        <w:spacing w:line="360" w:lineRule="auto"/>
        <w:ind w:left="845"/>
        <w:rPr>
          <w:rFonts w:ascii="Arial" w:hAnsi="Arial" w:cs="Arial"/>
          <w:bCs/>
          <w:color w:val="auto"/>
          <w:highlight w:val="none"/>
        </w:rPr>
      </w:pPr>
      <w:r>
        <w:rPr>
          <w:rFonts w:ascii="Arial" w:hAnsi="Arial" w:cs="Arial"/>
          <w:bCs/>
          <w:color w:val="auto"/>
          <w:highlight w:val="none"/>
        </w:rPr>
        <w:t>考虑到系统兼容性建议供应商在操作电子投标流程时使用windows7 64位或以上操作系统。</w:t>
      </w:r>
    </w:p>
    <w:p>
      <w:pPr>
        <w:pStyle w:val="14"/>
        <w:numPr>
          <w:ilvl w:val="0"/>
          <w:numId w:val="2"/>
        </w:numPr>
        <w:adjustRightInd/>
        <w:spacing w:line="360" w:lineRule="auto"/>
        <w:ind w:left="845"/>
        <w:rPr>
          <w:rFonts w:ascii="Arial" w:hAnsi="Arial" w:cs="Arial"/>
          <w:bCs/>
          <w:color w:val="auto"/>
          <w:highlight w:val="none"/>
        </w:rPr>
      </w:pPr>
      <w:r>
        <w:rPr>
          <w:rFonts w:ascii="Arial" w:hAnsi="Arial" w:cs="Arial"/>
          <w:bCs/>
          <w:color w:val="auto"/>
          <w:highlight w:val="none"/>
        </w:rPr>
        <w:t>供应商用CA数字证书（制作本项目电子响应文件的同一个CA）在电脑上完成响应文件解密等事宜。解密时长为从投标截止时间起30分钟。</w:t>
      </w:r>
    </w:p>
    <w:p>
      <w:pPr>
        <w:widowControl w:val="0"/>
        <w:tabs>
          <w:tab w:val="left" w:pos="540"/>
          <w:tab w:val="left" w:pos="1080"/>
        </w:tabs>
        <w:spacing w:line="360" w:lineRule="auto"/>
        <w:ind w:left="420" w:leftChars="200"/>
        <w:rPr>
          <w:rFonts w:ascii="Arial" w:hAnsi="Arial" w:cs="Arial"/>
          <w:color w:val="auto"/>
          <w:szCs w:val="21"/>
          <w:highlight w:val="none"/>
        </w:rPr>
      </w:pPr>
      <w:r>
        <w:rPr>
          <w:rFonts w:ascii="Arial" w:hAnsi="Arial" w:cs="Arial"/>
          <w:color w:val="auto"/>
          <w:szCs w:val="21"/>
          <w:highlight w:val="none"/>
        </w:rPr>
        <w:t>4、根据《浙江省政府采购供应商注册登记和诚信管理暂行办法》，中标成交的供应商，必须事先申请加入“浙江省政府采购供应商库”；请供应商登入“浙江政府采购网”进行登记注册。</w:t>
      </w:r>
    </w:p>
    <w:p>
      <w:pPr>
        <w:widowControl w:val="0"/>
        <w:tabs>
          <w:tab w:val="left" w:pos="540"/>
          <w:tab w:val="left" w:pos="1080"/>
        </w:tabs>
        <w:spacing w:line="360" w:lineRule="auto"/>
        <w:ind w:left="420" w:leftChars="200"/>
        <w:rPr>
          <w:rFonts w:ascii="Arial" w:hAnsi="Arial" w:cs="Arial"/>
          <w:color w:val="auto"/>
          <w:szCs w:val="21"/>
          <w:highlight w:val="none"/>
        </w:rPr>
      </w:pPr>
      <w:r>
        <w:rPr>
          <w:rFonts w:ascii="Arial" w:hAnsi="Arial" w:cs="Arial"/>
          <w:color w:val="auto"/>
          <w:szCs w:val="21"/>
          <w:highlight w:val="none"/>
        </w:rPr>
        <w:t>5、根据浙财采监〔2012〕11号文件，在投标截止时间之前已注册并加入“浙江省政府采购供应商库”且符合财政部、工业和信息化部《关于印发〈政府采购促进中小企业发展管理办法〉的通知》（财库〔2020〕46号，以下简称《管理办法》）</w:t>
      </w:r>
      <w:r>
        <w:rPr>
          <w:rFonts w:hint="eastAsia" w:ascii="Arial" w:hAnsi="Arial" w:cs="Arial"/>
          <w:color w:val="auto"/>
          <w:szCs w:val="21"/>
          <w:highlight w:val="none"/>
        </w:rPr>
        <w:t>、</w:t>
      </w:r>
      <w:r>
        <w:rPr>
          <w:rFonts w:hint="eastAsia" w:ascii="Arial" w:hAnsi="Arial" w:cs="Arial"/>
          <w:color w:val="auto"/>
          <w:highlight w:val="none"/>
        </w:rPr>
        <w:t>《财政部、司法部关于政府采购支持监狱企业发展有关问题的通知》（财库〔2014〕68号）文件及《财政部关于进一步加大政府采购支持中小企业力度的通知》（财库（2022）19号））</w:t>
      </w:r>
      <w:r>
        <w:rPr>
          <w:rFonts w:ascii="Arial" w:hAnsi="Arial" w:cs="Arial"/>
          <w:color w:val="auto"/>
          <w:szCs w:val="21"/>
          <w:highlight w:val="none"/>
        </w:rPr>
        <w:t>规定的中小企业（含微型企业）条件的，在参加本项目投标活动时可享受《管理办法》规定的优惠政策。（如小微企业投标且提供其它小型、微型企业产品，其所投产品制造商也须满足此规定，方可享受《管理办法》规定的优惠政策。）</w:t>
      </w:r>
    </w:p>
    <w:p>
      <w:pPr>
        <w:widowControl w:val="0"/>
        <w:tabs>
          <w:tab w:val="left" w:pos="540"/>
          <w:tab w:val="left" w:pos="1080"/>
        </w:tabs>
        <w:spacing w:line="360" w:lineRule="auto"/>
        <w:ind w:left="420" w:leftChars="200"/>
        <w:rPr>
          <w:rFonts w:ascii="Arial" w:hAnsi="Arial" w:cs="Arial"/>
          <w:color w:val="auto"/>
          <w:szCs w:val="21"/>
          <w:highlight w:val="none"/>
        </w:rPr>
      </w:pPr>
      <w:r>
        <w:rPr>
          <w:rFonts w:ascii="Arial" w:hAnsi="Arial" w:cs="Arial"/>
          <w:color w:val="auto"/>
          <w:szCs w:val="21"/>
          <w:highlight w:val="none"/>
        </w:rPr>
        <w:t>6、本项目优先采购本国货物和服务，必须进行的技术引进和转让需符合国家政策和有利于国内行业的发展。项目中涉及到的设备、材料属于政府采购节能产品、环境标志产品的，要求符合相关规定。</w:t>
      </w:r>
    </w:p>
    <w:p>
      <w:pPr>
        <w:pStyle w:val="23"/>
        <w:shd w:val="clear" w:color="auto" w:fill="FFFFFF"/>
        <w:spacing w:before="0" w:beforeAutospacing="0" w:after="0" w:afterAutospacing="0" w:line="360" w:lineRule="auto"/>
        <w:rPr>
          <w:rFonts w:ascii="宋体" w:hAnsi="宋体"/>
          <w:b/>
          <w:bCs/>
          <w:color w:val="auto"/>
          <w:sz w:val="21"/>
          <w:szCs w:val="21"/>
          <w:highlight w:val="none"/>
        </w:rPr>
      </w:pPr>
      <w:r>
        <w:rPr>
          <w:rFonts w:hint="eastAsia" w:ascii="宋体" w:hAnsi="宋体"/>
          <w:b/>
          <w:bCs/>
          <w:color w:val="auto"/>
          <w:sz w:val="21"/>
          <w:szCs w:val="21"/>
          <w:highlight w:val="none"/>
        </w:rPr>
        <w:t>七、对本次采购提出询问、质疑、投诉，请按以下方式联系：</w:t>
      </w:r>
    </w:p>
    <w:p>
      <w:pPr>
        <w:adjustRightInd w:val="0"/>
        <w:snapToGrid w:val="0"/>
        <w:spacing w:line="420" w:lineRule="exact"/>
        <w:ind w:firstLine="426"/>
        <w:rPr>
          <w:rFonts w:ascii="宋体" w:hAnsi="宋体"/>
          <w:color w:val="auto"/>
          <w:szCs w:val="21"/>
          <w:highlight w:val="none"/>
        </w:rPr>
      </w:pPr>
      <w:r>
        <w:rPr>
          <w:rFonts w:hint="eastAsia" w:ascii="宋体" w:hAnsi="宋体"/>
          <w:color w:val="auto"/>
          <w:szCs w:val="21"/>
          <w:highlight w:val="none"/>
        </w:rPr>
        <w:t xml:space="preserve">1.采购人信息： </w:t>
      </w:r>
      <w:r>
        <w:rPr>
          <w:rFonts w:hint="eastAsia" w:ascii="宋体" w:hAnsi="宋体" w:cs="宋体"/>
          <w:color w:val="auto"/>
          <w:szCs w:val="21"/>
          <w:highlight w:val="none"/>
        </w:rPr>
        <w:t>瑞安市综合行政执法局、瑞安市公园管理中心（瑞安市绿化养护管理中心）</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地址：瑞安市安阳路772号</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项目联系人（询问）：陈女士</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项目联系方式（询问）：15858858011</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质疑联系人： 张先生</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质疑联系方式：13958892093</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2.代理机构名称：温州瑞辀工程项目管理有限公司</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地址：瑞安市瑞祥新区院士路288号水务大楼二楼</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联系人：吴三郎</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联系电话：13967705080</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质疑联系人：鲍玲玲</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质疑联系方式：15257756880</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3.同级政府采购监督管理部门名称：瑞安市财政局政府采购监督管理科</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联系人：蔡先生</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联系电话：0577-65827567</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传真：0577-65827570</w:t>
      </w:r>
    </w:p>
    <w:p>
      <w:pPr>
        <w:spacing w:line="360" w:lineRule="auto"/>
        <w:ind w:left="430" w:leftChars="205"/>
        <w:rPr>
          <w:rFonts w:ascii="宋体" w:hAnsi="宋体"/>
          <w:color w:val="auto"/>
          <w:szCs w:val="21"/>
          <w:highlight w:val="none"/>
        </w:rPr>
      </w:pPr>
      <w:r>
        <w:rPr>
          <w:rFonts w:hint="eastAsia" w:ascii="宋体" w:hAnsi="宋体"/>
          <w:color w:val="auto"/>
          <w:szCs w:val="21"/>
          <w:highlight w:val="none"/>
        </w:rPr>
        <w:t>地址：瑞安市财政局大楼15楼</w:t>
      </w:r>
    </w:p>
    <w:p>
      <w:pPr>
        <w:spacing w:line="360" w:lineRule="auto"/>
        <w:ind w:right="420" w:firstLine="315" w:firstLineChars="150"/>
        <w:rPr>
          <w:rFonts w:ascii="宋体" w:hAnsi="宋体"/>
          <w:color w:val="auto"/>
          <w:szCs w:val="21"/>
          <w:highlight w:val="none"/>
        </w:rPr>
      </w:pPr>
    </w:p>
    <w:p>
      <w:pPr>
        <w:pStyle w:val="3"/>
        <w:keepNext w:val="0"/>
        <w:keepLines w:val="0"/>
        <w:pageBreakBefore/>
        <w:adjustRightInd/>
        <w:snapToGrid/>
        <w:jc w:val="center"/>
        <w:rPr>
          <w:rFonts w:hAnsi="宋体" w:cs="宋体"/>
          <w:color w:val="auto"/>
          <w:sz w:val="28"/>
          <w:szCs w:val="36"/>
          <w:highlight w:val="none"/>
        </w:rPr>
      </w:pPr>
      <w:bookmarkStart w:id="3" w:name="_Toc19614"/>
      <w:r>
        <w:rPr>
          <w:rFonts w:hint="eastAsia" w:hAnsi="宋体" w:cs="宋体"/>
          <w:color w:val="auto"/>
          <w:sz w:val="28"/>
          <w:szCs w:val="36"/>
          <w:highlight w:val="none"/>
        </w:rPr>
        <w:t>第二部分  投标供应商须知</w:t>
      </w:r>
      <w:bookmarkEnd w:id="3"/>
    </w:p>
    <w:p>
      <w:pPr>
        <w:pStyle w:val="4"/>
        <w:spacing w:before="0" w:after="0" w:line="360" w:lineRule="auto"/>
        <w:jc w:val="center"/>
        <w:rPr>
          <w:rFonts w:ascii="宋体" w:hAnsi="宋体" w:cs="宋体"/>
          <w:bCs w:val="0"/>
          <w:color w:val="auto"/>
          <w:sz w:val="24"/>
          <w:szCs w:val="24"/>
          <w:highlight w:val="none"/>
        </w:rPr>
      </w:pPr>
      <w:bookmarkStart w:id="4" w:name="_Toc1359"/>
      <w:bookmarkStart w:id="5" w:name="_Toc10306"/>
      <w:bookmarkStart w:id="6" w:name="_Toc362"/>
      <w:r>
        <w:rPr>
          <w:rFonts w:hint="eastAsia" w:ascii="宋体" w:hAnsi="宋体" w:cs="宋体"/>
          <w:color w:val="auto"/>
          <w:sz w:val="24"/>
          <w:szCs w:val="24"/>
          <w:highlight w:val="none"/>
        </w:rPr>
        <w:t>（一）</w:t>
      </w:r>
      <w:r>
        <w:rPr>
          <w:rFonts w:hint="eastAsia" w:ascii="宋体" w:hAnsi="宋体" w:cs="宋体"/>
          <w:bCs w:val="0"/>
          <w:color w:val="auto"/>
          <w:sz w:val="24"/>
          <w:szCs w:val="24"/>
          <w:highlight w:val="none"/>
        </w:rPr>
        <w:t>投标须知前附表</w:t>
      </w:r>
      <w:bookmarkEnd w:id="4"/>
      <w:bookmarkEnd w:id="5"/>
      <w:bookmarkEnd w:id="6"/>
    </w:p>
    <w:tbl>
      <w:tblPr>
        <w:tblStyle w:val="25"/>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812"/>
        <w:gridCol w:w="6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6" w:hRule="atLeast"/>
          <w:jc w:val="center"/>
        </w:trPr>
        <w:tc>
          <w:tcPr>
            <w:tcW w:w="645"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81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6638"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3"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638" w:type="dxa"/>
            <w:vAlign w:val="center"/>
          </w:tcPr>
          <w:p>
            <w:pPr>
              <w:spacing w:line="360" w:lineRule="auto"/>
              <w:rPr>
                <w:rFonts w:ascii="Arial" w:hAnsi="Arial" w:cs="Arial"/>
                <w:color w:val="auto"/>
                <w:szCs w:val="21"/>
                <w:highlight w:val="none"/>
              </w:rPr>
            </w:pPr>
            <w:r>
              <w:rPr>
                <w:rFonts w:hint="eastAsia" w:ascii="Arial" w:hAnsi="Arial" w:cs="Arial"/>
                <w:color w:val="auto"/>
                <w:szCs w:val="21"/>
                <w:highlight w:val="none"/>
              </w:rPr>
              <w:t>瑞安市综合行政执法局及下属事业单位辅助人员劳务派遣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4"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项目编号</w:t>
            </w:r>
          </w:p>
        </w:tc>
        <w:tc>
          <w:tcPr>
            <w:tcW w:w="6638" w:type="dxa"/>
            <w:vAlign w:val="center"/>
          </w:tcPr>
          <w:p>
            <w:pPr>
              <w:spacing w:line="360" w:lineRule="auto"/>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WZRZ20230406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1"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79"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名称：</w:t>
            </w:r>
            <w:r>
              <w:rPr>
                <w:rFonts w:hint="eastAsia" w:ascii="宋体" w:hAnsi="宋体" w:cs="宋体"/>
                <w:color w:val="auto"/>
                <w:szCs w:val="21"/>
                <w:highlight w:val="none"/>
              </w:rPr>
              <w:t>瑞安市综合行政执法局、瑞安市公园管理中心（瑞安市绿化养护管理中心）</w:t>
            </w:r>
          </w:p>
          <w:p>
            <w:pPr>
              <w:spacing w:line="360" w:lineRule="auto"/>
              <w:rPr>
                <w:rFonts w:ascii="Arial" w:hAnsi="Arial" w:cs="Arial"/>
                <w:color w:val="auto"/>
                <w:szCs w:val="21"/>
                <w:highlight w:val="none"/>
              </w:rPr>
            </w:pPr>
            <w:r>
              <w:rPr>
                <w:rFonts w:hint="eastAsia" w:ascii="Arial" w:hAnsi="Arial" w:cs="Arial"/>
                <w:color w:val="auto"/>
                <w:szCs w:val="21"/>
                <w:highlight w:val="none"/>
              </w:rPr>
              <w:t>地点</w:t>
            </w:r>
            <w:r>
              <w:rPr>
                <w:rFonts w:ascii="Arial" w:hAnsi="Arial" w:cs="Arial"/>
                <w:color w:val="auto"/>
                <w:szCs w:val="21"/>
                <w:highlight w:val="none"/>
              </w:rPr>
              <w:t>：</w:t>
            </w:r>
            <w:r>
              <w:rPr>
                <w:rFonts w:hint="eastAsia" w:ascii="Arial" w:hAnsi="Arial" w:cs="Arial"/>
                <w:color w:val="auto"/>
                <w:szCs w:val="21"/>
                <w:highlight w:val="none"/>
              </w:rPr>
              <w:t>浙江省瑞安市安阳路772号</w:t>
            </w:r>
          </w:p>
          <w:p>
            <w:pPr>
              <w:spacing w:line="360" w:lineRule="auto"/>
              <w:rPr>
                <w:rFonts w:ascii="Arial" w:hAnsi="Arial" w:cs="Arial"/>
                <w:color w:val="auto"/>
                <w:szCs w:val="21"/>
                <w:highlight w:val="none"/>
              </w:rPr>
            </w:pPr>
            <w:r>
              <w:rPr>
                <w:rFonts w:hint="eastAsia" w:ascii="Arial" w:hAnsi="Arial" w:cs="Arial"/>
                <w:color w:val="auto"/>
                <w:szCs w:val="21"/>
                <w:highlight w:val="none"/>
              </w:rPr>
              <w:t>项目联系人（询问）：陈女士</w:t>
            </w:r>
          </w:p>
          <w:p>
            <w:pPr>
              <w:spacing w:line="360" w:lineRule="auto"/>
              <w:rPr>
                <w:rFonts w:ascii="Arial" w:hAnsi="Arial" w:cs="Arial"/>
                <w:color w:val="auto"/>
                <w:szCs w:val="21"/>
                <w:highlight w:val="none"/>
              </w:rPr>
            </w:pPr>
            <w:r>
              <w:rPr>
                <w:rFonts w:hint="eastAsia" w:ascii="Arial" w:hAnsi="Arial" w:cs="Arial"/>
                <w:color w:val="auto"/>
                <w:szCs w:val="21"/>
                <w:highlight w:val="none"/>
              </w:rPr>
              <w:t>项目联系方式（询问）：15858858011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3"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名称：</w:t>
            </w:r>
            <w:r>
              <w:rPr>
                <w:rFonts w:hint="eastAsia" w:ascii="Arial" w:hAnsi="Arial" w:cs="Arial"/>
                <w:color w:val="auto"/>
                <w:szCs w:val="21"/>
                <w:highlight w:val="none"/>
              </w:rPr>
              <w:t>温州瑞辀工程项目管理有限公司</w:t>
            </w:r>
          </w:p>
          <w:p>
            <w:pPr>
              <w:spacing w:line="360" w:lineRule="auto"/>
              <w:rPr>
                <w:rFonts w:ascii="Arial" w:hAnsi="Arial" w:cs="Arial"/>
                <w:color w:val="auto"/>
                <w:szCs w:val="21"/>
                <w:highlight w:val="none"/>
              </w:rPr>
            </w:pPr>
            <w:r>
              <w:rPr>
                <w:rFonts w:ascii="Arial" w:hAnsi="Arial" w:cs="Arial"/>
                <w:color w:val="auto"/>
                <w:szCs w:val="21"/>
                <w:highlight w:val="none"/>
              </w:rPr>
              <w:t>地址：</w:t>
            </w:r>
            <w:r>
              <w:rPr>
                <w:rFonts w:hint="eastAsia" w:ascii="Arial" w:hAnsi="Arial" w:cs="Arial"/>
                <w:color w:val="auto"/>
                <w:szCs w:val="21"/>
                <w:highlight w:val="none"/>
              </w:rPr>
              <w:t>瑞安市瑞祥新区院士路288号水务大楼二楼</w:t>
            </w:r>
          </w:p>
          <w:p>
            <w:pPr>
              <w:spacing w:line="360" w:lineRule="auto"/>
              <w:rPr>
                <w:rFonts w:ascii="Arial" w:hAnsi="Arial" w:cs="Arial"/>
                <w:color w:val="auto"/>
                <w:szCs w:val="21"/>
                <w:highlight w:val="none"/>
              </w:rPr>
            </w:pPr>
            <w:r>
              <w:rPr>
                <w:rFonts w:ascii="Arial" w:hAnsi="Arial" w:cs="Arial"/>
                <w:color w:val="auto"/>
                <w:szCs w:val="21"/>
                <w:highlight w:val="none"/>
              </w:rPr>
              <w:t>联系人：</w:t>
            </w:r>
            <w:r>
              <w:rPr>
                <w:rFonts w:hint="eastAsia" w:ascii="Arial" w:hAnsi="Arial" w:cs="Arial"/>
                <w:color w:val="auto"/>
                <w:szCs w:val="21"/>
                <w:highlight w:val="none"/>
              </w:rPr>
              <w:t>吴三郎</w:t>
            </w:r>
          </w:p>
          <w:p>
            <w:pPr>
              <w:spacing w:line="360" w:lineRule="auto"/>
              <w:rPr>
                <w:rFonts w:ascii="Arial" w:hAnsi="Arial" w:cs="Arial"/>
                <w:color w:val="auto"/>
                <w:szCs w:val="21"/>
                <w:highlight w:val="none"/>
              </w:rPr>
            </w:pPr>
            <w:r>
              <w:rPr>
                <w:rFonts w:ascii="Arial" w:hAnsi="Arial" w:cs="Arial"/>
                <w:color w:val="auto"/>
                <w:szCs w:val="21"/>
                <w:highlight w:val="none"/>
              </w:rPr>
              <w:t>联系电话：</w:t>
            </w:r>
            <w:r>
              <w:rPr>
                <w:rFonts w:hint="eastAsia" w:ascii="Arial" w:hAnsi="Arial" w:cs="Arial"/>
                <w:color w:val="auto"/>
                <w:szCs w:val="21"/>
                <w:highlight w:val="none"/>
              </w:rPr>
              <w:t>13967705080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5"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招标内容</w:t>
            </w:r>
          </w:p>
        </w:tc>
        <w:tc>
          <w:tcPr>
            <w:tcW w:w="6638" w:type="dxa"/>
            <w:vAlign w:val="center"/>
          </w:tcPr>
          <w:p>
            <w:pPr>
              <w:spacing w:line="360" w:lineRule="auto"/>
              <w:rPr>
                <w:rFonts w:ascii="Arial" w:hAnsi="Arial" w:cs="Arial"/>
                <w:color w:val="auto"/>
                <w:szCs w:val="21"/>
                <w:highlight w:val="none"/>
              </w:rPr>
            </w:pPr>
            <w:r>
              <w:rPr>
                <w:rFonts w:hint="eastAsia" w:ascii="Arial" w:hAnsi="Arial" w:cs="Arial"/>
                <w:color w:val="auto"/>
                <w:szCs w:val="21"/>
                <w:highlight w:val="none"/>
              </w:rPr>
              <w:t>瑞安市综合行政执法局及下属事业单位辅助人员劳务派遣</w:t>
            </w:r>
            <w:r>
              <w:rPr>
                <w:rFonts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09"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投标供应商</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资格要求</w:t>
            </w:r>
          </w:p>
        </w:tc>
        <w:tc>
          <w:tcPr>
            <w:tcW w:w="6638" w:type="dxa"/>
            <w:vAlign w:val="center"/>
          </w:tcPr>
          <w:p>
            <w:pPr>
              <w:spacing w:line="360" w:lineRule="auto"/>
              <w:rPr>
                <w:color w:val="auto"/>
                <w:highlight w:val="none"/>
              </w:rPr>
            </w:pPr>
            <w:r>
              <w:rPr>
                <w:rFonts w:hint="eastAsia"/>
                <w:color w:val="auto"/>
                <w:highlight w:val="none"/>
              </w:rPr>
              <w:t>1. 基本资格条件：</w:t>
            </w:r>
          </w:p>
          <w:p>
            <w:pPr>
              <w:spacing w:line="360" w:lineRule="auto"/>
              <w:rPr>
                <w:color w:val="auto"/>
                <w:highlight w:val="none"/>
              </w:rPr>
            </w:pPr>
            <w:r>
              <w:rPr>
                <w:rFonts w:hint="eastAsia"/>
                <w:color w:val="auto"/>
                <w:highlight w:val="none"/>
              </w:rPr>
              <w:t>（1）</w:t>
            </w:r>
            <w:r>
              <w:rPr>
                <w:color w:val="auto"/>
                <w:highlight w:val="none"/>
              </w:rPr>
              <w:t>符合《中华人民共和国政府采购法》第二十二条规定；</w:t>
            </w:r>
          </w:p>
          <w:p>
            <w:pPr>
              <w:spacing w:line="360" w:lineRule="auto"/>
              <w:rPr>
                <w:color w:val="auto"/>
                <w:highlight w:val="none"/>
              </w:rPr>
            </w:pPr>
            <w:r>
              <w:rPr>
                <w:rFonts w:hint="eastAsia"/>
                <w:color w:val="auto"/>
                <w:highlight w:val="none"/>
              </w:rPr>
              <w:t>（2）未被“信用中国”（www.creditchina.gov.cn）、中国政府采购网（www.ccgp.gov.cn）、浙江政府采购网（zfcg.czt.zj.gov.cn）列入失信被执行人、重大税收违法案件当事人名单、政府采购严重违法失信行为记录名单。</w:t>
            </w:r>
          </w:p>
          <w:p>
            <w:pPr>
              <w:pStyle w:val="24"/>
              <w:spacing w:after="0" w:line="360" w:lineRule="auto"/>
              <w:ind w:left="0" w:leftChars="0" w:firstLine="0"/>
              <w:rPr>
                <w:color w:val="auto"/>
                <w:highlight w:val="none"/>
              </w:rPr>
            </w:pPr>
            <w:r>
              <w:rPr>
                <w:rFonts w:hint="eastAsia"/>
                <w:color w:val="auto"/>
                <w:highlight w:val="none"/>
              </w:rPr>
              <w:t>2.特定资格条件：具有有效的《劳务派遣经营许可证》；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3"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 w:val="18"/>
                <w:szCs w:val="21"/>
                <w:highlight w:val="none"/>
              </w:rPr>
              <w:fldChar w:fldCharType="begin"/>
            </w:r>
            <w:r>
              <w:rPr>
                <w:rFonts w:ascii="Arial" w:hAnsi="Arial" w:cs="Arial"/>
                <w:color w:val="auto"/>
                <w:sz w:val="18"/>
                <w:szCs w:val="21"/>
                <w:highlight w:val="none"/>
              </w:rPr>
              <w:instrText xml:space="preserve"> eq \o\ac(</w:instrText>
            </w:r>
            <w:r>
              <w:rPr>
                <w:rFonts w:ascii="Arial" w:hAnsi="Arial" w:cs="Arial"/>
                <w:color w:val="auto"/>
                <w:position w:val="-2"/>
                <w:sz w:val="24"/>
                <w:szCs w:val="21"/>
                <w:highlight w:val="none"/>
              </w:rPr>
              <w:instrText xml:space="preserve">□</w:instrText>
            </w:r>
            <w:r>
              <w:rPr>
                <w:rFonts w:hint="eastAsia" w:ascii="Arial" w:hAnsi="Arial" w:cs="Arial"/>
                <w:color w:val="auto"/>
                <w:position w:val="-2"/>
                <w:sz w:val="24"/>
                <w:szCs w:val="21"/>
                <w:highlight w:val="none"/>
              </w:rPr>
              <w:instrText xml:space="preserve">,</w:instrText>
            </w:r>
            <w:r>
              <w:rPr>
                <w:rFonts w:hint="eastAsia" w:ascii="Arial" w:hAnsi="Arial" w:cs="Arial"/>
                <w:color w:val="auto"/>
                <w:sz w:val="16"/>
                <w:szCs w:val="21"/>
                <w:highlight w:val="none"/>
              </w:rPr>
              <w:instrText xml:space="preserve">√</w:instrText>
            </w:r>
            <w:r>
              <w:rPr>
                <w:rFonts w:ascii="Arial" w:hAnsi="Arial" w:cs="Arial"/>
                <w:color w:val="auto"/>
                <w:sz w:val="18"/>
                <w:szCs w:val="21"/>
                <w:highlight w:val="none"/>
              </w:rPr>
              <w:instrText xml:space="preserve">)</w:instrText>
            </w:r>
            <w:r>
              <w:rPr>
                <w:rFonts w:ascii="Arial" w:hAnsi="Arial" w:cs="Arial"/>
                <w:color w:val="auto"/>
                <w:sz w:val="18"/>
                <w:szCs w:val="21"/>
                <w:highlight w:val="none"/>
              </w:rPr>
              <w:fldChar w:fldCharType="end"/>
            </w:r>
            <w:r>
              <w:rPr>
                <w:rFonts w:ascii="Arial" w:hAnsi="Arial" w:cs="Arial"/>
                <w:color w:val="auto"/>
                <w:szCs w:val="21"/>
                <w:highlight w:val="none"/>
              </w:rPr>
              <w:t>不接受</w:t>
            </w:r>
          </w:p>
          <w:p>
            <w:pPr>
              <w:spacing w:line="360" w:lineRule="auto"/>
              <w:rPr>
                <w:rFonts w:ascii="Arial" w:hAnsi="Arial" w:cs="Arial"/>
                <w:color w:val="auto"/>
                <w:szCs w:val="21"/>
                <w:highlight w:val="none"/>
              </w:rPr>
            </w:pPr>
            <w:r>
              <w:rPr>
                <w:rFonts w:ascii="Arial" w:hAnsi="Arial" w:cs="Arial"/>
                <w:color w:val="auto"/>
                <w:sz w:val="18"/>
                <w:szCs w:val="21"/>
                <w:highlight w:val="none"/>
              </w:rPr>
              <w:fldChar w:fldCharType="begin"/>
            </w:r>
            <w:r>
              <w:rPr>
                <w:rFonts w:ascii="Arial" w:hAnsi="Arial" w:cs="Arial"/>
                <w:color w:val="auto"/>
                <w:sz w:val="18"/>
                <w:szCs w:val="21"/>
                <w:highlight w:val="none"/>
              </w:rPr>
              <w:instrText xml:space="preserve"> eq \o\ac(</w:instrText>
            </w:r>
            <w:r>
              <w:rPr>
                <w:rFonts w:ascii="Arial" w:hAnsi="Arial" w:cs="Arial"/>
                <w:color w:val="auto"/>
                <w:position w:val="-2"/>
                <w:sz w:val="24"/>
                <w:szCs w:val="21"/>
                <w:highlight w:val="none"/>
              </w:rPr>
              <w:instrText xml:space="preserve">□</w:instrText>
            </w:r>
            <w:r>
              <w:rPr>
                <w:rFonts w:ascii="Arial" w:hAnsi="Arial" w:cs="Arial"/>
                <w:color w:val="auto"/>
                <w:sz w:val="18"/>
                <w:szCs w:val="21"/>
                <w:highlight w:val="none"/>
              </w:rPr>
              <w:instrText xml:space="preserve">)</w:instrText>
            </w:r>
            <w:r>
              <w:rPr>
                <w:rFonts w:ascii="Arial" w:hAnsi="Arial" w:cs="Arial"/>
                <w:color w:val="auto"/>
                <w:sz w:val="18"/>
                <w:szCs w:val="21"/>
                <w:highlight w:val="none"/>
              </w:rPr>
              <w:fldChar w:fldCharType="end"/>
            </w:r>
            <w:r>
              <w:rPr>
                <w:rFonts w:ascii="Arial" w:hAnsi="Arial" w:cs="Arial"/>
                <w:color w:val="auto"/>
                <w:szCs w:val="21"/>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3"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 w:val="18"/>
                <w:szCs w:val="21"/>
                <w:highlight w:val="none"/>
              </w:rPr>
              <w:fldChar w:fldCharType="begin"/>
            </w:r>
            <w:r>
              <w:rPr>
                <w:rFonts w:ascii="Arial" w:hAnsi="Arial" w:cs="Arial"/>
                <w:color w:val="auto"/>
                <w:sz w:val="18"/>
                <w:szCs w:val="21"/>
                <w:highlight w:val="none"/>
              </w:rPr>
              <w:instrText xml:space="preserve"> eq \o\ac(</w:instrText>
            </w:r>
            <w:r>
              <w:rPr>
                <w:rFonts w:ascii="Arial" w:hAnsi="Arial" w:cs="Arial"/>
                <w:color w:val="auto"/>
                <w:position w:val="-2"/>
                <w:sz w:val="24"/>
                <w:szCs w:val="21"/>
                <w:highlight w:val="none"/>
              </w:rPr>
              <w:instrText xml:space="preserve">□</w:instrText>
            </w:r>
            <w:r>
              <w:rPr>
                <w:rFonts w:ascii="Arial" w:hAnsi="Arial" w:cs="Arial"/>
                <w:color w:val="auto"/>
                <w:sz w:val="18"/>
                <w:szCs w:val="21"/>
                <w:highlight w:val="none"/>
              </w:rPr>
              <w:instrText xml:space="preserve">,√)</w:instrText>
            </w:r>
            <w:r>
              <w:rPr>
                <w:rFonts w:ascii="Arial" w:hAnsi="Arial" w:cs="Arial"/>
                <w:color w:val="auto"/>
                <w:sz w:val="18"/>
                <w:szCs w:val="21"/>
                <w:highlight w:val="none"/>
              </w:rPr>
              <w:fldChar w:fldCharType="end"/>
            </w:r>
            <w:r>
              <w:rPr>
                <w:rFonts w:ascii="Arial" w:hAnsi="Arial" w:cs="Arial"/>
                <w:color w:val="auto"/>
                <w:szCs w:val="21"/>
                <w:highlight w:val="none"/>
              </w:rPr>
              <w:t>不组织</w:t>
            </w:r>
          </w:p>
          <w:p>
            <w:pPr>
              <w:spacing w:line="360" w:lineRule="auto"/>
              <w:rPr>
                <w:rFonts w:ascii="Arial" w:hAnsi="Arial" w:cs="Arial"/>
                <w:color w:val="auto"/>
                <w:szCs w:val="21"/>
                <w:highlight w:val="none"/>
              </w:rPr>
            </w:pPr>
            <w:r>
              <w:rPr>
                <w:rFonts w:ascii="Arial" w:hAnsi="Arial" w:cs="Arial"/>
                <w:color w:val="auto"/>
                <w:sz w:val="22"/>
                <w:szCs w:val="21"/>
                <w:highlight w:val="none"/>
              </w:rPr>
              <w:t>□</w:t>
            </w:r>
            <w:r>
              <w:rPr>
                <w:rFonts w:ascii="Arial" w:hAnsi="Arial" w:cs="Arial"/>
                <w:color w:val="auto"/>
                <w:szCs w:val="21"/>
                <w:highlight w:val="none"/>
              </w:rPr>
              <w:t>组织    踏勘时间：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3"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 w:val="18"/>
                <w:szCs w:val="21"/>
                <w:highlight w:val="none"/>
              </w:rPr>
              <w:fldChar w:fldCharType="begin"/>
            </w:r>
            <w:r>
              <w:rPr>
                <w:rFonts w:ascii="Arial" w:hAnsi="Arial" w:cs="Arial"/>
                <w:color w:val="auto"/>
                <w:sz w:val="18"/>
                <w:szCs w:val="21"/>
                <w:highlight w:val="none"/>
              </w:rPr>
              <w:instrText xml:space="preserve"> eq \o\ac(</w:instrText>
            </w:r>
            <w:r>
              <w:rPr>
                <w:rFonts w:ascii="Arial" w:hAnsi="Arial" w:cs="Arial"/>
                <w:color w:val="auto"/>
                <w:position w:val="-2"/>
                <w:sz w:val="24"/>
                <w:szCs w:val="21"/>
                <w:highlight w:val="none"/>
              </w:rPr>
              <w:instrText xml:space="preserve">□</w:instrText>
            </w:r>
            <w:r>
              <w:rPr>
                <w:rFonts w:ascii="Arial" w:hAnsi="Arial" w:cs="Arial"/>
                <w:color w:val="auto"/>
                <w:sz w:val="18"/>
                <w:szCs w:val="21"/>
                <w:highlight w:val="none"/>
              </w:rPr>
              <w:instrText xml:space="preserve">,√)</w:instrText>
            </w:r>
            <w:r>
              <w:rPr>
                <w:rFonts w:ascii="Arial" w:hAnsi="Arial" w:cs="Arial"/>
                <w:color w:val="auto"/>
                <w:sz w:val="18"/>
                <w:szCs w:val="21"/>
                <w:highlight w:val="none"/>
              </w:rPr>
              <w:fldChar w:fldCharType="end"/>
            </w:r>
            <w:r>
              <w:rPr>
                <w:rFonts w:ascii="Arial" w:hAnsi="Arial" w:cs="Arial"/>
                <w:color w:val="auto"/>
                <w:szCs w:val="21"/>
                <w:highlight w:val="none"/>
              </w:rPr>
              <w:t>不允许</w:t>
            </w:r>
          </w:p>
          <w:p>
            <w:pPr>
              <w:spacing w:line="360" w:lineRule="auto"/>
              <w:rPr>
                <w:rFonts w:ascii="Arial" w:hAnsi="Arial" w:cs="Arial"/>
                <w:color w:val="auto"/>
                <w:szCs w:val="21"/>
                <w:highlight w:val="none"/>
              </w:rPr>
            </w:pPr>
            <w:r>
              <w:rPr>
                <w:rFonts w:ascii="Arial" w:hAnsi="Arial" w:cs="Arial"/>
                <w:color w:val="auto"/>
                <w:sz w:val="22"/>
                <w:szCs w:val="21"/>
                <w:highlight w:val="none"/>
              </w:rPr>
              <w:t>□</w:t>
            </w:r>
            <w:r>
              <w:rPr>
                <w:rFonts w:ascii="Arial" w:hAnsi="Arial" w:cs="Arial"/>
                <w:color w:val="auto"/>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88" w:hRule="atLeast"/>
          <w:tblHeader/>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投标货币</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1"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投标语言</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3"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812" w:type="dxa"/>
            <w:vAlign w:val="center"/>
          </w:tcPr>
          <w:p>
            <w:pPr>
              <w:spacing w:line="360" w:lineRule="auto"/>
              <w:jc w:val="center"/>
              <w:rPr>
                <w:rFonts w:ascii="宋体" w:hAnsi="宋体" w:cs="宋体"/>
                <w:color w:val="auto"/>
                <w:szCs w:val="21"/>
                <w:highlight w:val="none"/>
              </w:rPr>
            </w:pPr>
            <w:r>
              <w:rPr>
                <w:rFonts w:ascii="Arial" w:hAnsi="Arial" w:cs="Arial"/>
                <w:color w:val="auto"/>
                <w:szCs w:val="21"/>
                <w:highlight w:val="none"/>
              </w:rPr>
              <w:t>投标文件形式</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本项目实行电子投标。</w:t>
            </w:r>
          </w:p>
          <w:p>
            <w:pPr>
              <w:spacing w:line="360" w:lineRule="auto"/>
              <w:rPr>
                <w:rFonts w:ascii="Arial" w:hAnsi="Arial" w:cs="Arial"/>
                <w:color w:val="auto"/>
                <w:szCs w:val="21"/>
                <w:highlight w:val="none"/>
              </w:rPr>
            </w:pPr>
            <w:r>
              <w:rPr>
                <w:rFonts w:ascii="Arial" w:hAnsi="Arial" w:cs="Arial"/>
                <w:color w:val="auto"/>
                <w:szCs w:val="21"/>
                <w:highlight w:val="none"/>
              </w:rPr>
              <w:t>电子投标文</w:t>
            </w:r>
            <w:r>
              <w:rPr>
                <w:rFonts w:hint="eastAsia" w:ascii="Arial" w:hAnsi="Arial" w:cs="Arial"/>
                <w:color w:val="auto"/>
                <w:szCs w:val="21"/>
                <w:highlight w:val="none"/>
              </w:rPr>
              <w:t>件</w:t>
            </w:r>
            <w:r>
              <w:rPr>
                <w:rFonts w:ascii="Arial" w:hAnsi="Arial" w:cs="Arial"/>
                <w:color w:val="auto"/>
                <w:szCs w:val="21"/>
                <w:highlight w:val="none"/>
              </w:rPr>
              <w:t>包括“电子加密投标文件”和“备份投标文件”，在投标文件编制完成后同时生成。</w:t>
            </w:r>
          </w:p>
          <w:p>
            <w:pPr>
              <w:spacing w:line="360" w:lineRule="auto"/>
              <w:rPr>
                <w:rFonts w:ascii="Arial" w:hAnsi="Arial" w:cs="Arial"/>
                <w:color w:val="auto"/>
                <w:szCs w:val="21"/>
                <w:highlight w:val="none"/>
              </w:rPr>
            </w:pPr>
            <w:r>
              <w:rPr>
                <w:rFonts w:ascii="Arial" w:hAnsi="Arial" w:cs="Arial"/>
                <w:color w:val="auto"/>
                <w:szCs w:val="21"/>
                <w:highlight w:val="none"/>
              </w:rPr>
              <w:t>1、“电子加密投标文件”是指通过“政采云电子交易客户端”完成投标文件编制后生成并加密的数据电文形式的投标文件。</w:t>
            </w:r>
          </w:p>
          <w:p>
            <w:pPr>
              <w:spacing w:line="360" w:lineRule="auto"/>
              <w:rPr>
                <w:rFonts w:ascii="Arial" w:hAnsi="Arial" w:cs="Arial"/>
                <w:color w:val="auto"/>
                <w:szCs w:val="21"/>
                <w:highlight w:val="none"/>
              </w:rPr>
            </w:pPr>
            <w:r>
              <w:rPr>
                <w:rFonts w:ascii="Arial" w:hAnsi="Arial" w:cs="Arial"/>
                <w:color w:val="auto"/>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3"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1、一份电子加密标</w:t>
            </w:r>
            <w:r>
              <w:rPr>
                <w:rFonts w:hint="eastAsia" w:ascii="Arial" w:hAnsi="Arial" w:cs="Arial"/>
                <w:color w:val="auto"/>
                <w:szCs w:val="21"/>
                <w:highlight w:val="none"/>
              </w:rPr>
              <w:t>投标文件</w:t>
            </w:r>
            <w:r>
              <w:rPr>
                <w:rFonts w:ascii="Arial" w:hAnsi="Arial" w:cs="Arial"/>
                <w:color w:val="auto"/>
                <w:szCs w:val="21"/>
                <w:highlight w:val="none"/>
              </w:rPr>
              <w:t>（后缀格式为.jmbs），一份备份</w:t>
            </w:r>
            <w:r>
              <w:rPr>
                <w:rFonts w:hint="eastAsia" w:ascii="Arial" w:hAnsi="Arial" w:cs="Arial"/>
                <w:color w:val="auto"/>
                <w:szCs w:val="21"/>
                <w:highlight w:val="none"/>
              </w:rPr>
              <w:t>投标</w:t>
            </w:r>
            <w:r>
              <w:rPr>
                <w:rFonts w:ascii="Arial" w:hAnsi="Arial" w:cs="Arial"/>
                <w:color w:val="auto"/>
                <w:szCs w:val="21"/>
                <w:highlight w:val="none"/>
              </w:rPr>
              <w:t>文件（后缀格式为.bfbs）。</w:t>
            </w:r>
          </w:p>
          <w:p>
            <w:pPr>
              <w:spacing w:line="360" w:lineRule="auto"/>
              <w:rPr>
                <w:rFonts w:ascii="Arial" w:hAnsi="Arial" w:cs="Arial"/>
                <w:color w:val="auto"/>
                <w:szCs w:val="21"/>
                <w:highlight w:val="none"/>
              </w:rPr>
            </w:pPr>
            <w:r>
              <w:rPr>
                <w:rFonts w:ascii="Arial" w:hAnsi="Arial" w:cs="Arial"/>
                <w:color w:val="auto"/>
                <w:szCs w:val="21"/>
                <w:highlight w:val="none"/>
              </w:rPr>
              <w:t>每份电子投标文件应包括</w:t>
            </w:r>
            <w:r>
              <w:rPr>
                <w:rFonts w:hint="eastAsia" w:ascii="Arial" w:hAnsi="Arial" w:cs="Arial"/>
                <w:color w:val="auto"/>
                <w:szCs w:val="21"/>
                <w:highlight w:val="none"/>
              </w:rPr>
              <w:t>资格文件、商务技术</w:t>
            </w:r>
            <w:r>
              <w:rPr>
                <w:rFonts w:ascii="Arial" w:hAnsi="Arial" w:cs="Arial"/>
                <w:color w:val="auto"/>
                <w:szCs w:val="21"/>
                <w:highlight w:val="none"/>
              </w:rPr>
              <w:t>文件</w:t>
            </w:r>
            <w:r>
              <w:rPr>
                <w:rFonts w:hint="eastAsia" w:ascii="Arial" w:hAnsi="Arial" w:cs="Arial"/>
                <w:color w:val="auto"/>
                <w:szCs w:val="21"/>
                <w:highlight w:val="none"/>
              </w:rPr>
              <w:t>和报价</w:t>
            </w:r>
            <w:r>
              <w:rPr>
                <w:rFonts w:ascii="Arial" w:hAnsi="Arial" w:cs="Arial"/>
                <w:color w:val="auto"/>
                <w:szCs w:val="21"/>
                <w:highlight w:val="none"/>
              </w:rPr>
              <w:t>文件</w:t>
            </w:r>
            <w:r>
              <w:rPr>
                <w:rFonts w:hint="eastAsia" w:ascii="Arial" w:hAnsi="Arial" w:cs="Arial"/>
                <w:color w:val="auto"/>
                <w:szCs w:val="21"/>
                <w:highlight w:val="none"/>
              </w:rPr>
              <w:t>三</w:t>
            </w:r>
            <w:r>
              <w:rPr>
                <w:rFonts w:ascii="Arial" w:hAnsi="Arial" w:cs="Arial"/>
                <w:color w:val="auto"/>
                <w:szCs w:val="21"/>
                <w:highlight w:val="none"/>
              </w:rPr>
              <w:t>部分内容。</w:t>
            </w:r>
          </w:p>
          <w:p>
            <w:pPr>
              <w:spacing w:line="360" w:lineRule="auto"/>
              <w:rPr>
                <w:rFonts w:ascii="Arial" w:hAnsi="Arial"/>
                <w:b/>
                <w:color w:val="auto"/>
                <w:highlight w:val="none"/>
              </w:rPr>
            </w:pPr>
            <w:r>
              <w:rPr>
                <w:rFonts w:ascii="Arial" w:hAnsi="Arial" w:cs="Arial"/>
                <w:color w:val="auto"/>
                <w:szCs w:val="21"/>
                <w:highlight w:val="none"/>
              </w:rPr>
              <w:t>2、如中标，中标人需根据</w:t>
            </w:r>
            <w:r>
              <w:rPr>
                <w:rFonts w:hint="eastAsia" w:ascii="Arial" w:hAnsi="Arial" w:cs="Arial"/>
                <w:color w:val="auto"/>
                <w:szCs w:val="21"/>
                <w:highlight w:val="none"/>
              </w:rPr>
              <w:t>采购人</w:t>
            </w:r>
            <w:r>
              <w:rPr>
                <w:rFonts w:ascii="Arial" w:hAnsi="Arial" w:cs="Arial"/>
                <w:color w:val="auto"/>
                <w:szCs w:val="21"/>
                <w:highlight w:val="none"/>
              </w:rPr>
              <w:t>要求提供纸质投标文件至少一份。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812" w:type="dxa"/>
            <w:vMerge w:val="restart"/>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投标文件的上传和递交</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1.电子加密投标文件：投标文件制作完成并生成加密标书，在投标截止时间前，供应商需将加密的投标文件上传至政采云平台，在开标时间开始后30分钟内，解密投标文件。</w:t>
            </w:r>
          </w:p>
          <w:p>
            <w:pPr>
              <w:spacing w:line="360" w:lineRule="auto"/>
              <w:jc w:val="both"/>
              <w:rPr>
                <w:rFonts w:ascii="Arial" w:hAnsi="Arial" w:cs="Arial"/>
                <w:b/>
                <w:color w:val="auto"/>
                <w:szCs w:val="21"/>
                <w:highlight w:val="none"/>
              </w:rPr>
            </w:pPr>
            <w:r>
              <w:rPr>
                <w:rFonts w:ascii="Arial" w:hAnsi="Arial" w:cs="Arial"/>
                <w:b/>
                <w:color w:val="auto"/>
                <w:szCs w:val="21"/>
                <w:highlight w:val="none"/>
              </w:rPr>
              <w:t>a.供应商应未能</w:t>
            </w:r>
            <w:r>
              <w:rPr>
                <w:rFonts w:hint="eastAsia" w:ascii="Arial" w:hAnsi="Arial" w:cs="Arial"/>
                <w:b/>
                <w:color w:val="auto"/>
                <w:szCs w:val="21"/>
                <w:highlight w:val="none"/>
              </w:rPr>
              <w:t>在</w:t>
            </w:r>
            <w:r>
              <w:rPr>
                <w:rFonts w:ascii="Arial" w:hAnsi="Arial" w:cs="Arial"/>
                <w:b/>
                <w:color w:val="auto"/>
                <w:szCs w:val="21"/>
                <w:highlight w:val="none"/>
              </w:rPr>
              <w:t>投标截止时间前成功上传电子加密投标文件的</w:t>
            </w:r>
            <w:r>
              <w:rPr>
                <w:rFonts w:hint="eastAsia" w:ascii="Arial" w:hAnsi="Arial" w:cs="Arial"/>
                <w:b/>
                <w:color w:val="auto"/>
                <w:szCs w:val="21"/>
                <w:highlight w:val="none"/>
              </w:rPr>
              <w:t>，</w:t>
            </w:r>
            <w:r>
              <w:rPr>
                <w:rFonts w:ascii="Arial" w:hAnsi="Arial" w:cs="Arial"/>
                <w:b/>
                <w:color w:val="auto"/>
                <w:szCs w:val="21"/>
                <w:highlight w:val="none"/>
              </w:rPr>
              <w:t>投标无效。</w:t>
            </w:r>
          </w:p>
          <w:p>
            <w:pPr>
              <w:spacing w:line="360" w:lineRule="auto"/>
              <w:rPr>
                <w:rFonts w:ascii="Arial" w:hAnsi="Arial" w:cs="Arial"/>
                <w:color w:val="auto"/>
                <w:szCs w:val="21"/>
                <w:highlight w:val="none"/>
              </w:rPr>
            </w:pPr>
            <w:r>
              <w:rPr>
                <w:rFonts w:ascii="Arial" w:hAnsi="Arial" w:cs="Arial"/>
                <w:color w:val="auto"/>
                <w:szCs w:val="21"/>
                <w:highlight w:val="none"/>
              </w:rPr>
              <w:t>b.供应商成功上传电子加密投标文件后，可自行打印投标文件接收回执。</w:t>
            </w:r>
          </w:p>
          <w:p>
            <w:pPr>
              <w:spacing w:line="360" w:lineRule="auto"/>
              <w:rPr>
                <w:rFonts w:ascii="Arial" w:hAnsi="Arial" w:cs="Arial"/>
                <w:b/>
                <w:color w:val="auto"/>
                <w:szCs w:val="21"/>
                <w:highlight w:val="none"/>
              </w:rPr>
            </w:pPr>
            <w:r>
              <w:rPr>
                <w:rFonts w:hint="eastAsia" w:ascii="Arial" w:hAnsi="Arial" w:cs="Arial"/>
                <w:b/>
                <w:color w:val="auto"/>
                <w:szCs w:val="21"/>
                <w:highlight w:val="none"/>
              </w:rPr>
              <w:t>c.供应商未</w:t>
            </w:r>
            <w:r>
              <w:rPr>
                <w:rFonts w:ascii="Arial" w:hAnsi="Arial" w:cs="Arial"/>
                <w:b/>
                <w:color w:val="auto"/>
                <w:szCs w:val="21"/>
                <w:highlight w:val="none"/>
              </w:rPr>
              <w:t>在</w:t>
            </w:r>
            <w:r>
              <w:rPr>
                <w:rFonts w:hint="eastAsia" w:ascii="Arial" w:hAnsi="Arial" w:cs="Arial"/>
                <w:b/>
                <w:color w:val="auto"/>
                <w:szCs w:val="21"/>
                <w:highlight w:val="none"/>
              </w:rPr>
              <w:t>规定时间</w:t>
            </w:r>
            <w:r>
              <w:rPr>
                <w:rFonts w:ascii="Arial" w:hAnsi="Arial" w:cs="Arial"/>
                <w:b/>
                <w:color w:val="auto"/>
                <w:szCs w:val="21"/>
                <w:highlight w:val="none"/>
              </w:rPr>
              <w:t>内，解密投标文件</w:t>
            </w:r>
            <w:r>
              <w:rPr>
                <w:rFonts w:hint="eastAsia" w:ascii="Arial" w:hAnsi="Arial" w:cs="Arial"/>
                <w:b/>
                <w:color w:val="auto"/>
                <w:szCs w:val="21"/>
                <w:highlight w:val="none"/>
              </w:rPr>
              <w:t>的，视为放弃投标，投标无效。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22" w:hRule="atLeast"/>
          <w:jc w:val="center"/>
        </w:trPr>
        <w:tc>
          <w:tcPr>
            <w:tcW w:w="645" w:type="dxa"/>
            <w:vMerge w:val="continue"/>
            <w:vAlign w:val="center"/>
          </w:tcPr>
          <w:p>
            <w:pPr>
              <w:spacing w:line="360" w:lineRule="auto"/>
              <w:jc w:val="center"/>
              <w:rPr>
                <w:rFonts w:ascii="宋体" w:hAnsi="宋体" w:cs="宋体"/>
                <w:color w:val="auto"/>
                <w:szCs w:val="21"/>
                <w:highlight w:val="none"/>
              </w:rPr>
            </w:pPr>
          </w:p>
        </w:tc>
        <w:tc>
          <w:tcPr>
            <w:tcW w:w="1812" w:type="dxa"/>
            <w:vMerge w:val="continue"/>
            <w:vAlign w:val="center"/>
          </w:tcPr>
          <w:p>
            <w:pPr>
              <w:spacing w:line="360" w:lineRule="auto"/>
              <w:jc w:val="center"/>
              <w:rPr>
                <w:rFonts w:ascii="宋体" w:hAnsi="宋体" w:cs="宋体"/>
                <w:color w:val="auto"/>
                <w:szCs w:val="21"/>
                <w:highlight w:val="none"/>
              </w:rPr>
            </w:pPr>
          </w:p>
        </w:tc>
        <w:tc>
          <w:tcPr>
            <w:tcW w:w="6638" w:type="dxa"/>
            <w:vAlign w:val="center"/>
          </w:tcPr>
          <w:p>
            <w:pPr>
              <w:spacing w:line="360" w:lineRule="auto"/>
              <w:rPr>
                <w:rFonts w:ascii="Arial" w:hAnsi="Arial" w:cs="Arial"/>
                <w:b/>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备份投标文件：供应商在开标时间开始后30分钟内，解密投标文件</w:t>
            </w:r>
            <w:r>
              <w:rPr>
                <w:rFonts w:hint="eastAsia" w:ascii="Arial" w:hAnsi="Arial" w:cs="Arial"/>
                <w:color w:val="auto"/>
                <w:szCs w:val="21"/>
                <w:highlight w:val="none"/>
              </w:rPr>
              <w:t>未成功的，供应商应当在解密时间内（</w:t>
            </w:r>
            <w:r>
              <w:rPr>
                <w:rFonts w:ascii="Arial" w:hAnsi="Arial" w:cs="Arial"/>
                <w:color w:val="auto"/>
                <w:szCs w:val="21"/>
                <w:highlight w:val="none"/>
              </w:rPr>
              <w:t>开标时间开始后30分钟</w:t>
            </w:r>
            <w:r>
              <w:rPr>
                <w:rFonts w:hint="eastAsia" w:ascii="Arial" w:hAnsi="Arial" w:cs="Arial"/>
                <w:color w:val="auto"/>
                <w:szCs w:val="21"/>
                <w:highlight w:val="none"/>
              </w:rPr>
              <w:t>）向采购代理机构通过电子邮箱（274806296@qq.com）提供备份投标文件</w:t>
            </w:r>
            <w:r>
              <w:rPr>
                <w:rFonts w:ascii="Arial" w:hAnsi="Arial" w:cs="Arial"/>
                <w:color w:val="auto"/>
                <w:szCs w:val="21"/>
                <w:highlight w:val="none"/>
              </w:rPr>
              <w:t>。</w:t>
            </w:r>
            <w:r>
              <w:rPr>
                <w:rFonts w:hint="eastAsia" w:ascii="Arial" w:hAnsi="Arial" w:cs="Arial"/>
                <w:b/>
                <w:color w:val="auto"/>
                <w:szCs w:val="21"/>
                <w:highlight w:val="none"/>
              </w:rPr>
              <w:t>因供应商未在规定时间内提供备份投标文件，导致投标文件解密失败的，视为投标文件撤回，投标无效。</w:t>
            </w:r>
          </w:p>
          <w:p>
            <w:pPr>
              <w:spacing w:line="360" w:lineRule="auto"/>
              <w:rPr>
                <w:rFonts w:ascii="Arial" w:hAnsi="Arial" w:cs="Arial"/>
                <w:color w:val="auto"/>
                <w:szCs w:val="21"/>
                <w:highlight w:val="none"/>
              </w:rPr>
            </w:pPr>
            <w:r>
              <w:rPr>
                <w:rFonts w:ascii="Arial" w:hAnsi="Arial" w:cs="Arial"/>
                <w:color w:val="auto"/>
                <w:szCs w:val="21"/>
                <w:highlight w:val="none"/>
              </w:rPr>
              <w:t>通过“政府采购云平台”成功上传递交的“电子加密投标文件”已按时解密的，“备份投标文件”自动失效。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84"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1812" w:type="dxa"/>
            <w:vAlign w:val="center"/>
          </w:tcPr>
          <w:p>
            <w:pPr>
              <w:spacing w:line="360" w:lineRule="auto"/>
              <w:jc w:val="center"/>
              <w:rPr>
                <w:rFonts w:ascii="宋体" w:hAnsi="宋体" w:cs="宋体"/>
                <w:color w:val="auto"/>
                <w:szCs w:val="21"/>
                <w:highlight w:val="none"/>
              </w:rPr>
            </w:pPr>
            <w:r>
              <w:rPr>
                <w:rFonts w:ascii="Arial" w:hAnsi="Arial" w:cs="Arial"/>
                <w:color w:val="auto"/>
                <w:szCs w:val="21"/>
                <w:highlight w:val="none"/>
              </w:rPr>
              <w:t>投标文件、流程文件签章</w:t>
            </w:r>
          </w:p>
        </w:tc>
        <w:tc>
          <w:tcPr>
            <w:tcW w:w="6638" w:type="dxa"/>
            <w:vAlign w:val="center"/>
          </w:tcPr>
          <w:p>
            <w:pPr>
              <w:numPr>
                <w:ilvl w:val="0"/>
                <w:numId w:val="3"/>
              </w:numPr>
              <w:spacing w:line="360" w:lineRule="auto"/>
              <w:jc w:val="both"/>
              <w:rPr>
                <w:rFonts w:ascii="Arial" w:hAnsi="Arial" w:cs="Arial"/>
                <w:color w:val="auto"/>
                <w:szCs w:val="21"/>
                <w:highlight w:val="none"/>
              </w:rPr>
            </w:pPr>
            <w:r>
              <w:rPr>
                <w:rFonts w:ascii="Arial" w:hAnsi="Arial" w:cs="Arial"/>
                <w:color w:val="auto"/>
                <w:szCs w:val="21"/>
                <w:highlight w:val="none"/>
              </w:rPr>
              <w:t>电子投标文件必须有电子签章；</w:t>
            </w:r>
          </w:p>
          <w:p>
            <w:pPr>
              <w:numPr>
                <w:ilvl w:val="0"/>
                <w:numId w:val="3"/>
              </w:numPr>
              <w:spacing w:line="360" w:lineRule="auto"/>
              <w:jc w:val="both"/>
              <w:rPr>
                <w:rFonts w:ascii="Arial" w:hAnsi="Arial" w:cs="Arial"/>
                <w:color w:val="auto"/>
                <w:szCs w:val="21"/>
                <w:highlight w:val="none"/>
              </w:rPr>
            </w:pPr>
            <w:r>
              <w:rPr>
                <w:rFonts w:ascii="Arial" w:hAnsi="Arial" w:cs="Arial"/>
                <w:color w:val="auto"/>
                <w:szCs w:val="21"/>
                <w:highlight w:val="none"/>
              </w:rPr>
              <w:t>开标后，相关信息记录确认、澄清说明、回复等内容，电子签章、或者签章后上传相关文件，均认可；</w:t>
            </w:r>
          </w:p>
          <w:p>
            <w:pPr>
              <w:numPr>
                <w:ilvl w:val="0"/>
                <w:numId w:val="3"/>
              </w:numPr>
              <w:spacing w:line="360" w:lineRule="auto"/>
              <w:jc w:val="both"/>
              <w:rPr>
                <w:rFonts w:ascii="Arial" w:hAnsi="Arial" w:cs="Arial"/>
                <w:color w:val="auto"/>
                <w:szCs w:val="21"/>
                <w:highlight w:val="none"/>
              </w:rPr>
            </w:pPr>
            <w:r>
              <w:rPr>
                <w:rFonts w:ascii="Arial" w:hAnsi="Arial" w:cs="Arial"/>
                <w:color w:val="auto"/>
                <w:szCs w:val="21"/>
                <w:highlight w:val="none"/>
              </w:rPr>
              <w:t>政采云系统平台有新的操作流程的，按其规定。</w:t>
            </w:r>
          </w:p>
          <w:p>
            <w:pPr>
              <w:spacing w:line="360" w:lineRule="auto"/>
              <w:rPr>
                <w:rFonts w:ascii="Arial" w:hAnsi="Arial" w:cs="Arial"/>
                <w:color w:val="auto"/>
                <w:szCs w:val="21"/>
                <w:highlight w:val="none"/>
              </w:rPr>
            </w:pPr>
            <w:r>
              <w:rPr>
                <w:rFonts w:ascii="Arial" w:hAnsi="Arial" w:cs="Arial"/>
                <w:color w:val="auto"/>
                <w:szCs w:val="21"/>
                <w:highlight w:val="none"/>
              </w:rPr>
              <w:t>纸质投标文件中所涉及的公章必须是投标供应商全称的公章，不得使用投标专用章、合同章等类似图章代替，所涉及法定代表人或授权代表的签字由法定代表人或授权代表本人签字或盖章。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投标样品</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 w:val="18"/>
                <w:szCs w:val="21"/>
                <w:highlight w:val="none"/>
              </w:rPr>
              <w:fldChar w:fldCharType="begin"/>
            </w:r>
            <w:r>
              <w:rPr>
                <w:rFonts w:ascii="Arial" w:hAnsi="Arial" w:cs="Arial"/>
                <w:color w:val="auto"/>
                <w:sz w:val="18"/>
                <w:szCs w:val="21"/>
                <w:highlight w:val="none"/>
              </w:rPr>
              <w:instrText xml:space="preserve"> eq \o\ac(</w:instrText>
            </w:r>
            <w:r>
              <w:rPr>
                <w:rFonts w:ascii="Arial" w:hAnsi="Arial" w:cs="Arial"/>
                <w:color w:val="auto"/>
                <w:position w:val="-2"/>
                <w:sz w:val="24"/>
                <w:szCs w:val="21"/>
                <w:highlight w:val="none"/>
              </w:rPr>
              <w:instrText xml:space="preserve">□</w:instrText>
            </w:r>
            <w:r>
              <w:rPr>
                <w:rFonts w:ascii="Arial" w:hAnsi="Arial" w:cs="Arial"/>
                <w:color w:val="auto"/>
                <w:sz w:val="18"/>
                <w:szCs w:val="21"/>
                <w:highlight w:val="none"/>
              </w:rPr>
              <w:instrText xml:space="preserve">,√)</w:instrText>
            </w:r>
            <w:r>
              <w:rPr>
                <w:rFonts w:ascii="Arial" w:hAnsi="Arial" w:cs="Arial"/>
                <w:color w:val="auto"/>
                <w:sz w:val="18"/>
                <w:szCs w:val="21"/>
                <w:highlight w:val="none"/>
              </w:rPr>
              <w:fldChar w:fldCharType="end"/>
            </w:r>
            <w:r>
              <w:rPr>
                <w:rFonts w:ascii="Arial" w:hAnsi="Arial" w:cs="Arial"/>
                <w:color w:val="auto"/>
                <w:szCs w:val="21"/>
                <w:highlight w:val="none"/>
              </w:rPr>
              <w:t>不需要</w:t>
            </w:r>
          </w:p>
          <w:p>
            <w:pPr>
              <w:spacing w:line="360" w:lineRule="auto"/>
              <w:rPr>
                <w:rFonts w:ascii="Arial" w:hAnsi="Arial" w:cs="Arial"/>
                <w:b/>
                <w:color w:val="auto"/>
                <w:szCs w:val="21"/>
                <w:highlight w:val="none"/>
              </w:rPr>
            </w:pPr>
            <w:r>
              <w:rPr>
                <w:rFonts w:ascii="Arial" w:hAnsi="Arial" w:cs="Arial"/>
                <w:color w:val="auto"/>
                <w:sz w:val="22"/>
                <w:szCs w:val="21"/>
                <w:highlight w:val="none"/>
              </w:rPr>
              <w:t>□</w:t>
            </w:r>
            <w:r>
              <w:rPr>
                <w:rFonts w:ascii="Arial" w:hAnsi="Arial" w:cs="Arial"/>
                <w:color w:val="auto"/>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2"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638" w:type="dxa"/>
            <w:vAlign w:val="center"/>
          </w:tcPr>
          <w:p>
            <w:pPr>
              <w:spacing w:line="360" w:lineRule="auto"/>
              <w:rPr>
                <w:rFonts w:ascii="Arial" w:hAnsi="Arial" w:cs="Arial"/>
                <w:color w:val="auto"/>
                <w:highlight w:val="none"/>
              </w:rPr>
            </w:pPr>
            <w:r>
              <w:rPr>
                <w:rFonts w:ascii="Arial" w:hAnsi="Arial" w:cs="Arial"/>
                <w:color w:val="auto"/>
                <w:szCs w:val="22"/>
                <w:highlight w:val="none"/>
              </w:rPr>
              <w:t>无需缴纳保证金。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99"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 w:val="18"/>
                <w:szCs w:val="21"/>
                <w:highlight w:val="none"/>
              </w:rPr>
              <w:fldChar w:fldCharType="begin"/>
            </w:r>
            <w:r>
              <w:rPr>
                <w:rFonts w:ascii="Arial" w:hAnsi="Arial" w:cs="Arial"/>
                <w:color w:val="auto"/>
                <w:sz w:val="18"/>
                <w:szCs w:val="21"/>
                <w:highlight w:val="none"/>
              </w:rPr>
              <w:instrText xml:space="preserve"> eq \o\ac(</w:instrText>
            </w:r>
            <w:r>
              <w:rPr>
                <w:rFonts w:ascii="Arial" w:hAnsi="Arial" w:cs="Arial"/>
                <w:color w:val="auto"/>
                <w:position w:val="-2"/>
                <w:sz w:val="24"/>
                <w:szCs w:val="21"/>
                <w:highlight w:val="none"/>
              </w:rPr>
              <w:instrText xml:space="preserve">□</w:instrText>
            </w:r>
            <w:r>
              <w:rPr>
                <w:rFonts w:ascii="Arial" w:hAnsi="Arial" w:cs="Arial"/>
                <w:color w:val="auto"/>
                <w:sz w:val="18"/>
                <w:szCs w:val="21"/>
                <w:highlight w:val="none"/>
              </w:rPr>
              <w:instrText xml:space="preserve">,√)</w:instrText>
            </w:r>
            <w:r>
              <w:rPr>
                <w:rFonts w:ascii="Arial" w:hAnsi="Arial" w:cs="Arial"/>
                <w:color w:val="auto"/>
                <w:sz w:val="18"/>
                <w:szCs w:val="21"/>
                <w:highlight w:val="none"/>
              </w:rPr>
              <w:fldChar w:fldCharType="end"/>
            </w:r>
            <w:r>
              <w:rPr>
                <w:rFonts w:ascii="Arial" w:hAnsi="Arial" w:cs="Arial"/>
                <w:color w:val="auto"/>
                <w:szCs w:val="21"/>
                <w:highlight w:val="none"/>
              </w:rPr>
              <w:t>需要</w:t>
            </w:r>
            <w:r>
              <w:rPr>
                <w:rFonts w:hint="eastAsia" w:ascii="Arial" w:hAnsi="Arial" w:cs="Arial"/>
                <w:color w:val="auto"/>
                <w:szCs w:val="21"/>
                <w:highlight w:val="none"/>
              </w:rPr>
              <w:t>：详见招标文件</w:t>
            </w:r>
            <w:r>
              <w:rPr>
                <w:rFonts w:ascii="Arial" w:hAnsi="Arial" w:cs="Arial"/>
                <w:color w:val="auto"/>
                <w:szCs w:val="21"/>
                <w:highlight w:val="none"/>
              </w:rPr>
              <w:t>第三部分。</w:t>
            </w:r>
          </w:p>
          <w:p>
            <w:pPr>
              <w:spacing w:line="360" w:lineRule="auto"/>
              <w:rPr>
                <w:rFonts w:ascii="Arial" w:hAnsi="Arial" w:cs="Arial"/>
                <w:color w:val="auto"/>
                <w:szCs w:val="21"/>
                <w:highlight w:val="none"/>
              </w:rPr>
            </w:pPr>
            <w:r>
              <w:rPr>
                <w:rFonts w:ascii="Arial" w:hAnsi="Arial" w:cs="Arial"/>
                <w:color w:val="auto"/>
                <w:sz w:val="22"/>
                <w:szCs w:val="21"/>
                <w:highlight w:val="none"/>
              </w:rPr>
              <w:t>□</w:t>
            </w:r>
            <w:r>
              <w:rPr>
                <w:rFonts w:ascii="Arial" w:hAnsi="Arial" w:cs="Arial"/>
                <w:color w:val="auto"/>
                <w:szCs w:val="21"/>
                <w:highlight w:val="none"/>
              </w:rPr>
              <w:t>不需要</w:t>
            </w:r>
            <w:r>
              <w:rPr>
                <w:rFonts w:hint="eastAsia"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6"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招标文件获取时间及获取方式</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1、获取时间：</w:t>
            </w:r>
            <w:r>
              <w:rPr>
                <w:rFonts w:hint="eastAsia" w:ascii="Arial" w:hAnsi="Arial" w:cs="Arial"/>
                <w:color w:val="auto"/>
                <w:szCs w:val="21"/>
                <w:highlight w:val="none"/>
              </w:rPr>
              <w:t>公告发布之时起</w:t>
            </w:r>
            <w:r>
              <w:rPr>
                <w:rFonts w:ascii="Arial" w:hAnsi="Arial" w:cs="Arial"/>
                <w:color w:val="auto"/>
                <w:szCs w:val="21"/>
                <w:highlight w:val="none"/>
              </w:rPr>
              <w:t>至投标截止时间前。</w:t>
            </w:r>
          </w:p>
          <w:p>
            <w:pPr>
              <w:spacing w:line="360" w:lineRule="auto"/>
              <w:rPr>
                <w:rFonts w:ascii="Arial" w:hAnsi="Arial" w:cs="Arial"/>
                <w:color w:val="auto"/>
                <w:szCs w:val="21"/>
                <w:highlight w:val="none"/>
              </w:rPr>
            </w:pPr>
            <w:r>
              <w:rPr>
                <w:rFonts w:ascii="Arial" w:hAnsi="Arial" w:cs="Arial"/>
                <w:color w:val="auto"/>
                <w:szCs w:val="21"/>
                <w:highlight w:val="none"/>
              </w:rPr>
              <w:t>2、获取采购文件方式：投标供应商登录浙江政府采购网（http://</w:t>
            </w:r>
            <w:r>
              <w:rPr>
                <w:rFonts w:hint="eastAsia" w:ascii="Arial" w:hAnsi="Arial" w:cs="Arial"/>
                <w:color w:val="auto"/>
                <w:szCs w:val="21"/>
                <w:highlight w:val="none"/>
              </w:rPr>
              <w:t>zfcg.czt.zj.gov.cn</w:t>
            </w:r>
            <w:r>
              <w:rPr>
                <w:rFonts w:ascii="Arial" w:hAnsi="Arial" w:cs="Arial"/>
                <w:color w:val="auto"/>
                <w:szCs w:val="21"/>
                <w:highlight w:val="none"/>
              </w:rPr>
              <w:t>）申请获取采购文件；操作路径：登录浙江政府采购网：供应商注册-项目采购-获取采购文件-申请获取采购文件。</w:t>
            </w:r>
          </w:p>
          <w:p>
            <w:pPr>
              <w:spacing w:line="360" w:lineRule="auto"/>
              <w:rPr>
                <w:rFonts w:ascii="Arial" w:hAnsi="Arial" w:cs="Arial"/>
                <w:color w:val="auto"/>
                <w:szCs w:val="21"/>
                <w:highlight w:val="none"/>
              </w:rPr>
            </w:pPr>
            <w:r>
              <w:rPr>
                <w:rFonts w:ascii="Arial" w:hAnsi="Arial" w:cs="Arial"/>
                <w:color w:val="auto"/>
                <w:szCs w:val="21"/>
                <w:highlight w:val="none"/>
              </w:rPr>
              <w:t>（注：投标供应商只有在“政府采购云平台”完成获取采购文件申请并下载了采购文件后才视作依法获取采购文件。如未在“政采云”系统内完成相关流程，对招标文件提起的质疑，将不予受理。引起的投标无效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28"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1812" w:type="dxa"/>
            <w:vAlign w:val="center"/>
          </w:tcPr>
          <w:p>
            <w:pPr>
              <w:spacing w:line="360" w:lineRule="auto"/>
              <w:jc w:val="center"/>
              <w:rPr>
                <w:rFonts w:ascii="Arial" w:hAnsi="Arial" w:cs="Arial"/>
                <w:color w:val="auto"/>
                <w:szCs w:val="21"/>
                <w:highlight w:val="none"/>
              </w:rPr>
            </w:pPr>
            <w:r>
              <w:rPr>
                <w:rFonts w:hint="eastAsia" w:ascii="Arial" w:hAnsi="Arial" w:cs="Arial"/>
                <w:color w:val="auto"/>
                <w:szCs w:val="21"/>
                <w:highlight w:val="none"/>
              </w:rPr>
              <w:t>投标截止时间</w:t>
            </w:r>
          </w:p>
        </w:tc>
        <w:tc>
          <w:tcPr>
            <w:tcW w:w="6638" w:type="dxa"/>
            <w:vAlign w:val="center"/>
          </w:tcPr>
          <w:p>
            <w:pPr>
              <w:spacing w:line="360" w:lineRule="auto"/>
              <w:rPr>
                <w:rFonts w:ascii="Arial" w:hAnsi="Arial" w:cs="Arial"/>
                <w:color w:val="auto"/>
                <w:szCs w:val="21"/>
                <w:highlight w:val="none"/>
              </w:rPr>
            </w:pPr>
            <w:r>
              <w:rPr>
                <w:rFonts w:hint="eastAsia" w:ascii="Arial" w:hAnsi="Arial" w:cs="Arial"/>
                <w:color w:val="auto"/>
                <w:szCs w:val="21"/>
                <w:highlight w:val="none"/>
              </w:rPr>
              <w:t>2023年</w:t>
            </w:r>
            <w:r>
              <w:rPr>
                <w:rFonts w:hint="eastAsia" w:ascii="Arial" w:hAnsi="Arial" w:cs="Arial"/>
                <w:color w:val="auto"/>
                <w:szCs w:val="21"/>
                <w:highlight w:val="none"/>
                <w:lang w:val="en-US" w:eastAsia="zh-CN"/>
              </w:rPr>
              <w:t>5</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22</w:t>
            </w:r>
            <w:r>
              <w:rPr>
                <w:rFonts w:hint="eastAsia" w:ascii="Arial" w:hAnsi="Arial" w:cs="Arial"/>
                <w:color w:val="auto"/>
                <w:szCs w:val="21"/>
                <w:highlight w:val="none"/>
              </w:rPr>
              <w:t>日09</w:t>
            </w:r>
            <w:r>
              <w:rPr>
                <w:rFonts w:ascii="Arial" w:hAnsi="Arial" w:cs="Arial"/>
                <w:color w:val="auto"/>
                <w:szCs w:val="21"/>
                <w:highlight w:val="none"/>
              </w:rPr>
              <w:t>:</w:t>
            </w:r>
            <w:r>
              <w:rPr>
                <w:rFonts w:hint="eastAsia" w:ascii="Arial" w:hAnsi="Arial" w:cs="Arial"/>
                <w:color w:val="auto"/>
                <w:szCs w:val="21"/>
                <w:highlight w:val="none"/>
              </w:rPr>
              <w:t>00</w:t>
            </w:r>
            <w:r>
              <w:rPr>
                <w:rFonts w:ascii="Arial" w:hAnsi="Arial" w:cs="Arial"/>
                <w:color w:val="auto"/>
                <w:szCs w:val="21"/>
                <w:highlight w:val="none"/>
              </w:rPr>
              <w:t>止</w:t>
            </w:r>
            <w:r>
              <w:rPr>
                <w:rFonts w:hint="eastAsia" w:ascii="Arial" w:hAnsi="Arial" w:cs="Arial"/>
                <w:color w:val="auto"/>
                <w:szCs w:val="21"/>
                <w:highlight w:val="none"/>
              </w:rPr>
              <w:t>（</w:t>
            </w:r>
            <w:r>
              <w:rPr>
                <w:rFonts w:ascii="Arial" w:hAnsi="Arial" w:cs="Arial"/>
                <w:color w:val="auto"/>
                <w:szCs w:val="21"/>
                <w:highlight w:val="none"/>
              </w:rPr>
              <w:t>北京时间</w:t>
            </w:r>
            <w:r>
              <w:rPr>
                <w:rFonts w:hint="eastAsia" w:ascii="Arial" w:hAnsi="Arial" w:cs="Arial"/>
                <w:color w:val="auto"/>
                <w:szCs w:val="21"/>
                <w:highlight w:val="none"/>
              </w:rPr>
              <w:t>）</w:t>
            </w:r>
          </w:p>
          <w:p>
            <w:pPr>
              <w:spacing w:line="360" w:lineRule="auto"/>
              <w:rPr>
                <w:rFonts w:ascii="Arial" w:hAnsi="Arial" w:cs="Arial"/>
                <w:color w:val="auto"/>
                <w:szCs w:val="21"/>
                <w:highlight w:val="none"/>
              </w:rPr>
            </w:pPr>
            <w:r>
              <w:rPr>
                <w:rFonts w:ascii="Arial" w:hAnsi="Arial" w:cs="Arial"/>
                <w:color w:val="auto"/>
                <w:szCs w:val="21"/>
                <w:highlight w:val="none"/>
              </w:rPr>
              <w:t>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8"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投标文件递交时间及地点</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本项目采用全流程电子化交易，</w:t>
            </w:r>
            <w:r>
              <w:rPr>
                <w:rFonts w:hint="eastAsia" w:ascii="Arial" w:hAnsi="Arial" w:cs="Arial"/>
                <w:color w:val="auto"/>
                <w:szCs w:val="21"/>
                <w:highlight w:val="none"/>
              </w:rPr>
              <w:t>投标供应商</w:t>
            </w:r>
            <w:r>
              <w:rPr>
                <w:rFonts w:ascii="Arial" w:hAnsi="Arial" w:cs="Arial"/>
                <w:color w:val="auto"/>
                <w:szCs w:val="21"/>
                <w:highlight w:val="none"/>
              </w:rPr>
              <w:t>无须参加现场开标。投标供应商应当在投标截止时间前将电子投标文件上传到“政采云”平台。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6"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开标地点</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szCs w:val="21"/>
                <w:highlight w:val="none"/>
              </w:rPr>
              <w:t>2023年</w:t>
            </w:r>
            <w:r>
              <w:rPr>
                <w:rFonts w:hint="eastAsia" w:ascii="Arial" w:hAnsi="Arial" w:cs="Arial"/>
                <w:color w:val="auto"/>
                <w:szCs w:val="21"/>
                <w:highlight w:val="none"/>
                <w:lang w:val="en-US" w:eastAsia="zh-CN"/>
              </w:rPr>
              <w:t>5</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22</w:t>
            </w:r>
            <w:r>
              <w:rPr>
                <w:rFonts w:hint="eastAsia" w:ascii="Arial" w:hAnsi="Arial" w:cs="Arial"/>
                <w:color w:val="auto"/>
                <w:szCs w:val="21"/>
                <w:highlight w:val="none"/>
              </w:rPr>
              <w:t>日09:00（</w:t>
            </w:r>
            <w:r>
              <w:rPr>
                <w:rFonts w:ascii="Arial" w:hAnsi="Arial" w:cs="Arial"/>
                <w:color w:val="auto"/>
                <w:szCs w:val="21"/>
                <w:highlight w:val="none"/>
              </w:rPr>
              <w:t>北京时间</w:t>
            </w:r>
            <w:r>
              <w:rPr>
                <w:rFonts w:hint="eastAsia" w:ascii="Arial" w:hAnsi="Arial" w:cs="Arial"/>
                <w:color w:val="auto"/>
                <w:szCs w:val="21"/>
                <w:highlight w:val="none"/>
              </w:rPr>
              <w:t>）</w:t>
            </w:r>
          </w:p>
          <w:p>
            <w:pPr>
              <w:spacing w:line="360" w:lineRule="auto"/>
              <w:rPr>
                <w:rFonts w:ascii="Arial" w:hAnsi="Arial" w:cs="Arial"/>
                <w:color w:val="auto"/>
                <w:szCs w:val="21"/>
                <w:highlight w:val="none"/>
              </w:rPr>
            </w:pPr>
            <w:r>
              <w:rPr>
                <w:rFonts w:ascii="Arial" w:hAnsi="Arial" w:cs="Arial"/>
                <w:color w:val="auto"/>
                <w:szCs w:val="21"/>
                <w:highlight w:val="none"/>
              </w:rPr>
              <w:t>开标时间后30分钟内，投标供应商须登录“政采云”平台，用“项目采购-开标评标”功能解密投标文件。</w:t>
            </w:r>
          </w:p>
          <w:p>
            <w:pPr>
              <w:spacing w:line="360" w:lineRule="auto"/>
              <w:rPr>
                <w:rFonts w:ascii="Arial" w:hAnsi="Arial" w:cs="Arial"/>
                <w:color w:val="auto"/>
                <w:szCs w:val="21"/>
                <w:highlight w:val="none"/>
              </w:rPr>
            </w:pPr>
            <w:r>
              <w:rPr>
                <w:rFonts w:ascii="Arial" w:hAnsi="Arial" w:cs="Arial"/>
                <w:color w:val="auto"/>
                <w:szCs w:val="21"/>
                <w:highlight w:val="none"/>
              </w:rPr>
              <w:t>开标地点：瑞安市公共资源交易中心开标室（见当日大厅公示栏）（滨江大道外滩满庭芳大楼三楼）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03"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638" w:type="dxa"/>
            <w:vAlign w:val="center"/>
          </w:tcPr>
          <w:p>
            <w:pPr>
              <w:pStyle w:val="12"/>
              <w:numPr>
                <w:ilvl w:val="0"/>
                <w:numId w:val="4"/>
              </w:numPr>
              <w:spacing w:after="0" w:line="360" w:lineRule="auto"/>
              <w:ind w:left="0" w:leftChars="0"/>
              <w:jc w:val="both"/>
              <w:rPr>
                <w:rFonts w:ascii="Arial" w:hAnsi="Arial" w:cs="Arial"/>
                <w:color w:val="auto"/>
                <w:szCs w:val="21"/>
                <w:highlight w:val="none"/>
              </w:rPr>
            </w:pPr>
            <w:r>
              <w:rPr>
                <w:rFonts w:ascii="Arial" w:hAnsi="Arial" w:cs="Arial"/>
                <w:color w:val="auto"/>
                <w:szCs w:val="21"/>
                <w:highlight w:val="none"/>
              </w:rPr>
              <w:t>采购代理机构按照招标文件规定的时间通过政采云平台组织开标，所有投标供应商准时在线参加。开标后，采购代理机构点击【开始解密】，供应商应在30分钟内完成解密。供应商在规定的时间内都已完成解密，则系统自动结束解密；供应商超过解密时限，默认自动放弃；</w:t>
            </w:r>
          </w:p>
          <w:p>
            <w:pPr>
              <w:pStyle w:val="12"/>
              <w:numPr>
                <w:ilvl w:val="0"/>
                <w:numId w:val="4"/>
              </w:numPr>
              <w:spacing w:after="0" w:line="360" w:lineRule="auto"/>
              <w:ind w:left="0" w:leftChars="0"/>
              <w:jc w:val="both"/>
              <w:rPr>
                <w:rFonts w:ascii="Arial" w:hAnsi="Arial" w:cs="Arial"/>
                <w:color w:val="auto"/>
                <w:szCs w:val="21"/>
                <w:highlight w:val="none"/>
              </w:rPr>
            </w:pPr>
            <w:r>
              <w:rPr>
                <w:rFonts w:ascii="Arial" w:hAnsi="Arial" w:cs="Arial"/>
                <w:color w:val="auto"/>
                <w:szCs w:val="21"/>
                <w:highlight w:val="none"/>
              </w:rPr>
              <w:t>解密不成功时，</w:t>
            </w:r>
            <w:r>
              <w:rPr>
                <w:rFonts w:hint="eastAsia" w:ascii="Arial" w:hAnsi="Arial" w:cs="Arial"/>
                <w:color w:val="auto"/>
                <w:szCs w:val="21"/>
                <w:highlight w:val="none"/>
              </w:rPr>
              <w:t>供应商应当在解密时间内向采购代理机构通过电子邮箱（274806296@qq.com）提供备份投标文件</w:t>
            </w:r>
            <w:r>
              <w:rPr>
                <w:rFonts w:ascii="Arial" w:hAnsi="Arial" w:cs="Arial"/>
                <w:color w:val="auto"/>
                <w:szCs w:val="21"/>
                <w:highlight w:val="none"/>
              </w:rPr>
              <w:t>，采购代理机构通过【异常处理】端口对备份投标文件上传、解密；</w:t>
            </w:r>
          </w:p>
          <w:p>
            <w:pPr>
              <w:pStyle w:val="12"/>
              <w:numPr>
                <w:ilvl w:val="0"/>
                <w:numId w:val="4"/>
              </w:numPr>
              <w:spacing w:after="0" w:line="360" w:lineRule="auto"/>
              <w:ind w:left="0" w:leftChars="0"/>
              <w:jc w:val="both"/>
              <w:rPr>
                <w:rFonts w:ascii="Arial" w:hAnsi="Arial" w:cs="Arial"/>
                <w:color w:val="auto"/>
                <w:szCs w:val="21"/>
                <w:highlight w:val="none"/>
              </w:rPr>
            </w:pPr>
            <w:r>
              <w:rPr>
                <w:rFonts w:hint="eastAsia" w:ascii="Arial" w:hAnsi="Arial" w:cs="Arial"/>
                <w:color w:val="auto"/>
                <w:szCs w:val="21"/>
                <w:highlight w:val="none"/>
              </w:rPr>
              <w:t>结束解密后，供应商通过邮件形式将经授权代表签署的《政府采购活动现场确认声明书》（格式见采购文件第七部分，采购文件最后一页内容）扫描件发至代理机构经办人邮箱（邮箱地址：274806296@qq.com，联系人：吴三郎， 电话：13967705080）备</w:t>
            </w:r>
            <w:r>
              <w:rPr>
                <w:rFonts w:hint="eastAsia" w:ascii="Arial" w:hAnsi="Arial" w:cs="Arial"/>
                <w:b/>
                <w:color w:val="auto"/>
                <w:szCs w:val="21"/>
                <w:highlight w:val="none"/>
              </w:rPr>
              <w:t>注：代理机构后续需要公布的信息将以供应商以此发送的邮箱地址进行联系，请随时关注邮箱信息。</w:t>
            </w:r>
          </w:p>
          <w:p>
            <w:pPr>
              <w:pStyle w:val="12"/>
              <w:numPr>
                <w:ilvl w:val="0"/>
                <w:numId w:val="4"/>
              </w:numPr>
              <w:spacing w:after="0" w:line="360" w:lineRule="auto"/>
              <w:ind w:left="0" w:leftChars="0"/>
              <w:jc w:val="both"/>
              <w:rPr>
                <w:rFonts w:ascii="Arial" w:hAnsi="Arial" w:cs="Arial"/>
                <w:color w:val="auto"/>
                <w:szCs w:val="21"/>
                <w:highlight w:val="none"/>
              </w:rPr>
            </w:pPr>
            <w:r>
              <w:rPr>
                <w:rFonts w:hint="eastAsia" w:ascii="Arial" w:hAnsi="Arial" w:cs="Arial"/>
                <w:color w:val="auto"/>
                <w:szCs w:val="21"/>
                <w:highlight w:val="none"/>
              </w:rPr>
              <w:t>解密结束后，</w:t>
            </w:r>
            <w:r>
              <w:rPr>
                <w:rFonts w:ascii="Arial" w:hAnsi="Arial" w:cs="Arial"/>
                <w:color w:val="auto"/>
                <w:szCs w:val="21"/>
                <w:highlight w:val="none"/>
              </w:rPr>
              <w:t>采购组织机构点击【开启标书信息】，开启标书成功后进入开标流程。</w:t>
            </w:r>
          </w:p>
          <w:p>
            <w:pPr>
              <w:pStyle w:val="12"/>
              <w:numPr>
                <w:ilvl w:val="0"/>
                <w:numId w:val="4"/>
              </w:numPr>
              <w:spacing w:after="0" w:line="360" w:lineRule="auto"/>
              <w:ind w:left="0" w:leftChars="0"/>
              <w:jc w:val="both"/>
              <w:rPr>
                <w:rFonts w:ascii="Arial" w:hAnsi="Arial" w:cs="Arial"/>
                <w:color w:val="auto"/>
                <w:szCs w:val="21"/>
                <w:highlight w:val="none"/>
              </w:rPr>
            </w:pPr>
            <w:r>
              <w:rPr>
                <w:rFonts w:hint="eastAsia" w:ascii="Arial" w:hAnsi="Arial" w:cs="Arial"/>
                <w:color w:val="auto"/>
                <w:szCs w:val="21"/>
                <w:highlight w:val="none"/>
              </w:rPr>
              <w:t>投标供应商在解密完成后可点击</w:t>
            </w:r>
            <w:r>
              <w:rPr>
                <w:rFonts w:ascii="Arial" w:hAnsi="Arial" w:cs="Arial"/>
                <w:color w:val="auto"/>
                <w:szCs w:val="21"/>
                <w:highlight w:val="none"/>
              </w:rPr>
              <w:t>【</w:t>
            </w:r>
            <w:r>
              <w:rPr>
                <w:rFonts w:hint="eastAsia" w:ascii="Arial" w:hAnsi="Arial" w:cs="Arial"/>
                <w:color w:val="auto"/>
                <w:szCs w:val="21"/>
                <w:highlight w:val="none"/>
              </w:rPr>
              <w:t>查看开标记录</w:t>
            </w:r>
            <w:r>
              <w:rPr>
                <w:rFonts w:ascii="Arial" w:hAnsi="Arial" w:cs="Arial"/>
                <w:color w:val="auto"/>
                <w:szCs w:val="21"/>
                <w:highlight w:val="none"/>
              </w:rPr>
              <w:t>】</w:t>
            </w:r>
            <w:r>
              <w:rPr>
                <w:rFonts w:hint="eastAsia" w:ascii="Arial" w:hAnsi="Arial" w:cs="Arial"/>
                <w:color w:val="auto"/>
                <w:szCs w:val="21"/>
                <w:highlight w:val="none"/>
              </w:rPr>
              <w:t>查看开标记录。</w:t>
            </w:r>
          </w:p>
          <w:p>
            <w:pPr>
              <w:pStyle w:val="12"/>
              <w:numPr>
                <w:ilvl w:val="0"/>
                <w:numId w:val="4"/>
              </w:numPr>
              <w:spacing w:after="0" w:line="360" w:lineRule="auto"/>
              <w:ind w:left="0" w:leftChars="0"/>
              <w:jc w:val="both"/>
              <w:rPr>
                <w:rFonts w:ascii="Arial" w:hAnsi="Arial" w:cs="Arial"/>
                <w:color w:val="auto"/>
                <w:highlight w:val="none"/>
              </w:rPr>
            </w:pPr>
            <w:r>
              <w:rPr>
                <w:rFonts w:ascii="Arial" w:hAnsi="Arial" w:cs="Arial"/>
                <w:color w:val="auto"/>
                <w:szCs w:val="21"/>
                <w:highlight w:val="none"/>
              </w:rPr>
              <w:t>政采云系统平台有新的操作流程的，按其规定。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评标委员会</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的组建</w:t>
            </w:r>
          </w:p>
        </w:tc>
        <w:tc>
          <w:tcPr>
            <w:tcW w:w="6638"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评标委员会构成：由采购人代表以及有关技术、经济等方面的专家组成，成员</w:t>
            </w:r>
            <w:r>
              <w:rPr>
                <w:rFonts w:ascii="Arial" w:hAnsi="Arial" w:cs="Arial"/>
                <w:color w:val="auto"/>
                <w:szCs w:val="21"/>
                <w:highlight w:val="none"/>
              </w:rPr>
              <w:t>为5人及以上单数，其中技术、经济类专家不得少于总人数的2/3</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落实政府采购</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支持中小企业、</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监狱企业及残疾人福利性单位</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发展政策</w:t>
            </w:r>
          </w:p>
        </w:tc>
        <w:tc>
          <w:tcPr>
            <w:tcW w:w="6638"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预留份额专门面向中小企业采购项目</w:t>
            </w:r>
          </w:p>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非专门面向中小企业采购项目。对小型和微型企业服务报价给予10%～20%的扣除，用扣除后的价格参与评审。</w:t>
            </w:r>
          </w:p>
          <w:p>
            <w:pPr>
              <w:spacing w:line="360" w:lineRule="auto"/>
              <w:rPr>
                <w:color w:val="auto"/>
                <w:highlight w:val="none"/>
              </w:rPr>
            </w:pPr>
            <w:r>
              <w:rPr>
                <w:rFonts w:hint="eastAsia"/>
                <w:color w:val="auto"/>
                <w:highlight w:val="none"/>
              </w:rPr>
              <w:t>本项目的扣除比例为：小型、微型企业均扣除</w:t>
            </w:r>
            <w:r>
              <w:rPr>
                <w:rFonts w:hint="eastAsia"/>
                <w:color w:val="auto"/>
                <w:highlight w:val="none"/>
                <w:u w:val="single"/>
              </w:rPr>
              <w:t xml:space="preserve">_10 </w:t>
            </w:r>
            <w:r>
              <w:rPr>
                <w:rFonts w:hint="eastAsia"/>
                <w:color w:val="auto"/>
                <w:highlight w:val="none"/>
              </w:rPr>
              <w:t>%</w:t>
            </w:r>
          </w:p>
          <w:p>
            <w:pPr>
              <w:spacing w:line="360" w:lineRule="auto"/>
              <w:rPr>
                <w:color w:val="auto"/>
                <w:highlight w:val="none"/>
              </w:rPr>
            </w:pPr>
            <w:r>
              <w:rPr>
                <w:rFonts w:hint="eastAsia"/>
                <w:color w:val="auto"/>
                <w:highlight w:val="none"/>
              </w:rPr>
              <w:t>监狱企业、残疾人福利性单位视同小型、微型企业，享受价格扣除。</w:t>
            </w:r>
          </w:p>
          <w:p>
            <w:pPr>
              <w:spacing w:line="360" w:lineRule="auto"/>
              <w:rPr>
                <w:color w:val="auto"/>
                <w:highlight w:val="none"/>
              </w:rPr>
            </w:pPr>
            <w:r>
              <w:rPr>
                <w:rFonts w:hint="eastAsia"/>
                <w:color w:val="auto"/>
                <w:highlight w:val="none"/>
              </w:rPr>
              <w:t>残疾人福利性单位属于小型、微型企业的，不重复享受政策。</w:t>
            </w:r>
          </w:p>
          <w:p>
            <w:pPr>
              <w:spacing w:line="360" w:lineRule="auto"/>
              <w:rPr>
                <w:rFonts w:ascii="宋体" w:hAnsi="宋体" w:cs="宋体"/>
                <w:color w:val="auto"/>
                <w:szCs w:val="21"/>
                <w:highlight w:val="none"/>
              </w:rPr>
            </w:pPr>
            <w:r>
              <w:rPr>
                <w:rFonts w:hint="eastAsia" w:hAnsi="宋体" w:cs="宋体"/>
                <w:color w:val="auto"/>
                <w:szCs w:val="21"/>
                <w:highlight w:val="none"/>
              </w:rPr>
              <w:t>本项目所属行业:其他未列明行业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信用记录</w:t>
            </w:r>
          </w:p>
        </w:tc>
        <w:tc>
          <w:tcPr>
            <w:tcW w:w="6638"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1、供应商信用信息查询的查询渠道：</w:t>
            </w:r>
          </w:p>
          <w:p>
            <w:pPr>
              <w:spacing w:line="360" w:lineRule="auto"/>
              <w:rPr>
                <w:rFonts w:ascii="Arial" w:hAnsi="Arial" w:cs="Arial"/>
                <w:color w:val="auto"/>
                <w:szCs w:val="21"/>
                <w:highlight w:val="none"/>
              </w:rPr>
            </w:pPr>
            <w:r>
              <w:rPr>
                <w:rFonts w:ascii="Arial" w:hAnsi="Arial" w:cs="Arial"/>
                <w:color w:val="auto"/>
                <w:szCs w:val="21"/>
                <w:highlight w:val="none"/>
              </w:rPr>
              <w:t>“信用中国”(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Arial" w:hAnsi="Arial" w:cs="Arial"/>
                <w:color w:val="auto"/>
                <w:szCs w:val="21"/>
                <w:highlight w:val="none"/>
              </w:rPr>
              <w:t>www.creditchina.gov.cn</w:t>
            </w:r>
            <w:r>
              <w:rPr>
                <w:rFonts w:ascii="Arial" w:hAnsi="Arial" w:cs="Arial"/>
                <w:color w:val="auto"/>
                <w:szCs w:val="21"/>
                <w:highlight w:val="none"/>
              </w:rPr>
              <w:fldChar w:fldCharType="end"/>
            </w:r>
            <w:r>
              <w:rPr>
                <w:rFonts w:ascii="Arial" w:hAnsi="Arial" w:cs="Arial"/>
                <w:color w:val="auto"/>
                <w:szCs w:val="21"/>
                <w:highlight w:val="none"/>
              </w:rPr>
              <w:t>)；</w:t>
            </w:r>
          </w:p>
          <w:p>
            <w:pPr>
              <w:spacing w:line="360" w:lineRule="auto"/>
              <w:rPr>
                <w:rFonts w:ascii="Arial" w:hAnsi="Arial" w:cs="Arial"/>
                <w:color w:val="auto"/>
                <w:szCs w:val="21"/>
                <w:highlight w:val="none"/>
              </w:rPr>
            </w:pPr>
            <w:r>
              <w:rPr>
                <w:rFonts w:ascii="Arial" w:hAnsi="Arial" w:cs="Arial"/>
                <w:color w:val="auto"/>
                <w:szCs w:val="21"/>
                <w:highlight w:val="none"/>
              </w:rPr>
              <w:t>“中国政府采购网”（http：//www.ccgp.gov.cn/）；</w:t>
            </w:r>
          </w:p>
          <w:p>
            <w:pPr>
              <w:spacing w:line="360" w:lineRule="auto"/>
              <w:rPr>
                <w:rFonts w:ascii="Arial" w:hAnsi="Arial" w:cs="Arial"/>
                <w:color w:val="auto"/>
                <w:szCs w:val="21"/>
                <w:highlight w:val="none"/>
              </w:rPr>
            </w:pPr>
            <w:r>
              <w:rPr>
                <w:rFonts w:ascii="Arial" w:hAnsi="Arial" w:cs="Arial"/>
                <w:color w:val="auto"/>
                <w:szCs w:val="21"/>
                <w:highlight w:val="none"/>
              </w:rPr>
              <w:t>“</w:t>
            </w:r>
            <w:r>
              <w:rPr>
                <w:rFonts w:ascii="Arial" w:hAnsi="Arial" w:cs="Arial"/>
                <w:color w:val="auto"/>
                <w:szCs w:val="21"/>
                <w:highlight w:val="none"/>
                <w:lang w:val="zh-CN"/>
              </w:rPr>
              <w:t>浙江政府采购网</w:t>
            </w:r>
            <w:r>
              <w:rPr>
                <w:rFonts w:ascii="Arial" w:hAnsi="Arial" w:cs="Arial"/>
                <w:color w:val="auto"/>
                <w:szCs w:val="21"/>
                <w:highlight w:val="non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Arial" w:hAnsi="Arial" w:cs="Arial"/>
                <w:color w:val="auto"/>
                <w:szCs w:val="21"/>
                <w:highlight w:val="none"/>
              </w:rPr>
              <w:t>http://zfcg.czt.zj.gov.cn/</w:t>
            </w:r>
            <w:r>
              <w:rPr>
                <w:rFonts w:ascii="Arial" w:hAnsi="Arial" w:cs="Arial"/>
                <w:color w:val="auto"/>
                <w:szCs w:val="21"/>
                <w:highlight w:val="none"/>
              </w:rPr>
              <w:fldChar w:fldCharType="end"/>
            </w:r>
            <w:r>
              <w:rPr>
                <w:rFonts w:ascii="Arial" w:hAnsi="Arial" w:cs="Arial"/>
                <w:color w:val="auto"/>
                <w:szCs w:val="21"/>
                <w:highlight w:val="none"/>
              </w:rPr>
              <w:t>）</w:t>
            </w:r>
          </w:p>
          <w:p>
            <w:pPr>
              <w:spacing w:line="360" w:lineRule="auto"/>
              <w:rPr>
                <w:rFonts w:ascii="Arial" w:hAnsi="Arial" w:cs="Arial"/>
                <w:color w:val="auto"/>
                <w:szCs w:val="21"/>
                <w:highlight w:val="none"/>
              </w:rPr>
            </w:pPr>
            <w:r>
              <w:rPr>
                <w:rFonts w:ascii="Arial" w:hAnsi="Arial" w:cs="Arial"/>
                <w:color w:val="auto"/>
                <w:szCs w:val="21"/>
                <w:highlight w:val="none"/>
              </w:rPr>
              <w:t>国家企业信用信息公示系统（www.gsxt.gov.cn）</w:t>
            </w:r>
          </w:p>
          <w:p>
            <w:pPr>
              <w:spacing w:line="360" w:lineRule="auto"/>
              <w:rPr>
                <w:rFonts w:ascii="Arial" w:hAnsi="Arial" w:cs="Arial"/>
                <w:color w:val="auto"/>
                <w:szCs w:val="21"/>
                <w:highlight w:val="none"/>
              </w:rPr>
            </w:pPr>
            <w:r>
              <w:rPr>
                <w:rFonts w:ascii="Arial" w:hAnsi="Arial" w:cs="Arial"/>
                <w:color w:val="auto"/>
                <w:szCs w:val="21"/>
                <w:highlight w:val="none"/>
              </w:rPr>
              <w:t>2、供应商信用信息查询截止时点：本项目投标截止时间。</w:t>
            </w:r>
          </w:p>
          <w:p>
            <w:pPr>
              <w:spacing w:line="360" w:lineRule="auto"/>
              <w:rPr>
                <w:rFonts w:ascii="Arial" w:hAnsi="Arial" w:cs="Arial"/>
                <w:color w:val="auto"/>
                <w:spacing w:val="-6"/>
                <w:szCs w:val="21"/>
                <w:highlight w:val="none"/>
              </w:rPr>
            </w:pPr>
            <w:r>
              <w:rPr>
                <w:rFonts w:ascii="Arial" w:hAnsi="Arial" w:cs="Arial"/>
                <w:color w:val="auto"/>
                <w:spacing w:val="-6"/>
                <w:szCs w:val="21"/>
                <w:highlight w:val="none"/>
              </w:rPr>
              <w:t>3、供应商信用信息查询记录和证据留存的具体方式：网页截图打印；</w:t>
            </w:r>
          </w:p>
          <w:p>
            <w:pPr>
              <w:spacing w:line="360" w:lineRule="auto"/>
              <w:rPr>
                <w:rFonts w:ascii="Arial" w:hAnsi="Arial" w:cs="Arial"/>
                <w:color w:val="auto"/>
                <w:szCs w:val="21"/>
                <w:highlight w:val="none"/>
              </w:rPr>
            </w:pPr>
            <w:r>
              <w:rPr>
                <w:rFonts w:ascii="Arial" w:hAnsi="Arial" w:cs="Arial"/>
                <w:color w:val="auto"/>
                <w:szCs w:val="21"/>
                <w:highlight w:val="none"/>
              </w:rPr>
              <w:t>4、信用信息的使用规则：供应商存在不良信用记录的，其投标将被作为无效投标被拒绝。</w:t>
            </w:r>
          </w:p>
          <w:p>
            <w:pPr>
              <w:spacing w:line="360" w:lineRule="auto"/>
              <w:rPr>
                <w:rFonts w:ascii="宋体" w:hAnsi="宋体" w:cs="宋体"/>
                <w:color w:val="auto"/>
                <w:szCs w:val="21"/>
                <w:highlight w:val="none"/>
              </w:rPr>
            </w:pPr>
            <w:r>
              <w:rPr>
                <w:rFonts w:ascii="Arial" w:hAnsi="Arial" w:cs="Arial"/>
                <w:color w:val="auto"/>
                <w:highlight w:val="none"/>
              </w:rPr>
              <w:t>不良信用记录指：“信用中国”被列入失信被执行人、重大税收违法案件当事人名单或存在 《中华人民共和国政府采购法实施条例》第十九条规定的行政处罚记录；中国政府采购网被列入政府采购严重违法失信行为记录名单；浙江政府采购网曝光台中尚在行政处罚期内的；</w:t>
            </w:r>
            <w:r>
              <w:rPr>
                <w:rFonts w:ascii="Arial" w:hAnsi="Arial" w:cs="Arial"/>
                <w:color w:val="auto"/>
                <w:szCs w:val="21"/>
                <w:highlight w:val="none"/>
              </w:rPr>
              <w:t>国家企业信用信息公示系统（www.gsxt.gov.cn）被列入严重违法失信企业名单（黑名单）信息（含行政处罚信息）等内容的供应商。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5"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合同授予前的</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最终审查</w:t>
            </w:r>
          </w:p>
        </w:tc>
        <w:tc>
          <w:tcPr>
            <w:tcW w:w="6638"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评标结束后，采购人将对投标供应商进行最终审查。最终审查的主要内容是：</w:t>
            </w:r>
          </w:p>
          <w:p>
            <w:pPr>
              <w:numPr>
                <w:ilvl w:val="0"/>
                <w:numId w:val="5"/>
              </w:numPr>
              <w:spacing w:line="360" w:lineRule="auto"/>
              <w:ind w:left="525" w:leftChars="50" w:hanging="420" w:hangingChars="200"/>
              <w:rPr>
                <w:rFonts w:ascii="宋体" w:hAnsi="宋体" w:cs="宋体"/>
                <w:color w:val="auto"/>
                <w:szCs w:val="21"/>
                <w:highlight w:val="none"/>
              </w:rPr>
            </w:pPr>
            <w:r>
              <w:rPr>
                <w:rFonts w:hint="eastAsia" w:ascii="宋体" w:hAnsi="宋体" w:cs="宋体"/>
                <w:color w:val="auto"/>
                <w:szCs w:val="21"/>
                <w:highlight w:val="none"/>
              </w:rPr>
              <w:t>投标供应商的资质、业务能力、信誉以往政府采购活动中的业绩和表现；</w:t>
            </w:r>
          </w:p>
          <w:p>
            <w:pPr>
              <w:numPr>
                <w:ilvl w:val="0"/>
                <w:numId w:val="5"/>
              </w:numPr>
              <w:spacing w:line="360" w:lineRule="auto"/>
              <w:ind w:left="525" w:leftChars="50" w:hanging="420" w:hangingChars="200"/>
              <w:rPr>
                <w:rFonts w:ascii="宋体" w:hAnsi="宋体" w:cs="宋体"/>
                <w:color w:val="auto"/>
                <w:szCs w:val="21"/>
                <w:highlight w:val="none"/>
              </w:rPr>
            </w:pPr>
            <w:r>
              <w:rPr>
                <w:rFonts w:hint="eastAsia" w:ascii="宋体" w:hAnsi="宋体" w:cs="宋体"/>
                <w:color w:val="auto"/>
                <w:szCs w:val="21"/>
                <w:highlight w:val="none"/>
              </w:rPr>
              <w:t>投标供应商履行合同的能力；</w:t>
            </w:r>
          </w:p>
          <w:p>
            <w:pPr>
              <w:numPr>
                <w:ilvl w:val="0"/>
                <w:numId w:val="5"/>
              </w:numPr>
              <w:spacing w:line="360" w:lineRule="auto"/>
              <w:ind w:left="525" w:leftChars="50" w:hanging="420" w:hangingChars="200"/>
              <w:rPr>
                <w:rFonts w:ascii="宋体" w:hAnsi="宋体" w:cs="宋体"/>
                <w:color w:val="auto"/>
                <w:szCs w:val="21"/>
                <w:highlight w:val="none"/>
              </w:rPr>
            </w:pPr>
            <w:r>
              <w:rPr>
                <w:rFonts w:hint="eastAsia" w:ascii="宋体" w:hAnsi="宋体" w:cs="宋体"/>
                <w:color w:val="auto"/>
                <w:szCs w:val="21"/>
                <w:highlight w:val="none"/>
              </w:rPr>
              <w:t>是否已经加入“浙江省政府采购供应商库”；</w:t>
            </w:r>
          </w:p>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（4）是否有行贿犯罪记录：行贿犯罪记录且处罚日期（以法院判决书为准）在投标截止时间前3年内的单位不得参加投标，否则取消中标候选人资格。行贿犯罪记录以检察机关查询结果为准。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1"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诚信履约管理</w:t>
            </w:r>
          </w:p>
        </w:tc>
        <w:tc>
          <w:tcPr>
            <w:tcW w:w="6638"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合同签订后，采购人依法加强对合同履约进行管理，并在中标单位供货、服务项目验收等重要关节，如实填写《诚信评价反馈表》（表附合同条款中），及时向公共资源交易中心报备。建立中标供应商诚信履约评价制度，结果纳入诚信档案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32"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181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638"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采购单位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39"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1812"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合同管理</w:t>
            </w:r>
          </w:p>
        </w:tc>
        <w:tc>
          <w:tcPr>
            <w:tcW w:w="6638" w:type="dxa"/>
            <w:vAlign w:val="center"/>
          </w:tcPr>
          <w:p>
            <w:pPr>
              <w:spacing w:line="360" w:lineRule="auto"/>
              <w:rPr>
                <w:rFonts w:ascii="宋体" w:hAnsi="宋体" w:cs="宋体"/>
                <w:bCs/>
                <w:i/>
                <w:color w:val="auto"/>
                <w:szCs w:val="21"/>
                <w:highlight w:val="none"/>
              </w:rPr>
            </w:pPr>
            <w:r>
              <w:rPr>
                <w:rFonts w:ascii="Arial" w:hAnsi="Arial" w:cs="Arial"/>
                <w:color w:val="auto"/>
                <w:szCs w:val="21"/>
                <w:highlight w:val="none"/>
              </w:rPr>
              <w:t>采购人应当自政府采购合同签订之日起2个工作日内，将政府采购合同在省级及以上人民政府财政部门指定的媒体上公告。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5" w:hRule="atLeast"/>
          <w:jc w:val="center"/>
        </w:trPr>
        <w:tc>
          <w:tcPr>
            <w:tcW w:w="6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1812"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 注</w:t>
            </w:r>
          </w:p>
        </w:tc>
        <w:tc>
          <w:tcPr>
            <w:tcW w:w="6638" w:type="dxa"/>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根据《浙江省政府采购供应商注册登记和诚信管理暂行办法》，成交的供应商，必须事先申请加入“浙江省政府采购供应商库”； 请供应商登入“浙江政府采购网”进行登记注册。</w:t>
            </w:r>
          </w:p>
        </w:tc>
      </w:tr>
    </w:tbl>
    <w:p>
      <w:pPr>
        <w:pStyle w:val="4"/>
        <w:spacing w:before="0" w:after="0" w:line="360" w:lineRule="auto"/>
        <w:jc w:val="center"/>
        <w:rPr>
          <w:rFonts w:ascii="宋体" w:hAnsi="宋体" w:cs="宋体"/>
          <w:color w:val="auto"/>
          <w:sz w:val="24"/>
          <w:szCs w:val="24"/>
          <w:highlight w:val="none"/>
        </w:rPr>
      </w:pPr>
      <w:bookmarkStart w:id="7" w:name="_Toc18398"/>
      <w:bookmarkStart w:id="8" w:name="_Toc27398"/>
    </w:p>
    <w:p>
      <w:pPr>
        <w:pStyle w:val="4"/>
        <w:spacing w:before="0" w:after="0" w:line="360" w:lineRule="auto"/>
        <w:jc w:val="center"/>
        <w:rPr>
          <w:rFonts w:ascii="宋体" w:hAnsi="宋体" w:cs="宋体"/>
          <w:color w:val="auto"/>
          <w:sz w:val="24"/>
          <w:szCs w:val="24"/>
          <w:highlight w:val="none"/>
        </w:rPr>
      </w:pPr>
      <w:bookmarkStart w:id="9" w:name="_Toc12581"/>
      <w:r>
        <w:rPr>
          <w:rFonts w:hint="eastAsia" w:ascii="宋体" w:hAnsi="宋体" w:cs="宋体"/>
          <w:color w:val="auto"/>
          <w:sz w:val="24"/>
          <w:szCs w:val="24"/>
          <w:highlight w:val="none"/>
        </w:rPr>
        <w:t>（二）总   则</w:t>
      </w:r>
      <w:bookmarkEnd w:id="7"/>
      <w:bookmarkEnd w:id="8"/>
      <w:bookmarkEnd w:id="9"/>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说明</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本次招标工作是按照《中华人民共和国政府采购法》、《政府采购货物和服务招标投标管理办法》和浙江省及项目所在地的有关政府采购规定，结合本项目的实际，组织和实施。</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资金来源：财政性资金。</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定义及解释</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招标人：</w:t>
      </w:r>
      <w:r>
        <w:rPr>
          <w:rFonts w:hint="eastAsia" w:ascii="宋体" w:hAnsi="宋体" w:cs="宋体"/>
          <w:color w:val="auto"/>
          <w:szCs w:val="21"/>
          <w:highlight w:val="none"/>
        </w:rPr>
        <w:t>瑞安市综合行政执法局、瑞安市公园管理中心（瑞安市绿化养护管理中心)</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招标代理机构：温州瑞辀工程项目管理有限公司</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招标采购单位：系指组织本次招标的</w:t>
      </w:r>
      <w:r>
        <w:rPr>
          <w:rFonts w:hint="eastAsia" w:ascii="宋体" w:hAnsi="宋体" w:cs="宋体"/>
          <w:color w:val="auto"/>
          <w:szCs w:val="21"/>
          <w:highlight w:val="none"/>
        </w:rPr>
        <w:t>温州瑞辀工程项目管理有限公司</w:t>
      </w:r>
      <w:r>
        <w:rPr>
          <w:rFonts w:hint="eastAsia" w:ascii="宋体" w:hAnsi="宋体" w:cs="宋体"/>
          <w:color w:val="auto"/>
          <w:highlight w:val="none"/>
        </w:rPr>
        <w:t>和采购人</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投标供应商：投标供应商是响应采购、参加投标竞争的依法成立的供应商。</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中标供应商：系指在本次招标中中标的投标供应商。</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日期：指公历日。</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合同：指由采购所产生的合同或合约文件。</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招标文件中的标题或题名仅起引导作用，而不应视为对招标文件内容的理解和解释。</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“书面形式”是指任何手写的、打印的或印刷的文件，包括电报和传真发送。</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合格的投标供应商</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符合《中华人民共和国政府采购法》第二十二条规定；</w:t>
      </w:r>
    </w:p>
    <w:p>
      <w:pPr>
        <w:numPr>
          <w:ilvl w:val="0"/>
          <w:numId w:val="7"/>
        </w:numPr>
        <w:spacing w:line="360" w:lineRule="auto"/>
        <w:ind w:left="851"/>
        <w:jc w:val="both"/>
        <w:rPr>
          <w:rFonts w:ascii="宋体" w:hAnsi="宋体" w:cs="宋体"/>
          <w:color w:val="auto"/>
          <w:highlight w:val="none"/>
        </w:rPr>
      </w:pPr>
      <w:r>
        <w:rPr>
          <w:rFonts w:hint="eastAsia" w:ascii="宋体" w:hAnsi="宋体" w:cs="宋体"/>
          <w:color w:val="auto"/>
          <w:highlight w:val="none"/>
        </w:rPr>
        <w:t>未被“信用中国”（www.creditchina.gov.cn）、中国政府采购网（www.ccgp.gov.cn）、浙江政府采购网（zfcg.czt.zj.gov.cn/）列入失信被执行人、重大税收违法案件当事人名单、政府采购严重违法失信行为记录名单；</w:t>
      </w:r>
    </w:p>
    <w:p>
      <w:pPr>
        <w:numPr>
          <w:ilvl w:val="0"/>
          <w:numId w:val="7"/>
        </w:numPr>
        <w:spacing w:line="360" w:lineRule="auto"/>
        <w:ind w:left="851"/>
        <w:jc w:val="both"/>
        <w:rPr>
          <w:rFonts w:ascii="宋体" w:hAnsi="宋体" w:cs="宋体"/>
          <w:color w:val="auto"/>
          <w:szCs w:val="22"/>
          <w:highlight w:val="none"/>
        </w:rPr>
      </w:pPr>
      <w:r>
        <w:rPr>
          <w:rFonts w:hint="eastAsia" w:ascii="宋体" w:hAnsi="宋体" w:cs="宋体"/>
          <w:color w:val="auto"/>
          <w:szCs w:val="22"/>
          <w:highlight w:val="none"/>
        </w:rPr>
        <w:t>本项目的特定资格要求：具有有效的《劳务派遣经营许可证》；</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信用记录</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信用信息查询的截止时点：投标截止时间。</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查询渠道：“信用中国”（www.creditchina.gov.cn）、“中国政府采购网”（www.ccgp.gov.cn）、“浙江政府采购网（zfcg.czt.zj.gov.cn）。</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投标人存在不良信用记录的，其投标将被作为无效投标而被拒绝。</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不良信用记录指：“信用中国”被列入失信被执行人、重大税收违法案件当事人名单或存在 《中华人民共和国政府采购法实施条例》第十九条规定的重大违法记录；中国政府采购网被列入政府采购严重违法失信行为记录名单；浙江政府采购网曝光台中尚在行政处罚期内的。</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查询记录网页截图（招标公告发布之日至投标截止时间前）。</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联合体投标：本项目不接受。</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保密与披露事项</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投标供应商不得串通，以不正当的手段妨碍排挤其他投标供应商，扰乱市场，破坏公平竞争原则。</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投标供应商自购买招标文件之日起，须承诺承担本招标项目下保密义务，不得将因本次招标获得的信息向第三方外传。</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招标代理机构有权将投标供应商提供的所有资料向其他政府部门或有关的非政府机构负责评审标书的人员或与评标有关的人员披露。</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招标代理机构有权在认为适当时，或在任何第三者提出要求（书面或其他方式）时，无须事先征求中标供应商同意而披露关于已订立合约的资料、中标供应商的名称及地址、中标服务的有关信息以及合约条款等。</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投标费用</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投标供应商应承担所有与编写和提交投标文件有关的费用，不论投标的结果如何，招标代理机构和采购人在任何情况下均无义务和责任承担这些费用 。</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踏勘现场：</w:t>
      </w:r>
      <w:r>
        <w:rPr>
          <w:rFonts w:hint="eastAsia" w:ascii="宋体" w:hAnsi="宋体" w:cs="宋体"/>
          <w:color w:val="auto"/>
          <w:szCs w:val="21"/>
          <w:highlight w:val="none"/>
        </w:rPr>
        <w:t>本项目不组织。</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备选投标方案：</w:t>
      </w:r>
      <w:r>
        <w:rPr>
          <w:rFonts w:hint="eastAsia" w:ascii="宋体" w:hAnsi="宋体" w:cs="宋体"/>
          <w:color w:val="auto"/>
          <w:szCs w:val="21"/>
          <w:highlight w:val="none"/>
        </w:rPr>
        <w:t>不允许。</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投标委托</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如投标供应商代表不是法定代表人，须持有《法定代表人授权委托书》，授权委托书需具备以下几项条件，否则其投标无效：</w:t>
      </w:r>
    </w:p>
    <w:p>
      <w:pPr>
        <w:spacing w:line="360" w:lineRule="auto"/>
        <w:ind w:left="840" w:leftChars="400"/>
        <w:rPr>
          <w:rFonts w:ascii="宋体" w:hAnsi="宋体" w:cs="宋体"/>
          <w:color w:val="auto"/>
          <w:highlight w:val="none"/>
        </w:rPr>
      </w:pPr>
      <w:r>
        <w:rPr>
          <w:rFonts w:hint="eastAsia" w:ascii="宋体" w:hAnsi="宋体" w:cs="宋体"/>
          <w:color w:val="auto"/>
          <w:highlight w:val="none"/>
        </w:rPr>
        <w:t>a.加盖单位公章</w:t>
      </w:r>
    </w:p>
    <w:p>
      <w:pPr>
        <w:spacing w:line="360" w:lineRule="auto"/>
        <w:ind w:left="840" w:leftChars="400"/>
        <w:rPr>
          <w:rFonts w:ascii="宋体" w:hAnsi="宋体" w:cs="宋体"/>
          <w:color w:val="auto"/>
          <w:highlight w:val="none"/>
        </w:rPr>
      </w:pPr>
      <w:r>
        <w:rPr>
          <w:rFonts w:hint="eastAsia" w:ascii="宋体" w:hAnsi="宋体" w:cs="宋体"/>
          <w:color w:val="auto"/>
          <w:highlight w:val="none"/>
        </w:rPr>
        <w:t>b.法定代表人签字或印章</w:t>
      </w:r>
    </w:p>
    <w:p>
      <w:pPr>
        <w:spacing w:line="360" w:lineRule="auto"/>
        <w:ind w:left="840" w:leftChars="400"/>
        <w:rPr>
          <w:rFonts w:ascii="宋体" w:hAnsi="宋体" w:cs="宋体"/>
          <w:color w:val="auto"/>
          <w:highlight w:val="none"/>
        </w:rPr>
      </w:pPr>
      <w:r>
        <w:rPr>
          <w:rFonts w:hint="eastAsia" w:ascii="宋体" w:hAnsi="宋体" w:cs="宋体"/>
          <w:color w:val="auto"/>
          <w:highlight w:val="none"/>
        </w:rPr>
        <w:t xml:space="preserve">c.本人有效身份证(复印件) </w:t>
      </w:r>
    </w:p>
    <w:p>
      <w:pPr>
        <w:pStyle w:val="4"/>
        <w:spacing w:before="0" w:after="0" w:line="360" w:lineRule="auto"/>
        <w:jc w:val="center"/>
        <w:rPr>
          <w:rFonts w:ascii="宋体" w:hAnsi="宋体" w:cs="宋体"/>
          <w:color w:val="auto"/>
          <w:sz w:val="24"/>
          <w:szCs w:val="24"/>
          <w:highlight w:val="none"/>
        </w:rPr>
      </w:pPr>
      <w:bookmarkStart w:id="10" w:name="_Toc25459"/>
      <w:bookmarkStart w:id="11" w:name="_Toc10836"/>
      <w:bookmarkStart w:id="12" w:name="_Toc2070"/>
      <w:r>
        <w:rPr>
          <w:rFonts w:hint="eastAsia" w:ascii="宋体" w:hAnsi="宋体" w:cs="宋体"/>
          <w:color w:val="auto"/>
          <w:sz w:val="24"/>
          <w:szCs w:val="24"/>
          <w:highlight w:val="none"/>
        </w:rPr>
        <w:t>（三）招标文件说明</w:t>
      </w:r>
      <w:bookmarkEnd w:id="10"/>
      <w:bookmarkEnd w:id="11"/>
      <w:bookmarkEnd w:id="12"/>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招标文件构成</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招标文件是用以阐明所需货物、服务，以及招标、投标程序和相应的合同条款。“招标文件”由下述部分组成：</w:t>
      </w:r>
    </w:p>
    <w:p>
      <w:pPr>
        <w:spacing w:line="360" w:lineRule="auto"/>
        <w:ind w:left="851"/>
        <w:jc w:val="both"/>
        <w:rPr>
          <w:rFonts w:ascii="宋体" w:hAnsi="宋体" w:cs="宋体"/>
          <w:color w:val="auto"/>
          <w:highlight w:val="none"/>
        </w:rPr>
      </w:pPr>
      <w:r>
        <w:rPr>
          <w:rFonts w:hint="eastAsia" w:ascii="宋体" w:hAnsi="宋体" w:cs="宋体"/>
          <w:color w:val="auto"/>
          <w:highlight w:val="none"/>
        </w:rPr>
        <w:t>第一部分  招标公告</w:t>
      </w:r>
    </w:p>
    <w:p>
      <w:pPr>
        <w:spacing w:line="360" w:lineRule="auto"/>
        <w:ind w:left="851"/>
        <w:jc w:val="both"/>
        <w:rPr>
          <w:rFonts w:ascii="宋体" w:hAnsi="宋体" w:cs="宋体"/>
          <w:color w:val="auto"/>
          <w:highlight w:val="none"/>
        </w:rPr>
      </w:pPr>
      <w:r>
        <w:rPr>
          <w:rFonts w:hint="eastAsia" w:ascii="宋体" w:hAnsi="宋体" w:cs="宋体"/>
          <w:color w:val="auto"/>
          <w:highlight w:val="none"/>
        </w:rPr>
        <w:t>第二部分  投标供应商须知</w:t>
      </w:r>
    </w:p>
    <w:p>
      <w:pPr>
        <w:spacing w:line="360" w:lineRule="auto"/>
        <w:ind w:left="851"/>
        <w:jc w:val="both"/>
        <w:rPr>
          <w:rFonts w:ascii="宋体" w:hAnsi="宋体" w:cs="宋体"/>
          <w:color w:val="auto"/>
          <w:highlight w:val="none"/>
        </w:rPr>
      </w:pPr>
      <w:r>
        <w:rPr>
          <w:rFonts w:hint="eastAsia" w:ascii="宋体" w:hAnsi="宋体" w:cs="宋体"/>
          <w:color w:val="auto"/>
          <w:highlight w:val="none"/>
        </w:rPr>
        <w:t>第三部分  招标内容及要求</w:t>
      </w:r>
    </w:p>
    <w:p>
      <w:pPr>
        <w:spacing w:line="360" w:lineRule="auto"/>
        <w:ind w:left="851"/>
        <w:jc w:val="both"/>
        <w:rPr>
          <w:rFonts w:ascii="宋体" w:hAnsi="宋体" w:cs="宋体"/>
          <w:color w:val="auto"/>
          <w:highlight w:val="none"/>
        </w:rPr>
      </w:pPr>
      <w:r>
        <w:rPr>
          <w:rFonts w:hint="eastAsia" w:ascii="宋体" w:hAnsi="宋体" w:cs="宋体"/>
          <w:color w:val="auto"/>
          <w:highlight w:val="none"/>
        </w:rPr>
        <w:t>第四部分 小、微企业（含监狱企业）扶持政策说明</w:t>
      </w:r>
    </w:p>
    <w:p>
      <w:pPr>
        <w:spacing w:line="360" w:lineRule="auto"/>
        <w:ind w:left="851"/>
        <w:jc w:val="both"/>
        <w:rPr>
          <w:rFonts w:ascii="宋体" w:hAnsi="宋体" w:cs="宋体"/>
          <w:color w:val="auto"/>
          <w:highlight w:val="none"/>
        </w:rPr>
      </w:pPr>
      <w:r>
        <w:rPr>
          <w:rFonts w:hint="eastAsia" w:ascii="宋体" w:hAnsi="宋体" w:cs="宋体"/>
          <w:color w:val="auto"/>
          <w:highlight w:val="none"/>
        </w:rPr>
        <w:t>第五部分  合同主要条款</w:t>
      </w:r>
    </w:p>
    <w:p>
      <w:pPr>
        <w:spacing w:line="360" w:lineRule="auto"/>
        <w:ind w:left="851"/>
        <w:jc w:val="both"/>
        <w:rPr>
          <w:rFonts w:ascii="宋体" w:hAnsi="宋体" w:cs="宋体"/>
          <w:color w:val="auto"/>
          <w:highlight w:val="none"/>
        </w:rPr>
      </w:pPr>
      <w:r>
        <w:rPr>
          <w:rFonts w:hint="eastAsia" w:ascii="宋体" w:hAnsi="宋体" w:cs="宋体"/>
          <w:color w:val="auto"/>
          <w:highlight w:val="none"/>
        </w:rPr>
        <w:t>第六部分  投标文件格式</w:t>
      </w:r>
    </w:p>
    <w:p>
      <w:pPr>
        <w:spacing w:line="360" w:lineRule="auto"/>
        <w:ind w:left="851"/>
        <w:jc w:val="both"/>
        <w:rPr>
          <w:rFonts w:ascii="宋体" w:hAnsi="宋体" w:cs="宋体"/>
          <w:color w:val="auto"/>
          <w:highlight w:val="none"/>
        </w:rPr>
      </w:pPr>
      <w:r>
        <w:rPr>
          <w:rFonts w:hint="eastAsia" w:ascii="宋体" w:hAnsi="宋体" w:cs="宋体"/>
          <w:color w:val="auto"/>
          <w:highlight w:val="none"/>
        </w:rPr>
        <w:t>第七部分  评标办法</w:t>
      </w:r>
    </w:p>
    <w:p>
      <w:pPr>
        <w:spacing w:line="360" w:lineRule="auto"/>
        <w:ind w:left="851"/>
        <w:jc w:val="both"/>
        <w:rPr>
          <w:rFonts w:ascii="宋体" w:hAnsi="宋体" w:cs="宋体"/>
          <w:color w:val="auto"/>
          <w:highlight w:val="none"/>
        </w:rPr>
      </w:pPr>
      <w:r>
        <w:rPr>
          <w:rFonts w:hint="eastAsia" w:ascii="宋体" w:hAnsi="宋体" w:cs="宋体"/>
          <w:color w:val="auto"/>
          <w:highlight w:val="none"/>
        </w:rPr>
        <w:t>第八部分  政府采购信用融资政策</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投标供应商应详细阅读招标文件的全部内容。如果投标供应商没有按照招标文件要求提交全部资料或者投标书没有对招标文件在各方面的要求都做出实质性响应，是投标供应商的风险。</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本招标文件要求投标供应商作出实质性响应的有关技术和商务条款，将在该条款前以“▲”醒目标识。</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招标文件的澄清</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任何要求对招标文件进行澄清的投标供应商，均应在答疑截止期规定时间以前以书面形式传真或寄送给采购代理机构，采购代理机构对答疑截止期规定时间以前收到的任何澄清要求将以在“浙江政府采购网”、“瑞安市公共资源交易网”发布公告或传真等类似的形式通知已领取招标文件的所有投标供应商，答复中包括原提出的问题，但不包括问题的来源。</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招标代理机构将视情况确定是否有必要召开标前会，如果召开时会将标前会的通知（包括时间和地点）发给所有投标供应商。</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招标文件的修改</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在投标截止时间前，招标代理机构无论是出于何种原因，均可对招标文件用补充文件的方式进行修改。</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对招标文件的修改，将以在“浙江政府采购网”、“瑞安市公共资源交易网”发布公告的形式通知已领取招标文件的每一投标供应商。</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为使投标供应商有足够的时间按招标文件的修改要求修正投标文件，招标代理机构可酌情推迟投标的截止日期和开标日期，并将具体变更情况通知上述每一投标供应商。</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补充文件将作为招标文件的组成部分，对所有投标供应商有约束力。</w:t>
      </w:r>
    </w:p>
    <w:p>
      <w:pPr>
        <w:pStyle w:val="4"/>
        <w:spacing w:before="0" w:after="0" w:line="360" w:lineRule="auto"/>
        <w:ind w:firstLine="3542" w:firstLineChars="1470"/>
        <w:rPr>
          <w:rFonts w:ascii="宋体" w:hAnsi="宋体" w:cs="宋体"/>
          <w:color w:val="auto"/>
          <w:sz w:val="24"/>
          <w:szCs w:val="24"/>
          <w:highlight w:val="none"/>
        </w:rPr>
      </w:pPr>
      <w:bookmarkStart w:id="13" w:name="_Toc14710"/>
      <w:bookmarkStart w:id="14" w:name="_Toc8023"/>
      <w:bookmarkStart w:id="15" w:name="_Toc21480"/>
      <w:r>
        <w:rPr>
          <w:rFonts w:hint="eastAsia" w:ascii="宋体" w:hAnsi="宋体" w:cs="宋体"/>
          <w:color w:val="auto"/>
          <w:sz w:val="24"/>
          <w:szCs w:val="24"/>
          <w:highlight w:val="none"/>
        </w:rPr>
        <w:t>（四）投标文件的编制</w:t>
      </w:r>
      <w:bookmarkEnd w:id="13"/>
      <w:bookmarkEnd w:id="14"/>
      <w:bookmarkEnd w:id="15"/>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投标文件的说明</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投标文件应字迹清楚、内容齐全、不得涂改。如有修改，修改处须有法定代表人或其同一授权代表签章。</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必须按招标文件的要求提供相关技术参数、资料，包括采用的计量单位，并保证投标文件的正确性和真实性，否则评标委员会将作出不利于其投标的评定。技术和商务如有偏离均应填写偏离表。不按招标文件的要求提供的投标文件可能导致无效。</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投标文件的的形式和效力</w:t>
      </w:r>
    </w:p>
    <w:p>
      <w:pPr>
        <w:numPr>
          <w:ilvl w:val="1"/>
          <w:numId w:val="6"/>
        </w:numPr>
        <w:spacing w:line="360" w:lineRule="auto"/>
        <w:jc w:val="both"/>
        <w:rPr>
          <w:rFonts w:ascii="Arial" w:hAnsi="Arial" w:cs="Arial"/>
          <w:color w:val="auto"/>
          <w:szCs w:val="22"/>
          <w:highlight w:val="none"/>
        </w:rPr>
      </w:pPr>
      <w:r>
        <w:rPr>
          <w:rFonts w:ascii="Arial" w:hAnsi="Arial" w:cs="Arial"/>
          <w:color w:val="auto"/>
          <w:szCs w:val="22"/>
          <w:highlight w:val="none"/>
        </w:rPr>
        <w:t>投标文件为电子投标文件，电子投标文件按“政采云供应商项目采购-电子招投标操作指南”及本招标文件要求制作、加密传输。</w:t>
      </w:r>
    </w:p>
    <w:p>
      <w:pPr>
        <w:numPr>
          <w:ilvl w:val="1"/>
          <w:numId w:val="6"/>
        </w:numPr>
        <w:spacing w:line="360" w:lineRule="auto"/>
        <w:jc w:val="both"/>
        <w:rPr>
          <w:rFonts w:ascii="Arial" w:hAnsi="Arial" w:cs="Arial"/>
          <w:color w:val="auto"/>
          <w:highlight w:val="none"/>
        </w:rPr>
      </w:pPr>
      <w:r>
        <w:rPr>
          <w:rFonts w:ascii="Arial" w:hAnsi="Arial" w:cs="Arial"/>
          <w:color w:val="auto"/>
          <w:szCs w:val="22"/>
          <w:highlight w:val="none"/>
        </w:rPr>
        <w:t>电子投标文件未在投标截止时间前完成传输的，视为未按时递交投标文件；投标文件未按时解密，视为投标文件撤回。电子投标文件</w:t>
      </w:r>
      <w:r>
        <w:rPr>
          <w:rFonts w:hint="eastAsia" w:ascii="Arial" w:hAnsi="Arial" w:cs="Arial"/>
          <w:color w:val="auto"/>
          <w:szCs w:val="22"/>
          <w:highlight w:val="none"/>
        </w:rPr>
        <w:t>解密失败</w:t>
      </w:r>
      <w:r>
        <w:rPr>
          <w:rFonts w:ascii="Arial" w:hAnsi="Arial" w:cs="Arial"/>
          <w:color w:val="auto"/>
          <w:szCs w:val="22"/>
          <w:highlight w:val="none"/>
        </w:rPr>
        <w:t>，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r>
        <w:rPr>
          <w:rFonts w:hint="eastAsia" w:ascii="Arial" w:hAnsi="Arial" w:cs="Arial"/>
          <w:color w:val="auto"/>
          <w:szCs w:val="22"/>
          <w:highlight w:val="none"/>
        </w:rPr>
        <w:t>，投标无效。</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投标文件的组成</w:t>
      </w:r>
    </w:p>
    <w:p>
      <w:pPr>
        <w:numPr>
          <w:ilvl w:val="1"/>
          <w:numId w:val="6"/>
        </w:numPr>
        <w:spacing w:line="360" w:lineRule="auto"/>
        <w:jc w:val="both"/>
        <w:rPr>
          <w:rFonts w:ascii="Arial" w:hAnsi="Arial"/>
          <w:color w:val="auto"/>
          <w:highlight w:val="none"/>
        </w:rPr>
      </w:pPr>
      <w:r>
        <w:rPr>
          <w:rFonts w:hint="eastAsia"/>
          <w:color w:val="auto"/>
          <w:highlight w:val="none"/>
        </w:rPr>
        <w:t>投标文件由“资格文件”“商务技术文件”和“报价文件”三部分构成：</w:t>
      </w:r>
    </w:p>
    <w:p>
      <w:pPr>
        <w:pStyle w:val="33"/>
        <w:ind w:firstLine="0" w:firstLineChars="0"/>
        <w:rPr>
          <w:rFonts w:ascii="Arial" w:hAnsi="Arial"/>
          <w:b/>
          <w:color w:val="auto"/>
          <w:sz w:val="21"/>
          <w:highlight w:val="none"/>
        </w:rPr>
      </w:pPr>
      <w:r>
        <w:rPr>
          <w:rFonts w:hint="eastAsia" w:ascii="Arial" w:hAnsi="Arial"/>
          <w:b/>
          <w:color w:val="auto"/>
          <w:sz w:val="21"/>
          <w:highlight w:val="none"/>
        </w:rPr>
        <w:t>一、资格文件：</w:t>
      </w:r>
    </w:p>
    <w:tbl>
      <w:tblPr>
        <w:tblStyle w:val="25"/>
        <w:tblW w:w="8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overflowPunct w:val="0"/>
              <w:spacing w:line="360" w:lineRule="auto"/>
              <w:ind w:firstLine="105" w:firstLineChars="50"/>
              <w:rPr>
                <w:rFonts w:ascii="宋体" w:hAnsi="宋体"/>
                <w:b/>
                <w:color w:val="auto"/>
                <w:szCs w:val="21"/>
                <w:highlight w:val="none"/>
              </w:rPr>
            </w:pPr>
            <w:r>
              <w:rPr>
                <w:rFonts w:hint="eastAsia" w:ascii="宋体" w:hAnsi="宋体"/>
                <w:b/>
                <w:color w:val="auto"/>
                <w:szCs w:val="21"/>
                <w:highlight w:val="none"/>
              </w:rPr>
              <w:t>序号</w:t>
            </w:r>
          </w:p>
        </w:tc>
        <w:tc>
          <w:tcPr>
            <w:tcW w:w="7030" w:type="dxa"/>
          </w:tcPr>
          <w:p>
            <w:pPr>
              <w:overflowPunct w:val="0"/>
              <w:spacing w:line="360" w:lineRule="auto"/>
              <w:jc w:val="center"/>
              <w:rPr>
                <w:rFonts w:ascii="宋体" w:hAnsi="宋体"/>
                <w:b/>
                <w:color w:val="auto"/>
                <w:szCs w:val="21"/>
                <w:highlight w:val="none"/>
              </w:rPr>
            </w:pPr>
            <w:r>
              <w:rPr>
                <w:rFonts w:hint="eastAsia" w:ascii="宋体" w:hAnsi="宋体"/>
                <w:b/>
                <w:color w:val="auto"/>
                <w:szCs w:val="21"/>
                <w:highlight w:val="none"/>
              </w:rPr>
              <w:t>内容</w:t>
            </w:r>
          </w:p>
        </w:tc>
        <w:tc>
          <w:tcPr>
            <w:tcW w:w="900" w:type="dxa"/>
          </w:tcPr>
          <w:p>
            <w:pPr>
              <w:tabs>
                <w:tab w:val="center" w:pos="1534"/>
              </w:tabs>
              <w:overflowPunct w:val="0"/>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Arial" w:hAnsi="Arial" w:cs="Arial"/>
                <w:color w:val="auto"/>
                <w:highlight w:val="none"/>
              </w:rPr>
            </w:pPr>
            <w:r>
              <w:rPr>
                <w:rFonts w:hint="eastAsia" w:ascii="Arial" w:hAnsi="Arial" w:cs="Arial"/>
                <w:color w:val="auto"/>
                <w:highlight w:val="none"/>
              </w:rPr>
              <w:t>1</w:t>
            </w:r>
          </w:p>
        </w:tc>
        <w:tc>
          <w:tcPr>
            <w:tcW w:w="7030" w:type="dxa"/>
          </w:tcPr>
          <w:p>
            <w:pPr>
              <w:overflowPunct w:val="0"/>
              <w:spacing w:line="360" w:lineRule="auto"/>
              <w:rPr>
                <w:rFonts w:ascii="宋体" w:hAnsi="宋体"/>
                <w:color w:val="auto"/>
                <w:szCs w:val="21"/>
                <w:highlight w:val="none"/>
              </w:rPr>
            </w:pPr>
            <w:r>
              <w:rPr>
                <w:rFonts w:hint="eastAsia" w:ascii="宋体" w:hAnsi="宋体"/>
                <w:color w:val="auto"/>
                <w:szCs w:val="21"/>
                <w:highlight w:val="none"/>
              </w:rPr>
              <w:t>关于符合《中华人民共和国政府采购法》第二十二条规定条件的承诺函；</w:t>
            </w:r>
          </w:p>
        </w:tc>
        <w:tc>
          <w:tcPr>
            <w:tcW w:w="900" w:type="dxa"/>
          </w:tcPr>
          <w:p>
            <w:pPr>
              <w:overflowPunct w:val="0"/>
              <w:spacing w:line="360" w:lineRule="auto"/>
              <w:rPr>
                <w:rFonts w:ascii="宋体" w:hAnsi="宋体"/>
                <w:color w:val="auto"/>
                <w:szCs w:val="21"/>
                <w:highlight w:val="none"/>
              </w:rPr>
            </w:pPr>
            <w:r>
              <w:rPr>
                <w:rFonts w:hint="eastAsia" w:ascii="宋体" w:hAnsi="宋体"/>
                <w:color w:val="auto"/>
                <w:szCs w:val="21"/>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Arial" w:hAnsi="Arial" w:cs="Arial"/>
                <w:color w:val="auto"/>
                <w:highlight w:val="none"/>
              </w:rPr>
            </w:pPr>
            <w:r>
              <w:rPr>
                <w:rFonts w:hint="eastAsia" w:ascii="Arial" w:hAnsi="Arial" w:cs="Arial"/>
                <w:color w:val="auto"/>
                <w:highlight w:val="none"/>
              </w:rPr>
              <w:t>2</w:t>
            </w:r>
          </w:p>
        </w:tc>
        <w:tc>
          <w:tcPr>
            <w:tcW w:w="7030" w:type="dxa"/>
          </w:tcPr>
          <w:p>
            <w:pPr>
              <w:overflowPunct w:val="0"/>
              <w:spacing w:line="360" w:lineRule="auto"/>
              <w:rPr>
                <w:rFonts w:ascii="宋体" w:hAnsi="宋体"/>
                <w:color w:val="auto"/>
                <w:szCs w:val="21"/>
                <w:highlight w:val="none"/>
              </w:rPr>
            </w:pPr>
            <w:r>
              <w:rPr>
                <w:rFonts w:hint="eastAsia" w:ascii="宋体" w:hAnsi="宋体"/>
                <w:color w:val="auto"/>
                <w:szCs w:val="21"/>
                <w:highlight w:val="none"/>
              </w:rPr>
              <w:t>未被“信用中国”（www.creditchina.gov.cn）、中国政府采购网（www.ccgp.gov.cn）、浙江政府采购网（www.zjzfcg.gov.cn/）列入失信被执行人、重大税收违法案件当事人名单、政府采购严重违法失信行为记录名单查询记录网页截图（招标公告发布之日至投标截止时间前）。</w:t>
            </w:r>
          </w:p>
        </w:tc>
        <w:tc>
          <w:tcPr>
            <w:tcW w:w="900" w:type="dxa"/>
          </w:tcPr>
          <w:p>
            <w:pPr>
              <w:overflowPunct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Arial" w:hAnsi="Arial" w:cs="Arial"/>
                <w:color w:val="auto"/>
                <w:highlight w:val="none"/>
              </w:rPr>
            </w:pPr>
            <w:r>
              <w:rPr>
                <w:rFonts w:hint="eastAsia" w:ascii="Arial" w:hAnsi="Arial" w:cs="Arial"/>
                <w:color w:val="auto"/>
                <w:highlight w:val="none"/>
              </w:rPr>
              <w:t>3</w:t>
            </w:r>
          </w:p>
        </w:tc>
        <w:tc>
          <w:tcPr>
            <w:tcW w:w="7030" w:type="dxa"/>
          </w:tcPr>
          <w:p>
            <w:pPr>
              <w:overflowPunct w:val="0"/>
              <w:spacing w:line="360" w:lineRule="auto"/>
              <w:rPr>
                <w:rFonts w:ascii="宋体" w:hAnsi="宋体"/>
                <w:color w:val="auto"/>
                <w:szCs w:val="21"/>
                <w:highlight w:val="none"/>
              </w:rPr>
            </w:pPr>
            <w:r>
              <w:rPr>
                <w:rFonts w:hint="eastAsia" w:ascii="宋体" w:hAnsi="宋体" w:cs="宋体"/>
                <w:color w:val="auto"/>
                <w:szCs w:val="21"/>
                <w:highlight w:val="none"/>
              </w:rPr>
              <w:t>具有有效的《劳务派遣经营许可证》；</w:t>
            </w:r>
          </w:p>
        </w:tc>
        <w:tc>
          <w:tcPr>
            <w:tcW w:w="900" w:type="dxa"/>
          </w:tcPr>
          <w:p>
            <w:pPr>
              <w:overflowPunct w:val="0"/>
              <w:spacing w:line="360" w:lineRule="auto"/>
              <w:rPr>
                <w:rFonts w:ascii="宋体" w:hAnsi="宋体"/>
                <w:color w:val="auto"/>
                <w:szCs w:val="21"/>
                <w:highlight w:val="none"/>
              </w:rPr>
            </w:pPr>
          </w:p>
        </w:tc>
      </w:tr>
    </w:tbl>
    <w:p>
      <w:pPr>
        <w:pStyle w:val="33"/>
        <w:ind w:firstLine="0" w:firstLineChars="0"/>
        <w:rPr>
          <w:rFonts w:ascii="Arial" w:hAnsi="Arial"/>
          <w:b/>
          <w:color w:val="auto"/>
          <w:sz w:val="21"/>
          <w:highlight w:val="none"/>
        </w:rPr>
      </w:pPr>
      <w:r>
        <w:rPr>
          <w:rFonts w:hint="eastAsia" w:ascii="Arial" w:hAnsi="Arial"/>
          <w:b/>
          <w:color w:val="auto"/>
          <w:sz w:val="21"/>
          <w:highlight w:val="none"/>
        </w:rPr>
        <w:t>二、商务技术文件</w:t>
      </w:r>
    </w:p>
    <w:tbl>
      <w:tblPr>
        <w:tblStyle w:val="2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ind w:firstLine="105" w:firstLineChars="50"/>
              <w:rPr>
                <w:rFonts w:ascii="宋体" w:hAnsi="宋体"/>
                <w:b/>
                <w:color w:val="auto"/>
                <w:szCs w:val="21"/>
                <w:highlight w:val="none"/>
              </w:rPr>
            </w:pPr>
            <w:r>
              <w:rPr>
                <w:rFonts w:hint="eastAsia" w:ascii="宋体" w:hAnsi="宋体"/>
                <w:b/>
                <w:color w:val="auto"/>
                <w:szCs w:val="21"/>
                <w:highlight w:val="none"/>
              </w:rPr>
              <w:t>序号</w:t>
            </w:r>
          </w:p>
        </w:tc>
        <w:tc>
          <w:tcPr>
            <w:tcW w:w="7007"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ind w:firstLine="105" w:firstLineChars="50"/>
              <w:jc w:val="center"/>
              <w:rPr>
                <w:rFonts w:ascii="宋体" w:hAnsi="宋体"/>
                <w:b/>
                <w:color w:val="auto"/>
                <w:szCs w:val="21"/>
                <w:highlight w:val="none"/>
              </w:rPr>
            </w:pPr>
            <w:r>
              <w:rPr>
                <w:rFonts w:hint="eastAsia" w:ascii="宋体" w:hAnsi="宋体"/>
                <w:b/>
                <w:color w:val="auto"/>
                <w:szCs w:val="21"/>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ind w:firstLine="105" w:firstLineChars="50"/>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1</w:t>
            </w:r>
          </w:p>
        </w:tc>
        <w:tc>
          <w:tcPr>
            <w:tcW w:w="7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投标函</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2</w:t>
            </w:r>
          </w:p>
        </w:tc>
        <w:tc>
          <w:tcPr>
            <w:tcW w:w="7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法定代表人授权书</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3</w:t>
            </w:r>
          </w:p>
        </w:tc>
        <w:tc>
          <w:tcPr>
            <w:tcW w:w="7007" w:type="dxa"/>
            <w:tcBorders>
              <w:top w:val="single" w:color="auto" w:sz="4" w:space="0"/>
              <w:left w:val="single" w:color="auto" w:sz="4" w:space="0"/>
              <w:bottom w:val="single" w:color="auto" w:sz="4" w:space="0"/>
              <w:right w:val="single" w:color="auto" w:sz="4" w:space="0"/>
            </w:tcBorders>
            <w:vAlign w:val="center"/>
          </w:tcPr>
          <w:p>
            <w:pPr>
              <w:tabs>
                <w:tab w:val="left" w:pos="780"/>
                <w:tab w:val="left" w:pos="5355"/>
              </w:tabs>
              <w:spacing w:line="360" w:lineRule="auto"/>
              <w:rPr>
                <w:rFonts w:ascii="Arial" w:hAnsi="Arial" w:cs="Arial"/>
                <w:color w:val="auto"/>
                <w:highlight w:val="none"/>
              </w:rPr>
            </w:pPr>
            <w:r>
              <w:rPr>
                <w:rFonts w:hint="eastAsia" w:ascii="Arial" w:hAnsi="Arial" w:cs="Arial"/>
                <w:color w:val="auto"/>
                <w:highlight w:val="none"/>
              </w:rPr>
              <w:t>法定代表人身份证明</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4</w:t>
            </w:r>
          </w:p>
        </w:tc>
        <w:tc>
          <w:tcPr>
            <w:tcW w:w="7007" w:type="dxa"/>
            <w:tcBorders>
              <w:top w:val="single" w:color="auto" w:sz="4" w:space="0"/>
              <w:left w:val="single" w:color="auto" w:sz="4" w:space="0"/>
              <w:bottom w:val="single" w:color="auto" w:sz="4" w:space="0"/>
              <w:right w:val="single" w:color="auto" w:sz="4" w:space="0"/>
            </w:tcBorders>
            <w:vAlign w:val="center"/>
          </w:tcPr>
          <w:p>
            <w:pPr>
              <w:tabs>
                <w:tab w:val="left" w:pos="780"/>
                <w:tab w:val="left" w:pos="5355"/>
              </w:tabs>
              <w:spacing w:line="360" w:lineRule="auto"/>
              <w:rPr>
                <w:rFonts w:ascii="Arial" w:hAnsi="Arial" w:cs="Arial"/>
                <w:color w:val="auto"/>
                <w:highlight w:val="none"/>
              </w:rPr>
            </w:pPr>
            <w:r>
              <w:rPr>
                <w:rFonts w:hint="eastAsia" w:ascii="Arial" w:hAnsi="Arial" w:cs="Arial"/>
                <w:color w:val="auto"/>
                <w:highlight w:val="none"/>
              </w:rPr>
              <w:t>资格、资质证明文件</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5</w:t>
            </w:r>
          </w:p>
        </w:tc>
        <w:tc>
          <w:tcPr>
            <w:tcW w:w="7007" w:type="dxa"/>
            <w:tcBorders>
              <w:top w:val="single" w:color="auto" w:sz="4" w:space="0"/>
              <w:left w:val="single" w:color="auto" w:sz="4" w:space="0"/>
              <w:bottom w:val="single" w:color="auto" w:sz="4" w:space="0"/>
              <w:right w:val="single" w:color="auto" w:sz="4" w:space="0"/>
            </w:tcBorders>
            <w:vAlign w:val="center"/>
          </w:tcPr>
          <w:p>
            <w:pPr>
              <w:tabs>
                <w:tab w:val="left" w:pos="780"/>
                <w:tab w:val="left" w:pos="5355"/>
              </w:tabs>
              <w:spacing w:line="360" w:lineRule="auto"/>
              <w:rPr>
                <w:rFonts w:ascii="Arial" w:hAnsi="Arial" w:cs="Arial"/>
                <w:color w:val="auto"/>
                <w:highlight w:val="none"/>
              </w:rPr>
            </w:pPr>
            <w:r>
              <w:rPr>
                <w:rFonts w:hint="eastAsia" w:ascii="Arial" w:hAnsi="Arial" w:cs="Arial"/>
                <w:color w:val="auto"/>
                <w:highlight w:val="none"/>
              </w:rPr>
              <w:t>建议与少量偏离表</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6</w:t>
            </w:r>
          </w:p>
        </w:tc>
        <w:tc>
          <w:tcPr>
            <w:tcW w:w="7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宋体" w:hAnsi="宋体" w:cs="宋体"/>
                <w:color w:val="auto"/>
                <w:szCs w:val="21"/>
                <w:highlight w:val="none"/>
              </w:rPr>
              <w:t>▲</w:t>
            </w:r>
            <w:r>
              <w:rPr>
                <w:rFonts w:hint="eastAsia" w:ascii="宋体" w:hAnsi="宋体" w:cs="宋体"/>
                <w:bCs/>
                <w:color w:val="auto"/>
                <w:highlight w:val="none"/>
              </w:rPr>
              <w:t>参加政府采购活动前3年内在经营活动中有/无重大违法记录（包括行贿犯罪记录）的书面声明</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7</w:t>
            </w:r>
          </w:p>
        </w:tc>
        <w:tc>
          <w:tcPr>
            <w:tcW w:w="7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投标供应商在2020年1月1日以来同类项目业绩一览表</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8</w:t>
            </w:r>
          </w:p>
        </w:tc>
        <w:tc>
          <w:tcPr>
            <w:tcW w:w="7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项目负责人简历表</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9</w:t>
            </w:r>
          </w:p>
        </w:tc>
        <w:tc>
          <w:tcPr>
            <w:tcW w:w="70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宋体" w:hAnsi="宋体" w:cs="宋体"/>
                <w:color w:val="auto"/>
                <w:highlight w:val="none"/>
              </w:rPr>
              <w:t>拟投入本项目管理人员配备情况表</w:t>
            </w:r>
            <w:r>
              <w:rPr>
                <w:rFonts w:hint="eastAsia" w:ascii="宋体" w:hAnsi="宋体" w:cs="宋体"/>
                <w:color w:val="auto"/>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10</w:t>
            </w:r>
          </w:p>
        </w:tc>
        <w:tc>
          <w:tcPr>
            <w:tcW w:w="7007" w:type="dxa"/>
            <w:tcBorders>
              <w:top w:val="single" w:color="auto" w:sz="4" w:space="0"/>
              <w:left w:val="single" w:color="auto" w:sz="4" w:space="0"/>
              <w:bottom w:val="single" w:color="auto" w:sz="4" w:space="0"/>
              <w:right w:val="single" w:color="auto" w:sz="4" w:space="0"/>
            </w:tcBorders>
          </w:tcPr>
          <w:p>
            <w:pPr>
              <w:spacing w:line="360" w:lineRule="auto"/>
              <w:rPr>
                <w:color w:val="auto"/>
                <w:highlight w:val="none"/>
              </w:rPr>
            </w:pPr>
            <w:r>
              <w:rPr>
                <w:rFonts w:hint="eastAsia" w:ascii="宋体" w:hAnsi="宋体" w:cs="宋体"/>
                <w:color w:val="auto"/>
                <w:highlight w:val="none"/>
              </w:rPr>
              <w:t>日常管理组织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宋体" w:hAnsi="宋体" w:cs="宋体"/>
                <w:color w:val="auto"/>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11</w:t>
            </w:r>
          </w:p>
        </w:tc>
        <w:tc>
          <w:tcPr>
            <w:tcW w:w="7007" w:type="dxa"/>
            <w:tcBorders>
              <w:top w:val="single" w:color="auto" w:sz="4" w:space="0"/>
              <w:left w:val="single" w:color="auto" w:sz="4" w:space="0"/>
              <w:bottom w:val="single" w:color="auto" w:sz="4" w:space="0"/>
              <w:right w:val="single" w:color="auto" w:sz="4" w:space="0"/>
            </w:tcBorders>
          </w:tcPr>
          <w:p>
            <w:pPr>
              <w:spacing w:line="360" w:lineRule="auto"/>
              <w:rPr>
                <w:color w:val="auto"/>
                <w:highlight w:val="none"/>
              </w:rPr>
            </w:pPr>
            <w:r>
              <w:rPr>
                <w:rFonts w:hint="eastAsia" w:ascii="宋体" w:hAnsi="宋体" w:cs="宋体"/>
                <w:color w:val="auto"/>
                <w:highlight w:val="none"/>
              </w:rPr>
              <w:t>具体实施方案、服务承诺及各项管理应急措施</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szCs w:val="22"/>
                <w:highlight w:val="none"/>
              </w:rPr>
            </w:pPr>
            <w:r>
              <w:rPr>
                <w:rFonts w:hint="eastAsia" w:ascii="宋体" w:hAnsi="宋体" w:cs="宋体"/>
                <w:color w:val="auto"/>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12</w:t>
            </w:r>
          </w:p>
        </w:tc>
        <w:tc>
          <w:tcPr>
            <w:tcW w:w="70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Arial" w:hAnsi="Arial" w:cs="Arial"/>
                <w:color w:val="auto"/>
                <w:highlight w:val="none"/>
              </w:rPr>
            </w:pPr>
            <w:r>
              <w:rPr>
                <w:rFonts w:hint="eastAsia" w:ascii="Arial" w:hAnsi="Arial" w:cs="Arial"/>
                <w:color w:val="auto"/>
                <w:highlight w:val="none"/>
              </w:rPr>
              <w:t>根据评标办法提供相应资料</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color w:val="auto"/>
                <w:highlight w:val="none"/>
              </w:rPr>
            </w:pPr>
            <w:r>
              <w:rPr>
                <w:rFonts w:hint="eastAsia" w:ascii="Arial" w:hAnsi="Arial" w:cs="Arial"/>
                <w:color w:val="auto"/>
                <w:highlight w:val="none"/>
              </w:rPr>
              <w:t>13</w:t>
            </w:r>
          </w:p>
        </w:tc>
        <w:tc>
          <w:tcPr>
            <w:tcW w:w="70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color w:val="auto"/>
                <w:highlight w:val="none"/>
              </w:rPr>
            </w:pPr>
            <w:r>
              <w:rPr>
                <w:rFonts w:hint="eastAsia" w:ascii="宋体" w:hAnsi="宋体" w:cs="宋体"/>
                <w:bCs/>
                <w:color w:val="auto"/>
                <w:highlight w:val="none"/>
              </w:rPr>
              <w:t>投标供应商认为需要提供的文件和资料</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highlight w:val="none"/>
              </w:rPr>
            </w:pPr>
            <w:r>
              <w:rPr>
                <w:rFonts w:hint="eastAsia" w:ascii="Arial" w:hAnsi="Arial" w:cs="Arial"/>
                <w:color w:val="auto"/>
                <w:highlight w:val="none"/>
              </w:rPr>
              <w:t>格式自拟</w:t>
            </w:r>
          </w:p>
        </w:tc>
      </w:tr>
    </w:tbl>
    <w:p>
      <w:pPr>
        <w:pStyle w:val="33"/>
        <w:ind w:firstLine="0" w:firstLineChars="0"/>
        <w:rPr>
          <w:rFonts w:ascii="Arial" w:hAnsi="Arial"/>
          <w:b/>
          <w:color w:val="auto"/>
          <w:sz w:val="21"/>
          <w:highlight w:val="none"/>
        </w:rPr>
      </w:pPr>
      <w:r>
        <w:rPr>
          <w:rFonts w:hint="eastAsia" w:ascii="Arial" w:hAnsi="Arial"/>
          <w:b/>
          <w:color w:val="auto"/>
          <w:sz w:val="21"/>
          <w:highlight w:val="none"/>
        </w:rPr>
        <w:t>三、报价文件</w:t>
      </w:r>
    </w:p>
    <w:tbl>
      <w:tblPr>
        <w:tblStyle w:val="25"/>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09"/>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overflowPunct w:val="0"/>
              <w:spacing w:line="360" w:lineRule="auto"/>
              <w:ind w:firstLine="105" w:firstLineChars="50"/>
              <w:rPr>
                <w:rFonts w:ascii="宋体" w:hAnsi="宋体"/>
                <w:b/>
                <w:color w:val="auto"/>
                <w:szCs w:val="21"/>
                <w:highlight w:val="none"/>
              </w:rPr>
            </w:pPr>
            <w:r>
              <w:rPr>
                <w:rFonts w:hint="eastAsia" w:ascii="宋体" w:hAnsi="宋体"/>
                <w:b/>
                <w:color w:val="auto"/>
                <w:szCs w:val="21"/>
                <w:highlight w:val="none"/>
              </w:rPr>
              <w:t>序号</w:t>
            </w:r>
          </w:p>
        </w:tc>
        <w:tc>
          <w:tcPr>
            <w:tcW w:w="7009" w:type="dxa"/>
            <w:vAlign w:val="center"/>
          </w:tcPr>
          <w:p>
            <w:pPr>
              <w:overflowPunct w:val="0"/>
              <w:spacing w:line="360" w:lineRule="auto"/>
              <w:ind w:firstLine="105" w:firstLineChars="50"/>
              <w:jc w:val="center"/>
              <w:rPr>
                <w:rFonts w:ascii="宋体" w:hAnsi="宋体"/>
                <w:b/>
                <w:color w:val="auto"/>
                <w:szCs w:val="21"/>
                <w:highlight w:val="none"/>
              </w:rPr>
            </w:pPr>
            <w:r>
              <w:rPr>
                <w:rFonts w:hint="eastAsia" w:ascii="宋体" w:hAnsi="宋体"/>
                <w:b/>
                <w:color w:val="auto"/>
                <w:szCs w:val="21"/>
                <w:highlight w:val="none"/>
              </w:rPr>
              <w:t>内容</w:t>
            </w:r>
          </w:p>
        </w:tc>
        <w:tc>
          <w:tcPr>
            <w:tcW w:w="1075" w:type="dxa"/>
            <w:vAlign w:val="center"/>
          </w:tcPr>
          <w:p>
            <w:pPr>
              <w:overflowPunct w:val="0"/>
              <w:spacing w:line="360" w:lineRule="auto"/>
              <w:ind w:firstLine="105" w:firstLineChars="50"/>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7" w:type="dxa"/>
            <w:vAlign w:val="center"/>
          </w:tcPr>
          <w:p>
            <w:pPr>
              <w:spacing w:line="360" w:lineRule="auto"/>
              <w:jc w:val="center"/>
              <w:rPr>
                <w:rFonts w:ascii="楷体" w:hAnsi="楷体" w:eastAsia="楷体" w:cs="楷体"/>
                <w:color w:val="auto"/>
                <w:szCs w:val="21"/>
                <w:highlight w:val="none"/>
              </w:rPr>
            </w:pPr>
            <w:r>
              <w:rPr>
                <w:rFonts w:hint="eastAsia" w:ascii="楷体" w:hAnsi="楷体" w:eastAsia="楷体" w:cs="楷体"/>
                <w:color w:val="auto"/>
                <w:szCs w:val="21"/>
                <w:highlight w:val="none"/>
              </w:rPr>
              <w:t>1</w:t>
            </w:r>
          </w:p>
        </w:tc>
        <w:tc>
          <w:tcPr>
            <w:tcW w:w="7009" w:type="dxa"/>
            <w:vAlign w:val="center"/>
          </w:tcPr>
          <w:p>
            <w:pPr>
              <w:spacing w:line="360" w:lineRule="auto"/>
              <w:rPr>
                <w:rFonts w:ascii="Arial" w:hAnsi="宋体" w:cs="Arial"/>
                <w:color w:val="auto"/>
                <w:highlight w:val="none"/>
              </w:rPr>
            </w:pPr>
            <w:r>
              <w:rPr>
                <w:rFonts w:hint="eastAsia" w:ascii="Arial" w:hAnsi="宋体" w:cs="Arial"/>
                <w:color w:val="auto"/>
                <w:highlight w:val="none"/>
              </w:rPr>
              <w:t>开标一览表</w:t>
            </w:r>
          </w:p>
        </w:tc>
        <w:tc>
          <w:tcPr>
            <w:tcW w:w="1075" w:type="dxa"/>
            <w:vAlign w:val="center"/>
          </w:tcPr>
          <w:p>
            <w:pPr>
              <w:spacing w:line="360" w:lineRule="auto"/>
              <w:rPr>
                <w:rFonts w:ascii="Arial" w:hAnsi="Arial" w:cs="Arial"/>
                <w:color w:val="auto"/>
                <w:highlight w:val="none"/>
              </w:rPr>
            </w:pPr>
            <w:r>
              <w:rPr>
                <w:rFonts w:hint="eastAsia" w:ascii="Arial" w:hAnsi="Arial" w:cs="Arial"/>
                <w:color w:val="auto"/>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auto"/>
              <w:jc w:val="center"/>
              <w:rPr>
                <w:rFonts w:ascii="楷体" w:hAnsi="楷体" w:eastAsia="楷体" w:cs="楷体"/>
                <w:color w:val="auto"/>
                <w:szCs w:val="21"/>
                <w:highlight w:val="none"/>
              </w:rPr>
            </w:pPr>
            <w:r>
              <w:rPr>
                <w:rFonts w:hint="eastAsia" w:ascii="楷体" w:hAnsi="楷体" w:eastAsia="楷体" w:cs="楷体"/>
                <w:color w:val="auto"/>
                <w:szCs w:val="21"/>
                <w:highlight w:val="none"/>
              </w:rPr>
              <w:t>2</w:t>
            </w:r>
          </w:p>
        </w:tc>
        <w:tc>
          <w:tcPr>
            <w:tcW w:w="7009" w:type="dxa"/>
          </w:tcPr>
          <w:p>
            <w:pPr>
              <w:autoSpaceDE w:val="0"/>
              <w:autoSpaceDN w:val="0"/>
              <w:spacing w:line="360" w:lineRule="auto"/>
              <w:textAlignment w:val="bottom"/>
              <w:rPr>
                <w:rFonts w:ascii="Arial" w:hAnsi="宋体" w:cs="Arial"/>
                <w:color w:val="auto"/>
                <w:highlight w:val="none"/>
              </w:rPr>
            </w:pPr>
            <w:r>
              <w:rPr>
                <w:rFonts w:hint="eastAsia" w:ascii="Arial" w:hAnsi="宋体" w:cs="Arial"/>
                <w:color w:val="auto"/>
                <w:highlight w:val="none"/>
              </w:rPr>
              <w:t>中小企业声明函（如有）；（仅小微企业投标时适用）</w:t>
            </w:r>
          </w:p>
        </w:tc>
        <w:tc>
          <w:tcPr>
            <w:tcW w:w="1075" w:type="dxa"/>
            <w:vAlign w:val="center"/>
          </w:tcPr>
          <w:p>
            <w:pPr>
              <w:spacing w:line="360" w:lineRule="auto"/>
              <w:rPr>
                <w:rFonts w:ascii="Arial" w:hAnsi="Arial" w:cs="Arial"/>
                <w:color w:val="auto"/>
                <w:highlight w:val="none"/>
              </w:rPr>
            </w:pPr>
            <w:r>
              <w:rPr>
                <w:rFonts w:hint="eastAsia" w:ascii="Arial" w:hAnsi="Arial" w:cs="Arial"/>
                <w:color w:val="auto"/>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auto"/>
              <w:jc w:val="center"/>
              <w:rPr>
                <w:rFonts w:ascii="楷体" w:hAnsi="楷体" w:eastAsia="楷体" w:cs="楷体"/>
                <w:color w:val="auto"/>
                <w:szCs w:val="21"/>
                <w:highlight w:val="none"/>
              </w:rPr>
            </w:pPr>
            <w:r>
              <w:rPr>
                <w:rFonts w:hint="eastAsia" w:ascii="楷体" w:hAnsi="楷体" w:eastAsia="楷体" w:cs="楷体"/>
                <w:color w:val="auto"/>
                <w:szCs w:val="21"/>
                <w:highlight w:val="none"/>
              </w:rPr>
              <w:t>4</w:t>
            </w:r>
          </w:p>
        </w:tc>
        <w:tc>
          <w:tcPr>
            <w:tcW w:w="7009" w:type="dxa"/>
          </w:tcPr>
          <w:p>
            <w:pPr>
              <w:autoSpaceDE w:val="0"/>
              <w:autoSpaceDN w:val="0"/>
              <w:spacing w:line="360" w:lineRule="auto"/>
              <w:textAlignment w:val="bottom"/>
              <w:rPr>
                <w:rFonts w:ascii="Arial" w:hAnsi="宋体" w:cs="Arial"/>
                <w:color w:val="auto"/>
                <w:highlight w:val="none"/>
              </w:rPr>
            </w:pPr>
            <w:r>
              <w:rPr>
                <w:rFonts w:hint="eastAsia" w:ascii="Arial" w:hAnsi="宋体" w:cs="Arial"/>
                <w:color w:val="auto"/>
                <w:highlight w:val="none"/>
              </w:rPr>
              <w:t>残疾人福利性单位声明函；（仅残疾人福利性单位投标时适用）</w:t>
            </w:r>
          </w:p>
        </w:tc>
        <w:tc>
          <w:tcPr>
            <w:tcW w:w="1075" w:type="dxa"/>
            <w:vAlign w:val="center"/>
          </w:tcPr>
          <w:p>
            <w:pPr>
              <w:spacing w:line="360" w:lineRule="auto"/>
              <w:rPr>
                <w:rFonts w:ascii="Arial" w:hAnsi="Arial" w:cs="Arial"/>
                <w:color w:val="auto"/>
                <w:highlight w:val="none"/>
              </w:rPr>
            </w:pPr>
            <w:r>
              <w:rPr>
                <w:rFonts w:hint="eastAsia" w:ascii="Arial" w:hAnsi="Arial" w:cs="Arial"/>
                <w:color w:val="auto"/>
                <w:highlight w:val="none"/>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auto"/>
              <w:jc w:val="center"/>
              <w:rPr>
                <w:rFonts w:ascii="楷体" w:hAnsi="楷体" w:eastAsia="楷体" w:cs="楷体"/>
                <w:color w:val="auto"/>
                <w:szCs w:val="21"/>
                <w:highlight w:val="none"/>
              </w:rPr>
            </w:pPr>
            <w:r>
              <w:rPr>
                <w:rFonts w:hint="eastAsia" w:ascii="楷体" w:hAnsi="楷体" w:eastAsia="楷体" w:cs="楷体"/>
                <w:color w:val="auto"/>
                <w:szCs w:val="21"/>
                <w:highlight w:val="none"/>
              </w:rPr>
              <w:t>5</w:t>
            </w:r>
          </w:p>
        </w:tc>
        <w:tc>
          <w:tcPr>
            <w:tcW w:w="7009" w:type="dxa"/>
          </w:tcPr>
          <w:p>
            <w:pPr>
              <w:spacing w:line="360" w:lineRule="auto"/>
              <w:jc w:val="both"/>
              <w:rPr>
                <w:rFonts w:ascii="Arial" w:hAnsi="宋体" w:cs="Arial"/>
                <w:color w:val="auto"/>
                <w:highlight w:val="none"/>
              </w:rPr>
            </w:pPr>
            <w:r>
              <w:rPr>
                <w:rFonts w:hint="eastAsia" w:ascii="Arial" w:hAnsi="宋体" w:cs="Arial"/>
                <w:color w:val="auto"/>
                <w:highlight w:val="none"/>
              </w:rPr>
              <w:t>省级以上监狱管理局、戒毒管理局（含新疆生产建设兵团）出具的属于监狱企业的证明文件（仅监狱企业投标时适用）；</w:t>
            </w:r>
          </w:p>
        </w:tc>
        <w:tc>
          <w:tcPr>
            <w:tcW w:w="1075" w:type="dxa"/>
            <w:vAlign w:val="center"/>
          </w:tcPr>
          <w:p>
            <w:pPr>
              <w:spacing w:line="360" w:lineRule="auto"/>
              <w:rPr>
                <w:rFonts w:ascii="楷体" w:hAnsi="楷体" w:eastAsia="楷体" w:cs="楷体"/>
                <w:color w:val="auto"/>
                <w:szCs w:val="21"/>
                <w:highlight w:val="none"/>
              </w:rPr>
            </w:pPr>
          </w:p>
        </w:tc>
      </w:tr>
    </w:tbl>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投标文件格式填写说明</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应在认真阅读招标文件所有内容的基础上，按照招标文件的要求编制完整的投标文件。投标文件应按照招标文件中规定的统一格式填写，严格按照规定的顺序编制目录，混乱的编排导致投标文件被误读或招标代理机构查找不到有效文件是投标供应商的风险。招标文件对投标文件格式有要求的应按格式逐项填写内容，不准有空项；无相应内容可填的项应填写“无”、“未测试”、“没有相应指标”等明确的回答文字。</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投标供应商必须保证投标文件所提供的全部资料真实可靠，并接受招标代理机构对其中任何资料进一步审查的要求。提供虚假证明的投标供应商将被取消政府采购人资格，并在政府采购宣传媒体上予以公告。</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《开标一览表》要求按格式填写、统一规范，不得自行增减内容。</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文件须对招标文件中的内容做出实质性和完整的响应（文中带“▲”标识），否则其投标将被拒绝或投标无效。如果投标书填报的内容资料不详，或没有提供招标文件中所要求的全部资料及数据，将可能会导致评标委员会作出对其不利的判断和分析。</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投标报价</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投标供应商提供的服务价格应该用人民币投标。投标价格应该已经扣除所有商业折扣以及现金折扣。投标报价应包括购买服务所需缴纳的所有税费和一切费用。</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本次采购，只允许有一个报价，并只有一次投标报价，投标供应商应在各自技术和商务占优势的基础上并充分考虑本次采购的重要性，提供对招标代理机构及采购人最优惠的投标报价。</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最低报价不能作为中标的保证。在同一地方，中标供应商应保证投标报价低于其他任何非政府采购价或市场平均的价格，否则可能导致无效标。</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投标有效期</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提交投标文件截止日起90天，投标文件应保持有效。投标有效期比规定期限短的将被视为非响应投标而予以拒绝。</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特殊情况下，招标代理机构可于投标有效期满之前要求投标供应商同意延长有效期，要求与答复均应为书面形式。投标供应商可拒绝。对于同意该要求的投标供应商，既不要求也不允许其修改投标文件，但将要求其相应延长投标有效期。</w:t>
      </w:r>
    </w:p>
    <w:p>
      <w:pPr>
        <w:numPr>
          <w:ilvl w:val="0"/>
          <w:numId w:val="6"/>
        </w:numPr>
        <w:spacing w:line="360" w:lineRule="auto"/>
        <w:jc w:val="both"/>
        <w:rPr>
          <w:rFonts w:ascii="Arial" w:hAnsi="Arial" w:cs="Arial"/>
          <w:b/>
          <w:color w:val="auto"/>
          <w:sz w:val="24"/>
          <w:szCs w:val="22"/>
          <w:highlight w:val="none"/>
        </w:rPr>
      </w:pPr>
      <w:r>
        <w:rPr>
          <w:rFonts w:ascii="Arial" w:hAnsi="Arial" w:cs="Arial"/>
          <w:b/>
          <w:color w:val="auto"/>
          <w:sz w:val="24"/>
          <w:szCs w:val="22"/>
          <w:highlight w:val="none"/>
        </w:rPr>
        <w:t>电子投标文件的式样和签署</w:t>
      </w:r>
    </w:p>
    <w:p>
      <w:pPr>
        <w:numPr>
          <w:ilvl w:val="1"/>
          <w:numId w:val="6"/>
        </w:numPr>
        <w:spacing w:line="360" w:lineRule="auto"/>
        <w:ind w:left="850" w:hanging="850"/>
        <w:jc w:val="both"/>
        <w:rPr>
          <w:rFonts w:ascii="Arial" w:hAnsi="Arial" w:cs="Arial"/>
          <w:color w:val="auto"/>
          <w:szCs w:val="21"/>
          <w:highlight w:val="none"/>
        </w:rPr>
      </w:pPr>
      <w:r>
        <w:rPr>
          <w:rFonts w:ascii="Arial" w:hAnsi="Arial" w:cs="Arial"/>
          <w:color w:val="auto"/>
          <w:szCs w:val="21"/>
          <w:highlight w:val="none"/>
        </w:rPr>
        <w:t>投标供应商应根据《操作指南》及本招标文件规定的格式和顺序编制电子投标文件并进行关联定位。电子投标文件中所须加盖公章部分均采用CA签章。</w:t>
      </w:r>
    </w:p>
    <w:p>
      <w:pPr>
        <w:numPr>
          <w:ilvl w:val="1"/>
          <w:numId w:val="6"/>
        </w:numPr>
        <w:spacing w:line="360" w:lineRule="auto"/>
        <w:ind w:left="850" w:hanging="850"/>
        <w:jc w:val="both"/>
        <w:rPr>
          <w:rFonts w:ascii="Arial" w:hAnsi="Arial" w:cs="Arial"/>
          <w:color w:val="auto"/>
          <w:szCs w:val="21"/>
          <w:highlight w:val="none"/>
        </w:rPr>
      </w:pPr>
      <w:r>
        <w:rPr>
          <w:rFonts w:ascii="Arial" w:hAnsi="Arial" w:cs="Arial"/>
          <w:color w:val="auto"/>
          <w:szCs w:val="21"/>
          <w:highlight w:val="none"/>
        </w:rPr>
        <w:t>投标供应商通过“政采云”平台制作电子投标文件，投标文件制作详见“供应商-政府采购项目电子交易操作指南”。</w:t>
      </w:r>
    </w:p>
    <w:p>
      <w:pPr>
        <w:numPr>
          <w:ilvl w:val="1"/>
          <w:numId w:val="6"/>
        </w:numPr>
        <w:spacing w:line="360" w:lineRule="auto"/>
        <w:ind w:left="850" w:hanging="850"/>
        <w:jc w:val="both"/>
        <w:rPr>
          <w:rFonts w:ascii="Arial" w:hAnsi="Arial" w:cs="Arial"/>
          <w:color w:val="auto"/>
          <w:szCs w:val="22"/>
          <w:highlight w:val="none"/>
        </w:rPr>
      </w:pPr>
      <w:r>
        <w:rPr>
          <w:rFonts w:ascii="Arial" w:hAnsi="Arial" w:cs="Arial"/>
          <w:color w:val="auto"/>
          <w:szCs w:val="22"/>
          <w:highlight w:val="none"/>
        </w:rPr>
        <w:t>电子投标文件，包括“电子加密投标文件（后缀格式为.jmbs）”和“备份投标文件（后缀格式为.bfbs）”，在投标文件编制完成后同时生成。</w:t>
      </w:r>
    </w:p>
    <w:p>
      <w:pPr>
        <w:pStyle w:val="12"/>
        <w:spacing w:after="0" w:line="360" w:lineRule="auto"/>
        <w:ind w:left="840" w:leftChars="400"/>
        <w:rPr>
          <w:rFonts w:ascii="Arial" w:hAnsi="Arial" w:cs="Arial"/>
          <w:color w:val="auto"/>
          <w:szCs w:val="22"/>
          <w:highlight w:val="none"/>
        </w:rPr>
      </w:pPr>
      <w:r>
        <w:rPr>
          <w:rFonts w:ascii="Arial" w:hAnsi="Arial" w:cs="Arial"/>
          <w:color w:val="auto"/>
          <w:szCs w:val="22"/>
          <w:highlight w:val="none"/>
        </w:rPr>
        <w:t>（1）“电子加密投标文件”是指通过“政采云电子交易客户端”完成投标文件编制后生成并加密的数据电文形式的投标文件。</w:t>
      </w:r>
    </w:p>
    <w:p>
      <w:pPr>
        <w:pStyle w:val="12"/>
        <w:spacing w:after="0" w:line="360" w:lineRule="auto"/>
        <w:ind w:left="840" w:leftChars="400"/>
        <w:rPr>
          <w:rFonts w:ascii="Arial" w:hAnsi="Arial" w:cs="Arial"/>
          <w:color w:val="auto"/>
          <w:szCs w:val="22"/>
          <w:highlight w:val="none"/>
        </w:rPr>
      </w:pPr>
      <w:r>
        <w:rPr>
          <w:rFonts w:ascii="Arial" w:hAnsi="Arial" w:cs="Arial"/>
          <w:color w:val="auto"/>
          <w:szCs w:val="22"/>
          <w:highlight w:val="none"/>
        </w:rPr>
        <w:t>（2）“备份投标文件”是指与“电子加密投标文件”同时生成的数据电文形式的电子文件（备份标书，用于供应商标书解密异常时应急使用），其他方式编制的备份投标文件视为无效备份投标文件。</w:t>
      </w:r>
    </w:p>
    <w:p>
      <w:pPr>
        <w:pStyle w:val="12"/>
        <w:spacing w:after="0" w:line="360" w:lineRule="auto"/>
        <w:ind w:left="840" w:leftChars="400"/>
        <w:rPr>
          <w:rFonts w:ascii="Arial" w:hAnsi="Arial" w:cs="Arial"/>
          <w:color w:val="auto"/>
          <w:szCs w:val="22"/>
          <w:highlight w:val="none"/>
        </w:rPr>
      </w:pPr>
      <w:r>
        <w:rPr>
          <w:rFonts w:ascii="Arial" w:hAnsi="Arial" w:cs="Arial"/>
          <w:color w:val="auto"/>
          <w:szCs w:val="22"/>
          <w:highlight w:val="none"/>
        </w:rPr>
        <w:t>（</w:t>
      </w:r>
      <w:r>
        <w:rPr>
          <w:rFonts w:hint="eastAsia" w:ascii="Arial" w:hAnsi="Arial" w:cs="Arial"/>
          <w:color w:val="auto"/>
          <w:szCs w:val="22"/>
          <w:highlight w:val="none"/>
        </w:rPr>
        <w:t>3</w:t>
      </w:r>
      <w:r>
        <w:rPr>
          <w:rFonts w:ascii="Arial" w:hAnsi="Arial" w:cs="Arial"/>
          <w:color w:val="auto"/>
          <w:szCs w:val="22"/>
          <w:highlight w:val="none"/>
        </w:rPr>
        <w:t>）每份电子投标文件应包括</w:t>
      </w:r>
      <w:r>
        <w:rPr>
          <w:rFonts w:hint="eastAsia" w:ascii="Arial" w:hAnsi="Arial" w:cs="Arial"/>
          <w:color w:val="auto"/>
          <w:szCs w:val="22"/>
          <w:highlight w:val="none"/>
        </w:rPr>
        <w:t>资格文件、商务技术文件、报价</w:t>
      </w:r>
      <w:r>
        <w:rPr>
          <w:rFonts w:ascii="Arial" w:hAnsi="Arial" w:cs="Arial"/>
          <w:color w:val="auto"/>
          <w:szCs w:val="22"/>
          <w:highlight w:val="none"/>
        </w:rPr>
        <w:t>文件</w:t>
      </w:r>
      <w:r>
        <w:rPr>
          <w:rFonts w:hint="eastAsia" w:ascii="Arial" w:hAnsi="Arial" w:cs="Arial"/>
          <w:color w:val="auto"/>
          <w:szCs w:val="22"/>
          <w:highlight w:val="none"/>
        </w:rPr>
        <w:t>三</w:t>
      </w:r>
      <w:r>
        <w:rPr>
          <w:rFonts w:ascii="Arial" w:hAnsi="Arial" w:cs="Arial"/>
          <w:color w:val="auto"/>
          <w:szCs w:val="22"/>
          <w:highlight w:val="none"/>
        </w:rPr>
        <w:t>部分内容</w:t>
      </w:r>
      <w:r>
        <w:rPr>
          <w:rFonts w:hint="eastAsia" w:ascii="Arial" w:hAnsi="Arial" w:cs="Arial"/>
          <w:color w:val="auto"/>
          <w:szCs w:val="22"/>
          <w:highlight w:val="none"/>
        </w:rPr>
        <w:t>。</w:t>
      </w:r>
    </w:p>
    <w:p>
      <w:pPr>
        <w:numPr>
          <w:ilvl w:val="1"/>
          <w:numId w:val="6"/>
        </w:numPr>
        <w:spacing w:line="360" w:lineRule="auto"/>
        <w:ind w:left="850" w:hanging="850"/>
        <w:jc w:val="both"/>
        <w:rPr>
          <w:rFonts w:ascii="Arial" w:hAnsi="Arial" w:cs="Arial"/>
          <w:color w:val="auto"/>
          <w:szCs w:val="22"/>
          <w:highlight w:val="none"/>
        </w:rPr>
      </w:pPr>
      <w:r>
        <w:rPr>
          <w:rFonts w:ascii="Arial" w:hAnsi="Arial" w:cs="Arial"/>
          <w:color w:val="auto"/>
          <w:szCs w:val="22"/>
          <w:highlight w:val="none"/>
        </w:rPr>
        <w:t>投标文件中投标函、法定代表人资格证明书及授权委托函的格式、签字、盖章及内容均应符合采购文件格式要求，否则投标文件无效。</w:t>
      </w:r>
    </w:p>
    <w:p>
      <w:pPr>
        <w:numPr>
          <w:ilvl w:val="1"/>
          <w:numId w:val="6"/>
        </w:numPr>
        <w:spacing w:line="360" w:lineRule="auto"/>
        <w:ind w:left="850" w:hanging="850"/>
        <w:jc w:val="both"/>
        <w:rPr>
          <w:rFonts w:ascii="Arial" w:hAnsi="Arial" w:cs="Arial"/>
          <w:color w:val="auto"/>
          <w:szCs w:val="22"/>
          <w:highlight w:val="none"/>
        </w:rPr>
      </w:pPr>
      <w:r>
        <w:rPr>
          <w:rFonts w:ascii="Arial" w:hAnsi="Arial" w:cs="Arial"/>
          <w:color w:val="auto"/>
          <w:szCs w:val="22"/>
          <w:highlight w:val="none"/>
        </w:rPr>
        <w:t>投标供应商应根据“政采云供应商项目采购-电子招投标操作指南”及本招标文件规定编制电子投标文件并进行关联定位，以便评标委员会在评标时，点击评分项，可直接定位到该评分项内容。</w:t>
      </w:r>
    </w:p>
    <w:p>
      <w:pPr>
        <w:spacing w:line="360" w:lineRule="auto"/>
        <w:ind w:left="840" w:leftChars="400"/>
        <w:rPr>
          <w:rFonts w:ascii="Arial" w:hAnsi="Arial" w:cs="Arial"/>
          <w:color w:val="auto"/>
          <w:szCs w:val="22"/>
          <w:highlight w:val="none"/>
        </w:rPr>
      </w:pPr>
      <w:r>
        <w:rPr>
          <w:rFonts w:ascii="Arial" w:hAnsi="Arial" w:cs="Arial"/>
          <w:color w:val="auto"/>
          <w:szCs w:val="22"/>
          <w:highlight w:val="none"/>
        </w:rPr>
        <w:t>如对招标文件的某项要求，投标供应商的投标响应文件未能提供相应的内容与其对应，则评标委员会在评审时会提示投标供应商未对此项招标要求提供相应内容。由此产生的评分影响由投标供应商自行承担。</w:t>
      </w:r>
    </w:p>
    <w:p>
      <w:pPr>
        <w:spacing w:line="360" w:lineRule="auto"/>
        <w:ind w:left="840" w:leftChars="400"/>
        <w:rPr>
          <w:rFonts w:ascii="Arial" w:hAnsi="Arial" w:cs="Arial"/>
          <w:color w:val="auto"/>
          <w:szCs w:val="22"/>
          <w:highlight w:val="none"/>
        </w:rPr>
      </w:pPr>
      <w:r>
        <w:rPr>
          <w:rFonts w:ascii="Arial" w:hAnsi="Arial" w:cs="Arial"/>
          <w:color w:val="auto"/>
          <w:szCs w:val="22"/>
          <w:highlight w:val="none"/>
        </w:rPr>
        <w:t>投标文件内容不完整、编排混乱导致投标文件被误读、漏读，或者在按采购文件规定的部分查找不到相关内容的，是投标供应商的责任。</w:t>
      </w:r>
    </w:p>
    <w:p>
      <w:pPr>
        <w:numPr>
          <w:ilvl w:val="0"/>
          <w:numId w:val="6"/>
        </w:numPr>
        <w:spacing w:line="360" w:lineRule="auto"/>
        <w:ind w:left="850" w:hanging="850"/>
        <w:jc w:val="both"/>
        <w:rPr>
          <w:rFonts w:ascii="Arial" w:hAnsi="Arial" w:cs="Arial"/>
          <w:b/>
          <w:color w:val="auto"/>
          <w:sz w:val="24"/>
          <w:szCs w:val="24"/>
          <w:highlight w:val="none"/>
        </w:rPr>
      </w:pPr>
      <w:r>
        <w:rPr>
          <w:rFonts w:ascii="Arial" w:hAnsi="Arial" w:cs="Arial"/>
          <w:b/>
          <w:color w:val="auto"/>
          <w:sz w:val="24"/>
          <w:szCs w:val="24"/>
          <w:highlight w:val="none"/>
        </w:rPr>
        <w:t>纸质投标文件的式样和签署</w:t>
      </w:r>
    </w:p>
    <w:p>
      <w:pPr>
        <w:numPr>
          <w:ilvl w:val="1"/>
          <w:numId w:val="6"/>
        </w:numPr>
        <w:spacing w:line="360" w:lineRule="auto"/>
        <w:ind w:left="850" w:hanging="850"/>
        <w:jc w:val="both"/>
        <w:rPr>
          <w:rFonts w:ascii="Arial" w:hAnsi="Arial" w:cs="Arial"/>
          <w:color w:val="auto"/>
          <w:szCs w:val="21"/>
          <w:highlight w:val="none"/>
        </w:rPr>
      </w:pPr>
      <w:r>
        <w:rPr>
          <w:rFonts w:ascii="Arial" w:hAnsi="Arial" w:cs="Arial"/>
          <w:color w:val="auto"/>
          <w:szCs w:val="22"/>
          <w:highlight w:val="none"/>
        </w:rPr>
        <w:t>如中标，中标供应商需根据</w:t>
      </w:r>
      <w:r>
        <w:rPr>
          <w:rFonts w:hint="eastAsia" w:ascii="Arial" w:hAnsi="Arial" w:cs="Arial"/>
          <w:color w:val="auto"/>
          <w:szCs w:val="22"/>
          <w:highlight w:val="none"/>
        </w:rPr>
        <w:t>采购人</w:t>
      </w:r>
      <w:r>
        <w:rPr>
          <w:rFonts w:ascii="Arial" w:hAnsi="Arial" w:cs="Arial"/>
          <w:color w:val="auto"/>
          <w:szCs w:val="22"/>
          <w:highlight w:val="none"/>
        </w:rPr>
        <w:t>要求提供纸质投标文件至少</w:t>
      </w:r>
      <w:r>
        <w:rPr>
          <w:rFonts w:hint="eastAsia" w:ascii="Arial" w:hAnsi="Arial" w:cs="Arial"/>
          <w:color w:val="auto"/>
          <w:szCs w:val="22"/>
          <w:highlight w:val="none"/>
        </w:rPr>
        <w:t>五</w:t>
      </w:r>
      <w:r>
        <w:rPr>
          <w:rFonts w:ascii="Arial" w:hAnsi="Arial" w:cs="Arial"/>
          <w:color w:val="auto"/>
          <w:szCs w:val="22"/>
          <w:highlight w:val="none"/>
        </w:rPr>
        <w:t>份。</w:t>
      </w:r>
    </w:p>
    <w:p>
      <w:pPr>
        <w:numPr>
          <w:ilvl w:val="1"/>
          <w:numId w:val="6"/>
        </w:numPr>
        <w:spacing w:line="360" w:lineRule="auto"/>
        <w:ind w:left="850" w:hanging="850"/>
        <w:jc w:val="both"/>
        <w:rPr>
          <w:rFonts w:ascii="Arial" w:hAnsi="Arial" w:cs="Arial"/>
          <w:color w:val="auto"/>
          <w:szCs w:val="21"/>
          <w:highlight w:val="none"/>
        </w:rPr>
      </w:pPr>
      <w:r>
        <w:rPr>
          <w:rFonts w:hint="eastAsia" w:ascii="Arial" w:hAnsi="Arial" w:cs="Arial"/>
          <w:color w:val="auto"/>
          <w:szCs w:val="21"/>
          <w:highlight w:val="none"/>
        </w:rPr>
        <w:t>纸质</w:t>
      </w:r>
      <w:r>
        <w:rPr>
          <w:rFonts w:ascii="Arial" w:hAnsi="Arial" w:cs="Arial"/>
          <w:color w:val="auto"/>
          <w:szCs w:val="21"/>
          <w:highlight w:val="none"/>
        </w:rPr>
        <w:t>投标文件提供正本壹份，用A4纸打印，按招标文件格式要求顺序合成本装订，并在“投标文件格式”规定处由投标供应商加盖单位公章和法定代表人或其授权代表签字或盖章。</w:t>
      </w:r>
    </w:p>
    <w:p>
      <w:pPr>
        <w:numPr>
          <w:ilvl w:val="1"/>
          <w:numId w:val="6"/>
        </w:numPr>
        <w:spacing w:line="360" w:lineRule="auto"/>
        <w:ind w:left="850" w:hanging="850"/>
        <w:jc w:val="both"/>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纸质</w:t>
      </w:r>
      <w:r>
        <w:rPr>
          <w:rFonts w:ascii="Arial" w:hAnsi="Arial" w:cs="Arial"/>
          <w:color w:val="auto"/>
          <w:szCs w:val="21"/>
          <w:highlight w:val="none"/>
        </w:rPr>
        <w:t>投标文件中所涉及的公章必须是投标供应商全称的公章，不得使用投标专用章、合同章等类似图章代替。</w:t>
      </w:r>
    </w:p>
    <w:p>
      <w:pPr>
        <w:numPr>
          <w:ilvl w:val="1"/>
          <w:numId w:val="6"/>
        </w:numPr>
        <w:spacing w:line="360" w:lineRule="auto"/>
        <w:ind w:left="850" w:hanging="850"/>
        <w:jc w:val="both"/>
        <w:rPr>
          <w:rFonts w:ascii="Arial" w:hAnsi="Arial" w:cs="Arial"/>
          <w:color w:val="auto"/>
          <w:szCs w:val="21"/>
          <w:highlight w:val="none"/>
        </w:rPr>
      </w:pPr>
      <w:r>
        <w:rPr>
          <w:rFonts w:hint="eastAsia" w:ascii="Arial" w:hAnsi="Arial" w:cs="Arial"/>
          <w:color w:val="auto"/>
          <w:szCs w:val="21"/>
          <w:highlight w:val="none"/>
        </w:rPr>
        <w:t>纸质</w:t>
      </w:r>
      <w:r>
        <w:rPr>
          <w:rFonts w:ascii="Arial" w:hAnsi="Arial" w:cs="Arial"/>
          <w:color w:val="auto"/>
          <w:szCs w:val="21"/>
          <w:highlight w:val="none"/>
        </w:rPr>
        <w:t>投标文件</w:t>
      </w:r>
      <w:r>
        <w:rPr>
          <w:rFonts w:hint="eastAsia" w:ascii="Arial" w:hAnsi="Arial" w:cs="Arial"/>
          <w:color w:val="auto"/>
          <w:szCs w:val="21"/>
          <w:highlight w:val="none"/>
        </w:rPr>
        <w:t>内容须与电子投标文件一致。</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投标保证金</w:t>
      </w:r>
    </w:p>
    <w:p>
      <w:pPr>
        <w:numPr>
          <w:ilvl w:val="1"/>
          <w:numId w:val="6"/>
        </w:numPr>
        <w:tabs>
          <w:tab w:val="left" w:pos="640"/>
          <w:tab w:val="clear" w:pos="851"/>
        </w:tabs>
        <w:spacing w:line="360" w:lineRule="auto"/>
        <w:ind w:left="827" w:hanging="827" w:hangingChars="394"/>
        <w:jc w:val="both"/>
        <w:rPr>
          <w:rFonts w:ascii="Arial" w:hAnsi="Arial" w:cs="Arial"/>
          <w:color w:val="auto"/>
          <w:highlight w:val="none"/>
        </w:rPr>
      </w:pPr>
      <w:r>
        <w:rPr>
          <w:rFonts w:hint="eastAsia" w:ascii="Arial" w:hAnsi="Arial" w:cs="Arial"/>
          <w:color w:val="auto"/>
          <w:highlight w:val="none"/>
        </w:rPr>
        <w:t xml:space="preserve">  本项目无需缴纳投标保证金</w:t>
      </w:r>
    </w:p>
    <w:p>
      <w:pPr>
        <w:numPr>
          <w:ilvl w:val="1"/>
          <w:numId w:val="6"/>
        </w:numPr>
        <w:tabs>
          <w:tab w:val="left" w:pos="640"/>
          <w:tab w:val="clear" w:pos="851"/>
        </w:tabs>
        <w:spacing w:line="360" w:lineRule="auto"/>
        <w:ind w:left="827" w:hanging="827" w:hangingChars="394"/>
        <w:jc w:val="both"/>
        <w:rPr>
          <w:rFonts w:ascii="Arial" w:hAnsi="Arial" w:cs="Arial"/>
          <w:color w:val="auto"/>
          <w:highlight w:val="none"/>
        </w:rPr>
      </w:pPr>
      <w:r>
        <w:rPr>
          <w:rFonts w:ascii="Arial" w:hAnsi="Arial" w:cs="Arial"/>
          <w:color w:val="auto"/>
          <w:highlight w:val="none"/>
        </w:rPr>
        <w:t>投标供应商或招标采购单位有下列情形之一的，应按串通行为认定：</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 xml:space="preserve">不同投标供应商的投标文件由同一单位或人员编制的； </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不同供应商委托同一单位或人员办理投标事宜的；</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 xml:space="preserve">不同投标供应商的投标文件中的内容出现非正常的一致，或者报价细目呈明显规律性变化，或在完全可比的情况下投标总价均高于市场平均价的； </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不同投标供应商的投标文件载明的项目管理或实施人员出现同一单位的工作人员或同一人的；</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 xml:space="preserve">不同投标供应商的授权代表为同一单位的工作人员的； </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 xml:space="preserve">不同投标供应商的投标文件相互混装，或在一个投标供应商的投标文件内遗留有其他投标供应商的签名、盖章等不属于本投标供应商参加政府采购必需的信息资料的； </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 xml:space="preserve">采购响应截止时间后，招标采购单位协助投标供应商撤换或更改投标文件的； </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招标采购单位泄露有意向参加政府采购的投标供应商名称、数量等应当保密的事项的；</w:t>
      </w:r>
    </w:p>
    <w:p>
      <w:pPr>
        <w:numPr>
          <w:ilvl w:val="0"/>
          <w:numId w:val="8"/>
        </w:numPr>
        <w:spacing w:line="360" w:lineRule="auto"/>
        <w:ind w:left="1276" w:hanging="709"/>
        <w:jc w:val="both"/>
        <w:rPr>
          <w:rFonts w:ascii="Arial" w:hAnsi="Arial" w:cs="Arial"/>
          <w:color w:val="auto"/>
          <w:highlight w:val="none"/>
        </w:rPr>
      </w:pPr>
      <w:r>
        <w:rPr>
          <w:rFonts w:ascii="Arial" w:hAnsi="Arial" w:cs="Arial"/>
          <w:color w:val="auto"/>
          <w:highlight w:val="none"/>
        </w:rPr>
        <w:t xml:space="preserve"> 不同投标供应商之间私下达成书面或口头协议，指定一家投标供应商中标或轮流中标的；</w:t>
      </w:r>
    </w:p>
    <w:p>
      <w:pPr>
        <w:numPr>
          <w:ilvl w:val="0"/>
          <w:numId w:val="8"/>
        </w:numPr>
        <w:spacing w:line="360" w:lineRule="auto"/>
        <w:ind w:left="1276" w:hanging="709"/>
        <w:jc w:val="both"/>
        <w:rPr>
          <w:rFonts w:ascii="宋体" w:hAnsi="宋体" w:cs="宋体"/>
          <w:color w:val="auto"/>
          <w:highlight w:val="none"/>
        </w:rPr>
      </w:pPr>
      <w:r>
        <w:rPr>
          <w:rFonts w:ascii="Arial" w:hAnsi="Arial" w:cs="Arial"/>
          <w:color w:val="auto"/>
          <w:highlight w:val="none"/>
        </w:rPr>
        <w:t xml:space="preserve"> 法律、法规或规章规定的其他串通行为。</w:t>
      </w:r>
    </w:p>
    <w:p>
      <w:pPr>
        <w:pStyle w:val="4"/>
        <w:spacing w:before="0" w:after="0" w:line="360" w:lineRule="auto"/>
        <w:jc w:val="center"/>
        <w:rPr>
          <w:rFonts w:ascii="宋体" w:hAnsi="宋体" w:cs="宋体"/>
          <w:color w:val="auto"/>
          <w:sz w:val="24"/>
          <w:szCs w:val="24"/>
          <w:highlight w:val="none"/>
        </w:rPr>
      </w:pPr>
      <w:bookmarkStart w:id="16" w:name="_Toc8349"/>
      <w:bookmarkStart w:id="17" w:name="_Toc17160"/>
      <w:bookmarkStart w:id="18" w:name="_Toc24993"/>
      <w:r>
        <w:rPr>
          <w:rFonts w:hint="eastAsia" w:ascii="宋体" w:hAnsi="宋体" w:cs="宋体"/>
          <w:color w:val="auto"/>
          <w:sz w:val="24"/>
          <w:szCs w:val="24"/>
          <w:highlight w:val="none"/>
        </w:rPr>
        <w:t>（五）投标文件的递交</w:t>
      </w:r>
      <w:bookmarkEnd w:id="16"/>
      <w:bookmarkEnd w:id="17"/>
      <w:bookmarkEnd w:id="18"/>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电子投标文件的递交</w:t>
      </w:r>
    </w:p>
    <w:p>
      <w:pPr>
        <w:tabs>
          <w:tab w:val="left" w:pos="1260"/>
        </w:tabs>
        <w:spacing w:line="360" w:lineRule="auto"/>
        <w:ind w:firstLine="840" w:firstLineChars="400"/>
        <w:jc w:val="both"/>
        <w:rPr>
          <w:rFonts w:ascii="Arial" w:hAnsi="Arial" w:cs="Arial"/>
          <w:color w:val="auto"/>
          <w:szCs w:val="21"/>
          <w:highlight w:val="none"/>
        </w:rPr>
      </w:pPr>
      <w:r>
        <w:rPr>
          <w:rFonts w:ascii="Arial" w:hAnsi="Arial" w:cs="Arial"/>
          <w:color w:val="auto"/>
          <w:szCs w:val="21"/>
          <w:highlight w:val="none"/>
        </w:rPr>
        <w:t>电子投标文件按《操作指南》及本招标文件要求递交。</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电子加密投标文件：投标文件制作完成并生成加密标书，在投标截止时间前，投标供应商需将加密的投标文件上传至政采云平台，到达开标时间后，解密投标文件。</w:t>
      </w:r>
    </w:p>
    <w:p>
      <w:pPr>
        <w:pStyle w:val="14"/>
        <w:widowControl w:val="0"/>
        <w:overflowPunct/>
        <w:autoSpaceDE/>
        <w:autoSpaceDN/>
        <w:adjustRightInd/>
        <w:spacing w:line="360" w:lineRule="auto"/>
        <w:ind w:left="420" w:leftChars="200" w:firstLine="420" w:firstLineChars="200"/>
        <w:textAlignment w:val="auto"/>
        <w:rPr>
          <w:rFonts w:ascii="Arial" w:hAnsi="Arial" w:cs="Arial"/>
          <w:color w:val="auto"/>
          <w:highlight w:val="none"/>
        </w:rPr>
      </w:pPr>
      <w:r>
        <w:rPr>
          <w:rFonts w:ascii="Arial" w:hAnsi="Arial" w:cs="Arial"/>
          <w:color w:val="auto"/>
          <w:highlight w:val="none"/>
        </w:rPr>
        <w:t>a.投标供应商未能在投标截止时间前成功上传电子加密投标文件的投标无效。</w:t>
      </w:r>
    </w:p>
    <w:p>
      <w:pPr>
        <w:pStyle w:val="14"/>
        <w:widowControl w:val="0"/>
        <w:overflowPunct/>
        <w:autoSpaceDE/>
        <w:autoSpaceDN/>
        <w:adjustRightInd/>
        <w:spacing w:line="360" w:lineRule="auto"/>
        <w:ind w:left="420" w:leftChars="200" w:firstLine="420" w:firstLineChars="200"/>
        <w:textAlignment w:val="auto"/>
        <w:rPr>
          <w:rFonts w:ascii="Arial" w:hAnsi="Arial" w:cs="Arial"/>
          <w:color w:val="auto"/>
          <w:highlight w:val="none"/>
        </w:rPr>
      </w:pPr>
      <w:r>
        <w:rPr>
          <w:rFonts w:ascii="Arial" w:hAnsi="Arial" w:cs="Arial"/>
          <w:color w:val="auto"/>
          <w:highlight w:val="none"/>
        </w:rPr>
        <w:t>b.投标供应商成功上传电子加密投标文件后，可自行打印投标文件接收回执。</w:t>
      </w:r>
    </w:p>
    <w:p>
      <w:pPr>
        <w:spacing w:line="360" w:lineRule="auto"/>
        <w:ind w:firstLine="823" w:firstLineChars="392"/>
        <w:jc w:val="both"/>
        <w:rPr>
          <w:rFonts w:ascii="Arial" w:hAnsi="Arial" w:cs="Arial"/>
          <w:color w:val="auto"/>
          <w:szCs w:val="21"/>
          <w:highlight w:val="none"/>
        </w:rPr>
      </w:pPr>
      <w:r>
        <w:rPr>
          <w:rFonts w:hint="eastAsia" w:ascii="Arial" w:hAnsi="Arial" w:cs="Arial"/>
          <w:color w:val="auto"/>
          <w:szCs w:val="21"/>
          <w:highlight w:val="none"/>
        </w:rPr>
        <w:t>c.供应商未</w:t>
      </w:r>
      <w:r>
        <w:rPr>
          <w:rFonts w:ascii="Arial" w:hAnsi="Arial" w:cs="Arial"/>
          <w:color w:val="auto"/>
          <w:szCs w:val="21"/>
          <w:highlight w:val="none"/>
        </w:rPr>
        <w:t>在</w:t>
      </w:r>
      <w:r>
        <w:rPr>
          <w:rFonts w:hint="eastAsia" w:ascii="Arial" w:hAnsi="Arial" w:cs="Arial"/>
          <w:color w:val="auto"/>
          <w:szCs w:val="21"/>
          <w:highlight w:val="none"/>
        </w:rPr>
        <w:t>规定时间</w:t>
      </w:r>
      <w:r>
        <w:rPr>
          <w:rFonts w:ascii="Arial" w:hAnsi="Arial" w:cs="Arial"/>
          <w:color w:val="auto"/>
          <w:szCs w:val="21"/>
          <w:highlight w:val="none"/>
        </w:rPr>
        <w:t>内，解密投标文件</w:t>
      </w:r>
      <w:r>
        <w:rPr>
          <w:rFonts w:hint="eastAsia" w:ascii="Arial" w:hAnsi="Arial" w:cs="Arial"/>
          <w:color w:val="auto"/>
          <w:szCs w:val="21"/>
          <w:highlight w:val="none"/>
        </w:rPr>
        <w:t>的，视为放弃投标，投标无效。</w:t>
      </w:r>
    </w:p>
    <w:p>
      <w:pPr>
        <w:numPr>
          <w:ilvl w:val="0"/>
          <w:numId w:val="6"/>
        </w:numPr>
        <w:spacing w:line="360" w:lineRule="auto"/>
        <w:jc w:val="both"/>
        <w:rPr>
          <w:rFonts w:ascii="Arial" w:hAnsi="Arial" w:cs="Arial"/>
          <w:b/>
          <w:color w:val="auto"/>
          <w:sz w:val="24"/>
          <w:szCs w:val="24"/>
          <w:highlight w:val="none"/>
        </w:rPr>
      </w:pPr>
      <w:r>
        <w:rPr>
          <w:rFonts w:ascii="Arial" w:hAnsi="Arial" w:cs="Arial"/>
          <w:b/>
          <w:color w:val="auto"/>
          <w:sz w:val="24"/>
          <w:szCs w:val="24"/>
          <w:highlight w:val="none"/>
        </w:rPr>
        <w:t>备份投标文件及纸质投标文件的递交</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供应商在开标时间开始后30分钟内，解密投标文件</w:t>
      </w:r>
      <w:r>
        <w:rPr>
          <w:rFonts w:hint="eastAsia" w:ascii="Arial" w:hAnsi="Arial" w:cs="Arial"/>
          <w:color w:val="auto"/>
          <w:szCs w:val="21"/>
          <w:highlight w:val="none"/>
        </w:rPr>
        <w:t>未成功的，供应商应当在解密时间内向采购代理机构通过电子邮箱（274806296@qq.com）提供备份投标文件</w:t>
      </w:r>
      <w:r>
        <w:rPr>
          <w:rFonts w:ascii="Arial" w:hAnsi="Arial" w:cs="Arial"/>
          <w:color w:val="auto"/>
          <w:szCs w:val="21"/>
          <w:highlight w:val="none"/>
        </w:rPr>
        <w:t>。</w:t>
      </w:r>
      <w:r>
        <w:rPr>
          <w:rFonts w:hint="eastAsia" w:ascii="Arial" w:hAnsi="Arial" w:cs="Arial"/>
          <w:color w:val="auto"/>
          <w:szCs w:val="21"/>
          <w:highlight w:val="none"/>
        </w:rPr>
        <w:t>因供应商未在规定时间内提供备份投标文件，导致投标文件解密失败的，视为投标文件撤回，投标无效。</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通过“政府采购云平台”成功上传递交的“电子加密投标文件”已按时解密的，“备份投标文件”自动失效。</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投标截止时间</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本次采购的投标截止时间及投标文件递交截止时间：见本招标文件“招标公告”。</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在推迟了投标截止时间的情况下，招标代理机构、采购人和投标供应商受投标截止时间制约的所有权利和义务均应延长至新的截止时间。</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投标文件的修改与撤回：</w:t>
      </w:r>
    </w:p>
    <w:p>
      <w:pPr>
        <w:numPr>
          <w:ilvl w:val="1"/>
          <w:numId w:val="6"/>
        </w:numPr>
        <w:spacing w:line="360" w:lineRule="auto"/>
        <w:jc w:val="both"/>
        <w:rPr>
          <w:rFonts w:ascii="Arial" w:hAnsi="Arial" w:cs="Arial"/>
          <w:color w:val="auto"/>
          <w:szCs w:val="22"/>
          <w:highlight w:val="none"/>
        </w:rPr>
      </w:pPr>
      <w:r>
        <w:rPr>
          <w:rFonts w:hint="eastAsia" w:ascii="Arial" w:hAnsi="Arial" w:cs="Arial"/>
          <w:color w:val="auto"/>
          <w:szCs w:val="22"/>
          <w:highlight w:val="none"/>
        </w:rPr>
        <w:t>投标供应商</w:t>
      </w:r>
      <w:r>
        <w:rPr>
          <w:rFonts w:ascii="Arial" w:hAnsi="Arial" w:cs="Arial"/>
          <w:color w:val="auto"/>
          <w:szCs w:val="22"/>
          <w:highlight w:val="none"/>
        </w:rPr>
        <w:t>在递交投标文件后，在规定的投标截止时间前，可以补充、修改或者撤回电子</w:t>
      </w:r>
      <w:r>
        <w:rPr>
          <w:rFonts w:hint="eastAsia" w:ascii="Arial" w:hAnsi="Arial" w:cs="Arial"/>
          <w:color w:val="auto"/>
          <w:szCs w:val="22"/>
          <w:highlight w:val="none"/>
        </w:rPr>
        <w:t>投标</w:t>
      </w:r>
      <w:r>
        <w:rPr>
          <w:rFonts w:ascii="Arial" w:hAnsi="Arial" w:cs="Arial"/>
          <w:color w:val="auto"/>
          <w:szCs w:val="22"/>
          <w:highlight w:val="none"/>
        </w:rPr>
        <w:t>文件。补充或者修改电子</w:t>
      </w:r>
      <w:r>
        <w:rPr>
          <w:rFonts w:hint="eastAsia" w:ascii="Arial" w:hAnsi="Arial" w:cs="Arial"/>
          <w:color w:val="auto"/>
          <w:szCs w:val="22"/>
          <w:highlight w:val="none"/>
        </w:rPr>
        <w:t>投标</w:t>
      </w:r>
      <w:r>
        <w:rPr>
          <w:rFonts w:ascii="Arial" w:hAnsi="Arial" w:cs="Arial"/>
          <w:color w:val="auto"/>
          <w:szCs w:val="22"/>
          <w:highlight w:val="none"/>
        </w:rPr>
        <w:t>文件的，应当先行撤回原文件，补充、修改后重新传输递交。投标截止时间前未完成传输的，视为投标文件撤回，投标无效。</w:t>
      </w:r>
    </w:p>
    <w:p>
      <w:pPr>
        <w:numPr>
          <w:ilvl w:val="1"/>
          <w:numId w:val="6"/>
        </w:numPr>
        <w:spacing w:line="360" w:lineRule="auto"/>
        <w:jc w:val="both"/>
        <w:rPr>
          <w:rFonts w:ascii="Arial" w:hAnsi="Arial" w:cs="Arial"/>
          <w:color w:val="auto"/>
          <w:szCs w:val="22"/>
          <w:highlight w:val="none"/>
        </w:rPr>
      </w:pPr>
      <w:r>
        <w:rPr>
          <w:rFonts w:ascii="Arial" w:hAnsi="Arial" w:cs="Arial"/>
          <w:color w:val="auto"/>
          <w:szCs w:val="22"/>
          <w:highlight w:val="none"/>
        </w:rPr>
        <w:t>在投标截止期之后，</w:t>
      </w:r>
      <w:r>
        <w:rPr>
          <w:rFonts w:hint="eastAsia" w:ascii="Arial" w:hAnsi="Arial" w:cs="Arial"/>
          <w:color w:val="auto"/>
          <w:szCs w:val="22"/>
          <w:highlight w:val="none"/>
        </w:rPr>
        <w:t>投标供应商</w:t>
      </w:r>
      <w:r>
        <w:rPr>
          <w:rFonts w:ascii="Arial" w:hAnsi="Arial" w:cs="Arial"/>
          <w:color w:val="auto"/>
          <w:szCs w:val="22"/>
          <w:highlight w:val="none"/>
        </w:rPr>
        <w:t>不得对其投标作任何修改。</w:t>
      </w:r>
    </w:p>
    <w:p>
      <w:pPr>
        <w:numPr>
          <w:ilvl w:val="1"/>
          <w:numId w:val="6"/>
        </w:numPr>
        <w:spacing w:line="360" w:lineRule="auto"/>
        <w:jc w:val="both"/>
        <w:rPr>
          <w:rFonts w:ascii="Arial" w:hAnsi="Arial" w:cs="Arial"/>
          <w:color w:val="auto"/>
          <w:szCs w:val="22"/>
          <w:highlight w:val="none"/>
        </w:rPr>
      </w:pPr>
      <w:r>
        <w:rPr>
          <w:rFonts w:ascii="Arial" w:hAnsi="Arial" w:cs="Arial"/>
          <w:color w:val="auto"/>
          <w:szCs w:val="22"/>
          <w:highlight w:val="none"/>
        </w:rPr>
        <w:t>从投标截止期至</w:t>
      </w:r>
      <w:r>
        <w:rPr>
          <w:rFonts w:hint="eastAsia" w:ascii="Arial" w:hAnsi="Arial" w:cs="Arial"/>
          <w:color w:val="auto"/>
          <w:szCs w:val="22"/>
          <w:highlight w:val="none"/>
        </w:rPr>
        <w:t>投标供应商</w:t>
      </w:r>
      <w:r>
        <w:rPr>
          <w:rFonts w:ascii="Arial" w:hAnsi="Arial" w:cs="Arial"/>
          <w:color w:val="auto"/>
          <w:szCs w:val="22"/>
          <w:highlight w:val="none"/>
        </w:rPr>
        <w:t>在投标函格式中确定的投标有效期期满这段时间内，</w:t>
      </w:r>
      <w:r>
        <w:rPr>
          <w:rFonts w:hint="eastAsia" w:ascii="Arial" w:hAnsi="Arial" w:cs="Arial"/>
          <w:color w:val="auto"/>
          <w:szCs w:val="22"/>
          <w:highlight w:val="none"/>
        </w:rPr>
        <w:t>投标供应商</w:t>
      </w:r>
      <w:r>
        <w:rPr>
          <w:rFonts w:ascii="Arial" w:hAnsi="Arial" w:cs="Arial"/>
          <w:color w:val="auto"/>
          <w:szCs w:val="22"/>
          <w:highlight w:val="none"/>
        </w:rPr>
        <w:t>不得撤回其投标。</w:t>
      </w:r>
    </w:p>
    <w:p>
      <w:pPr>
        <w:pStyle w:val="4"/>
        <w:spacing w:before="0" w:after="0" w:line="360" w:lineRule="auto"/>
        <w:jc w:val="center"/>
        <w:rPr>
          <w:rFonts w:ascii="宋体" w:hAnsi="宋体" w:cs="宋体"/>
          <w:color w:val="auto"/>
          <w:sz w:val="24"/>
          <w:szCs w:val="24"/>
          <w:highlight w:val="none"/>
        </w:rPr>
      </w:pPr>
      <w:bookmarkStart w:id="19" w:name="_Toc24859"/>
      <w:bookmarkStart w:id="20" w:name="_Toc8839"/>
      <w:bookmarkStart w:id="21" w:name="_Toc31341"/>
      <w:r>
        <w:rPr>
          <w:rFonts w:hint="eastAsia" w:ascii="宋体" w:hAnsi="宋体" w:cs="宋体"/>
          <w:color w:val="auto"/>
          <w:sz w:val="24"/>
          <w:szCs w:val="24"/>
          <w:highlight w:val="none"/>
        </w:rPr>
        <w:t>（六）开标与评审</w:t>
      </w:r>
      <w:bookmarkEnd w:id="19"/>
      <w:bookmarkEnd w:id="20"/>
      <w:bookmarkEnd w:id="21"/>
    </w:p>
    <w:p>
      <w:pPr>
        <w:numPr>
          <w:ilvl w:val="0"/>
          <w:numId w:val="6"/>
        </w:numPr>
        <w:spacing w:line="360" w:lineRule="auto"/>
        <w:jc w:val="both"/>
        <w:rPr>
          <w:rFonts w:ascii="Arial" w:hAnsi="Arial" w:cs="Arial"/>
          <w:b/>
          <w:color w:val="auto"/>
          <w:sz w:val="24"/>
          <w:szCs w:val="22"/>
          <w:highlight w:val="none"/>
        </w:rPr>
      </w:pPr>
      <w:r>
        <w:rPr>
          <w:rFonts w:ascii="Arial" w:hAnsi="Arial" w:cs="Arial"/>
          <w:b/>
          <w:color w:val="auto"/>
          <w:sz w:val="24"/>
          <w:szCs w:val="22"/>
          <w:highlight w:val="none"/>
        </w:rPr>
        <w:t>开标</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开标时间和地点：见本招标文件“招标公告”。</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按本须知第1</w:t>
      </w:r>
      <w:r>
        <w:rPr>
          <w:rFonts w:hint="eastAsia" w:ascii="Arial" w:hAnsi="Arial" w:cs="Arial"/>
          <w:color w:val="auto"/>
          <w:szCs w:val="21"/>
          <w:highlight w:val="none"/>
        </w:rPr>
        <w:t>3</w:t>
      </w:r>
      <w:r>
        <w:rPr>
          <w:rFonts w:ascii="Arial" w:hAnsi="Arial" w:cs="Arial"/>
          <w:color w:val="auto"/>
          <w:szCs w:val="21"/>
          <w:highlight w:val="none"/>
        </w:rPr>
        <w:t>条规定，通过修改采购文件更改了开标时间和地点的，以后者为准。</w:t>
      </w:r>
    </w:p>
    <w:p>
      <w:pPr>
        <w:numPr>
          <w:ilvl w:val="0"/>
          <w:numId w:val="6"/>
        </w:numPr>
        <w:spacing w:line="360" w:lineRule="auto"/>
        <w:jc w:val="both"/>
        <w:rPr>
          <w:rFonts w:ascii="Arial" w:hAnsi="Arial" w:cs="Arial"/>
          <w:b/>
          <w:color w:val="auto"/>
          <w:sz w:val="24"/>
          <w:szCs w:val="22"/>
          <w:highlight w:val="none"/>
        </w:rPr>
      </w:pPr>
      <w:r>
        <w:rPr>
          <w:color w:val="auto"/>
          <w:highlight w:val="none"/>
        </w:rPr>
        <w:t>开标第一阶段：</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向各</w:t>
      </w:r>
      <w:r>
        <w:rPr>
          <w:rFonts w:hint="eastAsia" w:ascii="Arial" w:hAnsi="Arial" w:cs="Arial"/>
          <w:color w:val="auto"/>
          <w:szCs w:val="21"/>
          <w:highlight w:val="none"/>
        </w:rPr>
        <w:t>投标供应商</w:t>
      </w:r>
      <w:r>
        <w:rPr>
          <w:rFonts w:ascii="Arial" w:hAnsi="Arial" w:cs="Arial"/>
          <w:color w:val="auto"/>
          <w:szCs w:val="21"/>
          <w:highlight w:val="none"/>
        </w:rPr>
        <w:t>发出电子加密投标文件【开始解密】通知，由</w:t>
      </w:r>
      <w:r>
        <w:rPr>
          <w:rFonts w:hint="eastAsia" w:ascii="Arial" w:hAnsi="Arial" w:cs="Arial"/>
          <w:color w:val="auto"/>
          <w:szCs w:val="21"/>
          <w:highlight w:val="none"/>
        </w:rPr>
        <w:t>投标供应商</w:t>
      </w:r>
      <w:r>
        <w:rPr>
          <w:rFonts w:ascii="Arial" w:hAnsi="Arial" w:cs="Arial"/>
          <w:color w:val="auto"/>
          <w:szCs w:val="21"/>
          <w:highlight w:val="none"/>
        </w:rPr>
        <w:t>按招标文件规定的时间内自行进行投标文件解密。</w:t>
      </w:r>
      <w:r>
        <w:rPr>
          <w:rFonts w:hint="eastAsia" w:ascii="Arial" w:hAnsi="Arial" w:cs="Arial"/>
          <w:color w:val="auto"/>
          <w:szCs w:val="21"/>
          <w:highlight w:val="none"/>
        </w:rPr>
        <w:t>投标供应商</w:t>
      </w:r>
      <w:r>
        <w:rPr>
          <w:rFonts w:ascii="Arial" w:hAnsi="Arial" w:cs="Arial"/>
          <w:color w:val="auto"/>
          <w:szCs w:val="21"/>
          <w:highlight w:val="none"/>
        </w:rPr>
        <w:t>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Arial" w:hAnsi="Arial" w:cs="Arial"/>
          <w:color w:val="auto"/>
          <w:szCs w:val="21"/>
          <w:highlight w:val="none"/>
        </w:rPr>
        <w:t>结束解密后，供应商通过邮件形式将经授权代表签署的《政府采购活动现场确认声明书》（格式见采购文件第七部分，采购文件最后一页内容）扫描件发至代理机构经办人邮箱。代理机构后续需要公布的信息将以供应商以此发送的邮箱地址进行联系。</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开启投标文件，进入资格审查；</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开启资格审查通过的投标供应商的商务技术文件进入符合性审查、商务技术评审；</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第一阶段开标结束。</w:t>
      </w:r>
    </w:p>
    <w:p>
      <w:pPr>
        <w:tabs>
          <w:tab w:val="left" w:pos="851"/>
        </w:tabs>
        <w:spacing w:line="360" w:lineRule="auto"/>
        <w:ind w:left="840" w:leftChars="400"/>
        <w:jc w:val="both"/>
        <w:rPr>
          <w:rFonts w:ascii="Arial" w:hAnsi="Arial" w:cs="Arial"/>
          <w:color w:val="auto"/>
          <w:szCs w:val="21"/>
          <w:highlight w:val="none"/>
        </w:rPr>
      </w:pPr>
      <w:r>
        <w:rPr>
          <w:rFonts w:ascii="Arial" w:hAnsi="Arial" w:cs="Arial"/>
          <w:color w:val="auto"/>
          <w:szCs w:val="21"/>
          <w:highlight w:val="none"/>
        </w:rPr>
        <w:t>备注：开标程序的第一阶段结束后，</w:t>
      </w:r>
      <w:r>
        <w:rPr>
          <w:rFonts w:hint="eastAsia" w:ascii="Arial" w:hAnsi="Arial" w:cs="Arial"/>
          <w:color w:val="auto"/>
          <w:szCs w:val="21"/>
          <w:highlight w:val="none"/>
        </w:rPr>
        <w:t>采购人</w:t>
      </w:r>
      <w:r>
        <w:rPr>
          <w:rFonts w:ascii="Arial" w:hAnsi="Arial" w:cs="Arial"/>
          <w:color w:val="auto"/>
          <w:szCs w:val="21"/>
          <w:highlight w:val="none"/>
        </w:rPr>
        <w:t>或采购代理机构将对依法对投标供应商的资格进行审查，资格审查结束后进入符合性审查和商务技术的评审工作</w:t>
      </w:r>
    </w:p>
    <w:p>
      <w:pPr>
        <w:numPr>
          <w:ilvl w:val="0"/>
          <w:numId w:val="6"/>
        </w:numPr>
        <w:spacing w:line="360" w:lineRule="auto"/>
        <w:jc w:val="both"/>
        <w:rPr>
          <w:rFonts w:ascii="Arial" w:hAnsi="Arial" w:cs="Arial"/>
          <w:b/>
          <w:color w:val="auto"/>
          <w:sz w:val="24"/>
          <w:szCs w:val="22"/>
          <w:highlight w:val="none"/>
        </w:rPr>
      </w:pPr>
      <w:r>
        <w:rPr>
          <w:rFonts w:ascii="Arial" w:hAnsi="Arial" w:cs="Arial"/>
          <w:b/>
          <w:color w:val="auto"/>
          <w:sz w:val="24"/>
          <w:szCs w:val="22"/>
          <w:highlight w:val="none"/>
        </w:rPr>
        <w:t>开标第二阶段：</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符合性审查、商务技术评审结束后，</w:t>
      </w:r>
      <w:r>
        <w:rPr>
          <w:rFonts w:hint="eastAsia" w:ascii="Arial" w:hAnsi="Arial" w:cs="Arial"/>
          <w:color w:val="auto"/>
          <w:szCs w:val="21"/>
          <w:highlight w:val="none"/>
        </w:rPr>
        <w:t>代理机构</w:t>
      </w:r>
      <w:r>
        <w:rPr>
          <w:rFonts w:ascii="Arial" w:hAnsi="Arial" w:cs="Arial"/>
          <w:color w:val="auto"/>
          <w:szCs w:val="21"/>
          <w:highlight w:val="none"/>
        </w:rPr>
        <w:t>通过发送邮件形式公布商务技术部分得分情况。举行开标程序第二阶段会议。</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开启符合性审查、商务技术评审有效</w:t>
      </w:r>
      <w:r>
        <w:rPr>
          <w:rFonts w:hint="eastAsia" w:ascii="Arial" w:hAnsi="Arial" w:cs="Arial"/>
          <w:color w:val="auto"/>
          <w:szCs w:val="21"/>
          <w:highlight w:val="none"/>
        </w:rPr>
        <w:t>投标供应商</w:t>
      </w:r>
      <w:r>
        <w:rPr>
          <w:rFonts w:ascii="Arial" w:hAnsi="Arial" w:cs="Arial"/>
          <w:color w:val="auto"/>
          <w:szCs w:val="21"/>
          <w:highlight w:val="none"/>
        </w:rPr>
        <w:t>的《报价文件》</w:t>
      </w:r>
      <w:r>
        <w:rPr>
          <w:rFonts w:hint="eastAsia" w:ascii="Arial" w:hAnsi="Arial" w:cs="Arial"/>
          <w:color w:val="auto"/>
          <w:szCs w:val="21"/>
          <w:highlight w:val="none"/>
        </w:rPr>
        <w:t>。</w:t>
      </w:r>
      <w:r>
        <w:rPr>
          <w:rFonts w:ascii="Arial" w:hAnsi="Arial" w:cs="Arial"/>
          <w:color w:val="auto"/>
          <w:szCs w:val="21"/>
          <w:highlight w:val="none"/>
        </w:rPr>
        <w:t>报价文件开标结束后，由评标委员会对报价的合理性、准确性等进行审查核实。</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评审结束后，</w:t>
      </w:r>
      <w:r>
        <w:rPr>
          <w:rFonts w:hint="eastAsia" w:ascii="Arial" w:hAnsi="Arial" w:cs="Arial"/>
          <w:color w:val="auto"/>
          <w:szCs w:val="21"/>
          <w:highlight w:val="none"/>
        </w:rPr>
        <w:t>采购人</w:t>
      </w:r>
      <w:r>
        <w:rPr>
          <w:rFonts w:ascii="Arial" w:hAnsi="Arial" w:cs="Arial"/>
          <w:color w:val="auto"/>
          <w:szCs w:val="21"/>
          <w:highlight w:val="none"/>
        </w:rPr>
        <w:t>最终确定中标或</w:t>
      </w:r>
      <w:r>
        <w:rPr>
          <w:rFonts w:hint="eastAsia" w:ascii="Arial" w:hAnsi="Arial" w:cs="Arial"/>
          <w:color w:val="auto"/>
          <w:szCs w:val="21"/>
          <w:highlight w:val="none"/>
        </w:rPr>
        <w:t>中标供应商</w:t>
      </w:r>
      <w:r>
        <w:rPr>
          <w:rFonts w:ascii="Arial" w:hAnsi="Arial" w:cs="Arial"/>
          <w:color w:val="auto"/>
          <w:szCs w:val="21"/>
          <w:highlight w:val="none"/>
        </w:rPr>
        <w:t>名单的时间和公告方式等。</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如遇“政府采购云平台”电子化开标或评审程序调整的，或者政采云系统提供数据电文交互功能的，按其规定执行。</w:t>
      </w:r>
    </w:p>
    <w:p>
      <w:pPr>
        <w:numPr>
          <w:ilvl w:val="0"/>
          <w:numId w:val="6"/>
        </w:numPr>
        <w:spacing w:line="360" w:lineRule="auto"/>
        <w:jc w:val="both"/>
        <w:rPr>
          <w:rFonts w:ascii="Arial" w:hAnsi="Arial" w:cs="Arial"/>
          <w:b/>
          <w:color w:val="auto"/>
          <w:sz w:val="24"/>
          <w:szCs w:val="22"/>
          <w:highlight w:val="none"/>
        </w:rPr>
      </w:pPr>
      <w:r>
        <w:rPr>
          <w:rFonts w:ascii="Arial" w:hAnsi="Arial" w:cs="Arial"/>
          <w:b/>
          <w:color w:val="auto"/>
          <w:sz w:val="24"/>
          <w:szCs w:val="22"/>
          <w:highlight w:val="none"/>
        </w:rPr>
        <w:t>评标委员会</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本次采购依法组建评标委员会。</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评标委员会构成：由</w:t>
      </w:r>
      <w:r>
        <w:rPr>
          <w:rFonts w:hint="eastAsia" w:ascii="Arial" w:hAnsi="Arial" w:cs="Arial"/>
          <w:color w:val="auto"/>
          <w:szCs w:val="21"/>
          <w:highlight w:val="none"/>
        </w:rPr>
        <w:t>采购人</w:t>
      </w:r>
      <w:r>
        <w:rPr>
          <w:rFonts w:ascii="Arial" w:hAnsi="Arial" w:cs="Arial"/>
          <w:color w:val="auto"/>
          <w:szCs w:val="21"/>
          <w:highlight w:val="none"/>
        </w:rPr>
        <w:t>代表以及有关专家组成，成员为5人及以上单数。</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评标专家确定方式：按规定统一从专家库内抽取若干名专家。</w:t>
      </w:r>
    </w:p>
    <w:p>
      <w:pPr>
        <w:numPr>
          <w:ilvl w:val="1"/>
          <w:numId w:val="6"/>
        </w:numPr>
        <w:spacing w:line="360" w:lineRule="auto"/>
        <w:jc w:val="both"/>
        <w:rPr>
          <w:rFonts w:ascii="Arial" w:hAnsi="Arial" w:cs="Arial"/>
          <w:color w:val="auto"/>
          <w:szCs w:val="21"/>
          <w:highlight w:val="none"/>
        </w:rPr>
      </w:pPr>
      <w:r>
        <w:rPr>
          <w:rFonts w:ascii="Arial" w:hAnsi="Arial" w:cs="Arial"/>
          <w:color w:val="auto"/>
          <w:szCs w:val="21"/>
          <w:highlight w:val="none"/>
        </w:rPr>
        <w:t>评标委员会依法根据招标文件的规定，对投标文件进行详细评审，并提交评标报告。</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评标原则和评标方法</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评标基本原则：评审工作应依据《政府采购法》以及国家和地方政府有关政府采购的有关规定，遵循“公开、公平、公正、择优、信用”的原则。</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评审方法：本评标办法采取综合评分法（百分制法），评标委员会先对技术资信文件评审，然后对技术资信文件符合招标文件要求的投标供应商进入报价文件评审。</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评标结束后，评标委员会将根据投标供应商的合计得分（</w:t>
      </w:r>
      <w:r>
        <w:rPr>
          <w:rFonts w:hint="eastAsia" w:ascii="Arial" w:hAnsi="Arial" w:cs="Arial"/>
          <w:color w:val="auto"/>
          <w:highlight w:val="none"/>
        </w:rPr>
        <w:t>商务技术</w:t>
      </w:r>
      <w:r>
        <w:rPr>
          <w:rFonts w:ascii="Arial" w:hAnsi="Arial" w:cs="Arial"/>
          <w:color w:val="auto"/>
          <w:highlight w:val="none"/>
        </w:rPr>
        <w:t>文件和报价文件分开打分，最后二部分得分相加）由高到低确定一个预选中标供应商（得分高者），其他有效供应商按合计得由高到低依次为备选中标供应商，并出具评标报告。合计得分相同的，按投标报价由低到高顺序排列；合计得分且投标报价相同的，则按</w:t>
      </w:r>
      <w:r>
        <w:rPr>
          <w:rFonts w:hint="eastAsia" w:ascii="Arial" w:hAnsi="Arial" w:cs="Arial"/>
          <w:color w:val="auto"/>
          <w:highlight w:val="none"/>
        </w:rPr>
        <w:t>商务技术</w:t>
      </w:r>
      <w:r>
        <w:rPr>
          <w:rFonts w:ascii="Arial" w:hAnsi="Arial" w:cs="Arial"/>
          <w:color w:val="auto"/>
          <w:highlight w:val="none"/>
        </w:rPr>
        <w:t>得分高低顺序排列；若所有得分均相同，则由</w:t>
      </w:r>
      <w:r>
        <w:rPr>
          <w:rFonts w:hint="eastAsia" w:ascii="Arial" w:hAnsi="Arial" w:cs="Arial"/>
          <w:color w:val="auto"/>
          <w:highlight w:val="none"/>
        </w:rPr>
        <w:t>采购人</w:t>
      </w:r>
      <w:r>
        <w:rPr>
          <w:rFonts w:ascii="Arial" w:hAnsi="Arial" w:cs="Arial"/>
          <w:color w:val="auto"/>
          <w:highlight w:val="none"/>
        </w:rPr>
        <w:t>代表在所有得分均相同者中随机抽取其中一名为名次优先者；依法予以确认为中标供应商。</w:t>
      </w:r>
    </w:p>
    <w:p>
      <w:pPr>
        <w:numPr>
          <w:ilvl w:val="1"/>
          <w:numId w:val="6"/>
        </w:numPr>
        <w:spacing w:line="360" w:lineRule="auto"/>
        <w:ind w:left="850" w:hanging="850"/>
        <w:jc w:val="both"/>
        <w:rPr>
          <w:rFonts w:ascii="Arial" w:hAnsi="Arial" w:cs="Arial"/>
          <w:color w:val="auto"/>
          <w:szCs w:val="21"/>
          <w:highlight w:val="none"/>
        </w:rPr>
      </w:pPr>
      <w:r>
        <w:rPr>
          <w:rFonts w:ascii="Arial" w:hAnsi="Arial" w:cs="Arial"/>
          <w:color w:val="auto"/>
          <w:highlight w:val="none"/>
        </w:rPr>
        <w:t>电子化评审中需要供应商对投标文件作出澄清、说明或者补正的，评标委员会和</w:t>
      </w:r>
      <w:r>
        <w:rPr>
          <w:rFonts w:hint="eastAsia" w:ascii="Arial" w:hAnsi="Arial" w:cs="Arial"/>
          <w:color w:val="auto"/>
          <w:highlight w:val="none"/>
        </w:rPr>
        <w:t>投标供应商</w:t>
      </w:r>
      <w:r>
        <w:rPr>
          <w:rFonts w:ascii="Arial" w:hAnsi="Arial" w:cs="Arial"/>
          <w:color w:val="auto"/>
          <w:highlight w:val="none"/>
        </w:rPr>
        <w:t>通过政采云平台交换数据电文。给予</w:t>
      </w:r>
      <w:r>
        <w:rPr>
          <w:rFonts w:hint="eastAsia" w:ascii="Arial" w:hAnsi="Arial" w:cs="Arial"/>
          <w:color w:val="auto"/>
          <w:highlight w:val="none"/>
        </w:rPr>
        <w:t>投标供应商</w:t>
      </w:r>
      <w:r>
        <w:rPr>
          <w:rFonts w:ascii="Arial" w:hAnsi="Arial" w:cs="Arial"/>
          <w:color w:val="auto"/>
          <w:highlight w:val="none"/>
        </w:rPr>
        <w:t>提交澄清说明或补正的时间不少于半小时，</w:t>
      </w:r>
      <w:r>
        <w:rPr>
          <w:rFonts w:hint="eastAsia" w:ascii="Arial" w:hAnsi="Arial" w:cs="Arial"/>
          <w:color w:val="auto"/>
          <w:highlight w:val="none"/>
        </w:rPr>
        <w:t>投标供应商</w:t>
      </w:r>
      <w:r>
        <w:rPr>
          <w:rFonts w:ascii="Arial" w:hAnsi="Arial" w:cs="Arial"/>
          <w:color w:val="auto"/>
          <w:highlight w:val="none"/>
        </w:rPr>
        <w:t>已经明确表示澄清说明或补正完毕的除外。</w:t>
      </w:r>
    </w:p>
    <w:p>
      <w:pPr>
        <w:numPr>
          <w:ilvl w:val="1"/>
          <w:numId w:val="6"/>
        </w:numPr>
        <w:spacing w:line="360" w:lineRule="auto"/>
        <w:ind w:left="850" w:hanging="850"/>
        <w:jc w:val="both"/>
        <w:rPr>
          <w:rFonts w:ascii="Arial" w:hAnsi="Arial" w:cs="Arial"/>
          <w:color w:val="auto"/>
          <w:szCs w:val="21"/>
          <w:highlight w:val="none"/>
        </w:rPr>
      </w:pPr>
      <w:r>
        <w:rPr>
          <w:rFonts w:ascii="Arial" w:hAnsi="Arial" w:cs="Arial"/>
          <w:color w:val="auto"/>
          <w:szCs w:val="21"/>
          <w:highlight w:val="none"/>
        </w:rPr>
        <w:t>经资格性审查和符合性审查后，开、评标期间出现符合合格条件的</w:t>
      </w:r>
      <w:r>
        <w:rPr>
          <w:rFonts w:hint="eastAsia" w:ascii="Arial" w:hAnsi="Arial" w:cs="Arial"/>
          <w:color w:val="auto"/>
          <w:szCs w:val="21"/>
          <w:highlight w:val="none"/>
        </w:rPr>
        <w:t>投标供应商</w:t>
      </w:r>
      <w:r>
        <w:rPr>
          <w:rFonts w:ascii="Arial" w:hAnsi="Arial" w:cs="Arial"/>
          <w:color w:val="auto"/>
          <w:szCs w:val="21"/>
          <w:highlight w:val="none"/>
        </w:rPr>
        <w:t>或者对招标文件作出实质响应的</w:t>
      </w:r>
      <w:r>
        <w:rPr>
          <w:rFonts w:hint="eastAsia" w:ascii="Arial" w:hAnsi="Arial" w:cs="Arial"/>
          <w:color w:val="auto"/>
          <w:szCs w:val="21"/>
          <w:highlight w:val="none"/>
        </w:rPr>
        <w:t>投标供应商</w:t>
      </w:r>
      <w:r>
        <w:rPr>
          <w:rFonts w:ascii="Arial" w:hAnsi="Arial" w:cs="Arial"/>
          <w:color w:val="auto"/>
          <w:szCs w:val="21"/>
          <w:highlight w:val="none"/>
        </w:rPr>
        <w:t>（有效</w:t>
      </w:r>
      <w:r>
        <w:rPr>
          <w:rFonts w:hint="eastAsia" w:ascii="Arial" w:hAnsi="Arial" w:cs="Arial"/>
          <w:color w:val="auto"/>
          <w:szCs w:val="21"/>
          <w:highlight w:val="none"/>
        </w:rPr>
        <w:t>投标供应商</w:t>
      </w:r>
      <w:r>
        <w:rPr>
          <w:rFonts w:ascii="Arial" w:hAnsi="Arial" w:cs="Arial"/>
          <w:color w:val="auto"/>
          <w:szCs w:val="21"/>
          <w:highlight w:val="none"/>
        </w:rPr>
        <w:t>）不足三家的，按政府采购法律法规有关规定，依法继续进行或转为其它政府采购方式进行采购，或宣布本次招标失败，重新组织招标。</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评标工作程序</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 xml:space="preserve">初步评审： </w:t>
      </w:r>
    </w:p>
    <w:p>
      <w:pPr>
        <w:numPr>
          <w:ilvl w:val="0"/>
          <w:numId w:val="9"/>
        </w:numPr>
        <w:spacing w:line="360" w:lineRule="auto"/>
        <w:jc w:val="both"/>
        <w:rPr>
          <w:rFonts w:ascii="Arial" w:hAnsi="Arial" w:cs="Arial"/>
          <w:color w:val="auto"/>
          <w:highlight w:val="none"/>
        </w:rPr>
      </w:pPr>
      <w:r>
        <w:rPr>
          <w:rFonts w:ascii="Arial" w:hAnsi="Arial" w:cs="Arial"/>
          <w:color w:val="auto"/>
          <w:highlight w:val="none"/>
        </w:rPr>
        <w:t>资格性检查：招标代理机构及招标代理机构根据法律法规和招标文件的规定，检查投标文件提供的资格证明文件是否齐全、是否满足招标文件的要求、投标文件是否编排有序等。</w:t>
      </w:r>
    </w:p>
    <w:p>
      <w:pPr>
        <w:numPr>
          <w:ilvl w:val="0"/>
          <w:numId w:val="9"/>
        </w:numPr>
        <w:spacing w:line="360" w:lineRule="auto"/>
        <w:jc w:val="both"/>
        <w:rPr>
          <w:rFonts w:ascii="Arial" w:hAnsi="Arial" w:cs="Arial"/>
          <w:color w:val="auto"/>
          <w:highlight w:val="none"/>
        </w:rPr>
      </w:pPr>
      <w:r>
        <w:rPr>
          <w:rFonts w:ascii="Arial" w:hAnsi="Arial" w:cs="Arial"/>
          <w:color w:val="auto"/>
          <w:highlight w:val="none"/>
        </w:rPr>
        <w:t>符合性检查：评标委员会根据招标文件的规定，从投标文件的有效性、完整性和对招标文件的响应程度进行检查，以确定是否对招标文件的实质性要求作出响应。</w:t>
      </w:r>
    </w:p>
    <w:p>
      <w:pPr>
        <w:numPr>
          <w:ilvl w:val="0"/>
          <w:numId w:val="9"/>
        </w:numPr>
        <w:spacing w:line="360" w:lineRule="auto"/>
        <w:jc w:val="both"/>
        <w:rPr>
          <w:rFonts w:ascii="Arial" w:hAnsi="Arial" w:cs="Arial"/>
          <w:color w:val="auto"/>
          <w:szCs w:val="22"/>
          <w:highlight w:val="none"/>
        </w:rPr>
      </w:pPr>
      <w:r>
        <w:rPr>
          <w:rFonts w:ascii="Arial" w:hAnsi="Arial" w:cs="Arial"/>
          <w:color w:val="auto"/>
          <w:szCs w:val="22"/>
          <w:highlight w:val="none"/>
        </w:rPr>
        <w:t>有下列情形之一的，视为</w:t>
      </w:r>
      <w:r>
        <w:rPr>
          <w:rFonts w:hint="eastAsia" w:ascii="Arial" w:hAnsi="Arial" w:cs="Arial"/>
          <w:color w:val="auto"/>
          <w:szCs w:val="22"/>
          <w:highlight w:val="none"/>
        </w:rPr>
        <w:t>投标供应商</w:t>
      </w:r>
      <w:r>
        <w:rPr>
          <w:rFonts w:ascii="Arial" w:hAnsi="Arial" w:cs="Arial"/>
          <w:color w:val="auto"/>
          <w:szCs w:val="22"/>
          <w:highlight w:val="none"/>
        </w:rPr>
        <w:t>串通投标，其投标无效：</w:t>
      </w:r>
    </w:p>
    <w:p>
      <w:pPr>
        <w:numPr>
          <w:ilvl w:val="0"/>
          <w:numId w:val="10"/>
        </w:numPr>
        <w:spacing w:line="360" w:lineRule="auto"/>
        <w:ind w:left="1265"/>
        <w:rPr>
          <w:rFonts w:ascii="Arial" w:hAnsi="Arial" w:cs="Arial"/>
          <w:snapToGrid w:val="0"/>
          <w:color w:val="auto"/>
          <w:szCs w:val="21"/>
          <w:highlight w:val="none"/>
        </w:rPr>
      </w:pPr>
      <w:r>
        <w:rPr>
          <w:rFonts w:ascii="Arial" w:hAnsi="Arial" w:cs="Arial"/>
          <w:snapToGrid w:val="0"/>
          <w:color w:val="auto"/>
          <w:szCs w:val="21"/>
          <w:highlight w:val="none"/>
        </w:rPr>
        <w:t>不同</w:t>
      </w:r>
      <w:r>
        <w:rPr>
          <w:rFonts w:hint="eastAsia" w:ascii="Arial" w:hAnsi="Arial" w:cs="Arial"/>
          <w:snapToGrid w:val="0"/>
          <w:color w:val="auto"/>
          <w:szCs w:val="21"/>
          <w:highlight w:val="none"/>
        </w:rPr>
        <w:t>投标供应商</w:t>
      </w:r>
      <w:r>
        <w:rPr>
          <w:rFonts w:ascii="Arial" w:hAnsi="Arial" w:cs="Arial"/>
          <w:snapToGrid w:val="0"/>
          <w:color w:val="auto"/>
          <w:szCs w:val="21"/>
          <w:highlight w:val="none"/>
        </w:rPr>
        <w:t>的投标文件由同一单位或者个人编制；</w:t>
      </w:r>
    </w:p>
    <w:p>
      <w:pPr>
        <w:numPr>
          <w:ilvl w:val="0"/>
          <w:numId w:val="10"/>
        </w:numPr>
        <w:spacing w:line="360" w:lineRule="auto"/>
        <w:ind w:left="1265"/>
        <w:rPr>
          <w:rFonts w:ascii="Arial" w:hAnsi="Arial" w:cs="Arial"/>
          <w:snapToGrid w:val="0"/>
          <w:color w:val="auto"/>
          <w:szCs w:val="21"/>
          <w:highlight w:val="none"/>
        </w:rPr>
      </w:pPr>
      <w:r>
        <w:rPr>
          <w:rFonts w:ascii="Arial" w:hAnsi="Arial" w:cs="Arial"/>
          <w:snapToGrid w:val="0"/>
          <w:color w:val="auto"/>
          <w:szCs w:val="21"/>
          <w:highlight w:val="none"/>
        </w:rPr>
        <w:t>不同</w:t>
      </w:r>
      <w:r>
        <w:rPr>
          <w:rFonts w:hint="eastAsia" w:ascii="Arial" w:hAnsi="Arial" w:cs="Arial"/>
          <w:snapToGrid w:val="0"/>
          <w:color w:val="auto"/>
          <w:szCs w:val="21"/>
          <w:highlight w:val="none"/>
        </w:rPr>
        <w:t>投标供应商</w:t>
      </w:r>
      <w:r>
        <w:rPr>
          <w:rFonts w:ascii="Arial" w:hAnsi="Arial" w:cs="Arial"/>
          <w:snapToGrid w:val="0"/>
          <w:color w:val="auto"/>
          <w:szCs w:val="21"/>
          <w:highlight w:val="none"/>
        </w:rPr>
        <w:t>委托同一单位或者个人办理投标事宜；</w:t>
      </w:r>
    </w:p>
    <w:p>
      <w:pPr>
        <w:numPr>
          <w:ilvl w:val="0"/>
          <w:numId w:val="10"/>
        </w:numPr>
        <w:spacing w:line="360" w:lineRule="auto"/>
        <w:ind w:left="1265"/>
        <w:rPr>
          <w:rFonts w:ascii="Arial" w:hAnsi="Arial" w:cs="Arial"/>
          <w:snapToGrid w:val="0"/>
          <w:color w:val="auto"/>
          <w:szCs w:val="21"/>
          <w:highlight w:val="none"/>
        </w:rPr>
      </w:pPr>
      <w:r>
        <w:rPr>
          <w:rFonts w:ascii="Arial" w:hAnsi="Arial" w:cs="Arial"/>
          <w:snapToGrid w:val="0"/>
          <w:color w:val="auto"/>
          <w:szCs w:val="21"/>
          <w:highlight w:val="none"/>
        </w:rPr>
        <w:t>不同</w:t>
      </w:r>
      <w:r>
        <w:rPr>
          <w:rFonts w:hint="eastAsia" w:ascii="Arial" w:hAnsi="Arial" w:cs="Arial"/>
          <w:snapToGrid w:val="0"/>
          <w:color w:val="auto"/>
          <w:szCs w:val="21"/>
          <w:highlight w:val="none"/>
        </w:rPr>
        <w:t>投标供应商</w:t>
      </w:r>
      <w:r>
        <w:rPr>
          <w:rFonts w:ascii="Arial" w:hAnsi="Arial" w:cs="Arial"/>
          <w:snapToGrid w:val="0"/>
          <w:color w:val="auto"/>
          <w:szCs w:val="21"/>
          <w:highlight w:val="none"/>
        </w:rPr>
        <w:t>的投标文件载明的项目管理成员或者联系人员为同一人；</w:t>
      </w:r>
    </w:p>
    <w:p>
      <w:pPr>
        <w:numPr>
          <w:ilvl w:val="0"/>
          <w:numId w:val="10"/>
        </w:numPr>
        <w:spacing w:line="360" w:lineRule="auto"/>
        <w:ind w:left="1265"/>
        <w:rPr>
          <w:rFonts w:ascii="Arial" w:hAnsi="Arial" w:cs="Arial"/>
          <w:snapToGrid w:val="0"/>
          <w:color w:val="auto"/>
          <w:szCs w:val="21"/>
          <w:highlight w:val="none"/>
        </w:rPr>
      </w:pPr>
      <w:r>
        <w:rPr>
          <w:rFonts w:ascii="Arial" w:hAnsi="Arial" w:cs="Arial"/>
          <w:snapToGrid w:val="0"/>
          <w:color w:val="auto"/>
          <w:szCs w:val="21"/>
          <w:highlight w:val="none"/>
        </w:rPr>
        <w:t>不同</w:t>
      </w:r>
      <w:r>
        <w:rPr>
          <w:rFonts w:hint="eastAsia" w:ascii="Arial" w:hAnsi="Arial" w:cs="Arial"/>
          <w:snapToGrid w:val="0"/>
          <w:color w:val="auto"/>
          <w:szCs w:val="21"/>
          <w:highlight w:val="none"/>
        </w:rPr>
        <w:t>投标供应商</w:t>
      </w:r>
      <w:r>
        <w:rPr>
          <w:rFonts w:ascii="Arial" w:hAnsi="Arial" w:cs="Arial"/>
          <w:snapToGrid w:val="0"/>
          <w:color w:val="auto"/>
          <w:szCs w:val="21"/>
          <w:highlight w:val="none"/>
        </w:rPr>
        <w:t>的投标文件异常一致或者投标报价呈规律性差异；</w:t>
      </w:r>
    </w:p>
    <w:p>
      <w:pPr>
        <w:spacing w:line="360" w:lineRule="auto"/>
        <w:ind w:left="840" w:leftChars="400" w:firstLine="420" w:firstLineChars="200"/>
        <w:rPr>
          <w:rFonts w:ascii="Arial" w:hAnsi="Arial" w:cs="Arial"/>
          <w:color w:val="auto"/>
          <w:szCs w:val="22"/>
          <w:highlight w:val="none"/>
        </w:rPr>
      </w:pPr>
      <w:r>
        <w:rPr>
          <w:rFonts w:ascii="Arial" w:hAnsi="Arial" w:cs="Arial"/>
          <w:color w:val="auto"/>
          <w:szCs w:val="22"/>
          <w:highlight w:val="none"/>
        </w:rPr>
        <w:t>评标委员会决定投标文件的响应性只根据投标文件本身的内容，而不寻求外部证据。</w:t>
      </w:r>
    </w:p>
    <w:p>
      <w:pPr>
        <w:spacing w:line="360" w:lineRule="auto"/>
        <w:ind w:left="840" w:leftChars="400" w:firstLine="420" w:firstLineChars="200"/>
        <w:rPr>
          <w:rFonts w:ascii="Arial" w:hAnsi="Arial" w:cs="Arial"/>
          <w:color w:val="auto"/>
          <w:szCs w:val="22"/>
          <w:highlight w:val="none"/>
        </w:rPr>
      </w:pPr>
      <w:r>
        <w:rPr>
          <w:rFonts w:ascii="Arial" w:hAnsi="Arial" w:cs="Arial"/>
          <w:color w:val="auto"/>
          <w:szCs w:val="22"/>
          <w:highlight w:val="none"/>
        </w:rPr>
        <w:t>如果投标文件没有实质上响应采购文件的要求，评标委员会将判定无效，</w:t>
      </w:r>
      <w:r>
        <w:rPr>
          <w:rFonts w:hint="eastAsia" w:ascii="Arial" w:hAnsi="Arial" w:cs="Arial"/>
          <w:color w:val="auto"/>
          <w:szCs w:val="22"/>
          <w:highlight w:val="none"/>
        </w:rPr>
        <w:t>投标供应商</w:t>
      </w:r>
      <w:r>
        <w:rPr>
          <w:rFonts w:ascii="Arial" w:hAnsi="Arial" w:cs="Arial"/>
          <w:color w:val="auto"/>
          <w:szCs w:val="22"/>
          <w:highlight w:val="none"/>
        </w:rPr>
        <w:t>不得通过修改或撤销不合要求的偏离或保留而使其投标成为实质性响应的投标。</w:t>
      </w:r>
    </w:p>
    <w:p>
      <w:pPr>
        <w:numPr>
          <w:ilvl w:val="0"/>
          <w:numId w:val="9"/>
        </w:numPr>
        <w:spacing w:line="360" w:lineRule="auto"/>
        <w:jc w:val="both"/>
        <w:rPr>
          <w:rFonts w:ascii="Arial" w:hAnsi="Arial" w:cs="Arial"/>
          <w:color w:val="auto"/>
          <w:highlight w:val="none"/>
        </w:rPr>
      </w:pPr>
      <w:r>
        <w:rPr>
          <w:rFonts w:ascii="Arial" w:hAnsi="Arial" w:cs="Arial"/>
          <w:color w:val="auto"/>
          <w:highlight w:val="none"/>
        </w:rPr>
        <w:t>在资格性检查、符合性检查及详细评审投标文件时出现下列情况，按照</w:t>
      </w:r>
      <w:r>
        <w:rPr>
          <w:rFonts w:ascii="Arial" w:hAnsi="Arial" w:cs="Arial"/>
          <w:b/>
          <w:bCs/>
          <w:color w:val="auto"/>
          <w:highlight w:val="none"/>
        </w:rPr>
        <w:t>无效投标</w:t>
      </w:r>
      <w:r>
        <w:rPr>
          <w:rFonts w:ascii="Arial" w:hAnsi="Arial" w:cs="Arial"/>
          <w:color w:val="auto"/>
          <w:highlight w:val="none"/>
        </w:rPr>
        <w:t>处理</w:t>
      </w:r>
      <w:r>
        <w:rPr>
          <w:rFonts w:ascii="Arial" w:hAnsi="Arial" w:cs="Arial"/>
          <w:b/>
          <w:bCs/>
          <w:color w:val="auto"/>
          <w:highlight w:val="none"/>
        </w:rPr>
        <w:t>：</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投标不是固定价或投标总报价超过本项目最高限价</w:t>
      </w:r>
      <w:r>
        <w:rPr>
          <w:rFonts w:hint="eastAsia" w:ascii="Arial" w:hAnsi="Arial" w:cs="Arial"/>
          <w:color w:val="auto"/>
          <w:szCs w:val="21"/>
          <w:highlight w:val="none"/>
        </w:rPr>
        <w:t>或预算价</w:t>
      </w:r>
      <w:r>
        <w:rPr>
          <w:rFonts w:ascii="Arial" w:hAnsi="Arial" w:cs="Arial"/>
          <w:color w:val="auto"/>
          <w:szCs w:val="21"/>
          <w:highlight w:val="none"/>
        </w:rPr>
        <w:t>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hint="eastAsia" w:ascii="Arial" w:hAnsi="Arial" w:cs="Arial"/>
          <w:color w:val="auto"/>
          <w:szCs w:val="21"/>
          <w:highlight w:val="none"/>
        </w:rPr>
        <w:t>投标供应商</w:t>
      </w:r>
      <w:r>
        <w:rPr>
          <w:rFonts w:ascii="Arial" w:hAnsi="Arial" w:cs="Arial"/>
          <w:color w:val="auto"/>
          <w:szCs w:val="21"/>
          <w:highlight w:val="none"/>
        </w:rPr>
        <w:t>的报价明显低于其他通过符合性审查</w:t>
      </w:r>
      <w:r>
        <w:rPr>
          <w:rFonts w:hint="eastAsia" w:ascii="Arial" w:hAnsi="Arial" w:cs="Arial"/>
          <w:color w:val="auto"/>
          <w:szCs w:val="21"/>
          <w:highlight w:val="none"/>
        </w:rPr>
        <w:t>投标供应商</w:t>
      </w:r>
      <w:r>
        <w:rPr>
          <w:rFonts w:ascii="Arial" w:hAnsi="Arial" w:cs="Arial"/>
          <w:color w:val="auto"/>
          <w:szCs w:val="21"/>
          <w:highlight w:val="none"/>
        </w:rPr>
        <w:t>的报价，有可能影响服务质量或者不能诚信履约，未能按评标委员会要求其在评标现场合理的时间内提供书面说明及相关证明材料以证明其报价合理性的；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投标有效期、服务期等条款不能满足采购文件要求的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单价与总价不相符，又不接受评标委员会修正的投标总价或投标明显不合理而投标供应商不能合理说明的；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存在串标、抬标或弄虚作假情况的；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hint="eastAsia" w:ascii="Arial" w:hAnsi="Arial" w:cs="Arial"/>
          <w:color w:val="auto"/>
          <w:szCs w:val="21"/>
          <w:highlight w:val="none"/>
        </w:rPr>
        <w:t>投标供应商</w:t>
      </w:r>
      <w:r>
        <w:rPr>
          <w:rFonts w:ascii="Arial" w:hAnsi="Arial" w:cs="Arial"/>
          <w:color w:val="auto"/>
          <w:szCs w:val="21"/>
          <w:highlight w:val="none"/>
        </w:rPr>
        <w:t>资格响应文件不全的或者不符合采购文件标明的资格要求的；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不响应采购文件标注“▲”条款要求的；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未按采购文件中明确的要求签署、盖章的；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投标文件不符合招标文件制作要求的；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评标委员会认为投标文件未实质性响应招标文件的要求的；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主要技术要求不满足用户的要求以及商务有重大偏离或保留的；</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存在不良信用记录的（指采购文件的（二）总则 第4条）；</w:t>
      </w:r>
    </w:p>
    <w:p>
      <w:pPr>
        <w:widowControl w:val="0"/>
        <w:numPr>
          <w:ilvl w:val="0"/>
          <w:numId w:val="11"/>
        </w:numPr>
        <w:tabs>
          <w:tab w:val="left" w:pos="993"/>
        </w:tabs>
        <w:spacing w:line="360" w:lineRule="auto"/>
        <w:jc w:val="both"/>
        <w:rPr>
          <w:rFonts w:ascii="Arial" w:hAnsi="Arial" w:cs="Arial"/>
          <w:color w:val="auto"/>
          <w:szCs w:val="21"/>
          <w:highlight w:val="none"/>
        </w:rPr>
      </w:pPr>
      <w:r>
        <w:rPr>
          <w:rFonts w:ascii="Arial" w:hAnsi="Arial" w:cs="Arial"/>
          <w:color w:val="auto"/>
          <w:szCs w:val="21"/>
          <w:highlight w:val="none"/>
        </w:rPr>
        <w:t>不符合法律、法规和招标文件中规定的其他实质性要求的。</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澄清有关问题：评标委员会及招标代理机构对资格性检查和符合性检查合格的投标文件进行澄清，对投标文件中含义不明确、同类问题表述不一致或者有明显文字和计算错误的内容，评标委员会可以书面形式（</w:t>
      </w:r>
      <w:r>
        <w:rPr>
          <w:rFonts w:ascii="Arial" w:hAnsi="Arial" w:cs="Arial"/>
          <w:color w:val="auto"/>
          <w:szCs w:val="21"/>
          <w:highlight w:val="none"/>
        </w:rPr>
        <w:t>或有效电子数据电文</w:t>
      </w:r>
      <w:r>
        <w:rPr>
          <w:rFonts w:ascii="Arial" w:hAnsi="Arial" w:cs="Arial"/>
          <w:color w:val="auto"/>
          <w:highlight w:val="none"/>
        </w:rPr>
        <w:t>）要求投标供应商作出必要的澄清、说明或者纠正。投标供应商的澄清、说明或者补正答复不得超出投标文件的范围或者改变投标文件的实质性内容。</w:t>
      </w:r>
    </w:p>
    <w:p>
      <w:pPr>
        <w:spacing w:line="360" w:lineRule="auto"/>
        <w:ind w:left="840" w:leftChars="400" w:firstLine="420" w:firstLineChars="200"/>
        <w:rPr>
          <w:rFonts w:ascii="Arial" w:hAnsi="Arial" w:cs="Arial"/>
          <w:color w:val="auto"/>
          <w:szCs w:val="22"/>
          <w:highlight w:val="none"/>
        </w:rPr>
      </w:pPr>
      <w:r>
        <w:rPr>
          <w:rFonts w:ascii="Arial" w:hAnsi="Arial" w:cs="Arial"/>
          <w:color w:val="auto"/>
          <w:szCs w:val="22"/>
          <w:highlight w:val="none"/>
        </w:rPr>
        <w:t>投标供应商的澄清、说明或者补正应当由法定代表人或其授权的代表签字（或加盖公章）后扫描上传提交。</w:t>
      </w:r>
    </w:p>
    <w:p>
      <w:pPr>
        <w:spacing w:line="360" w:lineRule="auto"/>
        <w:ind w:left="840" w:leftChars="400" w:firstLine="420" w:firstLineChars="200"/>
        <w:rPr>
          <w:rFonts w:ascii="Arial" w:hAnsi="Arial" w:cs="Arial"/>
          <w:color w:val="auto"/>
          <w:szCs w:val="22"/>
          <w:highlight w:val="none"/>
        </w:rPr>
      </w:pPr>
      <w:r>
        <w:rPr>
          <w:rFonts w:ascii="Arial" w:hAnsi="Arial" w:cs="Arial"/>
          <w:color w:val="auto"/>
          <w:szCs w:val="22"/>
          <w:highlight w:val="none"/>
        </w:rPr>
        <w:t>授权代表对澄清、说明或者补正内容未签字确认的，将自行承担由此可能导致的对其不利的评审结果，评标委员会按少数服从多数原则对相关内容进行评判。</w:t>
      </w:r>
    </w:p>
    <w:p>
      <w:pPr>
        <w:spacing w:line="360" w:lineRule="auto"/>
        <w:ind w:left="840" w:leftChars="400" w:firstLine="420" w:firstLineChars="200"/>
        <w:rPr>
          <w:rFonts w:ascii="Arial" w:hAnsi="Arial" w:cs="Arial"/>
          <w:color w:val="auto"/>
          <w:szCs w:val="22"/>
          <w:highlight w:val="none"/>
        </w:rPr>
      </w:pPr>
      <w:r>
        <w:rPr>
          <w:rFonts w:ascii="Arial" w:hAnsi="Arial" w:cs="Arial"/>
          <w:color w:val="auto"/>
          <w:szCs w:val="22"/>
          <w:highlight w:val="none"/>
        </w:rPr>
        <w:t>除邮件交互外，如政采云平台提供信息发布、澄清说明、数据交换等操作方式的，或者政采云系统平台有新的操作流程的，按其规定。</w:t>
      </w:r>
    </w:p>
    <w:p>
      <w:pPr>
        <w:numPr>
          <w:ilvl w:val="1"/>
          <w:numId w:val="6"/>
        </w:numPr>
        <w:spacing w:line="360" w:lineRule="auto"/>
        <w:jc w:val="both"/>
        <w:rPr>
          <w:rFonts w:ascii="Arial" w:hAnsi="Arial" w:cs="Arial"/>
          <w:color w:val="auto"/>
          <w:szCs w:val="22"/>
          <w:highlight w:val="none"/>
        </w:rPr>
      </w:pPr>
      <w:r>
        <w:rPr>
          <w:rFonts w:ascii="Arial" w:hAnsi="Arial" w:cs="Arial"/>
          <w:color w:val="auto"/>
          <w:szCs w:val="22"/>
          <w:highlight w:val="none"/>
        </w:rPr>
        <w:t>修正原则</w:t>
      </w:r>
    </w:p>
    <w:p>
      <w:pPr>
        <w:spacing w:line="360" w:lineRule="auto"/>
        <w:ind w:left="420" w:leftChars="200" w:firstLine="420" w:firstLineChars="200"/>
        <w:rPr>
          <w:rFonts w:ascii="Arial" w:hAnsi="Arial" w:cs="Arial"/>
          <w:color w:val="auto"/>
          <w:szCs w:val="21"/>
          <w:highlight w:val="none"/>
        </w:rPr>
      </w:pPr>
      <w:r>
        <w:rPr>
          <w:rFonts w:ascii="Arial" w:hAnsi="Arial" w:cs="Arial"/>
          <w:color w:val="auto"/>
          <w:szCs w:val="21"/>
          <w:highlight w:val="none"/>
        </w:rPr>
        <w:t>投标文件报价出现前后不一致的，按照下列规定修正：</w:t>
      </w:r>
    </w:p>
    <w:p>
      <w:pPr>
        <w:widowControl w:val="0"/>
        <w:numPr>
          <w:ilvl w:val="0"/>
          <w:numId w:val="12"/>
        </w:numPr>
        <w:tabs>
          <w:tab w:val="left" w:pos="993"/>
        </w:tabs>
        <w:spacing w:line="360" w:lineRule="auto"/>
        <w:ind w:left="1265"/>
        <w:jc w:val="both"/>
        <w:rPr>
          <w:rFonts w:ascii="Arial" w:hAnsi="Arial" w:cs="Arial"/>
          <w:color w:val="auto"/>
          <w:szCs w:val="21"/>
          <w:highlight w:val="none"/>
        </w:rPr>
      </w:pPr>
      <w:r>
        <w:rPr>
          <w:rFonts w:ascii="Arial" w:hAnsi="Arial" w:cs="Arial"/>
          <w:color w:val="auto"/>
          <w:szCs w:val="21"/>
          <w:highlight w:val="none"/>
        </w:rPr>
        <w:t>投标文件中开标一览表</w:t>
      </w:r>
      <w:r>
        <w:rPr>
          <w:rFonts w:hint="eastAsia" w:ascii="Arial" w:hAnsi="Arial" w:cs="Arial"/>
          <w:color w:val="auto"/>
          <w:szCs w:val="21"/>
          <w:highlight w:val="none"/>
        </w:rPr>
        <w:t>（</w:t>
      </w:r>
      <w:r>
        <w:rPr>
          <w:rFonts w:ascii="Arial" w:hAnsi="Arial" w:cs="Arial"/>
          <w:color w:val="auto"/>
          <w:szCs w:val="21"/>
          <w:highlight w:val="none"/>
        </w:rPr>
        <w:t>报价表</w:t>
      </w:r>
      <w:r>
        <w:rPr>
          <w:rFonts w:hint="eastAsia" w:ascii="Arial" w:hAnsi="Arial" w:cs="Arial"/>
          <w:color w:val="auto"/>
          <w:szCs w:val="21"/>
          <w:highlight w:val="none"/>
        </w:rPr>
        <w:t>）</w:t>
      </w:r>
      <w:r>
        <w:rPr>
          <w:rFonts w:ascii="Arial" w:hAnsi="Arial" w:cs="Arial"/>
          <w:color w:val="auto"/>
          <w:szCs w:val="21"/>
          <w:highlight w:val="none"/>
        </w:rPr>
        <w:t>内容与投标文件中相应内容不一致的，以开标一览表</w:t>
      </w:r>
      <w:r>
        <w:rPr>
          <w:rFonts w:hint="eastAsia" w:ascii="Arial" w:hAnsi="Arial" w:cs="Arial"/>
          <w:color w:val="auto"/>
          <w:szCs w:val="21"/>
          <w:highlight w:val="none"/>
        </w:rPr>
        <w:t>（</w:t>
      </w:r>
      <w:r>
        <w:rPr>
          <w:rFonts w:ascii="Arial" w:hAnsi="Arial" w:cs="Arial"/>
          <w:color w:val="auto"/>
          <w:szCs w:val="21"/>
          <w:highlight w:val="none"/>
        </w:rPr>
        <w:t>报价表</w:t>
      </w:r>
      <w:r>
        <w:rPr>
          <w:rFonts w:hint="eastAsia" w:ascii="Arial" w:hAnsi="Arial" w:cs="Arial"/>
          <w:color w:val="auto"/>
          <w:szCs w:val="21"/>
          <w:highlight w:val="none"/>
        </w:rPr>
        <w:t>）</w:t>
      </w:r>
      <w:r>
        <w:rPr>
          <w:rFonts w:ascii="Arial" w:hAnsi="Arial" w:cs="Arial"/>
          <w:color w:val="auto"/>
          <w:szCs w:val="21"/>
          <w:highlight w:val="none"/>
        </w:rPr>
        <w:t>为准；</w:t>
      </w:r>
    </w:p>
    <w:p>
      <w:pPr>
        <w:widowControl w:val="0"/>
        <w:numPr>
          <w:ilvl w:val="0"/>
          <w:numId w:val="12"/>
        </w:numPr>
        <w:tabs>
          <w:tab w:val="left" w:pos="993"/>
        </w:tabs>
        <w:spacing w:line="360" w:lineRule="auto"/>
        <w:ind w:left="1265"/>
        <w:jc w:val="both"/>
        <w:rPr>
          <w:rFonts w:ascii="Arial" w:hAnsi="Arial" w:cs="Arial"/>
          <w:color w:val="auto"/>
          <w:szCs w:val="21"/>
          <w:highlight w:val="none"/>
        </w:rPr>
      </w:pPr>
      <w:r>
        <w:rPr>
          <w:rFonts w:ascii="Arial" w:hAnsi="Arial" w:cs="Arial"/>
          <w:color w:val="auto"/>
          <w:szCs w:val="21"/>
          <w:highlight w:val="none"/>
        </w:rPr>
        <w:t>大写金额和小写金额不一致的，以大写金额为准；</w:t>
      </w:r>
    </w:p>
    <w:p>
      <w:pPr>
        <w:widowControl w:val="0"/>
        <w:numPr>
          <w:ilvl w:val="0"/>
          <w:numId w:val="12"/>
        </w:numPr>
        <w:tabs>
          <w:tab w:val="left" w:pos="993"/>
        </w:tabs>
        <w:spacing w:line="360" w:lineRule="auto"/>
        <w:ind w:left="1265"/>
        <w:jc w:val="both"/>
        <w:rPr>
          <w:rFonts w:ascii="Arial" w:hAnsi="Arial" w:cs="Arial"/>
          <w:color w:val="auto"/>
          <w:szCs w:val="21"/>
          <w:highlight w:val="none"/>
        </w:rPr>
      </w:pPr>
      <w:r>
        <w:rPr>
          <w:rFonts w:ascii="Arial" w:hAnsi="Arial" w:cs="Arial"/>
          <w:color w:val="auto"/>
          <w:szCs w:val="21"/>
          <w:highlight w:val="none"/>
        </w:rPr>
        <w:t>单价金额小数点或者百分比有明显错位的，以开标一览表的总价为准，并修改单价；</w:t>
      </w:r>
    </w:p>
    <w:p>
      <w:pPr>
        <w:widowControl w:val="0"/>
        <w:numPr>
          <w:ilvl w:val="0"/>
          <w:numId w:val="12"/>
        </w:numPr>
        <w:tabs>
          <w:tab w:val="left" w:pos="993"/>
        </w:tabs>
        <w:spacing w:line="360" w:lineRule="auto"/>
        <w:ind w:left="1265"/>
        <w:jc w:val="both"/>
        <w:rPr>
          <w:rFonts w:ascii="Arial" w:hAnsi="Arial" w:cs="Arial"/>
          <w:color w:val="auto"/>
          <w:szCs w:val="21"/>
          <w:highlight w:val="none"/>
        </w:rPr>
      </w:pPr>
      <w:r>
        <w:rPr>
          <w:rFonts w:ascii="Arial" w:hAnsi="Arial" w:cs="Arial"/>
          <w:color w:val="auto"/>
          <w:szCs w:val="21"/>
          <w:highlight w:val="none"/>
        </w:rPr>
        <w:t>总价金额与按单价汇总金额不一致的，以单价金额计算结果为准。</w:t>
      </w:r>
    </w:p>
    <w:p>
      <w:pPr>
        <w:widowControl w:val="0"/>
        <w:numPr>
          <w:ilvl w:val="0"/>
          <w:numId w:val="12"/>
        </w:numPr>
        <w:tabs>
          <w:tab w:val="left" w:pos="993"/>
        </w:tabs>
        <w:spacing w:line="360" w:lineRule="auto"/>
        <w:ind w:left="1265"/>
        <w:jc w:val="both"/>
        <w:rPr>
          <w:rFonts w:ascii="Arial" w:hAnsi="Arial" w:cs="Arial"/>
          <w:color w:val="auto"/>
          <w:szCs w:val="21"/>
          <w:highlight w:val="none"/>
        </w:rPr>
      </w:pPr>
      <w:r>
        <w:rPr>
          <w:rFonts w:ascii="Arial" w:hAnsi="Arial" w:cs="Arial"/>
          <w:color w:val="auto"/>
          <w:szCs w:val="21"/>
          <w:highlight w:val="none"/>
        </w:rPr>
        <w:t>同时出现两种以上不一致的，按照前款规定的顺序修正。修正后的报价按照财政部公布第87号令 《政府采购货物和服务招标投标管理办法》第五十一条第二款的规定经</w:t>
      </w:r>
      <w:r>
        <w:rPr>
          <w:rFonts w:hint="eastAsia" w:ascii="Arial" w:hAnsi="Arial" w:cs="Arial"/>
          <w:color w:val="auto"/>
          <w:szCs w:val="21"/>
          <w:highlight w:val="none"/>
        </w:rPr>
        <w:t>投标供应商</w:t>
      </w:r>
      <w:r>
        <w:rPr>
          <w:rFonts w:ascii="Arial" w:hAnsi="Arial" w:cs="Arial"/>
          <w:color w:val="auto"/>
          <w:szCs w:val="21"/>
          <w:highlight w:val="none"/>
        </w:rPr>
        <w:t>确认后产生约束力，</w:t>
      </w:r>
      <w:r>
        <w:rPr>
          <w:rFonts w:hint="eastAsia" w:ascii="Arial" w:hAnsi="Arial" w:cs="Arial"/>
          <w:color w:val="auto"/>
          <w:szCs w:val="21"/>
          <w:highlight w:val="none"/>
        </w:rPr>
        <w:t>投标供应商</w:t>
      </w:r>
      <w:r>
        <w:rPr>
          <w:rFonts w:ascii="Arial" w:hAnsi="Arial" w:cs="Arial"/>
          <w:color w:val="auto"/>
          <w:szCs w:val="21"/>
          <w:highlight w:val="none"/>
        </w:rPr>
        <w:t>不确认的，其投标无效。</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比较与评价：评标委员会按招标文件中规定的评标方法和标准，对资格性检查和符合性检查合格的投标文件进行报价和技术资信评估，先评技术资信部份，再评报价部份，综合比较与评价，宣布评价结果；接着对技术和商务都合格的投标报价予以审查，计算报价得分。评标委员会对投标文件的判定，只依据投标文件内容本身，不依据任何外来证明。</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废标</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开标之后，直到授予投标供应商合同止，凡是属于审查、澄清、评价和比较投标的有关资料以及授标意向等，均不得向投标供应商或其他无关的人员透露。</w:t>
      </w:r>
    </w:p>
    <w:p>
      <w:pPr>
        <w:numPr>
          <w:ilvl w:val="1"/>
          <w:numId w:val="6"/>
        </w:numPr>
        <w:spacing w:line="360" w:lineRule="auto"/>
        <w:jc w:val="both"/>
        <w:rPr>
          <w:rFonts w:ascii="Arial" w:hAnsi="Arial" w:cs="Arial"/>
          <w:color w:val="auto"/>
          <w:szCs w:val="22"/>
          <w:highlight w:val="none"/>
        </w:rPr>
      </w:pPr>
      <w:r>
        <w:rPr>
          <w:rFonts w:ascii="Arial" w:hAnsi="Arial" w:cs="Arial"/>
          <w:color w:val="auto"/>
          <w:szCs w:val="22"/>
          <w:highlight w:val="none"/>
        </w:rPr>
        <w:t>根据《中华人民共和国政府采购法》第三十六条，出现下列情形之一的，应予以废标：</w:t>
      </w:r>
    </w:p>
    <w:p>
      <w:pPr>
        <w:spacing w:line="360" w:lineRule="auto"/>
        <w:ind w:firstLine="420" w:firstLineChars="200"/>
        <w:rPr>
          <w:rFonts w:ascii="Arial" w:hAnsi="Arial" w:cs="Arial"/>
          <w:snapToGrid w:val="0"/>
          <w:color w:val="auto"/>
          <w:szCs w:val="21"/>
          <w:highlight w:val="none"/>
        </w:rPr>
      </w:pPr>
      <w:r>
        <w:rPr>
          <w:rFonts w:ascii="Arial" w:hAnsi="Arial" w:cs="Arial"/>
          <w:snapToGrid w:val="0"/>
          <w:color w:val="auto"/>
          <w:szCs w:val="21"/>
          <w:highlight w:val="none"/>
        </w:rPr>
        <w:t>（1）符合专业条件的供应商或者对采购文件作实质响应的供应商不足三家的；</w:t>
      </w:r>
    </w:p>
    <w:p>
      <w:pPr>
        <w:spacing w:line="360" w:lineRule="auto"/>
        <w:ind w:firstLine="420" w:firstLineChars="200"/>
        <w:rPr>
          <w:rFonts w:ascii="Arial" w:hAnsi="Arial" w:cs="Arial"/>
          <w:snapToGrid w:val="0"/>
          <w:color w:val="auto"/>
          <w:szCs w:val="21"/>
          <w:highlight w:val="none"/>
        </w:rPr>
      </w:pPr>
      <w:r>
        <w:rPr>
          <w:rFonts w:ascii="Arial" w:hAnsi="Arial" w:cs="Arial"/>
          <w:snapToGrid w:val="0"/>
          <w:color w:val="auto"/>
          <w:szCs w:val="21"/>
          <w:highlight w:val="none"/>
        </w:rPr>
        <w:t>（2）出现影响采购公正的违法、违规行为的；</w:t>
      </w:r>
    </w:p>
    <w:p>
      <w:pPr>
        <w:spacing w:line="360" w:lineRule="auto"/>
        <w:ind w:firstLine="420" w:firstLineChars="200"/>
        <w:rPr>
          <w:rFonts w:ascii="Arial" w:hAnsi="Arial" w:cs="Arial"/>
          <w:snapToGrid w:val="0"/>
          <w:color w:val="auto"/>
          <w:szCs w:val="21"/>
          <w:highlight w:val="none"/>
        </w:rPr>
      </w:pPr>
      <w:r>
        <w:rPr>
          <w:rFonts w:ascii="Arial" w:hAnsi="Arial" w:cs="Arial"/>
          <w:snapToGrid w:val="0"/>
          <w:color w:val="auto"/>
          <w:szCs w:val="21"/>
          <w:highlight w:val="none"/>
        </w:rPr>
        <w:t>（3）所有</w:t>
      </w:r>
      <w:r>
        <w:rPr>
          <w:rFonts w:hint="eastAsia" w:ascii="Arial" w:hAnsi="Arial" w:cs="Arial"/>
          <w:snapToGrid w:val="0"/>
          <w:color w:val="auto"/>
          <w:szCs w:val="21"/>
          <w:highlight w:val="none"/>
        </w:rPr>
        <w:t>投标供应商</w:t>
      </w:r>
      <w:r>
        <w:rPr>
          <w:rFonts w:ascii="Arial" w:hAnsi="Arial" w:cs="Arial"/>
          <w:snapToGrid w:val="0"/>
          <w:color w:val="auto"/>
          <w:szCs w:val="21"/>
          <w:highlight w:val="none"/>
        </w:rPr>
        <w:t>的报价均超过了采购预算，</w:t>
      </w:r>
      <w:r>
        <w:rPr>
          <w:rFonts w:hint="eastAsia" w:ascii="Arial" w:hAnsi="Arial" w:cs="Arial"/>
          <w:snapToGrid w:val="0"/>
          <w:color w:val="auto"/>
          <w:szCs w:val="21"/>
          <w:highlight w:val="none"/>
        </w:rPr>
        <w:t>采购人</w:t>
      </w:r>
      <w:r>
        <w:rPr>
          <w:rFonts w:ascii="Arial" w:hAnsi="Arial" w:cs="Arial"/>
          <w:snapToGrid w:val="0"/>
          <w:color w:val="auto"/>
          <w:szCs w:val="21"/>
          <w:highlight w:val="none"/>
        </w:rPr>
        <w:t>不能支付的；</w:t>
      </w:r>
    </w:p>
    <w:p>
      <w:pPr>
        <w:spacing w:line="360" w:lineRule="auto"/>
        <w:ind w:firstLine="420" w:firstLineChars="200"/>
        <w:rPr>
          <w:rFonts w:ascii="Arial" w:hAnsi="Arial" w:cs="Arial"/>
          <w:snapToGrid w:val="0"/>
          <w:color w:val="auto"/>
          <w:szCs w:val="21"/>
          <w:highlight w:val="none"/>
        </w:rPr>
      </w:pPr>
      <w:r>
        <w:rPr>
          <w:rFonts w:ascii="Arial" w:hAnsi="Arial" w:cs="Arial"/>
          <w:snapToGrid w:val="0"/>
          <w:color w:val="auto"/>
          <w:szCs w:val="21"/>
          <w:highlight w:val="none"/>
        </w:rPr>
        <w:t>（4）因重大变故，采购任务取消的。</w:t>
      </w:r>
    </w:p>
    <w:p>
      <w:pPr>
        <w:numPr>
          <w:ilvl w:val="1"/>
          <w:numId w:val="6"/>
        </w:numPr>
        <w:spacing w:line="360" w:lineRule="auto"/>
        <w:jc w:val="both"/>
        <w:rPr>
          <w:rFonts w:ascii="Arial" w:hAnsi="Arial" w:cs="Arial"/>
          <w:color w:val="auto"/>
          <w:szCs w:val="22"/>
          <w:highlight w:val="none"/>
        </w:rPr>
      </w:pPr>
      <w:r>
        <w:rPr>
          <w:rFonts w:ascii="Arial" w:hAnsi="Arial" w:cs="Arial"/>
          <w:color w:val="auto"/>
          <w:szCs w:val="22"/>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Arial" w:hAnsi="Arial" w:cs="Arial"/>
          <w:color w:val="auto"/>
          <w:szCs w:val="22"/>
          <w:highlight w:val="none"/>
        </w:rPr>
      </w:pPr>
      <w:r>
        <w:rPr>
          <w:rFonts w:ascii="Arial" w:hAnsi="Arial" w:cs="Arial"/>
          <w:color w:val="auto"/>
          <w:szCs w:val="22"/>
          <w:highlight w:val="none"/>
        </w:rPr>
        <w:t xml:space="preserve">（1）电子交易平台发生故障而无法登录访问的； </w:t>
      </w:r>
    </w:p>
    <w:p>
      <w:pPr>
        <w:spacing w:line="360" w:lineRule="auto"/>
        <w:ind w:firstLine="420" w:firstLineChars="200"/>
        <w:rPr>
          <w:rFonts w:ascii="Arial" w:hAnsi="Arial" w:cs="Arial"/>
          <w:color w:val="auto"/>
          <w:szCs w:val="22"/>
          <w:highlight w:val="none"/>
        </w:rPr>
      </w:pPr>
      <w:r>
        <w:rPr>
          <w:rFonts w:ascii="Arial" w:hAnsi="Arial" w:cs="Arial"/>
          <w:color w:val="auto"/>
          <w:szCs w:val="22"/>
          <w:highlight w:val="none"/>
        </w:rPr>
        <w:t>（2）电子交易平台应用或数据库出现错误，不能进行正常操作的；</w:t>
      </w:r>
    </w:p>
    <w:p>
      <w:pPr>
        <w:spacing w:line="360" w:lineRule="auto"/>
        <w:ind w:firstLine="420" w:firstLineChars="200"/>
        <w:rPr>
          <w:rFonts w:ascii="Arial" w:hAnsi="Arial" w:cs="Arial"/>
          <w:color w:val="auto"/>
          <w:szCs w:val="22"/>
          <w:highlight w:val="none"/>
        </w:rPr>
      </w:pPr>
      <w:r>
        <w:rPr>
          <w:rFonts w:ascii="Arial" w:hAnsi="Arial" w:cs="Arial"/>
          <w:color w:val="auto"/>
          <w:szCs w:val="22"/>
          <w:highlight w:val="none"/>
        </w:rPr>
        <w:t>（3）电子交易平台发现严重安全漏洞，有潜在泄密危险的；</w:t>
      </w:r>
    </w:p>
    <w:p>
      <w:pPr>
        <w:spacing w:line="360" w:lineRule="auto"/>
        <w:ind w:firstLine="420" w:firstLineChars="200"/>
        <w:rPr>
          <w:rFonts w:ascii="Arial" w:hAnsi="Arial" w:cs="Arial"/>
          <w:color w:val="auto"/>
          <w:szCs w:val="22"/>
          <w:highlight w:val="none"/>
        </w:rPr>
      </w:pPr>
      <w:r>
        <w:rPr>
          <w:rFonts w:ascii="Arial" w:hAnsi="Arial" w:cs="Arial"/>
          <w:color w:val="auto"/>
          <w:szCs w:val="22"/>
          <w:highlight w:val="none"/>
        </w:rPr>
        <w:t xml:space="preserve">（4）病毒发作导致不能进行正常操作的； </w:t>
      </w:r>
    </w:p>
    <w:p>
      <w:pPr>
        <w:spacing w:line="360" w:lineRule="auto"/>
        <w:ind w:firstLine="420" w:firstLineChars="200"/>
        <w:rPr>
          <w:rFonts w:ascii="Arial" w:hAnsi="Arial" w:cs="Arial"/>
          <w:color w:val="auto"/>
          <w:szCs w:val="22"/>
          <w:highlight w:val="none"/>
        </w:rPr>
      </w:pPr>
      <w:r>
        <w:rPr>
          <w:rFonts w:ascii="Arial" w:hAnsi="Arial" w:cs="Arial"/>
          <w:color w:val="auto"/>
          <w:szCs w:val="22"/>
          <w:highlight w:val="none"/>
        </w:rPr>
        <w:t>（5）其他无法保证电子交易的公平、公正和安全的情况。</w:t>
      </w:r>
    </w:p>
    <w:p>
      <w:pPr>
        <w:spacing w:line="360" w:lineRule="auto"/>
        <w:ind w:firstLine="420" w:firstLineChars="200"/>
        <w:rPr>
          <w:rFonts w:ascii="Arial" w:hAnsi="Arial" w:cs="Arial"/>
          <w:color w:val="auto"/>
          <w:szCs w:val="22"/>
          <w:highlight w:val="none"/>
        </w:rPr>
      </w:pPr>
      <w:r>
        <w:rPr>
          <w:rFonts w:ascii="Arial" w:hAnsi="Arial" w:cs="Arial"/>
          <w:color w:val="auto"/>
          <w:szCs w:val="2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numPr>
          <w:ilvl w:val="1"/>
          <w:numId w:val="6"/>
        </w:numPr>
        <w:spacing w:line="360" w:lineRule="auto"/>
        <w:jc w:val="both"/>
        <w:rPr>
          <w:rFonts w:ascii="Arial" w:hAnsi="Arial" w:cs="Arial"/>
          <w:color w:val="auto"/>
          <w:highlight w:val="none"/>
        </w:rPr>
      </w:pPr>
      <w:r>
        <w:rPr>
          <w:rFonts w:ascii="Arial" w:hAnsi="Arial" w:cs="Arial"/>
          <w:color w:val="auto"/>
          <w:szCs w:val="22"/>
          <w:highlight w:val="none"/>
        </w:rPr>
        <w:t>废标后，</w:t>
      </w:r>
      <w:r>
        <w:rPr>
          <w:rFonts w:hint="eastAsia" w:ascii="Arial" w:hAnsi="Arial" w:cs="Arial"/>
          <w:color w:val="auto"/>
          <w:szCs w:val="22"/>
          <w:highlight w:val="none"/>
        </w:rPr>
        <w:t>采购人</w:t>
      </w:r>
      <w:r>
        <w:rPr>
          <w:rFonts w:ascii="Arial" w:hAnsi="Arial" w:cs="Arial"/>
          <w:color w:val="auto"/>
          <w:szCs w:val="22"/>
          <w:highlight w:val="none"/>
        </w:rPr>
        <w:t>应当将废标理由通知所有</w:t>
      </w:r>
      <w:r>
        <w:rPr>
          <w:rFonts w:hint="eastAsia" w:ascii="Arial" w:hAnsi="Arial" w:cs="Arial"/>
          <w:color w:val="auto"/>
          <w:szCs w:val="22"/>
          <w:highlight w:val="none"/>
        </w:rPr>
        <w:t>投标供应商</w:t>
      </w:r>
      <w:r>
        <w:rPr>
          <w:rFonts w:ascii="Arial" w:hAnsi="Arial" w:cs="Arial"/>
          <w:color w:val="auto"/>
          <w:szCs w:val="22"/>
          <w:highlight w:val="none"/>
        </w:rPr>
        <w:t>并重新组织招标；或者经主管部门批准，采取其他方式组织采购。</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评标过程保密</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开标之后，直到授予投标供应商合同止，凡是属于审查、澄清、评价和比较投标的有关资料以及授标意向等，均不得向投标供应商或其他无关的人员透露。</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在评标期间，投标供应商企图影响招标代理机构或评标委员会的任何活动，都将导致投标被拒绝，并由其承担相应的法律责任。</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中标供应商的确定</w:t>
      </w:r>
    </w:p>
    <w:p>
      <w:pPr>
        <w:numPr>
          <w:ilvl w:val="1"/>
          <w:numId w:val="6"/>
        </w:numPr>
        <w:spacing w:line="360" w:lineRule="auto"/>
        <w:jc w:val="both"/>
        <w:rPr>
          <w:rFonts w:ascii="Arial" w:hAnsi="Arial" w:cs="Arial"/>
          <w:color w:val="auto"/>
          <w:highlight w:val="none"/>
        </w:rPr>
      </w:pPr>
      <w:r>
        <w:rPr>
          <w:rFonts w:hint="eastAsia" w:ascii="Arial" w:hAnsi="Arial" w:cs="Arial"/>
          <w:color w:val="auto"/>
          <w:highlight w:val="none"/>
        </w:rPr>
        <w:t>采购人</w:t>
      </w:r>
      <w:r>
        <w:rPr>
          <w:rFonts w:ascii="Arial" w:hAnsi="Arial" w:cs="Arial"/>
          <w:color w:val="auto"/>
          <w:highlight w:val="none"/>
        </w:rPr>
        <w:t>按评标委员会的评审结果，在评标委员会推荐的候选人中依法确定排名第一的候选人为中标供应商。</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拒绝任何或所有投标的权利</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评标委员会经评审，认为所有投标都不符合招标文件要求的，可以否决所有投标。</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如果候选人的部分或全部投标高于政府采购预算金额时，招标代理机构将取消其中标资格，对受影响的投标供应商不承担任何责任，也无义务向受影响的投标供应商解释采取这一行动的理由。</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如果第一候选人不能按照招标文件要求及其投标文件的承诺签订合同或其投标文件与事实不符，影响采购的公平公开及合同的实施，</w:t>
      </w:r>
      <w:r>
        <w:rPr>
          <w:rFonts w:hint="eastAsia" w:ascii="Arial" w:hAnsi="Arial" w:cs="Arial"/>
          <w:color w:val="auto"/>
          <w:highlight w:val="none"/>
        </w:rPr>
        <w:t>采购人</w:t>
      </w:r>
      <w:r>
        <w:rPr>
          <w:rFonts w:ascii="Arial" w:hAnsi="Arial" w:cs="Arial"/>
          <w:color w:val="auto"/>
          <w:highlight w:val="none"/>
        </w:rPr>
        <w:t>有权在授予合同前任何时候依照法定程序将合同授予第二候选人；如果第二候选人仍无法签订合同，</w:t>
      </w:r>
      <w:r>
        <w:rPr>
          <w:rFonts w:hint="eastAsia" w:ascii="Arial" w:hAnsi="Arial" w:cs="Arial"/>
          <w:color w:val="auto"/>
          <w:highlight w:val="none"/>
        </w:rPr>
        <w:t>采购人</w:t>
      </w:r>
      <w:r>
        <w:rPr>
          <w:rFonts w:ascii="Arial" w:hAnsi="Arial" w:cs="Arial"/>
          <w:color w:val="auto"/>
          <w:highlight w:val="none"/>
        </w:rPr>
        <w:t>有权在授予合同前任何时候依照法定程序将合同授予第三候选人；以此类推。若所有候选人均无法签订合同，</w:t>
      </w:r>
      <w:r>
        <w:rPr>
          <w:rFonts w:hint="eastAsia" w:ascii="Arial" w:hAnsi="Arial" w:cs="Arial"/>
          <w:color w:val="auto"/>
          <w:highlight w:val="none"/>
        </w:rPr>
        <w:t>采购人</w:t>
      </w:r>
      <w:r>
        <w:rPr>
          <w:rFonts w:ascii="Arial" w:hAnsi="Arial" w:cs="Arial"/>
          <w:color w:val="auto"/>
          <w:highlight w:val="none"/>
        </w:rPr>
        <w:t>将依法接受或拒绝任何投标，并宣布采购无效，对受影响的投标供应商不承担任何责任，也无义务向受影响的投标供应商解释采取这一行动的理由。</w:t>
      </w:r>
    </w:p>
    <w:p>
      <w:pPr>
        <w:numPr>
          <w:ilvl w:val="0"/>
          <w:numId w:val="6"/>
        </w:numPr>
        <w:spacing w:line="360" w:lineRule="auto"/>
        <w:jc w:val="both"/>
        <w:rPr>
          <w:rFonts w:ascii="Arial" w:hAnsi="Arial" w:cs="Arial"/>
          <w:b/>
          <w:color w:val="auto"/>
          <w:sz w:val="24"/>
          <w:highlight w:val="none"/>
        </w:rPr>
      </w:pPr>
      <w:r>
        <w:rPr>
          <w:rFonts w:ascii="Arial" w:hAnsi="Arial" w:cs="Arial"/>
          <w:b/>
          <w:color w:val="auto"/>
          <w:sz w:val="24"/>
          <w:highlight w:val="none"/>
        </w:rPr>
        <w:t>质疑与投诉</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投标供应商认为招标文件、招标过程和中标结果使自己的合法权益受到损害的，应当在知道或者应知其权益受到损害之日起七个工作日内，以书面形式向</w:t>
      </w:r>
      <w:r>
        <w:rPr>
          <w:rFonts w:hint="eastAsia" w:ascii="Arial" w:hAnsi="Arial" w:cs="Arial"/>
          <w:color w:val="auto"/>
          <w:highlight w:val="none"/>
        </w:rPr>
        <w:t>采购人</w:t>
      </w:r>
      <w:r>
        <w:rPr>
          <w:rFonts w:ascii="Arial" w:hAnsi="Arial" w:cs="Arial"/>
          <w:color w:val="auto"/>
          <w:highlight w:val="none"/>
        </w:rPr>
        <w:t>、招标代理机构提出质疑。投标供应商对招标采购单位的质疑答复不满意或者招标采购单位未在规定时间内作出答复的，可以在答复期满后十五个工作日内向同级采购监管部门投诉。</w:t>
      </w:r>
      <w:r>
        <w:rPr>
          <w:rFonts w:hint="eastAsia" w:ascii="宋体" w:hAnsi="宋体" w:cs="Arial Unicode MS"/>
          <w:bCs/>
          <w:color w:val="auto"/>
          <w:szCs w:val="21"/>
          <w:highlight w:val="none"/>
        </w:rPr>
        <w:t>供应商也可按《浙江省财政厅关于疫情防控期间政府采购投诉举报处理相关工作的公告》要求进行在线投诉。</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对采购公告信息（含供应商资格条件）或网上下载的采购文件提出质疑的，质疑期限自采购公告或采购文件发布之日起计算。对实行购买的采购文件提出质疑的，质疑期限自供应商获得采购文件之日起计算（但采购文件在发售或截止日后获得的，应当自截止之日起计算），且应当在采购响应截止时间之前提出，否则，被质疑人可不予接受。</w:t>
      </w:r>
    </w:p>
    <w:p>
      <w:pPr>
        <w:numPr>
          <w:ilvl w:val="1"/>
          <w:numId w:val="6"/>
        </w:numPr>
        <w:spacing w:line="360" w:lineRule="auto"/>
        <w:jc w:val="both"/>
        <w:rPr>
          <w:rFonts w:ascii="Arial" w:hAnsi="Arial" w:cs="Arial"/>
          <w:color w:val="auto"/>
          <w:highlight w:val="none"/>
        </w:rPr>
      </w:pPr>
      <w:r>
        <w:rPr>
          <w:rFonts w:ascii="Arial" w:hAnsi="Arial" w:cs="Arial"/>
          <w:color w:val="auto"/>
          <w:highlight w:val="none"/>
        </w:rPr>
        <w:t>质疑、投诉应当采用书面形式，质疑书、投诉书均应明确阐述招标文件、招标过程和中标结果中使自己合法权益受到损害的实质性内容，提供相关事实、依据和证据及其来源或线索，便于有关单位调查、答复和处理。</w:t>
      </w:r>
    </w:p>
    <w:p>
      <w:pPr>
        <w:spacing w:line="360" w:lineRule="auto"/>
        <w:ind w:firstLine="840" w:firstLineChars="400"/>
        <w:jc w:val="both"/>
        <w:rPr>
          <w:rFonts w:ascii="Arial" w:hAnsi="Arial" w:cs="Arial"/>
          <w:color w:val="auto"/>
          <w:highlight w:val="none"/>
        </w:rPr>
      </w:pPr>
      <w:r>
        <w:rPr>
          <w:rFonts w:hint="eastAsia" w:ascii="Arial" w:hAnsi="Arial" w:cs="Arial"/>
          <w:color w:val="auto"/>
          <w:highlight w:val="none"/>
        </w:rPr>
        <w:t>（1）质疑受理机构：温州瑞辀工程项目管理有限公司</w:t>
      </w:r>
    </w:p>
    <w:p>
      <w:pPr>
        <w:spacing w:line="360" w:lineRule="auto"/>
        <w:ind w:firstLine="1365" w:firstLineChars="650"/>
        <w:jc w:val="both"/>
        <w:rPr>
          <w:rFonts w:ascii="Arial" w:hAnsi="Arial" w:cs="Arial"/>
          <w:color w:val="auto"/>
          <w:highlight w:val="none"/>
        </w:rPr>
      </w:pPr>
      <w:r>
        <w:rPr>
          <w:rFonts w:hint="eastAsia" w:ascii="Arial" w:hAnsi="Arial" w:cs="Arial"/>
          <w:color w:val="auto"/>
          <w:highlight w:val="none"/>
        </w:rPr>
        <w:t>受理电话：</w:t>
      </w:r>
      <w:r>
        <w:rPr>
          <w:rFonts w:hint="eastAsia" w:ascii="Arial" w:hAnsi="Arial" w:cs="Arial"/>
          <w:color w:val="auto"/>
          <w:szCs w:val="22"/>
          <w:highlight w:val="none"/>
        </w:rPr>
        <w:t>0577-66800081</w:t>
      </w:r>
    </w:p>
    <w:p>
      <w:pPr>
        <w:spacing w:line="360" w:lineRule="auto"/>
        <w:ind w:firstLine="840" w:firstLineChars="400"/>
        <w:jc w:val="both"/>
        <w:rPr>
          <w:rFonts w:ascii="Arial" w:hAnsi="Arial" w:cs="Arial"/>
          <w:color w:val="auto"/>
          <w:highlight w:val="none"/>
        </w:rPr>
      </w:pPr>
      <w:r>
        <w:rPr>
          <w:rFonts w:ascii="Arial" w:hAnsi="Arial" w:cs="Arial"/>
          <w:color w:val="auto"/>
          <w:highlight w:val="none"/>
        </w:rPr>
        <w:t>（</w:t>
      </w:r>
      <w:r>
        <w:rPr>
          <w:rFonts w:hint="eastAsia" w:ascii="Arial" w:hAnsi="Arial" w:cs="Arial"/>
          <w:color w:val="auto"/>
          <w:highlight w:val="none"/>
        </w:rPr>
        <w:t>2</w:t>
      </w:r>
      <w:r>
        <w:rPr>
          <w:rFonts w:ascii="Arial" w:hAnsi="Arial" w:cs="Arial"/>
          <w:color w:val="auto"/>
          <w:highlight w:val="none"/>
        </w:rPr>
        <w:t>）</w:t>
      </w:r>
      <w:r>
        <w:rPr>
          <w:rFonts w:hint="eastAsia" w:ascii="Arial" w:hAnsi="Arial" w:cs="Arial"/>
          <w:color w:val="auto"/>
          <w:highlight w:val="none"/>
        </w:rPr>
        <w:t>质疑受理机构：瑞安市综合行政执法局</w:t>
      </w:r>
    </w:p>
    <w:p>
      <w:pPr>
        <w:spacing w:line="360" w:lineRule="auto"/>
        <w:ind w:firstLine="1365" w:firstLineChars="650"/>
        <w:jc w:val="both"/>
        <w:rPr>
          <w:rFonts w:ascii="Arial" w:hAnsi="Arial" w:cs="Arial"/>
          <w:color w:val="auto"/>
          <w:highlight w:val="none"/>
        </w:rPr>
      </w:pPr>
      <w:r>
        <w:rPr>
          <w:rFonts w:hint="eastAsia" w:ascii="Arial" w:hAnsi="Arial" w:cs="Arial"/>
          <w:color w:val="auto"/>
          <w:highlight w:val="none"/>
        </w:rPr>
        <w:t>投诉地址：浙江省浙江省瑞安市安阳路772号</w:t>
      </w:r>
    </w:p>
    <w:p>
      <w:pPr>
        <w:spacing w:line="360" w:lineRule="auto"/>
        <w:ind w:firstLine="1365" w:firstLineChars="650"/>
        <w:jc w:val="both"/>
        <w:rPr>
          <w:rFonts w:ascii="Arial" w:hAnsi="Arial" w:cs="Arial"/>
          <w:color w:val="auto"/>
          <w:highlight w:val="none"/>
        </w:rPr>
      </w:pPr>
      <w:r>
        <w:rPr>
          <w:rFonts w:hint="eastAsia" w:ascii="Arial" w:hAnsi="Arial" w:cs="Arial"/>
          <w:color w:val="auto"/>
          <w:highlight w:val="none"/>
        </w:rPr>
        <w:t>投诉电话：13958892093</w:t>
      </w:r>
    </w:p>
    <w:p>
      <w:pPr>
        <w:spacing w:line="360" w:lineRule="auto"/>
        <w:ind w:firstLine="840" w:firstLineChars="400"/>
        <w:jc w:val="both"/>
        <w:rPr>
          <w:rFonts w:ascii="Arial" w:hAnsi="Arial" w:cs="Arial"/>
          <w:color w:val="auto"/>
          <w:highlight w:val="none"/>
        </w:rPr>
      </w:pPr>
      <w:r>
        <w:rPr>
          <w:rFonts w:hint="eastAsia" w:ascii="Arial" w:hAnsi="Arial" w:cs="Arial"/>
          <w:color w:val="auto"/>
          <w:highlight w:val="none"/>
        </w:rPr>
        <w:t>（3）投诉受理机构：瑞安市财政局政府采购监督管理科</w:t>
      </w:r>
    </w:p>
    <w:p>
      <w:pPr>
        <w:tabs>
          <w:tab w:val="left" w:pos="425"/>
          <w:tab w:val="left" w:pos="1133"/>
        </w:tabs>
        <w:spacing w:line="360" w:lineRule="auto"/>
        <w:ind w:left="1418"/>
        <w:rPr>
          <w:rFonts w:ascii="Arial" w:hAnsi="Arial" w:cs="Arial"/>
          <w:color w:val="auto"/>
          <w:highlight w:val="none"/>
        </w:rPr>
      </w:pPr>
      <w:r>
        <w:rPr>
          <w:rFonts w:ascii="Arial" w:hAnsi="Arial" w:cs="Arial"/>
          <w:color w:val="auto"/>
          <w:highlight w:val="none"/>
        </w:rPr>
        <w:t>投诉地址：瑞安市财政局大楼15楼</w:t>
      </w:r>
    </w:p>
    <w:p>
      <w:pPr>
        <w:tabs>
          <w:tab w:val="left" w:pos="425"/>
          <w:tab w:val="left" w:pos="1133"/>
        </w:tabs>
        <w:spacing w:line="360" w:lineRule="auto"/>
        <w:ind w:left="1418"/>
        <w:rPr>
          <w:rFonts w:ascii="Arial" w:hAnsi="Arial" w:cs="Arial"/>
          <w:color w:val="auto"/>
          <w:highlight w:val="none"/>
        </w:rPr>
      </w:pPr>
      <w:r>
        <w:rPr>
          <w:rFonts w:ascii="Arial" w:hAnsi="Arial" w:cs="Arial"/>
          <w:color w:val="auto"/>
          <w:highlight w:val="none"/>
        </w:rPr>
        <w:t>投诉电话：0577-65827567</w:t>
      </w:r>
    </w:p>
    <w:p>
      <w:pPr>
        <w:pStyle w:val="4"/>
        <w:spacing w:before="0" w:after="0" w:line="360" w:lineRule="auto"/>
        <w:jc w:val="center"/>
        <w:rPr>
          <w:rFonts w:ascii="宋体" w:hAnsi="宋体" w:cs="宋体"/>
          <w:color w:val="auto"/>
          <w:sz w:val="24"/>
          <w:szCs w:val="24"/>
          <w:highlight w:val="none"/>
        </w:rPr>
      </w:pPr>
      <w:bookmarkStart w:id="22" w:name="_Toc22253"/>
      <w:bookmarkStart w:id="23" w:name="_Toc6241"/>
      <w:bookmarkStart w:id="24" w:name="_Toc20357"/>
      <w:r>
        <w:rPr>
          <w:rFonts w:hint="eastAsia" w:ascii="宋体" w:hAnsi="宋体" w:cs="宋体"/>
          <w:color w:val="auto"/>
          <w:sz w:val="24"/>
          <w:szCs w:val="24"/>
          <w:highlight w:val="none"/>
        </w:rPr>
        <w:t>（七）</w:t>
      </w:r>
      <w:bookmarkEnd w:id="22"/>
      <w:bookmarkEnd w:id="23"/>
      <w:r>
        <w:rPr>
          <w:rFonts w:hint="eastAsia" w:ascii="宋体" w:hAnsi="宋体" w:cs="宋体"/>
          <w:color w:val="auto"/>
          <w:sz w:val="24"/>
          <w:szCs w:val="24"/>
          <w:highlight w:val="none"/>
        </w:rPr>
        <w:t>其他</w:t>
      </w:r>
      <w:bookmarkEnd w:id="24"/>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中标通知</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在投标有效期期满之前，招标代理机构将用书面形式向获接受的投标供应商发出书面的《中标通知书》。《中标通知书》将是合同的一个组成部分。</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签订合同</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中标供应商自接到中标通知书后30个工作日内，必须依照《中华人民共和国政府采购法》、招标文件、投标文件的各项条款的要约与承诺，与采购人签订合同。</w:t>
      </w:r>
    </w:p>
    <w:p>
      <w:pPr>
        <w:numPr>
          <w:ilvl w:val="1"/>
          <w:numId w:val="6"/>
        </w:numPr>
        <w:spacing w:line="360" w:lineRule="auto"/>
        <w:jc w:val="both"/>
        <w:rPr>
          <w:rFonts w:ascii="宋体" w:hAnsi="宋体" w:cs="宋体"/>
          <w:color w:val="auto"/>
          <w:highlight w:val="none"/>
        </w:rPr>
      </w:pPr>
      <w:r>
        <w:rPr>
          <w:rFonts w:hint="eastAsia" w:ascii="宋体" w:hAnsi="宋体" w:cs="宋体"/>
          <w:color w:val="auto"/>
          <w:highlight w:val="none"/>
        </w:rPr>
        <w:t>招标文件、中标供应商的投标文件及其澄清文件等，均为签订经济合同的依据。</w:t>
      </w:r>
    </w:p>
    <w:p>
      <w:pPr>
        <w:numPr>
          <w:ilvl w:val="1"/>
          <w:numId w:val="6"/>
        </w:numPr>
        <w:tabs>
          <w:tab w:val="left" w:pos="640"/>
          <w:tab w:val="clear" w:pos="851"/>
        </w:tabs>
        <w:spacing w:line="360" w:lineRule="auto"/>
        <w:ind w:left="649" w:hanging="648" w:hangingChars="309"/>
        <w:jc w:val="both"/>
        <w:rPr>
          <w:rFonts w:ascii="宋体" w:hAnsi="宋体" w:cs="宋体"/>
          <w:color w:val="auto"/>
          <w:highlight w:val="none"/>
        </w:rPr>
      </w:pPr>
      <w:r>
        <w:rPr>
          <w:rFonts w:hint="eastAsia" w:ascii="宋体" w:hAnsi="宋体" w:cs="宋体"/>
          <w:color w:val="auto"/>
          <w:highlight w:val="none"/>
        </w:rPr>
        <w:t>中标供应商不遵守招标文件或投标书的要约、承诺，擅自修改报价或在接到中标通知书后，借故拖延、拒签合同者，</w:t>
      </w:r>
      <w:r>
        <w:rPr>
          <w:rFonts w:hint="eastAsia" w:ascii="Arial" w:hAnsi="Arial" w:cs="Arial"/>
          <w:color w:val="auto"/>
          <w:highlight w:val="none"/>
        </w:rPr>
        <w:t>需</w:t>
      </w:r>
      <w:r>
        <w:rPr>
          <w:rFonts w:ascii="Arial" w:hAnsi="Arial" w:cs="Arial"/>
          <w:color w:val="auto"/>
          <w:highlight w:val="none"/>
        </w:rPr>
        <w:t>赔偿</w:t>
      </w:r>
      <w:r>
        <w:rPr>
          <w:rFonts w:hint="eastAsia" w:ascii="Arial" w:hAnsi="Arial" w:cs="Arial"/>
          <w:color w:val="auto"/>
          <w:highlight w:val="none"/>
        </w:rPr>
        <w:t>采购人</w:t>
      </w:r>
      <w:r>
        <w:rPr>
          <w:rFonts w:ascii="Arial" w:hAnsi="Arial" w:cs="Arial"/>
          <w:color w:val="auto"/>
          <w:highlight w:val="none"/>
        </w:rPr>
        <w:t>损失。同时，招标代理机构取消该单位的中标资格，另选其它投标供应商中标。</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采购结果通知</w:t>
      </w:r>
    </w:p>
    <w:p>
      <w:pPr>
        <w:spacing w:line="360" w:lineRule="auto"/>
        <w:ind w:left="840" w:leftChars="400"/>
        <w:jc w:val="both"/>
        <w:rPr>
          <w:rFonts w:ascii="宋体" w:hAnsi="宋体" w:cs="宋体"/>
          <w:color w:val="auto"/>
          <w:highlight w:val="none"/>
        </w:rPr>
      </w:pPr>
      <w:r>
        <w:rPr>
          <w:rFonts w:hint="eastAsia" w:ascii="宋体" w:hAnsi="宋体" w:cs="宋体"/>
          <w:color w:val="auto"/>
          <w:highlight w:val="none"/>
        </w:rPr>
        <w:t>招标代理机构在发出《中标通知书》的同时在 “瑞安市公共资源交易网”（网址：http://www.raztb.com）与“浙江省政府采购网” （网址：zfcg.czt.zj.gov.cn） 发布中标结果。</w:t>
      </w:r>
    </w:p>
    <w:p>
      <w:pPr>
        <w:numPr>
          <w:ilvl w:val="0"/>
          <w:numId w:val="6"/>
        </w:num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代理服务费</w:t>
      </w:r>
    </w:p>
    <w:p>
      <w:pPr>
        <w:numPr>
          <w:ilvl w:val="1"/>
          <w:numId w:val="6"/>
        </w:numPr>
        <w:spacing w:line="360" w:lineRule="auto"/>
        <w:jc w:val="both"/>
        <w:rPr>
          <w:rFonts w:ascii="宋体" w:hAnsi="宋体"/>
          <w:bCs/>
          <w:color w:val="auto"/>
          <w:szCs w:val="21"/>
          <w:highlight w:val="none"/>
        </w:rPr>
        <w:sectPr>
          <w:headerReference r:id="rId5" w:type="default"/>
          <w:footerReference r:id="rId6" w:type="default"/>
          <w:pgSz w:w="11906" w:h="16838"/>
          <w:pgMar w:top="1417" w:right="1417" w:bottom="1417" w:left="1417" w:header="850" w:footer="992" w:gutter="0"/>
          <w:cols w:space="0" w:num="1"/>
          <w:docGrid w:type="lines" w:linePitch="312" w:charSpace="0"/>
        </w:sectPr>
      </w:pPr>
      <w:r>
        <w:rPr>
          <w:rFonts w:hint="eastAsia" w:ascii="宋体" w:hAnsi="宋体" w:cs="宋体"/>
          <w:bCs/>
          <w:color w:val="auto"/>
          <w:highlight w:val="none"/>
        </w:rPr>
        <w:t>经采购人和代理人双方协商，本次采购代理服务费由中标供应商支付，按8000元收取，采购代理服务费不在报价中单列（供应商应在报价中予以考虑）。</w:t>
      </w:r>
      <w:bookmarkStart w:id="25" w:name="_Toc510594123"/>
      <w:bookmarkStart w:id="26" w:name="_Toc510599567"/>
      <w:bookmarkStart w:id="27" w:name="_Toc338075714"/>
    </w:p>
    <w:p>
      <w:pPr>
        <w:tabs>
          <w:tab w:val="left" w:pos="927"/>
          <w:tab w:val="left" w:pos="993"/>
        </w:tabs>
        <w:spacing w:line="360" w:lineRule="auto"/>
        <w:jc w:val="center"/>
        <w:outlineLvl w:val="1"/>
        <w:rPr>
          <w:rFonts w:ascii="黑体" w:hAnsi="黑体" w:eastAsia="黑体" w:cs="黑体"/>
          <w:b/>
          <w:color w:val="auto"/>
          <w:sz w:val="24"/>
          <w:szCs w:val="24"/>
          <w:highlight w:val="none"/>
        </w:rPr>
      </w:pPr>
      <w:bookmarkStart w:id="28" w:name="_Toc9349"/>
      <w:bookmarkStart w:id="29" w:name="_Toc495404509"/>
      <w:bookmarkStart w:id="30" w:name="_Toc488314658"/>
      <w:bookmarkStart w:id="31" w:name="_Toc32340"/>
      <w:bookmarkStart w:id="32" w:name="_Toc21571"/>
      <w:bookmarkStart w:id="33" w:name="_Toc502668317"/>
      <w:bookmarkStart w:id="34" w:name="_Toc452111842"/>
      <w:bookmarkStart w:id="35" w:name="_Toc9140"/>
      <w:bookmarkStart w:id="36" w:name="_Toc11332"/>
      <w:r>
        <w:rPr>
          <w:rFonts w:hint="eastAsia" w:ascii="黑体" w:hAnsi="黑体" w:eastAsia="黑体" w:cs="黑体"/>
          <w:b/>
          <w:color w:val="auto"/>
          <w:sz w:val="24"/>
          <w:szCs w:val="24"/>
          <w:highlight w:val="none"/>
        </w:rPr>
        <w:t>第三部分 招标内容及要求</w:t>
      </w:r>
      <w:bookmarkEnd w:id="28"/>
    </w:p>
    <w:bookmarkEnd w:id="29"/>
    <w:bookmarkEnd w:id="30"/>
    <w:bookmarkEnd w:id="31"/>
    <w:bookmarkEnd w:id="32"/>
    <w:bookmarkEnd w:id="33"/>
    <w:bookmarkEnd w:id="34"/>
    <w:bookmarkEnd w:id="35"/>
    <w:bookmarkEnd w:id="36"/>
    <w:p>
      <w:pPr>
        <w:pStyle w:val="4"/>
        <w:numPr>
          <w:ilvl w:val="0"/>
          <w:numId w:val="13"/>
        </w:numPr>
        <w:tabs>
          <w:tab w:val="left" w:pos="575"/>
          <w:tab w:val="left" w:pos="576"/>
          <w:tab w:val="left" w:pos="840"/>
          <w:tab w:val="left" w:pos="900"/>
          <w:tab w:val="left" w:pos="4406"/>
        </w:tabs>
        <w:spacing w:beforeLines="100" w:afterLines="50" w:line="360" w:lineRule="auto"/>
        <w:ind w:left="958" w:hanging="726"/>
        <w:jc w:val="center"/>
        <w:rPr>
          <w:color w:val="auto"/>
          <w:kern w:val="2"/>
          <w:sz w:val="24"/>
          <w:szCs w:val="24"/>
          <w:highlight w:val="none"/>
        </w:rPr>
      </w:pPr>
      <w:bookmarkStart w:id="37" w:name="_Toc32028"/>
      <w:bookmarkStart w:id="38" w:name="_Toc176658518"/>
      <w:bookmarkStart w:id="39" w:name="_Toc176666481"/>
      <w:r>
        <w:rPr>
          <w:rFonts w:hint="eastAsia" w:ascii="宋体" w:hAnsi="宋体" w:cs="宋体"/>
          <w:color w:val="auto"/>
          <w:sz w:val="24"/>
          <w:highlight w:val="none"/>
        </w:rPr>
        <w:t>概述</w:t>
      </w:r>
      <w:bookmarkEnd w:id="37"/>
    </w:p>
    <w:p>
      <w:pPr>
        <w:numPr>
          <w:ilvl w:val="0"/>
          <w:numId w:val="14"/>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此份招标内容及要求是招标文件的一部分，包括所有条款的具体说明及技术要求，投标供应商需在各自技术和商务占优势的基础上对本次采购的服务进行报价。</w:t>
      </w:r>
    </w:p>
    <w:p>
      <w:pPr>
        <w:numPr>
          <w:ilvl w:val="0"/>
          <w:numId w:val="14"/>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现场踏勘：各投标供应商于投标截止时间前自行到现场进行踏勘 ，以获取本次投标所需的现场资料及数据，投标供应商若未到现场踏勘，引起的一切后果均由其自行负责，由此造成投标价的偏差均不予调整。</w:t>
      </w:r>
    </w:p>
    <w:p>
      <w:pPr>
        <w:numPr>
          <w:ilvl w:val="0"/>
          <w:numId w:val="14"/>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本项目设一个标段，投标供应商须对采购范围内的全部内容进行报价，而不允许只对其中部分内容进行报价，否则投标将被否决，谢绝联合投标。</w:t>
      </w:r>
    </w:p>
    <w:p>
      <w:pPr>
        <w:numPr>
          <w:ilvl w:val="0"/>
          <w:numId w:val="14"/>
        </w:numPr>
        <w:tabs>
          <w:tab w:val="left" w:pos="426"/>
        </w:tabs>
        <w:snapToGrid w:val="0"/>
        <w:spacing w:line="400" w:lineRule="exact"/>
        <w:ind w:left="0" w:firstLine="425"/>
        <w:rPr>
          <w:rFonts w:ascii="Arial" w:hAnsi="Arial"/>
          <w:bCs/>
          <w:color w:val="auto"/>
          <w:szCs w:val="21"/>
          <w:highlight w:val="none"/>
        </w:rPr>
      </w:pPr>
      <w:r>
        <w:rPr>
          <w:rFonts w:hint="eastAsia" w:ascii="Arial" w:hAnsi="Arial"/>
          <w:bCs/>
          <w:color w:val="auto"/>
          <w:szCs w:val="21"/>
          <w:highlight w:val="none"/>
        </w:rPr>
        <w:t>本次项目服务的标准、规范，应符合国家有关条例及规范。</w:t>
      </w:r>
    </w:p>
    <w:p>
      <w:pPr>
        <w:numPr>
          <w:ilvl w:val="0"/>
          <w:numId w:val="14"/>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在投标之前，投标供应商须仔细阅读招标文件，如发现有任何疑问、冲突或问题，投标供应商须在答疑截止时间前以书面形式向采购机构提出。逾期采购机构不再作答复，有关风险及责任由投标供应商自行承担。</w:t>
      </w:r>
    </w:p>
    <w:p>
      <w:pPr>
        <w:numPr>
          <w:ilvl w:val="0"/>
          <w:numId w:val="14"/>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pPr>
        <w:pStyle w:val="4"/>
        <w:numPr>
          <w:ilvl w:val="0"/>
          <w:numId w:val="13"/>
        </w:numPr>
        <w:tabs>
          <w:tab w:val="left" w:pos="575"/>
          <w:tab w:val="left" w:pos="576"/>
          <w:tab w:val="left" w:pos="840"/>
          <w:tab w:val="left" w:pos="900"/>
          <w:tab w:val="left" w:pos="4406"/>
        </w:tabs>
        <w:spacing w:beforeLines="100" w:afterLines="50" w:line="360" w:lineRule="auto"/>
        <w:ind w:left="958" w:hanging="726"/>
        <w:jc w:val="center"/>
        <w:rPr>
          <w:rFonts w:ascii="宋体" w:hAnsi="宋体" w:cs="宋体"/>
          <w:color w:val="auto"/>
          <w:sz w:val="24"/>
          <w:szCs w:val="24"/>
          <w:highlight w:val="none"/>
        </w:rPr>
      </w:pPr>
      <w:bookmarkStart w:id="40" w:name="_Toc447271486"/>
      <w:bookmarkStart w:id="41" w:name="_Toc1797"/>
      <w:bookmarkStart w:id="42" w:name="_Toc505692370"/>
      <w:bookmarkStart w:id="43" w:name="_Toc360612898"/>
      <w:r>
        <w:rPr>
          <w:rFonts w:hint="eastAsia" w:ascii="宋体" w:hAnsi="宋体" w:cs="宋体"/>
          <w:color w:val="auto"/>
          <w:sz w:val="24"/>
          <w:szCs w:val="24"/>
          <w:highlight w:val="none"/>
        </w:rPr>
        <w:t>项目</w:t>
      </w:r>
      <w:r>
        <w:rPr>
          <w:rFonts w:hint="eastAsia" w:ascii="宋体" w:hAnsi="宋体" w:cs="宋体"/>
          <w:color w:val="auto"/>
          <w:sz w:val="24"/>
          <w:highlight w:val="none"/>
        </w:rPr>
        <w:t>基本</w:t>
      </w:r>
      <w:r>
        <w:rPr>
          <w:rFonts w:hint="eastAsia" w:ascii="宋体" w:hAnsi="宋体" w:cs="宋体"/>
          <w:color w:val="auto"/>
          <w:sz w:val="24"/>
          <w:szCs w:val="24"/>
          <w:highlight w:val="none"/>
        </w:rPr>
        <w:t>情况</w:t>
      </w:r>
      <w:bookmarkEnd w:id="40"/>
      <w:bookmarkEnd w:id="41"/>
      <w:bookmarkEnd w:id="42"/>
    </w:p>
    <w:p>
      <w:pPr>
        <w:numPr>
          <w:ilvl w:val="0"/>
          <w:numId w:val="15"/>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
          <w:color w:val="auto"/>
          <w:szCs w:val="21"/>
          <w:highlight w:val="none"/>
        </w:rPr>
        <w:t>项目背景：瑞安市综合行政执法局、瑞安市公园管理中心（</w:t>
      </w:r>
      <w:r>
        <w:rPr>
          <w:rFonts w:hint="eastAsia" w:ascii="宋体" w:hAnsi="宋体" w:cs="宋体"/>
          <w:color w:val="auto"/>
          <w:szCs w:val="21"/>
          <w:highlight w:val="none"/>
        </w:rPr>
        <w:t>瑞安市绿化养护管理中心）</w:t>
      </w:r>
      <w:r>
        <w:rPr>
          <w:rFonts w:hint="eastAsia" w:ascii="宋体" w:hAnsi="宋体" w:cs="Arial"/>
          <w:b/>
          <w:bCs/>
          <w:color w:val="auto"/>
          <w:highlight w:val="none"/>
        </w:rPr>
        <w:t>因工作需要，需聘用共计281名劳务派遣人员</w:t>
      </w:r>
      <w:r>
        <w:rPr>
          <w:rFonts w:hint="eastAsia" w:ascii="宋体" w:hAnsi="宋体" w:cs="Arial"/>
          <w:color w:val="auto"/>
          <w:highlight w:val="none"/>
        </w:rPr>
        <w:t>（其中：①</w:t>
      </w:r>
      <w:r>
        <w:rPr>
          <w:rFonts w:hint="eastAsia" w:ascii="Arial" w:hAnsi="Arial"/>
          <w:bCs/>
          <w:color w:val="auto"/>
          <w:szCs w:val="21"/>
          <w:highlight w:val="none"/>
        </w:rPr>
        <w:t>瑞安市综合行政执法局</w:t>
      </w:r>
      <w:r>
        <w:rPr>
          <w:rFonts w:hint="eastAsia" w:ascii="宋体" w:hAnsi="宋体" w:cs="Arial"/>
          <w:color w:val="auto"/>
          <w:highlight w:val="none"/>
        </w:rPr>
        <w:t>246人，</w:t>
      </w:r>
      <w:r>
        <w:rPr>
          <w:rFonts w:hint="eastAsia" w:ascii="Arial" w:hAnsi="Arial"/>
          <w:bCs/>
          <w:color w:val="auto"/>
          <w:szCs w:val="21"/>
          <w:highlight w:val="none"/>
        </w:rPr>
        <w:t>瑞安市公园管</w:t>
      </w:r>
      <w:r>
        <w:rPr>
          <w:rFonts w:hint="eastAsia" w:ascii="宋体" w:hAnsi="宋体" w:cs="Arial"/>
          <w:color w:val="auto"/>
          <w:highlight w:val="none"/>
        </w:rPr>
        <w:t>理中心（</w:t>
      </w:r>
      <w:r>
        <w:rPr>
          <w:rFonts w:hint="eastAsia" w:ascii="宋体" w:hAnsi="宋体" w:cs="宋体"/>
          <w:color w:val="auto"/>
          <w:szCs w:val="21"/>
          <w:highlight w:val="none"/>
        </w:rPr>
        <w:t>瑞安市绿化养护管理中心</w:t>
      </w:r>
      <w:r>
        <w:rPr>
          <w:rFonts w:hint="eastAsia" w:ascii="宋体" w:hAnsi="宋体" w:cs="Arial"/>
          <w:color w:val="auto"/>
          <w:highlight w:val="none"/>
        </w:rPr>
        <w:t>）35人。② 具体人数根据招标人实际要求确定，最高限额人数为281人，管理费按实际在岗人数计算（计算公式：在岗人数*每人管理费），</w:t>
      </w:r>
      <w:r>
        <w:rPr>
          <w:rFonts w:hint="eastAsia" w:ascii="宋体" w:hAnsi="宋体" w:cs="Arial"/>
          <w:color w:val="auto"/>
          <w:highlight w:val="none"/>
        </w:rPr>
        <w:t>（例如：当月在岗人数281人，若因人员解除或其他原因流出3人的，则仍按在岗人数281人计算；若因人员流出3人的且增补4人，则按在岗人数282人计算；若因人员流出3人的且增补8人，则仅按在岗人数286人计算）。</w:t>
      </w:r>
    </w:p>
    <w:p>
      <w:pPr>
        <w:numPr>
          <w:ilvl w:val="0"/>
          <w:numId w:val="15"/>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
          <w:color w:val="auto"/>
          <w:szCs w:val="21"/>
          <w:highlight w:val="none"/>
        </w:rPr>
        <w:t>承包服务期限</w:t>
      </w:r>
      <w:r>
        <w:rPr>
          <w:rFonts w:hint="eastAsia" w:ascii="Arial" w:hAnsi="Arial"/>
          <w:bCs/>
          <w:color w:val="auto"/>
          <w:szCs w:val="21"/>
          <w:highlight w:val="none"/>
        </w:rPr>
        <w:t>：</w:t>
      </w:r>
      <w:r>
        <w:rPr>
          <w:rFonts w:hint="eastAsia" w:ascii="宋体" w:hAnsi="宋体"/>
          <w:color w:val="auto"/>
          <w:szCs w:val="21"/>
          <w:highlight w:val="none"/>
        </w:rPr>
        <w:t>三年，</w:t>
      </w:r>
      <w:r>
        <w:rPr>
          <w:rFonts w:hint="eastAsia" w:ascii="Arial" w:hAnsi="Arial"/>
          <w:bCs/>
          <w:color w:val="auto"/>
          <w:szCs w:val="21"/>
          <w:highlight w:val="none"/>
        </w:rPr>
        <w:t>合同按一年一签。合同期满后，如果中标供应商的服务达到招标人的各项考核目标，可再续签下一年合同，若中标供应商有违约行为或达不到招标人的考核目标，招标人有权单方面提前解除合同或不续签下一年合同。</w:t>
      </w:r>
    </w:p>
    <w:p>
      <w:pPr>
        <w:numPr>
          <w:ilvl w:val="0"/>
          <w:numId w:val="15"/>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
          <w:color w:val="auto"/>
          <w:szCs w:val="21"/>
          <w:highlight w:val="none"/>
        </w:rPr>
        <w:t>如服务期限未到，财政预算价已支付完毕，合同生效至本次财政预算价支付完毕止；如服务期限已到，财政预算价未使用完，则合同生效至本项目服务期限完毕止。</w:t>
      </w:r>
    </w:p>
    <w:p>
      <w:pPr>
        <w:numPr>
          <w:ilvl w:val="0"/>
          <w:numId w:val="15"/>
        </w:numPr>
        <w:tabs>
          <w:tab w:val="left" w:pos="426"/>
        </w:tabs>
        <w:snapToGrid w:val="0"/>
        <w:spacing w:line="400" w:lineRule="exact"/>
        <w:ind w:left="839" w:leftChars="202" w:hanging="415"/>
        <w:rPr>
          <w:rFonts w:ascii="Arial" w:hAnsi="Arial"/>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管理费综合单价最高限价：</w:t>
      </w:r>
      <w:r>
        <w:rPr>
          <w:rFonts w:ascii="宋体" w:hAnsi="宋体" w:cs="宋体"/>
          <w:b/>
          <w:bCs/>
          <w:color w:val="auto"/>
          <w:szCs w:val="21"/>
          <w:highlight w:val="none"/>
        </w:rPr>
        <w:t>60</w:t>
      </w:r>
      <w:r>
        <w:rPr>
          <w:rFonts w:hint="eastAsia" w:ascii="宋体" w:hAnsi="宋体" w:cs="宋体"/>
          <w:b/>
          <w:bCs/>
          <w:color w:val="auto"/>
          <w:szCs w:val="21"/>
          <w:highlight w:val="none"/>
        </w:rPr>
        <w:t>元/人/月，</w:t>
      </w:r>
      <w:r>
        <w:rPr>
          <w:rFonts w:hint="eastAsia" w:ascii="宋体" w:hAnsi="宋体" w:cs="宋体"/>
          <w:color w:val="auto"/>
          <w:highlight w:val="none"/>
        </w:rPr>
        <w:t>超过综合单价最高限价的，其投标文件作无效标处理。</w:t>
      </w:r>
    </w:p>
    <w:p>
      <w:pPr>
        <w:numPr>
          <w:ilvl w:val="0"/>
          <w:numId w:val="15"/>
        </w:numPr>
        <w:tabs>
          <w:tab w:val="left" w:pos="426"/>
        </w:tabs>
        <w:snapToGrid w:val="0"/>
        <w:spacing w:line="400" w:lineRule="exact"/>
        <w:ind w:left="839" w:leftChars="202" w:hanging="415"/>
        <w:rPr>
          <w:rFonts w:ascii="Arial" w:hAnsi="Arial"/>
          <w:b/>
          <w:color w:val="auto"/>
          <w:szCs w:val="21"/>
          <w:highlight w:val="none"/>
        </w:rPr>
      </w:pPr>
      <w:r>
        <w:rPr>
          <w:rFonts w:hint="eastAsia" w:ascii="Arial" w:hAnsi="Arial"/>
          <w:b/>
          <w:color w:val="auto"/>
          <w:szCs w:val="21"/>
          <w:highlight w:val="none"/>
        </w:rPr>
        <w:t>中标供应商须分别与各采购单位签订合同。</w:t>
      </w:r>
    </w:p>
    <w:p>
      <w:pPr>
        <w:pStyle w:val="4"/>
        <w:numPr>
          <w:ilvl w:val="0"/>
          <w:numId w:val="13"/>
        </w:numPr>
        <w:tabs>
          <w:tab w:val="left" w:pos="575"/>
          <w:tab w:val="left" w:pos="576"/>
          <w:tab w:val="left" w:pos="840"/>
          <w:tab w:val="left" w:pos="900"/>
          <w:tab w:val="left" w:pos="4406"/>
        </w:tabs>
        <w:spacing w:beforeLines="100" w:afterLines="50" w:line="360" w:lineRule="auto"/>
        <w:ind w:left="958" w:hanging="726"/>
        <w:jc w:val="center"/>
        <w:rPr>
          <w:rFonts w:ascii="宋体" w:hAnsi="宋体" w:cs="Arial Unicode MS"/>
          <w:color w:val="auto"/>
          <w:sz w:val="24"/>
          <w:szCs w:val="24"/>
          <w:highlight w:val="none"/>
        </w:rPr>
      </w:pPr>
      <w:bookmarkStart w:id="44" w:name="_Toc15699"/>
      <w:bookmarkStart w:id="45" w:name="_Toc28291"/>
      <w:bookmarkStart w:id="46" w:name="_Toc26649"/>
      <w:bookmarkStart w:id="47" w:name="_Toc27849"/>
      <w:bookmarkStart w:id="48" w:name="_Toc447271487"/>
      <w:bookmarkStart w:id="49" w:name="_Toc10801"/>
      <w:bookmarkStart w:id="50" w:name="_Toc22817"/>
      <w:bookmarkStart w:id="51" w:name="_Toc28159"/>
      <w:bookmarkStart w:id="52" w:name="_Toc521590626"/>
      <w:r>
        <w:rPr>
          <w:rFonts w:hint="eastAsia" w:ascii="宋体" w:hAnsi="宋体" w:cs="Arial Unicode MS"/>
          <w:color w:val="auto"/>
          <w:sz w:val="24"/>
          <w:szCs w:val="24"/>
          <w:highlight w:val="none"/>
        </w:rPr>
        <w:t>派遣要求</w:t>
      </w:r>
      <w:bookmarkEnd w:id="44"/>
      <w:bookmarkEnd w:id="45"/>
      <w:bookmarkEnd w:id="46"/>
      <w:bookmarkEnd w:id="47"/>
      <w:bookmarkEnd w:id="48"/>
      <w:bookmarkEnd w:id="49"/>
      <w:bookmarkEnd w:id="50"/>
      <w:bookmarkEnd w:id="51"/>
      <w:bookmarkEnd w:id="52"/>
    </w:p>
    <w:p>
      <w:pPr>
        <w:numPr>
          <w:ilvl w:val="0"/>
          <w:numId w:val="16"/>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在合同期内，招标人可随时要求中标供应商及时派遣人员，中标供应商每次向招标人派遣的人员人数及要求均由招标人确定。</w:t>
      </w:r>
    </w:p>
    <w:p>
      <w:pPr>
        <w:numPr>
          <w:ilvl w:val="0"/>
          <w:numId w:val="16"/>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人员要求：1）遵纪守法，品行端正，愿意履行相应的职责义务。2）具有大专及以上学历。3）聘用年龄为40周岁以下。4）具有所聘岗位相适应的其它资格条件。5）瑞安市公园管理中心（瑞安市绿化养护管理中心）派遣人员需具备一定的绿化养护相关工作经验。</w:t>
      </w:r>
    </w:p>
    <w:p>
      <w:pPr>
        <w:numPr>
          <w:ilvl w:val="0"/>
          <w:numId w:val="16"/>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员工工资发放要求：中标供应商根据工资薪酬方案按实发放员工工资。</w:t>
      </w:r>
      <w:bookmarkStart w:id="53" w:name="_Toc521590627"/>
      <w:bookmarkStart w:id="54" w:name="_Toc26807"/>
      <w:bookmarkStart w:id="55" w:name="_Toc24908"/>
      <w:bookmarkStart w:id="56" w:name="_Toc22307"/>
      <w:bookmarkStart w:id="57" w:name="_Toc447271488"/>
      <w:bookmarkStart w:id="58" w:name="_Toc20473"/>
      <w:bookmarkStart w:id="59" w:name="_Toc2607"/>
      <w:r>
        <w:rPr>
          <w:rFonts w:hint="eastAsia" w:ascii="Arial" w:hAnsi="Arial"/>
          <w:bCs/>
          <w:color w:val="auto"/>
          <w:szCs w:val="21"/>
          <w:highlight w:val="none"/>
        </w:rPr>
        <w:t>（具体以相关劳动法及合同签订的工资薪酬方案为准）</w:t>
      </w:r>
    </w:p>
    <w:p>
      <w:pPr>
        <w:numPr>
          <w:ilvl w:val="0"/>
          <w:numId w:val="16"/>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员工薪酬应包括：员工的工资、社保、住房公积金、税金及各种福利，其中保险险种只包含五险，不得额外强制缴纳其他险种。</w:t>
      </w:r>
    </w:p>
    <w:p>
      <w:pPr>
        <w:pStyle w:val="4"/>
        <w:numPr>
          <w:ilvl w:val="0"/>
          <w:numId w:val="13"/>
        </w:numPr>
        <w:tabs>
          <w:tab w:val="left" w:pos="575"/>
          <w:tab w:val="left" w:pos="576"/>
          <w:tab w:val="left" w:pos="840"/>
          <w:tab w:val="left" w:pos="900"/>
          <w:tab w:val="left" w:pos="4406"/>
        </w:tabs>
        <w:spacing w:beforeLines="100" w:afterLines="50" w:line="360" w:lineRule="auto"/>
        <w:ind w:left="958" w:hanging="726"/>
        <w:jc w:val="center"/>
        <w:rPr>
          <w:rFonts w:ascii="宋体" w:hAnsi="宋体" w:cs="Arial Unicode MS"/>
          <w:color w:val="auto"/>
          <w:sz w:val="24"/>
          <w:szCs w:val="24"/>
          <w:highlight w:val="none"/>
        </w:rPr>
      </w:pPr>
      <w:bookmarkStart w:id="60" w:name="_Toc14123"/>
      <w:bookmarkStart w:id="61" w:name="_Toc21577"/>
      <w:r>
        <w:rPr>
          <w:rFonts w:hint="eastAsia" w:ascii="宋体" w:hAnsi="宋体" w:cs="Arial Unicode MS"/>
          <w:color w:val="auto"/>
          <w:sz w:val="24"/>
          <w:szCs w:val="24"/>
          <w:highlight w:val="none"/>
        </w:rPr>
        <w:t>管理要求</w:t>
      </w:r>
      <w:bookmarkEnd w:id="53"/>
      <w:bookmarkEnd w:id="54"/>
      <w:bookmarkEnd w:id="55"/>
      <w:bookmarkEnd w:id="56"/>
      <w:bookmarkEnd w:id="57"/>
      <w:bookmarkEnd w:id="58"/>
      <w:bookmarkEnd w:id="59"/>
      <w:bookmarkEnd w:id="60"/>
      <w:bookmarkEnd w:id="61"/>
    </w:p>
    <w:p>
      <w:pPr>
        <w:numPr>
          <w:ilvl w:val="0"/>
          <w:numId w:val="17"/>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由中标供应商负责与派遣的员工签订劳动合同，确定劳动关系。</w:t>
      </w:r>
    </w:p>
    <w:p>
      <w:pPr>
        <w:numPr>
          <w:ilvl w:val="0"/>
          <w:numId w:val="17"/>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由中标供应商负责派遣员工的薪酬发放，社保、住房公积金办理及个税代扣代缴，劳动关系维护，代办员工有关证件，有关法律法规咨询等。</w:t>
      </w:r>
    </w:p>
    <w:p>
      <w:pPr>
        <w:numPr>
          <w:ilvl w:val="0"/>
          <w:numId w:val="17"/>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由中标供应商负责处理派遣员工提出的劳动仲裁、诉讼等事宜。</w:t>
      </w:r>
    </w:p>
    <w:p>
      <w:pPr>
        <w:numPr>
          <w:ilvl w:val="0"/>
          <w:numId w:val="17"/>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由中标供应商负责员工辞退、解除合同等相关工作，其中员工违反相关工作纪律的，应及时辞退。</w:t>
      </w:r>
    </w:p>
    <w:p>
      <w:pPr>
        <w:numPr>
          <w:ilvl w:val="0"/>
          <w:numId w:val="17"/>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由中标供应商负责派遣员工的档案管理、党员组织关系管理以及专业技术人员的职称申报、评定、退休人员手续办理等。</w:t>
      </w:r>
    </w:p>
    <w:p>
      <w:pPr>
        <w:numPr>
          <w:ilvl w:val="0"/>
          <w:numId w:val="17"/>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由招标人制定考核标准，并以此为依据对派遣人员进行每月考核及日常管理。</w:t>
      </w:r>
    </w:p>
    <w:p>
      <w:pPr>
        <w:numPr>
          <w:ilvl w:val="0"/>
          <w:numId w:val="17"/>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招标人制定工资薪酬及绩效管理指导意见，中标供应商据此制定工资薪酬具体发放方案，报招标人备案后制作工资表予以发放。招标人可不定期检查劳务公司薪酬发放情况。</w:t>
      </w:r>
    </w:p>
    <w:p>
      <w:pPr>
        <w:pStyle w:val="4"/>
        <w:numPr>
          <w:ilvl w:val="0"/>
          <w:numId w:val="13"/>
        </w:numPr>
        <w:tabs>
          <w:tab w:val="left" w:pos="575"/>
          <w:tab w:val="left" w:pos="576"/>
          <w:tab w:val="left" w:pos="840"/>
          <w:tab w:val="left" w:pos="900"/>
          <w:tab w:val="left" w:pos="4406"/>
        </w:tabs>
        <w:spacing w:beforeLines="100" w:afterLines="50" w:line="360" w:lineRule="auto"/>
        <w:ind w:left="958" w:hanging="726"/>
        <w:jc w:val="center"/>
        <w:rPr>
          <w:rFonts w:ascii="宋体" w:hAnsi="宋体" w:cs="Arial Unicode MS"/>
          <w:color w:val="auto"/>
          <w:sz w:val="24"/>
          <w:szCs w:val="24"/>
          <w:highlight w:val="none"/>
        </w:rPr>
      </w:pPr>
      <w:bookmarkStart w:id="62" w:name="_Toc26370"/>
      <w:bookmarkStart w:id="63" w:name="_Toc12602"/>
      <w:bookmarkStart w:id="64" w:name="_Toc19945"/>
      <w:bookmarkStart w:id="65" w:name="_Toc521590628"/>
      <w:bookmarkStart w:id="66" w:name="_Toc14394"/>
      <w:bookmarkStart w:id="67" w:name="_Toc2661"/>
      <w:r>
        <w:rPr>
          <w:rFonts w:hint="eastAsia" w:ascii="宋体" w:hAnsi="宋体" w:cs="Arial Unicode MS"/>
          <w:color w:val="auto"/>
          <w:sz w:val="24"/>
          <w:szCs w:val="24"/>
          <w:highlight w:val="none"/>
        </w:rPr>
        <w:t>服务质量要求</w:t>
      </w:r>
      <w:bookmarkEnd w:id="62"/>
      <w:bookmarkEnd w:id="63"/>
      <w:bookmarkEnd w:id="64"/>
      <w:bookmarkEnd w:id="65"/>
      <w:bookmarkEnd w:id="66"/>
      <w:bookmarkEnd w:id="67"/>
    </w:p>
    <w:p>
      <w:pPr>
        <w:numPr>
          <w:ilvl w:val="0"/>
          <w:numId w:val="18"/>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招标人确定员工的名单后，由中标供应商确保5个工作日内办理完毕劳动签订手续、派遣手续，及时向招标人派遣。</w:t>
      </w:r>
    </w:p>
    <w:p>
      <w:pPr>
        <w:numPr>
          <w:ilvl w:val="0"/>
          <w:numId w:val="18"/>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中标供应商应确保及时、准确、妥善的处理派遣员工的薪酬管理（薪酬发放以瑞安市综合行政执法局、瑞安市公园管理中心（瑞安市绿化养护管理中心）的相关政策为准）、社保、住房公积金办理、个税代扣代缴工作，避免发生劳动仲裁、诉讼事件。</w:t>
      </w:r>
    </w:p>
    <w:p>
      <w:pPr>
        <w:numPr>
          <w:ilvl w:val="0"/>
          <w:numId w:val="18"/>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中标供应商应确保及时、准确、妥善的处理派遣员工的档案管理、党员组织关系管理以及专业技术人员的职称申报、评定等工作，避免发生人事仲裁事件。</w:t>
      </w:r>
    </w:p>
    <w:p>
      <w:pPr>
        <w:numPr>
          <w:ilvl w:val="0"/>
          <w:numId w:val="18"/>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中标供应商应确保和谐、稳妥的处理派遣员工的劳动仲裁、劳动诉讼及人事仲裁事件，避免妨碍招标人的正常工作或给招标人带来不利社会影响。</w:t>
      </w:r>
    </w:p>
    <w:p>
      <w:pPr>
        <w:numPr>
          <w:ilvl w:val="0"/>
          <w:numId w:val="18"/>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中标供应商与派遣员工确定聘用关系后（提供相应的证明材料），须将该材料原件提供至招标人备案后方可成立。</w:t>
      </w:r>
    </w:p>
    <w:p>
      <w:pPr>
        <w:numPr>
          <w:ilvl w:val="0"/>
          <w:numId w:val="18"/>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招标人可随时根据实际情况进行核实，一经发现存在克扣或拖欠员工工资及福利等问题，发现一次扣除</w:t>
      </w:r>
      <w:r>
        <w:rPr>
          <w:rFonts w:hint="eastAsia" w:ascii="Arial" w:hAnsi="Arial"/>
          <w:bCs/>
          <w:color w:val="auto"/>
          <w:szCs w:val="21"/>
          <w:highlight w:val="none"/>
          <w:lang w:val="en-US" w:eastAsia="zh-CN"/>
        </w:rPr>
        <w:t>壹万元</w:t>
      </w:r>
      <w:r>
        <w:rPr>
          <w:rFonts w:hint="eastAsia" w:ascii="Arial" w:hAnsi="Arial"/>
          <w:bCs/>
          <w:color w:val="auto"/>
          <w:szCs w:val="21"/>
          <w:highlight w:val="none"/>
        </w:rPr>
        <w:t>的履约保证金，发现两次扣除全部履约保证金，且招标人有权单方面提前解除合同。</w:t>
      </w:r>
    </w:p>
    <w:p>
      <w:pPr>
        <w:pStyle w:val="4"/>
        <w:numPr>
          <w:ilvl w:val="0"/>
          <w:numId w:val="13"/>
        </w:numPr>
        <w:tabs>
          <w:tab w:val="left" w:pos="575"/>
          <w:tab w:val="left" w:pos="576"/>
          <w:tab w:val="left" w:pos="840"/>
          <w:tab w:val="left" w:pos="900"/>
          <w:tab w:val="left" w:pos="4406"/>
        </w:tabs>
        <w:spacing w:beforeLines="100" w:afterLines="50" w:line="360" w:lineRule="auto"/>
        <w:ind w:left="958" w:hanging="726"/>
        <w:jc w:val="center"/>
        <w:rPr>
          <w:rFonts w:ascii="宋体" w:hAnsi="宋体" w:cs="Arial Unicode MS"/>
          <w:color w:val="auto"/>
          <w:sz w:val="24"/>
          <w:szCs w:val="24"/>
          <w:highlight w:val="none"/>
        </w:rPr>
      </w:pPr>
      <w:bookmarkStart w:id="68" w:name="_Toc15483"/>
      <w:bookmarkStart w:id="69" w:name="_Toc521590629"/>
      <w:bookmarkStart w:id="70" w:name="_Toc15676"/>
      <w:r>
        <w:rPr>
          <w:rFonts w:hint="eastAsia" w:ascii="宋体" w:hAnsi="宋体" w:cs="Arial Unicode MS"/>
          <w:color w:val="auto"/>
          <w:sz w:val="24"/>
          <w:szCs w:val="24"/>
          <w:highlight w:val="none"/>
        </w:rPr>
        <w:t>投标报价</w:t>
      </w:r>
      <w:bookmarkEnd w:id="68"/>
      <w:bookmarkEnd w:id="69"/>
      <w:bookmarkEnd w:id="70"/>
    </w:p>
    <w:p>
      <w:pPr>
        <w:numPr>
          <w:ilvl w:val="0"/>
          <w:numId w:val="19"/>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本项目的服务费由两部分组成：1、各员工的工资、社保、住房公积金、税金及各种福利（以瑞安市综合行政执法局、瑞安市公园管理中心（瑞安市绿化养护管理中心）的相关政策为准，若有调整，则支付给中标供应商本项目的派遣员工的工资、社保、住房公积金、税金及各种福利费用做出相应调整）。2、中标供应商的管理费（服务费中除各员工的工资、社保、住房公积金、税金及各种福利外的所有相关费用）。</w:t>
      </w:r>
    </w:p>
    <w:p>
      <w:pPr>
        <w:numPr>
          <w:ilvl w:val="0"/>
          <w:numId w:val="19"/>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本项目的服务费采用费用包干方式服务，投标供应商应根据项目要求和现场情况，详细列明项目所需的人力、物力、财力等, 以及所有人工、管理、财务、税金等所有费用，如一旦中标，在服务过程中出现任何遗漏，均由中标供应商免费提供，招标人不再支付任何费用，具体合同金额则以实际派遣人员按成交综合单价结算。</w:t>
      </w:r>
    </w:p>
    <w:p>
      <w:pPr>
        <w:numPr>
          <w:ilvl w:val="0"/>
          <w:numId w:val="19"/>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本项目投标报价实行固定综合单价，投标供应商报价应为承包完成上述所规定服务内容的全部工作所发生的管理费（即服务费中除各员工的工资、社保、住房公积金、税金及各种福利外的所有相关费用），并承担一切风险责任。投标供应商应从特点，市场行情及自身的能力，技术、管理水平，确定最终报价。</w:t>
      </w:r>
    </w:p>
    <w:p>
      <w:pPr>
        <w:pStyle w:val="4"/>
        <w:numPr>
          <w:ilvl w:val="0"/>
          <w:numId w:val="13"/>
        </w:numPr>
        <w:tabs>
          <w:tab w:val="left" w:pos="575"/>
          <w:tab w:val="left" w:pos="576"/>
          <w:tab w:val="left" w:pos="840"/>
          <w:tab w:val="left" w:pos="900"/>
          <w:tab w:val="left" w:pos="4406"/>
        </w:tabs>
        <w:spacing w:beforeLines="100" w:afterLines="50" w:line="360" w:lineRule="auto"/>
        <w:ind w:left="958" w:hanging="726"/>
        <w:jc w:val="center"/>
        <w:rPr>
          <w:rFonts w:ascii="宋体" w:hAnsi="宋体" w:cs="Arial Unicode MS"/>
          <w:color w:val="auto"/>
          <w:sz w:val="24"/>
          <w:szCs w:val="24"/>
          <w:highlight w:val="none"/>
        </w:rPr>
      </w:pPr>
      <w:bookmarkStart w:id="71" w:name="_Toc17123"/>
      <w:bookmarkStart w:id="72" w:name="_Toc5107"/>
      <w:bookmarkStart w:id="73" w:name="_Toc20853"/>
      <w:bookmarkStart w:id="74" w:name="_Toc5961"/>
      <w:bookmarkStart w:id="75" w:name="_Toc521590630"/>
      <w:bookmarkStart w:id="76" w:name="_Toc4399"/>
      <w:r>
        <w:rPr>
          <w:rFonts w:hint="eastAsia" w:ascii="宋体" w:hAnsi="宋体" w:cs="Arial Unicode MS"/>
          <w:color w:val="auto"/>
          <w:sz w:val="24"/>
          <w:szCs w:val="24"/>
          <w:highlight w:val="none"/>
        </w:rPr>
        <w:t>付款方式</w:t>
      </w:r>
      <w:bookmarkEnd w:id="71"/>
      <w:bookmarkEnd w:id="72"/>
      <w:bookmarkEnd w:id="73"/>
      <w:bookmarkEnd w:id="74"/>
      <w:bookmarkEnd w:id="75"/>
      <w:bookmarkEnd w:id="76"/>
    </w:p>
    <w:p>
      <w:pPr>
        <w:numPr>
          <w:ilvl w:val="0"/>
          <w:numId w:val="20"/>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合同签订后5个工作日内，中标供应商以银行转账/转帐支票/银行汇票/金融机构出具的保函形式向瑞安市综合行政执法局提供</w:t>
      </w:r>
      <w:r>
        <w:rPr>
          <w:rFonts w:hint="eastAsia" w:ascii="Arial" w:hAnsi="Arial" w:cs="Arial"/>
          <w:color w:val="auto"/>
          <w:highlight w:val="none"/>
          <w:lang w:val="en-US" w:eastAsia="zh-CN"/>
        </w:rPr>
        <w:t>伍万元</w:t>
      </w:r>
      <w:r>
        <w:rPr>
          <w:rFonts w:hint="eastAsia" w:ascii="Arial" w:hAnsi="Arial" w:cs="Arial"/>
          <w:color w:val="auto"/>
          <w:highlight w:val="none"/>
        </w:rPr>
        <w:t>作为本项目</w:t>
      </w:r>
      <w:r>
        <w:rPr>
          <w:rFonts w:hint="eastAsia" w:ascii="Arial" w:hAnsi="Arial" w:cs="Arial"/>
          <w:color w:val="auto"/>
          <w:highlight w:val="none"/>
          <w:lang w:val="en-US" w:eastAsia="zh-CN"/>
        </w:rPr>
        <w:t>的</w:t>
      </w:r>
      <w:r>
        <w:rPr>
          <w:rFonts w:hint="eastAsia" w:ascii="Arial" w:hAnsi="Arial"/>
          <w:bCs/>
          <w:color w:val="auto"/>
          <w:szCs w:val="21"/>
          <w:highlight w:val="none"/>
        </w:rPr>
        <w:t>履约保证金</w:t>
      </w:r>
      <w:r>
        <w:rPr>
          <w:rFonts w:hint="eastAsia" w:ascii="Arial" w:hAnsi="Arial"/>
          <w:bCs/>
          <w:color w:val="auto"/>
          <w:szCs w:val="21"/>
          <w:highlight w:val="none"/>
        </w:rPr>
        <w:t>。（保函应满足以下几个条件：①为无条件保函：即在中标供应商没有实施合同或者未履行合同义务时，招标人不需要出具任何证明和理由，只要看到中标供应商违约，就可对保函进行收兑；②保函期限：自合同生效之日起至合同履约完毕之日止；③如果由于工期延误或银行、保险公司要求分期出具保函的，则在前一份保函有效期满之日2个月前必须重新出具相同内容的保函。）</w:t>
      </w:r>
    </w:p>
    <w:p>
      <w:pPr>
        <w:numPr>
          <w:ilvl w:val="0"/>
          <w:numId w:val="20"/>
        </w:numPr>
        <w:tabs>
          <w:tab w:val="left" w:pos="426"/>
        </w:tabs>
        <w:snapToGrid w:val="0"/>
        <w:spacing w:line="400" w:lineRule="exact"/>
        <w:ind w:left="839" w:leftChars="202" w:hanging="415"/>
        <w:rPr>
          <w:rFonts w:ascii="Arial" w:hAnsi="Arial"/>
          <w:bCs/>
          <w:color w:val="auto"/>
          <w:szCs w:val="21"/>
          <w:highlight w:val="none"/>
        </w:rPr>
      </w:pPr>
      <w:r>
        <w:rPr>
          <w:rFonts w:hint="eastAsia" w:ascii="宋体" w:hAnsi="宋体"/>
          <w:bCs/>
          <w:color w:val="auto"/>
          <w:highlight w:val="none"/>
        </w:rPr>
        <w:t>合同签订生效后15日内，招标人每年须支付当年管理费的20%作为预付款，从支付第一期管理费</w:t>
      </w:r>
      <w:r>
        <w:rPr>
          <w:rFonts w:hint="eastAsia" w:ascii="Arial" w:hAnsi="Arial"/>
          <w:bCs/>
          <w:color w:val="auto"/>
          <w:szCs w:val="21"/>
          <w:highlight w:val="none"/>
        </w:rPr>
        <w:t>开始</w:t>
      </w:r>
      <w:r>
        <w:rPr>
          <w:rFonts w:hint="eastAsia" w:ascii="宋体" w:hAnsi="宋体"/>
          <w:bCs/>
          <w:color w:val="auto"/>
          <w:highlight w:val="none"/>
        </w:rPr>
        <w:t>予以扣回，如不足抵扣的，则在下期管理费支付时扣回预付款</w:t>
      </w:r>
      <w:r>
        <w:rPr>
          <w:rFonts w:hint="eastAsia" w:ascii="宋体" w:hAnsi="宋体"/>
          <w:bCs/>
          <w:color w:val="auto"/>
          <w:highlight w:val="none"/>
          <w:lang w:val="en-US" w:eastAsia="zh-CN"/>
        </w:rPr>
        <w:t>；或招标人与中标单位另行约定的，以约定为准。</w:t>
      </w:r>
    </w:p>
    <w:p>
      <w:pPr>
        <w:numPr>
          <w:ilvl w:val="0"/>
          <w:numId w:val="20"/>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本项目付款方式为先服务后支付，中标供应商应在每月8日及时支付员工上月工资，招标人收到中标供应商开具的正式发票和员工工资发放凭证复印件（以便招标人确认务工人员劳动报酬已经兑现）等相关齐全的资料，10个工作日内付款。</w:t>
      </w:r>
    </w:p>
    <w:p>
      <w:pPr>
        <w:numPr>
          <w:ilvl w:val="0"/>
          <w:numId w:val="20"/>
        </w:numPr>
        <w:tabs>
          <w:tab w:val="left" w:pos="426"/>
        </w:tabs>
        <w:snapToGrid w:val="0"/>
        <w:spacing w:line="400" w:lineRule="exact"/>
        <w:ind w:left="839" w:leftChars="202" w:hanging="415"/>
        <w:rPr>
          <w:rFonts w:ascii="Arial" w:hAnsi="Arial"/>
          <w:bCs/>
          <w:color w:val="auto"/>
          <w:szCs w:val="21"/>
          <w:highlight w:val="none"/>
        </w:rPr>
      </w:pPr>
      <w:r>
        <w:rPr>
          <w:rFonts w:hint="eastAsia" w:ascii="Arial" w:hAnsi="Arial"/>
          <w:bCs/>
          <w:color w:val="auto"/>
          <w:szCs w:val="21"/>
          <w:highlight w:val="none"/>
        </w:rPr>
        <w:t>承包到期后将余款一次付清，并在10个工作日内无息退还履约保证金。</w:t>
      </w:r>
      <w:bookmarkStart w:id="77" w:name="_Hlk522626211"/>
    </w:p>
    <w:bookmarkEnd w:id="38"/>
    <w:bookmarkEnd w:id="39"/>
    <w:bookmarkEnd w:id="43"/>
    <w:bookmarkEnd w:id="77"/>
    <w:p>
      <w:pPr>
        <w:pStyle w:val="33"/>
        <w:ind w:firstLine="480"/>
        <w:rPr>
          <w:color w:val="auto"/>
          <w:highlight w:val="none"/>
        </w:rPr>
      </w:pPr>
    </w:p>
    <w:p>
      <w:pPr>
        <w:spacing w:line="360" w:lineRule="auto"/>
        <w:rPr>
          <w:rStyle w:val="35"/>
          <w:color w:val="auto"/>
          <w:highlight w:val="none"/>
        </w:rPr>
      </w:pPr>
      <w:r>
        <w:rPr>
          <w:rStyle w:val="35"/>
          <w:rFonts w:hint="eastAsia"/>
          <w:color w:val="auto"/>
          <w:highlight w:val="none"/>
        </w:rPr>
        <w:br w:type="page"/>
      </w:r>
    </w:p>
    <w:p>
      <w:pPr>
        <w:spacing w:line="360" w:lineRule="auto"/>
        <w:jc w:val="center"/>
        <w:rPr>
          <w:rFonts w:ascii="宋体" w:hAnsi="宋体" w:cs="宋体"/>
          <w:b/>
          <w:color w:val="auto"/>
          <w:kern w:val="44"/>
          <w:sz w:val="28"/>
          <w:szCs w:val="36"/>
          <w:highlight w:val="none"/>
        </w:rPr>
      </w:pPr>
      <w:bookmarkStart w:id="78" w:name="_Toc5706"/>
      <w:r>
        <w:rPr>
          <w:rStyle w:val="35"/>
          <w:rFonts w:hint="eastAsia"/>
          <w:color w:val="auto"/>
          <w:highlight w:val="none"/>
        </w:rPr>
        <w:t>第四部分  小、微企业（含监狱企业）扶持政策说明</w:t>
      </w:r>
      <w:bookmarkEnd w:id="25"/>
      <w:bookmarkEnd w:id="26"/>
      <w:bookmarkEnd w:id="78"/>
    </w:p>
    <w:p>
      <w:pPr>
        <w:spacing w:line="360" w:lineRule="auto"/>
        <w:jc w:val="center"/>
        <w:rPr>
          <w:rFonts w:ascii="宋体" w:hAnsi="宋体" w:cs="宋体"/>
          <w:b/>
          <w:color w:val="auto"/>
          <w:highlight w:val="none"/>
        </w:rPr>
      </w:pPr>
    </w:p>
    <w:p>
      <w:pPr>
        <w:spacing w:line="360" w:lineRule="auto"/>
        <w:jc w:val="both"/>
        <w:rPr>
          <w:rFonts w:ascii="宋体" w:hAnsi="宋体" w:cs="宋体"/>
          <w:bCs/>
          <w:color w:val="auto"/>
          <w:highlight w:val="none"/>
        </w:rPr>
      </w:pPr>
      <w:r>
        <w:rPr>
          <w:rFonts w:hint="eastAsia" w:ascii="宋体" w:hAnsi="宋体" w:cs="宋体"/>
          <w:bCs/>
          <w:color w:val="auto"/>
          <w:highlight w:val="none"/>
        </w:rPr>
        <w:t>1、文件依据</w:t>
      </w:r>
    </w:p>
    <w:p>
      <w:pPr>
        <w:spacing w:line="360" w:lineRule="auto"/>
        <w:jc w:val="both"/>
        <w:rPr>
          <w:rFonts w:ascii="宋体" w:hAnsi="宋体" w:cs="宋体"/>
          <w:bCs/>
          <w:color w:val="auto"/>
          <w:highlight w:val="none"/>
        </w:rPr>
      </w:pPr>
      <w:r>
        <w:rPr>
          <w:rFonts w:hint="eastAsia" w:ascii="宋体" w:hAnsi="宋体" w:cs="宋体"/>
          <w:bCs/>
          <w:color w:val="auto"/>
          <w:highlight w:val="none"/>
        </w:rPr>
        <w:t>（1）关于印发《政府采购促进中小企业发展暂行办法》的通知（财库[2011]181号）</w:t>
      </w:r>
    </w:p>
    <w:p>
      <w:pPr>
        <w:spacing w:line="360" w:lineRule="auto"/>
        <w:jc w:val="both"/>
        <w:rPr>
          <w:rFonts w:ascii="宋体" w:hAnsi="宋体" w:cs="宋体"/>
          <w:bCs/>
          <w:color w:val="auto"/>
          <w:highlight w:val="none"/>
        </w:rPr>
      </w:pPr>
      <w:r>
        <w:rPr>
          <w:rFonts w:hint="eastAsia" w:ascii="宋体" w:hAnsi="宋体" w:cs="宋体"/>
          <w:bCs/>
          <w:color w:val="auto"/>
          <w:highlight w:val="none"/>
        </w:rPr>
        <w:t>（2）浙江省财政厅转发财政部 工业和信息化部关于印发《政府采购促进中小企业发展暂行办法》的通知（浙财采监[2012]11号）</w:t>
      </w:r>
    </w:p>
    <w:p>
      <w:pPr>
        <w:spacing w:line="360" w:lineRule="auto"/>
        <w:jc w:val="both"/>
        <w:rPr>
          <w:rFonts w:ascii="宋体" w:hAnsi="宋体" w:cs="宋体"/>
          <w:bCs/>
          <w:color w:val="auto"/>
          <w:highlight w:val="none"/>
        </w:rPr>
      </w:pPr>
      <w:r>
        <w:rPr>
          <w:rFonts w:hint="eastAsia" w:ascii="宋体" w:hAnsi="宋体" w:cs="宋体"/>
          <w:bCs/>
          <w:color w:val="auto"/>
          <w:highlight w:val="none"/>
        </w:rPr>
        <w:t>（3）《工业和信息化部、国家统计局、国家发展和改革委员会、财政部关于印发中小企业划型标准规定的通知》（工信部联企业[2011]300号）</w:t>
      </w:r>
    </w:p>
    <w:p>
      <w:pPr>
        <w:spacing w:line="360" w:lineRule="auto"/>
        <w:jc w:val="both"/>
        <w:rPr>
          <w:rFonts w:ascii="宋体" w:hAnsi="宋体" w:cs="宋体"/>
          <w:bCs/>
          <w:color w:val="auto"/>
          <w:highlight w:val="none"/>
        </w:rPr>
      </w:pPr>
      <w:r>
        <w:rPr>
          <w:rFonts w:hint="eastAsia" w:ascii="宋体" w:hAnsi="宋体" w:cs="宋体"/>
          <w:bCs/>
          <w:color w:val="auto"/>
          <w:highlight w:val="none"/>
        </w:rPr>
        <w:t>（4）财政部、司法部《关于政府采购支持监狱企业发展有关问题的通知》（财库〔2014〕68号）</w:t>
      </w:r>
    </w:p>
    <w:p>
      <w:pPr>
        <w:spacing w:line="360" w:lineRule="auto"/>
        <w:jc w:val="both"/>
        <w:rPr>
          <w:rFonts w:ascii="宋体" w:hAnsi="宋体" w:cs="宋体"/>
          <w:bCs/>
          <w:color w:val="auto"/>
          <w:highlight w:val="none"/>
        </w:rPr>
      </w:pPr>
      <w:r>
        <w:rPr>
          <w:rFonts w:hint="eastAsia" w:ascii="宋体" w:hAnsi="宋体" w:cs="宋体"/>
          <w:bCs/>
          <w:color w:val="auto"/>
          <w:highlight w:val="none"/>
        </w:rPr>
        <w:t>2、享受小微企业价格折扣应具备的条件与价格折扣比例</w:t>
      </w:r>
    </w:p>
    <w:p>
      <w:pPr>
        <w:spacing w:line="360" w:lineRule="auto"/>
        <w:jc w:val="both"/>
        <w:rPr>
          <w:rFonts w:ascii="宋体" w:hAnsi="宋体" w:cs="宋体"/>
          <w:bCs/>
          <w:color w:val="auto"/>
          <w:highlight w:val="none"/>
        </w:rPr>
      </w:pPr>
      <w:r>
        <w:rPr>
          <w:rFonts w:hint="eastAsia" w:ascii="宋体" w:hAnsi="宋体" w:cs="宋体"/>
          <w:bCs/>
          <w:color w:val="auto"/>
          <w:highlight w:val="none"/>
        </w:rPr>
        <w:t>（1）非联合体形式投标供应商为小型、微型企业或监狱企业的，对其投标产品的价格给予10%的扣除，作为投标评审价格进行价格分评审。（小型、微型企业或监狱企业作为代理商提供小型、微型企业或监狱企业制造的货物的，视同为小型、微型企业或监狱企业）。</w:t>
      </w:r>
    </w:p>
    <w:p>
      <w:pPr>
        <w:spacing w:line="360" w:lineRule="auto"/>
        <w:jc w:val="both"/>
        <w:rPr>
          <w:rFonts w:ascii="宋体" w:hAnsi="宋体" w:cs="宋体"/>
          <w:bCs/>
          <w:color w:val="auto"/>
          <w:highlight w:val="none"/>
        </w:rPr>
      </w:pPr>
      <w:r>
        <w:rPr>
          <w:rFonts w:hint="eastAsia" w:ascii="宋体" w:hAnsi="宋体" w:cs="宋体"/>
          <w:bCs/>
          <w:color w:val="auto"/>
          <w:highlight w:val="none"/>
        </w:rPr>
        <w:t>（2）投标供应商为联合体的，联合体协议中若约定，小型、微型企业或监狱企业的协议合同金额占到联合体协议合同总金额30%以上的，可给予联合体5%的价格扣除，作为投标评审价格进行价格分评审。（联合体各方均为小型、微型企业或监狱企业的，联合体视同为小型、微型企业或监狱企业；组成联合体的大中型企业和其他自然人、法人或者其他组织，与小型、微型企业之间不得存在投资关系）</w:t>
      </w:r>
    </w:p>
    <w:p>
      <w:pPr>
        <w:spacing w:line="360" w:lineRule="auto"/>
        <w:jc w:val="both"/>
        <w:rPr>
          <w:rFonts w:ascii="宋体" w:hAnsi="宋体" w:cs="宋体"/>
          <w:bCs/>
          <w:color w:val="auto"/>
          <w:highlight w:val="none"/>
        </w:rPr>
      </w:pPr>
      <w:r>
        <w:rPr>
          <w:rFonts w:hint="eastAsia" w:ascii="宋体" w:hAnsi="宋体" w:cs="宋体"/>
          <w:bCs/>
          <w:color w:val="auto"/>
          <w:highlight w:val="none"/>
        </w:rPr>
        <w:t>（3）中小企业和监狱企业依据上述规定的政策获取政府采购合同后，小型、微型企业和监狱企业不得分包或转包给大型、中型企业，中型企业不得分包或转包给大型企业。</w:t>
      </w:r>
    </w:p>
    <w:p>
      <w:pPr>
        <w:spacing w:line="360" w:lineRule="auto"/>
        <w:rPr>
          <w:rFonts w:ascii="宋体" w:hAnsi="宋体" w:cs="宋体"/>
          <w:bCs/>
          <w:color w:val="auto"/>
          <w:highlight w:val="none"/>
        </w:rPr>
      </w:pPr>
      <w:r>
        <w:rPr>
          <w:rFonts w:hint="eastAsia" w:ascii="宋体" w:hAnsi="宋体" w:cs="宋体"/>
          <w:bCs/>
          <w:color w:val="auto"/>
          <w:highlight w:val="none"/>
        </w:rPr>
        <w:t>3、投标供应商符合《中小企业标准暂行规定》（工信部联企业〔2011〕300号）的划分标准的，应提交符合规定的《中小企业声明函》；投标供应商符合《关于政府采购支持监狱企业发展有关问题的通知》（财库〔2014〕68号）的划分标准的，应提供由省级以上监狱管理局、戒毒管理局（含新疆生产建设兵团）出具的属于监狱企业的证明文件。</w:t>
      </w:r>
    </w:p>
    <w:bookmarkEnd w:id="27"/>
    <w:p>
      <w:pPr>
        <w:spacing w:line="360" w:lineRule="auto"/>
        <w:rPr>
          <w:color w:val="auto"/>
          <w:highlight w:val="none"/>
        </w:rPr>
      </w:pPr>
    </w:p>
    <w:p>
      <w:pPr>
        <w:spacing w:line="360" w:lineRule="auto"/>
        <w:rPr>
          <w:rFonts w:ascii="黑体" w:hAnsi="黑体" w:eastAsia="黑体" w:cs="黑体"/>
          <w:b/>
          <w:color w:val="auto"/>
          <w:sz w:val="28"/>
          <w:szCs w:val="28"/>
          <w:highlight w:val="none"/>
        </w:rPr>
      </w:pPr>
      <w:bookmarkStart w:id="79" w:name="_Toc482111290"/>
      <w:bookmarkStart w:id="80" w:name="_Toc3438"/>
      <w:bookmarkStart w:id="81" w:name="_Toc8379047"/>
      <w:bookmarkStart w:id="82" w:name="_Toc13378"/>
      <w:bookmarkStart w:id="83" w:name="_Toc24940"/>
      <w:r>
        <w:rPr>
          <w:rFonts w:hint="eastAsia" w:ascii="黑体" w:hAnsi="黑体" w:eastAsia="黑体" w:cs="黑体"/>
          <w:b/>
          <w:color w:val="auto"/>
          <w:sz w:val="28"/>
          <w:szCs w:val="28"/>
          <w:highlight w:val="none"/>
        </w:rPr>
        <w:br w:type="page"/>
      </w:r>
    </w:p>
    <w:p>
      <w:pPr>
        <w:spacing w:line="360" w:lineRule="auto"/>
        <w:jc w:val="center"/>
        <w:rPr>
          <w:rStyle w:val="35"/>
          <w:color w:val="auto"/>
          <w:highlight w:val="none"/>
        </w:rPr>
      </w:pPr>
      <w:bookmarkStart w:id="84" w:name="_Toc12936"/>
      <w:bookmarkStart w:id="85" w:name="_Toc28368"/>
      <w:bookmarkStart w:id="86" w:name="_Toc8351"/>
      <w:r>
        <w:rPr>
          <w:rStyle w:val="35"/>
          <w:rFonts w:hint="eastAsia"/>
          <w:color w:val="auto"/>
          <w:highlight w:val="none"/>
        </w:rPr>
        <w:t>第五部分合同条款</w:t>
      </w:r>
      <w:bookmarkEnd w:id="79"/>
      <w:bookmarkEnd w:id="80"/>
      <w:bookmarkEnd w:id="84"/>
      <w:bookmarkEnd w:id="85"/>
    </w:p>
    <w:bookmarkEnd w:id="81"/>
    <w:bookmarkEnd w:id="82"/>
    <w:bookmarkEnd w:id="83"/>
    <w:bookmarkEnd w:id="86"/>
    <w:p>
      <w:pPr>
        <w:spacing w:line="6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瑞安市综合行政执法局及下属事业单位辅助人员劳务派遣合同</w:t>
      </w:r>
    </w:p>
    <w:p>
      <w:pPr>
        <w:spacing w:line="600" w:lineRule="exact"/>
        <w:jc w:val="center"/>
        <w:rPr>
          <w:rFonts w:ascii="宋体" w:hAnsi="宋体"/>
          <w:b/>
          <w:bCs/>
          <w:color w:val="auto"/>
          <w:sz w:val="32"/>
          <w:szCs w:val="32"/>
          <w:highlight w:val="none"/>
        </w:rPr>
      </w:pPr>
    </w:p>
    <w:p>
      <w:pPr>
        <w:spacing w:line="600" w:lineRule="exact"/>
        <w:jc w:val="center"/>
        <w:rPr>
          <w:rFonts w:ascii="宋体" w:hAnsi="宋体"/>
          <w:b/>
          <w:bCs/>
          <w:color w:val="auto"/>
          <w:sz w:val="32"/>
          <w:szCs w:val="32"/>
          <w:highlight w:val="none"/>
        </w:rPr>
      </w:pPr>
    </w:p>
    <w:p>
      <w:pPr>
        <w:spacing w:line="600" w:lineRule="exact"/>
        <w:jc w:val="center"/>
        <w:rPr>
          <w:rFonts w:ascii="宋体" w:hAnsi="宋体"/>
          <w:b/>
          <w:bCs/>
          <w:color w:val="auto"/>
          <w:sz w:val="32"/>
          <w:szCs w:val="32"/>
          <w:highlight w:val="none"/>
        </w:rPr>
      </w:pPr>
    </w:p>
    <w:p>
      <w:pPr>
        <w:spacing w:line="600" w:lineRule="exact"/>
        <w:ind w:firstLine="1590" w:firstLineChars="495"/>
        <w:rPr>
          <w:rFonts w:ascii="宋体" w:hAnsi="宋体"/>
          <w:color w:val="auto"/>
          <w:sz w:val="32"/>
          <w:szCs w:val="32"/>
          <w:highlight w:val="none"/>
          <w:u w:val="single"/>
        </w:rPr>
      </w:pPr>
      <w:r>
        <w:rPr>
          <w:rFonts w:hint="eastAsia" w:ascii="宋体" w:hAnsi="宋体"/>
          <w:b/>
          <w:bCs/>
          <w:color w:val="auto"/>
          <w:sz w:val="32"/>
          <w:szCs w:val="32"/>
          <w:highlight w:val="none"/>
        </w:rPr>
        <w:t>合同编号</w:t>
      </w:r>
      <w:r>
        <w:rPr>
          <w:rFonts w:hint="eastAsia" w:ascii="宋体" w:hAnsi="宋体"/>
          <w:color w:val="auto"/>
          <w:sz w:val="32"/>
          <w:szCs w:val="32"/>
          <w:highlight w:val="none"/>
        </w:rPr>
        <w:t>：</w:t>
      </w:r>
    </w:p>
    <w:p>
      <w:pPr>
        <w:spacing w:line="600" w:lineRule="exact"/>
        <w:rPr>
          <w:rFonts w:ascii="宋体" w:hAnsi="宋体"/>
          <w:color w:val="auto"/>
          <w:sz w:val="32"/>
          <w:szCs w:val="32"/>
          <w:highlight w:val="none"/>
        </w:rPr>
      </w:pPr>
    </w:p>
    <w:p>
      <w:pPr>
        <w:spacing w:line="600" w:lineRule="exact"/>
        <w:rPr>
          <w:rFonts w:ascii="宋体" w:hAnsi="宋体"/>
          <w:color w:val="auto"/>
          <w:sz w:val="32"/>
          <w:szCs w:val="32"/>
          <w:highlight w:val="none"/>
        </w:rPr>
      </w:pPr>
    </w:p>
    <w:p>
      <w:pPr>
        <w:spacing w:line="600" w:lineRule="exact"/>
        <w:ind w:firstLine="1590" w:firstLineChars="495"/>
        <w:rPr>
          <w:rFonts w:ascii="宋体" w:hAnsi="宋体"/>
          <w:color w:val="auto"/>
          <w:sz w:val="32"/>
          <w:szCs w:val="32"/>
          <w:highlight w:val="none"/>
        </w:rPr>
      </w:pPr>
      <w:r>
        <w:rPr>
          <w:rFonts w:hint="eastAsia" w:ascii="宋体" w:hAnsi="宋体"/>
          <w:b/>
          <w:bCs/>
          <w:color w:val="auto"/>
          <w:sz w:val="32"/>
          <w:szCs w:val="32"/>
          <w:highlight w:val="none"/>
        </w:rPr>
        <w:t>项目名称</w:t>
      </w:r>
      <w:r>
        <w:rPr>
          <w:rFonts w:hint="eastAsia" w:ascii="宋体" w:hAnsi="宋体"/>
          <w:color w:val="auto"/>
          <w:sz w:val="32"/>
          <w:szCs w:val="32"/>
          <w:highlight w:val="none"/>
        </w:rPr>
        <w:t>：</w:t>
      </w:r>
    </w:p>
    <w:p>
      <w:pPr>
        <w:spacing w:line="600" w:lineRule="exact"/>
        <w:rPr>
          <w:rFonts w:ascii="宋体" w:hAnsi="宋体"/>
          <w:color w:val="auto"/>
          <w:sz w:val="32"/>
          <w:szCs w:val="32"/>
          <w:highlight w:val="none"/>
        </w:rPr>
      </w:pPr>
    </w:p>
    <w:p>
      <w:pPr>
        <w:spacing w:line="600" w:lineRule="exact"/>
        <w:rPr>
          <w:rFonts w:ascii="宋体" w:hAnsi="宋体"/>
          <w:color w:val="auto"/>
          <w:sz w:val="32"/>
          <w:szCs w:val="32"/>
          <w:highlight w:val="none"/>
        </w:rPr>
      </w:pPr>
    </w:p>
    <w:p>
      <w:pPr>
        <w:spacing w:line="600" w:lineRule="exact"/>
        <w:ind w:firstLine="1590" w:firstLineChars="495"/>
        <w:rPr>
          <w:rFonts w:ascii="宋体" w:hAnsi="宋体"/>
          <w:color w:val="auto"/>
          <w:sz w:val="32"/>
          <w:szCs w:val="32"/>
          <w:highlight w:val="none"/>
          <w:u w:val="single"/>
        </w:rPr>
      </w:pPr>
      <w:r>
        <w:rPr>
          <w:rFonts w:hint="eastAsia" w:ascii="宋体" w:hAnsi="宋体"/>
          <w:b/>
          <w:bCs/>
          <w:color w:val="auto"/>
          <w:sz w:val="32"/>
          <w:szCs w:val="32"/>
          <w:highlight w:val="none"/>
        </w:rPr>
        <w:t>甲  方</w:t>
      </w:r>
      <w:r>
        <w:rPr>
          <w:rFonts w:hint="eastAsia" w:ascii="宋体" w:hAnsi="宋体"/>
          <w:color w:val="auto"/>
          <w:sz w:val="32"/>
          <w:szCs w:val="32"/>
          <w:highlight w:val="none"/>
        </w:rPr>
        <w:t>：</w:t>
      </w:r>
    </w:p>
    <w:p>
      <w:pPr>
        <w:spacing w:line="600" w:lineRule="exact"/>
        <w:rPr>
          <w:rFonts w:ascii="宋体" w:hAnsi="宋体"/>
          <w:color w:val="auto"/>
          <w:sz w:val="32"/>
          <w:szCs w:val="32"/>
          <w:highlight w:val="none"/>
        </w:rPr>
      </w:pPr>
    </w:p>
    <w:p>
      <w:pPr>
        <w:spacing w:line="600" w:lineRule="exact"/>
        <w:rPr>
          <w:rFonts w:ascii="宋体" w:hAnsi="宋体"/>
          <w:color w:val="auto"/>
          <w:sz w:val="32"/>
          <w:szCs w:val="32"/>
          <w:highlight w:val="none"/>
        </w:rPr>
      </w:pPr>
    </w:p>
    <w:p>
      <w:pPr>
        <w:spacing w:line="600" w:lineRule="exact"/>
        <w:ind w:left="1596" w:leftChars="760"/>
        <w:rPr>
          <w:rFonts w:ascii="宋体" w:hAnsi="宋体"/>
          <w:color w:val="auto"/>
          <w:sz w:val="32"/>
          <w:szCs w:val="32"/>
          <w:highlight w:val="none"/>
          <w:u w:val="single"/>
        </w:rPr>
      </w:pPr>
      <w:r>
        <w:rPr>
          <w:rFonts w:hint="eastAsia" w:ascii="宋体" w:hAnsi="宋体"/>
          <w:b/>
          <w:bCs/>
          <w:color w:val="auto"/>
          <w:sz w:val="32"/>
          <w:szCs w:val="32"/>
          <w:highlight w:val="none"/>
        </w:rPr>
        <w:t>乙  方</w:t>
      </w:r>
      <w:r>
        <w:rPr>
          <w:rFonts w:hint="eastAsia" w:ascii="宋体" w:hAnsi="宋体"/>
          <w:color w:val="auto"/>
          <w:sz w:val="32"/>
          <w:szCs w:val="32"/>
          <w:highlight w:val="none"/>
        </w:rPr>
        <w:t>：</w:t>
      </w:r>
    </w:p>
    <w:p>
      <w:pPr>
        <w:spacing w:line="600" w:lineRule="exact"/>
        <w:rPr>
          <w:rFonts w:ascii="宋体" w:hAnsi="宋体"/>
          <w:color w:val="auto"/>
          <w:sz w:val="32"/>
          <w:szCs w:val="32"/>
          <w:highlight w:val="none"/>
        </w:rPr>
      </w:pPr>
    </w:p>
    <w:p>
      <w:pPr>
        <w:spacing w:line="600" w:lineRule="exact"/>
        <w:rPr>
          <w:rFonts w:ascii="宋体" w:hAnsi="宋体"/>
          <w:color w:val="auto"/>
          <w:sz w:val="32"/>
          <w:szCs w:val="32"/>
          <w:highlight w:val="none"/>
        </w:rPr>
      </w:pPr>
    </w:p>
    <w:p>
      <w:pPr>
        <w:spacing w:line="600" w:lineRule="exact"/>
        <w:rPr>
          <w:rFonts w:ascii="宋体" w:hAnsi="宋体"/>
          <w:color w:val="auto"/>
          <w:sz w:val="32"/>
          <w:szCs w:val="32"/>
          <w:highlight w:val="none"/>
        </w:rPr>
      </w:pPr>
    </w:p>
    <w:p>
      <w:pPr>
        <w:spacing w:line="600" w:lineRule="exact"/>
        <w:rPr>
          <w:rFonts w:ascii="宋体" w:hAnsi="宋体"/>
          <w:color w:val="auto"/>
          <w:sz w:val="32"/>
          <w:szCs w:val="32"/>
          <w:highlight w:val="none"/>
        </w:rPr>
      </w:pPr>
    </w:p>
    <w:p>
      <w:pPr>
        <w:spacing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签订日期</w:t>
      </w:r>
      <w:r>
        <w:rPr>
          <w:rFonts w:hint="eastAsia" w:ascii="宋体" w:hAnsi="宋体"/>
          <w:color w:val="auto"/>
          <w:sz w:val="32"/>
          <w:szCs w:val="32"/>
          <w:highlight w:val="none"/>
        </w:rPr>
        <w:t>：</w:t>
      </w:r>
      <w:r>
        <w:rPr>
          <w:rFonts w:hint="eastAsia" w:ascii="宋体" w:hAnsi="宋体"/>
          <w:b/>
          <w:bCs/>
          <w:color w:val="auto"/>
          <w:sz w:val="32"/>
          <w:szCs w:val="32"/>
          <w:highlight w:val="none"/>
        </w:rPr>
        <w:t>年月日</w:t>
      </w:r>
    </w:p>
    <w:p>
      <w:pPr>
        <w:spacing w:line="440" w:lineRule="exact"/>
        <w:rPr>
          <w:rFonts w:ascii="宋体" w:hAnsi="宋体"/>
          <w:b/>
          <w:bCs/>
          <w:color w:val="auto"/>
          <w:sz w:val="32"/>
          <w:szCs w:val="32"/>
          <w:highlight w:val="none"/>
        </w:rPr>
      </w:pPr>
    </w:p>
    <w:p>
      <w:pPr>
        <w:spacing w:line="440" w:lineRule="exact"/>
        <w:rPr>
          <w:rFonts w:ascii="宋体" w:hAnsi="宋体"/>
          <w:b/>
          <w:bCs/>
          <w:color w:val="auto"/>
          <w:sz w:val="32"/>
          <w:szCs w:val="32"/>
          <w:highlight w:val="none"/>
        </w:rPr>
      </w:pPr>
    </w:p>
    <w:p>
      <w:pPr>
        <w:spacing w:line="440" w:lineRule="exact"/>
        <w:rPr>
          <w:rFonts w:ascii="宋体" w:hAnsi="宋体"/>
          <w:b/>
          <w:bCs/>
          <w:color w:val="auto"/>
          <w:sz w:val="32"/>
          <w:szCs w:val="32"/>
          <w:highlight w:val="none"/>
        </w:rPr>
      </w:pPr>
    </w:p>
    <w:p>
      <w:pPr>
        <w:spacing w:beforeLines="100" w:line="400" w:lineRule="exact"/>
        <w:rPr>
          <w:rFonts w:ascii="宋体" w:hAnsi="宋体" w:cs="宋体"/>
          <w:color w:val="auto"/>
          <w:highlight w:val="none"/>
        </w:rPr>
      </w:pPr>
      <w:r>
        <w:rPr>
          <w:rFonts w:hint="eastAsia" w:ascii="宋体" w:hAnsi="宋体" w:cs="宋体"/>
          <w:color w:val="auto"/>
          <w:highlight w:val="none"/>
        </w:rPr>
        <w:t>甲方（招标人）：</w:t>
      </w:r>
      <w:r>
        <w:rPr>
          <w:rFonts w:hint="eastAsia" w:ascii="宋体" w:hAnsi="宋体" w:cs="宋体"/>
          <w:color w:val="auto"/>
          <w:highlight w:val="none"/>
        </w:rPr>
        <w:tab/>
      </w:r>
      <w:r>
        <w:rPr>
          <w:rFonts w:hint="eastAsia" w:ascii="宋体" w:hAnsi="宋体" w:cs="宋体"/>
          <w:color w:val="auto"/>
          <w:highlight w:val="none"/>
        </w:rPr>
        <w:t xml:space="preserve">                          合同编号：</w:t>
      </w:r>
    </w:p>
    <w:p>
      <w:pPr>
        <w:spacing w:line="400" w:lineRule="exact"/>
        <w:rPr>
          <w:rFonts w:ascii="宋体" w:hAnsi="宋体" w:cs="宋体"/>
          <w:color w:val="auto"/>
          <w:highlight w:val="none"/>
        </w:rPr>
      </w:pPr>
      <w:r>
        <w:rPr>
          <w:rFonts w:hint="eastAsia" w:ascii="宋体" w:hAnsi="宋体" w:cs="宋体"/>
          <w:color w:val="auto"/>
          <w:highlight w:val="none"/>
        </w:rPr>
        <w:t>乙方（中标供应商）：</w:t>
      </w:r>
      <w:r>
        <w:rPr>
          <w:rFonts w:hint="eastAsia" w:ascii="宋体" w:hAnsi="宋体" w:cs="宋体"/>
          <w:color w:val="auto"/>
          <w:highlight w:val="none"/>
        </w:rPr>
        <w:tab/>
      </w:r>
      <w:r>
        <w:rPr>
          <w:rFonts w:hint="eastAsia" w:ascii="宋体" w:hAnsi="宋体" w:cs="宋体"/>
          <w:color w:val="auto"/>
          <w:highlight w:val="none"/>
        </w:rPr>
        <w:t xml:space="preserve">                      签订地点：</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经过公开招标，甲方将乙方作为瑞安市综合行政执法局及下属事业单位辅助人员劳务派遣的中标供应商。依照《中华人民共和国政府采购法》，遵循平等、自愿、公平和诚信的原则，甲方将瑞安市综合行政执法局及下属事业单位辅助人员劳务派遣工作委托乙方实施。乙方接受甲方委托，在甲方委托事宜范围内依法组织开展瑞安市综合行政执法局及下属事业单位辅助人员劳务派遣工作。经甲乙双方协商一致，签订如下协议：</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一、服务内容：瑞安市综合行政执法局及下属事业单位辅助人员劳务派遣</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二、服务区域：瑞安市</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三、服务期限：</w:t>
      </w:r>
      <w:r>
        <w:rPr>
          <w:rFonts w:hint="eastAsia" w:ascii="宋体" w:hAnsi="宋体" w:cs="宋体"/>
          <w:color w:val="auto"/>
          <w:highlight w:val="none"/>
          <w:u w:val="single"/>
        </w:rPr>
        <w:tab/>
      </w:r>
      <w:r>
        <w:rPr>
          <w:rFonts w:hint="eastAsia" w:ascii="宋体" w:hAnsi="宋体" w:cs="宋体"/>
          <w:color w:val="auto"/>
          <w:highlight w:val="none"/>
        </w:rPr>
        <w:t>年月日起到年月日止</w:t>
      </w:r>
      <w:r>
        <w:rPr>
          <w:rFonts w:hint="eastAsia" w:ascii="宋体" w:hAnsi="宋体" w:cs="Arial"/>
          <w:color w:val="auto"/>
          <w:highlight w:val="none"/>
        </w:rPr>
        <w:t>，</w:t>
      </w:r>
      <w:r>
        <w:rPr>
          <w:rFonts w:hint="eastAsia" w:ascii="宋体" w:hAnsi="宋体" w:cs="宋体"/>
          <w:color w:val="auto"/>
          <w:highlight w:val="none"/>
        </w:rPr>
        <w:t>在此期间乙方未履行合同，甲方有权解除合同，其一切责任由乙方负责，乙方不得以任何理由向甲方提出任何索赔要求。如若需续签协议甲方应于</w:t>
      </w:r>
      <w:r>
        <w:rPr>
          <w:rFonts w:hint="eastAsia" w:ascii="宋体" w:hAnsi="宋体" w:cs="宋体"/>
          <w:color w:val="auto"/>
          <w:highlight w:val="none"/>
          <w:u w:val="single"/>
        </w:rPr>
        <w:tab/>
      </w:r>
      <w:r>
        <w:rPr>
          <w:rFonts w:hint="eastAsia" w:ascii="宋体" w:hAnsi="宋体" w:cs="宋体"/>
          <w:color w:val="auto"/>
          <w:highlight w:val="none"/>
        </w:rPr>
        <w:t>日内通知乙方。</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四、管理要求：</w:t>
      </w:r>
    </w:p>
    <w:p>
      <w:pPr>
        <w:numPr>
          <w:ilvl w:val="0"/>
          <w:numId w:val="21"/>
        </w:numPr>
        <w:tabs>
          <w:tab w:val="left" w:pos="426"/>
        </w:tabs>
        <w:snapToGrid w:val="0"/>
        <w:spacing w:line="400" w:lineRule="exact"/>
        <w:ind w:firstLine="420" w:firstLineChars="200"/>
        <w:rPr>
          <w:rFonts w:ascii="Arial" w:hAnsi="Arial"/>
          <w:bCs/>
          <w:color w:val="auto"/>
          <w:szCs w:val="21"/>
          <w:highlight w:val="none"/>
        </w:rPr>
      </w:pPr>
      <w:r>
        <w:rPr>
          <w:rFonts w:hint="eastAsia" w:ascii="Arial" w:hAnsi="Arial"/>
          <w:bCs/>
          <w:color w:val="auto"/>
          <w:szCs w:val="21"/>
          <w:highlight w:val="none"/>
        </w:rPr>
        <w:t>由乙方负责与派遣的员工签订劳动合同，确定劳动关系。</w:t>
      </w:r>
    </w:p>
    <w:p>
      <w:pPr>
        <w:numPr>
          <w:ilvl w:val="0"/>
          <w:numId w:val="21"/>
        </w:numPr>
        <w:tabs>
          <w:tab w:val="left" w:pos="426"/>
        </w:tabs>
        <w:snapToGrid w:val="0"/>
        <w:spacing w:line="400" w:lineRule="exact"/>
        <w:ind w:firstLine="420" w:firstLineChars="200"/>
        <w:rPr>
          <w:rFonts w:ascii="Arial" w:hAnsi="Arial"/>
          <w:bCs/>
          <w:color w:val="auto"/>
          <w:szCs w:val="21"/>
          <w:highlight w:val="none"/>
        </w:rPr>
      </w:pPr>
      <w:r>
        <w:rPr>
          <w:rFonts w:hint="eastAsia" w:ascii="Arial" w:hAnsi="Arial"/>
          <w:bCs/>
          <w:color w:val="auto"/>
          <w:szCs w:val="21"/>
          <w:highlight w:val="none"/>
        </w:rPr>
        <w:t>由乙方负责派遣员工的薪酬发放，社保、住房公积金办理及个税代扣代缴，劳动关系维护，代办员工有关证件，有关法律法规咨询等。</w:t>
      </w:r>
    </w:p>
    <w:p>
      <w:pPr>
        <w:numPr>
          <w:ilvl w:val="0"/>
          <w:numId w:val="21"/>
        </w:numPr>
        <w:tabs>
          <w:tab w:val="left" w:pos="426"/>
        </w:tabs>
        <w:snapToGrid w:val="0"/>
        <w:spacing w:line="400" w:lineRule="exact"/>
        <w:ind w:firstLine="420" w:firstLineChars="200"/>
        <w:rPr>
          <w:rFonts w:ascii="Arial" w:hAnsi="Arial"/>
          <w:bCs/>
          <w:color w:val="auto"/>
          <w:szCs w:val="21"/>
          <w:highlight w:val="none"/>
        </w:rPr>
      </w:pPr>
      <w:r>
        <w:rPr>
          <w:rFonts w:hint="eastAsia" w:ascii="Arial" w:hAnsi="Arial"/>
          <w:bCs/>
          <w:color w:val="auto"/>
          <w:szCs w:val="21"/>
          <w:highlight w:val="none"/>
        </w:rPr>
        <w:t>由乙方负责处理派遣员工提出的劳动仲裁、诉讼等事宜。</w:t>
      </w:r>
    </w:p>
    <w:p>
      <w:pPr>
        <w:numPr>
          <w:ilvl w:val="0"/>
          <w:numId w:val="21"/>
        </w:numPr>
        <w:tabs>
          <w:tab w:val="left" w:pos="426"/>
        </w:tabs>
        <w:snapToGrid w:val="0"/>
        <w:spacing w:line="400" w:lineRule="exact"/>
        <w:ind w:firstLine="420" w:firstLineChars="200"/>
        <w:rPr>
          <w:rFonts w:ascii="Arial" w:hAnsi="Arial"/>
          <w:bCs/>
          <w:color w:val="auto"/>
          <w:szCs w:val="21"/>
          <w:highlight w:val="none"/>
        </w:rPr>
      </w:pPr>
      <w:r>
        <w:rPr>
          <w:rFonts w:hint="eastAsia" w:ascii="Arial" w:hAnsi="Arial"/>
          <w:bCs/>
          <w:color w:val="auto"/>
          <w:szCs w:val="21"/>
          <w:highlight w:val="none"/>
        </w:rPr>
        <w:t>由乙方负责员工辞退、解除合同等相关工作，其中员工违反相关工作纪律的，应及时辞退。</w:t>
      </w:r>
    </w:p>
    <w:p>
      <w:pPr>
        <w:numPr>
          <w:ilvl w:val="0"/>
          <w:numId w:val="21"/>
        </w:numPr>
        <w:tabs>
          <w:tab w:val="left" w:pos="426"/>
        </w:tabs>
        <w:snapToGrid w:val="0"/>
        <w:spacing w:line="400" w:lineRule="exact"/>
        <w:ind w:firstLine="420" w:firstLineChars="200"/>
        <w:rPr>
          <w:rFonts w:ascii="Arial" w:hAnsi="Arial"/>
          <w:bCs/>
          <w:color w:val="auto"/>
          <w:szCs w:val="21"/>
          <w:highlight w:val="none"/>
        </w:rPr>
      </w:pPr>
      <w:r>
        <w:rPr>
          <w:rFonts w:hint="eastAsia" w:ascii="Arial" w:hAnsi="Arial"/>
          <w:bCs/>
          <w:color w:val="auto"/>
          <w:szCs w:val="21"/>
          <w:highlight w:val="none"/>
        </w:rPr>
        <w:t>由乙方负责派遣员工的档案管理、党员组织关系管理以及专业技术人员的职称申报、评定、</w:t>
      </w:r>
      <w:r>
        <w:rPr>
          <w:rFonts w:hint="eastAsia" w:ascii="宋体" w:hAnsi="宋体" w:cs="Arial"/>
          <w:color w:val="auto"/>
          <w:szCs w:val="21"/>
          <w:highlight w:val="none"/>
        </w:rPr>
        <w:t>退休人员手续办理</w:t>
      </w:r>
      <w:r>
        <w:rPr>
          <w:rFonts w:hint="eastAsia" w:ascii="Arial" w:hAnsi="Arial"/>
          <w:bCs/>
          <w:color w:val="auto"/>
          <w:szCs w:val="21"/>
          <w:highlight w:val="none"/>
        </w:rPr>
        <w:t>等。</w:t>
      </w:r>
    </w:p>
    <w:p>
      <w:pPr>
        <w:numPr>
          <w:ilvl w:val="0"/>
          <w:numId w:val="21"/>
        </w:numPr>
        <w:tabs>
          <w:tab w:val="left" w:pos="426"/>
        </w:tabs>
        <w:snapToGrid w:val="0"/>
        <w:spacing w:line="400" w:lineRule="exact"/>
        <w:ind w:firstLine="420" w:firstLineChars="200"/>
        <w:rPr>
          <w:rFonts w:ascii="Arial" w:hAnsi="Arial"/>
          <w:bCs/>
          <w:color w:val="auto"/>
          <w:szCs w:val="21"/>
          <w:highlight w:val="none"/>
        </w:rPr>
      </w:pPr>
      <w:r>
        <w:rPr>
          <w:rFonts w:hint="eastAsia" w:ascii="Arial" w:hAnsi="Arial"/>
          <w:bCs/>
          <w:color w:val="auto"/>
          <w:szCs w:val="21"/>
          <w:highlight w:val="none"/>
        </w:rPr>
        <w:t>由甲方制定考核标准，并以此为依据对派遣人员进行每月考核</w:t>
      </w:r>
      <w:r>
        <w:rPr>
          <w:rFonts w:hint="eastAsia" w:ascii="宋体" w:hAnsi="宋体" w:cs="Arial"/>
          <w:color w:val="auto"/>
          <w:szCs w:val="21"/>
          <w:highlight w:val="none"/>
        </w:rPr>
        <w:t>及日常管理</w:t>
      </w:r>
      <w:r>
        <w:rPr>
          <w:rFonts w:hint="eastAsia" w:ascii="Arial" w:hAnsi="Arial"/>
          <w:bCs/>
          <w:color w:val="auto"/>
          <w:szCs w:val="21"/>
          <w:highlight w:val="none"/>
        </w:rPr>
        <w:t>。</w:t>
      </w:r>
    </w:p>
    <w:p>
      <w:pPr>
        <w:numPr>
          <w:ilvl w:val="0"/>
          <w:numId w:val="21"/>
        </w:numPr>
        <w:tabs>
          <w:tab w:val="left" w:pos="426"/>
        </w:tabs>
        <w:snapToGrid w:val="0"/>
        <w:spacing w:line="400" w:lineRule="exact"/>
        <w:ind w:firstLine="420" w:firstLineChars="200"/>
        <w:rPr>
          <w:rFonts w:ascii="宋体" w:hAnsi="宋体" w:cs="宋体"/>
          <w:color w:val="auto"/>
          <w:highlight w:val="none"/>
        </w:rPr>
      </w:pPr>
      <w:r>
        <w:rPr>
          <w:rFonts w:hint="eastAsia" w:ascii="Arial" w:hAnsi="Arial"/>
          <w:bCs/>
          <w:color w:val="auto"/>
          <w:szCs w:val="21"/>
          <w:highlight w:val="none"/>
        </w:rPr>
        <w:t>甲方</w:t>
      </w:r>
      <w:r>
        <w:rPr>
          <w:rFonts w:hint="eastAsia" w:ascii="宋体" w:hAnsi="宋体" w:cs="Arial"/>
          <w:color w:val="auto"/>
          <w:szCs w:val="21"/>
          <w:highlight w:val="none"/>
        </w:rPr>
        <w:t>制定工资薪酬及绩效管理指导意见，</w:t>
      </w:r>
      <w:r>
        <w:rPr>
          <w:rFonts w:hint="eastAsia" w:ascii="Arial" w:hAnsi="Arial"/>
          <w:bCs/>
          <w:color w:val="auto"/>
          <w:szCs w:val="21"/>
          <w:highlight w:val="none"/>
        </w:rPr>
        <w:t>乙方</w:t>
      </w:r>
      <w:r>
        <w:rPr>
          <w:rFonts w:hint="eastAsia" w:ascii="宋体" w:hAnsi="宋体" w:cs="Arial"/>
          <w:color w:val="auto"/>
          <w:szCs w:val="21"/>
          <w:highlight w:val="none"/>
        </w:rPr>
        <w:t>据此制定工资薪酬具体发放方案，报</w:t>
      </w:r>
      <w:r>
        <w:rPr>
          <w:rFonts w:hint="eastAsia" w:ascii="Arial" w:hAnsi="Arial"/>
          <w:bCs/>
          <w:color w:val="auto"/>
          <w:szCs w:val="21"/>
          <w:highlight w:val="none"/>
        </w:rPr>
        <w:t>甲方</w:t>
      </w:r>
      <w:r>
        <w:rPr>
          <w:rFonts w:hint="eastAsia" w:ascii="宋体" w:hAnsi="宋体" w:cs="Arial"/>
          <w:color w:val="auto"/>
          <w:szCs w:val="21"/>
          <w:highlight w:val="none"/>
        </w:rPr>
        <w:t>备案后制作工资表予以发放。</w:t>
      </w:r>
      <w:r>
        <w:rPr>
          <w:rFonts w:hint="eastAsia" w:ascii="Arial" w:hAnsi="Arial"/>
          <w:bCs/>
          <w:color w:val="auto"/>
          <w:szCs w:val="21"/>
          <w:highlight w:val="none"/>
        </w:rPr>
        <w:t>甲方</w:t>
      </w:r>
      <w:r>
        <w:rPr>
          <w:rFonts w:hint="eastAsia" w:ascii="宋体" w:hAnsi="宋体" w:cs="Arial"/>
          <w:color w:val="auto"/>
          <w:szCs w:val="21"/>
          <w:highlight w:val="none"/>
        </w:rPr>
        <w:t>可不定期检查劳务公司薪酬发放情况</w:t>
      </w:r>
      <w:r>
        <w:rPr>
          <w:rFonts w:hint="eastAsia" w:ascii="Arial" w:hAnsi="Arial"/>
          <w:bCs/>
          <w:color w:val="auto"/>
          <w:szCs w:val="21"/>
          <w:highlight w:val="none"/>
        </w:rPr>
        <w:t>。</w:t>
      </w:r>
    </w:p>
    <w:p>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五、服务质量要求：</w:t>
      </w:r>
    </w:p>
    <w:p>
      <w:pPr>
        <w:numPr>
          <w:ilvl w:val="0"/>
          <w:numId w:val="22"/>
        </w:numPr>
        <w:tabs>
          <w:tab w:val="left" w:pos="426"/>
        </w:tabs>
        <w:snapToGrid w:val="0"/>
        <w:spacing w:line="400" w:lineRule="exact"/>
        <w:ind w:firstLine="425"/>
        <w:rPr>
          <w:rFonts w:ascii="Arial" w:hAnsi="Arial"/>
          <w:bCs/>
          <w:color w:val="auto"/>
          <w:szCs w:val="21"/>
          <w:highlight w:val="none"/>
        </w:rPr>
      </w:pPr>
      <w:r>
        <w:rPr>
          <w:rFonts w:hint="eastAsia" w:ascii="Arial" w:hAnsi="Arial"/>
          <w:bCs/>
          <w:color w:val="auto"/>
          <w:szCs w:val="21"/>
          <w:highlight w:val="none"/>
        </w:rPr>
        <w:t>甲方确定员工的名单后，由乙方确保5个工作日内办理完毕劳动签订手续、派遣手续，及时向招标人派遣。</w:t>
      </w:r>
    </w:p>
    <w:p>
      <w:pPr>
        <w:numPr>
          <w:ilvl w:val="0"/>
          <w:numId w:val="22"/>
        </w:numPr>
        <w:tabs>
          <w:tab w:val="left" w:pos="426"/>
        </w:tabs>
        <w:snapToGrid w:val="0"/>
        <w:spacing w:line="400" w:lineRule="exact"/>
        <w:ind w:firstLine="425"/>
        <w:rPr>
          <w:rFonts w:ascii="Arial" w:hAnsi="Arial"/>
          <w:bCs/>
          <w:color w:val="auto"/>
          <w:szCs w:val="21"/>
          <w:highlight w:val="none"/>
        </w:rPr>
      </w:pPr>
      <w:r>
        <w:rPr>
          <w:rFonts w:hint="eastAsia" w:ascii="Arial" w:hAnsi="Arial"/>
          <w:bCs/>
          <w:color w:val="auto"/>
          <w:szCs w:val="21"/>
          <w:highlight w:val="none"/>
        </w:rPr>
        <w:t>乙方应确保及时、准确、妥善的处理派遣员工的薪酬管理（薪酬发放以瑞安市综合行政执法局、瑞安市公园管理中心（瑞安市绿化养护管理中心）的相关政策为准）、社保、住房公积金办理、个税代扣代缴工作，避免发生劳动仲裁、诉讼事件。</w:t>
      </w:r>
    </w:p>
    <w:p>
      <w:pPr>
        <w:numPr>
          <w:ilvl w:val="0"/>
          <w:numId w:val="22"/>
        </w:numPr>
        <w:tabs>
          <w:tab w:val="left" w:pos="426"/>
        </w:tabs>
        <w:snapToGrid w:val="0"/>
        <w:spacing w:line="400" w:lineRule="exact"/>
        <w:ind w:firstLine="425"/>
        <w:rPr>
          <w:rFonts w:ascii="Arial" w:hAnsi="Arial"/>
          <w:bCs/>
          <w:color w:val="auto"/>
          <w:szCs w:val="21"/>
          <w:highlight w:val="none"/>
        </w:rPr>
      </w:pPr>
      <w:r>
        <w:rPr>
          <w:rFonts w:hint="eastAsia" w:ascii="Arial" w:hAnsi="Arial"/>
          <w:bCs/>
          <w:color w:val="auto"/>
          <w:szCs w:val="21"/>
          <w:highlight w:val="none"/>
        </w:rPr>
        <w:t>乙方应确保及时、准确、妥善的处理派遣员工的档案管理、党员组织关系管理以及专业技术人员的职称申报、评定等工作，避免发生人事仲裁事件。</w:t>
      </w:r>
    </w:p>
    <w:p>
      <w:pPr>
        <w:numPr>
          <w:ilvl w:val="0"/>
          <w:numId w:val="22"/>
        </w:numPr>
        <w:tabs>
          <w:tab w:val="left" w:pos="426"/>
        </w:tabs>
        <w:snapToGrid w:val="0"/>
        <w:spacing w:line="400" w:lineRule="exact"/>
        <w:ind w:firstLine="425"/>
        <w:rPr>
          <w:rFonts w:ascii="Arial" w:hAnsi="Arial"/>
          <w:bCs/>
          <w:color w:val="auto"/>
          <w:szCs w:val="21"/>
          <w:highlight w:val="none"/>
        </w:rPr>
      </w:pPr>
      <w:r>
        <w:rPr>
          <w:rFonts w:hint="eastAsia" w:ascii="Arial" w:hAnsi="Arial"/>
          <w:bCs/>
          <w:color w:val="auto"/>
          <w:szCs w:val="21"/>
          <w:highlight w:val="none"/>
        </w:rPr>
        <w:t>乙方应确保和谐、稳妥的处理派遣员工的劳动仲裁、劳动诉讼及人事仲裁事件，避免妨碍招标人的正常工作或给甲方带来不利社会影响。</w:t>
      </w:r>
    </w:p>
    <w:p>
      <w:pPr>
        <w:numPr>
          <w:ilvl w:val="0"/>
          <w:numId w:val="22"/>
        </w:numPr>
        <w:tabs>
          <w:tab w:val="left" w:pos="426"/>
        </w:tabs>
        <w:snapToGrid w:val="0"/>
        <w:spacing w:line="400" w:lineRule="exact"/>
        <w:ind w:firstLine="425"/>
        <w:rPr>
          <w:rFonts w:ascii="Arial" w:hAnsi="Arial"/>
          <w:bCs/>
          <w:color w:val="auto"/>
          <w:szCs w:val="21"/>
          <w:highlight w:val="none"/>
        </w:rPr>
      </w:pPr>
      <w:r>
        <w:rPr>
          <w:rFonts w:hint="eastAsia" w:ascii="Arial" w:hAnsi="Arial"/>
          <w:bCs/>
          <w:color w:val="auto"/>
          <w:szCs w:val="21"/>
          <w:highlight w:val="none"/>
        </w:rPr>
        <w:t>乙方与派遣员工确定聘用关系后（提供相应的证明材料），须将该材料原件提供至甲方备案后方可成立。</w:t>
      </w:r>
    </w:p>
    <w:p>
      <w:pPr>
        <w:numPr>
          <w:ilvl w:val="0"/>
          <w:numId w:val="23"/>
        </w:num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工伤保险及其他保险的福利待遇：乙方应为向甲方派遣的人员缴纳社会养老、工伤、公积金等五险一金社会保障保险。</w:t>
      </w:r>
    </w:p>
    <w:p>
      <w:pPr>
        <w:numPr>
          <w:ilvl w:val="0"/>
          <w:numId w:val="23"/>
        </w:num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甲方可随时根据实际情况进行核实，一经发现存在克扣或拖欠员工工资及福利等问题，发现一次扣除</w:t>
      </w:r>
      <w:r>
        <w:rPr>
          <w:rFonts w:hint="eastAsia" w:ascii="宋体" w:hAnsi="宋体" w:cs="宋体"/>
          <w:color w:val="auto"/>
          <w:highlight w:val="none"/>
          <w:lang w:val="en-US" w:eastAsia="zh-CN"/>
        </w:rPr>
        <w:t>壹万元</w:t>
      </w:r>
      <w:r>
        <w:rPr>
          <w:rFonts w:hint="eastAsia" w:ascii="宋体" w:hAnsi="宋体" w:cs="宋体"/>
          <w:color w:val="auto"/>
          <w:highlight w:val="none"/>
        </w:rPr>
        <w:t>的履约保证金，发现两次扣除全部履约保证金，且甲方有权单方面提前解除合同。</w:t>
      </w:r>
    </w:p>
    <w:p>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七、结算办法：</w:t>
      </w:r>
    </w:p>
    <w:p>
      <w:pPr>
        <w:numPr>
          <w:ilvl w:val="0"/>
          <w:numId w:val="24"/>
        </w:num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本项目的服务费由两部分组成：</w:t>
      </w:r>
    </w:p>
    <w:p>
      <w:pPr>
        <w:numPr>
          <w:ilvl w:val="0"/>
          <w:numId w:val="25"/>
        </w:numPr>
        <w:spacing w:line="400" w:lineRule="exact"/>
        <w:ind w:left="0" w:firstLine="425"/>
        <w:rPr>
          <w:rFonts w:ascii="宋体" w:hAnsi="宋体" w:cs="宋体"/>
          <w:color w:val="auto"/>
          <w:szCs w:val="21"/>
          <w:highlight w:val="none"/>
        </w:rPr>
      </w:pPr>
      <w:r>
        <w:rPr>
          <w:rFonts w:hint="eastAsia" w:ascii="宋体" w:hAnsi="宋体" w:cs="宋体"/>
          <w:color w:val="auto"/>
          <w:szCs w:val="21"/>
          <w:highlight w:val="none"/>
        </w:rPr>
        <w:t>各员工的工资、社保、住房公积金及各种福利（以瑞安市综合行政执法局、瑞安市公园管理中心（</w:t>
      </w:r>
      <w:r>
        <w:rPr>
          <w:rFonts w:hint="eastAsia" w:ascii="Arial" w:hAnsi="Arial"/>
          <w:bCs/>
          <w:color w:val="auto"/>
          <w:szCs w:val="21"/>
          <w:highlight w:val="none"/>
        </w:rPr>
        <w:t>瑞安市绿化养护管理中心</w:t>
      </w:r>
      <w:r>
        <w:rPr>
          <w:rFonts w:hint="eastAsia" w:ascii="宋体" w:hAnsi="宋体" w:cs="宋体"/>
          <w:color w:val="auto"/>
          <w:szCs w:val="21"/>
          <w:highlight w:val="none"/>
        </w:rPr>
        <w:t>）的相关政策为准，若有调整，则支付给乙方的各员工的工资、社保、住房公积金及各种福利费用做出相应调整）</w:t>
      </w:r>
    </w:p>
    <w:p>
      <w:pPr>
        <w:numPr>
          <w:ilvl w:val="0"/>
          <w:numId w:val="25"/>
        </w:numPr>
        <w:spacing w:line="400" w:lineRule="exact"/>
        <w:ind w:left="0" w:firstLine="425"/>
        <w:rPr>
          <w:rFonts w:ascii="宋体" w:hAnsi="宋体" w:cs="宋体"/>
          <w:color w:val="auto"/>
          <w:szCs w:val="21"/>
          <w:highlight w:val="none"/>
        </w:rPr>
      </w:pPr>
      <w:r>
        <w:rPr>
          <w:rFonts w:hint="eastAsia" w:ascii="宋体" w:hAnsi="宋体" w:cs="宋体"/>
          <w:color w:val="auto"/>
          <w:szCs w:val="21"/>
          <w:highlight w:val="none"/>
        </w:rPr>
        <w:t>乙方的管理费：人民币 元/月/人（服务费中除各员工的工资、社保、住房公积金及各种福利外的所有相关费用）。</w:t>
      </w:r>
    </w:p>
    <w:p>
      <w:pPr>
        <w:numPr>
          <w:ilvl w:val="0"/>
          <w:numId w:val="24"/>
        </w:numPr>
        <w:spacing w:line="400" w:lineRule="exact"/>
        <w:ind w:firstLine="420" w:firstLineChars="200"/>
        <w:rPr>
          <w:rFonts w:ascii="Arial" w:hAnsi="Arial"/>
          <w:bCs/>
          <w:color w:val="auto"/>
          <w:szCs w:val="21"/>
          <w:highlight w:val="none"/>
        </w:rPr>
      </w:pPr>
      <w:r>
        <w:rPr>
          <w:rFonts w:hint="eastAsia" w:ascii="宋体" w:hAnsi="宋体" w:cs="宋体"/>
          <w:color w:val="auto"/>
          <w:szCs w:val="21"/>
          <w:highlight w:val="none"/>
        </w:rPr>
        <w:t>本项目的服务费采用费用包干方式服务，乙方应根据项目要求和现场情况，详细列明项目所需的人力、物力、财力等, 以及所有人工、管理、财务、税金等所有费用，在服务过程中出现任何遗漏，均由乙方免费提供，甲方不再支付任何费用，具体合同金额则以实际人员按单价结算。</w:t>
      </w:r>
    </w:p>
    <w:p>
      <w:pPr>
        <w:numPr>
          <w:ilvl w:val="0"/>
          <w:numId w:val="24"/>
        </w:numPr>
        <w:spacing w:line="400" w:lineRule="exact"/>
        <w:ind w:firstLine="420" w:firstLineChars="200"/>
        <w:rPr>
          <w:rFonts w:ascii="Arial" w:hAnsi="Arial"/>
          <w:bCs/>
          <w:color w:val="auto"/>
          <w:szCs w:val="21"/>
          <w:highlight w:val="none"/>
        </w:rPr>
      </w:pPr>
      <w:r>
        <w:rPr>
          <w:rFonts w:hint="eastAsia" w:ascii="宋体" w:hAnsi="宋体" w:cs="宋体"/>
          <w:b w:val="0"/>
          <w:bCs w:val="0"/>
          <w:color w:val="auto"/>
          <w:szCs w:val="21"/>
          <w:highlight w:val="none"/>
          <w:u w:val="none"/>
        </w:rPr>
        <w:t>乙方在收到中标通知书后，需向瑞安市综合行政执法局</w:t>
      </w:r>
      <w:r>
        <w:rPr>
          <w:rFonts w:hint="eastAsia" w:ascii="宋体" w:hAnsi="宋体" w:cs="宋体"/>
          <w:b w:val="0"/>
          <w:bCs w:val="0"/>
          <w:color w:val="auto"/>
          <w:szCs w:val="21"/>
          <w:highlight w:val="none"/>
          <w:u w:val="none"/>
        </w:rPr>
        <w:t>提交</w:t>
      </w:r>
      <w:r>
        <w:rPr>
          <w:rFonts w:hint="eastAsia" w:ascii="Arial" w:hAnsi="Arial" w:cs="Arial"/>
          <w:b w:val="0"/>
          <w:bCs w:val="0"/>
          <w:color w:val="auto"/>
          <w:highlight w:val="none"/>
          <w:u w:val="none"/>
          <w:lang w:val="en-US" w:eastAsia="zh-CN"/>
        </w:rPr>
        <w:t>伍万元</w:t>
      </w:r>
      <w:r>
        <w:rPr>
          <w:rFonts w:hint="eastAsia" w:ascii="Arial" w:hAnsi="Arial" w:cs="Arial"/>
          <w:b w:val="0"/>
          <w:bCs w:val="0"/>
          <w:color w:val="auto"/>
          <w:highlight w:val="none"/>
          <w:u w:val="none"/>
        </w:rPr>
        <w:t>作为</w:t>
      </w:r>
      <w:r>
        <w:rPr>
          <w:rFonts w:hint="eastAsia" w:ascii="Arial" w:hAnsi="Arial" w:cs="Arial"/>
          <w:b w:val="0"/>
          <w:bCs w:val="0"/>
          <w:color w:val="auto"/>
          <w:highlight w:val="none"/>
          <w:u w:val="none"/>
          <w:lang w:val="en-US" w:eastAsia="zh-CN"/>
        </w:rPr>
        <w:t>本项目的</w:t>
      </w:r>
      <w:r>
        <w:rPr>
          <w:rFonts w:hint="eastAsia" w:ascii="宋体" w:hAnsi="宋体" w:cs="宋体"/>
          <w:b w:val="0"/>
          <w:bCs w:val="0"/>
          <w:color w:val="auto"/>
          <w:szCs w:val="21"/>
          <w:highlight w:val="none"/>
          <w:u w:val="none"/>
        </w:rPr>
        <w:t>履约保证金，</w:t>
      </w:r>
      <w:r>
        <w:rPr>
          <w:rFonts w:hint="eastAsia" w:ascii="宋体" w:hAnsi="宋体" w:cs="宋体"/>
          <w:b w:val="0"/>
          <w:bCs w:val="0"/>
          <w:color w:val="auto"/>
          <w:szCs w:val="21"/>
          <w:highlight w:val="none"/>
          <w:u w:val="none"/>
        </w:rPr>
        <w:t>并在合同签订后5个工作日内提交，以保证乙方遵守本合同的一切条款、条件和承诺，该保证</w:t>
      </w:r>
      <w:r>
        <w:rPr>
          <w:rFonts w:hint="eastAsia" w:ascii="宋体" w:hAnsi="宋体" w:cs="宋体"/>
          <w:color w:val="auto"/>
          <w:szCs w:val="21"/>
          <w:highlight w:val="none"/>
        </w:rPr>
        <w:t>金在甲方的规定存续期间不计息。甲方认为乙方在承包期内没有涉及甲方的应付而未付金额或违约行为，甲方在承包期满后或提前终止承包后10个工作日内全额无息退还履约金，否则，甲方在扣除乙方应付金额或违约金后退还保证金余额。</w:t>
      </w:r>
      <w:r>
        <w:rPr>
          <w:rFonts w:hint="eastAsia" w:ascii="Arial" w:hAnsi="Arial"/>
          <w:bCs/>
          <w:color w:val="auto"/>
          <w:szCs w:val="21"/>
          <w:highlight w:val="none"/>
        </w:rPr>
        <w:t>招标人可随时根据实际情况进行核实，一经发现存在克扣或拖欠员工工资及福利等问题将按照相关要求及法律规定对相关责任人严肃处理。</w:t>
      </w:r>
    </w:p>
    <w:p>
      <w:pPr>
        <w:numPr>
          <w:ilvl w:val="0"/>
          <w:numId w:val="24"/>
        </w:numPr>
        <w:spacing w:line="400" w:lineRule="exact"/>
        <w:ind w:firstLine="420" w:firstLineChars="200"/>
        <w:rPr>
          <w:rFonts w:ascii="Arial" w:hAnsi="Arial"/>
          <w:bCs/>
          <w:color w:val="auto"/>
          <w:szCs w:val="21"/>
          <w:highlight w:val="none"/>
        </w:rPr>
      </w:pPr>
      <w:r>
        <w:rPr>
          <w:rFonts w:hint="eastAsia" w:ascii="Arial" w:hAnsi="Arial"/>
          <w:bCs/>
          <w:color w:val="auto"/>
          <w:szCs w:val="21"/>
          <w:highlight w:val="none"/>
        </w:rPr>
        <w:t>付款方式：</w:t>
      </w:r>
      <w:r>
        <w:rPr>
          <w:rFonts w:hint="eastAsia" w:ascii="宋体" w:hAnsi="宋体"/>
          <w:bCs/>
          <w:color w:val="auto"/>
          <w:highlight w:val="none"/>
        </w:rPr>
        <w:t>合同签订生效后15日内，</w:t>
      </w:r>
      <w:r>
        <w:rPr>
          <w:rFonts w:hint="eastAsia" w:ascii="宋体" w:hAnsi="宋体"/>
          <w:bCs/>
          <w:color w:val="auto"/>
          <w:highlight w:val="none"/>
          <w:lang w:val="en-US" w:eastAsia="zh-CN"/>
        </w:rPr>
        <w:t>甲方</w:t>
      </w:r>
      <w:r>
        <w:rPr>
          <w:rFonts w:hint="eastAsia" w:ascii="宋体" w:hAnsi="宋体"/>
          <w:bCs/>
          <w:color w:val="auto"/>
          <w:highlight w:val="none"/>
        </w:rPr>
        <w:t>每年须支付当年管理费的20%作为预付款，从支付第一期管理费</w:t>
      </w:r>
      <w:r>
        <w:rPr>
          <w:rFonts w:hint="eastAsia" w:ascii="Arial" w:hAnsi="Arial"/>
          <w:bCs/>
          <w:color w:val="auto"/>
          <w:szCs w:val="21"/>
          <w:highlight w:val="none"/>
        </w:rPr>
        <w:t>开始</w:t>
      </w:r>
      <w:r>
        <w:rPr>
          <w:rFonts w:hint="eastAsia" w:ascii="宋体" w:hAnsi="宋体"/>
          <w:bCs/>
          <w:color w:val="auto"/>
          <w:highlight w:val="none"/>
        </w:rPr>
        <w:t>予以扣回，如不足抵扣的，则在下期管理费支付时扣回预付款</w:t>
      </w:r>
      <w:r>
        <w:rPr>
          <w:rFonts w:hint="eastAsia" w:ascii="宋体" w:hAnsi="宋体"/>
          <w:bCs/>
          <w:color w:val="auto"/>
          <w:highlight w:val="none"/>
          <w:lang w:val="en-US" w:eastAsia="zh-CN"/>
        </w:rPr>
        <w:t>；或甲方与乙方另行约定的，以约定为准。</w:t>
      </w:r>
    </w:p>
    <w:p>
      <w:pPr>
        <w:numPr>
          <w:ilvl w:val="0"/>
          <w:numId w:val="24"/>
        </w:numPr>
        <w:spacing w:line="400" w:lineRule="exact"/>
        <w:ind w:firstLine="420" w:firstLineChars="200"/>
        <w:rPr>
          <w:rFonts w:ascii="Arial" w:hAnsi="Arial"/>
          <w:bCs/>
          <w:color w:val="auto"/>
          <w:szCs w:val="21"/>
          <w:highlight w:val="none"/>
        </w:rPr>
      </w:pPr>
      <w:r>
        <w:rPr>
          <w:rFonts w:hint="eastAsia" w:ascii="Arial" w:hAnsi="Arial"/>
          <w:bCs/>
          <w:color w:val="auto"/>
          <w:szCs w:val="21"/>
          <w:highlight w:val="none"/>
        </w:rPr>
        <w:t>乙方应在每月8日及时支付员工上月工资，甲方收到乙方开具的正式发票和员工工资发放凭证复印件（以便甲方确认务工人员劳动报酬已经兑现）等相关齐全的资料，10个工作日内付款。</w:t>
      </w:r>
    </w:p>
    <w:p>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八、甲方的权利及义务：</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1、甲方有权要求乙方的相关人员按合同要求约定保质、保量完成工作，对乙方提供的人员的工作情况有权通过电话或书面向乙方反馈。</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2、在合同履行中，若因乙方的相关人员自身的过错造成甲方财产损毁或人身受到伤害，甲方有权要求乙方的相关人员承担赔偿责任，但因不可抗拒力甲方 或服务对象自身的过错造成的除外。</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3、甲方有权根据实际情况，变更、增加服务内容和服务时间，但需经双方协商同意，并签订补充协议。</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4、甲方有权合理选择、更换和辞退相关人员。协议期内，符合下列情况之一，甲方有权解除协议：</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(1) 有效证据证明乙方项目服务人员在本次项目服务中有违法犯罪行为的；</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(2)提出调换人员后，间隔5个工作日乙方累计3次以上无法选派新的人员到岗工作的；</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(3) 根据乙方在服务期内被投诉的情况，甲方可根据投诉事件的情节严重性、投诉事件的数量及整改措施等情况做出对乙方是否解除协议的处理决定。</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(4)乙方的服务人员在上岗七个工作日的适应期后，仍不能完成合同所要求的工作，且乙方先后调换3人均未能达到甲方所要求的相应服务标准的。</w:t>
      </w:r>
    </w:p>
    <w:p>
      <w:pPr>
        <w:adjustRightInd w:val="0"/>
        <w:snapToGrid w:val="0"/>
        <w:spacing w:line="400" w:lineRule="exact"/>
        <w:ind w:firstLine="409" w:firstLineChars="195"/>
        <w:rPr>
          <w:rFonts w:hint="eastAsia" w:ascii="宋体" w:hAnsi="宋体" w:cs="宋体"/>
          <w:color w:val="auto"/>
          <w:highlight w:val="none"/>
        </w:rPr>
      </w:pPr>
      <w:r>
        <w:rPr>
          <w:rFonts w:hint="eastAsia" w:ascii="宋体" w:hAnsi="宋体" w:cs="宋体"/>
          <w:color w:val="auto"/>
          <w:highlight w:val="none"/>
        </w:rPr>
        <w:t>5、在合同履行期间，甲方有义务维护乙方的人员的人格尊严，并应为乙方的人员履行职责提供必要的工作条件。</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lang w:val="en-US" w:eastAsia="zh-CN"/>
        </w:rPr>
        <w:t>6、如服务期限未到，财政预算价已支付完毕，合同生效至本次财政预算价支付完毕止；如服务期限已到，财政预算价未使用完，则合同生效至本项目服务期限完毕止。</w:t>
      </w:r>
      <w:r>
        <w:rPr>
          <w:rFonts w:hint="eastAsia" w:ascii="宋体" w:hAnsi="宋体" w:cs="宋体"/>
          <w:color w:val="auto"/>
          <w:highlight w:val="none"/>
        </w:rPr>
        <w:t xml:space="preserve"> </w:t>
      </w:r>
    </w:p>
    <w:p>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九、乙方的权利及义务：</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1、乙方应为甲方选派体检合格和具备相应服务能力的人员，方可从事相关服务。</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2、乙方应为其人员依法缴纳社会养老、工伤等五项社会保障保险。</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3、在合同履行中，乙方所派的人员应做到不迟到，不早退，按期保质保量完成服务项目和工作。</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4、乙方所派的人员如对甲方有违约行为，乙方应为甲方和相关部门对相关事项的处理提供必要的帮助。</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5、乙方派驻的人员应遵守甲方的各项规章制度，服从甲方的管理。</w:t>
      </w:r>
    </w:p>
    <w:p>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十、违约责任</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1、甲乙双方应遵守合同约定，任何一方违反合同约定，另外一方均有权解 除合同并要求赔偿因违约造成的损失，合同另有约定的除外。</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2、 有关违约的其他约定事项：。</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十一、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十二、本合同的其他组成文件：</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1、招标文件（含补充、修改文件）</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2、乙方的投标文件（含澄清、补充文件）</w:t>
      </w:r>
    </w:p>
    <w:p>
      <w:pPr>
        <w:adjustRightInd w:val="0"/>
        <w:snapToGrid w:val="0"/>
        <w:spacing w:line="400" w:lineRule="exact"/>
        <w:ind w:firstLine="409" w:firstLineChars="195"/>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rPr>
        <w:t>。</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十三、合同补充和修改：对合同条款作任何改动或偏离，增加补充条款，均须 由甲、乙双方签订书面的补充合同。</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十四、合同纠纷：如发生合同纠纷，甲、乙双方协商解决；协商不成时，可提请相关部门调解；调解不成，双方约定</w:t>
      </w:r>
      <w:r>
        <w:rPr>
          <w:rFonts w:hint="eastAsia" w:ascii="宋体" w:hAnsi="宋体" w:cs="宋体"/>
          <w:color w:val="auto"/>
          <w:highlight w:val="none"/>
          <w:u w:val="single"/>
        </w:rPr>
        <w:tab/>
      </w:r>
      <w:r>
        <w:rPr>
          <w:rFonts w:hint="eastAsia" w:ascii="宋体" w:hAnsi="宋体" w:cs="宋体"/>
          <w:color w:val="auto"/>
          <w:highlight w:val="none"/>
        </w:rPr>
        <w:t>；协商不能解决的，任何一方有权在合同签约地选择仲裁或诉讼的途径解决。</w:t>
      </w:r>
    </w:p>
    <w:p>
      <w:pPr>
        <w:adjustRightInd w:val="0"/>
        <w:snapToGrid w:val="0"/>
        <w:spacing w:line="400" w:lineRule="exact"/>
        <w:ind w:firstLine="409" w:firstLineChars="195"/>
        <w:rPr>
          <w:rFonts w:ascii="宋体" w:hAnsi="宋体" w:cs="宋体"/>
          <w:color w:val="auto"/>
          <w:highlight w:val="none"/>
        </w:rPr>
      </w:pPr>
      <w:r>
        <w:rPr>
          <w:rFonts w:hint="eastAsia" w:ascii="宋体" w:hAnsi="宋体" w:cs="宋体"/>
          <w:color w:val="auto"/>
          <w:highlight w:val="none"/>
        </w:rPr>
        <w:t>十五、未尽事宜：合同如有未尽事宜，须经甲、乙双方共同协商，作出补充约定；补充约定与本合同具有同等效力。</w:t>
      </w:r>
    </w:p>
    <w:p>
      <w:pPr>
        <w:adjustRightInd w:val="0"/>
        <w:snapToGrid w:val="0"/>
        <w:spacing w:line="400" w:lineRule="exact"/>
        <w:ind w:firstLine="200"/>
        <w:rPr>
          <w:rFonts w:ascii="宋体" w:hAnsi="宋体" w:cs="宋体"/>
          <w:color w:val="auto"/>
          <w:highlight w:val="none"/>
        </w:rPr>
      </w:pPr>
      <w:r>
        <w:rPr>
          <w:rFonts w:hint="eastAsia" w:ascii="宋体" w:hAnsi="宋体" w:cs="宋体"/>
          <w:color w:val="auto"/>
          <w:highlight w:val="none"/>
        </w:rPr>
        <w:t xml:space="preserve">十三、合同份数及生效：本合同一式陆份，甲方、乙方各贰份，市财政局、瑞安市公共资源交易中心各执一份，同等生效。本合同经甲、乙双方盖章后生效。 </w:t>
      </w:r>
    </w:p>
    <w:p>
      <w:pPr>
        <w:spacing w:line="400" w:lineRule="exact"/>
        <w:ind w:firstLine="707" w:firstLineChars="337"/>
        <w:rPr>
          <w:rFonts w:ascii="宋体" w:hAnsi="宋体" w:cs="宋体"/>
          <w:color w:val="auto"/>
          <w:szCs w:val="21"/>
          <w:highlight w:val="none"/>
        </w:rPr>
      </w:pPr>
    </w:p>
    <w:p>
      <w:pPr>
        <w:spacing w:line="400" w:lineRule="exact"/>
        <w:ind w:firstLine="707" w:firstLineChars="337"/>
        <w:rPr>
          <w:rFonts w:ascii="宋体" w:hAnsi="宋体"/>
          <w:color w:val="auto"/>
          <w:szCs w:val="28"/>
          <w:highlight w:val="none"/>
          <w:u w:val="single"/>
        </w:rPr>
      </w:pPr>
      <w:r>
        <w:rPr>
          <w:rFonts w:hint="eastAsia" w:ascii="宋体" w:hAnsi="宋体"/>
          <w:color w:val="auto"/>
          <w:szCs w:val="28"/>
          <w:highlight w:val="none"/>
        </w:rPr>
        <w:t>甲    方：（盖章）             乙    方：（盖章）</w:t>
      </w:r>
    </w:p>
    <w:p>
      <w:pPr>
        <w:spacing w:line="40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名称：（盖章）                 名称：（盖章）</w:t>
      </w:r>
    </w:p>
    <w:p>
      <w:pPr>
        <w:spacing w:line="40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授权代表（签字或盖章）         授权代表（签字或盖章）</w:t>
      </w:r>
    </w:p>
    <w:p>
      <w:pPr>
        <w:spacing w:line="40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地址：                         地址：</w:t>
      </w:r>
    </w:p>
    <w:p>
      <w:pPr>
        <w:spacing w:line="40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邮政编码：                     邮政编码：</w:t>
      </w:r>
    </w:p>
    <w:p>
      <w:pPr>
        <w:spacing w:line="40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电话：                         电话：</w:t>
      </w:r>
    </w:p>
    <w:p>
      <w:pPr>
        <w:spacing w:line="40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传真：                         传真：</w:t>
      </w:r>
    </w:p>
    <w:p>
      <w:pPr>
        <w:spacing w:line="40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开户银行：                     开户银行：</w:t>
      </w:r>
    </w:p>
    <w:p>
      <w:pPr>
        <w:snapToGrid w:val="0"/>
        <w:spacing w:beforeLines="50" w:afterLines="50" w:line="40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账号：                         账号：</w:t>
      </w:r>
    </w:p>
    <w:p>
      <w:pPr>
        <w:snapToGrid w:val="0"/>
        <w:spacing w:beforeLines="50" w:afterLines="50" w:line="400" w:lineRule="exact"/>
        <w:ind w:firstLine="735" w:firstLineChars="350"/>
        <w:rPr>
          <w:rFonts w:ascii="宋体" w:hAnsi="宋体"/>
          <w:color w:val="auto"/>
          <w:szCs w:val="28"/>
          <w:highlight w:val="none"/>
          <w:u w:val="single"/>
        </w:rPr>
      </w:pPr>
      <w:r>
        <w:rPr>
          <w:rFonts w:hint="eastAsia" w:ascii="宋体" w:hAnsi="宋体"/>
          <w:color w:val="auto"/>
          <w:szCs w:val="28"/>
          <w:highlight w:val="none"/>
        </w:rPr>
        <w:t>合同订立地点：</w:t>
      </w:r>
    </w:p>
    <w:p>
      <w:pPr>
        <w:snapToGrid w:val="0"/>
        <w:spacing w:beforeLines="50" w:afterLines="50" w:line="440" w:lineRule="exact"/>
        <w:ind w:firstLine="843" w:firstLineChars="350"/>
        <w:rPr>
          <w:rFonts w:ascii="宋体" w:hAnsi="宋体" w:cs="宋体"/>
          <w:b/>
          <w:color w:val="auto"/>
          <w:sz w:val="24"/>
          <w:highlight w:val="none"/>
        </w:rPr>
      </w:pPr>
    </w:p>
    <w:p>
      <w:pPr>
        <w:snapToGrid w:val="0"/>
        <w:spacing w:beforeLines="50" w:afterLines="50"/>
        <w:rPr>
          <w:rFonts w:ascii="宋体" w:hAnsi="宋体" w:cs="宋体"/>
          <w:color w:val="auto"/>
          <w:szCs w:val="21"/>
          <w:highlight w:val="none"/>
        </w:rPr>
      </w:pPr>
      <w:r>
        <w:rPr>
          <w:rFonts w:hint="eastAsia" w:ascii="宋体" w:hAnsi="宋体" w:cs="宋体"/>
          <w:b/>
          <w:color w:val="auto"/>
          <w:szCs w:val="21"/>
          <w:highlight w:val="none"/>
        </w:rPr>
        <w:t>注：本合同作为示范文本，具体以中标供应商与招标人所签定正式合同为准。</w:t>
      </w:r>
    </w:p>
    <w:p>
      <w:pPr>
        <w:pageBreakBefore/>
        <w:spacing w:line="360" w:lineRule="auto"/>
        <w:rPr>
          <w:rFonts w:ascii="宋体" w:hAnsi="宋体" w:cs="宋体"/>
          <w:color w:val="auto"/>
          <w:szCs w:val="21"/>
          <w:highlight w:val="none"/>
        </w:rPr>
      </w:pPr>
      <w:r>
        <w:rPr>
          <w:rFonts w:hint="eastAsia" w:ascii="宋体" w:hAnsi="宋体" w:cs="宋体"/>
          <w:b/>
          <w:color w:val="auto"/>
          <w:sz w:val="28"/>
          <w:szCs w:val="28"/>
          <w:highlight w:val="none"/>
        </w:rPr>
        <w:t>附件:</w:t>
      </w:r>
    </w:p>
    <w:p>
      <w:pPr>
        <w:spacing w:line="360" w:lineRule="auto"/>
        <w:jc w:val="center"/>
        <w:rPr>
          <w:rFonts w:ascii="宋体" w:hAnsi="宋体" w:cs="宋体"/>
          <w:color w:val="auto"/>
          <w:sz w:val="30"/>
          <w:szCs w:val="30"/>
          <w:highlight w:val="none"/>
        </w:rPr>
      </w:pPr>
      <w:r>
        <w:rPr>
          <w:rFonts w:ascii="宋体" w:hAnsi="宋体" w:cs="宋体"/>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4595495</wp:posOffset>
                </wp:positionH>
                <wp:positionV relativeFrom="paragraph">
                  <wp:posOffset>33020</wp:posOffset>
                </wp:positionV>
                <wp:extent cx="1209675" cy="328295"/>
                <wp:effectExtent l="0" t="0" r="9525" b="14605"/>
                <wp:wrapNone/>
                <wp:docPr id="1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09675" cy="328295"/>
                        </a:xfrm>
                        <a:prstGeom prst="rect">
                          <a:avLst/>
                        </a:prstGeom>
                        <a:solidFill>
                          <a:srgbClr val="FFFFFF"/>
                        </a:solidFill>
                        <a:ln>
                          <a:noFill/>
                        </a:ln>
                        <a:effectLst/>
                      </wps:spPr>
                      <wps:txbx>
                        <w:txbxContent>
                          <w:p>
                            <w:pPr>
                              <w:spacing w:line="320" w:lineRule="exact"/>
                            </w:pPr>
                            <w:r>
                              <w:rPr>
                                <w:rFonts w:hint="eastAsia" w:eastAsia="黑体"/>
                                <w:sz w:val="24"/>
                              </w:rPr>
                              <w:t>NO：</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61.85pt;margin-top:2.6pt;height:25.85pt;width:95.25pt;z-index:251659264;mso-width-relative:page;mso-height-relative:page;" fillcolor="#FFFFFF" filled="t" stroked="f" coordsize="21600,21600" o:gfxdata="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tQ6nWAAAACAEAAA8AAAAAAAAAAQAgAAAAIgAAAGRycy9kb3ducmV2LnhtbFBL&#10;AQIUABQAAAAIAIdO4kDyuLzsMQIAAE0EAAAOAAAAAAAAAAEAIAAAACUBAABkcnMvZTJvRG9jLnht&#10;bFBLBQYAAAAABgAGAFkBAADIBQAAAAA=&#10;">
                <v:fill on="t" focussize="0,0"/>
                <v:stroke on="f"/>
                <v:imagedata o:title=""/>
                <o:lock v:ext="edit" aspectratio="f"/>
                <v:textbox>
                  <w:txbxContent>
                    <w:p>
                      <w:pPr>
                        <w:spacing w:line="320" w:lineRule="exact"/>
                      </w:pPr>
                      <w:r>
                        <w:rPr>
                          <w:rFonts w:hint="eastAsia" w:eastAsia="黑体"/>
                          <w:sz w:val="24"/>
                        </w:rPr>
                        <w:t>NO：</w:t>
                      </w:r>
                    </w:p>
                  </w:txbxContent>
                </v:textbox>
              </v:shape>
            </w:pict>
          </mc:Fallback>
        </mc:AlternateContent>
      </w:r>
      <w:r>
        <w:rPr>
          <w:rFonts w:hint="eastAsia" w:ascii="宋体" w:hAnsi="宋体" w:cs="宋体"/>
          <w:color w:val="auto"/>
          <w:sz w:val="30"/>
          <w:szCs w:val="30"/>
          <w:highlight w:val="none"/>
        </w:rPr>
        <w:t>瑞安市政府采购项目诚信评价反馈表</w:t>
      </w:r>
    </w:p>
    <w:tbl>
      <w:tblPr>
        <w:tblStyle w:val="25"/>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09"/>
        <w:gridCol w:w="9"/>
        <w:gridCol w:w="3342"/>
        <w:gridCol w:w="9"/>
        <w:gridCol w:w="1064"/>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67" w:type="dxa"/>
            <w:gridSpan w:val="2"/>
            <w:vAlign w:val="center"/>
          </w:tcPr>
          <w:p>
            <w:pPr>
              <w:rPr>
                <w:rFonts w:ascii="宋体" w:hAnsi="宋体" w:cs="宋体"/>
                <w:color w:val="auto"/>
                <w:highlight w:val="none"/>
              </w:rPr>
            </w:pPr>
            <w:r>
              <w:rPr>
                <w:rFonts w:hint="eastAsia" w:ascii="宋体" w:hAnsi="宋体" w:cs="宋体"/>
                <w:color w:val="auto"/>
                <w:highlight w:val="none"/>
              </w:rPr>
              <w:t>采购单位</w:t>
            </w:r>
          </w:p>
        </w:tc>
        <w:tc>
          <w:tcPr>
            <w:tcW w:w="3351" w:type="dxa"/>
            <w:gridSpan w:val="2"/>
            <w:vAlign w:val="center"/>
          </w:tcPr>
          <w:p>
            <w:pPr>
              <w:rPr>
                <w:rFonts w:ascii="宋体" w:hAnsi="宋体" w:cs="宋体"/>
                <w:color w:val="auto"/>
                <w:highlight w:val="none"/>
              </w:rPr>
            </w:pPr>
          </w:p>
        </w:tc>
        <w:tc>
          <w:tcPr>
            <w:tcW w:w="1073" w:type="dxa"/>
            <w:gridSpan w:val="2"/>
            <w:vAlign w:val="center"/>
          </w:tcPr>
          <w:p>
            <w:pPr>
              <w:rPr>
                <w:rFonts w:ascii="宋体" w:hAnsi="宋体" w:cs="宋体"/>
                <w:color w:val="auto"/>
                <w:highlight w:val="none"/>
              </w:rPr>
            </w:pPr>
            <w:r>
              <w:rPr>
                <w:rFonts w:hint="eastAsia" w:ascii="宋体" w:hAnsi="宋体" w:cs="宋体"/>
                <w:color w:val="auto"/>
                <w:highlight w:val="none"/>
              </w:rPr>
              <w:t>联系方式</w:t>
            </w:r>
          </w:p>
        </w:tc>
        <w:tc>
          <w:tcPr>
            <w:tcW w:w="3550"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67" w:type="dxa"/>
            <w:gridSpan w:val="2"/>
            <w:vAlign w:val="center"/>
          </w:tcPr>
          <w:p>
            <w:pPr>
              <w:rPr>
                <w:rFonts w:ascii="宋体" w:hAnsi="宋体" w:cs="宋体"/>
                <w:color w:val="auto"/>
                <w:highlight w:val="none"/>
              </w:rPr>
            </w:pPr>
            <w:r>
              <w:rPr>
                <w:rFonts w:hint="eastAsia" w:ascii="宋体" w:hAnsi="宋体" w:cs="宋体"/>
                <w:color w:val="auto"/>
                <w:highlight w:val="none"/>
              </w:rPr>
              <w:t>项目名称</w:t>
            </w:r>
          </w:p>
        </w:tc>
        <w:tc>
          <w:tcPr>
            <w:tcW w:w="3351" w:type="dxa"/>
            <w:gridSpan w:val="2"/>
            <w:vAlign w:val="center"/>
          </w:tcPr>
          <w:p>
            <w:pPr>
              <w:rPr>
                <w:rFonts w:ascii="宋体" w:hAnsi="宋体" w:cs="宋体"/>
                <w:color w:val="auto"/>
                <w:highlight w:val="none"/>
              </w:rPr>
            </w:pPr>
          </w:p>
        </w:tc>
        <w:tc>
          <w:tcPr>
            <w:tcW w:w="1073" w:type="dxa"/>
            <w:gridSpan w:val="2"/>
            <w:vAlign w:val="center"/>
          </w:tcPr>
          <w:p>
            <w:pPr>
              <w:rPr>
                <w:rFonts w:ascii="宋体" w:hAnsi="宋体" w:cs="宋体"/>
                <w:color w:val="auto"/>
                <w:highlight w:val="none"/>
              </w:rPr>
            </w:pPr>
            <w:r>
              <w:rPr>
                <w:rFonts w:hint="eastAsia" w:ascii="宋体" w:hAnsi="宋体" w:cs="宋体"/>
                <w:color w:val="auto"/>
                <w:highlight w:val="none"/>
              </w:rPr>
              <w:t>项目编号</w:t>
            </w:r>
          </w:p>
        </w:tc>
        <w:tc>
          <w:tcPr>
            <w:tcW w:w="3550"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67" w:type="dxa"/>
            <w:gridSpan w:val="2"/>
            <w:vAlign w:val="center"/>
          </w:tcPr>
          <w:p>
            <w:pPr>
              <w:rPr>
                <w:rFonts w:ascii="宋体" w:hAnsi="宋体" w:cs="宋体"/>
                <w:color w:val="auto"/>
                <w:highlight w:val="none"/>
              </w:rPr>
            </w:pPr>
            <w:r>
              <w:rPr>
                <w:rFonts w:hint="eastAsia" w:ascii="宋体" w:hAnsi="宋体" w:cs="宋体"/>
                <w:color w:val="auto"/>
                <w:highlight w:val="none"/>
              </w:rPr>
              <w:t>中标单位</w:t>
            </w:r>
          </w:p>
        </w:tc>
        <w:tc>
          <w:tcPr>
            <w:tcW w:w="3351" w:type="dxa"/>
            <w:gridSpan w:val="2"/>
            <w:vAlign w:val="center"/>
          </w:tcPr>
          <w:p>
            <w:pPr>
              <w:rPr>
                <w:rFonts w:ascii="宋体" w:hAnsi="宋体" w:cs="宋体"/>
                <w:color w:val="auto"/>
                <w:highlight w:val="none"/>
              </w:rPr>
            </w:pPr>
          </w:p>
        </w:tc>
        <w:tc>
          <w:tcPr>
            <w:tcW w:w="1073" w:type="dxa"/>
            <w:gridSpan w:val="2"/>
            <w:vAlign w:val="center"/>
          </w:tcPr>
          <w:p>
            <w:pPr>
              <w:rPr>
                <w:rFonts w:ascii="宋体" w:hAnsi="宋体" w:cs="宋体"/>
                <w:color w:val="auto"/>
                <w:highlight w:val="none"/>
              </w:rPr>
            </w:pPr>
            <w:r>
              <w:rPr>
                <w:rFonts w:hint="eastAsia" w:ascii="宋体" w:hAnsi="宋体" w:cs="宋体"/>
                <w:color w:val="auto"/>
                <w:highlight w:val="none"/>
              </w:rPr>
              <w:t>中标金额</w:t>
            </w:r>
          </w:p>
        </w:tc>
        <w:tc>
          <w:tcPr>
            <w:tcW w:w="3550"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67" w:type="dxa"/>
            <w:gridSpan w:val="2"/>
            <w:tcBorders>
              <w:bottom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代理机构</w:t>
            </w:r>
          </w:p>
        </w:tc>
        <w:tc>
          <w:tcPr>
            <w:tcW w:w="3351" w:type="dxa"/>
            <w:gridSpan w:val="2"/>
            <w:vAlign w:val="center"/>
          </w:tcPr>
          <w:p>
            <w:pPr>
              <w:rPr>
                <w:rFonts w:ascii="宋体" w:hAnsi="宋体" w:cs="宋体"/>
                <w:color w:val="auto"/>
                <w:highlight w:val="none"/>
              </w:rPr>
            </w:pPr>
          </w:p>
        </w:tc>
        <w:tc>
          <w:tcPr>
            <w:tcW w:w="1073" w:type="dxa"/>
            <w:gridSpan w:val="2"/>
            <w:vAlign w:val="center"/>
          </w:tcPr>
          <w:p>
            <w:pPr>
              <w:jc w:val="center"/>
              <w:rPr>
                <w:rFonts w:ascii="宋体" w:hAnsi="宋体" w:cs="宋体"/>
                <w:color w:val="auto"/>
                <w:highlight w:val="none"/>
              </w:rPr>
            </w:pPr>
            <w:r>
              <w:rPr>
                <w:rFonts w:hint="eastAsia" w:ascii="宋体" w:hAnsi="宋体" w:cs="宋体"/>
                <w:color w:val="auto"/>
                <w:highlight w:val="none"/>
              </w:rPr>
              <w:t>定标时间</w:t>
            </w:r>
          </w:p>
        </w:tc>
        <w:tc>
          <w:tcPr>
            <w:tcW w:w="3550" w:type="dxa"/>
            <w:vAlign w:val="center"/>
          </w:tcPr>
          <w:p>
            <w:pPr>
              <w:ind w:firstLine="420" w:firstLineChars="200"/>
              <w:rPr>
                <w:rFonts w:ascii="宋体" w:hAnsi="宋体" w:cs="宋体"/>
                <w:color w:val="auto"/>
                <w:highlight w:val="none"/>
              </w:rPr>
            </w:pPr>
            <w:r>
              <w:rPr>
                <w:rFonts w:hint="eastAsia" w:ascii="宋体" w:hAnsi="宋体" w:cs="宋体"/>
                <w:color w:val="auto"/>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9141" w:type="dxa"/>
            <w:gridSpan w:val="7"/>
            <w:tcBorders>
              <w:bottom w:val="single" w:color="auto" w:sz="4" w:space="0"/>
            </w:tcBorders>
            <w:vAlign w:val="center"/>
          </w:tcPr>
          <w:p>
            <w:pPr>
              <w:jc w:val="center"/>
              <w:rPr>
                <w:rFonts w:ascii="宋体" w:hAnsi="宋体" w:cs="宋体"/>
                <w:b/>
                <w:bCs/>
                <w:color w:val="auto"/>
                <w:highlight w:val="none"/>
              </w:rPr>
            </w:pPr>
            <w:r>
              <w:rPr>
                <w:rFonts w:hint="eastAsia" w:ascii="宋体" w:hAnsi="宋体" w:cs="宋体"/>
                <w:b/>
                <w:bCs/>
                <w:color w:val="auto"/>
                <w:highlight w:val="none"/>
              </w:rPr>
              <w:t>以   下  内  容  由  采  购  单  位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76" w:type="dxa"/>
            <w:gridSpan w:val="3"/>
            <w:tcBorders>
              <w:bottom w:val="single" w:color="auto" w:sz="4" w:space="0"/>
            </w:tcBorders>
            <w:vAlign w:val="center"/>
          </w:tcPr>
          <w:p>
            <w:pPr>
              <w:jc w:val="center"/>
              <w:rPr>
                <w:rFonts w:ascii="宋体" w:hAnsi="宋体" w:cs="宋体"/>
                <w:b/>
                <w:bCs/>
                <w:color w:val="auto"/>
                <w:highlight w:val="none"/>
              </w:rPr>
            </w:pPr>
            <w:r>
              <w:rPr>
                <w:rFonts w:hint="eastAsia" w:ascii="宋体" w:hAnsi="宋体" w:cs="宋体"/>
                <w:color w:val="auto"/>
                <w:highlight w:val="none"/>
              </w:rPr>
              <w:t>合同签订时间</w:t>
            </w:r>
          </w:p>
        </w:tc>
        <w:tc>
          <w:tcPr>
            <w:tcW w:w="3351" w:type="dxa"/>
            <w:gridSpan w:val="2"/>
            <w:tcBorders>
              <w:bottom w:val="single" w:color="auto" w:sz="4" w:space="0"/>
            </w:tcBorders>
            <w:vAlign w:val="center"/>
          </w:tcPr>
          <w:p>
            <w:pPr>
              <w:jc w:val="center"/>
              <w:rPr>
                <w:rFonts w:ascii="宋体" w:hAnsi="宋体" w:cs="宋体"/>
                <w:b/>
                <w:bCs/>
                <w:color w:val="auto"/>
                <w:highlight w:val="none"/>
              </w:rPr>
            </w:pPr>
          </w:p>
        </w:tc>
        <w:tc>
          <w:tcPr>
            <w:tcW w:w="1064" w:type="dxa"/>
            <w:tcBorders>
              <w:bottom w:val="single" w:color="auto" w:sz="4" w:space="0"/>
            </w:tcBorders>
            <w:vAlign w:val="center"/>
          </w:tcPr>
          <w:p>
            <w:pPr>
              <w:jc w:val="center"/>
              <w:rPr>
                <w:rFonts w:ascii="宋体" w:hAnsi="宋体" w:cs="宋体"/>
                <w:b/>
                <w:bCs/>
                <w:color w:val="auto"/>
                <w:highlight w:val="none"/>
              </w:rPr>
            </w:pPr>
            <w:r>
              <w:rPr>
                <w:rFonts w:hint="eastAsia" w:ascii="宋体" w:hAnsi="宋体" w:cs="宋体"/>
                <w:color w:val="auto"/>
                <w:highlight w:val="none"/>
              </w:rPr>
              <w:t>验收完成时间</w:t>
            </w:r>
          </w:p>
        </w:tc>
        <w:tc>
          <w:tcPr>
            <w:tcW w:w="3550" w:type="dxa"/>
            <w:tcBorders>
              <w:bottom w:val="single" w:color="auto" w:sz="4" w:space="0"/>
            </w:tcBorders>
            <w:vAlign w:val="center"/>
          </w:tcPr>
          <w:p>
            <w:pPr>
              <w:jc w:val="cente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76" w:type="dxa"/>
            <w:gridSpan w:val="3"/>
            <w:tcBorders>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政府采购标签</w:t>
            </w:r>
          </w:p>
        </w:tc>
        <w:tc>
          <w:tcPr>
            <w:tcW w:w="3351" w:type="dxa"/>
            <w:gridSpan w:val="2"/>
            <w:tcBorders>
              <w:bottom w:val="single" w:color="auto" w:sz="4" w:space="0"/>
            </w:tcBorders>
            <w:vAlign w:val="center"/>
          </w:tcPr>
          <w:p>
            <w:pPr>
              <w:jc w:val="center"/>
              <w:rPr>
                <w:rFonts w:ascii="宋体" w:hAnsi="宋体" w:cs="宋体"/>
                <w:b/>
                <w:bCs/>
                <w:color w:val="auto"/>
                <w:highlight w:val="none"/>
              </w:rPr>
            </w:pPr>
            <w:r>
              <w:rPr>
                <w:rFonts w:hint="eastAsia" w:ascii="宋体" w:hAnsi="宋体" w:cs="宋体"/>
                <w:b/>
                <w:bCs/>
                <w:color w:val="auto"/>
                <w:highlight w:val="none"/>
              </w:rPr>
              <w:t>有/无</w:t>
            </w:r>
          </w:p>
        </w:tc>
        <w:tc>
          <w:tcPr>
            <w:tcW w:w="1064" w:type="dxa"/>
            <w:tcBorders>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协助验收</w:t>
            </w:r>
          </w:p>
        </w:tc>
        <w:tc>
          <w:tcPr>
            <w:tcW w:w="3550" w:type="dxa"/>
            <w:tcBorders>
              <w:bottom w:val="single" w:color="auto" w:sz="4" w:space="0"/>
            </w:tcBorders>
            <w:vAlign w:val="center"/>
          </w:tcPr>
          <w:p>
            <w:pPr>
              <w:jc w:val="center"/>
              <w:rPr>
                <w:rFonts w:ascii="宋体" w:hAnsi="宋体" w:cs="宋体"/>
                <w:b/>
                <w:bCs/>
                <w:color w:val="auto"/>
                <w:highlight w:val="none"/>
              </w:rPr>
            </w:pPr>
            <w:r>
              <w:rPr>
                <w:rFonts w:hint="eastAsia" w:ascii="宋体" w:hAnsi="宋体" w:cs="宋体"/>
                <w:b/>
                <w:bCs/>
                <w:color w:val="auto"/>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458" w:type="dxa"/>
            <w:vMerge w:val="restart"/>
            <w:vAlign w:val="center"/>
          </w:tcPr>
          <w:p>
            <w:pPr>
              <w:rPr>
                <w:rFonts w:ascii="宋体" w:hAnsi="宋体" w:cs="宋体"/>
                <w:color w:val="auto"/>
                <w:highlight w:val="none"/>
              </w:rPr>
            </w:pPr>
            <w:r>
              <w:rPr>
                <w:rFonts w:hint="eastAsia" w:ascii="宋体" w:hAnsi="宋体" w:cs="宋体"/>
                <w:color w:val="auto"/>
                <w:highlight w:val="none"/>
              </w:rPr>
              <w:t>采购单位对本次政府采购的评价意见</w:t>
            </w:r>
          </w:p>
        </w:tc>
        <w:tc>
          <w:tcPr>
            <w:tcW w:w="8683" w:type="dxa"/>
            <w:gridSpan w:val="6"/>
            <w:vAlign w:val="center"/>
          </w:tcPr>
          <w:p>
            <w:pPr>
              <w:ind w:firstLine="420" w:firstLineChars="200"/>
              <w:rPr>
                <w:rFonts w:ascii="宋体" w:hAnsi="宋体" w:cs="宋体"/>
                <w:color w:val="auto"/>
                <w:highlight w:val="none"/>
              </w:rPr>
            </w:pPr>
            <w:r>
              <w:rPr>
                <w:rFonts w:hint="eastAsia" w:ascii="宋体" w:hAnsi="宋体" w:cs="宋体"/>
                <w:color w:val="auto"/>
                <w:highlight w:val="none"/>
              </w:rPr>
              <w:t xml:space="preserve">请如实填写您对本次政府采购的项目（货物、服务、工程）在价格、质量、服务方面的意见（在结论上打“ </w:t>
            </w:r>
            <w:r>
              <w:rPr>
                <w:rFonts w:hint="eastAsia" w:ascii="宋体" w:hAnsi="宋体" w:cs="宋体"/>
                <w:b/>
                <w:bCs/>
                <w:color w:val="auto"/>
                <w:highlight w:val="none"/>
              </w:rPr>
              <w:t>√</w:t>
            </w:r>
            <w:r>
              <w:rPr>
                <w:rFonts w:hint="eastAsia" w:ascii="宋体" w:hAnsi="宋体" w:cs="宋体"/>
                <w:color w:val="auto"/>
                <w:highlight w:val="none"/>
              </w:rPr>
              <w:t>”）。</w:t>
            </w:r>
          </w:p>
          <w:p>
            <w:pPr>
              <w:widowControl w:val="0"/>
              <w:numPr>
                <w:ilvl w:val="0"/>
                <w:numId w:val="26"/>
              </w:numPr>
              <w:jc w:val="both"/>
              <w:rPr>
                <w:rFonts w:ascii="宋体" w:hAnsi="宋体" w:cs="宋体"/>
                <w:color w:val="auto"/>
                <w:highlight w:val="none"/>
              </w:rPr>
            </w:pPr>
            <w:r>
              <w:rPr>
                <w:rFonts w:hint="eastAsia" w:ascii="宋体" w:hAnsi="宋体" w:cs="宋体"/>
                <w:color w:val="auto"/>
                <w:highlight w:val="none"/>
              </w:rPr>
              <w:t>对中标单位的评价意见</w:t>
            </w:r>
          </w:p>
          <w:p>
            <w:pPr>
              <w:ind w:left="210" w:leftChars="100"/>
              <w:rPr>
                <w:rFonts w:ascii="宋体" w:hAnsi="宋体" w:cs="宋体"/>
                <w:b/>
                <w:bCs/>
                <w:color w:val="auto"/>
                <w:highlight w:val="none"/>
              </w:rPr>
            </w:pPr>
            <w:r>
              <w:rPr>
                <w:rFonts w:hint="eastAsia" w:ascii="宋体" w:hAnsi="宋体" w:cs="宋体"/>
                <w:b/>
                <w:bCs/>
                <w:color w:val="auto"/>
                <w:highlight w:val="none"/>
              </w:rPr>
              <w:t>1、价格   A、优 B、良  C、好  D、一般   E、差</w:t>
            </w:r>
          </w:p>
          <w:p>
            <w:pPr>
              <w:ind w:left="210" w:leftChars="100"/>
              <w:rPr>
                <w:rFonts w:ascii="宋体" w:hAnsi="宋体" w:cs="宋体"/>
                <w:b/>
                <w:bCs/>
                <w:color w:val="auto"/>
                <w:highlight w:val="none"/>
              </w:rPr>
            </w:pPr>
            <w:r>
              <w:rPr>
                <w:rFonts w:hint="eastAsia" w:ascii="宋体" w:hAnsi="宋体" w:cs="宋体"/>
                <w:b/>
                <w:bCs/>
                <w:color w:val="auto"/>
                <w:highlight w:val="none"/>
              </w:rPr>
              <w:t>2、质量   A、优 B、良  C、好  D、一般   E、差</w:t>
            </w:r>
          </w:p>
          <w:p>
            <w:pPr>
              <w:ind w:left="210" w:leftChars="100"/>
              <w:rPr>
                <w:rFonts w:ascii="宋体" w:hAnsi="宋体" w:cs="宋体"/>
                <w:b/>
                <w:bCs/>
                <w:color w:val="auto"/>
                <w:highlight w:val="none"/>
              </w:rPr>
            </w:pPr>
            <w:r>
              <w:rPr>
                <w:rFonts w:hint="eastAsia" w:ascii="宋体" w:hAnsi="宋体" w:cs="宋体"/>
                <w:b/>
                <w:bCs/>
                <w:color w:val="auto"/>
                <w:highlight w:val="none"/>
              </w:rPr>
              <w:t>3、服务   A、优 B、良  C、好  D、一般   E、差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458" w:type="dxa"/>
            <w:vMerge w:val="continue"/>
            <w:vAlign w:val="center"/>
          </w:tcPr>
          <w:p>
            <w:pPr>
              <w:rPr>
                <w:rFonts w:ascii="宋体" w:hAnsi="宋体" w:cs="宋体"/>
                <w:color w:val="auto"/>
                <w:highlight w:val="none"/>
              </w:rPr>
            </w:pPr>
          </w:p>
        </w:tc>
        <w:tc>
          <w:tcPr>
            <w:tcW w:w="8683" w:type="dxa"/>
            <w:gridSpan w:val="6"/>
            <w:vAlign w:val="center"/>
          </w:tcPr>
          <w:p>
            <w:pPr>
              <w:rPr>
                <w:rFonts w:ascii="宋体" w:hAnsi="宋体" w:cs="宋体"/>
                <w:color w:val="auto"/>
                <w:highlight w:val="none"/>
              </w:rPr>
            </w:pPr>
            <w:r>
              <w:rPr>
                <w:rFonts w:hint="eastAsia" w:ascii="宋体" w:hAnsi="宋体" w:cs="宋体"/>
                <w:color w:val="auto"/>
                <w:highlight w:val="none"/>
              </w:rPr>
              <w:t>二、对中标供应商诚信总体评价：</w:t>
            </w:r>
            <w:r>
              <w:rPr>
                <w:rFonts w:hint="eastAsia" w:ascii="宋体" w:hAnsi="宋体" w:cs="宋体"/>
                <w:color w:val="auto"/>
                <w:sz w:val="24"/>
                <w:highlight w:val="none"/>
              </w:rPr>
              <w:t>A、优（90-100）B、良（80-90）C、好（70-80）D、一般（60-70）E、差（60以下）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8" w:type="dxa"/>
            <w:vMerge w:val="continue"/>
            <w:vAlign w:val="center"/>
          </w:tcPr>
          <w:p>
            <w:pPr>
              <w:rPr>
                <w:rFonts w:ascii="宋体" w:hAnsi="宋体" w:cs="宋体"/>
                <w:color w:val="auto"/>
                <w:highlight w:val="none"/>
              </w:rPr>
            </w:pPr>
          </w:p>
        </w:tc>
        <w:tc>
          <w:tcPr>
            <w:tcW w:w="8683" w:type="dxa"/>
            <w:gridSpan w:val="6"/>
          </w:tcPr>
          <w:p>
            <w:pPr>
              <w:rPr>
                <w:rFonts w:ascii="宋体" w:hAnsi="宋体" w:cs="宋体"/>
                <w:color w:val="auto"/>
                <w:highlight w:val="none"/>
              </w:rPr>
            </w:pPr>
            <w:r>
              <w:rPr>
                <w:rFonts w:hint="eastAsia" w:ascii="宋体" w:hAnsi="宋体" w:cs="宋体"/>
                <w:color w:val="auto"/>
                <w:highlight w:val="none"/>
              </w:rPr>
              <w:t>三、您若有政府采购方面的建议和措施，请说明（可附页说明）：</w:t>
            </w:r>
          </w:p>
          <w:p>
            <w:pPr>
              <w:ind w:left="210" w:leftChars="100"/>
              <w:rPr>
                <w:rFonts w:ascii="宋体" w:hAnsi="宋体" w:cs="宋体"/>
                <w:b/>
                <w:bCs/>
                <w:color w:val="auto"/>
                <w:highlight w:val="none"/>
              </w:rPr>
            </w:pPr>
            <w:r>
              <w:rPr>
                <w:rFonts w:hint="eastAsia" w:ascii="宋体" w:hAnsi="宋体" w:cs="宋体"/>
                <w:b/>
                <w:bCs/>
                <w:color w:val="auto"/>
                <w:highlight w:val="none"/>
              </w:rPr>
              <w:t>1、</w:t>
            </w:r>
          </w:p>
          <w:p>
            <w:pPr>
              <w:ind w:left="210" w:leftChars="100"/>
              <w:rPr>
                <w:rFonts w:ascii="宋体" w:hAnsi="宋体" w:cs="宋体"/>
                <w:b/>
                <w:bCs/>
                <w:color w:val="auto"/>
                <w:highlight w:val="none"/>
              </w:rPr>
            </w:pPr>
          </w:p>
          <w:p>
            <w:pPr>
              <w:ind w:left="210" w:leftChars="100"/>
              <w:rPr>
                <w:rFonts w:ascii="宋体" w:hAnsi="宋体" w:cs="宋体"/>
                <w:b/>
                <w:bCs/>
                <w:color w:val="auto"/>
                <w:highlight w:val="none"/>
              </w:rPr>
            </w:pPr>
            <w:r>
              <w:rPr>
                <w:rFonts w:hint="eastAsia" w:ascii="宋体" w:hAnsi="宋体" w:cs="宋体"/>
                <w:b/>
                <w:bCs/>
                <w:color w:val="auto"/>
                <w:highlight w:val="none"/>
              </w:rPr>
              <w:t>2、</w:t>
            </w:r>
          </w:p>
          <w:p>
            <w:pPr>
              <w:ind w:left="210" w:leftChars="100"/>
              <w:rPr>
                <w:rFonts w:ascii="宋体" w:hAnsi="宋体" w:cs="宋体"/>
                <w:b/>
                <w:bCs/>
                <w:color w:val="auto"/>
                <w:highlight w:val="none"/>
              </w:rPr>
            </w:pPr>
          </w:p>
          <w:p>
            <w:pPr>
              <w:ind w:left="210" w:leftChars="100"/>
              <w:rPr>
                <w:rFonts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color w:val="auto"/>
                <w:highlight w:val="none"/>
              </w:rPr>
              <w:t>、</w:t>
            </w:r>
          </w:p>
          <w:p>
            <w:pPr>
              <w:rPr>
                <w:rFonts w:ascii="宋体" w:hAnsi="宋体" w:cs="宋体"/>
                <w:b/>
                <w:bCs/>
                <w:color w:val="auto"/>
                <w:highlight w:val="none"/>
              </w:rPr>
            </w:pPr>
          </w:p>
          <w:p>
            <w:pPr>
              <w:ind w:left="210" w:leftChars="100"/>
              <w:rPr>
                <w:rFonts w:ascii="宋体" w:hAnsi="宋体" w:cs="宋体"/>
                <w:b/>
                <w:bCs/>
                <w:color w:val="auto"/>
                <w:highlight w:val="none"/>
              </w:rPr>
            </w:pPr>
          </w:p>
          <w:p>
            <w:pPr>
              <w:rPr>
                <w:rFonts w:ascii="宋体" w:hAnsi="宋体" w:cs="宋体"/>
                <w:b/>
                <w:bCs/>
                <w:color w:val="auto"/>
                <w:highlight w:val="none"/>
              </w:rPr>
            </w:pPr>
          </w:p>
          <w:p>
            <w:pPr>
              <w:ind w:left="210" w:leftChars="100"/>
              <w:rPr>
                <w:rFonts w:ascii="宋体" w:hAnsi="宋体" w:cs="宋体"/>
                <w:b/>
                <w:bCs/>
                <w:color w:val="auto"/>
                <w:highlight w:val="none"/>
              </w:rPr>
            </w:pPr>
          </w:p>
          <w:p>
            <w:pPr>
              <w:ind w:left="210" w:leftChars="100"/>
              <w:rPr>
                <w:rFonts w:ascii="宋体" w:hAnsi="宋体" w:cs="宋体"/>
                <w:b/>
                <w:bCs/>
                <w:color w:val="auto"/>
                <w:highlight w:val="none"/>
              </w:rPr>
            </w:pPr>
          </w:p>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458" w:type="dxa"/>
            <w:vMerge w:val="continue"/>
            <w:tcBorders>
              <w:bottom w:val="single" w:color="auto" w:sz="4" w:space="0"/>
            </w:tcBorders>
            <w:vAlign w:val="center"/>
          </w:tcPr>
          <w:p>
            <w:pPr>
              <w:rPr>
                <w:rFonts w:ascii="宋体" w:hAnsi="宋体" w:cs="宋体"/>
                <w:color w:val="auto"/>
                <w:highlight w:val="none"/>
              </w:rPr>
            </w:pPr>
          </w:p>
        </w:tc>
        <w:tc>
          <w:tcPr>
            <w:tcW w:w="8683" w:type="dxa"/>
            <w:gridSpan w:val="6"/>
            <w:tcBorders>
              <w:bottom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（此表由采购单位填写，主要对中标供应商在项目履约过程中的诚信情况及项目验收后项目总体履约（满意度）进行评价，此表务必在项目验收完成后三日内交回公共资源交易中心）</w:t>
            </w:r>
          </w:p>
          <w:p>
            <w:pPr>
              <w:rPr>
                <w:rFonts w:ascii="宋体" w:hAnsi="宋体" w:cs="宋体"/>
                <w:color w:val="auto"/>
                <w:highlight w:val="none"/>
              </w:rPr>
            </w:pPr>
          </w:p>
          <w:p>
            <w:pPr>
              <w:jc w:val="right"/>
              <w:rPr>
                <w:rFonts w:ascii="宋体" w:hAnsi="宋体" w:cs="宋体"/>
                <w:color w:val="auto"/>
                <w:highlight w:val="none"/>
              </w:rPr>
            </w:pPr>
            <w:r>
              <w:rPr>
                <w:rFonts w:hint="eastAsia" w:ascii="宋体" w:hAnsi="宋体" w:cs="宋体"/>
                <w:color w:val="auto"/>
                <w:highlight w:val="none"/>
              </w:rPr>
              <w:t>采购单位确认：（盖章）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trPr>
        <w:tc>
          <w:tcPr>
            <w:tcW w:w="458" w:type="dxa"/>
            <w:tcBorders>
              <w:top w:val="single" w:color="auto" w:sz="4" w:space="0"/>
              <w:bottom w:val="single" w:color="auto" w:sz="4" w:space="0"/>
            </w:tcBorders>
          </w:tcPr>
          <w:p>
            <w:pPr>
              <w:ind w:firstLine="210" w:firstLineChars="100"/>
              <w:rPr>
                <w:rFonts w:ascii="宋体" w:hAnsi="宋体" w:cs="宋体"/>
                <w:color w:val="auto"/>
                <w:highlight w:val="none"/>
              </w:rPr>
            </w:pPr>
            <w:r>
              <w:rPr>
                <w:rFonts w:hint="eastAsia" w:ascii="宋体" w:hAnsi="宋体" w:cs="宋体"/>
                <w:color w:val="auto"/>
                <w:highlight w:val="none"/>
              </w:rPr>
              <w:t xml:space="preserve">     备注</w:t>
            </w:r>
          </w:p>
        </w:tc>
        <w:tc>
          <w:tcPr>
            <w:tcW w:w="8683" w:type="dxa"/>
            <w:gridSpan w:val="6"/>
            <w:tcBorders>
              <w:top w:val="single" w:color="auto" w:sz="4" w:space="0"/>
              <w:bottom w:val="single" w:color="auto" w:sz="4" w:space="0"/>
            </w:tcBorders>
            <w:vAlign w:val="center"/>
          </w:tcPr>
          <w:tbl>
            <w:tblPr>
              <w:tblStyle w:val="25"/>
              <w:tblW w:w="8467" w:type="dxa"/>
              <w:tblInd w:w="0" w:type="dxa"/>
              <w:tblLayout w:type="fixed"/>
              <w:tblCellMar>
                <w:top w:w="57" w:type="dxa"/>
                <w:left w:w="108" w:type="dxa"/>
                <w:bottom w:w="57" w:type="dxa"/>
                <w:right w:w="108" w:type="dxa"/>
              </w:tblCellMar>
            </w:tblPr>
            <w:tblGrid>
              <w:gridCol w:w="2592"/>
              <w:gridCol w:w="3041"/>
              <w:gridCol w:w="2834"/>
            </w:tblGrid>
            <w:tr>
              <w:tblPrEx>
                <w:tblCellMar>
                  <w:top w:w="57" w:type="dxa"/>
                  <w:left w:w="108" w:type="dxa"/>
                  <w:bottom w:w="57" w:type="dxa"/>
                  <w:right w:w="108" w:type="dxa"/>
                </w:tblCellMar>
              </w:tblPrEx>
              <w:tc>
                <w:tcPr>
                  <w:tcW w:w="2592" w:type="dxa"/>
                  <w:vMerge w:val="restart"/>
                </w:tcPr>
                <w:p>
                  <w:pPr>
                    <w:rPr>
                      <w:rFonts w:ascii="宋体" w:hAnsi="宋体" w:cs="宋体"/>
                      <w:color w:val="auto"/>
                      <w:highlight w:val="none"/>
                    </w:rPr>
                  </w:pPr>
                  <w:r>
                    <w:rPr>
                      <w:rFonts w:hint="eastAsia" w:ascii="宋体" w:hAnsi="宋体" w:cs="宋体"/>
                      <w:color w:val="auto"/>
                      <w:highlight w:val="none"/>
                    </w:rPr>
                    <w:t>瑞安市公共资源交易中心</w:t>
                  </w:r>
                </w:p>
              </w:tc>
              <w:tc>
                <w:tcPr>
                  <w:tcW w:w="3041" w:type="dxa"/>
                </w:tcPr>
                <w:p>
                  <w:pPr>
                    <w:rPr>
                      <w:rFonts w:ascii="宋体" w:hAnsi="宋体" w:cs="宋体"/>
                      <w:color w:val="auto"/>
                      <w:highlight w:val="none"/>
                    </w:rPr>
                  </w:pPr>
                  <w:r>
                    <w:rPr>
                      <w:rFonts w:hint="eastAsia" w:ascii="宋体" w:hAnsi="宋体" w:cs="宋体"/>
                      <w:color w:val="auto"/>
                      <w:highlight w:val="none"/>
                    </w:rPr>
                    <w:t>地址：瑞安市满庭芳大楼三楼</w:t>
                  </w:r>
                </w:p>
              </w:tc>
              <w:tc>
                <w:tcPr>
                  <w:tcW w:w="2834" w:type="dxa"/>
                </w:tcPr>
                <w:p>
                  <w:pPr>
                    <w:rPr>
                      <w:rFonts w:ascii="宋体" w:hAnsi="宋体" w:cs="宋体"/>
                      <w:color w:val="auto"/>
                      <w:highlight w:val="none"/>
                    </w:rPr>
                  </w:pPr>
                  <w:r>
                    <w:rPr>
                      <w:rFonts w:hint="eastAsia" w:ascii="宋体" w:hAnsi="宋体" w:cs="宋体"/>
                      <w:color w:val="auto"/>
                      <w:highlight w:val="none"/>
                    </w:rPr>
                    <w:t>联系电话：0577-65879521</w:t>
                  </w:r>
                </w:p>
              </w:tc>
            </w:tr>
            <w:tr>
              <w:tblPrEx>
                <w:tblCellMar>
                  <w:top w:w="57" w:type="dxa"/>
                  <w:left w:w="108" w:type="dxa"/>
                  <w:bottom w:w="57" w:type="dxa"/>
                  <w:right w:w="108" w:type="dxa"/>
                </w:tblCellMar>
              </w:tblPrEx>
              <w:tc>
                <w:tcPr>
                  <w:tcW w:w="2592" w:type="dxa"/>
                  <w:vMerge w:val="continue"/>
                </w:tcPr>
                <w:p>
                  <w:pPr>
                    <w:rPr>
                      <w:rFonts w:ascii="宋体" w:hAnsi="宋体" w:cs="宋体"/>
                      <w:color w:val="auto"/>
                      <w:highlight w:val="none"/>
                    </w:rPr>
                  </w:pPr>
                </w:p>
              </w:tc>
              <w:tc>
                <w:tcPr>
                  <w:tcW w:w="3041" w:type="dxa"/>
                </w:tcPr>
                <w:p>
                  <w:pPr>
                    <w:rPr>
                      <w:rFonts w:ascii="宋体" w:hAnsi="宋体" w:cs="宋体"/>
                      <w:color w:val="auto"/>
                      <w:highlight w:val="none"/>
                    </w:rPr>
                  </w:pPr>
                  <w:r>
                    <w:rPr>
                      <w:rFonts w:hint="eastAsia" w:ascii="宋体" w:hAnsi="宋体" w:cs="宋体"/>
                      <w:color w:val="auto"/>
                      <w:highlight w:val="none"/>
                    </w:rPr>
                    <w:t>传真：0577-65879523</w:t>
                  </w:r>
                </w:p>
              </w:tc>
              <w:tc>
                <w:tcPr>
                  <w:tcW w:w="2834" w:type="dxa"/>
                </w:tcPr>
                <w:p>
                  <w:pPr>
                    <w:rPr>
                      <w:rFonts w:ascii="宋体" w:hAnsi="宋体" w:cs="宋体"/>
                      <w:color w:val="auto"/>
                      <w:highlight w:val="none"/>
                    </w:rPr>
                  </w:pPr>
                  <w:r>
                    <w:rPr>
                      <w:rFonts w:hint="eastAsia" w:ascii="宋体" w:hAnsi="宋体" w:cs="宋体"/>
                      <w:color w:val="auto"/>
                      <w:highlight w:val="none"/>
                    </w:rPr>
                    <w:t>网址：</w:t>
                  </w:r>
                  <w:r>
                    <w:rPr>
                      <w:color w:val="auto"/>
                      <w:highlight w:val="none"/>
                    </w:rPr>
                    <w:fldChar w:fldCharType="begin"/>
                  </w:r>
                  <w:r>
                    <w:rPr>
                      <w:color w:val="auto"/>
                      <w:highlight w:val="none"/>
                    </w:rPr>
                    <w:instrText xml:space="preserve"> HYPERLINK "http://www.raztb.com" </w:instrText>
                  </w:r>
                  <w:r>
                    <w:rPr>
                      <w:color w:val="auto"/>
                      <w:highlight w:val="none"/>
                    </w:rPr>
                    <w:fldChar w:fldCharType="separate"/>
                  </w:r>
                  <w:r>
                    <w:rPr>
                      <w:rStyle w:val="31"/>
                      <w:rFonts w:hint="eastAsia" w:ascii="宋体" w:hAnsi="宋体" w:cs="宋体"/>
                      <w:color w:val="auto"/>
                      <w:highlight w:val="none"/>
                    </w:rPr>
                    <w:t>http://www.raztb.com</w:t>
                  </w:r>
                  <w:r>
                    <w:rPr>
                      <w:rStyle w:val="31"/>
                      <w:rFonts w:hint="eastAsia" w:ascii="宋体" w:hAnsi="宋体" w:cs="宋体"/>
                      <w:color w:val="auto"/>
                      <w:highlight w:val="none"/>
                    </w:rPr>
                    <w:fldChar w:fldCharType="end"/>
                  </w:r>
                </w:p>
              </w:tc>
            </w:tr>
          </w:tbl>
          <w:p>
            <w:pPr>
              <w:rPr>
                <w:rFonts w:ascii="宋体" w:hAnsi="宋体" w:cs="宋体"/>
                <w:color w:val="auto"/>
                <w:highlight w:val="none"/>
              </w:rPr>
            </w:pPr>
          </w:p>
        </w:tc>
      </w:tr>
    </w:tbl>
    <w:p>
      <w:pPr>
        <w:pStyle w:val="3"/>
        <w:keepNext w:val="0"/>
        <w:keepLines w:val="0"/>
        <w:pageBreakBefore/>
        <w:adjustRightInd/>
        <w:snapToGrid/>
        <w:jc w:val="center"/>
        <w:rPr>
          <w:rFonts w:hAnsi="宋体" w:cs="宋体"/>
          <w:color w:val="auto"/>
          <w:sz w:val="30"/>
          <w:szCs w:val="30"/>
          <w:highlight w:val="none"/>
        </w:rPr>
      </w:pPr>
      <w:bookmarkStart w:id="87" w:name="_Toc26567"/>
      <w:r>
        <w:rPr>
          <w:rFonts w:hint="eastAsia" w:hAnsi="宋体" w:cs="宋体"/>
          <w:color w:val="auto"/>
          <w:sz w:val="30"/>
          <w:szCs w:val="30"/>
          <w:highlight w:val="none"/>
        </w:rPr>
        <w:t>第六部分  投标文件格式</w:t>
      </w:r>
      <w:bookmarkEnd w:id="87"/>
    </w:p>
    <w:p>
      <w:pPr>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投标供应商提交投标文件须知</w:t>
      </w:r>
    </w:p>
    <w:p>
      <w:pPr>
        <w:spacing w:line="360" w:lineRule="auto"/>
        <w:jc w:val="center"/>
        <w:rPr>
          <w:rFonts w:ascii="宋体" w:hAnsi="宋体" w:cs="宋体"/>
          <w:color w:val="auto"/>
          <w:sz w:val="28"/>
          <w:szCs w:val="21"/>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2"/>
          <w:highlight w:val="none"/>
        </w:rPr>
        <w:t>投标供应商应严格按照投标文件的组成提交下述规定的全部格式文件以及其他有关资料，混乱的编排导致投标文件被误读</w:t>
      </w:r>
      <w:r>
        <w:rPr>
          <w:rFonts w:hint="eastAsia" w:ascii="宋体" w:hAnsi="宋体" w:cs="宋体"/>
          <w:color w:val="auto"/>
          <w:highlight w:val="none"/>
        </w:rPr>
        <w:t>或招标代理机构查找不到有效文件是投标供应商的风险。</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2、所附表格中要求回答的全部问题和/或信息都必须正面回答。</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3、本资格声明的签字人应保证全部声明和问题的回答是真实的和准确的。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4、招标代理机构将应用投标供应商提交的资料根据自己的判断和考虑决定投标供应商履行合同的合格性及能力。</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5、投标供应商提交的材料将被保密保存，但不退还。</w:t>
      </w:r>
    </w:p>
    <w:p>
      <w:pPr>
        <w:spacing w:line="360" w:lineRule="auto"/>
        <w:rPr>
          <w:rFonts w:ascii="宋体" w:hAnsi="宋体" w:cs="宋体"/>
          <w:color w:val="auto"/>
          <w:szCs w:val="21"/>
          <w:highlight w:val="none"/>
        </w:rPr>
      </w:pPr>
    </w:p>
    <w:p>
      <w:pPr>
        <w:pStyle w:val="4"/>
        <w:pageBreakBefore/>
        <w:spacing w:before="0" w:after="0" w:line="360" w:lineRule="auto"/>
        <w:rPr>
          <w:rFonts w:ascii="宋体" w:hAnsi="宋体" w:cs="宋体"/>
          <w:color w:val="auto"/>
          <w:sz w:val="24"/>
          <w:szCs w:val="24"/>
          <w:highlight w:val="none"/>
        </w:rPr>
        <w:sectPr>
          <w:headerReference r:id="rId7" w:type="default"/>
          <w:footerReference r:id="rId8" w:type="default"/>
          <w:pgSz w:w="11906" w:h="16838"/>
          <w:pgMar w:top="1417" w:right="1417" w:bottom="1417" w:left="1417" w:header="850" w:footer="992" w:gutter="0"/>
          <w:cols w:space="0" w:num="1"/>
          <w:docGrid w:type="lines" w:linePitch="312" w:charSpace="0"/>
        </w:sectPr>
      </w:pPr>
    </w:p>
    <w:p>
      <w:pPr>
        <w:pStyle w:val="4"/>
        <w:keepNext w:val="0"/>
        <w:keepLines w:val="0"/>
        <w:pageBreakBefore/>
        <w:widowControl w:val="0"/>
        <w:tabs>
          <w:tab w:val="left" w:pos="840"/>
        </w:tabs>
        <w:spacing w:before="0" w:after="0" w:line="360" w:lineRule="auto"/>
        <w:jc w:val="center"/>
        <w:rPr>
          <w:rFonts w:hAnsi="宋体"/>
          <w:bCs w:val="0"/>
          <w:color w:val="auto"/>
          <w:sz w:val="28"/>
          <w:szCs w:val="36"/>
          <w:highlight w:val="none"/>
        </w:rPr>
      </w:pPr>
      <w:bookmarkStart w:id="88" w:name="_Toc42671059"/>
      <w:bookmarkStart w:id="89" w:name="_Toc1439"/>
      <w:bookmarkStart w:id="90" w:name="_Toc29636"/>
      <w:bookmarkStart w:id="91" w:name="_Toc8288"/>
      <w:bookmarkStart w:id="92" w:name="_Toc8956"/>
      <w:bookmarkStart w:id="93" w:name="_Toc32042"/>
      <w:bookmarkStart w:id="94" w:name="_Toc25238"/>
      <w:bookmarkStart w:id="95" w:name="_Toc29370616"/>
      <w:bookmarkStart w:id="96" w:name="_Toc433648199"/>
      <w:bookmarkStart w:id="97" w:name="_Toc376436266"/>
      <w:r>
        <w:rPr>
          <w:rFonts w:ascii="Arial" w:hAnsi="Arial"/>
          <w:bCs w:val="0"/>
          <w:color w:val="auto"/>
          <w:sz w:val="28"/>
          <w:szCs w:val="36"/>
          <w:highlight w:val="none"/>
        </w:rPr>
        <w:t>附件一</w:t>
      </w:r>
      <w:bookmarkStart w:id="98" w:name="_Toc27557"/>
      <w:r>
        <w:rPr>
          <w:rFonts w:hint="eastAsia" w:ascii="Arial" w:hAnsi="Arial"/>
          <w:bCs w:val="0"/>
          <w:color w:val="auto"/>
          <w:sz w:val="28"/>
          <w:szCs w:val="36"/>
          <w:highlight w:val="none"/>
        </w:rPr>
        <w:t>关于符合《中华人民共和国政府采购法》第二十二条规定条件的承诺函</w:t>
      </w:r>
      <w:bookmarkEnd w:id="88"/>
      <w:bookmarkEnd w:id="89"/>
      <w:bookmarkEnd w:id="90"/>
      <w:bookmarkEnd w:id="91"/>
      <w:bookmarkEnd w:id="92"/>
      <w:bookmarkEnd w:id="93"/>
      <w:bookmarkEnd w:id="98"/>
    </w:p>
    <w:p>
      <w:pPr>
        <w:widowControl w:val="0"/>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u w:val="single"/>
        </w:rPr>
        <w:t>瑞安市综合行政执法局、瑞安市公园管理中心（瑞安市绿化养护管理中心）、温州瑞辀工程项目管理有限公司：</w:t>
      </w:r>
    </w:p>
    <w:p>
      <w:pPr>
        <w:widowControl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我公司参与</w:t>
      </w:r>
      <w:r>
        <w:rPr>
          <w:rFonts w:ascii="Arial" w:hAnsi="Arial" w:cs="Arial"/>
          <w:bCs/>
          <w:color w:val="auto"/>
          <w:szCs w:val="21"/>
          <w:highlight w:val="none"/>
          <w:u w:val="single"/>
        </w:rPr>
        <w:t xml:space="preserve">      （项目名称）                    </w:t>
      </w:r>
      <w:r>
        <w:rPr>
          <w:rFonts w:ascii="Arial" w:hAnsi="Arial" w:cs="Arial"/>
          <w:bCs/>
          <w:color w:val="auto"/>
          <w:szCs w:val="21"/>
          <w:highlight w:val="none"/>
        </w:rPr>
        <w:t>（项目编号：）投标，</w:t>
      </w:r>
    </w:p>
    <w:p>
      <w:pPr>
        <w:widowControl w:val="0"/>
        <w:spacing w:line="360" w:lineRule="auto"/>
        <w:rPr>
          <w:rFonts w:ascii="Arial" w:hAnsi="Arial" w:cs="Arial"/>
          <w:bCs/>
          <w:color w:val="auto"/>
          <w:szCs w:val="21"/>
          <w:highlight w:val="none"/>
        </w:rPr>
      </w:pPr>
      <w:r>
        <w:rPr>
          <w:rFonts w:ascii="Arial" w:hAnsi="Arial" w:cs="Arial"/>
          <w:bCs/>
          <w:color w:val="auto"/>
          <w:szCs w:val="21"/>
          <w:highlight w:val="none"/>
        </w:rPr>
        <w:t>郑重承诺具备以下条件：</w:t>
      </w:r>
    </w:p>
    <w:p>
      <w:pPr>
        <w:numPr>
          <w:ilvl w:val="0"/>
          <w:numId w:val="27"/>
        </w:numPr>
        <w:spacing w:line="360" w:lineRule="auto"/>
        <w:rPr>
          <w:rStyle w:val="58"/>
          <w:rFonts w:ascii="Arial" w:hAnsi="Arial" w:cs="Arial"/>
          <w:color w:val="auto"/>
          <w:highlight w:val="none"/>
        </w:rPr>
      </w:pPr>
      <w:r>
        <w:rPr>
          <w:rStyle w:val="58"/>
          <w:rFonts w:ascii="Arial" w:hAnsi="Arial" w:cs="Arial"/>
          <w:color w:val="auto"/>
          <w:highlight w:val="none"/>
        </w:rPr>
        <w:t>具有独立承担民事责任的能力；</w:t>
      </w:r>
    </w:p>
    <w:p>
      <w:pPr>
        <w:numPr>
          <w:ilvl w:val="0"/>
          <w:numId w:val="27"/>
        </w:numPr>
        <w:spacing w:line="360" w:lineRule="auto"/>
        <w:rPr>
          <w:rStyle w:val="58"/>
          <w:rFonts w:ascii="Arial" w:hAnsi="Arial" w:cs="Arial"/>
          <w:color w:val="auto"/>
          <w:highlight w:val="none"/>
        </w:rPr>
      </w:pPr>
      <w:r>
        <w:rPr>
          <w:rStyle w:val="58"/>
          <w:rFonts w:ascii="Arial" w:hAnsi="Arial" w:cs="Arial"/>
          <w:color w:val="auto"/>
          <w:highlight w:val="none"/>
        </w:rPr>
        <w:t>具有良好的商业信誉和健全的财务会计制度；</w:t>
      </w:r>
    </w:p>
    <w:p>
      <w:pPr>
        <w:numPr>
          <w:ilvl w:val="0"/>
          <w:numId w:val="27"/>
        </w:numPr>
        <w:spacing w:line="360" w:lineRule="auto"/>
        <w:rPr>
          <w:rStyle w:val="58"/>
          <w:rFonts w:ascii="Arial" w:hAnsi="Arial" w:cs="Arial"/>
          <w:color w:val="auto"/>
          <w:highlight w:val="none"/>
        </w:rPr>
      </w:pPr>
      <w:r>
        <w:rPr>
          <w:rStyle w:val="58"/>
          <w:rFonts w:ascii="Arial" w:hAnsi="Arial" w:cs="Arial"/>
          <w:color w:val="auto"/>
          <w:highlight w:val="none"/>
        </w:rPr>
        <w:t>具有履行合同所必需的设备和专业技术能力；</w:t>
      </w:r>
    </w:p>
    <w:p>
      <w:pPr>
        <w:numPr>
          <w:ilvl w:val="0"/>
          <w:numId w:val="27"/>
        </w:numPr>
        <w:spacing w:line="360" w:lineRule="auto"/>
        <w:rPr>
          <w:rStyle w:val="58"/>
          <w:rFonts w:ascii="Arial" w:hAnsi="Arial" w:cs="Arial"/>
          <w:color w:val="auto"/>
          <w:highlight w:val="none"/>
        </w:rPr>
      </w:pPr>
      <w:r>
        <w:rPr>
          <w:rStyle w:val="58"/>
          <w:rFonts w:ascii="Arial" w:hAnsi="Arial" w:cs="Arial"/>
          <w:color w:val="auto"/>
          <w:highlight w:val="none"/>
        </w:rPr>
        <w:t>有依法缴纳税收和社会保障资金的良好记录；</w:t>
      </w:r>
    </w:p>
    <w:p>
      <w:pPr>
        <w:numPr>
          <w:ilvl w:val="0"/>
          <w:numId w:val="27"/>
        </w:numPr>
        <w:spacing w:line="360" w:lineRule="auto"/>
        <w:rPr>
          <w:rStyle w:val="58"/>
          <w:rFonts w:ascii="Arial" w:hAnsi="Arial" w:cs="Arial"/>
          <w:color w:val="auto"/>
          <w:highlight w:val="none"/>
        </w:rPr>
      </w:pPr>
      <w:r>
        <w:rPr>
          <w:rStyle w:val="58"/>
          <w:rFonts w:ascii="Arial" w:hAnsi="Arial" w:cs="Arial"/>
          <w:color w:val="auto"/>
          <w:highlight w:val="none"/>
        </w:rPr>
        <w:t>参加政府采购活动前三年内，在经营活动中没有重大违法记录；</w:t>
      </w:r>
    </w:p>
    <w:p>
      <w:pPr>
        <w:numPr>
          <w:ilvl w:val="0"/>
          <w:numId w:val="27"/>
        </w:numPr>
        <w:spacing w:line="360" w:lineRule="auto"/>
        <w:rPr>
          <w:rStyle w:val="58"/>
          <w:rFonts w:ascii="Arial" w:hAnsi="Arial" w:cs="Arial"/>
          <w:color w:val="auto"/>
          <w:highlight w:val="none"/>
        </w:rPr>
      </w:pPr>
      <w:r>
        <w:rPr>
          <w:rStyle w:val="58"/>
          <w:rFonts w:ascii="Arial" w:hAnsi="Arial" w:cs="Arial"/>
          <w:color w:val="auto"/>
          <w:highlight w:val="none"/>
        </w:rPr>
        <w:t>法律、行政法规规定的其他条件。</w:t>
      </w:r>
    </w:p>
    <w:p>
      <w:pPr>
        <w:spacing w:line="360" w:lineRule="auto"/>
        <w:ind w:firstLine="422" w:firstLineChars="200"/>
        <w:jc w:val="both"/>
        <w:rPr>
          <w:rStyle w:val="58"/>
          <w:rFonts w:ascii="Arial" w:hAnsi="Arial" w:cs="Arial"/>
          <w:color w:val="auto"/>
          <w:highlight w:val="none"/>
        </w:rPr>
      </w:pPr>
      <w:r>
        <w:rPr>
          <w:rStyle w:val="58"/>
          <w:rFonts w:ascii="Arial" w:hAnsi="Arial" w:cs="Arial"/>
          <w:b/>
          <w:bCs/>
          <w:color w:val="auto"/>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58"/>
          <w:rFonts w:ascii="Arial" w:hAnsi="Arial" w:cs="Arial"/>
          <w:color w:val="auto"/>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pacing w:line="360" w:lineRule="auto"/>
        <w:ind w:firstLine="420" w:firstLineChars="200"/>
        <w:jc w:val="both"/>
        <w:rPr>
          <w:rStyle w:val="58"/>
          <w:rFonts w:ascii="Arial" w:hAnsi="Arial" w:cs="Arial"/>
          <w:color w:val="auto"/>
          <w:highlight w:val="none"/>
        </w:rPr>
      </w:pPr>
      <w:r>
        <w:rPr>
          <w:rStyle w:val="58"/>
          <w:rFonts w:ascii="Arial" w:hAnsi="Arial" w:cs="Arial"/>
          <w:color w:val="auto"/>
          <w:highlight w:val="none"/>
        </w:rPr>
        <w:t>我单位已知晓前述法律规定，对此无任何异议。</w:t>
      </w:r>
    </w:p>
    <w:p>
      <w:pPr>
        <w:pStyle w:val="3"/>
        <w:adjustRightInd/>
        <w:snapToGrid/>
        <w:rPr>
          <w:rFonts w:ascii="Arial" w:hAnsi="Arial" w:cs="Arial"/>
          <w:color w:val="auto"/>
          <w:highlight w:val="none"/>
        </w:rPr>
      </w:pPr>
    </w:p>
    <w:p>
      <w:pPr>
        <w:spacing w:line="360" w:lineRule="auto"/>
        <w:rPr>
          <w:rFonts w:ascii="Arial" w:hAnsi="Arial" w:cs="Arial"/>
          <w:color w:val="auto"/>
          <w:highlight w:val="none"/>
        </w:rPr>
      </w:pP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 xml:space="preserve">                                          供应商全称（盖章）：</w:t>
      </w:r>
    </w:p>
    <w:p>
      <w:pPr>
        <w:spacing w:line="360" w:lineRule="auto"/>
        <w:ind w:firstLine="420"/>
        <w:rPr>
          <w:rFonts w:ascii="Arial" w:hAnsi="Arial" w:cs="Arial"/>
          <w:bCs/>
          <w:color w:val="auto"/>
          <w:szCs w:val="21"/>
          <w:highlight w:val="none"/>
        </w:rPr>
      </w:pPr>
    </w:p>
    <w:p>
      <w:pPr>
        <w:spacing w:line="360" w:lineRule="auto"/>
        <w:ind w:firstLine="4830" w:firstLineChars="2300"/>
        <w:rPr>
          <w:rFonts w:ascii="Arial" w:hAnsi="Arial" w:cs="Arial"/>
          <w:bCs/>
          <w:color w:val="auto"/>
          <w:szCs w:val="21"/>
          <w:highlight w:val="none"/>
        </w:rPr>
      </w:pPr>
      <w:r>
        <w:rPr>
          <w:rFonts w:ascii="Arial" w:hAnsi="Arial" w:cs="Arial"/>
          <w:bCs/>
          <w:color w:val="auto"/>
          <w:szCs w:val="21"/>
          <w:highlight w:val="none"/>
        </w:rPr>
        <w:t>日   期：</w:t>
      </w:r>
    </w:p>
    <w:p>
      <w:pPr>
        <w:spacing w:line="360" w:lineRule="auto"/>
        <w:rPr>
          <w:rFonts w:ascii="Arial" w:hAnsi="Arial" w:cs="Arial"/>
          <w:bCs/>
          <w:color w:val="auto"/>
          <w:szCs w:val="21"/>
          <w:highlight w:val="none"/>
        </w:rPr>
      </w:pPr>
    </w:p>
    <w:p>
      <w:pPr>
        <w:pStyle w:val="7"/>
        <w:rPr>
          <w:color w:val="auto"/>
          <w:highlight w:val="none"/>
        </w:rPr>
      </w:pPr>
    </w:p>
    <w:p>
      <w:pPr>
        <w:spacing w:line="360" w:lineRule="auto"/>
        <w:rPr>
          <w:rFonts w:ascii="Arial" w:hAnsi="Arial" w:cs="Arial"/>
          <w:b/>
          <w:bCs/>
          <w:color w:val="auto"/>
          <w:highlight w:val="none"/>
        </w:rPr>
      </w:pPr>
      <w:r>
        <w:rPr>
          <w:rStyle w:val="58"/>
          <w:rFonts w:ascii="Arial" w:hAnsi="Arial" w:cs="Arial"/>
          <w:b/>
          <w:bCs/>
          <w:color w:val="auto"/>
          <w:highlight w:val="none"/>
        </w:rPr>
        <w:t>注：</w:t>
      </w:r>
      <w:bookmarkStart w:id="99" w:name="_Toc9599"/>
      <w:bookmarkStart w:id="100" w:name="_Toc12722"/>
      <w:bookmarkStart w:id="101" w:name="_Toc16992"/>
      <w:r>
        <w:rPr>
          <w:rFonts w:ascii="Arial" w:hAnsi="Arial" w:cs="Arial"/>
          <w:b/>
          <w:bCs/>
          <w:color w:val="auto"/>
          <w:highlight w:val="none"/>
        </w:rPr>
        <w:t>1.</w:t>
      </w:r>
      <w:r>
        <w:rPr>
          <w:rStyle w:val="58"/>
          <w:rFonts w:ascii="Arial" w:hAnsi="Arial" w:cs="Arial"/>
          <w:color w:val="auto"/>
          <w:highlight w:val="none"/>
        </w:rPr>
        <w:t>▲</w:t>
      </w:r>
      <w:r>
        <w:rPr>
          <w:rFonts w:ascii="Arial" w:hAnsi="Arial" w:cs="Arial"/>
          <w:b/>
          <w:bCs/>
          <w:color w:val="auto"/>
          <w:szCs w:val="21"/>
          <w:highlight w:val="none"/>
        </w:rPr>
        <w:t>本承诺函必须提供。</w:t>
      </w:r>
    </w:p>
    <w:p>
      <w:pPr>
        <w:spacing w:line="360" w:lineRule="auto"/>
        <w:ind w:firstLine="422" w:firstLineChars="200"/>
        <w:rPr>
          <w:rStyle w:val="58"/>
          <w:rFonts w:ascii="Arial" w:hAnsi="Arial" w:cs="Arial"/>
          <w:b/>
          <w:bCs/>
          <w:color w:val="auto"/>
          <w:highlight w:val="none"/>
        </w:rPr>
      </w:pPr>
      <w:r>
        <w:rPr>
          <w:rFonts w:ascii="Arial" w:hAnsi="Arial" w:cs="Arial"/>
          <w:b/>
          <w:bCs/>
          <w:color w:val="auto"/>
          <w:highlight w:val="none"/>
        </w:rPr>
        <w:t>2.参加政府采购活动的时间是指供应商参加本项目的政府采购活动时间为准（具体以投标截止时间为准）。</w:t>
      </w:r>
      <w:bookmarkEnd w:id="99"/>
      <w:bookmarkEnd w:id="100"/>
      <w:bookmarkEnd w:id="101"/>
    </w:p>
    <w:p>
      <w:pPr>
        <w:spacing w:line="360" w:lineRule="auto"/>
        <w:rPr>
          <w:rFonts w:ascii="Arial" w:hAnsi="Arial" w:cs="Arial"/>
          <w:color w:val="auto"/>
          <w:szCs w:val="21"/>
          <w:highlight w:val="none"/>
        </w:rPr>
      </w:pPr>
      <w:r>
        <w:rPr>
          <w:rFonts w:ascii="Arial" w:hAnsi="Arial" w:cs="Arial"/>
          <w:color w:val="auto"/>
          <w:szCs w:val="21"/>
          <w:highlight w:val="none"/>
        </w:rPr>
        <w:t>未被“信用中国”（www.creditchina.gov.cn）、中国政府采购网（www.ccgp.gov.cn）、浙江政府采购网（www.zjzfcg.gov.cn/）、国家企业信用信息公示系统（www.gsxt.gov.cn）列入失信被执行人、重大税收违法案件当事人名单、政府采购严重违法失信行为记录名单查询记录网页截图（采购公告发布之日至投标截止时间前）。</w:t>
      </w:r>
    </w:p>
    <w:p>
      <w:pPr>
        <w:pStyle w:val="33"/>
        <w:ind w:firstLine="480"/>
        <w:rPr>
          <w:color w:val="auto"/>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p>
    <w:p>
      <w:pPr>
        <w:spacing w:line="360" w:lineRule="auto"/>
        <w:ind w:firstLine="3233" w:firstLineChars="1150"/>
        <w:jc w:val="both"/>
        <w:rPr>
          <w:rFonts w:hAnsi="宋体"/>
          <w:b/>
          <w:color w:val="auto"/>
          <w:sz w:val="28"/>
          <w:szCs w:val="36"/>
          <w:highlight w:val="none"/>
        </w:rPr>
      </w:pPr>
      <w:r>
        <w:rPr>
          <w:rFonts w:hAnsi="宋体"/>
          <w:b/>
          <w:color w:val="auto"/>
          <w:sz w:val="28"/>
          <w:szCs w:val="36"/>
          <w:highlight w:val="none"/>
        </w:rPr>
        <w:t>附件</w:t>
      </w:r>
      <w:r>
        <w:rPr>
          <w:rFonts w:hint="eastAsia" w:hAnsi="宋体"/>
          <w:b/>
          <w:color w:val="auto"/>
          <w:sz w:val="28"/>
          <w:szCs w:val="36"/>
          <w:highlight w:val="none"/>
        </w:rPr>
        <w:t>二</w:t>
      </w:r>
      <w:r>
        <w:rPr>
          <w:rFonts w:hAnsi="宋体"/>
          <w:b/>
          <w:color w:val="auto"/>
          <w:sz w:val="28"/>
          <w:szCs w:val="36"/>
          <w:highlight w:val="none"/>
        </w:rPr>
        <w:t>投 标 函</w:t>
      </w:r>
    </w:p>
    <w:p>
      <w:pPr>
        <w:spacing w:line="360" w:lineRule="auto"/>
        <w:rPr>
          <w:rFonts w:ascii="Arial" w:hAnsi="Arial" w:cs="Arial"/>
          <w:color w:val="auto"/>
          <w:szCs w:val="21"/>
          <w:highlight w:val="none"/>
        </w:rPr>
      </w:pPr>
      <w:r>
        <w:rPr>
          <w:rFonts w:hint="eastAsia" w:ascii="宋体" w:hAnsi="宋体" w:cs="宋体"/>
          <w:b/>
          <w:color w:val="auto"/>
          <w:sz w:val="24"/>
          <w:szCs w:val="24"/>
          <w:highlight w:val="none"/>
          <w:u w:val="single"/>
        </w:rPr>
        <w:t>瑞安市综合行政执法局、瑞安市公园管理中心（瑞安市绿化养护管理中心）</w:t>
      </w:r>
      <w:r>
        <w:rPr>
          <w:rFonts w:ascii="宋体" w:hAnsi="宋体" w:cs="Arial"/>
          <w:color w:val="auto"/>
          <w:szCs w:val="21"/>
          <w:highlight w:val="none"/>
          <w:u w:val="single"/>
        </w:rPr>
        <w:t>：</w:t>
      </w:r>
    </w:p>
    <w:p>
      <w:pPr>
        <w:spacing w:line="360" w:lineRule="auto"/>
        <w:ind w:right="6" w:firstLine="735" w:firstLineChars="350"/>
        <w:rPr>
          <w:rFonts w:ascii="Arial" w:hAnsi="Arial"/>
          <w:color w:val="auto"/>
          <w:highlight w:val="none"/>
        </w:rPr>
      </w:pPr>
      <w:r>
        <w:rPr>
          <w:rFonts w:hint="eastAsia" w:ascii="Arial" w:hAnsi="Arial"/>
          <w:color w:val="auto"/>
          <w:highlight w:val="none"/>
        </w:rPr>
        <w:t>我方确认收到贵方提供的</w:t>
      </w:r>
      <w:r>
        <w:rPr>
          <w:rFonts w:hint="eastAsia" w:ascii="宋体" w:hAnsi="宋体" w:cs="Arial"/>
          <w:color w:val="auto"/>
          <w:szCs w:val="21"/>
          <w:highlight w:val="none"/>
          <w:u w:val="single"/>
        </w:rPr>
        <w:t>瑞安市综合行政执法局及下属事业单位辅助人员劳务派遣</w:t>
      </w:r>
      <w:r>
        <w:rPr>
          <w:rFonts w:hint="eastAsia" w:ascii="宋体" w:hAnsi="宋体"/>
          <w:color w:val="auto"/>
          <w:highlight w:val="none"/>
        </w:rPr>
        <w:t>项目</w:t>
      </w:r>
      <w:r>
        <w:rPr>
          <w:rFonts w:ascii="Arial" w:hAnsi="Arial"/>
          <w:color w:val="auto"/>
          <w:highlight w:val="none"/>
        </w:rPr>
        <w:t>[</w:t>
      </w:r>
      <w:r>
        <w:rPr>
          <w:rFonts w:hint="eastAsia" w:ascii="Arial" w:hAnsi="Arial"/>
          <w:color w:val="auto"/>
          <w:highlight w:val="none"/>
        </w:rPr>
        <w:t>项目编号：</w:t>
      </w:r>
      <w:r>
        <w:rPr>
          <w:rFonts w:hint="eastAsia" w:ascii="宋体" w:hAnsi="宋体"/>
          <w:color w:val="auto"/>
          <w:highlight w:val="none"/>
          <w:u w:val="single"/>
          <w:lang w:eastAsia="zh-CN"/>
        </w:rPr>
        <w:t>WZRZ20230406</w:t>
      </w:r>
      <w:r>
        <w:rPr>
          <w:rFonts w:ascii="Arial" w:hAnsi="Arial"/>
          <w:color w:val="auto"/>
          <w:highlight w:val="none"/>
        </w:rPr>
        <w:t>]</w:t>
      </w:r>
      <w:r>
        <w:rPr>
          <w:rFonts w:hint="eastAsia" w:ascii="Arial" w:hAnsi="Arial"/>
          <w:color w:val="auto"/>
          <w:highlight w:val="none"/>
        </w:rPr>
        <w:t>的招标文件，遵照国家及地方政府相关招标投标法规的规定，我单位：</w:t>
      </w:r>
      <w:r>
        <w:rPr>
          <w:rFonts w:hint="eastAsia" w:ascii="Arial" w:hAnsi="Arial"/>
          <w:color w:val="auto"/>
          <w:highlight w:val="none"/>
          <w:u w:val="single"/>
        </w:rPr>
        <w:t>（投标供应商名称）</w:t>
      </w:r>
      <w:r>
        <w:rPr>
          <w:rFonts w:hint="eastAsia" w:ascii="Arial" w:hAnsi="Arial"/>
          <w:color w:val="auto"/>
          <w:highlight w:val="none"/>
        </w:rPr>
        <w:t>研究上述招标文件的投标须知、合同条款、技术要求和其他有关文件后，决定作为投标者正式授权</w:t>
      </w:r>
      <w:r>
        <w:rPr>
          <w:rFonts w:hint="eastAsia" w:ascii="Arial" w:hAnsi="Arial"/>
          <w:color w:val="auto"/>
          <w:highlight w:val="none"/>
          <w:u w:val="single"/>
        </w:rPr>
        <w:t>（授权代表全名，职务）</w:t>
      </w:r>
      <w:r>
        <w:rPr>
          <w:rFonts w:hint="eastAsia" w:ascii="Arial" w:hAnsi="Arial"/>
          <w:color w:val="auto"/>
          <w:highlight w:val="none"/>
        </w:rPr>
        <w:t>代表我方进行有关本投标的一切事宜。</w:t>
      </w:r>
    </w:p>
    <w:p>
      <w:pPr>
        <w:numPr>
          <w:ilvl w:val="0"/>
          <w:numId w:val="28"/>
        </w:numPr>
        <w:spacing w:line="360" w:lineRule="auto"/>
        <w:ind w:right="6"/>
        <w:rPr>
          <w:rFonts w:ascii="Arial" w:hAnsi="Arial"/>
          <w:color w:val="auto"/>
          <w:highlight w:val="none"/>
        </w:rPr>
      </w:pPr>
      <w:r>
        <w:rPr>
          <w:rFonts w:hint="eastAsia" w:ascii="Arial" w:hAnsi="Arial"/>
          <w:color w:val="auto"/>
          <w:highlight w:val="none"/>
        </w:rPr>
        <w:t>在此提交的电子投标文件中，包括如下内容：</w:t>
      </w:r>
    </w:p>
    <w:p>
      <w:pPr>
        <w:numPr>
          <w:ilvl w:val="0"/>
          <w:numId w:val="28"/>
        </w:numPr>
        <w:spacing w:line="360" w:lineRule="auto"/>
        <w:ind w:right="6"/>
        <w:rPr>
          <w:rFonts w:ascii="Arial" w:hAnsi="Arial"/>
          <w:color w:val="auto"/>
          <w:highlight w:val="none"/>
        </w:rPr>
      </w:pPr>
      <w:r>
        <w:rPr>
          <w:rFonts w:hint="eastAsia" w:ascii="Arial" w:hAnsi="Arial"/>
          <w:color w:val="auto"/>
          <w:highlight w:val="none"/>
        </w:rPr>
        <w:t>按“投标供应商须知”要求编制电子投标文件的资格文件；</w:t>
      </w:r>
    </w:p>
    <w:p>
      <w:pPr>
        <w:numPr>
          <w:ilvl w:val="0"/>
          <w:numId w:val="28"/>
        </w:numPr>
        <w:spacing w:line="360" w:lineRule="auto"/>
        <w:ind w:right="6"/>
        <w:rPr>
          <w:rFonts w:ascii="Arial" w:hAnsi="Arial"/>
          <w:color w:val="auto"/>
          <w:highlight w:val="none"/>
        </w:rPr>
      </w:pPr>
      <w:r>
        <w:rPr>
          <w:rFonts w:hint="eastAsia" w:ascii="Arial" w:hAnsi="Arial"/>
          <w:color w:val="auto"/>
          <w:highlight w:val="none"/>
        </w:rPr>
        <w:t>按“投标供应商须知”要求编制电子投标文件的商务技术文件；</w:t>
      </w:r>
    </w:p>
    <w:p>
      <w:pPr>
        <w:numPr>
          <w:ilvl w:val="0"/>
          <w:numId w:val="28"/>
        </w:numPr>
        <w:spacing w:line="360" w:lineRule="auto"/>
        <w:ind w:right="6"/>
        <w:rPr>
          <w:rFonts w:ascii="Arial" w:hAnsi="Arial"/>
          <w:color w:val="auto"/>
          <w:highlight w:val="none"/>
        </w:rPr>
      </w:pPr>
      <w:r>
        <w:rPr>
          <w:rFonts w:hint="eastAsia"/>
          <w:color w:val="auto"/>
          <w:highlight w:val="none"/>
        </w:rPr>
        <w:t>按“投标供应商须知”要求编制电子投标文件的报价文件；</w:t>
      </w:r>
    </w:p>
    <w:p>
      <w:pPr>
        <w:numPr>
          <w:ilvl w:val="0"/>
          <w:numId w:val="28"/>
        </w:numPr>
        <w:spacing w:line="360" w:lineRule="auto"/>
        <w:ind w:right="6"/>
        <w:rPr>
          <w:rFonts w:ascii="Arial" w:hAnsi="Arial"/>
          <w:color w:val="auto"/>
          <w:highlight w:val="none"/>
        </w:rPr>
      </w:pPr>
      <w:r>
        <w:rPr>
          <w:rFonts w:ascii="Arial" w:hAnsi="Arial"/>
          <w:color w:val="auto"/>
          <w:highlight w:val="none"/>
        </w:rPr>
        <w:t>我方已完全明白招标文件的所有条款要求，并重申以下几点：</w:t>
      </w:r>
    </w:p>
    <w:p>
      <w:pPr>
        <w:numPr>
          <w:ilvl w:val="1"/>
          <w:numId w:val="28"/>
        </w:numPr>
        <w:spacing w:line="360" w:lineRule="auto"/>
        <w:ind w:right="6"/>
        <w:rPr>
          <w:rFonts w:ascii="Arial" w:hAnsi="Arial"/>
          <w:color w:val="auto"/>
          <w:highlight w:val="none"/>
        </w:rPr>
      </w:pPr>
      <w:r>
        <w:rPr>
          <w:rFonts w:hint="eastAsia" w:ascii="Arial" w:hAnsi="Arial"/>
          <w:color w:val="auto"/>
          <w:highlight w:val="none"/>
        </w:rPr>
        <w:t>我方决定参加：作为本次供应商参与</w:t>
      </w:r>
      <w:r>
        <w:rPr>
          <w:rFonts w:hint="eastAsia" w:ascii="宋体" w:hAnsi="宋体" w:cs="Arial"/>
          <w:color w:val="auto"/>
          <w:szCs w:val="21"/>
          <w:highlight w:val="none"/>
          <w:u w:val="single"/>
        </w:rPr>
        <w:t>瑞安市综合行政执法局及下属事业单位辅助人员劳务派遣</w:t>
      </w:r>
      <w:r>
        <w:rPr>
          <w:rFonts w:hint="eastAsia" w:ascii="Arial" w:hAnsi="Arial"/>
          <w:color w:val="auto"/>
          <w:highlight w:val="none"/>
        </w:rPr>
        <w:t>项目的投标。</w:t>
      </w:r>
    </w:p>
    <w:p>
      <w:pPr>
        <w:numPr>
          <w:ilvl w:val="1"/>
          <w:numId w:val="28"/>
        </w:numPr>
        <w:spacing w:line="360" w:lineRule="auto"/>
        <w:ind w:right="6"/>
        <w:rPr>
          <w:rFonts w:ascii="Arial" w:hAnsi="Arial"/>
          <w:color w:val="auto"/>
          <w:highlight w:val="none"/>
        </w:rPr>
      </w:pPr>
      <w:r>
        <w:rPr>
          <w:rFonts w:hint="eastAsia" w:ascii="Arial" w:hAnsi="Arial"/>
          <w:color w:val="auto"/>
          <w:highlight w:val="none"/>
        </w:rPr>
        <w:t>我方承诺：</w:t>
      </w:r>
    </w:p>
    <w:p>
      <w:pPr>
        <w:numPr>
          <w:ilvl w:val="0"/>
          <w:numId w:val="29"/>
        </w:numPr>
        <w:tabs>
          <w:tab w:val="left" w:pos="814"/>
        </w:tabs>
        <w:spacing w:line="360" w:lineRule="auto"/>
        <w:ind w:left="0" w:firstLine="454"/>
        <w:rPr>
          <w:rFonts w:ascii="Arial" w:hAnsi="Arial"/>
          <w:color w:val="auto"/>
          <w:highlight w:val="none"/>
        </w:rPr>
      </w:pPr>
      <w:r>
        <w:rPr>
          <w:rFonts w:hint="eastAsia" w:ascii="Arial" w:hAnsi="Arial"/>
          <w:color w:val="auto"/>
          <w:highlight w:val="none"/>
        </w:rPr>
        <w:t xml:space="preserve"> 我方承诺的政府采购价格按开标一览表及本次有关的招投标文件执行。</w:t>
      </w:r>
    </w:p>
    <w:p>
      <w:pPr>
        <w:numPr>
          <w:ilvl w:val="0"/>
          <w:numId w:val="29"/>
        </w:numPr>
        <w:tabs>
          <w:tab w:val="left" w:pos="814"/>
        </w:tabs>
        <w:spacing w:line="360" w:lineRule="auto"/>
        <w:ind w:left="0" w:firstLine="454"/>
        <w:rPr>
          <w:rFonts w:ascii="Arial" w:hAnsi="Arial"/>
          <w:color w:val="auto"/>
          <w:highlight w:val="none"/>
        </w:rPr>
      </w:pPr>
      <w:r>
        <w:rPr>
          <w:rFonts w:hint="eastAsia" w:ascii="Arial" w:hAnsi="Arial"/>
          <w:color w:val="auto"/>
          <w:highlight w:val="none"/>
        </w:rPr>
        <w:t xml:space="preserve"> 我方报价包含履行合同所有相关服务所需的服务费用。</w:t>
      </w:r>
    </w:p>
    <w:p>
      <w:pPr>
        <w:numPr>
          <w:ilvl w:val="0"/>
          <w:numId w:val="29"/>
        </w:numPr>
        <w:tabs>
          <w:tab w:val="left" w:pos="814"/>
        </w:tabs>
        <w:spacing w:line="360" w:lineRule="auto"/>
        <w:ind w:left="0" w:firstLine="454"/>
        <w:rPr>
          <w:color w:val="auto"/>
          <w:highlight w:val="none"/>
        </w:rPr>
      </w:pPr>
      <w:r>
        <w:rPr>
          <w:rFonts w:hint="eastAsia"/>
          <w:color w:val="auto"/>
          <w:highlight w:val="none"/>
        </w:rPr>
        <w:t xml:space="preserve"> 我方报价均包含所有的税费。</w:t>
      </w:r>
    </w:p>
    <w:p>
      <w:pPr>
        <w:numPr>
          <w:ilvl w:val="1"/>
          <w:numId w:val="28"/>
        </w:numPr>
        <w:spacing w:line="360" w:lineRule="auto"/>
        <w:ind w:right="6"/>
        <w:rPr>
          <w:rFonts w:ascii="Arial" w:hAnsi="Arial"/>
          <w:color w:val="auto"/>
          <w:highlight w:val="none"/>
        </w:rPr>
      </w:pPr>
      <w:r>
        <w:rPr>
          <w:rFonts w:hint="eastAsia" w:ascii="Arial" w:hAnsi="Arial"/>
          <w:color w:val="auto"/>
          <w:highlight w:val="none"/>
        </w:rPr>
        <w:t>投标文件的有效期：提交投标文件截止日起 90天内；如中标，有效期将延至合同终止日为止。</w:t>
      </w:r>
    </w:p>
    <w:p>
      <w:pPr>
        <w:numPr>
          <w:ilvl w:val="1"/>
          <w:numId w:val="28"/>
        </w:numPr>
        <w:spacing w:line="360" w:lineRule="auto"/>
        <w:ind w:right="6"/>
        <w:rPr>
          <w:rFonts w:ascii="Arial" w:hAnsi="Arial"/>
          <w:color w:val="auto"/>
          <w:highlight w:val="none"/>
        </w:rPr>
      </w:pPr>
      <w:r>
        <w:rPr>
          <w:rFonts w:hint="eastAsia" w:ascii="Arial" w:hAnsi="Arial"/>
          <w:color w:val="auto"/>
          <w:highlight w:val="none"/>
        </w:rPr>
        <w:t>我方已详细研究了招标文件的所有内容包括修正文件（如果有）和所有已提供的参考资料以及有关附件并完全明白</w:t>
      </w:r>
      <w:r>
        <w:rPr>
          <w:rFonts w:ascii="Arial" w:hAnsi="Arial"/>
          <w:color w:val="auto"/>
          <w:highlight w:val="none"/>
        </w:rPr>
        <w:t xml:space="preserve">, </w:t>
      </w:r>
      <w:r>
        <w:rPr>
          <w:rFonts w:hint="eastAsia" w:ascii="Arial" w:hAnsi="Arial"/>
          <w:color w:val="auto"/>
          <w:highlight w:val="none"/>
        </w:rPr>
        <w:t>我方放弃在此方面提出含糊意见或误解的一切权力。</w:t>
      </w:r>
    </w:p>
    <w:p>
      <w:pPr>
        <w:numPr>
          <w:ilvl w:val="1"/>
          <w:numId w:val="28"/>
        </w:numPr>
        <w:spacing w:line="360" w:lineRule="auto"/>
        <w:ind w:right="6"/>
        <w:rPr>
          <w:rFonts w:ascii="Arial" w:hAnsi="Arial"/>
          <w:color w:val="auto"/>
          <w:highlight w:val="none"/>
        </w:rPr>
      </w:pPr>
      <w:r>
        <w:rPr>
          <w:rFonts w:hint="eastAsia" w:ascii="Arial" w:hAnsi="Arial"/>
          <w:color w:val="auto"/>
          <w:highlight w:val="none"/>
        </w:rPr>
        <w:t>我方同意按照贵方提出的要求而提供与投标产品有关的数据或信息。</w:t>
      </w:r>
    </w:p>
    <w:p>
      <w:pPr>
        <w:numPr>
          <w:ilvl w:val="1"/>
          <w:numId w:val="28"/>
        </w:numPr>
        <w:spacing w:line="360" w:lineRule="auto"/>
        <w:ind w:right="6"/>
        <w:rPr>
          <w:rFonts w:ascii="Arial" w:hAnsi="Arial"/>
          <w:color w:val="auto"/>
          <w:highlight w:val="none"/>
        </w:rPr>
      </w:pPr>
      <w:r>
        <w:rPr>
          <w:rFonts w:hint="eastAsia" w:ascii="Arial" w:hAnsi="Arial"/>
          <w:color w:val="auto"/>
          <w:highlight w:val="none"/>
        </w:rPr>
        <w:t>我方如果中标，将保证履行招标文件以及招标文件修改书（如果有的话）中的全部责任和义务，按质、按量、按期完成《合同协议书》中的全部任务。</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日期：         年   月    日</w:t>
      </w:r>
    </w:p>
    <w:p>
      <w:pPr>
        <w:pStyle w:val="3"/>
        <w:keepNext w:val="0"/>
        <w:keepLines w:val="0"/>
        <w:pageBreakBefore/>
        <w:adjustRightInd/>
        <w:snapToGrid/>
        <w:jc w:val="center"/>
        <w:rPr>
          <w:rFonts w:hAnsi="宋体"/>
          <w:color w:val="auto"/>
          <w:sz w:val="28"/>
          <w:szCs w:val="36"/>
          <w:highlight w:val="none"/>
        </w:rPr>
      </w:pPr>
      <w:bookmarkStart w:id="102" w:name="_Toc27882"/>
      <w:bookmarkStart w:id="103" w:name="_Toc433648204"/>
      <w:bookmarkStart w:id="104" w:name="_Toc24633"/>
      <w:bookmarkStart w:id="105" w:name="_Toc27806"/>
      <w:bookmarkStart w:id="106" w:name="_Toc29370619"/>
      <w:bookmarkStart w:id="107" w:name="_Toc30756"/>
      <w:bookmarkStart w:id="108" w:name="_Toc392161689"/>
      <w:bookmarkStart w:id="109" w:name="_Toc18099"/>
      <w:bookmarkStart w:id="110" w:name="_Toc7155"/>
      <w:bookmarkStart w:id="111" w:name="_Toc6302"/>
      <w:r>
        <w:rPr>
          <w:rFonts w:hint="eastAsia" w:hAnsi="宋体"/>
          <w:color w:val="auto"/>
          <w:sz w:val="28"/>
          <w:szCs w:val="36"/>
          <w:highlight w:val="none"/>
        </w:rPr>
        <w:t>附件三-1</w:t>
      </w:r>
      <w:r>
        <w:rPr>
          <w:rFonts w:hint="eastAsia" w:hAnsi="宋体"/>
          <w:color w:val="auto"/>
          <w:sz w:val="28"/>
          <w:szCs w:val="36"/>
          <w:highlight w:val="none"/>
        </w:rPr>
        <w:tab/>
      </w:r>
      <w:r>
        <w:rPr>
          <w:rFonts w:hint="eastAsia" w:hAnsi="宋体"/>
          <w:color w:val="auto"/>
          <w:sz w:val="28"/>
          <w:szCs w:val="36"/>
          <w:highlight w:val="none"/>
        </w:rPr>
        <w:t>法定代表人授权书</w:t>
      </w:r>
      <w:bookmarkEnd w:id="102"/>
      <w:bookmarkEnd w:id="103"/>
      <w:bookmarkEnd w:id="104"/>
      <w:bookmarkEnd w:id="105"/>
      <w:bookmarkEnd w:id="106"/>
      <w:bookmarkEnd w:id="107"/>
      <w:bookmarkEnd w:id="108"/>
      <w:bookmarkEnd w:id="109"/>
      <w:bookmarkEnd w:id="110"/>
      <w:bookmarkEnd w:id="111"/>
    </w:p>
    <w:p>
      <w:pPr>
        <w:spacing w:line="360" w:lineRule="auto"/>
        <w:rPr>
          <w:rFonts w:ascii="Arial" w:hAnsi="Arial" w:cs="Arial"/>
          <w:color w:val="auto"/>
          <w:szCs w:val="21"/>
          <w:highlight w:val="none"/>
        </w:rPr>
      </w:pPr>
      <w:r>
        <w:rPr>
          <w:rFonts w:hint="eastAsia" w:ascii="宋体" w:hAnsi="宋体" w:cs="宋体"/>
          <w:b/>
          <w:color w:val="auto"/>
          <w:sz w:val="24"/>
          <w:szCs w:val="24"/>
          <w:highlight w:val="none"/>
          <w:u w:val="single"/>
        </w:rPr>
        <w:t>瑞安市综合行政执法局、瑞安市公园管理中心（瑞安市绿化养护管理中心）</w:t>
      </w:r>
      <w:r>
        <w:rPr>
          <w:rFonts w:hint="eastAsia" w:ascii="Arial" w:hAnsi="Arial" w:cs="Arial"/>
          <w:color w:val="auto"/>
          <w:szCs w:val="21"/>
          <w:highlight w:val="none"/>
        </w:rPr>
        <w:t>：</w:t>
      </w:r>
    </w:p>
    <w:p>
      <w:pPr>
        <w:spacing w:line="360" w:lineRule="auto"/>
        <w:ind w:firstLine="630" w:firstLineChars="300"/>
        <w:rPr>
          <w:rFonts w:ascii="宋体" w:hAnsi="宋体"/>
          <w:color w:val="auto"/>
          <w:highlight w:val="none"/>
        </w:rPr>
      </w:pPr>
      <w:r>
        <w:rPr>
          <w:rFonts w:hint="eastAsia" w:ascii="宋体" w:hAnsi="宋体"/>
          <w:color w:val="auto"/>
          <w:highlight w:val="none"/>
        </w:rPr>
        <w:t>本授权委托书声明：我</w:t>
      </w:r>
      <w:r>
        <w:rPr>
          <w:rFonts w:hint="eastAsia" w:ascii="宋体" w:hAnsi="宋体"/>
          <w:color w:val="auto"/>
          <w:highlight w:val="none"/>
          <w:u w:val="single"/>
        </w:rPr>
        <w:t>（法人代表姓名）</w:t>
      </w:r>
      <w:r>
        <w:rPr>
          <w:rFonts w:hint="eastAsia" w:ascii="宋体" w:hAnsi="宋体"/>
          <w:color w:val="auto"/>
          <w:highlight w:val="none"/>
        </w:rPr>
        <w:t>系</w:t>
      </w:r>
      <w:r>
        <w:rPr>
          <w:rFonts w:hint="eastAsia" w:ascii="宋体" w:hAnsi="宋体"/>
          <w:color w:val="auto"/>
          <w:highlight w:val="none"/>
          <w:u w:val="single"/>
        </w:rPr>
        <w:t xml:space="preserve">（投 标 人 名 称） </w:t>
      </w:r>
      <w:r>
        <w:rPr>
          <w:rFonts w:hint="eastAsia" w:ascii="宋体" w:hAnsi="宋体"/>
          <w:color w:val="auto"/>
          <w:highlight w:val="none"/>
        </w:rPr>
        <w:t>的法定代表人，现授权委托本单位正式职工：</w:t>
      </w:r>
      <w:r>
        <w:rPr>
          <w:rFonts w:hint="eastAsia" w:ascii="宋体" w:hAnsi="宋体"/>
          <w:color w:val="auto"/>
          <w:highlight w:val="none"/>
          <w:u w:val="single"/>
        </w:rPr>
        <w:t>（授权代表姓名）</w:t>
      </w:r>
      <w:r>
        <w:rPr>
          <w:rFonts w:hint="eastAsia" w:ascii="宋体" w:hAnsi="宋体"/>
          <w:color w:val="auto"/>
          <w:highlight w:val="none"/>
        </w:rPr>
        <w:t>为我公司法定代表人授权代表，参加贵处组织的</w:t>
      </w:r>
      <w:r>
        <w:rPr>
          <w:rFonts w:hint="eastAsia" w:ascii="宋体" w:hAnsi="宋体"/>
          <w:color w:val="auto"/>
          <w:highlight w:val="none"/>
          <w:u w:val="single"/>
        </w:rPr>
        <w:t xml:space="preserve">  （项目编号：   ）  </w:t>
      </w:r>
      <w:r>
        <w:rPr>
          <w:rFonts w:hint="eastAsia" w:ascii="宋体" w:hAnsi="宋体"/>
          <w:color w:val="auto"/>
          <w:highlight w:val="none"/>
        </w:rPr>
        <w:t>项目投标，全权处理本次招投标活动中的一切事宜，并代表我方全权办理针对上述项目的投标、开标、评标、签约等具体事务和签署相关文件。</w:t>
      </w:r>
    </w:p>
    <w:p>
      <w:pPr>
        <w:spacing w:line="360" w:lineRule="auto"/>
        <w:rPr>
          <w:rFonts w:ascii="宋体" w:hAnsi="宋体"/>
          <w:color w:val="auto"/>
          <w:highlight w:val="none"/>
        </w:rPr>
      </w:pPr>
      <w:r>
        <w:rPr>
          <w:rFonts w:hint="eastAsia" w:ascii="宋体" w:hAnsi="宋体"/>
          <w:color w:val="auto"/>
          <w:highlight w:val="none"/>
        </w:rPr>
        <w:t xml:space="preserve">    我方对被授权人的签名负全部责任。</w:t>
      </w:r>
    </w:p>
    <w:p>
      <w:pPr>
        <w:spacing w:line="360" w:lineRule="auto"/>
        <w:ind w:firstLine="480"/>
        <w:rPr>
          <w:rFonts w:ascii="宋体" w:hAnsi="宋体"/>
          <w:color w:val="auto"/>
          <w:highlight w:val="none"/>
        </w:rPr>
      </w:pPr>
      <w:r>
        <w:rPr>
          <w:rFonts w:hint="eastAsia" w:ascii="宋体" w:hAnsi="宋体"/>
          <w:color w:val="auto"/>
          <w:highlight w:val="none"/>
        </w:rPr>
        <w:t>在撤销授权的书面通知以前，本授权书一直有效。被授权人在授权书有效期内签署的所有文件不因授权的撤销而失效。</w:t>
      </w:r>
    </w:p>
    <w:p>
      <w:pPr>
        <w:spacing w:line="360" w:lineRule="auto"/>
        <w:ind w:firstLine="612"/>
        <w:rPr>
          <w:rFonts w:ascii="宋体" w:hAnsi="宋体"/>
          <w:color w:val="auto"/>
          <w:highlight w:val="none"/>
        </w:rPr>
      </w:pPr>
      <w:r>
        <w:rPr>
          <w:rFonts w:hint="eastAsia" w:ascii="宋体" w:hAnsi="宋体"/>
          <w:color w:val="auto"/>
          <w:highlight w:val="none"/>
        </w:rPr>
        <w:t>被授权人无转委托权，特此委托。</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日期：      年  月  日</w:t>
      </w:r>
    </w:p>
    <w:p>
      <w:pPr>
        <w:widowControl w:val="0"/>
        <w:spacing w:line="360" w:lineRule="auto"/>
        <w:ind w:firstLine="4830" w:firstLineChars="2300"/>
        <w:jc w:val="both"/>
        <w:rPr>
          <w:rFonts w:ascii="Arial" w:hAnsi="Arial"/>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46355</wp:posOffset>
                </wp:positionV>
                <wp:extent cx="5466715" cy="2233930"/>
                <wp:effectExtent l="4445" t="5080" r="15240" b="8890"/>
                <wp:wrapNone/>
                <wp:docPr id="9" name="文本框 4"/>
                <wp:cNvGraphicFramePr/>
                <a:graphic xmlns:a="http://schemas.openxmlformats.org/drawingml/2006/main">
                  <a:graphicData uri="http://schemas.microsoft.com/office/word/2010/wordprocessingShape">
                    <wps:wsp>
                      <wps:cNvSpPr txBox="1"/>
                      <wps:spPr bwMode="auto">
                        <a:xfrm>
                          <a:off x="0" y="0"/>
                          <a:ext cx="5466715" cy="2233930"/>
                        </a:xfrm>
                        <a:prstGeom prst="rect">
                          <a:avLst/>
                        </a:prstGeom>
                        <a:solidFill>
                          <a:srgbClr val="FFFFFF"/>
                        </a:solidFill>
                        <a:ln w="9525">
                          <a:solidFill>
                            <a:srgbClr val="000000"/>
                          </a:solidFill>
                          <a:miter lim="800000"/>
                        </a:ln>
                        <a:effectLst/>
                      </wps:spPr>
                      <wps:txbx>
                        <w:txbxContent>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pStyle w:val="33"/>
                              <w:ind w:firstLine="480"/>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r>
                              <w:rPr>
                                <w:rFonts w:hint="eastAsia" w:ascii="新宋体" w:hAnsi="新宋体" w:eastAsia="新宋体"/>
                                <w:sz w:val="22"/>
                                <w:szCs w:val="22"/>
                              </w:rPr>
                              <w:t>授权代表身份证复印件粘贴处（正方两面）：</w:t>
                            </w: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pPr>
                          </w:p>
                          <w:p/>
                          <w:p/>
                          <w:p/>
                          <w:p/>
                          <w:p/>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4.15pt;margin-top:3.65pt;height:175.9pt;width:430.45pt;z-index:251660288;mso-width-relative:page;mso-height-relative:page;" fillcolor="#FFFFFF" filled="t" stroked="t" coordsize="21600,21600" o:gfxdata="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mS2fZAAAACAEAAA8AAAAAAAAAAQAgAAAAIgAAAGRycy9kb3ducmV2Lnht&#10;bFBLAQIUABQAAAAIAIdO4kC3VbVkMQIAAGYEAAAOAAAAAAAAAAEAIAAAACgBAABkcnMvZTJvRG9j&#10;LnhtbFBLBQYAAAAABgAGAFkBAADLBQAAAAA=&#10;">
                <v:fill on="t" focussize="0,0"/>
                <v:stroke color="#000000" miterlimit="8" joinstyle="miter"/>
                <v:imagedata o:title=""/>
                <o:lock v:ext="edit" aspectratio="f"/>
                <v:textbox>
                  <w:txbxContent>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pStyle w:val="33"/>
                        <w:ind w:firstLine="480"/>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r>
                        <w:rPr>
                          <w:rFonts w:hint="eastAsia" w:ascii="新宋体" w:hAnsi="新宋体" w:eastAsia="新宋体"/>
                          <w:sz w:val="22"/>
                          <w:szCs w:val="22"/>
                        </w:rPr>
                        <w:t>授权代表身份证复印件粘贴处（正方两面）：</w:t>
                      </w: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pPr>
                    </w:p>
                    <w:p/>
                    <w:p/>
                    <w:p/>
                    <w:p/>
                    <w:p/>
                    <w:p/>
                  </w:txbxContent>
                </v:textbox>
              </v:shape>
            </w:pict>
          </mc:Fallback>
        </mc:AlternateConten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33"/>
        <w:ind w:firstLine="480"/>
        <w:rPr>
          <w:rFonts w:hAnsi="宋体"/>
          <w:color w:val="auto"/>
          <w:highlight w:val="none"/>
        </w:rPr>
      </w:pPr>
    </w:p>
    <w:p>
      <w:pPr>
        <w:pStyle w:val="33"/>
        <w:ind w:firstLine="480"/>
        <w:rPr>
          <w:rFonts w:hAnsi="宋体"/>
          <w:color w:val="auto"/>
          <w:highlight w:val="none"/>
        </w:rPr>
      </w:pPr>
    </w:p>
    <w:p>
      <w:pPr>
        <w:pStyle w:val="33"/>
        <w:ind w:firstLine="0" w:firstLineChars="0"/>
        <w:rPr>
          <w:rFonts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附：</w:t>
      </w:r>
    </w:p>
    <w:p>
      <w:pPr>
        <w:spacing w:line="360" w:lineRule="auto"/>
        <w:rPr>
          <w:rFonts w:ascii="宋体" w:hAnsi="宋体"/>
          <w:color w:val="auto"/>
          <w:highlight w:val="none"/>
          <w:u w:val="single"/>
        </w:rPr>
      </w:pPr>
      <w:r>
        <w:rPr>
          <w:rFonts w:hint="eastAsia" w:ascii="宋体" w:hAnsi="宋体"/>
          <w:color w:val="auto"/>
          <w:highlight w:val="none"/>
        </w:rPr>
        <w:t>授权代表姓名</w:t>
      </w:r>
      <w:r>
        <w:rPr>
          <w:rFonts w:hint="eastAsia" w:ascii="宋体" w:hAnsi="宋体"/>
          <w:color w:val="auto"/>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职  务：</w:t>
      </w:r>
    </w:p>
    <w:p>
      <w:pPr>
        <w:spacing w:line="360" w:lineRule="auto"/>
        <w:rPr>
          <w:rFonts w:ascii="宋体" w:hAnsi="宋体"/>
          <w:color w:val="auto"/>
          <w:highlight w:val="none"/>
          <w:u w:val="single"/>
        </w:rPr>
      </w:pPr>
      <w:r>
        <w:rPr>
          <w:rFonts w:hint="eastAsia" w:ascii="宋体" w:hAnsi="宋体"/>
          <w:color w:val="auto"/>
          <w:highlight w:val="none"/>
        </w:rPr>
        <w:t>详细通讯地址</w:t>
      </w:r>
      <w:r>
        <w:rPr>
          <w:rFonts w:hint="eastAsia" w:ascii="宋体" w:hAnsi="宋体"/>
          <w:color w:val="auto"/>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传  真：</w:t>
      </w:r>
    </w:p>
    <w:p>
      <w:pPr>
        <w:spacing w:line="360" w:lineRule="auto"/>
        <w:rPr>
          <w:rFonts w:ascii="宋体" w:hAnsi="宋体"/>
          <w:color w:val="auto"/>
          <w:highlight w:val="none"/>
        </w:rPr>
      </w:pPr>
      <w:r>
        <w:rPr>
          <w:rFonts w:hint="eastAsia" w:ascii="宋体" w:hAnsi="宋体"/>
          <w:color w:val="auto"/>
          <w:highlight w:val="none"/>
        </w:rPr>
        <w:t>电  话：</w:t>
      </w:r>
    </w:p>
    <w:p>
      <w:pPr>
        <w:spacing w:line="360" w:lineRule="auto"/>
        <w:rPr>
          <w:rFonts w:ascii="宋体" w:hAnsi="宋体"/>
          <w:color w:val="auto"/>
          <w:highlight w:val="none"/>
        </w:rPr>
      </w:pPr>
      <w:r>
        <w:rPr>
          <w:rFonts w:hint="eastAsia"/>
          <w:color w:val="auto"/>
          <w:highlight w:val="none"/>
        </w:rPr>
        <w:t xml:space="preserve">邮政编码：                      </w:t>
      </w:r>
    </w:p>
    <w:p>
      <w:pPr>
        <w:pStyle w:val="3"/>
        <w:keepNext w:val="0"/>
        <w:keepLines w:val="0"/>
        <w:pageBreakBefore/>
        <w:adjustRightInd/>
        <w:snapToGrid/>
        <w:jc w:val="center"/>
        <w:rPr>
          <w:rFonts w:hAnsi="宋体"/>
          <w:color w:val="auto"/>
          <w:sz w:val="28"/>
          <w:szCs w:val="36"/>
          <w:highlight w:val="none"/>
        </w:rPr>
      </w:pPr>
      <w:bookmarkStart w:id="112" w:name="_Toc384370003"/>
      <w:bookmarkStart w:id="113" w:name="_Toc28782"/>
      <w:bookmarkStart w:id="114" w:name="_Toc17000"/>
      <w:bookmarkStart w:id="115" w:name="_Toc375"/>
      <w:bookmarkStart w:id="116" w:name="_Toc356553241"/>
      <w:bookmarkStart w:id="117" w:name="_Toc15211"/>
      <w:bookmarkStart w:id="118" w:name="_Toc392161690"/>
      <w:bookmarkStart w:id="119" w:name="_Toc433648205"/>
      <w:bookmarkStart w:id="120" w:name="_Toc13385"/>
      <w:bookmarkStart w:id="121" w:name="_Toc29370620"/>
      <w:bookmarkStart w:id="122" w:name="_Toc19221"/>
      <w:bookmarkStart w:id="123" w:name="_Toc376414486"/>
      <w:bookmarkStart w:id="124" w:name="_Toc383173868"/>
      <w:bookmarkStart w:id="125" w:name="_Toc360039959"/>
      <w:bookmarkStart w:id="126" w:name="_Toc25706"/>
      <w:r>
        <w:rPr>
          <w:rFonts w:hint="eastAsia" w:hAnsi="宋体"/>
          <w:color w:val="auto"/>
          <w:sz w:val="28"/>
          <w:szCs w:val="36"/>
          <w:highlight w:val="none"/>
        </w:rPr>
        <w:t>附件三-2 法定代表人身份证明</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360" w:lineRule="auto"/>
        <w:rPr>
          <w:rFonts w:ascii="宋体" w:hAnsi="宋体"/>
          <w:b/>
          <w:color w:val="auto"/>
          <w:highlight w:val="none"/>
        </w:rPr>
      </w:pPr>
    </w:p>
    <w:p>
      <w:pPr>
        <w:spacing w:line="360" w:lineRule="auto"/>
        <w:ind w:firstLine="612"/>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pPr>
        <w:spacing w:line="360" w:lineRule="auto"/>
        <w:ind w:firstLine="610"/>
        <w:rPr>
          <w:rFonts w:ascii="宋体" w:hAnsi="宋体"/>
          <w:color w:val="auto"/>
          <w:highlight w:val="none"/>
          <w:u w:val="single"/>
        </w:rPr>
      </w:pPr>
      <w:r>
        <w:rPr>
          <w:rFonts w:hint="eastAsia" w:ascii="宋体" w:hAnsi="宋体"/>
          <w:color w:val="auto"/>
          <w:highlight w:val="none"/>
        </w:rPr>
        <w:t>单位性质：</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pPr>
        <w:spacing w:line="360" w:lineRule="auto"/>
        <w:ind w:firstLine="610"/>
        <w:rPr>
          <w:rFonts w:ascii="宋体" w:hAnsi="宋体"/>
          <w:color w:val="auto"/>
          <w:highlight w:val="none"/>
          <w:u w:val="single"/>
        </w:rPr>
      </w:pPr>
      <w:r>
        <w:rPr>
          <w:rFonts w:hint="eastAsia" w:ascii="宋体" w:hAnsi="宋体"/>
          <w:color w:val="auto"/>
          <w:highlight w:val="none"/>
        </w:rPr>
        <w:t>地</w:t>
      </w:r>
      <w:r>
        <w:rPr>
          <w:rFonts w:ascii="宋体" w:hAnsi="宋体"/>
          <w:color w:val="auto"/>
          <w:highlight w:val="none"/>
        </w:rPr>
        <w:t xml:space="preserve">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pPr>
        <w:spacing w:line="360" w:lineRule="auto"/>
        <w:ind w:firstLine="610"/>
        <w:rPr>
          <w:rFonts w:ascii="宋体" w:hAnsi="宋体"/>
          <w:color w:val="auto"/>
          <w:highlight w:val="none"/>
        </w:rPr>
      </w:pPr>
      <w:r>
        <w:rPr>
          <w:rFonts w:hint="eastAsia" w:ascii="宋体" w:hAnsi="宋体"/>
          <w:color w:val="auto"/>
          <w:highlight w:val="none"/>
        </w:rPr>
        <w:t>成立时间：年月日</w:t>
      </w:r>
    </w:p>
    <w:p>
      <w:pPr>
        <w:spacing w:line="360" w:lineRule="auto"/>
        <w:ind w:firstLine="610"/>
        <w:rPr>
          <w:rFonts w:ascii="宋体" w:hAnsi="宋体"/>
          <w:color w:val="auto"/>
          <w:highlight w:val="none"/>
          <w:u w:val="single"/>
        </w:rPr>
      </w:pPr>
      <w:r>
        <w:rPr>
          <w:rFonts w:hint="eastAsia" w:ascii="宋体" w:hAnsi="宋体"/>
          <w:color w:val="auto"/>
          <w:highlight w:val="none"/>
        </w:rPr>
        <w:t>经营期限：</w:t>
      </w:r>
      <w:r>
        <w:rPr>
          <w:rFonts w:hint="eastAsia" w:ascii="宋体" w:hAnsi="宋体"/>
          <w:color w:val="auto"/>
          <w:highlight w:val="none"/>
          <w:u w:val="single"/>
        </w:rPr>
        <w:tab/>
      </w:r>
      <w:r>
        <w:rPr>
          <w:rFonts w:hint="eastAsia" w:ascii="宋体" w:hAnsi="宋体"/>
          <w:color w:val="auto"/>
          <w:highlight w:val="none"/>
          <w:u w:val="single"/>
        </w:rPr>
        <w:tab/>
      </w:r>
    </w:p>
    <w:p>
      <w:pPr>
        <w:spacing w:line="360" w:lineRule="auto"/>
        <w:ind w:firstLine="610"/>
        <w:rPr>
          <w:rFonts w:ascii="宋体" w:hAnsi="宋体"/>
          <w:color w:val="auto"/>
          <w:highlight w:val="none"/>
          <w:u w:val="single"/>
        </w:rPr>
      </w:pPr>
      <w:r>
        <w:rPr>
          <w:rFonts w:hint="eastAsia" w:ascii="宋体" w:hAnsi="宋体"/>
          <w:color w:val="auto"/>
          <w:highlight w:val="none"/>
        </w:rPr>
        <w:t>姓</w:t>
      </w:r>
      <w:r>
        <w:rPr>
          <w:rFonts w:ascii="宋体" w:hAnsi="宋体"/>
          <w:color w:val="auto"/>
          <w:highlight w:val="none"/>
        </w:rPr>
        <w:t xml:space="preserve">    名： 性别：年龄： 职务：</w:t>
      </w:r>
      <w:r>
        <w:rPr>
          <w:rFonts w:hint="eastAsia" w:ascii="宋体" w:hAnsi="宋体"/>
          <w:color w:val="auto"/>
          <w:highlight w:val="none"/>
          <w:u w:val="single"/>
        </w:rPr>
        <w:tab/>
      </w:r>
      <w:r>
        <w:rPr>
          <w:rFonts w:hint="eastAsia" w:ascii="宋体" w:hAnsi="宋体"/>
          <w:color w:val="auto"/>
          <w:highlight w:val="none"/>
          <w:u w:val="single"/>
        </w:rPr>
        <w:tab/>
      </w:r>
    </w:p>
    <w:p>
      <w:pPr>
        <w:spacing w:line="360" w:lineRule="auto"/>
        <w:ind w:firstLine="610"/>
        <w:rPr>
          <w:rFonts w:ascii="宋体" w:hAnsi="宋体"/>
          <w:color w:val="auto"/>
          <w:highlight w:val="none"/>
        </w:rPr>
      </w:pPr>
      <w:r>
        <w:rPr>
          <w:rFonts w:hint="eastAsia" w:ascii="宋体" w:hAnsi="宋体"/>
          <w:color w:val="auto"/>
          <w:highlight w:val="none"/>
        </w:rPr>
        <w:t>系</w:t>
      </w:r>
      <w:r>
        <w:rPr>
          <w:rFonts w:ascii="宋体" w:hAnsi="宋体"/>
          <w:color w:val="auto"/>
          <w:highlight w:val="none"/>
          <w:u w:val="single"/>
        </w:rPr>
        <w:t xml:space="preserve">          （投标人单位名称）         </w:t>
      </w:r>
      <w:r>
        <w:rPr>
          <w:rFonts w:hint="eastAsia" w:ascii="宋体" w:hAnsi="宋体"/>
          <w:color w:val="auto"/>
          <w:highlight w:val="none"/>
        </w:rPr>
        <w:t>的法定代表人。</w:t>
      </w:r>
    </w:p>
    <w:p>
      <w:pPr>
        <w:spacing w:line="360" w:lineRule="auto"/>
        <w:ind w:firstLine="610"/>
        <w:rPr>
          <w:rFonts w:ascii="宋体" w:hAnsi="宋体"/>
          <w:color w:val="auto"/>
          <w:highlight w:val="none"/>
        </w:rPr>
      </w:pPr>
      <w:r>
        <w:rPr>
          <w:rFonts w:hint="eastAsia" w:ascii="宋体" w:hAnsi="宋体"/>
          <w:color w:val="auto"/>
          <w:highlight w:val="none"/>
        </w:rPr>
        <w:t>特此证明。</w:t>
      </w:r>
    </w:p>
    <w:p>
      <w:pPr>
        <w:tabs>
          <w:tab w:val="left" w:pos="720"/>
          <w:tab w:val="left" w:pos="900"/>
        </w:tabs>
        <w:spacing w:line="360" w:lineRule="auto"/>
        <w:ind w:firstLine="420" w:firstLineChars="200"/>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167005</wp:posOffset>
                </wp:positionV>
                <wp:extent cx="5195570" cy="2771775"/>
                <wp:effectExtent l="4445" t="4445" r="19685" b="5080"/>
                <wp:wrapNone/>
                <wp:docPr id="8" name="文本框 3"/>
                <wp:cNvGraphicFramePr/>
                <a:graphic xmlns:a="http://schemas.openxmlformats.org/drawingml/2006/main">
                  <a:graphicData uri="http://schemas.microsoft.com/office/word/2010/wordprocessingShape">
                    <wps:wsp>
                      <wps:cNvSpPr txBox="1"/>
                      <wps:spPr bwMode="auto">
                        <a:xfrm>
                          <a:off x="0" y="0"/>
                          <a:ext cx="5195570" cy="2771775"/>
                        </a:xfrm>
                        <a:prstGeom prst="rect">
                          <a:avLst/>
                        </a:prstGeom>
                        <a:solidFill>
                          <a:srgbClr val="FFFFFF"/>
                        </a:solidFill>
                        <a:ln w="9525">
                          <a:solidFill>
                            <a:srgbClr val="000000"/>
                          </a:solidFill>
                          <a:miter lim="800000"/>
                        </a:ln>
                        <a:effectLst/>
                      </wps:spPr>
                      <wps:txbx>
                        <w:txbxContent>
                          <w:p>
                            <w:pPr>
                              <w:rPr>
                                <w:rFonts w:ascii="新宋体" w:hAnsi="新宋体" w:eastAsia="新宋体"/>
                                <w:sz w:val="22"/>
                                <w:szCs w:val="22"/>
                              </w:rPr>
                            </w:pPr>
                          </w:p>
                          <w:p>
                            <w:pP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宋体" w:hAnsi="宋体"/>
                              </w:rPr>
                            </w:pPr>
                          </w:p>
                          <w:p>
                            <w:pPr>
                              <w:jc w:val="center"/>
                              <w:rPr>
                                <w:rFonts w:ascii="新宋体" w:hAnsi="新宋体" w:eastAsia="新宋体"/>
                                <w:sz w:val="22"/>
                                <w:szCs w:val="22"/>
                              </w:rPr>
                            </w:pPr>
                            <w:r>
                              <w:rPr>
                                <w:rFonts w:hint="eastAsia" w:ascii="宋体" w:hAnsi="宋体"/>
                              </w:rPr>
                              <w:t>法定代表人身</w:t>
                            </w:r>
                            <w:r>
                              <w:rPr>
                                <w:rFonts w:hint="eastAsia" w:ascii="新宋体" w:hAnsi="新宋体" w:eastAsia="新宋体"/>
                                <w:sz w:val="22"/>
                                <w:szCs w:val="22"/>
                              </w:rPr>
                              <w:t>身份证复印件粘贴处（正方两面）：</w:t>
                            </w: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pPr>
                          </w:p>
                          <w:p/>
                          <w:p/>
                          <w:p/>
                          <w:p/>
                          <w:p/>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3.2pt;margin-top:13.15pt;height:218.25pt;width:409.1pt;z-index:251660288;mso-width-relative:page;mso-height-relative:page;" fillcolor="#FFFFFF" filled="t" stroked="t" coordsize="21600,21600" o:gfxdata="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XrsfzYAAAACQEAAA8AAAAAAAAAAQAgAAAAIgAAAGRycy9kb3ducmV2LnhtbFBLAQIU&#10;ABQAAAAIAIdO4kD75U1yLAIAAGYEAAAOAAAAAAAAAAEAIAAAACcBAABkcnMvZTJvRG9jLnhtbFBL&#10;BQYAAAAABgAGAFkBAADFBQAAAAA=&#10;">
                <v:fill on="t" focussize="0,0"/>
                <v:stroke color="#000000" miterlimit="8" joinstyle="miter"/>
                <v:imagedata o:title=""/>
                <o:lock v:ext="edit" aspectratio="f"/>
                <v:textbox>
                  <w:txbxContent>
                    <w:p>
                      <w:pPr>
                        <w:rPr>
                          <w:rFonts w:ascii="新宋体" w:hAnsi="新宋体" w:eastAsia="新宋体"/>
                          <w:sz w:val="22"/>
                          <w:szCs w:val="22"/>
                        </w:rPr>
                      </w:pPr>
                    </w:p>
                    <w:p>
                      <w:pP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宋体" w:hAnsi="宋体"/>
                        </w:rPr>
                      </w:pPr>
                    </w:p>
                    <w:p>
                      <w:pPr>
                        <w:jc w:val="center"/>
                        <w:rPr>
                          <w:rFonts w:ascii="新宋体" w:hAnsi="新宋体" w:eastAsia="新宋体"/>
                          <w:sz w:val="22"/>
                          <w:szCs w:val="22"/>
                        </w:rPr>
                      </w:pPr>
                      <w:r>
                        <w:rPr>
                          <w:rFonts w:hint="eastAsia" w:ascii="宋体" w:hAnsi="宋体"/>
                        </w:rPr>
                        <w:t>法定代表人身</w:t>
                      </w:r>
                      <w:r>
                        <w:rPr>
                          <w:rFonts w:hint="eastAsia" w:ascii="新宋体" w:hAnsi="新宋体" w:eastAsia="新宋体"/>
                          <w:sz w:val="22"/>
                          <w:szCs w:val="22"/>
                        </w:rPr>
                        <w:t>身份证复印件粘贴处（正方两面）：</w:t>
                      </w: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pPr>
                    </w:p>
                    <w:p/>
                    <w:p/>
                    <w:p/>
                    <w:p/>
                    <w:p/>
                    <w:p/>
                  </w:txbxContent>
                </v:textbox>
              </v:shape>
            </w:pict>
          </mc:Fallback>
        </mc:AlternateContent>
      </w:r>
    </w:p>
    <w:p>
      <w:pPr>
        <w:tabs>
          <w:tab w:val="left" w:pos="720"/>
          <w:tab w:val="left" w:pos="900"/>
        </w:tabs>
        <w:spacing w:line="360" w:lineRule="auto"/>
        <w:ind w:firstLine="420" w:firstLineChars="200"/>
        <w:rPr>
          <w:rFonts w:ascii="宋体" w:hAnsi="宋体"/>
          <w:color w:val="auto"/>
          <w:highlight w:val="none"/>
        </w:rPr>
      </w:pPr>
    </w:p>
    <w:p>
      <w:pPr>
        <w:tabs>
          <w:tab w:val="left" w:pos="720"/>
          <w:tab w:val="left" w:pos="900"/>
        </w:tabs>
        <w:spacing w:line="360" w:lineRule="auto"/>
        <w:ind w:firstLine="3990" w:firstLineChars="1900"/>
        <w:rPr>
          <w:rFonts w:ascii="宋体" w:hAnsi="宋体"/>
          <w:color w:val="auto"/>
          <w:highlight w:val="none"/>
        </w:rPr>
      </w:pPr>
    </w:p>
    <w:p>
      <w:pPr>
        <w:tabs>
          <w:tab w:val="left" w:pos="720"/>
          <w:tab w:val="left" w:pos="900"/>
        </w:tabs>
        <w:spacing w:line="360" w:lineRule="auto"/>
        <w:ind w:firstLine="3990" w:firstLineChars="1900"/>
        <w:rPr>
          <w:rFonts w:ascii="宋体" w:hAnsi="宋体"/>
          <w:color w:val="auto"/>
          <w:highlight w:val="none"/>
        </w:rPr>
      </w:pPr>
    </w:p>
    <w:p>
      <w:pPr>
        <w:tabs>
          <w:tab w:val="left" w:pos="720"/>
          <w:tab w:val="left" w:pos="900"/>
        </w:tabs>
        <w:spacing w:line="360" w:lineRule="auto"/>
        <w:ind w:firstLine="4624" w:firstLineChars="2202"/>
        <w:rPr>
          <w:rFonts w:ascii="宋体" w:hAnsi="宋体"/>
          <w:color w:val="auto"/>
          <w:highlight w:val="none"/>
        </w:rPr>
      </w:pPr>
    </w:p>
    <w:p>
      <w:pPr>
        <w:tabs>
          <w:tab w:val="left" w:pos="720"/>
          <w:tab w:val="left" w:pos="900"/>
        </w:tabs>
        <w:spacing w:line="360" w:lineRule="auto"/>
        <w:ind w:firstLine="4624" w:firstLineChars="2202"/>
        <w:rPr>
          <w:rFonts w:ascii="宋体" w:hAnsi="宋体"/>
          <w:color w:val="auto"/>
          <w:highlight w:val="none"/>
        </w:rPr>
      </w:pPr>
    </w:p>
    <w:p>
      <w:pPr>
        <w:tabs>
          <w:tab w:val="left" w:pos="720"/>
          <w:tab w:val="left" w:pos="900"/>
        </w:tabs>
        <w:spacing w:line="360" w:lineRule="auto"/>
        <w:ind w:firstLine="4624" w:firstLineChars="2202"/>
        <w:rPr>
          <w:rFonts w:ascii="宋体" w:hAnsi="宋体"/>
          <w:color w:val="auto"/>
          <w:highlight w:val="none"/>
        </w:rPr>
      </w:pPr>
    </w:p>
    <w:p>
      <w:pPr>
        <w:spacing w:line="360" w:lineRule="auto"/>
        <w:ind w:left="4620" w:leftChars="2200"/>
        <w:rPr>
          <w:rFonts w:ascii="宋体" w:hAnsi="宋体"/>
          <w:color w:val="auto"/>
          <w:szCs w:val="21"/>
          <w:highlight w:val="none"/>
        </w:rPr>
      </w:pPr>
    </w:p>
    <w:p>
      <w:pPr>
        <w:spacing w:line="360" w:lineRule="auto"/>
        <w:ind w:left="4620" w:leftChars="2200"/>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line="360" w:lineRule="auto"/>
        <w:ind w:left="4620" w:leftChars="2200"/>
        <w:rPr>
          <w:rFonts w:ascii="宋体" w:hAnsi="宋体"/>
          <w:color w:val="auto"/>
          <w:highlight w:val="none"/>
        </w:rPr>
      </w:pPr>
      <w:r>
        <w:rPr>
          <w:rFonts w:hint="eastAsia" w:ascii="宋体" w:hAnsi="宋体"/>
          <w:color w:val="auto"/>
          <w:szCs w:val="21"/>
          <w:highlight w:val="none"/>
        </w:rPr>
        <w:t>日 期：      年  月  日</w:t>
      </w:r>
    </w:p>
    <w:p>
      <w:pPr>
        <w:pStyle w:val="43"/>
        <w:tabs>
          <w:tab w:val="clear" w:pos="840"/>
        </w:tabs>
        <w:adjustRightInd/>
        <w:snapToGrid/>
        <w:spacing w:beforeLines="0" w:afterLines="0" w:line="360" w:lineRule="auto"/>
        <w:rPr>
          <w:color w:val="auto"/>
          <w:highlight w:val="none"/>
        </w:rPr>
      </w:pPr>
      <w:bookmarkStart w:id="127" w:name="_Toc9778"/>
      <w:bookmarkStart w:id="128" w:name="_Toc23243"/>
      <w:bookmarkStart w:id="129" w:name="_Toc5627"/>
      <w:bookmarkStart w:id="130" w:name="_Toc28015"/>
      <w:bookmarkStart w:id="131" w:name="_Toc29370621"/>
      <w:bookmarkStart w:id="132" w:name="_Toc793"/>
      <w:bookmarkStart w:id="133" w:name="_Toc10522"/>
      <w:r>
        <w:rPr>
          <w:rFonts w:hint="eastAsia"/>
          <w:color w:val="auto"/>
          <w:highlight w:val="none"/>
        </w:rPr>
        <w:t>附件四 资格、资质证明文件</w:t>
      </w:r>
      <w:bookmarkEnd w:id="127"/>
      <w:bookmarkEnd w:id="128"/>
      <w:bookmarkEnd w:id="129"/>
      <w:bookmarkEnd w:id="130"/>
      <w:bookmarkEnd w:id="131"/>
      <w:bookmarkEnd w:id="132"/>
      <w:bookmarkEnd w:id="133"/>
    </w:p>
    <w:p>
      <w:pPr>
        <w:spacing w:line="360" w:lineRule="auto"/>
        <w:ind w:right="-11"/>
        <w:jc w:val="center"/>
        <w:rPr>
          <w:b/>
          <w:bCs/>
          <w:color w:val="auto"/>
          <w:sz w:val="24"/>
          <w:szCs w:val="24"/>
          <w:highlight w:val="none"/>
        </w:rPr>
      </w:pPr>
      <w:r>
        <w:rPr>
          <w:rFonts w:hint="eastAsia"/>
          <w:b/>
          <w:bCs/>
          <w:color w:val="auto"/>
          <w:sz w:val="24"/>
          <w:szCs w:val="24"/>
          <w:highlight w:val="none"/>
        </w:rPr>
        <w:t>（一） 关于资格、资质证明文件的声明函</w:t>
      </w:r>
    </w:p>
    <w:p>
      <w:pPr>
        <w:pStyle w:val="8"/>
        <w:overflowPunct w:val="0"/>
        <w:spacing w:line="360" w:lineRule="auto"/>
        <w:ind w:right="-21" w:rightChars="-10"/>
        <w:jc w:val="center"/>
        <w:rPr>
          <w:rFonts w:ascii="宋体" w:hAnsi="宋体"/>
          <w:color w:val="auto"/>
          <w:highlight w:val="none"/>
        </w:rPr>
      </w:pPr>
    </w:p>
    <w:p>
      <w:pPr>
        <w:pStyle w:val="8"/>
        <w:overflowPunct w:val="0"/>
        <w:spacing w:line="360" w:lineRule="auto"/>
        <w:ind w:right="-21" w:rightChars="-10" w:firstLine="0"/>
        <w:rPr>
          <w:rFonts w:ascii="宋体" w:hAnsi="宋体"/>
          <w:color w:val="auto"/>
          <w:highlight w:val="none"/>
        </w:rPr>
      </w:pPr>
      <w:r>
        <w:rPr>
          <w:rFonts w:hint="eastAsia" w:ascii="宋体" w:hAnsi="宋体" w:cs="宋体"/>
          <w:b/>
          <w:color w:val="auto"/>
          <w:sz w:val="24"/>
          <w:szCs w:val="24"/>
          <w:highlight w:val="none"/>
          <w:u w:val="single"/>
        </w:rPr>
        <w:t>瑞安市综合行政执法局、瑞安市公园管理中心（瑞安市绿化养护管理中心）</w:t>
      </w:r>
      <w:r>
        <w:rPr>
          <w:rFonts w:hint="eastAsia" w:ascii="宋体" w:hAnsi="宋体"/>
          <w:color w:val="auto"/>
          <w:highlight w:val="none"/>
        </w:rPr>
        <w:t>：</w:t>
      </w:r>
    </w:p>
    <w:p>
      <w:pPr>
        <w:pStyle w:val="8"/>
        <w:overflowPunct w:val="0"/>
        <w:spacing w:line="360" w:lineRule="auto"/>
        <w:ind w:right="-21" w:rightChars="-10" w:firstLine="480"/>
        <w:rPr>
          <w:rFonts w:ascii="宋体" w:hAnsi="宋体"/>
          <w:color w:val="auto"/>
          <w:highlight w:val="none"/>
        </w:rPr>
      </w:pPr>
    </w:p>
    <w:p>
      <w:pPr>
        <w:pStyle w:val="8"/>
        <w:overflowPunct w:val="0"/>
        <w:spacing w:line="360" w:lineRule="auto"/>
        <w:ind w:right="-21" w:rightChars="-10" w:firstLine="480"/>
        <w:rPr>
          <w:rFonts w:ascii="宋体" w:hAnsi="宋体"/>
          <w:color w:val="auto"/>
          <w:highlight w:val="none"/>
        </w:rPr>
      </w:pPr>
      <w:r>
        <w:rPr>
          <w:rFonts w:hint="eastAsia" w:ascii="宋体" w:hAnsi="宋体"/>
          <w:color w:val="auto"/>
          <w:highlight w:val="none"/>
        </w:rPr>
        <w:t>本公司愿就由贵单位组织实施的项目编号为号的招标活动进行投标。本公司所提交的投标文件中所有关于投标资格的文件、证明和陈述均是真实的、准确的。若与真实情况不符，本公司愿意承担由此而产生的一切后果。</w:t>
      </w:r>
    </w:p>
    <w:p>
      <w:pPr>
        <w:pStyle w:val="8"/>
        <w:overflowPunct w:val="0"/>
        <w:spacing w:line="360" w:lineRule="auto"/>
        <w:ind w:right="-21" w:rightChars="-10" w:firstLine="480"/>
        <w:rPr>
          <w:rFonts w:ascii="宋体" w:hAnsi="宋体"/>
          <w:color w:val="auto"/>
          <w:highlight w:val="none"/>
        </w:rPr>
      </w:pP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日期：      年  月  日</w:t>
      </w:r>
    </w:p>
    <w:p>
      <w:pPr>
        <w:spacing w:line="360" w:lineRule="auto"/>
        <w:ind w:right="-11"/>
        <w:jc w:val="center"/>
        <w:rPr>
          <w:b/>
          <w:bCs/>
          <w:color w:val="auto"/>
          <w:sz w:val="24"/>
          <w:szCs w:val="24"/>
          <w:highlight w:val="none"/>
        </w:rPr>
      </w:pPr>
    </w:p>
    <w:p>
      <w:pPr>
        <w:spacing w:line="360" w:lineRule="auto"/>
        <w:ind w:right="-11"/>
        <w:jc w:val="center"/>
        <w:rPr>
          <w:b/>
          <w:bCs/>
          <w:color w:val="auto"/>
          <w:sz w:val="24"/>
          <w:szCs w:val="24"/>
          <w:highlight w:val="none"/>
        </w:rPr>
      </w:pPr>
      <w:r>
        <w:rPr>
          <w:rFonts w:hint="eastAsia"/>
          <w:b/>
          <w:bCs/>
          <w:color w:val="auto"/>
          <w:sz w:val="24"/>
          <w:szCs w:val="24"/>
          <w:highlight w:val="none"/>
        </w:rPr>
        <w:t>（二） 其它资质证明文件</w:t>
      </w:r>
    </w:p>
    <w:p>
      <w:pPr>
        <w:spacing w:line="360" w:lineRule="auto"/>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rPr>
        <w:tab/>
      </w:r>
      <w:r>
        <w:rPr>
          <w:rFonts w:hint="eastAsia" w:ascii="宋体" w:hAnsi="宋体" w:cs="宋体"/>
          <w:color w:val="auto"/>
          <w:highlight w:val="none"/>
        </w:rPr>
        <w:t>1、</w:t>
      </w:r>
      <w:r>
        <w:rPr>
          <w:rFonts w:hint="eastAsia" w:ascii="宋体" w:hAnsi="宋体"/>
          <w:color w:val="auto"/>
          <w:highlight w:val="none"/>
        </w:rPr>
        <w:t>有效的企业营业执照；</w:t>
      </w:r>
    </w:p>
    <w:p>
      <w:pPr>
        <w:spacing w:line="360" w:lineRule="auto"/>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rPr>
        <w:tab/>
      </w:r>
      <w:r>
        <w:rPr>
          <w:rFonts w:hint="eastAsia" w:ascii="宋体" w:hAnsi="宋体" w:cs="宋体"/>
          <w:color w:val="auto"/>
          <w:highlight w:val="none"/>
        </w:rPr>
        <w:t>2、</w:t>
      </w:r>
      <w:r>
        <w:rPr>
          <w:rFonts w:hint="eastAsia" w:ascii="宋体" w:hAnsi="宋体"/>
          <w:color w:val="auto"/>
          <w:highlight w:val="none"/>
        </w:rPr>
        <w:t>投标供应商有效的相关资质证书；</w:t>
      </w:r>
    </w:p>
    <w:p>
      <w:pPr>
        <w:spacing w:line="360" w:lineRule="auto"/>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rPr>
        <w:tab/>
      </w:r>
      <w:r>
        <w:rPr>
          <w:rFonts w:hint="eastAsia" w:ascii="宋体" w:hAnsi="宋体" w:cs="宋体"/>
          <w:color w:val="auto"/>
          <w:highlight w:val="none"/>
        </w:rPr>
        <w:t>3、</w:t>
      </w:r>
      <w:r>
        <w:rPr>
          <w:rFonts w:hint="eastAsia" w:ascii="宋体" w:hAnsi="宋体"/>
          <w:color w:val="auto"/>
          <w:highlight w:val="none"/>
        </w:rPr>
        <w:t>质量、管理、环保等相关证书（如有，证书必须有效）；</w:t>
      </w:r>
    </w:p>
    <w:p>
      <w:pPr>
        <w:spacing w:line="360" w:lineRule="auto"/>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rPr>
        <w:tab/>
      </w:r>
      <w:r>
        <w:rPr>
          <w:rFonts w:hint="eastAsia" w:ascii="宋体" w:hAnsi="宋体" w:cs="宋体"/>
          <w:color w:val="auto"/>
          <w:highlight w:val="none"/>
        </w:rPr>
        <w:t>4、</w:t>
      </w:r>
      <w:r>
        <w:rPr>
          <w:rFonts w:hint="eastAsia" w:ascii="宋体" w:hAnsi="宋体"/>
          <w:color w:val="auto"/>
          <w:highlight w:val="none"/>
        </w:rPr>
        <w:t>获得市及以上荣誉证书（如有）；</w:t>
      </w:r>
    </w:p>
    <w:p>
      <w:pPr>
        <w:spacing w:line="360" w:lineRule="auto"/>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rPr>
        <w:tab/>
      </w:r>
      <w:r>
        <w:rPr>
          <w:rFonts w:hint="eastAsia" w:ascii="宋体" w:hAnsi="宋体" w:cs="宋体"/>
          <w:color w:val="auto"/>
          <w:highlight w:val="none"/>
        </w:rPr>
        <w:t>5、</w:t>
      </w:r>
      <w:r>
        <w:rPr>
          <w:rFonts w:hint="eastAsia" w:ascii="宋体" w:hAnsi="宋体"/>
          <w:color w:val="auto"/>
          <w:highlight w:val="none"/>
        </w:rPr>
        <w:t>最近</w:t>
      </w:r>
      <w:r>
        <w:rPr>
          <w:rFonts w:ascii="宋体" w:hAnsi="宋体"/>
          <w:color w:val="auto"/>
          <w:highlight w:val="none"/>
        </w:rPr>
        <w:t>3</w:t>
      </w:r>
      <w:r>
        <w:rPr>
          <w:rFonts w:hint="eastAsia" w:ascii="宋体" w:hAnsi="宋体"/>
          <w:color w:val="auto"/>
          <w:highlight w:val="none"/>
        </w:rPr>
        <w:t>年本公司牵涉的主要诉讼案件等（如有）。</w:t>
      </w:r>
    </w:p>
    <w:p>
      <w:pPr>
        <w:spacing w:line="360" w:lineRule="auto"/>
        <w:rPr>
          <w:rFonts w:ascii="宋体" w:hAnsi="宋体"/>
          <w:color w:val="auto"/>
          <w:highlight w:val="none"/>
        </w:rPr>
      </w:pPr>
    </w:p>
    <w:p>
      <w:pPr>
        <w:spacing w:line="360" w:lineRule="auto"/>
        <w:rPr>
          <w:color w:val="auto"/>
          <w:highlight w:val="none"/>
        </w:rPr>
      </w:pPr>
    </w:p>
    <w:p>
      <w:pPr>
        <w:spacing w:line="360" w:lineRule="auto"/>
        <w:jc w:val="both"/>
        <w:rPr>
          <w:b/>
          <w:bCs/>
          <w:color w:val="auto"/>
          <w:sz w:val="24"/>
          <w:szCs w:val="24"/>
          <w:highlight w:val="none"/>
        </w:rPr>
      </w:pPr>
      <w:r>
        <w:rPr>
          <w:rFonts w:hint="eastAsia"/>
          <w:b/>
          <w:bCs/>
          <w:color w:val="auto"/>
          <w:sz w:val="24"/>
          <w:szCs w:val="24"/>
          <w:highlight w:val="none"/>
        </w:rPr>
        <w:t>以上资质证明文件均提供复印件，加盖投标供应商公章。</w:t>
      </w:r>
    </w:p>
    <w:bookmarkEnd w:id="94"/>
    <w:bookmarkEnd w:id="95"/>
    <w:bookmarkEnd w:id="96"/>
    <w:bookmarkEnd w:id="97"/>
    <w:p>
      <w:pPr>
        <w:spacing w:line="360" w:lineRule="auto"/>
        <w:rPr>
          <w:rFonts w:ascii="宋体" w:hAnsi="宋体"/>
          <w:color w:val="auto"/>
          <w:szCs w:val="21"/>
          <w:highlight w:val="none"/>
        </w:rPr>
      </w:pPr>
      <w:bookmarkStart w:id="134" w:name="_Toc433648206"/>
      <w:bookmarkStart w:id="135" w:name="_Toc3943"/>
    </w:p>
    <w:p>
      <w:pPr>
        <w:pStyle w:val="3"/>
        <w:keepNext w:val="0"/>
        <w:keepLines w:val="0"/>
        <w:pageBreakBefore/>
        <w:adjustRightInd/>
        <w:snapToGrid/>
        <w:jc w:val="center"/>
        <w:rPr>
          <w:rFonts w:hAnsi="宋体"/>
          <w:color w:val="auto"/>
          <w:sz w:val="28"/>
          <w:szCs w:val="36"/>
          <w:highlight w:val="none"/>
        </w:rPr>
      </w:pPr>
      <w:bookmarkStart w:id="136" w:name="_Toc4480"/>
      <w:bookmarkStart w:id="137" w:name="_Toc22789"/>
      <w:bookmarkStart w:id="138" w:name="_Toc17295"/>
      <w:bookmarkStart w:id="139" w:name="_Toc6345"/>
      <w:bookmarkStart w:id="140" w:name="_Toc4159"/>
      <w:bookmarkStart w:id="141" w:name="_Toc9215"/>
      <w:bookmarkStart w:id="142" w:name="_Toc29370622"/>
      <w:r>
        <w:rPr>
          <w:rFonts w:hint="eastAsia" w:hAnsi="宋体"/>
          <w:color w:val="auto"/>
          <w:sz w:val="28"/>
          <w:szCs w:val="36"/>
          <w:highlight w:val="none"/>
        </w:rPr>
        <w:t>附件五   建议与少量偏离表</w:t>
      </w:r>
      <w:bookmarkEnd w:id="134"/>
      <w:bookmarkEnd w:id="135"/>
      <w:bookmarkEnd w:id="136"/>
      <w:bookmarkEnd w:id="137"/>
      <w:bookmarkEnd w:id="138"/>
      <w:bookmarkEnd w:id="139"/>
      <w:bookmarkEnd w:id="140"/>
      <w:bookmarkEnd w:id="141"/>
      <w:bookmarkEnd w:id="142"/>
    </w:p>
    <w:tbl>
      <w:tblPr>
        <w:tblStyle w:val="25"/>
        <w:tblW w:w="9248"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27"/>
        <w:gridCol w:w="4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tcBorders>
              <w:top w:val="single" w:color="auto" w:sz="12" w:space="0"/>
              <w:bottom w:val="single" w:color="auto" w:sz="12" w:space="0"/>
            </w:tcBorders>
            <w:vAlign w:val="center"/>
          </w:tcPr>
          <w:p>
            <w:pPr>
              <w:spacing w:line="360" w:lineRule="auto"/>
              <w:jc w:val="center"/>
              <w:rPr>
                <w:rFonts w:ascii="宋体" w:hAnsi="宋体"/>
                <w:b/>
                <w:bCs/>
                <w:color w:val="auto"/>
                <w:highlight w:val="none"/>
              </w:rPr>
            </w:pPr>
            <w:r>
              <w:rPr>
                <w:rFonts w:hint="eastAsia" w:ascii="宋体" w:hAnsi="宋体"/>
                <w:b/>
                <w:bCs/>
                <w:color w:val="auto"/>
                <w:highlight w:val="none"/>
              </w:rPr>
              <w:t>序号</w:t>
            </w:r>
          </w:p>
        </w:tc>
        <w:tc>
          <w:tcPr>
            <w:tcW w:w="4127" w:type="dxa"/>
            <w:tcBorders>
              <w:top w:val="single" w:color="auto" w:sz="12" w:space="0"/>
              <w:bottom w:val="single" w:color="auto" w:sz="12" w:space="0"/>
            </w:tcBorders>
            <w:vAlign w:val="center"/>
          </w:tcPr>
          <w:p>
            <w:pPr>
              <w:spacing w:line="360" w:lineRule="auto"/>
              <w:jc w:val="center"/>
              <w:rPr>
                <w:rFonts w:ascii="宋体" w:hAnsi="宋体"/>
                <w:b/>
                <w:bCs/>
                <w:color w:val="auto"/>
                <w:highlight w:val="none"/>
              </w:rPr>
            </w:pPr>
            <w:r>
              <w:rPr>
                <w:rFonts w:hint="eastAsia" w:ascii="宋体" w:hAnsi="宋体"/>
                <w:b/>
                <w:bCs/>
                <w:color w:val="auto"/>
                <w:highlight w:val="none"/>
              </w:rPr>
              <w:t>招标文件重述</w:t>
            </w:r>
          </w:p>
        </w:tc>
        <w:tc>
          <w:tcPr>
            <w:tcW w:w="4128" w:type="dxa"/>
            <w:tcBorders>
              <w:top w:val="single" w:color="auto" w:sz="12" w:space="0"/>
              <w:bottom w:val="single" w:color="auto" w:sz="12" w:space="0"/>
            </w:tcBorders>
            <w:vAlign w:val="center"/>
          </w:tcPr>
          <w:p>
            <w:pPr>
              <w:spacing w:line="360" w:lineRule="auto"/>
              <w:jc w:val="center"/>
              <w:rPr>
                <w:rFonts w:ascii="宋体" w:hAnsi="宋体"/>
                <w:b/>
                <w:bCs/>
                <w:color w:val="auto"/>
                <w:highlight w:val="none"/>
              </w:rPr>
            </w:pPr>
            <w:r>
              <w:rPr>
                <w:rFonts w:hint="eastAsia" w:ascii="宋体" w:hAnsi="宋体"/>
                <w:b/>
                <w:bCs/>
                <w:color w:val="auto"/>
                <w:highlight w:val="none"/>
              </w:rPr>
              <w:t>投标文件偏离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2" w:hRule="atLeast"/>
        </w:trPr>
        <w:tc>
          <w:tcPr>
            <w:tcW w:w="993" w:type="dxa"/>
            <w:tcBorders>
              <w:top w:val="single" w:color="auto" w:sz="12" w:space="0"/>
            </w:tcBorders>
          </w:tcPr>
          <w:p>
            <w:pPr>
              <w:spacing w:line="360" w:lineRule="auto"/>
              <w:ind w:firstLine="592"/>
              <w:rPr>
                <w:rFonts w:ascii="宋体" w:hAnsi="宋体"/>
                <w:color w:val="auto"/>
                <w:highlight w:val="none"/>
              </w:rPr>
            </w:pPr>
          </w:p>
        </w:tc>
        <w:tc>
          <w:tcPr>
            <w:tcW w:w="4127" w:type="dxa"/>
            <w:tcBorders>
              <w:top w:val="single" w:color="auto" w:sz="12" w:space="0"/>
            </w:tcBorders>
          </w:tcPr>
          <w:p>
            <w:pPr>
              <w:spacing w:line="360" w:lineRule="auto"/>
              <w:ind w:firstLine="592"/>
              <w:rPr>
                <w:rFonts w:ascii="宋体" w:hAnsi="宋体"/>
                <w:color w:val="auto"/>
                <w:highlight w:val="none"/>
              </w:rPr>
            </w:pPr>
          </w:p>
        </w:tc>
        <w:tc>
          <w:tcPr>
            <w:tcW w:w="4128" w:type="dxa"/>
            <w:tcBorders>
              <w:top w:val="single" w:color="auto" w:sz="12" w:space="0"/>
            </w:tcBorders>
          </w:tcPr>
          <w:p>
            <w:pPr>
              <w:spacing w:line="360" w:lineRule="auto"/>
              <w:ind w:firstLine="592"/>
              <w:rPr>
                <w:rFonts w:ascii="宋体" w:hAnsi="宋体"/>
                <w:color w:val="auto"/>
                <w:highlight w:val="none"/>
              </w:rPr>
            </w:pPr>
          </w:p>
        </w:tc>
      </w:tr>
    </w:tbl>
    <w:p>
      <w:pPr>
        <w:pStyle w:val="19"/>
        <w:tabs>
          <w:tab w:val="left" w:pos="525"/>
          <w:tab w:val="left" w:pos="1155"/>
        </w:tabs>
        <w:spacing w:before="0" w:after="0" w:line="360" w:lineRule="auto"/>
        <w:rPr>
          <w:color w:val="auto"/>
          <w:highlight w:val="none"/>
        </w:rPr>
      </w:pPr>
      <w:r>
        <w:rPr>
          <w:rFonts w:hint="eastAsia"/>
          <w:color w:val="auto"/>
          <w:highlight w:val="none"/>
        </w:rPr>
        <w:t>注：如不填写，则视为完全响应采购文件的技术及商务要求。</w:t>
      </w:r>
    </w:p>
    <w:p>
      <w:pPr>
        <w:spacing w:line="360" w:lineRule="auto"/>
        <w:ind w:firstLine="4605"/>
        <w:rPr>
          <w:rFonts w:ascii="宋体" w:hAnsi="宋体"/>
          <w:color w:val="auto"/>
          <w:highlight w:val="none"/>
        </w:rPr>
      </w:pP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日 期：     年  月  日</w:t>
      </w:r>
    </w:p>
    <w:p>
      <w:pPr>
        <w:pStyle w:val="3"/>
        <w:keepNext w:val="0"/>
        <w:keepLines/>
        <w:pageBreakBefore w:val="0"/>
        <w:widowControl w:val="0"/>
        <w:kinsoku/>
        <w:wordWrap/>
        <w:overflowPunct/>
        <w:topLinePunct w:val="0"/>
        <w:bidi w:val="0"/>
        <w:spacing w:beforeLines="100" w:afterLines="100" w:line="400" w:lineRule="atLeast"/>
        <w:jc w:val="center"/>
        <w:textAlignment w:val="auto"/>
        <w:rPr>
          <w:rFonts w:hint="eastAsia" w:hAnsi="宋体" w:cs="宋体"/>
          <w:color w:val="auto"/>
          <w:szCs w:val="24"/>
          <w:highlight w:val="none"/>
        </w:rPr>
      </w:pPr>
      <w:bookmarkStart w:id="143" w:name="_Toc28901"/>
      <w:bookmarkStart w:id="144" w:name="_Toc29370623"/>
      <w:bookmarkStart w:id="145" w:name="_Toc25686"/>
      <w:bookmarkStart w:id="146" w:name="_Toc6152"/>
      <w:bookmarkStart w:id="147" w:name="_Toc16148"/>
      <w:bookmarkStart w:id="148" w:name="_Toc25995"/>
      <w:bookmarkStart w:id="149" w:name="_Toc22226"/>
      <w:bookmarkStart w:id="150" w:name="_Toc25551"/>
      <w:bookmarkStart w:id="151" w:name="_Toc384303171"/>
      <w:bookmarkStart w:id="152" w:name="_Toc433648216"/>
      <w:bookmarkStart w:id="153" w:name="_Toc433648207"/>
      <w:bookmarkStart w:id="154" w:name="_Toc384303166"/>
      <w:bookmarkStart w:id="155" w:name="_Toc16221"/>
      <w:r>
        <w:rPr>
          <w:rFonts w:hint="eastAsia"/>
          <w:color w:val="auto"/>
          <w:highlight w:val="none"/>
        </w:rPr>
        <w:t>附件六</w:t>
      </w:r>
      <w:r>
        <w:rPr>
          <w:rFonts w:hint="eastAsia" w:hAnsi="宋体" w:cs="宋体"/>
          <w:color w:val="auto"/>
          <w:szCs w:val="24"/>
          <w:highlight w:val="none"/>
        </w:rPr>
        <w:t>参加政府采购活动前3年内在经营活动中有/无重大违法记录</w:t>
      </w:r>
    </w:p>
    <w:p>
      <w:pPr>
        <w:pStyle w:val="3"/>
        <w:keepNext w:val="0"/>
        <w:keepLines/>
        <w:pageBreakBefore w:val="0"/>
        <w:widowControl w:val="0"/>
        <w:kinsoku/>
        <w:wordWrap/>
        <w:overflowPunct/>
        <w:topLinePunct w:val="0"/>
        <w:autoSpaceDE/>
        <w:autoSpaceDN/>
        <w:bidi w:val="0"/>
        <w:adjustRightInd w:val="0"/>
        <w:snapToGrid w:val="0"/>
        <w:spacing w:beforeLines="100" w:afterLines="100" w:line="400" w:lineRule="atLeast"/>
        <w:jc w:val="center"/>
        <w:textAlignment w:val="auto"/>
        <w:rPr>
          <w:rFonts w:hAnsi="宋体" w:cs="宋体"/>
          <w:color w:val="auto"/>
          <w:sz w:val="28"/>
          <w:szCs w:val="36"/>
          <w:highlight w:val="none"/>
        </w:rPr>
      </w:pPr>
      <w:r>
        <w:rPr>
          <w:rFonts w:hint="eastAsia" w:hAnsi="宋体" w:cs="宋体"/>
          <w:color w:val="auto"/>
          <w:szCs w:val="24"/>
          <w:highlight w:val="none"/>
        </w:rPr>
        <w:t>（包括行贿犯罪记录）的书面声明</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2"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pageBreakBefore w:val="0"/>
              <w:widowControl w:val="0"/>
              <w:kinsoku/>
              <w:wordWrap/>
              <w:overflowPunct/>
              <w:topLinePunct w:val="0"/>
              <w:bidi w:val="0"/>
              <w:spacing w:line="380" w:lineRule="exact"/>
              <w:jc w:val="center"/>
              <w:textAlignment w:val="auto"/>
              <w:rPr>
                <w:rFonts w:ascii="宋体" w:hAnsi="宋体" w:cs="宋体"/>
                <w:b/>
                <w:bCs/>
                <w:color w:val="auto"/>
                <w:sz w:val="22"/>
                <w:highlight w:val="none"/>
              </w:rPr>
            </w:pPr>
            <w:r>
              <w:rPr>
                <w:rFonts w:hint="eastAsia" w:ascii="宋体" w:hAnsi="宋体" w:cs="宋体"/>
                <w:b/>
                <w:bCs/>
                <w:color w:val="auto"/>
                <w:sz w:val="22"/>
                <w:highlight w:val="none"/>
              </w:rPr>
              <w:t>参加政府采购活动前3年内重大违法记录</w:t>
            </w:r>
          </w:p>
        </w:tc>
        <w:tc>
          <w:tcPr>
            <w:tcW w:w="7397" w:type="dxa"/>
            <w:tcBorders>
              <w:top w:val="single" w:color="auto" w:sz="4" w:space="0"/>
              <w:left w:val="single" w:color="auto" w:sz="4" w:space="0"/>
              <w:bottom w:val="single" w:color="auto" w:sz="4" w:space="0"/>
              <w:right w:val="single" w:color="auto" w:sz="4" w:space="0"/>
            </w:tcBorders>
            <w:noWrap/>
            <w:vAlign w:val="center"/>
          </w:tcPr>
          <w:p>
            <w:pPr>
              <w:keepNext w:val="0"/>
              <w:keepLines/>
              <w:pageBreakBefore w:val="0"/>
              <w:widowControl w:val="0"/>
              <w:kinsoku/>
              <w:wordWrap/>
              <w:overflowPunct/>
              <w:topLinePunct w:val="0"/>
              <w:bidi w:val="0"/>
              <w:spacing w:line="380" w:lineRule="exact"/>
              <w:jc w:val="center"/>
              <w:textAlignment w:val="auto"/>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1843" w:type="dxa"/>
            <w:tcBorders>
              <w:top w:val="single" w:color="auto" w:sz="4" w:space="0"/>
              <w:left w:val="single" w:color="auto" w:sz="4" w:space="0"/>
              <w:right w:val="single" w:color="auto" w:sz="4" w:space="0"/>
            </w:tcBorders>
            <w:noWrap/>
            <w:vAlign w:val="center"/>
          </w:tcPr>
          <w:p>
            <w:pPr>
              <w:keepNext w:val="0"/>
              <w:keepLines/>
              <w:pageBreakBefore w:val="0"/>
              <w:widowControl w:val="0"/>
              <w:kinsoku/>
              <w:wordWrap/>
              <w:overflowPunct/>
              <w:topLinePunct w:val="0"/>
              <w:bidi w:val="0"/>
              <w:spacing w:line="380" w:lineRule="exact"/>
              <w:jc w:val="center"/>
              <w:textAlignment w:val="auto"/>
              <w:rPr>
                <w:rFonts w:ascii="宋体" w:hAnsi="宋体" w:cs="宋体"/>
                <w:b/>
                <w:bCs/>
                <w:color w:val="auto"/>
                <w:sz w:val="22"/>
                <w:highlight w:val="none"/>
              </w:rPr>
            </w:pPr>
            <w:r>
              <w:rPr>
                <w:rFonts w:hint="eastAsia" w:ascii="宋体" w:hAnsi="宋体" w:cs="宋体"/>
                <w:b/>
                <w:bCs/>
                <w:color w:val="auto"/>
                <w:sz w:val="22"/>
                <w:highlight w:val="none"/>
              </w:rPr>
              <w:t>参加政府采购活动前3年内行贿犯罪记录</w:t>
            </w:r>
          </w:p>
        </w:tc>
        <w:tc>
          <w:tcPr>
            <w:tcW w:w="7397" w:type="dxa"/>
            <w:tcBorders>
              <w:top w:val="single" w:color="auto" w:sz="4" w:space="0"/>
              <w:left w:val="single" w:color="auto" w:sz="4" w:space="0"/>
              <w:right w:val="single" w:color="auto" w:sz="4" w:space="0"/>
            </w:tcBorders>
            <w:noWrap/>
            <w:vAlign w:val="center"/>
          </w:tcPr>
          <w:p>
            <w:pPr>
              <w:keepNext w:val="0"/>
              <w:keepLines/>
              <w:pageBreakBefore w:val="0"/>
              <w:widowControl w:val="0"/>
              <w:kinsoku/>
              <w:wordWrap/>
              <w:overflowPunct/>
              <w:topLinePunct w:val="0"/>
              <w:bidi w:val="0"/>
              <w:spacing w:line="380" w:lineRule="exact"/>
              <w:jc w:val="center"/>
              <w:textAlignment w:val="auto"/>
              <w:rPr>
                <w:rFonts w:ascii="宋体" w:hAnsi="宋体" w:cs="宋体"/>
                <w:b/>
                <w:bCs/>
                <w:color w:val="auto"/>
                <w:sz w:val="22"/>
                <w:highlight w:val="none"/>
              </w:rPr>
            </w:pPr>
          </w:p>
        </w:tc>
      </w:tr>
    </w:tbl>
    <w:p>
      <w:pPr>
        <w:keepNext w:val="0"/>
        <w:keepLines/>
        <w:pageBreakBefore w:val="0"/>
        <w:widowControl w:val="0"/>
        <w:kinsoku/>
        <w:wordWrap/>
        <w:overflowPunct/>
        <w:topLinePunct w:val="0"/>
        <w:autoSpaceDE w:val="0"/>
        <w:autoSpaceDN w:val="0"/>
        <w:bidi w:val="0"/>
        <w:adjustRightInd w:val="0"/>
        <w:spacing w:line="360" w:lineRule="exact"/>
        <w:textAlignment w:val="auto"/>
        <w:rPr>
          <w:rFonts w:ascii="宋体" w:hAnsi="宋体" w:cs="宋体"/>
          <w:color w:val="auto"/>
          <w:highlight w:val="none"/>
        </w:rPr>
      </w:pPr>
      <w:r>
        <w:rPr>
          <w:rFonts w:hint="eastAsia" w:ascii="宋体" w:hAnsi="宋体" w:cs="宋体"/>
          <w:color w:val="auto"/>
          <w:highlight w:val="none"/>
        </w:rPr>
        <w:t>备注：1、参加政府采购活动的时间是指供应商参加本项目的政府采购活动时间为准（具体以投标截止时间为准）。</w:t>
      </w:r>
    </w:p>
    <w:p>
      <w:pPr>
        <w:keepNext w:val="0"/>
        <w:keepLines/>
        <w:pageBreakBefore w:val="0"/>
        <w:widowControl w:val="0"/>
        <w:kinsoku/>
        <w:wordWrap/>
        <w:overflowPunct/>
        <w:topLinePunct w:val="0"/>
        <w:autoSpaceDE w:val="0"/>
        <w:autoSpaceDN w:val="0"/>
        <w:bidi w:val="0"/>
        <w:adjustRightInd w:val="0"/>
        <w:spacing w:line="360" w:lineRule="exact"/>
        <w:ind w:firstLine="630" w:firstLineChars="300"/>
        <w:textAlignment w:val="auto"/>
        <w:rPr>
          <w:rFonts w:ascii="宋体" w:hAnsi="宋体" w:cs="宋体"/>
          <w:color w:val="auto"/>
          <w:highlight w:val="none"/>
        </w:rPr>
      </w:pPr>
      <w:r>
        <w:rPr>
          <w:rFonts w:hint="eastAsia" w:ascii="宋体" w:hAnsi="宋体" w:cs="宋体"/>
          <w:color w:val="auto"/>
          <w:highlight w:val="none"/>
        </w:rPr>
        <w:t>2、请投标人按实填写“有”或“无”。若有，需填写具体事项。</w:t>
      </w:r>
    </w:p>
    <w:p>
      <w:pPr>
        <w:keepNext w:val="0"/>
        <w:keepLines/>
        <w:pageBreakBefore w:val="0"/>
        <w:widowControl w:val="0"/>
        <w:kinsoku/>
        <w:wordWrap/>
        <w:overflowPunct/>
        <w:topLinePunct w:val="0"/>
        <w:autoSpaceDE w:val="0"/>
        <w:autoSpaceDN w:val="0"/>
        <w:bidi w:val="0"/>
        <w:adjustRightInd w:val="0"/>
        <w:spacing w:line="360" w:lineRule="exact"/>
        <w:ind w:firstLine="632" w:firstLineChars="300"/>
        <w:textAlignment w:val="auto"/>
        <w:rPr>
          <w:rFonts w:ascii="宋体" w:hAnsi="宋体" w:cs="宋体"/>
          <w:b/>
          <w:color w:val="auto"/>
          <w:highlight w:val="none"/>
        </w:rPr>
      </w:pPr>
      <w:r>
        <w:rPr>
          <w:rFonts w:hint="eastAsia" w:ascii="宋体" w:hAnsi="宋体" w:cs="宋体"/>
          <w:b/>
          <w:color w:val="auto"/>
          <w:highlight w:val="none"/>
        </w:rPr>
        <w:t>3、本表必须提供，否则按无效标处理。</w:t>
      </w:r>
    </w:p>
    <w:p>
      <w:pPr>
        <w:keepNext w:val="0"/>
        <w:keepLines/>
        <w:pageBreakBefore w:val="0"/>
        <w:widowControl w:val="0"/>
        <w:kinsoku/>
        <w:wordWrap/>
        <w:overflowPunct/>
        <w:topLinePunct w:val="0"/>
        <w:bidi w:val="0"/>
        <w:textAlignment w:val="auto"/>
        <w:rPr>
          <w:rFonts w:ascii="宋体" w:hAnsi="宋体" w:cs="宋体"/>
          <w:color w:val="auto"/>
          <w:highlight w:val="none"/>
        </w:rPr>
      </w:pPr>
    </w:p>
    <w:p>
      <w:pPr>
        <w:keepNext w:val="0"/>
        <w:keepLines/>
        <w:pageBreakBefore w:val="0"/>
        <w:widowControl w:val="0"/>
        <w:kinsoku/>
        <w:wordWrap/>
        <w:overflowPunct/>
        <w:topLinePunct w:val="0"/>
        <w:bidi w:val="0"/>
        <w:textAlignment w:val="auto"/>
        <w:rPr>
          <w:rFonts w:ascii="宋体" w:hAnsi="宋体" w:cs="宋体"/>
          <w:color w:val="auto"/>
          <w:highlight w:val="none"/>
        </w:rPr>
      </w:pPr>
    </w:p>
    <w:p>
      <w:pPr>
        <w:keepNext w:val="0"/>
        <w:keepLines/>
        <w:pageBreakBefore w:val="0"/>
        <w:widowControl w:val="0"/>
        <w:kinsoku/>
        <w:wordWrap/>
        <w:overflowPunct/>
        <w:topLinePunct w:val="0"/>
        <w:bidi w:val="0"/>
        <w:spacing w:afterLines="50" w:line="400" w:lineRule="exact"/>
        <w:ind w:left="4620" w:leftChars="2200"/>
        <w:textAlignment w:val="auto"/>
        <w:rPr>
          <w:rFonts w:ascii="宋体" w:hAnsi="宋体" w:cs="宋体"/>
          <w:color w:val="auto"/>
          <w:szCs w:val="21"/>
          <w:highlight w:val="none"/>
        </w:rPr>
      </w:pPr>
      <w:r>
        <w:rPr>
          <w:rFonts w:hint="eastAsia" w:ascii="宋体" w:hAnsi="宋体" w:cs="宋体"/>
          <w:color w:val="auto"/>
          <w:szCs w:val="21"/>
          <w:highlight w:val="none"/>
        </w:rPr>
        <w:t>投标供应商全称（盖章）：</w:t>
      </w:r>
    </w:p>
    <w:p>
      <w:pPr>
        <w:keepNext w:val="0"/>
        <w:keepLines/>
        <w:pageBreakBefore w:val="0"/>
        <w:widowControl w:val="0"/>
        <w:kinsoku/>
        <w:wordWrap/>
        <w:overflowPunct/>
        <w:topLinePunct w:val="0"/>
        <w:bidi w:val="0"/>
        <w:spacing w:afterLines="50" w:line="400"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                                法定代表人或授权代表（签字或盖章）：</w:t>
      </w:r>
    </w:p>
    <w:p>
      <w:pPr>
        <w:keepNext w:val="0"/>
        <w:keepLines/>
        <w:pageBreakBefore w:val="0"/>
        <w:widowControl w:val="0"/>
        <w:kinsoku/>
        <w:wordWrap/>
        <w:overflowPunct/>
        <w:topLinePunct w:val="0"/>
        <w:bidi w:val="0"/>
        <w:spacing w:afterLines="50" w:line="400" w:lineRule="exact"/>
        <w:ind w:left="4620" w:leftChars="2200"/>
        <w:textAlignment w:val="auto"/>
        <w:rPr>
          <w:rFonts w:ascii="宋体" w:hAnsi="宋体" w:cs="宋体"/>
          <w:color w:val="auto"/>
          <w:szCs w:val="21"/>
          <w:highlight w:val="none"/>
        </w:rPr>
      </w:pPr>
      <w:r>
        <w:rPr>
          <w:rFonts w:hint="eastAsia" w:ascii="宋体" w:hAnsi="宋体" w:cs="宋体"/>
          <w:color w:val="auto"/>
          <w:szCs w:val="21"/>
          <w:highlight w:val="none"/>
        </w:rPr>
        <w:t xml:space="preserve">             日    期：</w:t>
      </w:r>
    </w:p>
    <w:p>
      <w:pPr>
        <w:pStyle w:val="43"/>
        <w:tabs>
          <w:tab w:val="clear" w:pos="840"/>
        </w:tabs>
        <w:adjustRightInd/>
        <w:snapToGrid/>
        <w:spacing w:beforeLines="0" w:afterLines="0" w:line="360" w:lineRule="auto"/>
        <w:rPr>
          <w:color w:val="auto"/>
          <w:highlight w:val="none"/>
        </w:rPr>
      </w:pPr>
      <w:r>
        <w:rPr>
          <w:rFonts w:hint="eastAsia"/>
          <w:color w:val="auto"/>
          <w:highlight w:val="none"/>
        </w:rPr>
        <w:t>附件七</w:t>
      </w:r>
      <w:r>
        <w:rPr>
          <w:rFonts w:hint="eastAsia"/>
          <w:color w:val="auto"/>
          <w:highlight w:val="none"/>
        </w:rPr>
        <w:tab/>
      </w:r>
      <w:r>
        <w:rPr>
          <w:rFonts w:hint="eastAsia"/>
          <w:color w:val="auto"/>
          <w:highlight w:val="none"/>
        </w:rPr>
        <w:t>2020年1月1日以来同类项目业绩一览表</w:t>
      </w:r>
      <w:bookmarkEnd w:id="143"/>
      <w:bookmarkEnd w:id="144"/>
      <w:bookmarkEnd w:id="145"/>
      <w:bookmarkEnd w:id="146"/>
      <w:bookmarkEnd w:id="147"/>
      <w:bookmarkEnd w:id="148"/>
      <w:bookmarkEnd w:id="149"/>
      <w:bookmarkEnd w:id="150"/>
      <w:bookmarkEnd w:id="151"/>
      <w:bookmarkEnd w:id="152"/>
    </w:p>
    <w:p>
      <w:pPr>
        <w:spacing w:line="360" w:lineRule="auto"/>
        <w:rPr>
          <w:rFonts w:ascii="宋体" w:hAnsi="宋体"/>
          <w:color w:val="auto"/>
          <w:szCs w:val="21"/>
          <w:highlight w:val="none"/>
        </w:rPr>
      </w:pPr>
      <w:r>
        <w:rPr>
          <w:rFonts w:hint="eastAsia" w:ascii="宋体" w:hAnsi="宋体"/>
          <w:color w:val="auto"/>
          <w:szCs w:val="21"/>
          <w:highlight w:val="none"/>
        </w:rPr>
        <w:t>项目名称：                                     项目编号：</w:t>
      </w:r>
    </w:p>
    <w:tbl>
      <w:tblPr>
        <w:tblStyle w:val="25"/>
        <w:tblW w:w="91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2553"/>
        <w:gridCol w:w="1544"/>
        <w:gridCol w:w="123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12" w:space="0"/>
              <w:left w:val="single" w:color="auto" w:sz="12" w:space="0"/>
              <w:bottom w:val="single" w:color="auto" w:sz="4" w:space="0"/>
              <w:right w:val="single" w:color="auto" w:sz="4" w:space="0"/>
            </w:tcBorders>
            <w:vAlign w:val="center"/>
          </w:tcPr>
          <w:p>
            <w:pPr>
              <w:autoSpaceDE w:val="0"/>
              <w:autoSpaceDN w:val="0"/>
              <w:spacing w:line="360" w:lineRule="auto"/>
              <w:jc w:val="center"/>
              <w:rPr>
                <w:b/>
                <w:bCs/>
                <w:color w:val="auto"/>
                <w:highlight w:val="none"/>
                <w:lang w:val="zh-CN"/>
              </w:rPr>
            </w:pPr>
            <w:r>
              <w:rPr>
                <w:rFonts w:hint="eastAsia"/>
                <w:b/>
                <w:bCs/>
                <w:color w:val="auto"/>
                <w:highlight w:val="none"/>
                <w:lang w:val="zh-CN"/>
              </w:rPr>
              <w:t>用户名称</w:t>
            </w:r>
          </w:p>
        </w:tc>
        <w:tc>
          <w:tcPr>
            <w:tcW w:w="2553"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rPr>
                <w:b/>
                <w:bCs/>
                <w:color w:val="auto"/>
                <w:highlight w:val="none"/>
                <w:lang w:val="zh-CN"/>
              </w:rPr>
            </w:pPr>
            <w:r>
              <w:rPr>
                <w:rFonts w:hint="eastAsia"/>
                <w:b/>
                <w:bCs/>
                <w:color w:val="auto"/>
                <w:highlight w:val="none"/>
                <w:lang w:val="zh-CN"/>
              </w:rPr>
              <w:t>地址、联系电话</w:t>
            </w:r>
          </w:p>
        </w:tc>
        <w:tc>
          <w:tcPr>
            <w:tcW w:w="1544" w:type="dxa"/>
            <w:tcBorders>
              <w:top w:val="single" w:color="auto" w:sz="12" w:space="0"/>
              <w:left w:val="single" w:color="auto" w:sz="4" w:space="0"/>
              <w:right w:val="single" w:color="auto" w:sz="4" w:space="0"/>
            </w:tcBorders>
            <w:vAlign w:val="center"/>
          </w:tcPr>
          <w:p>
            <w:pPr>
              <w:autoSpaceDE w:val="0"/>
              <w:autoSpaceDN w:val="0"/>
              <w:spacing w:line="360" w:lineRule="auto"/>
              <w:jc w:val="center"/>
              <w:rPr>
                <w:b/>
                <w:bCs/>
                <w:color w:val="auto"/>
                <w:highlight w:val="none"/>
                <w:lang w:val="zh-CN"/>
              </w:rPr>
            </w:pPr>
            <w:r>
              <w:rPr>
                <w:rFonts w:hint="eastAsia"/>
                <w:b/>
                <w:bCs/>
                <w:color w:val="auto"/>
                <w:highlight w:val="none"/>
                <w:lang w:val="zh-CN"/>
              </w:rPr>
              <w:t>合同起止时间</w:t>
            </w:r>
          </w:p>
        </w:tc>
        <w:tc>
          <w:tcPr>
            <w:tcW w:w="1230" w:type="dxa"/>
            <w:tcBorders>
              <w:top w:val="single" w:color="auto" w:sz="12" w:space="0"/>
              <w:left w:val="single" w:color="auto" w:sz="4" w:space="0"/>
              <w:right w:val="single" w:color="auto" w:sz="4" w:space="0"/>
            </w:tcBorders>
            <w:vAlign w:val="center"/>
          </w:tcPr>
          <w:p>
            <w:pPr>
              <w:autoSpaceDE w:val="0"/>
              <w:autoSpaceDN w:val="0"/>
              <w:spacing w:line="360" w:lineRule="auto"/>
              <w:jc w:val="center"/>
              <w:rPr>
                <w:b/>
                <w:bCs/>
                <w:color w:val="auto"/>
                <w:highlight w:val="none"/>
                <w:lang w:val="zh-CN"/>
              </w:rPr>
            </w:pPr>
            <w:r>
              <w:rPr>
                <w:rFonts w:hint="eastAsia"/>
                <w:b/>
                <w:bCs/>
                <w:color w:val="auto"/>
                <w:highlight w:val="none"/>
                <w:lang w:val="zh-CN"/>
              </w:rPr>
              <w:t>合同金额</w:t>
            </w:r>
          </w:p>
          <w:p>
            <w:pPr>
              <w:autoSpaceDE w:val="0"/>
              <w:autoSpaceDN w:val="0"/>
              <w:spacing w:line="360" w:lineRule="auto"/>
              <w:jc w:val="center"/>
              <w:rPr>
                <w:bCs/>
                <w:color w:val="auto"/>
                <w:highlight w:val="none"/>
                <w:lang w:val="zh-CN"/>
              </w:rPr>
            </w:pPr>
            <w:r>
              <w:rPr>
                <w:rFonts w:hint="eastAsia"/>
                <w:bCs/>
                <w:color w:val="auto"/>
                <w:highlight w:val="none"/>
                <w:lang w:val="zh-CN"/>
              </w:rPr>
              <w:t>（万元）</w:t>
            </w:r>
          </w:p>
        </w:tc>
        <w:tc>
          <w:tcPr>
            <w:tcW w:w="1345"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360" w:lineRule="auto"/>
              <w:jc w:val="center"/>
              <w:rPr>
                <w:b/>
                <w:bCs/>
                <w:color w:val="auto"/>
                <w:highlight w:val="none"/>
                <w:lang w:val="zh-CN"/>
              </w:rPr>
            </w:pPr>
            <w:r>
              <w:rPr>
                <w:rFonts w:hint="eastAsia"/>
                <w:b/>
                <w:bCs/>
                <w:color w:val="auto"/>
                <w:highlight w:val="none"/>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1544"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230"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spacing w:line="360" w:lineRule="auto"/>
              <w:rPr>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1544"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230"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spacing w:line="360" w:lineRule="auto"/>
              <w:rPr>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1544"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230"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spacing w:line="360" w:lineRule="auto"/>
              <w:rPr>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1544"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230"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spacing w:line="360" w:lineRule="auto"/>
              <w:rPr>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1544"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230"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spacing w:line="360" w:lineRule="auto"/>
              <w:rPr>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1544"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230"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spacing w:line="360" w:lineRule="auto"/>
              <w:rPr>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color w:val="auto"/>
                <w:sz w:val="24"/>
                <w:highlight w:val="none"/>
                <w:lang w:val="zh-CN"/>
              </w:rPr>
            </w:pPr>
          </w:p>
        </w:tc>
        <w:tc>
          <w:tcPr>
            <w:tcW w:w="1544"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230" w:type="dxa"/>
            <w:tcBorders>
              <w:left w:val="single" w:color="auto" w:sz="4" w:space="0"/>
              <w:right w:val="single" w:color="auto" w:sz="4" w:space="0"/>
            </w:tcBorders>
          </w:tcPr>
          <w:p>
            <w:pPr>
              <w:autoSpaceDE w:val="0"/>
              <w:autoSpaceDN w:val="0"/>
              <w:spacing w:line="360" w:lineRule="auto"/>
              <w:rPr>
                <w:color w:val="auto"/>
                <w:sz w:val="24"/>
                <w:highlight w:val="none"/>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spacing w:line="360" w:lineRule="auto"/>
              <w:rPr>
                <w:color w:val="auto"/>
                <w:sz w:val="24"/>
                <w:highlight w:val="none"/>
                <w:lang w:val="zh-CN"/>
              </w:rPr>
            </w:pPr>
          </w:p>
        </w:tc>
      </w:tr>
    </w:tbl>
    <w:p>
      <w:pPr>
        <w:spacing w:line="360" w:lineRule="auto"/>
        <w:ind w:right="-21" w:rightChars="-10"/>
        <w:rPr>
          <w:rFonts w:ascii="Arial" w:hAnsi="Arial" w:cs="Arial"/>
          <w:color w:val="auto"/>
          <w:highlight w:val="none"/>
        </w:rPr>
      </w:pPr>
      <w:r>
        <w:rPr>
          <w:rFonts w:hint="eastAsia" w:ascii="宋体" w:hAnsi="宋体"/>
          <w:b/>
          <w:color w:val="auto"/>
          <w:szCs w:val="21"/>
          <w:highlight w:val="none"/>
        </w:rPr>
        <w:t>注：业绩有效性认定：</w:t>
      </w:r>
      <w:r>
        <w:rPr>
          <w:rFonts w:hint="eastAsia" w:ascii="宋体" w:hAnsi="宋体" w:cs="宋体"/>
          <w:color w:val="auto"/>
          <w:szCs w:val="21"/>
          <w:highlight w:val="none"/>
        </w:rPr>
        <w:t>提供中标通知书和合同复印件加盖公章,或者提供合同和发票复印件加盖公章,并同时提供</w:t>
      </w:r>
      <w:r>
        <w:rPr>
          <w:rFonts w:hint="eastAsia" w:ascii="宋体" w:hAnsi="宋体" w:cs="宋体"/>
          <w:color w:val="auto"/>
          <w:szCs w:val="21"/>
          <w:highlight w:val="none"/>
        </w:rPr>
        <w:t>业主评价证明材料（以业主评价为“满意/好等”为评标依据，否则该项业绩不得分。</w:t>
      </w:r>
      <w:r>
        <w:rPr>
          <w:rFonts w:hint="eastAsia" w:ascii="宋体" w:hAnsi="宋体" w:cs="宋体"/>
          <w:color w:val="auto"/>
          <w:szCs w:val="21"/>
          <w:highlight w:val="none"/>
        </w:rPr>
        <w:t>业绩认定时间以合同签订时间为准。</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left="4620" w:leftChars="2200"/>
        <w:rPr>
          <w:rFonts w:ascii="宋体" w:hAnsi="宋体"/>
          <w:color w:val="auto"/>
          <w:szCs w:val="21"/>
          <w:highlight w:val="none"/>
        </w:rPr>
      </w:pPr>
      <w:r>
        <w:rPr>
          <w:rFonts w:hint="eastAsia" w:ascii="宋体" w:hAnsi="宋体"/>
          <w:color w:val="auto"/>
          <w:szCs w:val="21"/>
          <w:highlight w:val="none"/>
        </w:rPr>
        <w:t>日期：     年  月 日</w:t>
      </w:r>
    </w:p>
    <w:bookmarkEnd w:id="153"/>
    <w:bookmarkEnd w:id="154"/>
    <w:bookmarkEnd w:id="155"/>
    <w:p>
      <w:pPr>
        <w:pStyle w:val="3"/>
        <w:keepNext w:val="0"/>
        <w:keepLines w:val="0"/>
        <w:pageBreakBefore/>
        <w:spacing w:beforeLines="50" w:afterLines="50" w:line="400" w:lineRule="atLeast"/>
        <w:jc w:val="center"/>
        <w:rPr>
          <w:rFonts w:hAnsi="宋体"/>
          <w:bCs/>
          <w:color w:val="auto"/>
          <w:kern w:val="0"/>
          <w:sz w:val="28"/>
          <w:szCs w:val="32"/>
          <w:highlight w:val="none"/>
        </w:rPr>
      </w:pPr>
      <w:bookmarkStart w:id="156" w:name="_Toc20322"/>
      <w:bookmarkStart w:id="157" w:name="_Toc487094471"/>
      <w:bookmarkStart w:id="158" w:name="_Toc384303170"/>
      <w:bookmarkStart w:id="159" w:name="_Toc433648213"/>
      <w:r>
        <w:rPr>
          <w:rFonts w:hint="eastAsia" w:hAnsi="宋体"/>
          <w:bCs/>
          <w:color w:val="auto"/>
          <w:kern w:val="0"/>
          <w:sz w:val="28"/>
          <w:szCs w:val="32"/>
          <w:highlight w:val="none"/>
        </w:rPr>
        <w:t>附件八 项目负责人简历表</w:t>
      </w:r>
      <w:bookmarkEnd w:id="156"/>
    </w:p>
    <w:p>
      <w:pPr>
        <w:spacing w:line="400" w:lineRule="atLeast"/>
        <w:rPr>
          <w:rFonts w:ascii="宋体" w:hAnsi="宋体"/>
          <w:b/>
          <w:color w:val="auto"/>
          <w:szCs w:val="21"/>
          <w:highlight w:val="none"/>
        </w:rPr>
      </w:pPr>
      <w:r>
        <w:rPr>
          <w:rFonts w:hint="eastAsia" w:ascii="宋体" w:hAnsi="宋体"/>
          <w:b/>
          <w:color w:val="auto"/>
          <w:szCs w:val="21"/>
          <w:highlight w:val="none"/>
        </w:rPr>
        <w:t xml:space="preserve">项目名称：   </w:t>
      </w:r>
    </w:p>
    <w:tbl>
      <w:tblPr>
        <w:tblStyle w:val="25"/>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455"/>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977" w:type="dxa"/>
            <w:tcBorders>
              <w:top w:val="single" w:color="auto" w:sz="12" w:space="0"/>
              <w:left w:val="single" w:color="auto" w:sz="12" w:space="0"/>
              <w:bottom w:val="single" w:color="auto" w:sz="4" w:space="0"/>
              <w:right w:val="single" w:color="auto" w:sz="4" w:space="0"/>
            </w:tcBorders>
            <w:noWrap/>
            <w:vAlign w:val="center"/>
          </w:tcPr>
          <w:p>
            <w:pPr>
              <w:pStyle w:val="60"/>
              <w:autoSpaceDE w:val="0"/>
              <w:autoSpaceDN w:val="0"/>
              <w:adjustRightInd w:val="0"/>
              <w:spacing w:line="400" w:lineRule="atLeast"/>
              <w:rPr>
                <w:rFonts w:ascii="Times New Roman" w:hAnsi="Times New Roman"/>
                <w:b/>
                <w:color w:val="auto"/>
                <w:highlight w:val="none"/>
                <w:lang w:val="zh-CN"/>
              </w:rPr>
            </w:pPr>
            <w:r>
              <w:rPr>
                <w:rFonts w:hint="eastAsia" w:ascii="Times New Roman" w:hAnsi="Times New Roman"/>
                <w:b/>
                <w:color w:val="auto"/>
                <w:highlight w:val="none"/>
                <w:lang w:val="zh-CN"/>
              </w:rPr>
              <w:t>姓名</w:t>
            </w:r>
          </w:p>
        </w:tc>
        <w:tc>
          <w:tcPr>
            <w:tcW w:w="2455" w:type="dxa"/>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spacing w:line="400" w:lineRule="atLeast"/>
              <w:jc w:val="center"/>
              <w:rPr>
                <w:color w:val="auto"/>
                <w:highlight w:val="none"/>
                <w:lang w:val="zh-CN"/>
              </w:rPr>
            </w:pPr>
          </w:p>
        </w:tc>
        <w:tc>
          <w:tcPr>
            <w:tcW w:w="4583" w:type="dxa"/>
            <w:tcBorders>
              <w:top w:val="single" w:color="auto" w:sz="12" w:space="0"/>
              <w:left w:val="single" w:color="auto" w:sz="4" w:space="0"/>
              <w:bottom w:val="single" w:color="auto" w:sz="4" w:space="0"/>
              <w:right w:val="single" w:color="auto" w:sz="12" w:space="0"/>
            </w:tcBorders>
            <w:noWrap/>
            <w:vAlign w:val="center"/>
          </w:tcPr>
          <w:p>
            <w:pPr>
              <w:pStyle w:val="60"/>
              <w:autoSpaceDE w:val="0"/>
              <w:autoSpaceDN w:val="0"/>
              <w:adjustRightInd w:val="0"/>
              <w:spacing w:line="400" w:lineRule="atLeast"/>
              <w:rPr>
                <w:rFonts w:ascii="Times New Roman" w:hAnsi="Times New Roman"/>
                <w:b/>
                <w:color w:val="auto"/>
                <w:highlight w:val="none"/>
                <w:lang w:val="zh-CN"/>
              </w:rPr>
            </w:pPr>
            <w:r>
              <w:rPr>
                <w:rFonts w:hint="eastAsia" w:ascii="Times New Roman" w:hAnsi="Times New Roman"/>
                <w:b/>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400" w:lineRule="atLeast"/>
              <w:jc w:val="center"/>
              <w:rPr>
                <w:bCs/>
                <w:color w:val="auto"/>
                <w:highlight w:val="none"/>
                <w:lang w:val="zh-CN"/>
              </w:rPr>
            </w:pPr>
            <w:r>
              <w:rPr>
                <w:rFonts w:hint="eastAsia"/>
                <w:bCs/>
                <w:color w:val="auto"/>
                <w:highlight w:val="none"/>
                <w:lang w:val="zh-CN"/>
              </w:rPr>
              <w:t>性别</w:t>
            </w:r>
          </w:p>
        </w:tc>
        <w:tc>
          <w:tcPr>
            <w:tcW w:w="2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atLeast"/>
              <w:jc w:val="center"/>
              <w:rPr>
                <w:color w:val="auto"/>
                <w:highlight w:val="none"/>
                <w:lang w:val="zh-CN"/>
              </w:rPr>
            </w:pPr>
          </w:p>
        </w:tc>
        <w:tc>
          <w:tcPr>
            <w:tcW w:w="4583" w:type="dxa"/>
            <w:vMerge w:val="restart"/>
            <w:tcBorders>
              <w:top w:val="single" w:color="auto" w:sz="4" w:space="0"/>
              <w:left w:val="single" w:color="auto" w:sz="4" w:space="0"/>
              <w:bottom w:val="single" w:color="auto" w:sz="4" w:space="0"/>
              <w:right w:val="single" w:color="auto" w:sz="12" w:space="0"/>
            </w:tcBorders>
            <w:noWrap/>
            <w:vAlign w:val="center"/>
          </w:tcPr>
          <w:p>
            <w:pPr>
              <w:pStyle w:val="61"/>
              <w:widowControl w:val="0"/>
              <w:autoSpaceDE w:val="0"/>
              <w:autoSpaceDN w:val="0"/>
              <w:adjustRightInd w:val="0"/>
              <w:spacing w:before="0" w:beforeAutospacing="0" w:after="0" w:afterAutospacing="0" w:line="400" w:lineRule="atLeast"/>
              <w:textAlignment w:val="auto"/>
              <w:rPr>
                <w:rFonts w:ascii="宋体" w:hAnsi="Times New Roman"/>
                <w:color w:val="auto"/>
                <w:kern w:val="2"/>
                <w:sz w:val="21"/>
                <w:highlight w:val="none"/>
              </w:rPr>
            </w:pPr>
            <w:r>
              <w:rPr>
                <w:rFonts w:hint="eastAsia" w:ascii="宋体" w:hAnsi="Times New Roman"/>
                <w:color w:val="auto"/>
                <w:kern w:val="2"/>
                <w:sz w:val="21"/>
                <w:highlight w:val="none"/>
              </w:rPr>
              <w:t>注：业绩证明应提供旁证材料</w:t>
            </w:r>
          </w:p>
          <w:p>
            <w:pPr>
              <w:autoSpaceDE w:val="0"/>
              <w:autoSpaceDN w:val="0"/>
              <w:adjustRightInd w:val="0"/>
              <w:spacing w:line="400" w:lineRule="atLeast"/>
              <w:jc w:val="center"/>
              <w:rPr>
                <w:color w:val="auto"/>
                <w:highlight w:val="none"/>
                <w:lang w:val="zh-CN"/>
              </w:rPr>
            </w:pPr>
            <w:r>
              <w:rPr>
                <w:rFonts w:hint="eastAsia" w:ascii="宋体"/>
                <w:color w:val="auto"/>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400" w:lineRule="atLeast"/>
              <w:jc w:val="center"/>
              <w:rPr>
                <w:bCs/>
                <w:color w:val="auto"/>
                <w:highlight w:val="none"/>
                <w:lang w:val="zh-CN"/>
              </w:rPr>
            </w:pPr>
            <w:r>
              <w:rPr>
                <w:rFonts w:hint="eastAsia"/>
                <w:bCs/>
                <w:color w:val="auto"/>
                <w:highlight w:val="none"/>
                <w:lang w:val="zh-CN"/>
              </w:rPr>
              <w:t>年龄</w:t>
            </w:r>
          </w:p>
        </w:tc>
        <w:tc>
          <w:tcPr>
            <w:tcW w:w="2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atLeast"/>
              <w:jc w:val="center"/>
              <w:rPr>
                <w:color w:val="auto"/>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400" w:lineRule="atLeast"/>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400" w:lineRule="atLeast"/>
              <w:jc w:val="center"/>
              <w:rPr>
                <w:bCs/>
                <w:color w:val="auto"/>
                <w:highlight w:val="none"/>
                <w:lang w:val="zh-CN"/>
              </w:rPr>
            </w:pPr>
            <w:r>
              <w:rPr>
                <w:rFonts w:hint="eastAsia"/>
                <w:bCs/>
                <w:color w:val="auto"/>
                <w:highlight w:val="none"/>
                <w:lang w:val="zh-CN"/>
              </w:rPr>
              <w:t>职称</w:t>
            </w:r>
          </w:p>
        </w:tc>
        <w:tc>
          <w:tcPr>
            <w:tcW w:w="2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atLeast"/>
              <w:jc w:val="center"/>
              <w:rPr>
                <w:color w:val="auto"/>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400" w:lineRule="atLeast"/>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400" w:lineRule="atLeast"/>
              <w:jc w:val="center"/>
              <w:rPr>
                <w:bCs/>
                <w:color w:val="auto"/>
                <w:highlight w:val="none"/>
                <w:lang w:val="zh-CN"/>
              </w:rPr>
            </w:pPr>
            <w:r>
              <w:rPr>
                <w:rFonts w:hint="eastAsia"/>
                <w:bCs/>
                <w:color w:val="auto"/>
                <w:highlight w:val="none"/>
                <w:lang w:val="zh-CN"/>
              </w:rPr>
              <w:t>毕业时间</w:t>
            </w:r>
          </w:p>
        </w:tc>
        <w:tc>
          <w:tcPr>
            <w:tcW w:w="2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atLeast"/>
              <w:jc w:val="center"/>
              <w:rPr>
                <w:color w:val="auto"/>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400" w:lineRule="atLeast"/>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400" w:lineRule="atLeast"/>
              <w:jc w:val="center"/>
              <w:rPr>
                <w:bCs/>
                <w:color w:val="auto"/>
                <w:highlight w:val="none"/>
                <w:lang w:val="zh-CN"/>
              </w:rPr>
            </w:pPr>
            <w:r>
              <w:rPr>
                <w:rFonts w:hint="eastAsia"/>
                <w:bCs/>
                <w:color w:val="auto"/>
                <w:highlight w:val="none"/>
                <w:lang w:val="zh-CN"/>
              </w:rPr>
              <w:t>学校专业</w:t>
            </w:r>
          </w:p>
        </w:tc>
        <w:tc>
          <w:tcPr>
            <w:tcW w:w="2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atLeast"/>
              <w:jc w:val="center"/>
              <w:rPr>
                <w:color w:val="auto"/>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400" w:lineRule="atLeast"/>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400" w:lineRule="atLeast"/>
              <w:jc w:val="center"/>
              <w:rPr>
                <w:bCs/>
                <w:color w:val="auto"/>
                <w:highlight w:val="none"/>
                <w:lang w:val="zh-CN"/>
              </w:rPr>
            </w:pPr>
            <w:r>
              <w:rPr>
                <w:rFonts w:hint="eastAsia"/>
                <w:bCs/>
                <w:color w:val="auto"/>
                <w:highlight w:val="none"/>
                <w:lang w:val="zh-CN"/>
              </w:rPr>
              <w:t>联系电话</w:t>
            </w:r>
          </w:p>
        </w:tc>
        <w:tc>
          <w:tcPr>
            <w:tcW w:w="2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atLeast"/>
              <w:jc w:val="center"/>
              <w:rPr>
                <w:color w:val="auto"/>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400" w:lineRule="atLeast"/>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400" w:lineRule="atLeast"/>
              <w:jc w:val="center"/>
              <w:rPr>
                <w:bCs/>
                <w:color w:val="auto"/>
                <w:highlight w:val="none"/>
                <w:lang w:val="zh-CN"/>
              </w:rPr>
            </w:pPr>
            <w:r>
              <w:rPr>
                <w:rFonts w:hint="eastAsia"/>
                <w:bCs/>
                <w:color w:val="auto"/>
                <w:highlight w:val="none"/>
              </w:rPr>
              <w:t>最近三年工作状况</w:t>
            </w:r>
          </w:p>
        </w:tc>
        <w:tc>
          <w:tcPr>
            <w:tcW w:w="24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atLeast"/>
              <w:jc w:val="center"/>
              <w:rPr>
                <w:color w:val="auto"/>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400" w:lineRule="atLeast"/>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400" w:lineRule="atLeast"/>
              <w:jc w:val="center"/>
              <w:rPr>
                <w:bCs/>
                <w:color w:val="auto"/>
                <w:highlight w:val="none"/>
              </w:rPr>
            </w:pPr>
            <w:r>
              <w:rPr>
                <w:rFonts w:hint="eastAsia"/>
                <w:bCs/>
                <w:color w:val="auto"/>
                <w:highlight w:val="none"/>
              </w:rPr>
              <w:t>获奖</w:t>
            </w:r>
            <w:r>
              <w:rPr>
                <w:bCs/>
                <w:color w:val="auto"/>
                <w:highlight w:val="none"/>
              </w:rPr>
              <w:t>情况</w:t>
            </w:r>
          </w:p>
        </w:tc>
        <w:tc>
          <w:tcPr>
            <w:tcW w:w="7038" w:type="dxa"/>
            <w:gridSpan w:val="2"/>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400" w:lineRule="atLeast"/>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77" w:type="dxa"/>
            <w:tcBorders>
              <w:top w:val="single" w:color="auto" w:sz="4" w:space="0"/>
              <w:left w:val="single" w:color="auto" w:sz="12" w:space="0"/>
              <w:bottom w:val="single" w:color="auto" w:sz="12" w:space="0"/>
              <w:right w:val="single" w:color="auto" w:sz="4" w:space="0"/>
            </w:tcBorders>
            <w:noWrap/>
            <w:vAlign w:val="center"/>
          </w:tcPr>
          <w:p>
            <w:pPr>
              <w:autoSpaceDE w:val="0"/>
              <w:autoSpaceDN w:val="0"/>
              <w:adjustRightInd w:val="0"/>
              <w:spacing w:line="400" w:lineRule="atLeast"/>
              <w:jc w:val="center"/>
              <w:rPr>
                <w:bCs/>
                <w:color w:val="auto"/>
                <w:highlight w:val="none"/>
                <w:lang w:val="zh-CN"/>
              </w:rPr>
            </w:pPr>
            <w:r>
              <w:rPr>
                <w:rFonts w:hint="eastAsia"/>
                <w:bCs/>
                <w:color w:val="auto"/>
                <w:highlight w:val="none"/>
                <w:lang w:val="zh-CN"/>
              </w:rPr>
              <w:t>拟在本项目中担任主要工作</w:t>
            </w:r>
          </w:p>
        </w:tc>
        <w:tc>
          <w:tcPr>
            <w:tcW w:w="7038" w:type="dxa"/>
            <w:gridSpan w:val="2"/>
            <w:tcBorders>
              <w:top w:val="single" w:color="auto" w:sz="4" w:space="0"/>
              <w:left w:val="single" w:color="auto" w:sz="4" w:space="0"/>
              <w:bottom w:val="single" w:color="auto" w:sz="12" w:space="0"/>
              <w:right w:val="single" w:color="auto" w:sz="12" w:space="0"/>
            </w:tcBorders>
            <w:noWrap/>
            <w:vAlign w:val="center"/>
          </w:tcPr>
          <w:p>
            <w:pPr>
              <w:autoSpaceDE w:val="0"/>
              <w:autoSpaceDN w:val="0"/>
              <w:adjustRightInd w:val="0"/>
              <w:spacing w:line="400" w:lineRule="atLeast"/>
              <w:jc w:val="center"/>
              <w:rPr>
                <w:color w:val="auto"/>
                <w:highlight w:val="none"/>
                <w:lang w:val="zh-CN"/>
              </w:rPr>
            </w:pPr>
          </w:p>
        </w:tc>
      </w:tr>
    </w:tbl>
    <w:p>
      <w:pPr>
        <w:spacing w:afterLines="50" w:line="400" w:lineRule="atLeast"/>
        <w:rPr>
          <w:rFonts w:ascii="宋体" w:hAnsi="宋体"/>
          <w:b/>
          <w:color w:val="auto"/>
          <w:szCs w:val="21"/>
          <w:highlight w:val="none"/>
        </w:rPr>
      </w:pPr>
      <w:r>
        <w:rPr>
          <w:rFonts w:hint="eastAsia" w:ascii="宋体" w:hAnsi="宋体"/>
          <w:b/>
          <w:color w:val="auto"/>
          <w:szCs w:val="21"/>
          <w:highlight w:val="none"/>
        </w:rPr>
        <w:t xml:space="preserve">   注：</w:t>
      </w:r>
      <w:r>
        <w:rPr>
          <w:b/>
          <w:color w:val="auto"/>
          <w:highlight w:val="none"/>
        </w:rPr>
        <w:t>本表</w:t>
      </w:r>
      <w:r>
        <w:rPr>
          <w:rFonts w:hint="eastAsia"/>
          <w:b/>
          <w:color w:val="auto"/>
          <w:highlight w:val="none"/>
        </w:rPr>
        <w:t>后应附人员身份证、职称证书、毕业证书、业绩、获奖情况证明材料等复印件</w:t>
      </w:r>
      <w:r>
        <w:rPr>
          <w:b/>
          <w:color w:val="auto"/>
          <w:highlight w:val="none"/>
        </w:rPr>
        <w:t>加盖公章</w:t>
      </w:r>
      <w:r>
        <w:rPr>
          <w:rFonts w:hint="eastAsia"/>
          <w:b/>
          <w:color w:val="auto"/>
          <w:highlight w:val="none"/>
        </w:rPr>
        <w:t>。</w:t>
      </w:r>
    </w:p>
    <w:p>
      <w:pPr>
        <w:rPr>
          <w:color w:val="auto"/>
          <w:highlight w:val="none"/>
        </w:rPr>
      </w:pPr>
    </w:p>
    <w:p>
      <w:pPr>
        <w:spacing w:line="400" w:lineRule="exact"/>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法定代表人或授权代表（签字或盖章）：</w:t>
      </w:r>
    </w:p>
    <w:p>
      <w:pPr>
        <w:spacing w:line="360" w:lineRule="auto"/>
        <w:ind w:left="4200" w:leftChars="2000"/>
        <w:rPr>
          <w:b/>
          <w:bCs/>
          <w:color w:val="auto"/>
          <w:sz w:val="30"/>
          <w:highlight w:val="none"/>
        </w:rPr>
      </w:pPr>
      <w:r>
        <w:rPr>
          <w:rFonts w:hint="eastAsia" w:ascii="宋体" w:hAnsi="宋体"/>
          <w:color w:val="auto"/>
          <w:szCs w:val="21"/>
          <w:highlight w:val="none"/>
        </w:rPr>
        <w:t xml:space="preserve">             日    期：</w:t>
      </w:r>
    </w:p>
    <w:bookmarkEnd w:id="157"/>
    <w:p>
      <w:pPr>
        <w:pStyle w:val="3"/>
        <w:keepNext w:val="0"/>
        <w:keepLines w:val="0"/>
        <w:pageBreakBefore/>
        <w:spacing w:beforeLines="50" w:afterLines="50" w:line="400" w:lineRule="atLeast"/>
        <w:jc w:val="center"/>
        <w:rPr>
          <w:rFonts w:hAnsi="宋体" w:cs="宋体"/>
          <w:color w:val="auto"/>
          <w:sz w:val="28"/>
          <w:szCs w:val="36"/>
          <w:highlight w:val="none"/>
        </w:rPr>
      </w:pPr>
      <w:bookmarkStart w:id="160" w:name="_Toc28173"/>
      <w:r>
        <w:rPr>
          <w:rFonts w:hint="eastAsia" w:hAnsi="宋体" w:cs="宋体"/>
          <w:color w:val="auto"/>
          <w:sz w:val="28"/>
          <w:szCs w:val="36"/>
          <w:highlight w:val="none"/>
        </w:rPr>
        <w:t>附件九</w:t>
      </w:r>
      <w:r>
        <w:rPr>
          <w:rFonts w:hint="eastAsia" w:hAnsi="宋体" w:cs="宋体"/>
          <w:bCs/>
          <w:color w:val="auto"/>
          <w:kern w:val="0"/>
          <w:sz w:val="28"/>
          <w:szCs w:val="32"/>
          <w:highlight w:val="none"/>
        </w:rPr>
        <w:t>拟投入本项目管理人员配备情况表</w:t>
      </w:r>
      <w:bookmarkEnd w:id="160"/>
    </w:p>
    <w:p>
      <w:pPr>
        <w:rPr>
          <w:rFonts w:ascii="宋体" w:hAnsi="宋体" w:cs="宋体"/>
          <w:bCs/>
          <w:color w:val="auto"/>
          <w:highlight w:val="none"/>
        </w:rPr>
      </w:pPr>
      <w:r>
        <w:rPr>
          <w:rFonts w:hint="eastAsia" w:ascii="宋体" w:hAnsi="宋体" w:cs="宋体"/>
          <w:b/>
          <w:color w:val="auto"/>
          <w:szCs w:val="21"/>
          <w:highlight w:val="none"/>
        </w:rPr>
        <w:t xml:space="preserve">项目名称：                                            项目编号：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992"/>
        <w:gridCol w:w="992"/>
        <w:gridCol w:w="993"/>
        <w:gridCol w:w="1417"/>
        <w:gridCol w:w="127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242" w:type="dxa"/>
            <w:noWrap/>
            <w:vAlign w:val="center"/>
          </w:tcPr>
          <w:p>
            <w:pPr>
              <w:spacing w:beforeLines="10"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51" w:type="dxa"/>
            <w:noWrap/>
            <w:vAlign w:val="center"/>
          </w:tcPr>
          <w:p>
            <w:pPr>
              <w:spacing w:beforeLines="10" w:line="40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992" w:type="dxa"/>
            <w:noWrap/>
            <w:vAlign w:val="center"/>
          </w:tcPr>
          <w:p>
            <w:pPr>
              <w:spacing w:beforeLines="10" w:line="400" w:lineRule="exac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992" w:type="dxa"/>
            <w:noWrap/>
            <w:vAlign w:val="center"/>
          </w:tcPr>
          <w:p>
            <w:pPr>
              <w:spacing w:beforeLines="10" w:line="40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993" w:type="dxa"/>
            <w:noWrap/>
            <w:vAlign w:val="center"/>
          </w:tcPr>
          <w:p>
            <w:pPr>
              <w:spacing w:beforeLines="10" w:line="40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417" w:type="dxa"/>
            <w:noWrap/>
            <w:vAlign w:val="center"/>
          </w:tcPr>
          <w:p>
            <w:pPr>
              <w:spacing w:beforeLines="10" w:line="400" w:lineRule="exact"/>
              <w:jc w:val="center"/>
              <w:rPr>
                <w:rFonts w:ascii="宋体" w:hAnsi="宋体" w:cs="宋体"/>
                <w:color w:val="auto"/>
                <w:szCs w:val="21"/>
                <w:highlight w:val="none"/>
              </w:rPr>
            </w:pPr>
            <w:r>
              <w:rPr>
                <w:rFonts w:hint="eastAsia" w:ascii="宋体" w:hAnsi="宋体" w:cs="宋体"/>
                <w:color w:val="auto"/>
                <w:szCs w:val="21"/>
                <w:highlight w:val="none"/>
              </w:rPr>
              <w:t>拟担任本项目工作内容</w:t>
            </w:r>
          </w:p>
        </w:tc>
        <w:tc>
          <w:tcPr>
            <w:tcW w:w="1276" w:type="dxa"/>
            <w:noWrap/>
            <w:vAlign w:val="center"/>
          </w:tcPr>
          <w:p>
            <w:pPr>
              <w:spacing w:beforeLines="10" w:line="400" w:lineRule="exact"/>
              <w:jc w:val="center"/>
              <w:rPr>
                <w:rFonts w:ascii="宋体" w:hAnsi="宋体" w:cs="宋体"/>
                <w:color w:val="auto"/>
                <w:szCs w:val="21"/>
                <w:highlight w:val="none"/>
              </w:rPr>
            </w:pPr>
            <w:r>
              <w:rPr>
                <w:rFonts w:hint="eastAsia" w:ascii="宋体" w:hAnsi="宋体" w:cs="宋体"/>
                <w:color w:val="auto"/>
                <w:szCs w:val="21"/>
                <w:highlight w:val="none"/>
              </w:rPr>
              <w:t>资格证书（如有）</w:t>
            </w:r>
          </w:p>
        </w:tc>
        <w:tc>
          <w:tcPr>
            <w:tcW w:w="1743" w:type="dxa"/>
            <w:noWrap/>
            <w:vAlign w:val="center"/>
          </w:tcPr>
          <w:p>
            <w:pPr>
              <w:spacing w:beforeLines="10" w:line="400" w:lineRule="exact"/>
              <w:jc w:val="center"/>
              <w:rPr>
                <w:rFonts w:ascii="宋体" w:hAnsi="宋体" w:cs="宋体"/>
                <w:color w:val="auto"/>
                <w:szCs w:val="21"/>
                <w:highlight w:val="none"/>
              </w:rPr>
            </w:pPr>
            <w:r>
              <w:rPr>
                <w:rFonts w:hint="eastAsia" w:ascii="宋体" w:hAnsi="宋体" w:cs="宋体"/>
                <w:color w:val="auto"/>
                <w:szCs w:val="21"/>
                <w:highlight w:val="none"/>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noWrap/>
          </w:tcPr>
          <w:p>
            <w:pPr>
              <w:spacing w:beforeLines="10" w:line="400" w:lineRule="exact"/>
              <w:rPr>
                <w:rFonts w:ascii="宋体" w:hAnsi="宋体" w:cs="宋体"/>
                <w:color w:val="auto"/>
                <w:szCs w:val="21"/>
                <w:highlight w:val="none"/>
              </w:rPr>
            </w:pPr>
          </w:p>
        </w:tc>
        <w:tc>
          <w:tcPr>
            <w:tcW w:w="851"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2" w:type="dxa"/>
            <w:noWrap/>
          </w:tcPr>
          <w:p>
            <w:pPr>
              <w:spacing w:beforeLines="10" w:line="400" w:lineRule="exact"/>
              <w:rPr>
                <w:rFonts w:ascii="宋体" w:hAnsi="宋体" w:cs="宋体"/>
                <w:color w:val="auto"/>
                <w:szCs w:val="21"/>
                <w:highlight w:val="none"/>
              </w:rPr>
            </w:pPr>
          </w:p>
        </w:tc>
        <w:tc>
          <w:tcPr>
            <w:tcW w:w="993" w:type="dxa"/>
            <w:noWrap/>
          </w:tcPr>
          <w:p>
            <w:pPr>
              <w:spacing w:beforeLines="10" w:line="400" w:lineRule="exact"/>
              <w:rPr>
                <w:rFonts w:ascii="宋体" w:hAnsi="宋体" w:cs="宋体"/>
                <w:color w:val="auto"/>
                <w:szCs w:val="21"/>
                <w:highlight w:val="none"/>
              </w:rPr>
            </w:pPr>
          </w:p>
        </w:tc>
        <w:tc>
          <w:tcPr>
            <w:tcW w:w="1417" w:type="dxa"/>
            <w:noWrap/>
          </w:tcPr>
          <w:p>
            <w:pPr>
              <w:spacing w:beforeLines="10" w:line="400" w:lineRule="exact"/>
              <w:rPr>
                <w:rFonts w:ascii="宋体" w:hAnsi="宋体" w:cs="宋体"/>
                <w:color w:val="auto"/>
                <w:szCs w:val="21"/>
                <w:highlight w:val="none"/>
              </w:rPr>
            </w:pPr>
          </w:p>
        </w:tc>
        <w:tc>
          <w:tcPr>
            <w:tcW w:w="1276" w:type="dxa"/>
            <w:noWrap/>
          </w:tcPr>
          <w:p>
            <w:pPr>
              <w:spacing w:beforeLines="10" w:line="400" w:lineRule="exact"/>
              <w:rPr>
                <w:rFonts w:ascii="宋体" w:hAnsi="宋体" w:cs="宋体"/>
                <w:color w:val="auto"/>
                <w:szCs w:val="21"/>
                <w:highlight w:val="none"/>
              </w:rPr>
            </w:pPr>
          </w:p>
        </w:tc>
        <w:tc>
          <w:tcPr>
            <w:tcW w:w="1743" w:type="dxa"/>
            <w:noWrap/>
          </w:tcPr>
          <w:p>
            <w:pPr>
              <w:spacing w:beforeLines="10" w:line="400" w:lineRule="exact"/>
              <w:rPr>
                <w:rFonts w:ascii="宋体" w:hAnsi="宋体" w:cs="宋体"/>
                <w:color w:val="auto"/>
                <w:szCs w:val="21"/>
                <w:highlight w:val="none"/>
              </w:rPr>
            </w:pPr>
          </w:p>
        </w:tc>
      </w:tr>
    </w:tbl>
    <w:p>
      <w:pPr>
        <w:pStyle w:val="19"/>
        <w:tabs>
          <w:tab w:val="left" w:pos="945"/>
        </w:tabs>
        <w:spacing w:before="0" w:after="0"/>
        <w:rPr>
          <w:rFonts w:cs="宋体"/>
          <w:color w:val="auto"/>
          <w:highlight w:val="none"/>
        </w:rPr>
      </w:pPr>
      <w:r>
        <w:rPr>
          <w:rFonts w:hint="eastAsia" w:cs="宋体"/>
          <w:color w:val="auto"/>
          <w:highlight w:val="none"/>
        </w:rPr>
        <w:t>注：1、本表人员有资格证书的应随表提交职称、资格证书（加盖公章）。</w:t>
      </w:r>
    </w:p>
    <w:p>
      <w:pPr>
        <w:pStyle w:val="19"/>
        <w:tabs>
          <w:tab w:val="left" w:pos="945"/>
        </w:tabs>
        <w:spacing w:before="0" w:after="0"/>
        <w:rPr>
          <w:rFonts w:cs="宋体"/>
          <w:color w:val="auto"/>
          <w:highlight w:val="none"/>
        </w:rPr>
      </w:pPr>
      <w:r>
        <w:rPr>
          <w:rFonts w:hint="eastAsia" w:cs="宋体"/>
          <w:color w:val="auto"/>
          <w:highlight w:val="none"/>
        </w:rPr>
        <w:t xml:space="preserve">    2、列入本表人员如要更换，需经招标人同意；擅自更换或不到位属违约行为。</w:t>
      </w:r>
    </w:p>
    <w:p>
      <w:pPr>
        <w:pStyle w:val="19"/>
        <w:tabs>
          <w:tab w:val="left" w:pos="945"/>
        </w:tabs>
        <w:spacing w:before="0" w:after="0"/>
        <w:rPr>
          <w:rFonts w:cs="宋体"/>
          <w:color w:val="auto"/>
          <w:highlight w:val="none"/>
        </w:rPr>
      </w:pPr>
      <w:r>
        <w:rPr>
          <w:rFonts w:hint="eastAsia" w:cs="宋体"/>
          <w:color w:val="auto"/>
          <w:highlight w:val="none"/>
        </w:rPr>
        <w:t xml:space="preserve">    3、本表格必须提供，不提供此表格将被视为没有实质性响应招标文件。</w:t>
      </w:r>
    </w:p>
    <w:p>
      <w:pPr>
        <w:rPr>
          <w:rFonts w:ascii="宋体" w:hAnsi="宋体" w:cs="宋体"/>
          <w:color w:val="auto"/>
          <w:highlight w:val="none"/>
        </w:rPr>
      </w:pPr>
    </w:p>
    <w:p>
      <w:pPr>
        <w:rPr>
          <w:rFonts w:ascii="宋体" w:hAnsi="宋体" w:cs="宋体"/>
          <w:color w:val="auto"/>
          <w:highlight w:val="none"/>
        </w:rPr>
      </w:pPr>
    </w:p>
    <w:p>
      <w:pPr>
        <w:spacing w:line="400" w:lineRule="exact"/>
        <w:ind w:left="4620" w:leftChars="2200"/>
        <w:rPr>
          <w:rFonts w:ascii="宋体" w:hAnsi="宋体" w:cs="宋体"/>
          <w:color w:val="auto"/>
          <w:szCs w:val="21"/>
          <w:highlight w:val="none"/>
        </w:rPr>
      </w:pPr>
      <w:bookmarkStart w:id="161" w:name="_Toc402258848"/>
      <w:bookmarkStart w:id="162" w:name="_Toc484588206"/>
      <w:bookmarkStart w:id="163" w:name="_Toc4546"/>
      <w:r>
        <w:rPr>
          <w:rFonts w:hint="eastAsia" w:ascii="宋体" w:hAnsi="宋体" w:cs="宋体"/>
          <w:color w:val="auto"/>
          <w:szCs w:val="21"/>
          <w:highlight w:val="none"/>
        </w:rPr>
        <w:t>投标供应商全称（盖章）：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法定代表人或授权代表（签字或盖章）：</w:t>
      </w:r>
    </w:p>
    <w:p>
      <w:pPr>
        <w:spacing w:line="400" w:lineRule="exact"/>
        <w:ind w:left="4620" w:leftChars="2200"/>
        <w:rPr>
          <w:color w:val="auto"/>
          <w:highlight w:val="none"/>
        </w:rPr>
      </w:pPr>
      <w:r>
        <w:rPr>
          <w:rFonts w:hint="eastAsia" w:ascii="宋体" w:hAnsi="宋体" w:cs="宋体"/>
          <w:color w:val="auto"/>
          <w:szCs w:val="21"/>
          <w:highlight w:val="none"/>
        </w:rPr>
        <w:t xml:space="preserve">             日    期：</w:t>
      </w:r>
      <w:bookmarkEnd w:id="158"/>
      <w:bookmarkEnd w:id="159"/>
      <w:bookmarkEnd w:id="161"/>
      <w:bookmarkEnd w:id="162"/>
      <w:bookmarkEnd w:id="163"/>
      <w:bookmarkStart w:id="164" w:name="_Toc14121"/>
      <w:r>
        <w:rPr>
          <w:rFonts w:ascii="宋体" w:hAnsi="宋体" w:cs="宋体"/>
          <w:color w:val="auto"/>
          <w:sz w:val="28"/>
          <w:szCs w:val="28"/>
          <w:highlight w:val="none"/>
        </w:rPr>
        <w:br w:type="page"/>
      </w:r>
      <w:bookmarkStart w:id="165" w:name="_Toc25184"/>
    </w:p>
    <w:p>
      <w:pPr>
        <w:pStyle w:val="3"/>
        <w:keepNext w:val="0"/>
        <w:keepLines w:val="0"/>
        <w:pageBreakBefore/>
        <w:spacing w:beforeLines="100" w:afterLines="100" w:line="400" w:lineRule="atLeast"/>
        <w:jc w:val="center"/>
        <w:rPr>
          <w:rFonts w:hAnsi="宋体" w:cs="宋体"/>
          <w:color w:val="auto"/>
          <w:sz w:val="28"/>
          <w:szCs w:val="36"/>
          <w:highlight w:val="none"/>
        </w:rPr>
      </w:pPr>
      <w:bookmarkStart w:id="166" w:name="_Toc10702"/>
      <w:bookmarkStart w:id="167" w:name="_Toc32266"/>
      <w:bookmarkStart w:id="168" w:name="_Toc10341"/>
      <w:bookmarkStart w:id="169" w:name="_Toc23997"/>
      <w:r>
        <w:rPr>
          <w:rFonts w:hint="eastAsia" w:hAnsi="宋体" w:cs="宋体"/>
          <w:bCs/>
          <w:color w:val="auto"/>
          <w:sz w:val="28"/>
          <w:szCs w:val="28"/>
          <w:highlight w:val="none"/>
        </w:rPr>
        <w:t xml:space="preserve">附件十 </w:t>
      </w:r>
      <w:r>
        <w:rPr>
          <w:rFonts w:hint="eastAsia" w:hAnsi="宋体" w:cs="宋体"/>
          <w:bCs/>
          <w:color w:val="auto"/>
          <w:sz w:val="28"/>
          <w:szCs w:val="28"/>
          <w:highlight w:val="none"/>
        </w:rPr>
        <w:tab/>
      </w:r>
      <w:bookmarkEnd w:id="164"/>
      <w:bookmarkEnd w:id="165"/>
      <w:bookmarkEnd w:id="166"/>
      <w:bookmarkEnd w:id="167"/>
      <w:bookmarkEnd w:id="168"/>
      <w:bookmarkEnd w:id="169"/>
      <w:r>
        <w:rPr>
          <w:rFonts w:hint="eastAsia" w:hAnsi="宋体" w:cs="宋体"/>
          <w:color w:val="auto"/>
          <w:sz w:val="28"/>
          <w:szCs w:val="36"/>
          <w:highlight w:val="none"/>
        </w:rPr>
        <w:t>开标一览表</w:t>
      </w:r>
    </w:p>
    <w:p>
      <w:pPr>
        <w:pStyle w:val="8"/>
        <w:spacing w:line="400" w:lineRule="exact"/>
        <w:ind w:firstLine="0"/>
        <w:rPr>
          <w:rFonts w:ascii="宋体" w:hAnsi="宋体" w:cs="宋体"/>
          <w:color w:val="auto"/>
          <w:highlight w:val="none"/>
        </w:rPr>
      </w:pPr>
      <w:r>
        <w:rPr>
          <w:rFonts w:hint="eastAsia" w:ascii="宋体" w:hAnsi="宋体" w:cs="宋体"/>
          <w:color w:val="auto"/>
          <w:highlight w:val="none"/>
        </w:rPr>
        <w:t>项目名称：                                                      项目编号：</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18"/>
        <w:gridCol w:w="2850"/>
        <w:gridCol w:w="1996"/>
        <w:gridCol w:w="16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8" w:hRule="atLeast"/>
          <w:jc w:val="center"/>
        </w:trPr>
        <w:tc>
          <w:tcPr>
            <w:tcW w:w="2518" w:type="dxa"/>
            <w:noWrap/>
            <w:vAlign w:val="center"/>
          </w:tcPr>
          <w:p>
            <w:pPr>
              <w:ind w:right="-21" w:rightChars="-10"/>
              <w:jc w:val="center"/>
              <w:rPr>
                <w:rFonts w:ascii="宋体" w:hAnsi="宋体" w:cs="宋体"/>
                <w:color w:val="auto"/>
                <w:szCs w:val="21"/>
                <w:highlight w:val="none"/>
              </w:rPr>
            </w:pPr>
            <w:r>
              <w:rPr>
                <w:rFonts w:hint="eastAsia" w:ascii="宋体" w:hAnsi="宋体" w:cs="宋体"/>
                <w:color w:val="auto"/>
                <w:szCs w:val="21"/>
                <w:highlight w:val="none"/>
              </w:rPr>
              <w:t>报价内容</w:t>
            </w:r>
          </w:p>
        </w:tc>
        <w:tc>
          <w:tcPr>
            <w:tcW w:w="2850" w:type="dxa"/>
            <w:noWrap/>
            <w:vAlign w:val="center"/>
          </w:tcPr>
          <w:p>
            <w:pPr>
              <w:ind w:right="-21" w:rightChars="-10"/>
              <w:jc w:val="center"/>
              <w:rPr>
                <w:rFonts w:ascii="宋体" w:hAnsi="宋体" w:cs="宋体"/>
                <w:color w:val="auto"/>
                <w:szCs w:val="21"/>
                <w:highlight w:val="none"/>
              </w:rPr>
            </w:pPr>
            <w:r>
              <w:rPr>
                <w:rFonts w:hint="eastAsia" w:ascii="宋体" w:hAnsi="宋体" w:cs="宋体"/>
                <w:color w:val="auto"/>
                <w:szCs w:val="21"/>
                <w:highlight w:val="none"/>
              </w:rPr>
              <w:t>综合单价（元/月/人）</w:t>
            </w:r>
          </w:p>
        </w:tc>
        <w:tc>
          <w:tcPr>
            <w:tcW w:w="1996" w:type="dxa"/>
            <w:tcBorders>
              <w:right w:val="single" w:color="auto" w:sz="4" w:space="0"/>
            </w:tcBorders>
            <w:noWrap/>
            <w:vAlign w:val="center"/>
          </w:tcPr>
          <w:p>
            <w:pPr>
              <w:ind w:right="-21" w:rightChars="-10"/>
              <w:jc w:val="center"/>
              <w:rPr>
                <w:rFonts w:ascii="宋体" w:hAnsi="宋体" w:cs="宋体"/>
                <w:color w:val="auto"/>
                <w:szCs w:val="21"/>
                <w:highlight w:val="none"/>
              </w:rPr>
            </w:pPr>
            <w:r>
              <w:rPr>
                <w:rFonts w:hint="eastAsia" w:ascii="宋体" w:hAnsi="宋体" w:cs="宋体"/>
                <w:color w:val="auto"/>
                <w:szCs w:val="21"/>
                <w:highlight w:val="none"/>
              </w:rPr>
              <w:t>承包期</w:t>
            </w:r>
          </w:p>
        </w:tc>
        <w:tc>
          <w:tcPr>
            <w:tcW w:w="1699" w:type="dxa"/>
            <w:tcBorders>
              <w:left w:val="single" w:color="auto" w:sz="4" w:space="0"/>
            </w:tcBorders>
            <w:noWrap/>
            <w:vAlign w:val="center"/>
          </w:tcPr>
          <w:p>
            <w:pPr>
              <w:ind w:right="-21" w:rightChars="-10"/>
              <w:jc w:val="center"/>
              <w:rPr>
                <w:rFonts w:ascii="宋体" w:hAnsi="宋体" w:cs="宋体"/>
                <w:color w:val="auto"/>
                <w:szCs w:val="21"/>
                <w:highlight w:val="none"/>
              </w:rPr>
            </w:pPr>
            <w:r>
              <w:rPr>
                <w:rFonts w:hint="eastAsia" w:ascii="宋体" w:hAnsi="宋体" w:cs="宋体"/>
                <w:color w:val="auto"/>
                <w:szCs w:val="21"/>
                <w:highlight w:val="none"/>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0" w:hRule="atLeast"/>
          <w:jc w:val="center"/>
        </w:trPr>
        <w:tc>
          <w:tcPr>
            <w:tcW w:w="2518" w:type="dxa"/>
            <w:noWrap/>
            <w:vAlign w:val="center"/>
          </w:tcPr>
          <w:p>
            <w:pPr>
              <w:ind w:right="-21" w:rightChars="-10"/>
              <w:jc w:val="center"/>
              <w:rPr>
                <w:rFonts w:ascii="宋体" w:hAnsi="宋体" w:cs="宋体"/>
                <w:color w:val="auto"/>
                <w:szCs w:val="21"/>
                <w:highlight w:val="none"/>
              </w:rPr>
            </w:pPr>
            <w:r>
              <w:rPr>
                <w:rFonts w:hint="eastAsia" w:ascii="宋体" w:hAnsi="宋体" w:cs="宋体"/>
                <w:color w:val="auto"/>
                <w:szCs w:val="21"/>
                <w:highlight w:val="none"/>
              </w:rPr>
              <w:t>管理费</w:t>
            </w:r>
          </w:p>
        </w:tc>
        <w:tc>
          <w:tcPr>
            <w:tcW w:w="2850" w:type="dxa"/>
            <w:noWrap/>
            <w:vAlign w:val="center"/>
          </w:tcPr>
          <w:p>
            <w:pPr>
              <w:ind w:right="-21" w:rightChars="-10"/>
              <w:rPr>
                <w:rFonts w:ascii="宋体" w:hAnsi="宋体" w:cs="宋体"/>
                <w:color w:val="auto"/>
                <w:szCs w:val="21"/>
                <w:highlight w:val="none"/>
              </w:rPr>
            </w:pPr>
            <w:r>
              <w:rPr>
                <w:rFonts w:hint="eastAsia" w:ascii="宋体" w:hAnsi="宋体" w:cs="宋体"/>
                <w:color w:val="auto"/>
                <w:szCs w:val="21"/>
                <w:highlight w:val="none"/>
              </w:rPr>
              <w:t>小写：</w:t>
            </w:r>
          </w:p>
          <w:p>
            <w:pPr>
              <w:pStyle w:val="2"/>
              <w:ind w:left="1470" w:right="1470"/>
              <w:rPr>
                <w:color w:val="auto"/>
                <w:highlight w:val="none"/>
              </w:rPr>
            </w:pPr>
          </w:p>
          <w:p>
            <w:pPr>
              <w:ind w:right="-21" w:rightChars="-10"/>
              <w:rPr>
                <w:rFonts w:ascii="宋体" w:hAnsi="宋体" w:cs="宋体"/>
                <w:color w:val="auto"/>
                <w:szCs w:val="21"/>
                <w:highlight w:val="none"/>
              </w:rPr>
            </w:pPr>
            <w:r>
              <w:rPr>
                <w:rFonts w:hint="eastAsia" w:ascii="宋体" w:hAnsi="宋体" w:cs="宋体"/>
                <w:color w:val="auto"/>
                <w:szCs w:val="21"/>
                <w:highlight w:val="none"/>
              </w:rPr>
              <w:t>大写：</w:t>
            </w:r>
          </w:p>
        </w:tc>
        <w:tc>
          <w:tcPr>
            <w:tcW w:w="1996" w:type="dxa"/>
            <w:tcBorders>
              <w:right w:val="single" w:color="auto" w:sz="4" w:space="0"/>
            </w:tcBorders>
            <w:noWrap/>
            <w:vAlign w:val="center"/>
          </w:tcPr>
          <w:p>
            <w:pPr>
              <w:ind w:right="-21" w:rightChars="-10"/>
              <w:jc w:val="center"/>
              <w:rPr>
                <w:rFonts w:ascii="宋体" w:hAnsi="宋体" w:cs="宋体"/>
                <w:color w:val="auto"/>
                <w:szCs w:val="21"/>
                <w:highlight w:val="none"/>
              </w:rPr>
            </w:pPr>
            <w:r>
              <w:rPr>
                <w:rFonts w:hint="eastAsia" w:ascii="宋体" w:hAnsi="宋体"/>
                <w:color w:val="auto"/>
                <w:szCs w:val="21"/>
                <w:highlight w:val="none"/>
              </w:rPr>
              <w:t>三年，</w:t>
            </w:r>
            <w:r>
              <w:rPr>
                <w:rFonts w:hint="eastAsia" w:ascii="Arial" w:hAnsi="Arial"/>
                <w:bCs/>
                <w:color w:val="auto"/>
                <w:szCs w:val="21"/>
                <w:highlight w:val="none"/>
              </w:rPr>
              <w:t>合同按一年一签。</w:t>
            </w:r>
          </w:p>
        </w:tc>
        <w:tc>
          <w:tcPr>
            <w:tcW w:w="1699" w:type="dxa"/>
            <w:tcBorders>
              <w:left w:val="single" w:color="auto" w:sz="4" w:space="0"/>
            </w:tcBorders>
            <w:noWrap/>
            <w:vAlign w:val="center"/>
          </w:tcPr>
          <w:p>
            <w:pPr>
              <w:ind w:right="-21" w:rightChars="-10"/>
              <w:jc w:val="center"/>
              <w:rPr>
                <w:rFonts w:ascii="宋体" w:hAnsi="宋体" w:cs="宋体"/>
                <w:color w:val="auto"/>
                <w:szCs w:val="21"/>
                <w:highlight w:val="none"/>
              </w:rPr>
            </w:pPr>
          </w:p>
        </w:tc>
      </w:tr>
    </w:tbl>
    <w:p>
      <w:pPr>
        <w:spacing w:line="360" w:lineRule="exact"/>
        <w:ind w:firstLine="221" w:firstLineChars="100"/>
        <w:rPr>
          <w:rFonts w:ascii="宋体" w:hAnsi="宋体" w:cs="宋体"/>
          <w:color w:val="auto"/>
          <w:szCs w:val="21"/>
          <w:highlight w:val="none"/>
        </w:rPr>
      </w:pPr>
      <w:r>
        <w:rPr>
          <w:rFonts w:hint="eastAsia" w:ascii="宋体" w:hAnsi="宋体" w:cs="宋体"/>
          <w:b/>
          <w:bCs/>
          <w:color w:val="auto"/>
          <w:sz w:val="22"/>
          <w:highlight w:val="none"/>
        </w:rPr>
        <w:t>备注：</w:t>
      </w:r>
    </w:p>
    <w:p>
      <w:pPr>
        <w:numPr>
          <w:ilvl w:val="0"/>
          <w:numId w:val="30"/>
        </w:numPr>
        <w:spacing w:line="360" w:lineRule="exact"/>
        <w:rPr>
          <w:rFonts w:ascii="宋体" w:hAnsi="宋体" w:cs="宋体"/>
          <w:color w:val="auto"/>
          <w:szCs w:val="21"/>
          <w:highlight w:val="none"/>
        </w:rPr>
      </w:pPr>
      <w:r>
        <w:rPr>
          <w:rFonts w:hint="eastAsia" w:ascii="宋体" w:hAnsi="宋体" w:cs="宋体"/>
          <w:color w:val="auto"/>
          <w:sz w:val="22"/>
          <w:highlight w:val="none"/>
        </w:rPr>
        <w:t>本</w:t>
      </w:r>
      <w:r>
        <w:rPr>
          <w:rFonts w:hint="eastAsia" w:ascii="宋体" w:hAnsi="宋体" w:cs="宋体"/>
          <w:color w:val="auto"/>
          <w:highlight w:val="none"/>
        </w:rPr>
        <w:t>项目的管理费指服务费中除各员工的工资</w:t>
      </w:r>
      <w:r>
        <w:rPr>
          <w:rFonts w:hint="eastAsia" w:ascii="宋体" w:hAnsi="宋体" w:cs="宋体"/>
          <w:color w:val="auto"/>
          <w:szCs w:val="21"/>
          <w:highlight w:val="none"/>
        </w:rPr>
        <w:t>、社保、住房公积金</w:t>
      </w:r>
      <w:r>
        <w:rPr>
          <w:rFonts w:hint="eastAsia" w:ascii="宋体" w:hAnsi="宋体" w:cs="宋体"/>
          <w:color w:val="auto"/>
          <w:highlight w:val="none"/>
        </w:rPr>
        <w:t>及各种福利外的所有相关费用，</w:t>
      </w:r>
      <w:r>
        <w:rPr>
          <w:rFonts w:hint="eastAsia" w:ascii="宋体" w:hAnsi="宋体" w:cs="宋体"/>
          <w:b/>
          <w:color w:val="auto"/>
          <w:highlight w:val="none"/>
        </w:rPr>
        <w:t>管理费综合单价最高限价：</w:t>
      </w:r>
      <w:r>
        <w:rPr>
          <w:rFonts w:ascii="宋体" w:hAnsi="宋体" w:cs="宋体"/>
          <w:b/>
          <w:color w:val="auto"/>
          <w:highlight w:val="none"/>
        </w:rPr>
        <w:t>6</w:t>
      </w:r>
      <w:r>
        <w:rPr>
          <w:rFonts w:hint="eastAsia" w:ascii="宋体" w:hAnsi="宋体" w:cs="宋体"/>
          <w:b/>
          <w:color w:val="auto"/>
          <w:highlight w:val="none"/>
        </w:rPr>
        <w:t>0元/人/月，</w:t>
      </w:r>
      <w:r>
        <w:rPr>
          <w:rFonts w:hint="eastAsia" w:ascii="宋体" w:hAnsi="宋体" w:cs="宋体"/>
          <w:color w:val="auto"/>
          <w:highlight w:val="none"/>
        </w:rPr>
        <w:t>超过综合单价最高限价的，其投标文件作无效标处理</w:t>
      </w:r>
      <w:r>
        <w:rPr>
          <w:rFonts w:hint="eastAsia" w:ascii="宋体" w:hAnsi="宋体" w:cs="宋体"/>
          <w:color w:val="auto"/>
          <w:szCs w:val="21"/>
          <w:highlight w:val="none"/>
        </w:rPr>
        <w:t>。</w:t>
      </w:r>
    </w:p>
    <w:p>
      <w:pPr>
        <w:numPr>
          <w:ilvl w:val="0"/>
          <w:numId w:val="30"/>
        </w:numPr>
        <w:spacing w:line="360" w:lineRule="exact"/>
        <w:rPr>
          <w:rFonts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highlight w:val="none"/>
        </w:rPr>
        <w:t>项目投标报价实行固定综合单价，投标供应商报价应为承包完成上述所规定服务内容的全部工作所发生的管理费（即服务费中除各员工的工资</w:t>
      </w:r>
      <w:r>
        <w:rPr>
          <w:rFonts w:hint="eastAsia" w:ascii="宋体" w:hAnsi="宋体" w:cs="宋体"/>
          <w:color w:val="auto"/>
          <w:szCs w:val="21"/>
          <w:highlight w:val="none"/>
        </w:rPr>
        <w:t>、社保、住房公积金</w:t>
      </w:r>
      <w:r>
        <w:rPr>
          <w:rFonts w:hint="eastAsia" w:ascii="宋体" w:hAnsi="宋体" w:cs="宋体"/>
          <w:color w:val="auto"/>
          <w:highlight w:val="none"/>
        </w:rPr>
        <w:t>及各种福利外的所有相关费用），并承担一切风险责任。投标供应商应从特点，市场行情及自身的能力，技术、管理水平，确定最终报价</w:t>
      </w:r>
      <w:r>
        <w:rPr>
          <w:rFonts w:hint="eastAsia" w:ascii="宋体" w:hAnsi="宋体" w:cs="宋体"/>
          <w:color w:val="auto"/>
          <w:szCs w:val="21"/>
          <w:highlight w:val="none"/>
        </w:rPr>
        <w:t>。</w:t>
      </w:r>
    </w:p>
    <w:p>
      <w:pPr>
        <w:numPr>
          <w:ilvl w:val="0"/>
          <w:numId w:val="30"/>
        </w:numPr>
        <w:spacing w:line="360" w:lineRule="exact"/>
        <w:rPr>
          <w:rFonts w:ascii="宋体" w:hAnsi="宋体" w:cs="宋体"/>
          <w:color w:val="auto"/>
          <w:sz w:val="20"/>
          <w:highlight w:val="none"/>
        </w:rPr>
      </w:pPr>
      <w:r>
        <w:rPr>
          <w:rFonts w:hint="eastAsia" w:ascii="宋体" w:hAnsi="宋体" w:cs="宋体"/>
          <w:color w:val="auto"/>
          <w:szCs w:val="21"/>
          <w:highlight w:val="none"/>
        </w:rPr>
        <w:t>不提供此表格将被视为没有实质性响应招标文件，其投标将被否决。</w:t>
      </w:r>
    </w:p>
    <w:p>
      <w:pPr>
        <w:numPr>
          <w:ilvl w:val="0"/>
          <w:numId w:val="30"/>
        </w:numPr>
        <w:spacing w:line="360" w:lineRule="exact"/>
        <w:rPr>
          <w:rFonts w:ascii="宋体" w:hAnsi="宋体" w:cs="宋体"/>
          <w:color w:val="auto"/>
          <w:sz w:val="20"/>
          <w:highlight w:val="none"/>
        </w:rPr>
      </w:pPr>
      <w:r>
        <w:rPr>
          <w:rFonts w:hint="eastAsia" w:ascii="宋体" w:hAnsi="宋体" w:cs="宋体"/>
          <w:color w:val="auto"/>
          <w:szCs w:val="21"/>
          <w:highlight w:val="none"/>
        </w:rPr>
        <w:t>此表不得自行增减内容。</w:t>
      </w: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5040" w:firstLineChars="2400"/>
        <w:jc w:val="both"/>
        <w:rPr>
          <w:rFonts w:ascii="宋体" w:hAnsi="宋体" w:cs="宋体"/>
          <w:color w:val="auto"/>
          <w:szCs w:val="21"/>
          <w:highlight w:val="none"/>
        </w:rPr>
      </w:pPr>
      <w:r>
        <w:rPr>
          <w:rFonts w:hint="eastAsia" w:ascii="宋体" w:hAnsi="宋体" w:cs="宋体"/>
          <w:color w:val="auto"/>
          <w:szCs w:val="21"/>
          <w:highlight w:val="none"/>
        </w:rPr>
        <w:t>投标供应商全称（盖章）：</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法定代表人或授权代表（签字或盖章）：</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 期：   年  月  日：</w:t>
      </w:r>
    </w:p>
    <w:p>
      <w:pPr>
        <w:spacing w:line="360" w:lineRule="auto"/>
        <w:jc w:val="center"/>
        <w:rPr>
          <w:rFonts w:ascii="宋体" w:hAnsi="宋体" w:cs="宋体"/>
          <w:color w:val="auto"/>
          <w:szCs w:val="21"/>
          <w:highlight w:val="none"/>
        </w:rPr>
        <w:sectPr>
          <w:footerReference r:id="rId10" w:type="first"/>
          <w:footerReference r:id="rId9" w:type="default"/>
          <w:pgSz w:w="11906" w:h="16838"/>
          <w:pgMar w:top="1417" w:right="1417" w:bottom="1417" w:left="1417" w:header="850" w:footer="992" w:gutter="0"/>
          <w:cols w:space="0" w:num="1"/>
          <w:docGrid w:type="lines" w:linePitch="312" w:charSpace="0"/>
        </w:sectPr>
      </w:pPr>
    </w:p>
    <w:p>
      <w:pPr>
        <w:pStyle w:val="3"/>
        <w:keepNext w:val="0"/>
        <w:keepLines w:val="0"/>
        <w:pageBreakBefore/>
        <w:adjustRightInd/>
        <w:snapToGrid/>
        <w:spacing w:beforeLines="50"/>
        <w:jc w:val="center"/>
        <w:rPr>
          <w:rFonts w:ascii="Arial" w:hAnsi="Arial" w:cs="Arial"/>
          <w:color w:val="auto"/>
          <w:sz w:val="28"/>
          <w:szCs w:val="36"/>
          <w:highlight w:val="none"/>
        </w:rPr>
      </w:pPr>
      <w:bookmarkStart w:id="170" w:name="_Toc18868"/>
      <w:bookmarkStart w:id="171" w:name="_Toc510424586"/>
      <w:bookmarkStart w:id="172" w:name="_Toc500755298"/>
      <w:bookmarkStart w:id="173" w:name="_Toc503965177"/>
      <w:bookmarkStart w:id="174" w:name="_Toc501350864"/>
      <w:bookmarkStart w:id="175" w:name="_Toc502668328"/>
      <w:bookmarkStart w:id="176" w:name="_Toc502062549"/>
      <w:bookmarkStart w:id="177" w:name="_Toc25381"/>
      <w:r>
        <w:rPr>
          <w:rFonts w:hint="eastAsia" w:hAnsi="宋体"/>
          <w:color w:val="auto"/>
          <w:sz w:val="28"/>
          <w:szCs w:val="36"/>
          <w:highlight w:val="none"/>
        </w:rPr>
        <w:t>附件十一</w:t>
      </w:r>
      <w:bookmarkEnd w:id="170"/>
      <w:bookmarkEnd w:id="171"/>
      <w:bookmarkEnd w:id="172"/>
      <w:bookmarkEnd w:id="173"/>
      <w:bookmarkEnd w:id="174"/>
      <w:bookmarkEnd w:id="175"/>
      <w:bookmarkEnd w:id="176"/>
      <w:bookmarkEnd w:id="177"/>
      <w:r>
        <w:rPr>
          <w:rFonts w:ascii="Arial" w:hAnsi="Arial" w:cs="Arial"/>
          <w:color w:val="auto"/>
          <w:sz w:val="28"/>
          <w:szCs w:val="36"/>
          <w:highlight w:val="none"/>
        </w:rPr>
        <w:t xml:space="preserve"> 中小企业声明函（服务）</w:t>
      </w:r>
    </w:p>
    <w:p>
      <w:pPr>
        <w:spacing w:beforeLines="50" w:line="360" w:lineRule="auto"/>
        <w:ind w:firstLine="411" w:firstLineChars="196"/>
        <w:rPr>
          <w:rFonts w:ascii="Arial" w:hAnsi="Arial" w:cs="Arial"/>
          <w:color w:val="auto"/>
          <w:szCs w:val="22"/>
          <w:highlight w:val="none"/>
        </w:rPr>
      </w:pPr>
      <w:r>
        <w:rPr>
          <w:rFonts w:ascii="Arial" w:hAnsi="Arial" w:cs="Arial"/>
          <w:color w:val="auto"/>
          <w:szCs w:val="22"/>
          <w:highlight w:val="none"/>
        </w:rPr>
        <w:t>本公司郑重声明，根据《政府采购促进中小企业发展管理办法》（财库﹝2020﹞46 号）的规定，本公司参加</w:t>
      </w:r>
      <w:r>
        <w:rPr>
          <w:rFonts w:ascii="Arial" w:hAnsi="Arial" w:cs="Arial"/>
          <w:i/>
          <w:iCs/>
          <w:color w:val="auto"/>
          <w:szCs w:val="22"/>
          <w:highlight w:val="none"/>
          <w:u w:val="single"/>
        </w:rPr>
        <w:t>（单位名称）</w:t>
      </w:r>
      <w:r>
        <w:rPr>
          <w:rFonts w:ascii="Arial" w:hAnsi="Arial" w:cs="Arial"/>
          <w:color w:val="auto"/>
          <w:szCs w:val="22"/>
          <w:highlight w:val="none"/>
        </w:rPr>
        <w:t>的</w:t>
      </w:r>
      <w:r>
        <w:rPr>
          <w:rFonts w:ascii="Arial" w:hAnsi="Arial" w:cs="Arial"/>
          <w:i/>
          <w:iCs/>
          <w:color w:val="auto"/>
          <w:szCs w:val="22"/>
          <w:highlight w:val="none"/>
          <w:u w:val="single"/>
        </w:rPr>
        <w:t>（项目名称）</w:t>
      </w:r>
      <w:r>
        <w:rPr>
          <w:rFonts w:ascii="Arial" w:hAnsi="Arial" w:cs="Arial"/>
          <w:color w:val="auto"/>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beforeLines="50" w:line="360" w:lineRule="auto"/>
        <w:ind w:firstLine="411" w:firstLineChars="196"/>
        <w:rPr>
          <w:rFonts w:ascii="Arial" w:hAnsi="Arial" w:cs="Arial"/>
          <w:color w:val="auto"/>
          <w:szCs w:val="22"/>
          <w:highlight w:val="none"/>
        </w:rPr>
      </w:pPr>
      <w:r>
        <w:rPr>
          <w:rFonts w:ascii="Arial" w:hAnsi="Arial" w:cs="Arial"/>
          <w:color w:val="auto"/>
          <w:szCs w:val="22"/>
          <w:highlight w:val="none"/>
        </w:rPr>
        <w:t>1.</w:t>
      </w:r>
      <w:r>
        <w:rPr>
          <w:rFonts w:ascii="Arial" w:hAnsi="Arial" w:cs="Arial"/>
          <w:i/>
          <w:iCs/>
          <w:color w:val="auto"/>
          <w:szCs w:val="22"/>
          <w:highlight w:val="none"/>
          <w:u w:val="single"/>
        </w:rPr>
        <w:t xml:space="preserve"> （标的名称） </w:t>
      </w:r>
      <w:r>
        <w:rPr>
          <w:rFonts w:ascii="Arial" w:hAnsi="Arial" w:cs="Arial"/>
          <w:color w:val="auto"/>
          <w:szCs w:val="22"/>
          <w:highlight w:val="none"/>
        </w:rPr>
        <w:t>，属于；承建（承接）企业为</w:t>
      </w:r>
      <w:r>
        <w:rPr>
          <w:rFonts w:ascii="Arial" w:hAnsi="Arial" w:cs="Arial"/>
          <w:i/>
          <w:iCs/>
          <w:color w:val="auto"/>
          <w:szCs w:val="22"/>
          <w:highlight w:val="none"/>
          <w:u w:val="single"/>
        </w:rPr>
        <w:t>（企业名称）</w:t>
      </w:r>
      <w:r>
        <w:rPr>
          <w:rFonts w:ascii="Arial" w:hAnsi="Arial" w:cs="Arial"/>
          <w:color w:val="auto"/>
          <w:szCs w:val="22"/>
          <w:highlight w:val="none"/>
        </w:rPr>
        <w:t>，从业人员人，营业收入为万元，资产总额为万元，属于</w:t>
      </w:r>
      <w:r>
        <w:rPr>
          <w:rFonts w:ascii="Arial" w:hAnsi="Arial" w:cs="Arial"/>
          <w:i/>
          <w:iCs/>
          <w:color w:val="auto"/>
          <w:szCs w:val="22"/>
          <w:highlight w:val="none"/>
          <w:u w:val="single"/>
        </w:rPr>
        <w:t>（中型企业、小型企业、微型企业）</w:t>
      </w:r>
      <w:r>
        <w:rPr>
          <w:rFonts w:ascii="Arial" w:hAnsi="Arial" w:cs="Arial"/>
          <w:color w:val="auto"/>
          <w:szCs w:val="22"/>
          <w:highlight w:val="none"/>
        </w:rPr>
        <w:t xml:space="preserve">； </w:t>
      </w:r>
    </w:p>
    <w:p>
      <w:pPr>
        <w:spacing w:beforeLines="50" w:line="360" w:lineRule="auto"/>
        <w:ind w:firstLine="411" w:firstLineChars="196"/>
        <w:rPr>
          <w:rFonts w:ascii="Arial" w:hAnsi="Arial" w:cs="Arial"/>
          <w:color w:val="auto"/>
          <w:szCs w:val="22"/>
          <w:highlight w:val="none"/>
        </w:rPr>
      </w:pPr>
      <w:r>
        <w:rPr>
          <w:rFonts w:ascii="Arial" w:hAnsi="Arial" w:cs="Arial"/>
          <w:color w:val="auto"/>
          <w:szCs w:val="22"/>
          <w:highlight w:val="none"/>
        </w:rPr>
        <w:t>……</w:t>
      </w:r>
    </w:p>
    <w:p>
      <w:pPr>
        <w:spacing w:beforeLines="50" w:line="360" w:lineRule="auto"/>
        <w:ind w:firstLine="411" w:firstLineChars="196"/>
        <w:rPr>
          <w:rFonts w:ascii="Arial" w:hAnsi="Arial" w:cs="Arial"/>
          <w:color w:val="auto"/>
          <w:szCs w:val="22"/>
          <w:highlight w:val="none"/>
        </w:rPr>
      </w:pPr>
      <w:r>
        <w:rPr>
          <w:rFonts w:ascii="Arial" w:hAnsi="Arial" w:cs="Arial"/>
          <w:color w:val="auto"/>
          <w:szCs w:val="22"/>
          <w:highlight w:val="none"/>
        </w:rPr>
        <w:t>以上企业，不属于大企业的分支机构，不存在控股股东为大企业的情形，也不存在与大企业的负责人为同一人的情形。</w:t>
      </w:r>
    </w:p>
    <w:p>
      <w:pPr>
        <w:spacing w:beforeLines="50" w:line="360" w:lineRule="auto"/>
        <w:ind w:firstLine="411" w:firstLineChars="196"/>
        <w:rPr>
          <w:rFonts w:ascii="Arial" w:hAnsi="Arial" w:cs="Arial"/>
          <w:color w:val="auto"/>
          <w:szCs w:val="22"/>
          <w:highlight w:val="none"/>
        </w:rPr>
      </w:pPr>
      <w:r>
        <w:rPr>
          <w:rFonts w:ascii="Arial" w:hAnsi="Arial" w:cs="Arial"/>
          <w:color w:val="auto"/>
          <w:szCs w:val="22"/>
          <w:highlight w:val="none"/>
        </w:rPr>
        <w:t xml:space="preserve">本企业对上述声明内容的真实性负责。如有虚假，将依法承担相应责任。 </w:t>
      </w:r>
    </w:p>
    <w:p>
      <w:pPr>
        <w:spacing w:beforeLines="50" w:line="360" w:lineRule="auto"/>
        <w:rPr>
          <w:rFonts w:ascii="Arial" w:hAnsi="Arial" w:cs="Arial"/>
          <w:color w:val="auto"/>
          <w:szCs w:val="22"/>
          <w:highlight w:val="none"/>
        </w:rPr>
      </w:pPr>
    </w:p>
    <w:p>
      <w:pPr>
        <w:spacing w:beforeLines="50" w:line="360" w:lineRule="auto"/>
        <w:ind w:firstLine="411" w:firstLineChars="196"/>
        <w:rPr>
          <w:rFonts w:ascii="Arial" w:hAnsi="Arial" w:cs="Arial"/>
          <w:color w:val="auto"/>
          <w:szCs w:val="22"/>
          <w:highlight w:val="none"/>
        </w:rPr>
      </w:pPr>
    </w:p>
    <w:p>
      <w:pPr>
        <w:spacing w:beforeLines="50" w:line="360" w:lineRule="auto"/>
        <w:ind w:firstLine="5239" w:firstLineChars="2495"/>
        <w:rPr>
          <w:rFonts w:ascii="Arial" w:hAnsi="Arial" w:cs="Arial"/>
          <w:color w:val="auto"/>
          <w:szCs w:val="22"/>
          <w:highlight w:val="none"/>
        </w:rPr>
      </w:pPr>
      <w:r>
        <w:rPr>
          <w:rFonts w:ascii="Arial" w:hAnsi="Arial" w:cs="Arial"/>
          <w:color w:val="auto"/>
          <w:szCs w:val="22"/>
          <w:highlight w:val="none"/>
        </w:rPr>
        <w:t xml:space="preserve">企业名称（盖章）： </w:t>
      </w:r>
    </w:p>
    <w:p>
      <w:pPr>
        <w:spacing w:beforeLines="50" w:line="360" w:lineRule="auto"/>
        <w:ind w:firstLine="5239" w:firstLineChars="2495"/>
        <w:rPr>
          <w:rFonts w:ascii="Arial" w:hAnsi="Arial" w:cs="Arial"/>
          <w:color w:val="auto"/>
          <w:szCs w:val="22"/>
          <w:highlight w:val="none"/>
        </w:rPr>
      </w:pPr>
      <w:r>
        <w:rPr>
          <w:rFonts w:ascii="Arial" w:hAnsi="Arial" w:cs="Arial"/>
          <w:color w:val="auto"/>
          <w:szCs w:val="22"/>
          <w:highlight w:val="none"/>
        </w:rPr>
        <w:t xml:space="preserve">日 期： </w:t>
      </w:r>
    </w:p>
    <w:p>
      <w:pPr>
        <w:pStyle w:val="7"/>
        <w:rPr>
          <w:color w:val="auto"/>
          <w:highlight w:val="none"/>
        </w:rPr>
      </w:pPr>
    </w:p>
    <w:p>
      <w:pPr>
        <w:numPr>
          <w:ilvl w:val="0"/>
          <w:numId w:val="31"/>
        </w:numPr>
        <w:tabs>
          <w:tab w:val="left" w:pos="312"/>
        </w:tabs>
        <w:spacing w:beforeLines="50" w:line="360" w:lineRule="auto"/>
        <w:ind w:firstLine="422" w:firstLineChars="200"/>
        <w:rPr>
          <w:rFonts w:ascii="Arial" w:hAnsi="Arial" w:cs="Arial"/>
          <w:b/>
          <w:color w:val="auto"/>
          <w:szCs w:val="21"/>
          <w:highlight w:val="none"/>
        </w:rPr>
      </w:pPr>
      <w:r>
        <w:rPr>
          <w:rFonts w:ascii="Arial" w:hAnsi="Arial" w:cs="Arial"/>
          <w:b/>
          <w:color w:val="auto"/>
          <w:szCs w:val="21"/>
          <w:highlight w:val="none"/>
        </w:rPr>
        <w:t>从业人员、营业收入、资产总额填报上一年度数据，无上一年度数据的新成立企业可不填报。</w:t>
      </w:r>
    </w:p>
    <w:p>
      <w:pPr>
        <w:numPr>
          <w:ilvl w:val="0"/>
          <w:numId w:val="31"/>
        </w:numPr>
        <w:tabs>
          <w:tab w:val="left" w:pos="312"/>
        </w:tabs>
        <w:spacing w:beforeLines="50" w:line="360" w:lineRule="auto"/>
        <w:ind w:firstLine="422" w:firstLineChars="200"/>
        <w:rPr>
          <w:rFonts w:ascii="Arial" w:hAnsi="Arial" w:cs="Arial"/>
          <w:b/>
          <w:color w:val="auto"/>
          <w:szCs w:val="21"/>
          <w:highlight w:val="none"/>
        </w:rPr>
      </w:pPr>
      <w:r>
        <w:rPr>
          <w:rFonts w:ascii="Arial" w:hAnsi="Arial" w:cs="Arial"/>
          <w:b/>
          <w:color w:val="auto"/>
          <w:szCs w:val="21"/>
          <w:highlight w:val="none"/>
        </w:rPr>
        <w:t>如为小微企业投标，需提供中小企业声明函并符合国家统计局关于印发《统计上大中小微型企业划分办法（2017）》规定小、微企业的划型标准规定。</w:t>
      </w:r>
    </w:p>
    <w:p>
      <w:pPr>
        <w:numPr>
          <w:ilvl w:val="0"/>
          <w:numId w:val="31"/>
        </w:numPr>
        <w:tabs>
          <w:tab w:val="left" w:pos="312"/>
        </w:tabs>
        <w:spacing w:beforeLines="50" w:line="360" w:lineRule="auto"/>
        <w:ind w:firstLine="422" w:firstLineChars="200"/>
        <w:rPr>
          <w:rFonts w:ascii="Arial" w:hAnsi="Arial" w:cs="Arial"/>
          <w:b/>
          <w:color w:val="auto"/>
          <w:szCs w:val="21"/>
          <w:highlight w:val="none"/>
        </w:rPr>
      </w:pPr>
      <w:r>
        <w:rPr>
          <w:rFonts w:ascii="Arial" w:hAnsi="Arial" w:cs="Arial"/>
          <w:b/>
          <w:color w:val="auto"/>
          <w:szCs w:val="21"/>
          <w:highlight w:val="none"/>
        </w:rPr>
        <w:t>如成交人声明为小微企业，本声明函将随中标结果同时公告，接受社会监督。</w:t>
      </w:r>
    </w:p>
    <w:p>
      <w:pPr>
        <w:tabs>
          <w:tab w:val="left" w:pos="420"/>
        </w:tabs>
        <w:spacing w:line="360" w:lineRule="auto"/>
        <w:rPr>
          <w:rFonts w:hAnsi="宋体"/>
          <w:color w:val="auto"/>
          <w:szCs w:val="21"/>
          <w:highlight w:val="none"/>
        </w:rPr>
      </w:pPr>
    </w:p>
    <w:p>
      <w:pPr>
        <w:spacing w:line="360" w:lineRule="auto"/>
        <w:jc w:val="center"/>
        <w:rPr>
          <w:color w:val="auto"/>
          <w:highlight w:val="none"/>
        </w:rPr>
      </w:pPr>
      <w:bookmarkStart w:id="178" w:name="OLE_LINK14"/>
      <w:bookmarkStart w:id="179" w:name="OLE_LINK13"/>
      <w:r>
        <w:rPr>
          <w:rFonts w:ascii="宋体" w:hAnsi="宋体"/>
          <w:b/>
          <w:color w:val="auto"/>
          <w:kern w:val="44"/>
          <w:sz w:val="28"/>
          <w:szCs w:val="36"/>
          <w:highlight w:val="none"/>
        </w:rPr>
        <w:br w:type="page"/>
      </w:r>
      <w:r>
        <w:rPr>
          <w:rFonts w:hint="eastAsia" w:ascii="宋体" w:hAnsi="宋体"/>
          <w:b/>
          <w:color w:val="auto"/>
          <w:kern w:val="44"/>
          <w:sz w:val="28"/>
          <w:szCs w:val="36"/>
          <w:highlight w:val="none"/>
        </w:rPr>
        <w:t>附件十二   残疾人福利性单位声明函</w:t>
      </w:r>
    </w:p>
    <w:bookmarkEnd w:id="178"/>
    <w:bookmarkEnd w:id="179"/>
    <w:p>
      <w:pPr>
        <w:spacing w:line="360" w:lineRule="auto"/>
        <w:rPr>
          <w:rFonts w:ascii="仿宋_GB2312" w:eastAsia="仿宋_GB2312"/>
          <w:b/>
          <w:color w:val="auto"/>
          <w:spacing w:val="6"/>
          <w:sz w:val="30"/>
          <w:szCs w:val="30"/>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本单位郑重声明，根据《财政部民政部中国残疾人联合会关于促进残疾人就业政府采购政策的通知》（财库〔</w:t>
      </w:r>
      <w:r>
        <w:rPr>
          <w:rFonts w:ascii="宋体" w:hAnsi="宋体"/>
          <w:color w:val="auto"/>
          <w:highlight w:val="none"/>
        </w:rPr>
        <w:t>2017</w:t>
      </w:r>
      <w:r>
        <w:rPr>
          <w:rFonts w:hint="eastAsia" w:ascii="宋体" w:hAnsi="宋体"/>
          <w:color w:val="auto"/>
          <w:highlight w:val="none"/>
        </w:rPr>
        <w:t>〕</w:t>
      </w:r>
      <w:r>
        <w:rPr>
          <w:rFonts w:ascii="宋体" w:hAnsi="宋体"/>
          <w:color w:val="auto"/>
          <w:highlight w:val="none"/>
        </w:rPr>
        <w:t xml:space="preserve"> 141</w:t>
      </w:r>
      <w:r>
        <w:rPr>
          <w:rFonts w:hint="eastAsia" w:ascii="宋体" w:hAnsi="宋体"/>
          <w:color w:val="auto"/>
          <w:highlight w:val="none"/>
        </w:rPr>
        <w:t>号）的规定，本单位为符合条件的残疾人福利性单位，且本单位参加</w:t>
      </w:r>
      <w:r>
        <w:rPr>
          <w:rFonts w:ascii="宋体" w:hAnsi="宋体"/>
          <w:color w:val="auto"/>
          <w:highlight w:val="none"/>
        </w:rPr>
        <w:t>______</w:t>
      </w:r>
      <w:r>
        <w:rPr>
          <w:rFonts w:hint="eastAsia" w:ascii="宋体" w:hAnsi="宋体"/>
          <w:color w:val="auto"/>
          <w:highlight w:val="none"/>
        </w:rPr>
        <w:t>单位的</w:t>
      </w:r>
      <w:r>
        <w:rPr>
          <w:rFonts w:ascii="宋体" w:hAnsi="宋体"/>
          <w:color w:val="auto"/>
          <w:highlight w:val="none"/>
        </w:rPr>
        <w:t>______</w:t>
      </w:r>
      <w:r>
        <w:rPr>
          <w:rFonts w:hint="eastAsia" w:ascii="宋体" w:hAnsi="宋体"/>
          <w:color w:val="auto"/>
          <w:highlight w:val="none"/>
        </w:rPr>
        <w:t>项目采购活动提供本单位制造的货物（由本单位承担工程</w:t>
      </w:r>
      <w:r>
        <w:rPr>
          <w:rFonts w:ascii="宋体" w:hAnsi="宋体"/>
          <w:color w:val="auto"/>
          <w:highlight w:val="none"/>
        </w:rPr>
        <w:t>/</w:t>
      </w:r>
      <w:r>
        <w:rPr>
          <w:rFonts w:hint="eastAsia" w:ascii="宋体" w:hAnsi="宋体"/>
          <w:color w:val="auto"/>
          <w:highlight w:val="none"/>
        </w:rPr>
        <w:t>提供服务），或者提供其他残疾人福利性单位制造的货物（不包括使用非残疾人福利性单位注册商标的货物）。</w:t>
      </w:r>
    </w:p>
    <w:p>
      <w:pPr>
        <w:spacing w:line="360" w:lineRule="auto"/>
        <w:ind w:firstLine="420" w:firstLineChars="200"/>
        <w:rPr>
          <w:rFonts w:ascii="宋体" w:hAnsi="宋体"/>
          <w:color w:val="auto"/>
          <w:highlight w:val="none"/>
        </w:rPr>
      </w:pPr>
      <w:r>
        <w:rPr>
          <w:rFonts w:hint="eastAsia" w:ascii="宋体" w:hAnsi="宋体"/>
          <w:color w:val="auto"/>
          <w:highlight w:val="none"/>
        </w:rPr>
        <w:t>本单位对上述声明的真实性负责。如有虚假，将依法承担相应责任。</w:t>
      </w:r>
    </w:p>
    <w:p>
      <w:pPr>
        <w:spacing w:line="360" w:lineRule="auto"/>
        <w:ind w:firstLine="624" w:firstLineChars="200"/>
        <w:rPr>
          <w:rFonts w:ascii="仿宋_GB2312" w:eastAsia="仿宋_GB2312"/>
          <w:color w:val="auto"/>
          <w:spacing w:val="6"/>
          <w:sz w:val="30"/>
          <w:szCs w:val="30"/>
          <w:highlight w:val="none"/>
        </w:rPr>
      </w:pPr>
    </w:p>
    <w:p>
      <w:pPr>
        <w:tabs>
          <w:tab w:val="left" w:pos="4860"/>
        </w:tabs>
        <w:spacing w:line="360" w:lineRule="auto"/>
        <w:ind w:right="1560" w:firstLine="420" w:firstLineChars="200"/>
        <w:jc w:val="center"/>
        <w:rPr>
          <w:rFonts w:ascii="宋体" w:hAnsi="宋体"/>
          <w:color w:val="auto"/>
          <w:highlight w:val="none"/>
        </w:rPr>
      </w:pPr>
      <w:r>
        <w:rPr>
          <w:rFonts w:hint="eastAsia" w:ascii="宋体" w:hAnsi="宋体"/>
          <w:color w:val="auto"/>
          <w:highlight w:val="none"/>
        </w:rPr>
        <w:t>单位名称                （盖章）：</w:t>
      </w:r>
    </w:p>
    <w:p>
      <w:pPr>
        <w:spacing w:line="360" w:lineRule="auto"/>
        <w:rPr>
          <w:rFonts w:ascii="宋体" w:hAnsi="宋体"/>
          <w:color w:val="auto"/>
          <w:highlight w:val="none"/>
        </w:rPr>
      </w:pPr>
      <w:r>
        <w:rPr>
          <w:rFonts w:hint="eastAsia" w:ascii="宋体" w:hAnsi="宋体"/>
          <w:color w:val="auto"/>
          <w:highlight w:val="none"/>
        </w:rPr>
        <w:t xml:space="preserve">                                                 日期：</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numPr>
          <w:ilvl w:val="1"/>
          <w:numId w:val="32"/>
        </w:numPr>
        <w:tabs>
          <w:tab w:val="left" w:pos="420"/>
          <w:tab w:val="clear" w:pos="1244"/>
        </w:tabs>
        <w:spacing w:line="360" w:lineRule="auto"/>
        <w:ind w:left="420"/>
        <w:rPr>
          <w:rFonts w:hAnsi="宋体"/>
          <w:color w:val="auto"/>
          <w:szCs w:val="21"/>
          <w:highlight w:val="none"/>
        </w:rPr>
      </w:pPr>
      <w:r>
        <w:rPr>
          <w:rFonts w:hint="eastAsia" w:hAnsi="宋体"/>
          <w:color w:val="auto"/>
          <w:szCs w:val="21"/>
          <w:highlight w:val="none"/>
        </w:rPr>
        <w:t>残疾人福利性单位视同小型、微型企业，享受价格扣除。</w:t>
      </w:r>
    </w:p>
    <w:p>
      <w:pPr>
        <w:numPr>
          <w:ilvl w:val="1"/>
          <w:numId w:val="32"/>
        </w:numPr>
        <w:tabs>
          <w:tab w:val="left" w:pos="420"/>
          <w:tab w:val="clear" w:pos="1244"/>
        </w:tabs>
        <w:spacing w:line="360" w:lineRule="auto"/>
        <w:ind w:left="420"/>
        <w:rPr>
          <w:rFonts w:hAnsi="宋体"/>
          <w:color w:val="auto"/>
          <w:szCs w:val="21"/>
          <w:highlight w:val="none"/>
        </w:rPr>
      </w:pPr>
      <w:r>
        <w:rPr>
          <w:rFonts w:hint="eastAsia" w:hAnsi="宋体"/>
          <w:color w:val="auto"/>
          <w:szCs w:val="21"/>
          <w:highlight w:val="none"/>
        </w:rPr>
        <w:t>残疾人福利性单位属于小型、微型企业的，不重复享受政策。</w:t>
      </w:r>
    </w:p>
    <w:p>
      <w:pPr>
        <w:numPr>
          <w:ilvl w:val="1"/>
          <w:numId w:val="32"/>
        </w:numPr>
        <w:tabs>
          <w:tab w:val="left" w:pos="420"/>
          <w:tab w:val="clear" w:pos="1244"/>
        </w:tabs>
        <w:spacing w:line="360" w:lineRule="auto"/>
        <w:ind w:left="420"/>
        <w:rPr>
          <w:rFonts w:hAnsi="宋体"/>
          <w:color w:val="auto"/>
          <w:szCs w:val="21"/>
          <w:highlight w:val="none"/>
        </w:rPr>
      </w:pPr>
      <w:r>
        <w:rPr>
          <w:rFonts w:hint="eastAsia" w:hAnsi="宋体"/>
          <w:color w:val="auto"/>
          <w:szCs w:val="21"/>
          <w:highlight w:val="none"/>
        </w:rPr>
        <w:t>如中标人声明为残疾人福利性单位，本声明函将随中标结果同时公告，接受社会监督。</w:t>
      </w:r>
    </w:p>
    <w:p>
      <w:pPr>
        <w:tabs>
          <w:tab w:val="left" w:pos="420"/>
        </w:tabs>
        <w:spacing w:line="360" w:lineRule="auto"/>
        <w:rPr>
          <w:rFonts w:hAnsi="宋体"/>
          <w:b/>
          <w:color w:val="auto"/>
          <w:sz w:val="28"/>
          <w:szCs w:val="28"/>
          <w:highlight w:val="none"/>
        </w:rPr>
      </w:pPr>
    </w:p>
    <w:p>
      <w:pPr>
        <w:tabs>
          <w:tab w:val="left" w:pos="420"/>
        </w:tabs>
        <w:spacing w:line="360" w:lineRule="auto"/>
        <w:rPr>
          <w:rFonts w:hAnsi="宋体"/>
          <w:b/>
          <w:color w:val="auto"/>
          <w:sz w:val="28"/>
          <w:szCs w:val="28"/>
          <w:highlight w:val="none"/>
        </w:rPr>
      </w:pPr>
    </w:p>
    <w:p>
      <w:pPr>
        <w:tabs>
          <w:tab w:val="left" w:pos="420"/>
        </w:tabs>
        <w:spacing w:line="360" w:lineRule="auto"/>
        <w:rPr>
          <w:rFonts w:hAnsi="宋体"/>
          <w:b/>
          <w:color w:val="auto"/>
          <w:sz w:val="28"/>
          <w:szCs w:val="28"/>
          <w:highlight w:val="none"/>
        </w:rPr>
      </w:pPr>
    </w:p>
    <w:p>
      <w:pPr>
        <w:spacing w:line="360" w:lineRule="auto"/>
        <w:jc w:val="center"/>
        <w:rPr>
          <w:rFonts w:ascii="宋体" w:hAnsi="宋体" w:cs="宋体"/>
          <w:b/>
          <w:color w:val="auto"/>
          <w:kern w:val="44"/>
          <w:sz w:val="28"/>
          <w:szCs w:val="36"/>
          <w:highlight w:val="none"/>
        </w:rPr>
      </w:pPr>
      <w:r>
        <w:rPr>
          <w:rFonts w:ascii="Arial" w:hAnsi="宋体" w:cs="Arial"/>
          <w:color w:val="auto"/>
          <w:sz w:val="28"/>
          <w:szCs w:val="36"/>
          <w:highlight w:val="none"/>
        </w:rPr>
        <w:br w:type="page"/>
      </w:r>
      <w:bookmarkStart w:id="180" w:name="_Toc17918"/>
      <w:r>
        <w:rPr>
          <w:rStyle w:val="37"/>
          <w:rFonts w:hint="eastAsia"/>
          <w:color w:val="auto"/>
          <w:sz w:val="28"/>
          <w:szCs w:val="28"/>
          <w:highlight w:val="none"/>
        </w:rPr>
        <w:t>第七部分  评标办法</w:t>
      </w:r>
      <w:bookmarkEnd w:id="180"/>
    </w:p>
    <w:p>
      <w:pPr>
        <w:spacing w:line="360" w:lineRule="auto"/>
        <w:ind w:firstLine="420" w:firstLineChars="200"/>
        <w:rPr>
          <w:rFonts w:ascii="宋体" w:hAnsi="宋体" w:cs="宋体"/>
          <w:bCs/>
          <w:color w:val="auto"/>
          <w:kern w:val="28"/>
          <w:highlight w:val="none"/>
        </w:rPr>
      </w:pPr>
      <w:r>
        <w:rPr>
          <w:rFonts w:hint="eastAsia" w:ascii="宋体" w:hAnsi="宋体" w:cs="宋体"/>
          <w:bCs/>
          <w:color w:val="auto"/>
          <w:kern w:val="28"/>
          <w:highlight w:val="none"/>
        </w:rPr>
        <w:t>根据《中华人民共和国政府采购法》和《政府采购货物和服务招标投标管理办法》等相关法规和本项目招标文件，特制定本办法。</w:t>
      </w:r>
    </w:p>
    <w:p>
      <w:pPr>
        <w:spacing w:line="360" w:lineRule="auto"/>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一、 评标原则</w:t>
      </w:r>
    </w:p>
    <w:p>
      <w:pPr>
        <w:spacing w:line="360" w:lineRule="auto"/>
        <w:ind w:firstLine="420" w:firstLineChars="200"/>
        <w:rPr>
          <w:rFonts w:ascii="宋体" w:hAnsi="宋体" w:cs="宋体"/>
          <w:bCs/>
          <w:color w:val="auto"/>
          <w:kern w:val="28"/>
          <w:highlight w:val="none"/>
        </w:rPr>
      </w:pPr>
      <w:r>
        <w:rPr>
          <w:rFonts w:hint="eastAsia" w:ascii="宋体" w:hAnsi="宋体" w:cs="宋体"/>
          <w:bCs/>
          <w:color w:val="auto"/>
          <w:kern w:val="28"/>
          <w:highlight w:val="none"/>
        </w:rPr>
        <w:t>为最大限度地保护当事人的权益，评审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对落标单位，评审委员会不作任何落标解释。</w:t>
      </w:r>
    </w:p>
    <w:p>
      <w:pPr>
        <w:spacing w:line="360" w:lineRule="auto"/>
        <w:ind w:firstLine="420" w:firstLineChars="200"/>
        <w:rPr>
          <w:rFonts w:ascii="宋体" w:hAnsi="宋体" w:cs="宋体"/>
          <w:bCs/>
          <w:color w:val="auto"/>
          <w:kern w:val="28"/>
          <w:highlight w:val="none"/>
        </w:rPr>
      </w:pPr>
      <w:r>
        <w:rPr>
          <w:rFonts w:hint="eastAsia" w:ascii="宋体" w:hAnsi="宋体" w:cs="宋体"/>
          <w:bCs/>
          <w:color w:val="auto"/>
          <w:kern w:val="28"/>
          <w:highlight w:val="none"/>
        </w:rPr>
        <w:t>本次评标采取百分制综合评分的方法。评标应遵循公平、公正、科学、择优的原则推荐中标候选人。</w:t>
      </w:r>
    </w:p>
    <w:p>
      <w:pPr>
        <w:spacing w:line="360" w:lineRule="auto"/>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二、评标组织</w:t>
      </w:r>
    </w:p>
    <w:p>
      <w:pPr>
        <w:pStyle w:val="12"/>
        <w:spacing w:after="0" w:line="360" w:lineRule="auto"/>
        <w:ind w:left="0" w:leftChars="0" w:firstLine="420" w:firstLineChars="200"/>
        <w:rPr>
          <w:rFonts w:ascii="宋体" w:hAnsi="宋体" w:cs="宋体"/>
          <w:color w:val="auto"/>
          <w:highlight w:val="none"/>
        </w:rPr>
      </w:pPr>
      <w:r>
        <w:rPr>
          <w:rFonts w:hint="eastAsia" w:ascii="宋体" w:hAnsi="宋体" w:cs="宋体"/>
          <w:color w:val="auto"/>
          <w:highlight w:val="none"/>
        </w:rPr>
        <w:t>评标工作由招标采购单位依法组建的评审委员会负责，评审委员会由采购人以及评标专家库中随机抽取的有关技术专家共同组成，人</w:t>
      </w:r>
      <w:r>
        <w:rPr>
          <w:rFonts w:hint="eastAsia" w:ascii="宋体" w:hAnsi="宋体" w:cs="宋体"/>
          <w:bCs/>
          <w:color w:val="auto"/>
          <w:kern w:val="28"/>
          <w:highlight w:val="none"/>
        </w:rPr>
        <w:t>员人数为五人以上单数，其中技术方面的专家将不少于总数的三分之二。</w:t>
      </w:r>
    </w:p>
    <w:p>
      <w:pPr>
        <w:spacing w:line="360" w:lineRule="auto"/>
        <w:jc w:val="both"/>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三、评标程序</w:t>
      </w:r>
    </w:p>
    <w:p>
      <w:pPr>
        <w:spacing w:line="360" w:lineRule="auto"/>
        <w:ind w:firstLine="420" w:firstLineChars="200"/>
        <w:rPr>
          <w:rFonts w:ascii="宋体" w:hAnsi="宋体" w:cs="宋体"/>
          <w:bCs/>
          <w:color w:val="auto"/>
          <w:kern w:val="28"/>
          <w:highlight w:val="none"/>
        </w:rPr>
      </w:pPr>
      <w:r>
        <w:rPr>
          <w:rFonts w:hint="eastAsia" w:ascii="宋体" w:hAnsi="宋体" w:cs="宋体"/>
          <w:bCs/>
          <w:color w:val="auto"/>
          <w:kern w:val="28"/>
          <w:highlight w:val="none"/>
        </w:rPr>
        <w:t>1、投标供应商商务技术评分：由各</w:t>
      </w:r>
      <w:r>
        <w:rPr>
          <w:rFonts w:hint="eastAsia" w:ascii="宋体" w:hAnsi="宋体" w:cs="宋体"/>
          <w:color w:val="auto"/>
          <w:highlight w:val="none"/>
        </w:rPr>
        <w:t>评审专家</w:t>
      </w:r>
      <w:r>
        <w:rPr>
          <w:rFonts w:hint="eastAsia" w:ascii="宋体" w:hAnsi="宋体" w:cs="宋体"/>
          <w:bCs/>
          <w:color w:val="auto"/>
          <w:kern w:val="28"/>
          <w:highlight w:val="none"/>
        </w:rPr>
        <w:t>按评标细则，采用记名方式各自评分，此项评分为全部有效评分中的算术平均值。如果一份评分表中某一项评分，超过评分细则所规定的分值范围，则该张打分表无效。</w:t>
      </w:r>
    </w:p>
    <w:p>
      <w:pPr>
        <w:spacing w:line="360" w:lineRule="auto"/>
        <w:ind w:firstLine="420" w:firstLineChars="200"/>
        <w:rPr>
          <w:rFonts w:ascii="宋体" w:hAnsi="宋体" w:cs="宋体"/>
          <w:bCs/>
          <w:color w:val="auto"/>
          <w:kern w:val="28"/>
          <w:highlight w:val="none"/>
        </w:rPr>
      </w:pPr>
      <w:r>
        <w:rPr>
          <w:rFonts w:hint="eastAsia" w:ascii="宋体" w:hAnsi="宋体" w:cs="宋体"/>
          <w:bCs/>
          <w:color w:val="auto"/>
          <w:kern w:val="28"/>
          <w:highlight w:val="none"/>
        </w:rPr>
        <w:t>2、报价评分：评分应在报价口径一致的评标价基础上进行。评标价应在最终报价的基础上，按照招标文件约定的因素和方法进行计算。凡属招标文件原因造成报价范围或报价口径不一致的，应予以扣除。但因投标供应商自身失误造成多算，少算或漏算，不得调整。评分由评标委员会对投标文件的商务报价进行仔细查阅、分析与计算，并指定专人复核。投标报价超过预算的或标准的，将导致无效标。</w:t>
      </w:r>
    </w:p>
    <w:p>
      <w:pPr>
        <w:spacing w:line="360" w:lineRule="auto"/>
        <w:ind w:firstLine="420" w:firstLineChars="200"/>
        <w:rPr>
          <w:rFonts w:ascii="宋体" w:hAnsi="宋体" w:cs="宋体"/>
          <w:bCs/>
          <w:color w:val="auto"/>
          <w:kern w:val="28"/>
          <w:highlight w:val="none"/>
        </w:rPr>
      </w:pPr>
      <w:r>
        <w:rPr>
          <w:rFonts w:hint="eastAsia" w:ascii="宋体" w:hAnsi="宋体" w:cs="宋体"/>
          <w:bCs/>
          <w:color w:val="auto"/>
          <w:kern w:val="28"/>
          <w:highlight w:val="none"/>
        </w:rPr>
        <w:t>3、评标委员会应根据评标情况和结果向招标决策组织提交评标报告，合计得分相同的，按投标报价由低到高顺序排列；合计得分且投标报价相同的，则按技术、商务文件得分高低顺序排列；若所有得分均相同，则由采购人在所有得分均相同者中随机抽取其中一名为名次优先者；依法予以确认为中标供应商。</w:t>
      </w:r>
    </w:p>
    <w:p>
      <w:pPr>
        <w:spacing w:line="360" w:lineRule="auto"/>
        <w:jc w:val="both"/>
        <w:rPr>
          <w:rFonts w:ascii="宋体" w:hAnsi="宋体" w:cs="Arial"/>
          <w:b/>
          <w:bCs/>
          <w:color w:val="auto"/>
          <w:kern w:val="28"/>
          <w:highlight w:val="none"/>
        </w:rPr>
      </w:pPr>
      <w:r>
        <w:rPr>
          <w:rFonts w:hint="eastAsia" w:ascii="宋体" w:hAnsi="宋体" w:cs="Arial"/>
          <w:b/>
          <w:bCs/>
          <w:color w:val="auto"/>
          <w:kern w:val="28"/>
          <w:highlight w:val="none"/>
        </w:rPr>
        <w:t>四、评标办法</w:t>
      </w:r>
    </w:p>
    <w:p>
      <w:pPr>
        <w:spacing w:line="360" w:lineRule="auto"/>
        <w:ind w:firstLine="420" w:firstLineChars="200"/>
        <w:rPr>
          <w:rFonts w:ascii="宋体" w:hAnsi="宋体" w:cs="Arial"/>
          <w:bCs/>
          <w:color w:val="auto"/>
          <w:kern w:val="28"/>
          <w:highlight w:val="none"/>
        </w:rPr>
      </w:pPr>
      <w:r>
        <w:rPr>
          <w:rFonts w:hint="eastAsia" w:ascii="宋体" w:hAnsi="宋体" w:cs="Arial"/>
          <w:bCs/>
          <w:color w:val="auto"/>
          <w:kern w:val="28"/>
          <w:highlight w:val="none"/>
        </w:rPr>
        <w:t>1、本评标办法采取综合评分法（百分制法）；</w:t>
      </w:r>
      <w:r>
        <w:rPr>
          <w:rFonts w:hint="eastAsia" w:ascii="新宋体" w:hAnsi="新宋体" w:eastAsia="新宋体"/>
          <w:color w:val="auto"/>
          <w:sz w:val="22"/>
          <w:szCs w:val="22"/>
          <w:highlight w:val="none"/>
        </w:rPr>
        <w:t>评标委员会先</w:t>
      </w:r>
      <w:r>
        <w:rPr>
          <w:rFonts w:hint="eastAsia" w:ascii="宋体" w:hAnsi="宋体"/>
          <w:color w:val="auto"/>
          <w:highlight w:val="none"/>
        </w:rPr>
        <w:t>对商务技术文件评审，然后</w:t>
      </w:r>
      <w:r>
        <w:rPr>
          <w:rFonts w:hint="eastAsia" w:ascii="新宋体" w:hAnsi="新宋体" w:eastAsia="新宋体"/>
          <w:color w:val="auto"/>
          <w:sz w:val="22"/>
          <w:szCs w:val="22"/>
          <w:highlight w:val="none"/>
        </w:rPr>
        <w:t>对商务技术文件符合招标文件要求的投标供应商进入报价文件评审。</w:t>
      </w:r>
      <w:r>
        <w:rPr>
          <w:rFonts w:hint="eastAsia" w:ascii="宋体" w:hAnsi="宋体"/>
          <w:color w:val="auto"/>
          <w:highlight w:val="none"/>
        </w:rPr>
        <w:t>评标结束后，评标委员会将根据投标供应商的合计得分（商务技术文件和报价文件分开打分，最后二部分得分相加）由高到低确定一个中标预选供应商（得分高者），</w:t>
      </w:r>
      <w:r>
        <w:rPr>
          <w:rFonts w:hint="eastAsia" w:ascii="Arial" w:hAnsi="Arial" w:cs="Arial"/>
          <w:color w:val="auto"/>
          <w:highlight w:val="none"/>
        </w:rPr>
        <w:t>其他有效</w:t>
      </w:r>
      <w:r>
        <w:rPr>
          <w:rFonts w:ascii="Arial" w:hAnsi="Arial" w:cs="Arial"/>
          <w:color w:val="auto"/>
          <w:highlight w:val="none"/>
        </w:rPr>
        <w:t>供应商</w:t>
      </w:r>
      <w:r>
        <w:rPr>
          <w:rFonts w:hint="eastAsia" w:ascii="Arial" w:hAnsi="Arial" w:cs="Arial"/>
          <w:color w:val="auto"/>
          <w:highlight w:val="none"/>
        </w:rPr>
        <w:t>按</w:t>
      </w:r>
      <w:r>
        <w:rPr>
          <w:rFonts w:ascii="Arial" w:hAnsi="Arial" w:cs="Arial"/>
          <w:color w:val="auto"/>
          <w:highlight w:val="none"/>
        </w:rPr>
        <w:t>合计得分由高到低依次为备选</w:t>
      </w:r>
      <w:r>
        <w:rPr>
          <w:rFonts w:hint="eastAsia" w:ascii="宋体" w:hAnsi="宋体" w:cs="Arial"/>
          <w:color w:val="auto"/>
          <w:szCs w:val="21"/>
          <w:highlight w:val="none"/>
        </w:rPr>
        <w:t>供应商</w:t>
      </w:r>
      <w:r>
        <w:rPr>
          <w:rFonts w:hint="eastAsia" w:ascii="宋体" w:hAnsi="宋体"/>
          <w:color w:val="auto"/>
          <w:highlight w:val="none"/>
        </w:rPr>
        <w:t>，并出具评标报告。合计得分相同的，按投标报价由低到高顺序排列；合计得分且投标报价相同的，则按商务技术文件得分高低顺序排列；若所有得分均相同，则由采购人在所有得分均相同者中随机抽取其中一名为名次优先者</w:t>
      </w:r>
      <w:r>
        <w:rPr>
          <w:rFonts w:hint="eastAsia" w:ascii="Arial" w:hAnsi="Arial"/>
          <w:color w:val="auto"/>
          <w:highlight w:val="none"/>
        </w:rPr>
        <w:t>；</w:t>
      </w:r>
      <w:r>
        <w:rPr>
          <w:rFonts w:hint="eastAsia" w:ascii="新宋体" w:hAnsi="新宋体" w:eastAsia="新宋体"/>
          <w:color w:val="auto"/>
          <w:sz w:val="22"/>
          <w:szCs w:val="22"/>
          <w:highlight w:val="none"/>
        </w:rPr>
        <w:t>依法予以确认为中标供应商</w:t>
      </w:r>
    </w:p>
    <w:p>
      <w:pPr>
        <w:spacing w:line="360" w:lineRule="auto"/>
        <w:ind w:firstLine="420" w:firstLineChars="200"/>
        <w:rPr>
          <w:rFonts w:ascii="宋体" w:hAnsi="宋体" w:cs="Arial"/>
          <w:bCs/>
          <w:color w:val="auto"/>
          <w:kern w:val="28"/>
          <w:highlight w:val="none"/>
        </w:rPr>
      </w:pPr>
      <w:r>
        <w:rPr>
          <w:rFonts w:hint="eastAsia" w:ascii="宋体" w:hAnsi="宋体" w:cs="Arial"/>
          <w:bCs/>
          <w:color w:val="auto"/>
          <w:kern w:val="28"/>
          <w:highlight w:val="none"/>
        </w:rPr>
        <w:t>2、开标后，采购代理机构首先对投标文件进行资格性检查，评标委员会对投标文件进行符合性检查，凡投标供应商资格不符合招标文件要求；投标文件实质性内容和格式严重不符合有关规定或不响应招标文件要求者，经评标委员会和监督单位认定作为无效投标，不再进入后续评审。对投标文件中的疑问，由评标委员会对投标供应商进行询标，投标供应商做出书面答复作为投标文件的补充文件。除对投标的算术错误按有关规定处理外，不得在询标过程中修改投标文件的实质性条款内容。</w:t>
      </w:r>
    </w:p>
    <w:p>
      <w:pPr>
        <w:spacing w:line="360" w:lineRule="auto"/>
        <w:ind w:firstLine="420" w:firstLineChars="200"/>
        <w:rPr>
          <w:rFonts w:ascii="宋体" w:hAnsi="宋体" w:cs="Arial"/>
          <w:bCs/>
          <w:color w:val="auto"/>
          <w:kern w:val="28"/>
          <w:highlight w:val="none"/>
        </w:rPr>
      </w:pPr>
      <w:r>
        <w:rPr>
          <w:rFonts w:hint="eastAsia"/>
          <w:color w:val="auto"/>
          <w:highlight w:val="none"/>
        </w:rPr>
        <w:t>经资格性检查和符合性检查后，开、评标期间出现符合专业条件的投标供应商或者对招标文件作出实质响应的投标供应商（有效投标供应商）不足三家，或投标供应商的报价均超过采购预算，按政府采购法律法规有关规定，依法继续进行或转为其它政府采购方式进行采购，或宣布本次招标失败，重新组织招标</w:t>
      </w:r>
      <w:r>
        <w:rPr>
          <w:rFonts w:hint="eastAsia" w:ascii="宋体" w:hAnsi="宋体" w:cs="Arial"/>
          <w:bCs/>
          <w:color w:val="auto"/>
          <w:kern w:val="28"/>
          <w:highlight w:val="none"/>
        </w:rPr>
        <w:t>。</w:t>
      </w:r>
    </w:p>
    <w:p>
      <w:pPr>
        <w:spacing w:line="360" w:lineRule="auto"/>
        <w:ind w:firstLine="482" w:firstLineChars="200"/>
        <w:jc w:val="both"/>
        <w:rPr>
          <w:rFonts w:ascii="宋体" w:hAnsi="宋体" w:cs="Arial"/>
          <w:b/>
          <w:bCs/>
          <w:color w:val="auto"/>
          <w:kern w:val="28"/>
          <w:sz w:val="24"/>
          <w:szCs w:val="24"/>
          <w:highlight w:val="none"/>
        </w:rPr>
      </w:pPr>
      <w:r>
        <w:rPr>
          <w:rFonts w:hint="eastAsia" w:ascii="宋体" w:hAnsi="宋体" w:cs="Arial"/>
          <w:b/>
          <w:bCs/>
          <w:color w:val="auto"/>
          <w:kern w:val="28"/>
          <w:sz w:val="24"/>
          <w:szCs w:val="24"/>
          <w:highlight w:val="none"/>
        </w:rPr>
        <w:t>五、决标办法</w:t>
      </w:r>
    </w:p>
    <w:p>
      <w:pPr>
        <w:spacing w:line="360" w:lineRule="auto"/>
        <w:ind w:firstLine="420" w:firstLineChars="200"/>
        <w:rPr>
          <w:rFonts w:ascii="宋体" w:hAnsi="宋体" w:cs="Arial"/>
          <w:bCs/>
          <w:color w:val="auto"/>
          <w:kern w:val="28"/>
          <w:highlight w:val="none"/>
        </w:rPr>
      </w:pPr>
      <w:r>
        <w:rPr>
          <w:rFonts w:hint="eastAsia" w:ascii="宋体" w:hAnsi="宋体" w:cs="Arial"/>
          <w:bCs/>
          <w:color w:val="auto"/>
          <w:kern w:val="28"/>
          <w:highlight w:val="none"/>
        </w:rPr>
        <w:t>采购代理机构对评标报告充分评议研究后，以商务技术文件和报价文件合计分值的从高到低向采购人推荐排名次序的候选人，并提交书面评标报告。如中标供应商在中标后不履行合同或否决已承诺的有关条款，则视为其违约，投标保证金将不予退还，并赔偿采购人损失，同时从备选的候选人中选择中标供应商。</w:t>
      </w:r>
    </w:p>
    <w:p>
      <w:pPr>
        <w:numPr>
          <w:ilvl w:val="0"/>
          <w:numId w:val="33"/>
        </w:numPr>
        <w:spacing w:line="360" w:lineRule="auto"/>
        <w:ind w:firstLine="482" w:firstLineChars="200"/>
        <w:jc w:val="both"/>
        <w:rPr>
          <w:rFonts w:ascii="宋体" w:hAnsi="宋体" w:cs="Arial"/>
          <w:b/>
          <w:bCs/>
          <w:color w:val="auto"/>
          <w:kern w:val="28"/>
          <w:sz w:val="24"/>
          <w:szCs w:val="24"/>
          <w:highlight w:val="none"/>
        </w:rPr>
      </w:pPr>
      <w:r>
        <w:rPr>
          <w:rFonts w:hint="eastAsia" w:ascii="宋体" w:hAnsi="宋体" w:cs="Arial"/>
          <w:b/>
          <w:bCs/>
          <w:color w:val="auto"/>
          <w:kern w:val="28"/>
          <w:sz w:val="24"/>
          <w:szCs w:val="24"/>
          <w:highlight w:val="none"/>
        </w:rPr>
        <w:t>评标细则</w:t>
      </w:r>
    </w:p>
    <w:tbl>
      <w:tblPr>
        <w:tblStyle w:val="25"/>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007"/>
        <w:gridCol w:w="1192"/>
        <w:gridCol w:w="943"/>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顺号</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评审类型</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center"/>
              <w:rPr>
                <w:rFonts w:ascii="宋体" w:hAnsi="宋体" w:cs="宋体"/>
                <w:color w:val="auto"/>
                <w:sz w:val="18"/>
                <w:szCs w:val="18"/>
                <w:highlight w:val="none"/>
              </w:rPr>
            </w:pPr>
            <w:r>
              <w:rPr>
                <w:rFonts w:hint="eastAsia" w:ascii="宋体" w:hAnsi="宋体" w:cs="宋体"/>
                <w:color w:val="auto"/>
                <w:sz w:val="18"/>
                <w:szCs w:val="18"/>
                <w:highlight w:val="none"/>
              </w:rPr>
              <w:t>评审内容</w:t>
            </w:r>
          </w:p>
        </w:tc>
        <w:tc>
          <w:tcPr>
            <w:tcW w:w="414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center"/>
              <w:rPr>
                <w:rFonts w:ascii="宋体" w:hAnsi="宋体" w:cs="宋体"/>
                <w:color w:val="auto"/>
                <w:sz w:val="18"/>
                <w:szCs w:val="18"/>
                <w:highlight w:val="none"/>
              </w:rPr>
            </w:pPr>
            <w:r>
              <w:rPr>
                <w:rFonts w:hint="eastAsia" w:ascii="宋体" w:hAnsi="宋体" w:cs="宋体"/>
                <w:color w:val="auto"/>
                <w:sz w:val="18"/>
                <w:szCs w:val="1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atLeast"/>
        </w:trPr>
        <w:tc>
          <w:tcPr>
            <w:tcW w:w="727" w:type="dxa"/>
            <w:tcBorders>
              <w:top w:val="single" w:color="auto" w:sz="4" w:space="0"/>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007" w:type="dxa"/>
            <w:tcBorders>
              <w:top w:val="single" w:color="auto" w:sz="4" w:space="0"/>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r>
              <w:rPr>
                <w:rFonts w:ascii="Arial" w:hAnsi="Arial" w:cs="Arial"/>
                <w:b/>
                <w:color w:val="auto"/>
                <w:szCs w:val="21"/>
                <w:highlight w:val="none"/>
              </w:rPr>
              <w:t>资格</w:t>
            </w:r>
            <w:r>
              <w:rPr>
                <w:rFonts w:ascii="Arial" w:hAnsi="Arial" w:cs="Arial"/>
                <w:b/>
                <w:bCs/>
                <w:color w:val="auto"/>
                <w:kern w:val="28"/>
                <w:highlight w:val="none"/>
              </w:rPr>
              <w:t>性检查</w:t>
            </w:r>
          </w:p>
        </w:tc>
        <w:tc>
          <w:tcPr>
            <w:tcW w:w="6278" w:type="dxa"/>
            <w:gridSpan w:val="3"/>
            <w:tcBorders>
              <w:top w:val="single" w:color="auto" w:sz="4" w:space="0"/>
              <w:left w:val="single" w:color="auto" w:sz="4" w:space="0"/>
              <w:bottom w:val="single" w:color="auto" w:sz="4" w:space="0"/>
              <w:right w:val="single" w:color="auto" w:sz="4" w:space="0"/>
            </w:tcBorders>
            <w:vAlign w:val="center"/>
          </w:tcPr>
          <w:p>
            <w:pPr>
              <w:numPr>
                <w:ilvl w:val="0"/>
                <w:numId w:val="34"/>
              </w:num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满足《中华人民共和国政府采购法》第二十二条规定；未被“信用中国”（www.creditchina.gov.cn）、中国政府采购网（www.ccgp.gov.cn）、浙江政府采购网（http://zfcg.czt.zj.gov.cn//）列入失信被执行人、重大税收违法案件当事人名单、政府采购严重违法失信行为记录名单。</w:t>
            </w:r>
          </w:p>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2.落实政府采购政策需满足的资格要求：无</w:t>
            </w:r>
          </w:p>
          <w:p>
            <w:pPr>
              <w:pStyle w:val="8"/>
              <w:spacing w:line="360" w:lineRule="auto"/>
              <w:ind w:firstLine="0"/>
              <w:rPr>
                <w:rFonts w:ascii="宋体" w:hAnsi="宋体" w:cs="宋体"/>
                <w:color w:val="auto"/>
                <w:sz w:val="18"/>
                <w:szCs w:val="18"/>
                <w:highlight w:val="none"/>
              </w:rPr>
            </w:pPr>
            <w:r>
              <w:rPr>
                <w:rFonts w:hint="eastAsia" w:ascii="宋体" w:hAnsi="宋体" w:cs="宋体"/>
                <w:color w:val="auto"/>
                <w:sz w:val="18"/>
                <w:szCs w:val="18"/>
                <w:highlight w:val="none"/>
              </w:rPr>
              <w:t>3、本项目的特定资格要求：具有有效的《劳务派遣经营许可证》；</w:t>
            </w:r>
          </w:p>
          <w:p>
            <w:pPr>
              <w:pStyle w:val="8"/>
              <w:spacing w:line="360" w:lineRule="auto"/>
              <w:ind w:firstLine="0"/>
              <w:rPr>
                <w:rFonts w:ascii="宋体" w:hAnsi="宋体" w:cs="宋体"/>
                <w:color w:val="auto"/>
                <w:sz w:val="18"/>
                <w:szCs w:val="18"/>
                <w:highlight w:val="none"/>
              </w:rPr>
            </w:pPr>
            <w:r>
              <w:rPr>
                <w:rFonts w:hint="eastAsia" w:ascii="宋体" w:hAnsi="宋体" w:cs="宋体"/>
                <w:color w:val="auto"/>
                <w:sz w:val="18"/>
                <w:szCs w:val="18"/>
                <w:highlight w:val="none"/>
              </w:rPr>
              <w:t>4、本项目（否）接受联合体投标；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7" w:type="dxa"/>
            <w:vMerge w:val="restart"/>
            <w:tcBorders>
              <w:top w:val="single" w:color="auto" w:sz="4" w:space="0"/>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2007" w:type="dxa"/>
            <w:vMerge w:val="restart"/>
            <w:tcBorders>
              <w:top w:val="single" w:color="auto" w:sz="4" w:space="0"/>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r>
              <w:rPr>
                <w:rFonts w:ascii="Arial" w:hAnsi="Arial" w:cs="Arial"/>
                <w:b/>
                <w:bCs/>
                <w:color w:val="auto"/>
                <w:kern w:val="28"/>
                <w:highlight w:val="none"/>
              </w:rPr>
              <w:t>符合性检查</w:t>
            </w:r>
          </w:p>
        </w:tc>
        <w:tc>
          <w:tcPr>
            <w:tcW w:w="2135" w:type="dxa"/>
            <w:gridSpan w:val="2"/>
            <w:tcBorders>
              <w:top w:val="single" w:color="auto" w:sz="4" w:space="0"/>
              <w:left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投标供应商名称</w:t>
            </w:r>
          </w:p>
        </w:tc>
        <w:tc>
          <w:tcPr>
            <w:tcW w:w="4143" w:type="dxa"/>
            <w:tcBorders>
              <w:top w:val="single" w:color="auto" w:sz="4" w:space="0"/>
              <w:left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00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投标函签字盖章</w:t>
            </w:r>
          </w:p>
        </w:tc>
        <w:tc>
          <w:tcPr>
            <w:tcW w:w="414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有法定代表人或其授权代表签字并加盖单位章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00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投标文件格式</w:t>
            </w:r>
          </w:p>
        </w:tc>
        <w:tc>
          <w:tcPr>
            <w:tcW w:w="414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符合第六部份“投标文件文件格式”的要求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00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投标文件编制</w:t>
            </w:r>
          </w:p>
        </w:tc>
        <w:tc>
          <w:tcPr>
            <w:tcW w:w="414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符合第二部份“投标文件编制”的要求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00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投标报价</w:t>
            </w:r>
          </w:p>
        </w:tc>
        <w:tc>
          <w:tcPr>
            <w:tcW w:w="414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投标报价是固定价且投标报价不超过本项目预算价或最高限价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007" w:type="dxa"/>
            <w:vMerge w:val="continue"/>
            <w:tcBorders>
              <w:left w:val="single" w:color="auto" w:sz="4" w:space="0"/>
              <w:right w:val="single" w:color="auto" w:sz="4" w:space="0"/>
            </w:tcBorders>
            <w:vAlign w:val="center"/>
          </w:tcPr>
          <w:p>
            <w:pPr>
              <w:spacing w:line="360" w:lineRule="auto"/>
              <w:ind w:right="3"/>
              <w:jc w:val="center"/>
              <w:rPr>
                <w:rFonts w:ascii="宋体" w:hAnsi="宋体" w:cs="宋体"/>
                <w:color w:val="auto"/>
                <w:sz w:val="18"/>
                <w:szCs w:val="18"/>
                <w:highlight w:val="none"/>
              </w:rPr>
            </w:pP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投标有效期</w:t>
            </w:r>
          </w:p>
        </w:tc>
        <w:tc>
          <w:tcPr>
            <w:tcW w:w="4143" w:type="dxa"/>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both"/>
              <w:rPr>
                <w:rFonts w:ascii="宋体" w:hAnsi="宋体" w:cs="宋体"/>
                <w:color w:val="auto"/>
                <w:sz w:val="18"/>
                <w:szCs w:val="18"/>
                <w:highlight w:val="none"/>
              </w:rPr>
            </w:pPr>
            <w:r>
              <w:rPr>
                <w:rFonts w:hint="eastAsia" w:ascii="宋体" w:hAnsi="宋体" w:cs="宋体"/>
                <w:color w:val="auto"/>
                <w:sz w:val="18"/>
                <w:szCs w:val="18"/>
                <w:highlight w:val="none"/>
              </w:rPr>
              <w:t>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2" w:hRule="atLeast"/>
        </w:trPr>
        <w:tc>
          <w:tcPr>
            <w:tcW w:w="727" w:type="dxa"/>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007" w:type="dxa"/>
            <w:vAlign w:val="center"/>
          </w:tcPr>
          <w:p>
            <w:pPr>
              <w:spacing w:line="360" w:lineRule="auto"/>
              <w:ind w:right="3"/>
              <w:jc w:val="center"/>
              <w:rPr>
                <w:rFonts w:ascii="宋体" w:hAnsi="宋体" w:cs="宋体"/>
                <w:b/>
                <w:color w:val="auto"/>
                <w:sz w:val="18"/>
                <w:szCs w:val="18"/>
                <w:highlight w:val="none"/>
              </w:rPr>
            </w:pPr>
            <w:r>
              <w:rPr>
                <w:rFonts w:hint="eastAsia" w:ascii="宋体" w:hAnsi="宋体" w:cs="宋体"/>
                <w:b/>
                <w:color w:val="auto"/>
                <w:sz w:val="18"/>
                <w:szCs w:val="18"/>
                <w:highlight w:val="none"/>
              </w:rPr>
              <w:t>无效标条款</w:t>
            </w:r>
          </w:p>
        </w:tc>
        <w:tc>
          <w:tcPr>
            <w:tcW w:w="6278" w:type="dxa"/>
            <w:gridSpan w:val="3"/>
            <w:tcBorders>
              <w:top w:val="single" w:color="auto" w:sz="4" w:space="0"/>
            </w:tcBorders>
            <w:vAlign w:val="center"/>
          </w:tcPr>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color w:val="auto"/>
                <w:sz w:val="18"/>
                <w:szCs w:val="18"/>
                <w:highlight w:val="none"/>
              </w:rPr>
              <w:t>投标</w:t>
            </w:r>
            <w:r>
              <w:rPr>
                <w:rFonts w:hint="eastAsia" w:ascii="宋体" w:hAnsi="宋体" w:cs="宋体"/>
                <w:bCs/>
                <w:color w:val="auto"/>
                <w:sz w:val="18"/>
                <w:szCs w:val="18"/>
                <w:highlight w:val="none"/>
              </w:rPr>
              <w:t>报价</w:t>
            </w:r>
            <w:r>
              <w:rPr>
                <w:rFonts w:hint="eastAsia" w:ascii="宋体" w:hAnsi="宋体" w:cs="宋体"/>
                <w:color w:val="auto"/>
                <w:sz w:val="18"/>
                <w:szCs w:val="18"/>
                <w:highlight w:val="none"/>
              </w:rPr>
              <w:t>不是固定价或超过任一最高限价的</w:t>
            </w:r>
            <w:r>
              <w:rPr>
                <w:rFonts w:hint="eastAsia" w:ascii="宋体" w:hAnsi="宋体" w:cs="宋体"/>
                <w:bCs/>
                <w:color w:val="auto"/>
                <w:sz w:val="18"/>
                <w:szCs w:val="18"/>
                <w:highlight w:val="none"/>
              </w:rPr>
              <w:t>；</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投标有效期不足的；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单价与总价不相符，又不接受评标委员会修正的投标总价或投标明显不合理而投标供应商不能合理说明的；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color w:val="auto"/>
                <w:sz w:val="18"/>
                <w:szCs w:val="18"/>
                <w:highlight w:val="none"/>
              </w:rPr>
              <w:t>投标文件中需签字或盖章的地方未加盖投标供应商单位全称的公章，并未经法定代表人或其授权代表签字或盖章；或使用投标专用章、合同章等类似图章代替；</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服务要求不满足招标内容实质性内容及商务有重大偏离或保留的；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评标委员会认为投标文件未实质性响应招标文件的要求的；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授权代表未取得有效的法定代表人授权委托书的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不具备招标文件中规定资格要求的；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存在串标、抬标或弄虚作假情况的；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snapToGrid w:val="0"/>
                <w:color w:val="auto"/>
                <w:sz w:val="18"/>
                <w:szCs w:val="18"/>
                <w:highlight w:val="none"/>
              </w:rPr>
              <w:t>存在重大违法行为的或未提供“</w:t>
            </w:r>
            <w:r>
              <w:rPr>
                <w:rFonts w:hint="eastAsia" w:ascii="宋体" w:hAnsi="宋体" w:cs="宋体"/>
                <w:color w:val="auto"/>
                <w:sz w:val="18"/>
                <w:szCs w:val="18"/>
                <w:highlight w:val="none"/>
              </w:rPr>
              <w:t>参加政府采购活动前3年内在经营活动中有/无重大违法记录（包括行贿犯罪记录）的书面声明”的；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投标文件含有采购人不能接受的附加条件的；</w:t>
            </w:r>
          </w:p>
          <w:p>
            <w:pPr>
              <w:numPr>
                <w:ilvl w:val="0"/>
                <w:numId w:val="35"/>
              </w:numPr>
              <w:tabs>
                <w:tab w:val="left" w:pos="1133"/>
              </w:tabs>
              <w:spacing w:line="360" w:lineRule="auto"/>
              <w:rPr>
                <w:rFonts w:ascii="宋体" w:hAnsi="宋体" w:cs="宋体"/>
                <w:bCs/>
                <w:color w:val="auto"/>
                <w:sz w:val="18"/>
                <w:szCs w:val="18"/>
                <w:highlight w:val="none"/>
              </w:rPr>
            </w:pPr>
            <w:r>
              <w:rPr>
                <w:rFonts w:hint="eastAsia" w:ascii="宋体" w:hAnsi="宋体" w:cs="宋体"/>
                <w:bCs/>
                <w:color w:val="auto"/>
                <w:sz w:val="18"/>
                <w:szCs w:val="18"/>
                <w:highlight w:val="none"/>
              </w:rPr>
              <w:t>投标供应商存在不良信用记录的（指招标文件的（二）总则 第4条）；</w:t>
            </w:r>
          </w:p>
          <w:p>
            <w:pPr>
              <w:numPr>
                <w:ilvl w:val="0"/>
                <w:numId w:val="35"/>
              </w:numPr>
              <w:tabs>
                <w:tab w:val="left" w:pos="1133"/>
              </w:tabs>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不符合法律、法规和招标文件中规定的其他实质性要求的。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宋体" w:hAnsi="宋体" w:cs="宋体"/>
                <w:b/>
                <w:color w:val="auto"/>
                <w:sz w:val="18"/>
                <w:szCs w:val="18"/>
                <w:highlight w:val="none"/>
              </w:rPr>
            </w:pPr>
            <w:r>
              <w:rPr>
                <w:rFonts w:hint="eastAsia" w:ascii="宋体" w:hAnsi="宋体" w:cs="宋体"/>
                <w:b/>
                <w:color w:val="auto"/>
                <w:sz w:val="18"/>
                <w:szCs w:val="18"/>
                <w:highlight w:val="none"/>
              </w:rPr>
              <w:t>4</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60" w:lineRule="auto"/>
              <w:ind w:left="-7" w:leftChars="-10" w:right="-108" w:hanging="14" w:hangingChars="8"/>
              <w:jc w:val="center"/>
              <w:rPr>
                <w:rFonts w:ascii="宋体" w:hAnsi="宋体" w:cs="宋体"/>
                <w:b/>
                <w:color w:val="auto"/>
                <w:sz w:val="18"/>
                <w:szCs w:val="18"/>
                <w:highlight w:val="none"/>
              </w:rPr>
            </w:pPr>
            <w:r>
              <w:rPr>
                <w:rFonts w:hint="eastAsia" w:ascii="宋体" w:hAnsi="宋体" w:cs="宋体"/>
                <w:b/>
                <w:color w:val="auto"/>
                <w:sz w:val="18"/>
                <w:szCs w:val="18"/>
                <w:highlight w:val="none"/>
              </w:rPr>
              <w:t>技术、资信评分</w:t>
            </w:r>
          </w:p>
        </w:tc>
        <w:tc>
          <w:tcPr>
            <w:tcW w:w="6278"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93"/>
                <w:tab w:val="left" w:pos="1276"/>
              </w:tabs>
              <w:spacing w:line="360" w:lineRule="auto"/>
              <w:ind w:left="1276" w:hanging="425"/>
              <w:jc w:val="center"/>
              <w:rPr>
                <w:rFonts w:ascii="宋体" w:hAnsi="宋体" w:cs="宋体"/>
                <w:b/>
                <w:color w:val="auto"/>
                <w:sz w:val="18"/>
                <w:szCs w:val="18"/>
                <w:highlight w:val="none"/>
              </w:rPr>
            </w:pPr>
            <w:r>
              <w:rPr>
                <w:rFonts w:hint="eastAsia" w:ascii="宋体" w:hAnsi="宋体" w:cs="宋体"/>
                <w:b/>
                <w:color w:val="auto"/>
                <w:sz w:val="18"/>
                <w:szCs w:val="18"/>
                <w:highlight w:val="none"/>
              </w:rPr>
              <w:t>合计90分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7" w:type="dxa"/>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007" w:type="dxa"/>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评分内容</w:t>
            </w:r>
          </w:p>
        </w:tc>
        <w:tc>
          <w:tcPr>
            <w:tcW w:w="1192" w:type="dxa"/>
            <w:vAlign w:val="center"/>
          </w:tcPr>
          <w:p>
            <w:pPr>
              <w:spacing w:line="360" w:lineRule="auto"/>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分值</w:t>
            </w:r>
          </w:p>
        </w:tc>
        <w:tc>
          <w:tcPr>
            <w:tcW w:w="5086" w:type="dxa"/>
            <w:gridSpan w:val="2"/>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7" w:type="dxa"/>
            <w:vAlign w:val="center"/>
          </w:tcPr>
          <w:p>
            <w:pPr>
              <w:spacing w:line="320" w:lineRule="exact"/>
              <w:jc w:val="center"/>
              <w:rPr>
                <w:rFonts w:ascii="宋体" w:hAnsi="宋体" w:cs="宋体"/>
                <w:snapToGrid w:val="0"/>
                <w:color w:val="auto"/>
                <w:sz w:val="18"/>
                <w:szCs w:val="18"/>
                <w:highlight w:val="none"/>
              </w:rPr>
            </w:pPr>
            <w:r>
              <w:rPr>
                <w:rFonts w:hint="eastAsia" w:ascii="宋体" w:hAnsi="宋体" w:cs="宋体"/>
                <w:color w:val="auto"/>
                <w:sz w:val="18"/>
                <w:szCs w:val="18"/>
                <w:highlight w:val="none"/>
              </w:rPr>
              <w:t>4.1</w:t>
            </w:r>
          </w:p>
        </w:tc>
        <w:tc>
          <w:tcPr>
            <w:tcW w:w="2007" w:type="dxa"/>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综合实力</w:t>
            </w:r>
          </w:p>
        </w:tc>
        <w:tc>
          <w:tcPr>
            <w:tcW w:w="1192" w:type="dxa"/>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3分</w:t>
            </w: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供应商每获得一项省级及以上荣誉的得1分，每获得一项市级荣誉得0.5分，本项最高得3分。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注：获奖情况以行政主管部门的荣誉证书为准。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7"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4.2</w:t>
            </w:r>
          </w:p>
        </w:tc>
        <w:tc>
          <w:tcPr>
            <w:tcW w:w="2007" w:type="dxa"/>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认证情况</w:t>
            </w:r>
          </w:p>
        </w:tc>
        <w:tc>
          <w:tcPr>
            <w:tcW w:w="1192" w:type="dxa"/>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6分</w:t>
            </w: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具有质量管理体系认证、环境管理体系认证、职业健康安全管理体系认证且认证内容包含劳务派遣等相关内容的每个得 2分；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有效性认定：须提供以上证书扫描件加盖单位公章，并在全国认证认可信息公共服务平台(http://cx.cnca.cn/CertECloud/result/skipResultList）查询到相关证书信息，否则不得分；以官网查询结果为准。如因系统故障无法查询，则以供应商提供的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7" w:type="dxa"/>
            <w:vAlign w:val="center"/>
          </w:tcPr>
          <w:p>
            <w:pPr>
              <w:spacing w:line="320" w:lineRule="exact"/>
              <w:jc w:val="center"/>
              <w:rPr>
                <w:rFonts w:ascii="宋体" w:hAnsi="宋体" w:cs="宋体"/>
                <w:snapToGrid w:val="0"/>
                <w:color w:val="auto"/>
                <w:sz w:val="18"/>
                <w:szCs w:val="18"/>
                <w:highlight w:val="none"/>
              </w:rPr>
            </w:pPr>
            <w:r>
              <w:rPr>
                <w:rFonts w:hint="eastAsia" w:ascii="宋体" w:hAnsi="宋体" w:cs="宋体"/>
                <w:color w:val="auto"/>
                <w:sz w:val="18"/>
                <w:szCs w:val="18"/>
                <w:highlight w:val="none"/>
              </w:rPr>
              <w:t>4.3</w:t>
            </w:r>
          </w:p>
        </w:tc>
        <w:tc>
          <w:tcPr>
            <w:tcW w:w="2007" w:type="dxa"/>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color w:val="auto"/>
                <w:sz w:val="18"/>
                <w:szCs w:val="18"/>
                <w:highlight w:val="none"/>
              </w:rPr>
              <w:t>业绩</w:t>
            </w:r>
          </w:p>
        </w:tc>
        <w:tc>
          <w:tcPr>
            <w:tcW w:w="1192" w:type="dxa"/>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1分</w:t>
            </w: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供应商自2020年1月1日以来（业绩认定时间以合同签订时间为准）类似业绩（类似业绩指劳务派遣服务或外包服务），每提供一个得0.5分,最高得分1分。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注：需提供中标（成交）通知书和合同扫描件加盖公章。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7" w:type="dxa"/>
            <w:vMerge w:val="restart"/>
            <w:vAlign w:val="center"/>
          </w:tcPr>
          <w:p>
            <w:pPr>
              <w:spacing w:line="320" w:lineRule="exact"/>
              <w:jc w:val="center"/>
              <w:rPr>
                <w:rFonts w:ascii="宋体" w:hAnsi="宋体" w:cs="宋体"/>
                <w:snapToGrid w:val="0"/>
                <w:color w:val="auto"/>
                <w:sz w:val="18"/>
                <w:szCs w:val="18"/>
                <w:highlight w:val="none"/>
              </w:rPr>
            </w:pPr>
            <w:r>
              <w:rPr>
                <w:rFonts w:hint="eastAsia" w:ascii="宋体" w:hAnsi="宋体" w:cs="宋体"/>
                <w:color w:val="auto"/>
                <w:sz w:val="18"/>
                <w:szCs w:val="18"/>
                <w:highlight w:val="none"/>
              </w:rPr>
              <w:t>4.4</w:t>
            </w:r>
          </w:p>
        </w:tc>
        <w:tc>
          <w:tcPr>
            <w:tcW w:w="2007" w:type="dxa"/>
            <w:vMerge w:val="restart"/>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color w:val="auto"/>
                <w:sz w:val="18"/>
                <w:szCs w:val="18"/>
                <w:highlight w:val="none"/>
              </w:rPr>
              <w:t>日常管理组织</w:t>
            </w:r>
          </w:p>
        </w:tc>
        <w:tc>
          <w:tcPr>
            <w:tcW w:w="1192" w:type="dxa"/>
            <w:vMerge w:val="restart"/>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9分</w:t>
            </w: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1、管理服务组织机构设置(附组织机构图)：0-1分；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7" w:type="dxa"/>
            <w:vMerge w:val="continue"/>
            <w:vAlign w:val="center"/>
          </w:tcPr>
          <w:p>
            <w:pPr>
              <w:rPr>
                <w:color w:val="auto"/>
                <w:highlight w:val="none"/>
              </w:rPr>
            </w:pPr>
          </w:p>
        </w:tc>
        <w:tc>
          <w:tcPr>
            <w:tcW w:w="2007" w:type="dxa"/>
            <w:vMerge w:val="continue"/>
            <w:vAlign w:val="center"/>
          </w:tcPr>
          <w:p>
            <w:pPr>
              <w:rPr>
                <w:color w:val="auto"/>
                <w:highlight w:val="none"/>
              </w:rPr>
            </w:pPr>
          </w:p>
        </w:tc>
        <w:tc>
          <w:tcPr>
            <w:tcW w:w="1192" w:type="dxa"/>
            <w:vMerge w:val="continue"/>
            <w:vAlign w:val="center"/>
          </w:tcPr>
          <w:p>
            <w:pPr>
              <w:rPr>
                <w:color w:val="auto"/>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2、运作流程(附运作流程图)：0-2分；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7" w:type="dxa"/>
            <w:vMerge w:val="continue"/>
            <w:vAlign w:val="center"/>
          </w:tcPr>
          <w:p>
            <w:pPr>
              <w:rPr>
                <w:rFonts w:ascii="宋体" w:hAnsi="宋体" w:cs="宋体"/>
                <w:snapToGrid w:val="0"/>
                <w:color w:val="auto"/>
                <w:sz w:val="18"/>
                <w:szCs w:val="18"/>
                <w:highlight w:val="none"/>
              </w:rPr>
            </w:pPr>
          </w:p>
        </w:tc>
        <w:tc>
          <w:tcPr>
            <w:tcW w:w="2007" w:type="dxa"/>
            <w:vMerge w:val="continue"/>
            <w:vAlign w:val="center"/>
          </w:tcPr>
          <w:p>
            <w:pPr>
              <w:rPr>
                <w:rFonts w:ascii="宋体" w:hAnsi="宋体" w:cs="宋体"/>
                <w:snapToGrid w:val="0"/>
                <w:color w:val="auto"/>
                <w:sz w:val="18"/>
                <w:szCs w:val="18"/>
                <w:highlight w:val="none"/>
              </w:rPr>
            </w:pPr>
          </w:p>
        </w:tc>
        <w:tc>
          <w:tcPr>
            <w:tcW w:w="1192" w:type="dxa"/>
            <w:vMerge w:val="continue"/>
            <w:vAlign w:val="center"/>
          </w:tcPr>
          <w:p>
            <w:pPr>
              <w:rPr>
                <w:rFonts w:ascii="宋体" w:hAnsi="宋体" w:cs="宋体"/>
                <w:snapToGrid w:val="0"/>
                <w:color w:val="auto"/>
                <w:sz w:val="18"/>
                <w:szCs w:val="18"/>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3、激励机制：0-2分；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7" w:type="dxa"/>
            <w:vMerge w:val="continue"/>
            <w:vAlign w:val="center"/>
          </w:tcPr>
          <w:p>
            <w:pPr>
              <w:rPr>
                <w:rFonts w:ascii="宋体" w:hAnsi="宋体" w:cs="宋体"/>
                <w:snapToGrid w:val="0"/>
                <w:color w:val="auto"/>
                <w:sz w:val="18"/>
                <w:szCs w:val="18"/>
                <w:highlight w:val="none"/>
              </w:rPr>
            </w:pPr>
          </w:p>
        </w:tc>
        <w:tc>
          <w:tcPr>
            <w:tcW w:w="2007" w:type="dxa"/>
            <w:vMerge w:val="continue"/>
            <w:vAlign w:val="center"/>
          </w:tcPr>
          <w:p>
            <w:pPr>
              <w:rPr>
                <w:rFonts w:ascii="宋体" w:hAnsi="宋体" w:cs="宋体"/>
                <w:snapToGrid w:val="0"/>
                <w:color w:val="auto"/>
                <w:sz w:val="18"/>
                <w:szCs w:val="18"/>
                <w:highlight w:val="none"/>
              </w:rPr>
            </w:pPr>
          </w:p>
        </w:tc>
        <w:tc>
          <w:tcPr>
            <w:tcW w:w="1192" w:type="dxa"/>
            <w:vMerge w:val="continue"/>
            <w:vAlign w:val="center"/>
          </w:tcPr>
          <w:p>
            <w:pPr>
              <w:rPr>
                <w:rFonts w:ascii="宋体" w:hAnsi="宋体" w:cs="宋体"/>
                <w:snapToGrid w:val="0"/>
                <w:color w:val="auto"/>
                <w:sz w:val="18"/>
                <w:szCs w:val="18"/>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4、财务保障机制：0-2分；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7" w:type="dxa"/>
            <w:vMerge w:val="continue"/>
            <w:vAlign w:val="center"/>
          </w:tcPr>
          <w:p>
            <w:pPr>
              <w:rPr>
                <w:rFonts w:ascii="宋体" w:hAnsi="宋体" w:cs="宋体"/>
                <w:snapToGrid w:val="0"/>
                <w:color w:val="auto"/>
                <w:sz w:val="18"/>
                <w:szCs w:val="18"/>
                <w:highlight w:val="none"/>
              </w:rPr>
            </w:pPr>
          </w:p>
        </w:tc>
        <w:tc>
          <w:tcPr>
            <w:tcW w:w="2007" w:type="dxa"/>
            <w:vMerge w:val="continue"/>
            <w:vAlign w:val="center"/>
          </w:tcPr>
          <w:p>
            <w:pPr>
              <w:rPr>
                <w:rFonts w:ascii="宋体" w:hAnsi="宋体" w:cs="宋体"/>
                <w:snapToGrid w:val="0"/>
                <w:color w:val="auto"/>
                <w:sz w:val="18"/>
                <w:szCs w:val="18"/>
                <w:highlight w:val="none"/>
              </w:rPr>
            </w:pPr>
          </w:p>
        </w:tc>
        <w:tc>
          <w:tcPr>
            <w:tcW w:w="1192" w:type="dxa"/>
            <w:vMerge w:val="continue"/>
            <w:vAlign w:val="center"/>
          </w:tcPr>
          <w:p>
            <w:pPr>
              <w:rPr>
                <w:rFonts w:ascii="宋体" w:hAnsi="宋体" w:cs="宋体"/>
                <w:snapToGrid w:val="0"/>
                <w:color w:val="auto"/>
                <w:sz w:val="18"/>
                <w:szCs w:val="18"/>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5、监督机制：0-2分。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7" w:type="dxa"/>
            <w:vMerge w:val="restart"/>
            <w:vAlign w:val="center"/>
          </w:tcPr>
          <w:p>
            <w:pPr>
              <w:spacing w:line="320" w:lineRule="exact"/>
              <w:jc w:val="center"/>
              <w:rPr>
                <w:rFonts w:ascii="宋体" w:hAnsi="宋体" w:cs="宋体"/>
                <w:snapToGrid w:val="0"/>
                <w:color w:val="auto"/>
                <w:sz w:val="18"/>
                <w:szCs w:val="18"/>
                <w:highlight w:val="none"/>
              </w:rPr>
            </w:pPr>
            <w:r>
              <w:rPr>
                <w:rFonts w:hint="eastAsia" w:ascii="宋体" w:hAnsi="宋体" w:cs="宋体"/>
                <w:color w:val="auto"/>
                <w:sz w:val="18"/>
                <w:szCs w:val="18"/>
                <w:highlight w:val="none"/>
              </w:rPr>
              <w:t>4.5</w:t>
            </w:r>
          </w:p>
        </w:tc>
        <w:tc>
          <w:tcPr>
            <w:tcW w:w="2007" w:type="dxa"/>
            <w:vMerge w:val="restart"/>
            <w:vAlign w:val="center"/>
          </w:tcPr>
          <w:p>
            <w:pPr>
              <w:spacing w:line="360" w:lineRule="auto"/>
              <w:ind w:left="-50"/>
              <w:jc w:val="center"/>
              <w:rPr>
                <w:rFonts w:ascii="宋体" w:hAnsi="宋体" w:cs="宋体"/>
                <w:color w:val="auto"/>
                <w:sz w:val="18"/>
                <w:szCs w:val="18"/>
                <w:highlight w:val="none"/>
              </w:rPr>
            </w:pPr>
            <w:r>
              <w:rPr>
                <w:rFonts w:hint="eastAsia" w:ascii="宋体" w:hAnsi="宋体" w:cs="宋体"/>
                <w:color w:val="auto"/>
                <w:sz w:val="18"/>
                <w:szCs w:val="18"/>
                <w:highlight w:val="none"/>
              </w:rPr>
              <w:t>本项目管理人员配备情况</w:t>
            </w:r>
          </w:p>
        </w:tc>
        <w:tc>
          <w:tcPr>
            <w:tcW w:w="1192" w:type="dxa"/>
            <w:vMerge w:val="restart"/>
            <w:vAlign w:val="center"/>
          </w:tcPr>
          <w:p>
            <w:pPr>
              <w:spacing w:line="360" w:lineRule="auto"/>
              <w:ind w:left="-50"/>
              <w:jc w:val="center"/>
              <w:rPr>
                <w:rFonts w:ascii="宋体" w:hAnsi="宋体" w:cs="宋体"/>
                <w:color w:val="auto"/>
                <w:sz w:val="18"/>
                <w:szCs w:val="18"/>
                <w:highlight w:val="none"/>
              </w:rPr>
            </w:pPr>
            <w:r>
              <w:rPr>
                <w:rFonts w:hint="eastAsia" w:ascii="宋体" w:hAnsi="宋体" w:cs="宋体"/>
                <w:snapToGrid w:val="0"/>
                <w:color w:val="auto"/>
                <w:sz w:val="18"/>
                <w:szCs w:val="18"/>
                <w:highlight w:val="none"/>
              </w:rPr>
              <w:t>18分</w:t>
            </w: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1、根据项目负责人的学历，由专家打分：专科学历得1分，本科及以上学历得2分；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7" w:type="dxa"/>
            <w:vMerge w:val="continue"/>
            <w:vAlign w:val="center"/>
          </w:tcPr>
          <w:p>
            <w:pPr>
              <w:rPr>
                <w:color w:val="auto"/>
                <w:highlight w:val="none"/>
              </w:rPr>
            </w:pPr>
          </w:p>
        </w:tc>
        <w:tc>
          <w:tcPr>
            <w:tcW w:w="2007" w:type="dxa"/>
            <w:vMerge w:val="continue"/>
            <w:vAlign w:val="center"/>
          </w:tcPr>
          <w:p>
            <w:pPr>
              <w:rPr>
                <w:color w:val="auto"/>
                <w:highlight w:val="none"/>
              </w:rPr>
            </w:pPr>
          </w:p>
        </w:tc>
        <w:tc>
          <w:tcPr>
            <w:tcW w:w="1192" w:type="dxa"/>
            <w:vMerge w:val="continue"/>
            <w:vAlign w:val="center"/>
          </w:tcPr>
          <w:p>
            <w:pPr>
              <w:rPr>
                <w:color w:val="auto"/>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2、根据项目负责人的专业素质、职称、获奖情况、相关行业工作经验等，由专家打分：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（1）配备合理科学，满足采购要求的：2-3分；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（2）配备基本合理，基本满足采购要求的：1-2分；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（3）配备较为简单或存在缺漏的：0-1分。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注：需提供相关证明资料扫描件加盖供应商公章。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7" w:type="dxa"/>
            <w:vMerge w:val="continue"/>
            <w:vAlign w:val="center"/>
          </w:tcPr>
          <w:p>
            <w:pPr>
              <w:rPr>
                <w:rFonts w:ascii="宋体" w:hAnsi="宋体" w:cs="宋体"/>
                <w:snapToGrid w:val="0"/>
                <w:color w:val="auto"/>
                <w:sz w:val="18"/>
                <w:szCs w:val="18"/>
                <w:highlight w:val="none"/>
              </w:rPr>
            </w:pPr>
          </w:p>
        </w:tc>
        <w:tc>
          <w:tcPr>
            <w:tcW w:w="2007" w:type="dxa"/>
            <w:vMerge w:val="continue"/>
            <w:vAlign w:val="center"/>
          </w:tcPr>
          <w:p>
            <w:pPr>
              <w:rPr>
                <w:rFonts w:ascii="宋体" w:hAnsi="宋体" w:cs="宋体"/>
                <w:snapToGrid w:val="0"/>
                <w:color w:val="auto"/>
                <w:sz w:val="18"/>
                <w:szCs w:val="18"/>
                <w:highlight w:val="none"/>
              </w:rPr>
            </w:pPr>
          </w:p>
        </w:tc>
        <w:tc>
          <w:tcPr>
            <w:tcW w:w="1192" w:type="dxa"/>
            <w:vMerge w:val="continue"/>
            <w:vAlign w:val="center"/>
          </w:tcPr>
          <w:p>
            <w:pPr>
              <w:rPr>
                <w:rFonts w:ascii="宋体" w:hAnsi="宋体" w:cs="宋体"/>
                <w:snapToGrid w:val="0"/>
                <w:color w:val="auto"/>
                <w:sz w:val="18"/>
                <w:szCs w:val="18"/>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3、根据项目组人员配备（除项目负责人外）的数量、年龄学历、专业素质以及技术能力等，由专家打分：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（1）配备合理科学，满足采购要求的：2-3分；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（2）配备基本合理，基本满足采购要求的：1-2分；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（3）配备较为简单或存在缺漏的：0-1分。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注：需提供相关证明资料扫描件加盖供应商公章。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7" w:type="dxa"/>
            <w:vMerge w:val="continue"/>
            <w:vAlign w:val="center"/>
          </w:tcPr>
          <w:p>
            <w:pPr>
              <w:rPr>
                <w:rFonts w:ascii="宋体" w:hAnsi="宋体" w:cs="宋体"/>
                <w:snapToGrid w:val="0"/>
                <w:color w:val="auto"/>
                <w:sz w:val="18"/>
                <w:szCs w:val="18"/>
                <w:highlight w:val="none"/>
              </w:rPr>
            </w:pPr>
          </w:p>
        </w:tc>
        <w:tc>
          <w:tcPr>
            <w:tcW w:w="2007" w:type="dxa"/>
            <w:vMerge w:val="continue"/>
            <w:vAlign w:val="center"/>
          </w:tcPr>
          <w:p>
            <w:pPr>
              <w:rPr>
                <w:rFonts w:ascii="宋体" w:hAnsi="宋体" w:cs="宋体"/>
                <w:snapToGrid w:val="0"/>
                <w:color w:val="auto"/>
                <w:sz w:val="18"/>
                <w:szCs w:val="18"/>
                <w:highlight w:val="none"/>
              </w:rPr>
            </w:pPr>
          </w:p>
        </w:tc>
        <w:tc>
          <w:tcPr>
            <w:tcW w:w="1192" w:type="dxa"/>
            <w:vMerge w:val="continue"/>
            <w:vAlign w:val="center"/>
          </w:tcPr>
          <w:p>
            <w:pPr>
              <w:rPr>
                <w:rFonts w:ascii="宋体" w:hAnsi="宋体" w:cs="宋体"/>
                <w:snapToGrid w:val="0"/>
                <w:color w:val="auto"/>
                <w:sz w:val="18"/>
                <w:szCs w:val="18"/>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4、具有一级人力资源管理师证的，每提供一个得2分；具有二级人力资源管理师证的，每提供一个得1分；具有三级人力资源管理师证的，每提供一个得0.5分。本项最高得4分。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注：（1）同一人员仅取最高分。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（2）需提供相关证明资料扫描件加盖供应商公章。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7" w:type="dxa"/>
            <w:vMerge w:val="continue"/>
            <w:vAlign w:val="center"/>
          </w:tcPr>
          <w:p>
            <w:pPr>
              <w:rPr>
                <w:rFonts w:ascii="宋体" w:hAnsi="宋体" w:cs="宋体"/>
                <w:snapToGrid w:val="0"/>
                <w:color w:val="auto"/>
                <w:sz w:val="18"/>
                <w:szCs w:val="18"/>
                <w:highlight w:val="none"/>
              </w:rPr>
            </w:pPr>
          </w:p>
        </w:tc>
        <w:tc>
          <w:tcPr>
            <w:tcW w:w="2007" w:type="dxa"/>
            <w:vMerge w:val="continue"/>
            <w:vAlign w:val="center"/>
          </w:tcPr>
          <w:p>
            <w:pPr>
              <w:rPr>
                <w:rFonts w:ascii="宋体" w:hAnsi="宋体" w:cs="宋体"/>
                <w:snapToGrid w:val="0"/>
                <w:color w:val="auto"/>
                <w:sz w:val="18"/>
                <w:szCs w:val="18"/>
                <w:highlight w:val="none"/>
              </w:rPr>
            </w:pPr>
          </w:p>
        </w:tc>
        <w:tc>
          <w:tcPr>
            <w:tcW w:w="1192" w:type="dxa"/>
            <w:vMerge w:val="continue"/>
            <w:vAlign w:val="center"/>
          </w:tcPr>
          <w:p>
            <w:pPr>
              <w:rPr>
                <w:rFonts w:ascii="宋体" w:hAnsi="宋体" w:cs="宋体"/>
                <w:snapToGrid w:val="0"/>
                <w:color w:val="auto"/>
                <w:sz w:val="18"/>
                <w:szCs w:val="18"/>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5、具有中级及以上会计职称或注册会计师资格证书每提供一个得1分，最高得2分；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注：需提供相关证明资料扫描件加盖供应商公章。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7" w:type="dxa"/>
            <w:vMerge w:val="continue"/>
            <w:vAlign w:val="center"/>
          </w:tcPr>
          <w:p>
            <w:pPr>
              <w:rPr>
                <w:rFonts w:ascii="宋体" w:hAnsi="宋体" w:cs="宋体"/>
                <w:snapToGrid w:val="0"/>
                <w:color w:val="auto"/>
                <w:sz w:val="18"/>
                <w:szCs w:val="18"/>
                <w:highlight w:val="none"/>
              </w:rPr>
            </w:pPr>
          </w:p>
        </w:tc>
        <w:tc>
          <w:tcPr>
            <w:tcW w:w="2007" w:type="dxa"/>
            <w:vMerge w:val="continue"/>
            <w:vAlign w:val="center"/>
          </w:tcPr>
          <w:p>
            <w:pPr>
              <w:rPr>
                <w:rFonts w:ascii="宋体" w:hAnsi="宋体" w:cs="宋体"/>
                <w:snapToGrid w:val="0"/>
                <w:color w:val="auto"/>
                <w:sz w:val="18"/>
                <w:szCs w:val="18"/>
                <w:highlight w:val="none"/>
              </w:rPr>
            </w:pPr>
          </w:p>
        </w:tc>
        <w:tc>
          <w:tcPr>
            <w:tcW w:w="1192" w:type="dxa"/>
            <w:vMerge w:val="continue"/>
            <w:vAlign w:val="center"/>
          </w:tcPr>
          <w:p>
            <w:pPr>
              <w:rPr>
                <w:rFonts w:ascii="宋体" w:hAnsi="宋体" w:cs="宋体"/>
                <w:snapToGrid w:val="0"/>
                <w:color w:val="auto"/>
                <w:sz w:val="18"/>
                <w:szCs w:val="18"/>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6、具有劳动关系协调员四级技能证书的每提供一个得0.5分；三级得1分；二级得1.5分；一级得3分,最高得3分。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注：需提供相关证明资料扫描件加盖供应商公章。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7" w:type="dxa"/>
            <w:vMerge w:val="continue"/>
            <w:vAlign w:val="center"/>
          </w:tcPr>
          <w:p>
            <w:pPr>
              <w:rPr>
                <w:rFonts w:ascii="宋体" w:hAnsi="宋体" w:cs="宋体"/>
                <w:snapToGrid w:val="0"/>
                <w:color w:val="auto"/>
                <w:sz w:val="18"/>
                <w:szCs w:val="18"/>
                <w:highlight w:val="none"/>
              </w:rPr>
            </w:pPr>
          </w:p>
        </w:tc>
        <w:tc>
          <w:tcPr>
            <w:tcW w:w="2007" w:type="dxa"/>
            <w:vMerge w:val="continue"/>
            <w:vAlign w:val="center"/>
          </w:tcPr>
          <w:p>
            <w:pPr>
              <w:rPr>
                <w:rFonts w:ascii="宋体" w:hAnsi="宋体" w:cs="宋体"/>
                <w:snapToGrid w:val="0"/>
                <w:color w:val="auto"/>
                <w:sz w:val="18"/>
                <w:szCs w:val="18"/>
                <w:highlight w:val="none"/>
              </w:rPr>
            </w:pPr>
          </w:p>
        </w:tc>
        <w:tc>
          <w:tcPr>
            <w:tcW w:w="1192" w:type="dxa"/>
            <w:vMerge w:val="continue"/>
            <w:vAlign w:val="center"/>
          </w:tcPr>
          <w:p>
            <w:pPr>
              <w:rPr>
                <w:rFonts w:ascii="宋体" w:hAnsi="宋体" w:cs="宋体"/>
                <w:snapToGrid w:val="0"/>
                <w:color w:val="auto"/>
                <w:sz w:val="18"/>
                <w:szCs w:val="18"/>
                <w:highlight w:val="none"/>
              </w:rPr>
            </w:pPr>
          </w:p>
        </w:tc>
        <w:tc>
          <w:tcPr>
            <w:tcW w:w="5086" w:type="dxa"/>
            <w:gridSpan w:val="2"/>
            <w:vAlign w:val="center"/>
          </w:tcPr>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7、具有法律专职人员或通过聘请法律顾问（律师或法律工作者）的得1分；</w:t>
            </w:r>
          </w:p>
          <w:p>
            <w:pP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注：需提供相关证明资料扫描件加盖供应商公章。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27" w:type="dxa"/>
            <w:vMerge w:val="restart"/>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4.6</w:t>
            </w:r>
          </w:p>
        </w:tc>
        <w:tc>
          <w:tcPr>
            <w:tcW w:w="2007" w:type="dxa"/>
            <w:vMerge w:val="restart"/>
            <w:vAlign w:val="center"/>
          </w:tcPr>
          <w:p>
            <w:pPr>
              <w:spacing w:line="360" w:lineRule="auto"/>
              <w:ind w:left="-50"/>
              <w:jc w:val="center"/>
              <w:rPr>
                <w:rFonts w:ascii="宋体" w:hAnsi="宋体" w:cs="宋体"/>
                <w:color w:val="auto"/>
                <w:sz w:val="18"/>
                <w:szCs w:val="18"/>
                <w:highlight w:val="none"/>
              </w:rPr>
            </w:pPr>
            <w:r>
              <w:rPr>
                <w:rFonts w:hint="eastAsia" w:ascii="宋体" w:hAnsi="宋体" w:cs="宋体"/>
                <w:color w:val="auto"/>
                <w:sz w:val="18"/>
                <w:szCs w:val="18"/>
                <w:highlight w:val="none"/>
              </w:rPr>
              <w:t>具体实施方案、服务承诺及各项管理应急措施</w:t>
            </w:r>
          </w:p>
        </w:tc>
        <w:tc>
          <w:tcPr>
            <w:tcW w:w="1192" w:type="dxa"/>
            <w:vMerge w:val="restart"/>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20分</w:t>
            </w:r>
          </w:p>
        </w:tc>
        <w:tc>
          <w:tcPr>
            <w:tcW w:w="5086" w:type="dxa"/>
            <w:gridSpan w:val="2"/>
            <w:vAlign w:val="center"/>
          </w:tcPr>
          <w:p>
            <w:pPr>
              <w:widowControl w:val="0"/>
              <w:numPr>
                <w:ilvl w:val="0"/>
                <w:numId w:val="36"/>
              </w:numPr>
              <w:ind w:right="3"/>
              <w:jc w:val="both"/>
              <w:rPr>
                <w:rFonts w:ascii="宋体" w:hAnsi="宋体" w:cs="宋体"/>
                <w:color w:val="auto"/>
                <w:sz w:val="18"/>
                <w:szCs w:val="18"/>
                <w:highlight w:val="none"/>
              </w:rPr>
            </w:pPr>
            <w:r>
              <w:rPr>
                <w:rFonts w:hint="eastAsia" w:ascii="宋体" w:hAnsi="宋体" w:cs="宋体"/>
                <w:color w:val="auto"/>
                <w:sz w:val="18"/>
                <w:szCs w:val="18"/>
                <w:highlight w:val="none"/>
              </w:rPr>
              <w:t>服务内容：</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（1）方案全面、合理，针对性强的：2-3分；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（2）方案基本全面、合理，针对性一般的：1-2分；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（3）方案较为简单或存在缺漏的：0-1分。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27" w:type="dxa"/>
            <w:vMerge w:val="continue"/>
            <w:vAlign w:val="center"/>
          </w:tcPr>
          <w:p>
            <w:pPr>
              <w:spacing w:line="360" w:lineRule="auto"/>
              <w:rPr>
                <w:color w:val="auto"/>
                <w:highlight w:val="none"/>
              </w:rPr>
            </w:pPr>
          </w:p>
        </w:tc>
        <w:tc>
          <w:tcPr>
            <w:tcW w:w="2007" w:type="dxa"/>
            <w:vMerge w:val="continue"/>
            <w:vAlign w:val="center"/>
          </w:tcPr>
          <w:p>
            <w:pPr>
              <w:spacing w:line="360" w:lineRule="auto"/>
              <w:rPr>
                <w:color w:val="auto"/>
                <w:highlight w:val="none"/>
              </w:rPr>
            </w:pPr>
          </w:p>
        </w:tc>
        <w:tc>
          <w:tcPr>
            <w:tcW w:w="1192" w:type="dxa"/>
            <w:vMerge w:val="continue"/>
            <w:vAlign w:val="center"/>
          </w:tcPr>
          <w:p>
            <w:pPr>
              <w:spacing w:line="360" w:lineRule="auto"/>
              <w:rPr>
                <w:color w:val="auto"/>
                <w:highlight w:val="none"/>
              </w:rPr>
            </w:pPr>
          </w:p>
        </w:tc>
        <w:tc>
          <w:tcPr>
            <w:tcW w:w="5086" w:type="dxa"/>
            <w:gridSpan w:val="2"/>
            <w:vAlign w:val="center"/>
          </w:tcPr>
          <w:p>
            <w:pPr>
              <w:widowControl w:val="0"/>
              <w:numPr>
                <w:ilvl w:val="0"/>
                <w:numId w:val="36"/>
              </w:numPr>
              <w:ind w:right="3"/>
              <w:jc w:val="both"/>
              <w:rPr>
                <w:rFonts w:ascii="宋体" w:hAnsi="宋体" w:cs="宋体"/>
                <w:color w:val="auto"/>
                <w:sz w:val="18"/>
                <w:szCs w:val="18"/>
                <w:highlight w:val="none"/>
              </w:rPr>
            </w:pPr>
            <w:r>
              <w:rPr>
                <w:rFonts w:hint="eastAsia" w:ascii="宋体" w:hAnsi="宋体" w:cs="宋体"/>
                <w:color w:val="auto"/>
                <w:sz w:val="18"/>
                <w:szCs w:val="18"/>
                <w:highlight w:val="none"/>
              </w:rPr>
              <w:t>工作流程：</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（1）方案全面、合理，针对性强的：2-3分；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（2）方案基本全面、合理，针对性一般的：1-2分；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（3）方案较为简单或存在缺漏的：0-1分。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27" w:type="dxa"/>
            <w:vMerge w:val="continue"/>
            <w:vAlign w:val="center"/>
          </w:tcPr>
          <w:p>
            <w:pPr>
              <w:spacing w:line="360" w:lineRule="auto"/>
              <w:rPr>
                <w:rFonts w:ascii="宋体" w:hAnsi="宋体" w:cs="宋体"/>
                <w:color w:val="auto"/>
                <w:sz w:val="18"/>
                <w:szCs w:val="18"/>
                <w:highlight w:val="none"/>
              </w:rPr>
            </w:pPr>
          </w:p>
        </w:tc>
        <w:tc>
          <w:tcPr>
            <w:tcW w:w="2007" w:type="dxa"/>
            <w:vMerge w:val="continue"/>
            <w:vAlign w:val="center"/>
          </w:tcPr>
          <w:p>
            <w:pPr>
              <w:spacing w:line="360" w:lineRule="auto"/>
              <w:rPr>
                <w:rFonts w:ascii="宋体" w:hAnsi="宋体" w:cs="宋体"/>
                <w:color w:val="auto"/>
                <w:sz w:val="18"/>
                <w:szCs w:val="18"/>
                <w:highlight w:val="none"/>
              </w:rPr>
            </w:pPr>
          </w:p>
        </w:tc>
        <w:tc>
          <w:tcPr>
            <w:tcW w:w="1192" w:type="dxa"/>
            <w:vMerge w:val="continue"/>
            <w:vAlign w:val="center"/>
          </w:tcPr>
          <w:p>
            <w:pPr>
              <w:spacing w:line="360" w:lineRule="auto"/>
              <w:rPr>
                <w:rFonts w:ascii="宋体" w:hAnsi="宋体" w:cs="宋体"/>
                <w:color w:val="auto"/>
                <w:sz w:val="18"/>
                <w:szCs w:val="18"/>
                <w:highlight w:val="none"/>
              </w:rPr>
            </w:pPr>
          </w:p>
        </w:tc>
        <w:tc>
          <w:tcPr>
            <w:tcW w:w="5086" w:type="dxa"/>
            <w:gridSpan w:val="2"/>
            <w:vAlign w:val="center"/>
          </w:tcPr>
          <w:p>
            <w:pPr>
              <w:widowControl w:val="0"/>
              <w:numPr>
                <w:ilvl w:val="0"/>
                <w:numId w:val="36"/>
              </w:numPr>
              <w:ind w:right="3"/>
              <w:jc w:val="both"/>
              <w:rPr>
                <w:rFonts w:ascii="宋体" w:hAnsi="宋体" w:cs="宋体"/>
                <w:color w:val="auto"/>
                <w:sz w:val="18"/>
                <w:szCs w:val="18"/>
                <w:highlight w:val="none"/>
              </w:rPr>
            </w:pPr>
            <w:r>
              <w:rPr>
                <w:rFonts w:hint="eastAsia" w:ascii="宋体" w:hAnsi="宋体" w:cs="宋体"/>
                <w:color w:val="auto"/>
                <w:sz w:val="18"/>
                <w:szCs w:val="18"/>
                <w:highlight w:val="none"/>
              </w:rPr>
              <w:t>工作标准：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（1）方案全面、合理，针对性强的：2-3分；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（2）方案基本全面、合理，针对性一般的：1-2分；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（3）方案较为简单或存在缺漏的：0-1分。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27" w:type="dxa"/>
            <w:vMerge w:val="continue"/>
            <w:vAlign w:val="center"/>
          </w:tcPr>
          <w:p>
            <w:pPr>
              <w:spacing w:line="360" w:lineRule="auto"/>
              <w:rPr>
                <w:rFonts w:ascii="宋体" w:hAnsi="宋体" w:cs="宋体"/>
                <w:color w:val="auto"/>
                <w:sz w:val="18"/>
                <w:szCs w:val="18"/>
                <w:highlight w:val="none"/>
              </w:rPr>
            </w:pPr>
          </w:p>
        </w:tc>
        <w:tc>
          <w:tcPr>
            <w:tcW w:w="2007" w:type="dxa"/>
            <w:vMerge w:val="continue"/>
            <w:vAlign w:val="center"/>
          </w:tcPr>
          <w:p>
            <w:pPr>
              <w:spacing w:line="360" w:lineRule="auto"/>
              <w:rPr>
                <w:rFonts w:ascii="宋体" w:hAnsi="宋体" w:cs="宋体"/>
                <w:color w:val="auto"/>
                <w:sz w:val="18"/>
                <w:szCs w:val="18"/>
                <w:highlight w:val="none"/>
              </w:rPr>
            </w:pPr>
          </w:p>
        </w:tc>
        <w:tc>
          <w:tcPr>
            <w:tcW w:w="1192" w:type="dxa"/>
            <w:vMerge w:val="continue"/>
            <w:vAlign w:val="center"/>
          </w:tcPr>
          <w:p>
            <w:pPr>
              <w:spacing w:line="360" w:lineRule="auto"/>
              <w:rPr>
                <w:rFonts w:ascii="宋体" w:hAnsi="宋体" w:cs="宋体"/>
                <w:color w:val="auto"/>
                <w:sz w:val="18"/>
                <w:szCs w:val="18"/>
                <w:highlight w:val="none"/>
              </w:rPr>
            </w:pPr>
          </w:p>
        </w:tc>
        <w:tc>
          <w:tcPr>
            <w:tcW w:w="5086" w:type="dxa"/>
            <w:gridSpan w:val="2"/>
            <w:vAlign w:val="center"/>
          </w:tcPr>
          <w:p>
            <w:pPr>
              <w:widowControl w:val="0"/>
              <w:numPr>
                <w:ilvl w:val="0"/>
                <w:numId w:val="36"/>
              </w:numPr>
              <w:ind w:right="3"/>
              <w:jc w:val="both"/>
              <w:rPr>
                <w:rFonts w:ascii="宋体" w:hAnsi="宋体" w:cs="宋体"/>
                <w:color w:val="auto"/>
                <w:sz w:val="18"/>
                <w:szCs w:val="18"/>
                <w:highlight w:val="none"/>
              </w:rPr>
            </w:pPr>
            <w:r>
              <w:rPr>
                <w:rFonts w:hint="eastAsia" w:ascii="宋体" w:hAnsi="宋体" w:cs="宋体"/>
                <w:color w:val="auto"/>
                <w:sz w:val="18"/>
                <w:szCs w:val="18"/>
                <w:highlight w:val="none"/>
              </w:rPr>
              <w:t>信息化管理体系：</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（1）方案全面、合理，针对性强的：3-4分；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（2）方案基本全面、合理，针对性一般的：1-3分；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（3）方案较为简单或存在缺漏的：0-1分。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27" w:type="dxa"/>
            <w:vMerge w:val="continue"/>
            <w:vAlign w:val="center"/>
          </w:tcPr>
          <w:p>
            <w:pPr>
              <w:spacing w:line="360" w:lineRule="auto"/>
              <w:rPr>
                <w:rFonts w:ascii="宋体" w:hAnsi="宋体" w:cs="宋体"/>
                <w:color w:val="auto"/>
                <w:sz w:val="18"/>
                <w:szCs w:val="18"/>
                <w:highlight w:val="none"/>
              </w:rPr>
            </w:pPr>
          </w:p>
        </w:tc>
        <w:tc>
          <w:tcPr>
            <w:tcW w:w="2007" w:type="dxa"/>
            <w:vMerge w:val="continue"/>
            <w:vAlign w:val="center"/>
          </w:tcPr>
          <w:p>
            <w:pPr>
              <w:spacing w:line="360" w:lineRule="auto"/>
              <w:rPr>
                <w:rFonts w:ascii="宋体" w:hAnsi="宋体" w:cs="宋体"/>
                <w:color w:val="auto"/>
                <w:sz w:val="18"/>
                <w:szCs w:val="18"/>
                <w:highlight w:val="none"/>
              </w:rPr>
            </w:pPr>
          </w:p>
        </w:tc>
        <w:tc>
          <w:tcPr>
            <w:tcW w:w="1192" w:type="dxa"/>
            <w:vMerge w:val="continue"/>
            <w:vAlign w:val="center"/>
          </w:tcPr>
          <w:p>
            <w:pPr>
              <w:spacing w:line="360" w:lineRule="auto"/>
              <w:rPr>
                <w:rFonts w:ascii="宋体" w:hAnsi="宋体" w:cs="宋体"/>
                <w:color w:val="auto"/>
                <w:sz w:val="18"/>
                <w:szCs w:val="18"/>
                <w:highlight w:val="none"/>
              </w:rPr>
            </w:pPr>
          </w:p>
        </w:tc>
        <w:tc>
          <w:tcPr>
            <w:tcW w:w="5086" w:type="dxa"/>
            <w:gridSpan w:val="2"/>
            <w:vAlign w:val="center"/>
          </w:tcPr>
          <w:p>
            <w:pPr>
              <w:pStyle w:val="62"/>
              <w:numPr>
                <w:ilvl w:val="0"/>
                <w:numId w:val="36"/>
              </w:numPr>
              <w:ind w:right="3"/>
              <w:rPr>
                <w:color w:val="auto"/>
                <w:sz w:val="18"/>
                <w:szCs w:val="18"/>
                <w:highlight w:val="none"/>
              </w:rPr>
            </w:pPr>
            <w:r>
              <w:rPr>
                <w:rFonts w:hint="eastAsia"/>
                <w:color w:val="auto"/>
                <w:sz w:val="18"/>
                <w:szCs w:val="18"/>
                <w:highlight w:val="none"/>
              </w:rPr>
              <w:t>服务承诺：</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（1）承诺科学、合理，针对性强的：2-3分；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（2）承诺基本科学、合理，针对性一般的：1-2分；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（3）承诺较为简单或存在缺漏的：0-1分。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27" w:type="dxa"/>
            <w:vMerge w:val="continue"/>
            <w:vAlign w:val="center"/>
          </w:tcPr>
          <w:p>
            <w:pPr>
              <w:spacing w:line="360" w:lineRule="auto"/>
              <w:rPr>
                <w:rFonts w:ascii="宋体" w:hAnsi="宋体" w:cs="宋体"/>
                <w:color w:val="auto"/>
                <w:sz w:val="18"/>
                <w:szCs w:val="18"/>
                <w:highlight w:val="none"/>
              </w:rPr>
            </w:pPr>
          </w:p>
        </w:tc>
        <w:tc>
          <w:tcPr>
            <w:tcW w:w="2007" w:type="dxa"/>
            <w:vMerge w:val="continue"/>
            <w:vAlign w:val="center"/>
          </w:tcPr>
          <w:p>
            <w:pPr>
              <w:spacing w:line="360" w:lineRule="auto"/>
              <w:rPr>
                <w:rFonts w:ascii="宋体" w:hAnsi="宋体" w:cs="宋体"/>
                <w:color w:val="auto"/>
                <w:sz w:val="18"/>
                <w:szCs w:val="18"/>
                <w:highlight w:val="none"/>
              </w:rPr>
            </w:pPr>
          </w:p>
        </w:tc>
        <w:tc>
          <w:tcPr>
            <w:tcW w:w="1192" w:type="dxa"/>
            <w:vMerge w:val="continue"/>
            <w:vAlign w:val="center"/>
          </w:tcPr>
          <w:p>
            <w:pPr>
              <w:spacing w:line="360" w:lineRule="auto"/>
              <w:rPr>
                <w:rFonts w:ascii="宋体" w:hAnsi="宋体" w:cs="宋体"/>
                <w:color w:val="auto"/>
                <w:sz w:val="18"/>
                <w:szCs w:val="18"/>
                <w:highlight w:val="none"/>
              </w:rPr>
            </w:pPr>
          </w:p>
        </w:tc>
        <w:tc>
          <w:tcPr>
            <w:tcW w:w="5086" w:type="dxa"/>
            <w:gridSpan w:val="2"/>
            <w:vAlign w:val="center"/>
          </w:tcPr>
          <w:p>
            <w:pPr>
              <w:pStyle w:val="62"/>
              <w:numPr>
                <w:ilvl w:val="0"/>
                <w:numId w:val="36"/>
              </w:numPr>
              <w:ind w:right="3"/>
              <w:rPr>
                <w:color w:val="auto"/>
                <w:sz w:val="18"/>
                <w:szCs w:val="18"/>
                <w:highlight w:val="none"/>
              </w:rPr>
            </w:pPr>
            <w:r>
              <w:rPr>
                <w:rFonts w:hint="eastAsia"/>
                <w:color w:val="auto"/>
                <w:sz w:val="18"/>
                <w:szCs w:val="18"/>
                <w:highlight w:val="none"/>
              </w:rPr>
              <w:t>各项管理应急预防措施等：</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（1）方案全面、合理，针对性强的：3-4分；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（2）方案基本全面、合理，针对性一般的：1-3分；</w:t>
            </w:r>
          </w:p>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（3）方案较为简单或存在缺漏的：0-1分。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27" w:type="dxa"/>
            <w:vMerge w:val="restart"/>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4.7</w:t>
            </w:r>
          </w:p>
        </w:tc>
        <w:tc>
          <w:tcPr>
            <w:tcW w:w="2007" w:type="dxa"/>
            <w:vMerge w:val="restart"/>
            <w:vAlign w:val="center"/>
          </w:tcPr>
          <w:p>
            <w:pPr>
              <w:spacing w:line="360" w:lineRule="auto"/>
              <w:ind w:left="-50"/>
              <w:jc w:val="center"/>
              <w:rPr>
                <w:rFonts w:ascii="宋体" w:hAnsi="宋体" w:cs="宋体"/>
                <w:color w:val="auto"/>
                <w:sz w:val="18"/>
                <w:szCs w:val="18"/>
                <w:highlight w:val="none"/>
              </w:rPr>
            </w:pPr>
            <w:r>
              <w:rPr>
                <w:rFonts w:hint="eastAsia" w:ascii="宋体" w:hAnsi="宋体" w:cs="宋体"/>
                <w:color w:val="auto"/>
                <w:sz w:val="18"/>
                <w:szCs w:val="18"/>
                <w:highlight w:val="none"/>
              </w:rPr>
              <w:t>本项目员工培训计划及内容</w:t>
            </w:r>
          </w:p>
        </w:tc>
        <w:tc>
          <w:tcPr>
            <w:tcW w:w="1192" w:type="dxa"/>
            <w:vMerge w:val="restart"/>
            <w:vAlign w:val="center"/>
          </w:tcPr>
          <w:p>
            <w:pPr>
              <w:spacing w:line="360" w:lineRule="auto"/>
              <w:ind w:left="-50"/>
              <w:jc w:val="center"/>
              <w:rPr>
                <w:rFonts w:ascii="宋体" w:hAnsi="宋体" w:cs="宋体"/>
                <w:color w:val="auto"/>
                <w:sz w:val="18"/>
                <w:szCs w:val="18"/>
                <w:highlight w:val="none"/>
              </w:rPr>
            </w:pPr>
            <w:r>
              <w:rPr>
                <w:rFonts w:hint="eastAsia" w:ascii="宋体" w:hAnsi="宋体" w:cs="宋体"/>
                <w:snapToGrid w:val="0"/>
                <w:color w:val="auto"/>
                <w:sz w:val="18"/>
                <w:szCs w:val="18"/>
                <w:highlight w:val="none"/>
              </w:rPr>
              <w:t>8分</w:t>
            </w:r>
          </w:p>
        </w:tc>
        <w:tc>
          <w:tcPr>
            <w:tcW w:w="5086" w:type="dxa"/>
            <w:gridSpan w:val="2"/>
            <w:vAlign w:val="center"/>
          </w:tcPr>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根据磋商供应商的以下情况，由专家打分：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1、培训计划：</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（1）培训计划合理、科学，针对性强的：3-4分；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（2）培训计划较为合理、科学，针对性一般的：1-3分；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（3）计划简单或存在缺陷的：0-1分。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27" w:type="dxa"/>
            <w:vMerge w:val="continue"/>
            <w:vAlign w:val="center"/>
          </w:tcPr>
          <w:p>
            <w:pPr>
              <w:widowControl w:val="0"/>
              <w:ind w:right="3"/>
              <w:jc w:val="both"/>
              <w:rPr>
                <w:color w:val="auto"/>
                <w:highlight w:val="none"/>
              </w:rPr>
            </w:pPr>
          </w:p>
        </w:tc>
        <w:tc>
          <w:tcPr>
            <w:tcW w:w="2007" w:type="dxa"/>
            <w:vMerge w:val="continue"/>
            <w:vAlign w:val="center"/>
          </w:tcPr>
          <w:p>
            <w:pPr>
              <w:widowControl w:val="0"/>
              <w:ind w:right="3"/>
              <w:jc w:val="both"/>
              <w:rPr>
                <w:color w:val="auto"/>
                <w:highlight w:val="none"/>
              </w:rPr>
            </w:pPr>
          </w:p>
        </w:tc>
        <w:tc>
          <w:tcPr>
            <w:tcW w:w="1192" w:type="dxa"/>
            <w:vMerge w:val="continue"/>
            <w:vAlign w:val="center"/>
          </w:tcPr>
          <w:p>
            <w:pPr>
              <w:widowControl w:val="0"/>
              <w:ind w:right="3"/>
              <w:jc w:val="both"/>
              <w:rPr>
                <w:color w:val="auto"/>
                <w:highlight w:val="none"/>
              </w:rPr>
            </w:pPr>
          </w:p>
        </w:tc>
        <w:tc>
          <w:tcPr>
            <w:tcW w:w="5086" w:type="dxa"/>
            <w:gridSpan w:val="2"/>
            <w:vAlign w:val="center"/>
          </w:tcPr>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2、培训内容：</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（1）培训内容合理、科学，针对性强的：3-4分；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（2）培训内容较为合理、科学，针对性一般的：1-3分；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（3）内容简单或存在缺陷的：0-1分。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27" w:type="dxa"/>
            <w:vMerge w:val="restart"/>
            <w:vAlign w:val="center"/>
          </w:tcPr>
          <w:p>
            <w:pPr>
              <w:spacing w:line="320" w:lineRule="exact"/>
              <w:jc w:val="center"/>
              <w:rPr>
                <w:rFonts w:ascii="宋体" w:hAnsi="宋体" w:cs="宋体"/>
                <w:snapToGrid w:val="0"/>
                <w:color w:val="auto"/>
                <w:sz w:val="18"/>
                <w:szCs w:val="18"/>
                <w:highlight w:val="none"/>
              </w:rPr>
            </w:pPr>
            <w:r>
              <w:rPr>
                <w:rFonts w:hint="eastAsia" w:ascii="宋体" w:hAnsi="宋体" w:cs="宋体"/>
                <w:color w:val="auto"/>
                <w:sz w:val="18"/>
                <w:szCs w:val="18"/>
                <w:highlight w:val="none"/>
              </w:rPr>
              <w:t>4.8</w:t>
            </w:r>
          </w:p>
        </w:tc>
        <w:tc>
          <w:tcPr>
            <w:tcW w:w="2007" w:type="dxa"/>
            <w:vMerge w:val="restart"/>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color w:val="auto"/>
                <w:sz w:val="18"/>
                <w:szCs w:val="18"/>
                <w:highlight w:val="none"/>
              </w:rPr>
              <w:t>项目特点难点的分析及解决措施</w:t>
            </w:r>
          </w:p>
        </w:tc>
        <w:tc>
          <w:tcPr>
            <w:tcW w:w="1192" w:type="dxa"/>
            <w:vMerge w:val="restart"/>
            <w:vAlign w:val="center"/>
          </w:tcPr>
          <w:p>
            <w:pPr>
              <w:spacing w:line="360" w:lineRule="auto"/>
              <w:ind w:left="-5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10分</w:t>
            </w:r>
          </w:p>
        </w:tc>
        <w:tc>
          <w:tcPr>
            <w:tcW w:w="5086" w:type="dxa"/>
            <w:gridSpan w:val="2"/>
            <w:vAlign w:val="center"/>
          </w:tcPr>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1、针对本项目特点难点的分析：</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（1）分析到位，措施合理、有针对性的：3-5分；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（2）分析基本清晰，措施针对性较弱的：1-3分；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（3）较为简单或存在缺漏的：0-1分。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27" w:type="dxa"/>
            <w:vMerge w:val="continue"/>
            <w:vAlign w:val="center"/>
          </w:tcPr>
          <w:p>
            <w:pPr>
              <w:widowControl w:val="0"/>
              <w:ind w:right="3"/>
              <w:jc w:val="both"/>
              <w:rPr>
                <w:color w:val="auto"/>
                <w:highlight w:val="none"/>
              </w:rPr>
            </w:pPr>
          </w:p>
        </w:tc>
        <w:tc>
          <w:tcPr>
            <w:tcW w:w="2007" w:type="dxa"/>
            <w:vMerge w:val="continue"/>
            <w:vAlign w:val="center"/>
          </w:tcPr>
          <w:p>
            <w:pPr>
              <w:widowControl w:val="0"/>
              <w:ind w:right="3"/>
              <w:jc w:val="both"/>
              <w:rPr>
                <w:color w:val="auto"/>
                <w:highlight w:val="none"/>
              </w:rPr>
            </w:pPr>
          </w:p>
        </w:tc>
        <w:tc>
          <w:tcPr>
            <w:tcW w:w="1192" w:type="dxa"/>
            <w:vMerge w:val="continue"/>
            <w:vAlign w:val="center"/>
          </w:tcPr>
          <w:p>
            <w:pPr>
              <w:widowControl w:val="0"/>
              <w:ind w:right="3"/>
              <w:jc w:val="both"/>
              <w:rPr>
                <w:color w:val="auto"/>
                <w:highlight w:val="none"/>
              </w:rPr>
            </w:pPr>
          </w:p>
        </w:tc>
        <w:tc>
          <w:tcPr>
            <w:tcW w:w="5086" w:type="dxa"/>
            <w:gridSpan w:val="2"/>
            <w:vAlign w:val="center"/>
          </w:tcPr>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2、针对性的提出特点难点的解决措施：</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（1）解决措施合理、有针对性的：3-5分；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（2）解决措施针对性较弱的：1-3分；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（3）较为简单或存在缺漏的：0-1分。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7" w:type="dxa"/>
            <w:vMerge w:val="restart"/>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4.9</w:t>
            </w:r>
          </w:p>
        </w:tc>
        <w:tc>
          <w:tcPr>
            <w:tcW w:w="2007" w:type="dxa"/>
            <w:vMerge w:val="restart"/>
            <w:vAlign w:val="center"/>
          </w:tcPr>
          <w:p>
            <w:pPr>
              <w:spacing w:line="360" w:lineRule="auto"/>
              <w:ind w:left="-50"/>
              <w:jc w:val="center"/>
              <w:rPr>
                <w:rFonts w:ascii="宋体" w:hAnsi="宋体" w:cs="宋体"/>
                <w:color w:val="auto"/>
                <w:sz w:val="18"/>
                <w:szCs w:val="18"/>
                <w:highlight w:val="none"/>
              </w:rPr>
            </w:pPr>
            <w:r>
              <w:rPr>
                <w:rFonts w:hint="eastAsia" w:ascii="宋体" w:hAnsi="宋体" w:cs="宋体"/>
                <w:snapToGrid w:val="0"/>
                <w:color w:val="auto"/>
                <w:sz w:val="18"/>
                <w:szCs w:val="18"/>
                <w:highlight w:val="none"/>
              </w:rPr>
              <w:t>服务能力</w:t>
            </w:r>
          </w:p>
        </w:tc>
        <w:tc>
          <w:tcPr>
            <w:tcW w:w="1192" w:type="dxa"/>
            <w:vMerge w:val="restart"/>
            <w:vAlign w:val="center"/>
          </w:tcPr>
          <w:p>
            <w:pPr>
              <w:spacing w:line="360" w:lineRule="auto"/>
              <w:ind w:left="-50"/>
              <w:jc w:val="center"/>
              <w:rPr>
                <w:rFonts w:ascii="宋体" w:hAnsi="宋体" w:cs="宋体"/>
                <w:color w:val="auto"/>
                <w:sz w:val="18"/>
                <w:szCs w:val="18"/>
                <w:highlight w:val="none"/>
              </w:rPr>
            </w:pPr>
            <w:r>
              <w:rPr>
                <w:rFonts w:hint="eastAsia" w:ascii="宋体" w:hAnsi="宋体" w:cs="宋体"/>
                <w:snapToGrid w:val="0"/>
                <w:color w:val="auto"/>
                <w:sz w:val="18"/>
                <w:szCs w:val="18"/>
                <w:highlight w:val="none"/>
              </w:rPr>
              <w:t>15分</w:t>
            </w:r>
          </w:p>
        </w:tc>
        <w:tc>
          <w:tcPr>
            <w:tcW w:w="5086" w:type="dxa"/>
            <w:gridSpan w:val="2"/>
            <w:vAlign w:val="center"/>
          </w:tcPr>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1、针对供应商与采购人联合招聘方案：</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（1）方案合理、科学，针对性强的：3-5分；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（2）方案较为合理、科学，针对性一般的：1-3分；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（3）方案简单或存在缺陷的：0-1分。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7" w:type="dxa"/>
            <w:vMerge w:val="continue"/>
            <w:vAlign w:val="center"/>
          </w:tcPr>
          <w:p>
            <w:pPr>
              <w:widowControl w:val="0"/>
              <w:ind w:right="3"/>
              <w:jc w:val="both"/>
              <w:rPr>
                <w:color w:val="auto"/>
                <w:highlight w:val="none"/>
              </w:rPr>
            </w:pPr>
          </w:p>
        </w:tc>
        <w:tc>
          <w:tcPr>
            <w:tcW w:w="2007" w:type="dxa"/>
            <w:vMerge w:val="continue"/>
            <w:vAlign w:val="center"/>
          </w:tcPr>
          <w:p>
            <w:pPr>
              <w:widowControl w:val="0"/>
              <w:ind w:right="3"/>
              <w:jc w:val="both"/>
              <w:rPr>
                <w:color w:val="auto"/>
                <w:highlight w:val="none"/>
              </w:rPr>
            </w:pPr>
          </w:p>
        </w:tc>
        <w:tc>
          <w:tcPr>
            <w:tcW w:w="1192" w:type="dxa"/>
            <w:vMerge w:val="continue"/>
            <w:vAlign w:val="center"/>
          </w:tcPr>
          <w:p>
            <w:pPr>
              <w:widowControl w:val="0"/>
              <w:ind w:right="3"/>
              <w:jc w:val="both"/>
              <w:rPr>
                <w:color w:val="auto"/>
                <w:highlight w:val="none"/>
              </w:rPr>
            </w:pPr>
          </w:p>
        </w:tc>
        <w:tc>
          <w:tcPr>
            <w:tcW w:w="5086" w:type="dxa"/>
            <w:gridSpan w:val="2"/>
            <w:vAlign w:val="center"/>
          </w:tcPr>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2、人员的储备能力：</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（1）人员储备充足、能保障本项目高效率高质量实施得：2-3分；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（2）人员储备基本满足、能保障本项目实施得：1-2分；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（3）人员储备不足、不能保障本项目实施得：0-1分。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7" w:type="dxa"/>
            <w:vMerge w:val="continue"/>
            <w:vAlign w:val="center"/>
          </w:tcPr>
          <w:p>
            <w:pPr>
              <w:widowControl w:val="0"/>
              <w:ind w:right="3"/>
              <w:jc w:val="both"/>
              <w:rPr>
                <w:rFonts w:ascii="宋体" w:hAnsi="宋体" w:cs="宋体"/>
                <w:color w:val="auto"/>
                <w:sz w:val="18"/>
                <w:szCs w:val="18"/>
                <w:highlight w:val="none"/>
              </w:rPr>
            </w:pPr>
          </w:p>
        </w:tc>
        <w:tc>
          <w:tcPr>
            <w:tcW w:w="2007" w:type="dxa"/>
            <w:vMerge w:val="continue"/>
            <w:vAlign w:val="center"/>
          </w:tcPr>
          <w:p>
            <w:pPr>
              <w:widowControl w:val="0"/>
              <w:ind w:right="3"/>
              <w:jc w:val="both"/>
              <w:rPr>
                <w:rFonts w:ascii="宋体" w:hAnsi="宋体" w:cs="宋体"/>
                <w:color w:val="auto"/>
                <w:sz w:val="18"/>
                <w:szCs w:val="18"/>
                <w:highlight w:val="none"/>
              </w:rPr>
            </w:pPr>
          </w:p>
        </w:tc>
        <w:tc>
          <w:tcPr>
            <w:tcW w:w="1192" w:type="dxa"/>
            <w:vMerge w:val="continue"/>
            <w:vAlign w:val="center"/>
          </w:tcPr>
          <w:p>
            <w:pPr>
              <w:widowControl w:val="0"/>
              <w:ind w:right="3"/>
              <w:jc w:val="both"/>
              <w:rPr>
                <w:rFonts w:ascii="宋体" w:hAnsi="宋体" w:cs="宋体"/>
                <w:color w:val="auto"/>
                <w:sz w:val="18"/>
                <w:szCs w:val="18"/>
                <w:highlight w:val="none"/>
              </w:rPr>
            </w:pPr>
          </w:p>
        </w:tc>
        <w:tc>
          <w:tcPr>
            <w:tcW w:w="5086" w:type="dxa"/>
            <w:gridSpan w:val="2"/>
            <w:vAlign w:val="center"/>
          </w:tcPr>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3、员工因故请假或缺勤解决方案：</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（1）方案合理、科学，针对性强的：2-3分；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（2）方案较为合理、科学，针对性一般的：1-2分；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（3）方案简单或存在缺陷的：0-1分。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7" w:type="dxa"/>
            <w:vMerge w:val="continue"/>
            <w:vAlign w:val="center"/>
          </w:tcPr>
          <w:p>
            <w:pPr>
              <w:widowControl w:val="0"/>
              <w:ind w:right="3"/>
              <w:jc w:val="both"/>
              <w:rPr>
                <w:rFonts w:ascii="宋体" w:hAnsi="宋体" w:cs="宋体"/>
                <w:color w:val="auto"/>
                <w:sz w:val="18"/>
                <w:szCs w:val="18"/>
                <w:highlight w:val="none"/>
              </w:rPr>
            </w:pPr>
          </w:p>
        </w:tc>
        <w:tc>
          <w:tcPr>
            <w:tcW w:w="2007" w:type="dxa"/>
            <w:vMerge w:val="continue"/>
            <w:vAlign w:val="center"/>
          </w:tcPr>
          <w:p>
            <w:pPr>
              <w:widowControl w:val="0"/>
              <w:ind w:right="3"/>
              <w:jc w:val="both"/>
              <w:rPr>
                <w:rFonts w:ascii="宋体" w:hAnsi="宋体" w:cs="宋体"/>
                <w:color w:val="auto"/>
                <w:sz w:val="18"/>
                <w:szCs w:val="18"/>
                <w:highlight w:val="none"/>
              </w:rPr>
            </w:pPr>
          </w:p>
        </w:tc>
        <w:tc>
          <w:tcPr>
            <w:tcW w:w="1192" w:type="dxa"/>
            <w:vMerge w:val="continue"/>
            <w:vAlign w:val="center"/>
          </w:tcPr>
          <w:p>
            <w:pPr>
              <w:widowControl w:val="0"/>
              <w:ind w:right="3"/>
              <w:jc w:val="both"/>
              <w:rPr>
                <w:rFonts w:ascii="宋体" w:hAnsi="宋体" w:cs="宋体"/>
                <w:color w:val="auto"/>
                <w:sz w:val="18"/>
                <w:szCs w:val="18"/>
                <w:highlight w:val="none"/>
              </w:rPr>
            </w:pPr>
          </w:p>
        </w:tc>
        <w:tc>
          <w:tcPr>
            <w:tcW w:w="5086" w:type="dxa"/>
            <w:gridSpan w:val="2"/>
            <w:vAlign w:val="center"/>
          </w:tcPr>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4、售后服务能力：</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（1）内容合理、科学，可行性强的：3-4分；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（2）内容较为合理、科学，可行性一般的：1-3分；</w:t>
            </w:r>
          </w:p>
          <w:p>
            <w:pPr>
              <w:widowControl w:val="0"/>
              <w:ind w:right="3"/>
              <w:jc w:val="both"/>
              <w:rPr>
                <w:rFonts w:ascii="宋体" w:hAnsi="宋体" w:cs="宋体"/>
                <w:color w:val="auto"/>
                <w:sz w:val="18"/>
                <w:szCs w:val="18"/>
                <w:highlight w:val="none"/>
              </w:rPr>
            </w:pPr>
            <w:r>
              <w:rPr>
                <w:rFonts w:hint="eastAsia" w:ascii="宋体" w:hAnsi="宋体" w:cs="宋体"/>
                <w:color w:val="auto"/>
                <w:sz w:val="18"/>
                <w:szCs w:val="18"/>
                <w:highlight w:val="none"/>
              </w:rPr>
              <w:t>（3）内容简单或存在缺陷的：0-1分。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27" w:type="dxa"/>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2007" w:type="dxa"/>
            <w:vAlign w:val="center"/>
          </w:tcPr>
          <w:p>
            <w:pPr>
              <w:spacing w:line="360" w:lineRule="auto"/>
              <w:jc w:val="center"/>
              <w:rPr>
                <w:rFonts w:ascii="宋体" w:hAnsi="宋体" w:cs="宋体"/>
                <w:i/>
                <w:color w:val="auto"/>
                <w:sz w:val="18"/>
                <w:szCs w:val="18"/>
                <w:highlight w:val="none"/>
              </w:rPr>
            </w:pPr>
            <w:r>
              <w:rPr>
                <w:rFonts w:hint="eastAsia" w:ascii="宋体" w:hAnsi="宋体" w:cs="宋体"/>
                <w:bCs/>
                <w:color w:val="auto"/>
                <w:kern w:val="28"/>
                <w:sz w:val="18"/>
                <w:szCs w:val="18"/>
                <w:highlight w:val="none"/>
              </w:rPr>
              <w:t>商务评分</w:t>
            </w:r>
          </w:p>
        </w:tc>
        <w:tc>
          <w:tcPr>
            <w:tcW w:w="6278" w:type="dxa"/>
            <w:gridSpan w:val="3"/>
            <w:vAlign w:val="center"/>
          </w:tcPr>
          <w:p>
            <w:pPr>
              <w:spacing w:line="360" w:lineRule="auto"/>
              <w:jc w:val="center"/>
              <w:rPr>
                <w:rFonts w:ascii="宋体" w:hAnsi="宋体" w:cs="宋体"/>
                <w:b/>
                <w:i/>
                <w:color w:val="auto"/>
                <w:sz w:val="18"/>
                <w:szCs w:val="18"/>
                <w:highlight w:val="none"/>
              </w:rPr>
            </w:pPr>
            <w:r>
              <w:rPr>
                <w:rFonts w:hint="eastAsia" w:ascii="宋体" w:hAnsi="宋体" w:cs="宋体"/>
                <w:b/>
                <w:bCs/>
                <w:color w:val="auto"/>
                <w:kern w:val="28"/>
                <w:sz w:val="18"/>
                <w:szCs w:val="18"/>
                <w:highlight w:val="none"/>
              </w:rPr>
              <w:t>合计10分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7" w:type="dxa"/>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5.1</w:t>
            </w:r>
          </w:p>
        </w:tc>
        <w:tc>
          <w:tcPr>
            <w:tcW w:w="8285" w:type="dxa"/>
            <w:gridSpan w:val="4"/>
            <w:vAlign w:val="center"/>
          </w:tcPr>
          <w:p>
            <w:pPr>
              <w:widowControl w:val="0"/>
              <w:spacing w:line="360" w:lineRule="auto"/>
              <w:jc w:val="both"/>
              <w:rPr>
                <w:rFonts w:ascii="宋体" w:hAnsi="宋体" w:cs="宋体"/>
                <w:snapToGrid w:val="0"/>
                <w:color w:val="auto"/>
                <w:sz w:val="18"/>
                <w:szCs w:val="18"/>
                <w:highlight w:val="none"/>
              </w:rPr>
            </w:pPr>
            <w:r>
              <w:rPr>
                <w:rFonts w:hint="eastAsia" w:ascii="宋体" w:hAnsi="宋体" w:cs="宋体"/>
                <w:color w:val="auto"/>
                <w:sz w:val="18"/>
                <w:szCs w:val="18"/>
                <w:highlight w:val="none"/>
              </w:rPr>
              <w:t>报价的初评</w:t>
            </w:r>
          </w:p>
          <w:p>
            <w:pPr>
              <w:spacing w:line="360" w:lineRule="auto"/>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报价文件开标后评标专家组成员对各投标单位的报价文件进行审查。</w:t>
            </w:r>
          </w:p>
          <w:p>
            <w:pPr>
              <w:widowControl w:val="0"/>
              <w:numPr>
                <w:ilvl w:val="0"/>
                <w:numId w:val="37"/>
              </w:numPr>
              <w:tabs>
                <w:tab w:val="left" w:pos="1134"/>
              </w:tabs>
              <w:spacing w:line="360" w:lineRule="auto"/>
              <w:ind w:left="134" w:firstLine="575"/>
              <w:jc w:val="both"/>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报价书中有无差错(遗漏或多计)或存在严重不平衡报价；</w:t>
            </w:r>
          </w:p>
          <w:p>
            <w:pPr>
              <w:widowControl w:val="0"/>
              <w:numPr>
                <w:ilvl w:val="0"/>
                <w:numId w:val="37"/>
              </w:numPr>
              <w:tabs>
                <w:tab w:val="left" w:pos="1134"/>
              </w:tabs>
              <w:spacing w:line="360" w:lineRule="auto"/>
              <w:ind w:left="134" w:firstLine="575"/>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付款方式和进度是否响应招标要求；</w:t>
            </w:r>
          </w:p>
          <w:p>
            <w:pPr>
              <w:widowControl w:val="0"/>
              <w:numPr>
                <w:ilvl w:val="0"/>
                <w:numId w:val="37"/>
              </w:numPr>
              <w:tabs>
                <w:tab w:val="left" w:pos="1134"/>
              </w:tabs>
              <w:spacing w:line="360" w:lineRule="auto"/>
              <w:ind w:left="134" w:firstLine="575"/>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是否提出与招标文件中的合同条款相悖的要求，如：重新划分风险，增加采购人责任范围，减少投标供应商义务，或提出不同的验收和计量办法不同的纠纷和质量事故处理办法，或对合同条款有重要保留等；工期(交货期)、质量目标是否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7" w:type="dxa"/>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5.2</w:t>
            </w:r>
          </w:p>
        </w:tc>
        <w:tc>
          <w:tcPr>
            <w:tcW w:w="8285" w:type="dxa"/>
            <w:gridSpan w:val="4"/>
            <w:vAlign w:val="center"/>
          </w:tcPr>
          <w:p>
            <w:pPr>
              <w:widowControl w:val="0"/>
              <w:spacing w:line="360" w:lineRule="auto"/>
              <w:jc w:val="both"/>
              <w:rPr>
                <w:rFonts w:ascii="宋体" w:hAnsi="宋体" w:cs="宋体"/>
                <w:color w:val="auto"/>
                <w:sz w:val="18"/>
                <w:szCs w:val="18"/>
                <w:highlight w:val="none"/>
              </w:rPr>
            </w:pPr>
            <w:r>
              <w:rPr>
                <w:rFonts w:hint="eastAsia" w:ascii="宋体" w:hAnsi="宋体" w:cs="宋体"/>
                <w:color w:val="auto"/>
                <w:sz w:val="18"/>
                <w:szCs w:val="18"/>
                <w:highlight w:val="none"/>
              </w:rPr>
              <w:t>评标价的确定：</w:t>
            </w:r>
          </w:p>
          <w:p>
            <w:pPr>
              <w:spacing w:line="360" w:lineRule="auto"/>
              <w:rPr>
                <w:rFonts w:ascii="宋体" w:hAnsi="宋体" w:cs="宋体"/>
                <w:snapToGrid w:val="0"/>
                <w:color w:val="auto"/>
                <w:sz w:val="18"/>
                <w:szCs w:val="18"/>
                <w:highlight w:val="none"/>
              </w:rPr>
            </w:pPr>
            <w:r>
              <w:rPr>
                <w:rFonts w:hint="eastAsia" w:ascii="宋体" w:hAnsi="宋体" w:cs="宋体"/>
                <w:b/>
                <w:snapToGrid w:val="0"/>
                <w:color w:val="auto"/>
                <w:sz w:val="18"/>
                <w:szCs w:val="18"/>
                <w:highlight w:val="none"/>
              </w:rPr>
              <w:t>1、</w:t>
            </w:r>
            <w:r>
              <w:rPr>
                <w:rFonts w:hint="eastAsia" w:ascii="宋体" w:hAnsi="宋体" w:cs="宋体"/>
                <w:snapToGrid w:val="0"/>
                <w:color w:val="auto"/>
                <w:sz w:val="18"/>
                <w:szCs w:val="18"/>
                <w:highlight w:val="none"/>
              </w:rPr>
              <w:t>初审时发现价格计算有误，将按下述原则修正：</w:t>
            </w:r>
          </w:p>
          <w:p>
            <w:pPr>
              <w:widowControl w:val="0"/>
              <w:numPr>
                <w:ilvl w:val="0"/>
                <w:numId w:val="38"/>
              </w:numPr>
              <w:spacing w:line="360" w:lineRule="auto"/>
              <w:ind w:left="-18" w:firstLine="284"/>
              <w:jc w:val="both"/>
              <w:rPr>
                <w:rFonts w:ascii="宋体" w:hAnsi="宋体" w:cs="宋体"/>
                <w:color w:val="auto"/>
                <w:sz w:val="18"/>
                <w:szCs w:val="18"/>
                <w:highlight w:val="none"/>
              </w:rPr>
            </w:pPr>
            <w:r>
              <w:rPr>
                <w:rFonts w:hint="eastAsia" w:ascii="宋体" w:hAnsi="宋体" w:cs="宋体"/>
                <w:color w:val="auto"/>
                <w:sz w:val="18"/>
                <w:szCs w:val="18"/>
                <w:highlight w:val="none"/>
              </w:rPr>
              <w:t>开标时投标文件中开标一览表（报价表）内容与投标文件中相应内容不一致的，以开标一览表（报价表）为准。</w:t>
            </w:r>
          </w:p>
          <w:p>
            <w:pPr>
              <w:widowControl w:val="0"/>
              <w:numPr>
                <w:ilvl w:val="0"/>
                <w:numId w:val="38"/>
              </w:numPr>
              <w:spacing w:line="360" w:lineRule="auto"/>
              <w:ind w:left="-18" w:firstLine="284"/>
              <w:jc w:val="both"/>
              <w:rPr>
                <w:rFonts w:ascii="宋体" w:hAnsi="宋体" w:cs="宋体"/>
                <w:color w:val="auto"/>
                <w:sz w:val="18"/>
                <w:szCs w:val="18"/>
                <w:highlight w:val="none"/>
              </w:rPr>
            </w:pPr>
            <w:r>
              <w:rPr>
                <w:rFonts w:hint="eastAsia" w:ascii="宋体" w:hAnsi="宋体" w:cs="宋体"/>
                <w:color w:val="auto"/>
                <w:sz w:val="18"/>
                <w:szCs w:val="18"/>
                <w:highlight w:val="none"/>
              </w:rPr>
              <w:t>大写金额和小写金额不一致的，以大写金额为准；</w:t>
            </w:r>
          </w:p>
          <w:p>
            <w:pPr>
              <w:widowControl w:val="0"/>
              <w:numPr>
                <w:ilvl w:val="0"/>
                <w:numId w:val="38"/>
              </w:numPr>
              <w:spacing w:line="360" w:lineRule="auto"/>
              <w:ind w:left="-18" w:firstLine="284"/>
              <w:jc w:val="both"/>
              <w:rPr>
                <w:rFonts w:ascii="宋体" w:hAnsi="宋体" w:cs="宋体"/>
                <w:color w:val="auto"/>
                <w:sz w:val="18"/>
                <w:szCs w:val="18"/>
                <w:highlight w:val="none"/>
              </w:rPr>
            </w:pPr>
            <w:r>
              <w:rPr>
                <w:rFonts w:hint="eastAsia" w:ascii="宋体" w:hAnsi="宋体" w:cs="宋体"/>
                <w:color w:val="auto"/>
                <w:sz w:val="18"/>
                <w:szCs w:val="18"/>
                <w:highlight w:val="none"/>
              </w:rPr>
              <w:t>单价金额小数点或者百分比有明显错位的，以开标一览表的总价为准，并修正单价；</w:t>
            </w:r>
          </w:p>
          <w:p>
            <w:pPr>
              <w:widowControl w:val="0"/>
              <w:numPr>
                <w:ilvl w:val="0"/>
                <w:numId w:val="38"/>
              </w:numPr>
              <w:spacing w:line="360" w:lineRule="auto"/>
              <w:ind w:left="-18" w:firstLine="284"/>
              <w:jc w:val="both"/>
              <w:rPr>
                <w:rFonts w:ascii="宋体" w:hAnsi="宋体" w:cs="宋体"/>
                <w:color w:val="auto"/>
                <w:sz w:val="18"/>
                <w:szCs w:val="18"/>
                <w:highlight w:val="none"/>
              </w:rPr>
            </w:pPr>
            <w:r>
              <w:rPr>
                <w:rFonts w:hint="eastAsia" w:ascii="宋体" w:hAnsi="宋体" w:cs="宋体"/>
                <w:color w:val="auto"/>
                <w:sz w:val="18"/>
                <w:szCs w:val="18"/>
                <w:highlight w:val="none"/>
              </w:rPr>
              <w:t>总价金额与按单价汇总金额不一致的，以单价金额计算结果为准。</w:t>
            </w:r>
          </w:p>
          <w:p>
            <w:pPr>
              <w:widowControl w:val="0"/>
              <w:numPr>
                <w:ilvl w:val="0"/>
                <w:numId w:val="38"/>
              </w:numPr>
              <w:spacing w:line="360" w:lineRule="auto"/>
              <w:ind w:left="-18" w:firstLine="284"/>
              <w:jc w:val="both"/>
              <w:rPr>
                <w:rFonts w:ascii="宋体" w:hAnsi="宋体" w:cs="宋体"/>
                <w:color w:val="auto"/>
                <w:sz w:val="18"/>
                <w:szCs w:val="18"/>
                <w:highlight w:val="none"/>
              </w:rPr>
            </w:pPr>
            <w:r>
              <w:rPr>
                <w:rFonts w:hint="eastAsia" w:ascii="宋体" w:hAnsi="宋体" w:cs="宋体"/>
                <w:color w:val="auto"/>
                <w:sz w:val="18"/>
                <w:szCs w:val="18"/>
                <w:highlight w:val="none"/>
              </w:rPr>
              <w:t>如投标文件正本与副本表示的有差别，以正本为准，修正副本。</w:t>
            </w:r>
          </w:p>
          <w:p>
            <w:pPr>
              <w:widowControl w:val="0"/>
              <w:numPr>
                <w:ilvl w:val="0"/>
                <w:numId w:val="38"/>
              </w:numPr>
              <w:spacing w:line="360" w:lineRule="auto"/>
              <w:ind w:left="-18" w:firstLine="284"/>
              <w:jc w:val="both"/>
              <w:rPr>
                <w:rFonts w:ascii="宋体" w:hAnsi="宋体" w:cs="宋体"/>
                <w:color w:val="auto"/>
                <w:sz w:val="18"/>
                <w:szCs w:val="18"/>
                <w:highlight w:val="none"/>
              </w:rPr>
            </w:pPr>
            <w:r>
              <w:rPr>
                <w:rFonts w:hint="eastAsia" w:ascii="宋体" w:hAnsi="宋体" w:cs="宋体"/>
                <w:color w:val="auto"/>
                <w:sz w:val="18"/>
                <w:szCs w:val="18"/>
                <w:highlight w:val="none"/>
              </w:rPr>
              <w:t>如以文字表示的数据与数字表示的有差别，以文字为准修正数字。</w:t>
            </w:r>
          </w:p>
          <w:p>
            <w:pPr>
              <w:widowControl w:val="0"/>
              <w:numPr>
                <w:ilvl w:val="0"/>
                <w:numId w:val="38"/>
              </w:numPr>
              <w:spacing w:line="360" w:lineRule="auto"/>
              <w:ind w:left="-18" w:firstLine="284"/>
              <w:jc w:val="both"/>
              <w:rPr>
                <w:rFonts w:ascii="宋体" w:hAnsi="宋体" w:cs="宋体"/>
                <w:color w:val="auto"/>
                <w:sz w:val="18"/>
                <w:szCs w:val="18"/>
                <w:highlight w:val="none"/>
              </w:rPr>
            </w:pPr>
            <w:r>
              <w:rPr>
                <w:rFonts w:hint="eastAsia" w:ascii="宋体" w:hAnsi="宋体" w:cs="宋体"/>
                <w:color w:val="auto"/>
                <w:sz w:val="18"/>
                <w:szCs w:val="18"/>
                <w:highlight w:val="none"/>
                <w:u w:val="wave"/>
              </w:rPr>
              <w:t>▲如投标供应商缺漏项价格比例达到投标报价的5%（含）以上时，属于商务重大偏离，评标委员会将对其投标按无效标处理。</w:t>
            </w:r>
          </w:p>
          <w:p>
            <w:pPr>
              <w:widowControl w:val="0"/>
              <w:numPr>
                <w:ilvl w:val="0"/>
                <w:numId w:val="38"/>
              </w:numPr>
              <w:spacing w:line="360" w:lineRule="auto"/>
              <w:ind w:left="-18" w:firstLine="284"/>
              <w:jc w:val="both"/>
              <w:rPr>
                <w:rFonts w:ascii="宋体" w:hAnsi="宋体" w:cs="宋体"/>
                <w:color w:val="auto"/>
                <w:sz w:val="18"/>
                <w:szCs w:val="18"/>
                <w:highlight w:val="none"/>
              </w:rPr>
            </w:pPr>
            <w:r>
              <w:rPr>
                <w:rFonts w:hint="eastAsia" w:ascii="宋体" w:hAnsi="宋体" w:cs="宋体"/>
                <w:color w:val="auto"/>
                <w:sz w:val="18"/>
                <w:szCs w:val="18"/>
                <w:highlight w:val="none"/>
              </w:rPr>
              <w:t>如投标供应商的投标文件前后矛盾，评委会将作出不利于投标供应商的修正。</w:t>
            </w:r>
          </w:p>
          <w:p>
            <w:pPr>
              <w:widowControl w:val="0"/>
              <w:spacing w:line="360" w:lineRule="auto"/>
              <w:ind w:firstLine="226" w:firstLineChars="126"/>
              <w:jc w:val="both"/>
              <w:rPr>
                <w:rFonts w:ascii="宋体" w:hAnsi="宋体" w:cs="宋体"/>
                <w:color w:val="auto"/>
                <w:sz w:val="18"/>
                <w:szCs w:val="18"/>
                <w:highlight w:val="none"/>
              </w:rPr>
            </w:pPr>
            <w:r>
              <w:rPr>
                <w:rFonts w:hint="eastAsia" w:ascii="宋体" w:hAnsi="宋体" w:cs="宋体"/>
                <w:color w:val="auto"/>
                <w:sz w:val="18"/>
                <w:szCs w:val="18"/>
                <w:highlight w:val="none"/>
              </w:rPr>
              <w:t xml:space="preserve"> 注（1）~（4）同时出现两种以上不一致的，按照前款规定的顺序修正。修正后的报价按照相关法律规定经投标供应商确认后产生约束力，投标供应商不确认的，其投标无效。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7" w:type="dxa"/>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5.3</w:t>
            </w:r>
          </w:p>
        </w:tc>
        <w:tc>
          <w:tcPr>
            <w:tcW w:w="8285" w:type="dxa"/>
            <w:gridSpan w:val="4"/>
            <w:vAlign w:val="center"/>
          </w:tcPr>
          <w:p>
            <w:pPr>
              <w:widowControl w:val="0"/>
              <w:spacing w:line="360" w:lineRule="auto"/>
              <w:jc w:val="both"/>
              <w:rPr>
                <w:rFonts w:ascii="宋体" w:hAnsi="宋体" w:cs="宋体"/>
                <w:b/>
                <w:color w:val="auto"/>
                <w:sz w:val="18"/>
                <w:szCs w:val="18"/>
                <w:highlight w:val="none"/>
              </w:rPr>
            </w:pPr>
            <w:r>
              <w:rPr>
                <w:rFonts w:hint="eastAsia" w:ascii="宋体" w:hAnsi="宋体" w:cs="宋体"/>
                <w:b/>
                <w:color w:val="auto"/>
                <w:sz w:val="18"/>
                <w:szCs w:val="18"/>
                <w:highlight w:val="none"/>
              </w:rPr>
              <w:t>合同价的确定：</w:t>
            </w:r>
          </w:p>
          <w:p>
            <w:pPr>
              <w:spacing w:line="360" w:lineRule="auto"/>
              <w:rPr>
                <w:rFonts w:ascii="宋体" w:hAnsi="宋体" w:cs="宋体"/>
                <w:i/>
                <w:color w:val="auto"/>
                <w:sz w:val="18"/>
                <w:szCs w:val="18"/>
                <w:highlight w:val="none"/>
              </w:rPr>
            </w:pPr>
            <w:r>
              <w:rPr>
                <w:rFonts w:hint="eastAsia" w:ascii="宋体" w:hAnsi="宋体" w:cs="宋体"/>
                <w:color w:val="auto"/>
                <w:sz w:val="18"/>
                <w:szCs w:val="18"/>
                <w:highlight w:val="none"/>
              </w:rPr>
              <w:t>投标文件任何有缺漏项报价的，包括漏项产生的费用，如果中标，将以不利于投标供应商利益调整合同价格。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7" w:type="dxa"/>
            <w:vAlign w:val="center"/>
          </w:tcPr>
          <w:p>
            <w:pPr>
              <w:spacing w:line="360" w:lineRule="auto"/>
              <w:ind w:right="3"/>
              <w:jc w:val="center"/>
              <w:rPr>
                <w:rFonts w:ascii="宋体" w:hAnsi="宋体" w:cs="宋体"/>
                <w:color w:val="auto"/>
                <w:sz w:val="18"/>
                <w:szCs w:val="18"/>
                <w:highlight w:val="none"/>
              </w:rPr>
            </w:pPr>
            <w:r>
              <w:rPr>
                <w:rFonts w:hint="eastAsia" w:ascii="宋体" w:hAnsi="宋体" w:cs="宋体"/>
                <w:color w:val="auto"/>
                <w:sz w:val="18"/>
                <w:szCs w:val="18"/>
                <w:highlight w:val="none"/>
              </w:rPr>
              <w:t>5.4</w:t>
            </w:r>
          </w:p>
        </w:tc>
        <w:tc>
          <w:tcPr>
            <w:tcW w:w="8285" w:type="dxa"/>
            <w:gridSpan w:val="4"/>
            <w:vAlign w:val="center"/>
          </w:tcPr>
          <w:p>
            <w:pPr>
              <w:pStyle w:val="21"/>
              <w:spacing w:line="360" w:lineRule="auto"/>
              <w:ind w:left="270" w:leftChars="0" w:hanging="270" w:hangingChars="150"/>
              <w:rPr>
                <w:rFonts w:ascii="宋体" w:hAnsi="宋体" w:cs="宋体"/>
                <w:color w:val="auto"/>
                <w:sz w:val="18"/>
                <w:szCs w:val="18"/>
                <w:highlight w:val="none"/>
              </w:rPr>
            </w:pPr>
            <w:r>
              <w:rPr>
                <w:rFonts w:hint="eastAsia" w:ascii="宋体" w:hAnsi="宋体" w:cs="宋体"/>
                <w:color w:val="auto"/>
                <w:sz w:val="18"/>
                <w:szCs w:val="18"/>
                <w:highlight w:val="none"/>
              </w:rPr>
              <w:t xml:space="preserve">报价得分： </w:t>
            </w:r>
          </w:p>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资格及符合性审查通过并且技术商务标合格的投标单位参加报价评分。</w:t>
            </w:r>
          </w:p>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投标供应商报价与评标基准价对比，计算出报价评分值：</w:t>
            </w:r>
          </w:p>
          <w:p>
            <w:pPr>
              <w:widowControl w:val="0"/>
              <w:tabs>
                <w:tab w:val="left" w:pos="435"/>
                <w:tab w:val="left" w:pos="1134"/>
              </w:tabs>
              <w:spacing w:line="360" w:lineRule="auto"/>
              <w:jc w:val="both"/>
              <w:rPr>
                <w:rFonts w:ascii="宋体" w:hAnsi="宋体" w:cs="宋体"/>
                <w:color w:val="auto"/>
                <w:sz w:val="18"/>
                <w:szCs w:val="18"/>
                <w:highlight w:val="none"/>
              </w:rPr>
            </w:pPr>
            <w:r>
              <w:rPr>
                <w:rFonts w:hint="eastAsia" w:ascii="宋体" w:hAnsi="宋体" w:cs="宋体"/>
                <w:color w:val="auto"/>
                <w:sz w:val="18"/>
                <w:szCs w:val="18"/>
                <w:highlight w:val="none"/>
              </w:rPr>
              <w:t>1）全部有效投标供应商中的最低评标价作为评标基准价。</w:t>
            </w:r>
          </w:p>
          <w:p>
            <w:pPr>
              <w:widowControl w:val="0"/>
              <w:tabs>
                <w:tab w:val="left" w:pos="435"/>
                <w:tab w:val="left" w:pos="1134"/>
              </w:tabs>
              <w:spacing w:line="360" w:lineRule="auto"/>
              <w:jc w:val="both"/>
              <w:rPr>
                <w:rFonts w:ascii="宋体" w:hAnsi="宋体" w:cs="宋体"/>
                <w:color w:val="auto"/>
                <w:sz w:val="18"/>
                <w:szCs w:val="18"/>
                <w:highlight w:val="none"/>
              </w:rPr>
            </w:pPr>
            <w:r>
              <w:rPr>
                <w:rFonts w:hint="eastAsia" w:ascii="宋体" w:hAnsi="宋体" w:cs="宋体"/>
                <w:color w:val="auto"/>
                <w:sz w:val="18"/>
                <w:szCs w:val="18"/>
                <w:highlight w:val="none"/>
              </w:rPr>
              <w:t>2）各投标供应商评标价与评标基准价对比，计算各投标供应商的报价得分：</w:t>
            </w:r>
          </w:p>
          <w:p>
            <w:pPr>
              <w:widowControl w:val="0"/>
              <w:numPr>
                <w:ilvl w:val="0"/>
                <w:numId w:val="39"/>
              </w:numPr>
              <w:tabs>
                <w:tab w:val="left" w:pos="982"/>
                <w:tab w:val="clear" w:pos="420"/>
              </w:tabs>
              <w:spacing w:line="360" w:lineRule="auto"/>
              <w:ind w:left="1672" w:hanging="540"/>
              <w:jc w:val="both"/>
              <w:rPr>
                <w:rFonts w:ascii="宋体" w:hAnsi="宋体" w:cs="宋体"/>
                <w:color w:val="auto"/>
                <w:sz w:val="18"/>
                <w:szCs w:val="18"/>
                <w:highlight w:val="none"/>
              </w:rPr>
            </w:pPr>
            <w:r>
              <w:rPr>
                <w:rFonts w:hint="eastAsia" w:ascii="宋体" w:hAnsi="宋体" w:cs="宋体"/>
                <w:color w:val="auto"/>
                <w:sz w:val="18"/>
                <w:szCs w:val="18"/>
                <w:highlight w:val="none"/>
              </w:rPr>
              <w:t>等于评标基准价的得满分10分；</w:t>
            </w:r>
          </w:p>
          <w:p>
            <w:pPr>
              <w:widowControl w:val="0"/>
              <w:numPr>
                <w:ilvl w:val="0"/>
                <w:numId w:val="39"/>
              </w:numPr>
              <w:tabs>
                <w:tab w:val="left" w:pos="982"/>
                <w:tab w:val="clear" w:pos="420"/>
              </w:tabs>
              <w:spacing w:line="360" w:lineRule="auto"/>
              <w:ind w:left="1672" w:hanging="540"/>
              <w:jc w:val="both"/>
              <w:rPr>
                <w:rFonts w:ascii="宋体" w:hAnsi="宋体" w:cs="宋体"/>
                <w:color w:val="auto"/>
                <w:sz w:val="18"/>
                <w:szCs w:val="18"/>
                <w:highlight w:val="none"/>
              </w:rPr>
            </w:pPr>
            <w:r>
              <w:rPr>
                <w:rFonts w:hint="eastAsia" w:ascii="宋体" w:hAnsi="宋体" w:cs="宋体"/>
                <w:color w:val="auto"/>
                <w:sz w:val="18"/>
                <w:szCs w:val="18"/>
                <w:highlight w:val="none"/>
              </w:rPr>
              <w:t>其他投标供应商的报价得分按下面公式计算得出：投标供应商的报价得分=（评标基准价/评标价）×10分；</w:t>
            </w:r>
          </w:p>
          <w:p>
            <w:pPr>
              <w:widowControl w:val="0"/>
              <w:tabs>
                <w:tab w:val="left" w:pos="982"/>
              </w:tabs>
              <w:spacing w:line="360" w:lineRule="auto"/>
              <w:jc w:val="both"/>
              <w:rPr>
                <w:rFonts w:ascii="宋体" w:hAnsi="宋体" w:cs="宋体"/>
                <w:color w:val="auto"/>
                <w:sz w:val="18"/>
                <w:szCs w:val="18"/>
                <w:highlight w:val="none"/>
              </w:rPr>
            </w:pPr>
            <w:r>
              <w:rPr>
                <w:rFonts w:hint="eastAsia" w:ascii="宋体" w:hAnsi="宋体" w:cs="宋体"/>
                <w:color w:val="auto"/>
                <w:sz w:val="18"/>
                <w:szCs w:val="18"/>
                <w:highlight w:val="none"/>
              </w:rPr>
              <w:t>商务报价得分计算保留小数2位，第三位四舍五入。</w:t>
            </w:r>
          </w:p>
          <w:p>
            <w:pPr>
              <w:widowControl w:val="0"/>
              <w:tabs>
                <w:tab w:val="left" w:pos="982"/>
              </w:tabs>
              <w:spacing w:line="360" w:lineRule="auto"/>
              <w:ind w:left="-2" w:leftChars="-1" w:firstLine="36" w:firstLineChars="20"/>
              <w:jc w:val="both"/>
              <w:rPr>
                <w:rFonts w:ascii="宋体" w:hAnsi="宋体" w:cs="宋体"/>
                <w:color w:val="auto"/>
                <w:sz w:val="18"/>
                <w:szCs w:val="18"/>
                <w:highlight w:val="none"/>
              </w:rPr>
            </w:pPr>
            <w:r>
              <w:rPr>
                <w:rFonts w:hint="eastAsia" w:ascii="Arial" w:hAnsi="Arial" w:cs="Arial"/>
                <w:color w:val="auto"/>
                <w:sz w:val="18"/>
                <w:szCs w:val="18"/>
                <w:highlight w:val="none"/>
              </w:rPr>
              <w:t>注：依据《政府采购促进中小企业发展管理办法》（财库﹝2020﹞46号）文件及《财政部、司法部关于政府采购支持监狱企业发展有关问题的通知》（财库〔2014〕68号）文件及《财政部关于进一步加大政府采购支持中小企业力度的通知》（财库（2022）19号），对小型和微型企业的价格给予10%～20%的扣除，用扣除后的价格参与评审。监狱企业视同小型、微型企业。本项目的扣除比例为：小型、微型企业扣除</w:t>
            </w:r>
            <w:r>
              <w:rPr>
                <w:rFonts w:hint="eastAsia" w:ascii="Arial" w:hAnsi="Arial" w:cs="Arial"/>
                <w:color w:val="auto"/>
                <w:sz w:val="18"/>
                <w:szCs w:val="18"/>
                <w:highlight w:val="none"/>
                <w:u w:val="single"/>
              </w:rPr>
              <w:t>10</w:t>
            </w:r>
            <w:r>
              <w:rPr>
                <w:rFonts w:hint="eastAsia" w:ascii="Arial" w:hAnsi="Arial" w:cs="Arial"/>
                <w:color w:val="auto"/>
                <w:sz w:val="18"/>
                <w:szCs w:val="18"/>
                <w:highlight w:val="none"/>
              </w:rPr>
              <w:t xml:space="preserve"> %。小型和微型企业是指投标文件中提供中小企业声明函且符合《政府采购促进中小企业发展暂行办法》（财库〔2011〕181号）规定的要求并符合《工业和信息化部、国家统计局、国家发展和改革委员会、财政部关于印发中小企业划型标准规定的通知》（工信部联企业〔2011〕300号）规定的小、微企业的划型标准规定。监狱企业参加政府采购活动时，应当提供由省级以上监狱管理局、戒毒管理局（含新疆生产建设兵团）出具的属于监狱企业的证明文件。残疾人福利性单位参加政府采购活动时，应当提供残疾人福利性单位声明函。</w:t>
            </w:r>
          </w:p>
        </w:tc>
      </w:tr>
    </w:tbl>
    <w:p>
      <w:pPr>
        <w:pStyle w:val="33"/>
        <w:ind w:firstLine="0" w:firstLineChars="0"/>
        <w:rPr>
          <w:color w:val="auto"/>
          <w:highlight w:val="none"/>
        </w:rPr>
      </w:pPr>
    </w:p>
    <w:p>
      <w:pPr>
        <w:spacing w:line="360" w:lineRule="auto"/>
        <w:ind w:left="134" w:leftChars="64" w:firstLine="354" w:firstLineChars="147"/>
        <w:rPr>
          <w:b/>
          <w:bCs/>
          <w:color w:val="auto"/>
          <w:sz w:val="24"/>
          <w:highlight w:val="none"/>
        </w:rPr>
      </w:pPr>
      <w:r>
        <w:rPr>
          <w:rFonts w:hint="eastAsia"/>
          <w:b/>
          <w:bCs/>
          <w:color w:val="auto"/>
          <w:sz w:val="24"/>
          <w:highlight w:val="none"/>
        </w:rPr>
        <w:t>七、投标供应商义务</w:t>
      </w:r>
    </w:p>
    <w:p>
      <w:pPr>
        <w:spacing w:line="360" w:lineRule="auto"/>
        <w:ind w:left="680" w:leftChars="324" w:firstLine="420" w:firstLineChars="200"/>
        <w:rPr>
          <w:rFonts w:ascii="宋体" w:hAnsi="宋体"/>
          <w:b/>
          <w:bCs/>
          <w:snapToGrid w:val="0"/>
          <w:color w:val="auto"/>
          <w:szCs w:val="21"/>
          <w:highlight w:val="none"/>
        </w:rPr>
      </w:pPr>
      <w:r>
        <w:rPr>
          <w:rFonts w:hint="eastAsia" w:ascii="宋体" w:hAnsi="宋体"/>
          <w:color w:val="auto"/>
          <w:szCs w:val="21"/>
          <w:highlight w:val="none"/>
        </w:rPr>
        <w:t>投标供应商应随时随地答复评标委员会的询标，解答包括有关的商务、技术问题等。评标结束，所有评标资料存瑞安市公共资源交易中心备查。</w:t>
      </w:r>
    </w:p>
    <w:p>
      <w:pPr>
        <w:widowControl w:val="0"/>
        <w:spacing w:line="360" w:lineRule="auto"/>
        <w:ind w:firstLine="422" w:firstLineChars="200"/>
        <w:jc w:val="both"/>
        <w:rPr>
          <w:rFonts w:ascii="宋体" w:hAnsi="宋体"/>
          <w:b/>
          <w:bCs/>
          <w:snapToGrid w:val="0"/>
          <w:color w:val="auto"/>
          <w:szCs w:val="21"/>
          <w:highlight w:val="none"/>
        </w:rPr>
      </w:pPr>
      <w:r>
        <w:rPr>
          <w:rFonts w:hint="eastAsia" w:ascii="宋体" w:hAnsi="宋体"/>
          <w:b/>
          <w:bCs/>
          <w:snapToGrid w:val="0"/>
          <w:color w:val="auto"/>
          <w:szCs w:val="21"/>
          <w:highlight w:val="none"/>
        </w:rPr>
        <w:t>未尽事宜按有关法律法规规定执行。</w:t>
      </w:r>
    </w:p>
    <w:p>
      <w:pPr>
        <w:spacing w:line="360" w:lineRule="auto"/>
        <w:rPr>
          <w:rFonts w:ascii="Arial" w:hAnsi="Arial" w:cs="Arial"/>
          <w:color w:val="auto"/>
          <w:szCs w:val="21"/>
          <w:highlight w:val="none"/>
        </w:rPr>
      </w:pPr>
      <w:r>
        <w:rPr>
          <w:rFonts w:hint="eastAsia" w:ascii="Arial" w:hAnsi="Arial" w:cs="Arial"/>
          <w:color w:val="auto"/>
          <w:szCs w:val="21"/>
          <w:highlight w:val="none"/>
        </w:rPr>
        <w:tab/>
      </w:r>
    </w:p>
    <w:p>
      <w:pPr>
        <w:spacing w:line="360" w:lineRule="auto"/>
        <w:rPr>
          <w:rFonts w:ascii="Arial" w:hAnsi="Arial" w:cs="Arial"/>
          <w:color w:val="auto"/>
          <w:szCs w:val="21"/>
          <w:highlight w:val="none"/>
        </w:rPr>
      </w:pPr>
    </w:p>
    <w:p>
      <w:pPr>
        <w:pStyle w:val="3"/>
        <w:keepNext w:val="0"/>
        <w:keepLines w:val="0"/>
        <w:pageBreakBefore/>
        <w:adjustRightInd/>
        <w:snapToGrid/>
        <w:jc w:val="center"/>
        <w:rPr>
          <w:rFonts w:hAnsi="宋体"/>
          <w:color w:val="auto"/>
          <w:sz w:val="28"/>
          <w:szCs w:val="36"/>
          <w:highlight w:val="none"/>
        </w:rPr>
      </w:pPr>
      <w:bookmarkStart w:id="181" w:name="_Toc11245534"/>
      <w:bookmarkStart w:id="182" w:name="_Toc21288"/>
      <w:bookmarkStart w:id="183" w:name="_Toc346178852"/>
      <w:bookmarkStart w:id="184" w:name="_Toc20992"/>
      <w:bookmarkStart w:id="185" w:name="_Toc5626622"/>
      <w:bookmarkStart w:id="186" w:name="_Toc5626512"/>
      <w:bookmarkStart w:id="187" w:name="_Toc16057"/>
      <w:r>
        <w:rPr>
          <w:rFonts w:hint="eastAsia" w:hAnsi="宋体"/>
          <w:color w:val="auto"/>
          <w:sz w:val="28"/>
          <w:szCs w:val="36"/>
          <w:highlight w:val="none"/>
        </w:rPr>
        <w:t>弃标回执</w:t>
      </w:r>
      <w:bookmarkEnd w:id="181"/>
      <w:bookmarkEnd w:id="182"/>
      <w:bookmarkEnd w:id="183"/>
      <w:bookmarkEnd w:id="184"/>
      <w:bookmarkEnd w:id="185"/>
      <w:bookmarkEnd w:id="186"/>
      <w:bookmarkEnd w:id="187"/>
    </w:p>
    <w:p>
      <w:pPr>
        <w:spacing w:line="360" w:lineRule="auto"/>
        <w:ind w:firstLine="3360" w:firstLineChars="1200"/>
        <w:rPr>
          <w:color w:val="auto"/>
          <w:sz w:val="28"/>
          <w:szCs w:val="28"/>
          <w:highlight w:val="none"/>
        </w:rPr>
      </w:pPr>
    </w:p>
    <w:p>
      <w:pPr>
        <w:spacing w:line="360" w:lineRule="auto"/>
        <w:rPr>
          <w:color w:val="auto"/>
          <w:highlight w:val="none"/>
        </w:rPr>
      </w:pPr>
      <w:r>
        <w:rPr>
          <w:rFonts w:hint="eastAsia"/>
          <w:color w:val="auto"/>
          <w:highlight w:val="none"/>
        </w:rPr>
        <w:t>致：</w:t>
      </w:r>
      <w:r>
        <w:rPr>
          <w:rFonts w:hint="eastAsia" w:ascii="宋体" w:hAnsi="宋体" w:cs="宋体"/>
          <w:color w:val="auto"/>
          <w:szCs w:val="21"/>
          <w:highlight w:val="none"/>
        </w:rPr>
        <w:t>温州瑞辀工程项目管理有限公司</w:t>
      </w:r>
    </w:p>
    <w:p>
      <w:pPr>
        <w:spacing w:line="360" w:lineRule="auto"/>
        <w:rPr>
          <w:color w:val="auto"/>
          <w:highlight w:val="none"/>
        </w:rPr>
      </w:pPr>
      <w:r>
        <w:rPr>
          <w:color w:val="auto"/>
          <w:highlight w:val="none"/>
        </w:rPr>
        <w:t>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我司已申请获取</w:t>
      </w:r>
      <w:r>
        <w:rPr>
          <w:rFonts w:hint="eastAsia" w:ascii="宋体" w:hAnsi="宋体" w:cs="宋体"/>
          <w:color w:val="auto"/>
          <w:szCs w:val="21"/>
          <w:highlight w:val="none"/>
          <w:u w:val="single"/>
        </w:rPr>
        <w:t>瑞安市综合行政执法局及下属事业单位辅助人员劳务派遣</w:t>
      </w: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WZRZ20230406</w:t>
      </w:r>
      <w:r>
        <w:rPr>
          <w:rFonts w:hint="eastAsia" w:ascii="宋体" w:hAnsi="宋体" w:cs="宋体"/>
          <w:color w:val="auto"/>
          <w:szCs w:val="21"/>
          <w:highlight w:val="none"/>
        </w:rPr>
        <w:t>）采购文件， 因原因，放弃本项目投标。</w:t>
      </w:r>
    </w:p>
    <w:p>
      <w:pPr>
        <w:spacing w:line="360" w:lineRule="auto"/>
        <w:ind w:firstLine="315" w:firstLineChars="150"/>
        <w:rPr>
          <w:color w:val="auto"/>
          <w:highlight w:val="none"/>
        </w:rPr>
      </w:pPr>
    </w:p>
    <w:p>
      <w:pPr>
        <w:spacing w:line="360" w:lineRule="auto"/>
        <w:rPr>
          <w:color w:val="auto"/>
          <w:highlight w:val="none"/>
        </w:rPr>
      </w:pPr>
    </w:p>
    <w:p>
      <w:pPr>
        <w:spacing w:line="360" w:lineRule="auto"/>
        <w:ind w:firstLine="315" w:firstLineChars="150"/>
        <w:jc w:val="center"/>
        <w:rPr>
          <w:color w:val="auto"/>
          <w:highlight w:val="none"/>
        </w:rPr>
      </w:pPr>
      <w:r>
        <w:rPr>
          <w:rFonts w:hint="eastAsia"/>
          <w:color w:val="auto"/>
          <w:highlight w:val="none"/>
        </w:rPr>
        <w:t xml:space="preserve">                        单位名称：</w:t>
      </w:r>
    </w:p>
    <w:p>
      <w:pPr>
        <w:spacing w:line="360" w:lineRule="auto"/>
        <w:ind w:firstLine="315" w:firstLineChars="150"/>
        <w:jc w:val="center"/>
        <w:rPr>
          <w:color w:val="auto"/>
          <w:highlight w:val="none"/>
        </w:rPr>
      </w:pPr>
      <w:r>
        <w:rPr>
          <w:rFonts w:hint="eastAsia"/>
          <w:color w:val="auto"/>
          <w:highlight w:val="none"/>
        </w:rPr>
        <w:t xml:space="preserve">                      盖   章：</w:t>
      </w:r>
    </w:p>
    <w:p>
      <w:pPr>
        <w:spacing w:line="360" w:lineRule="auto"/>
        <w:ind w:firstLine="315" w:firstLineChars="150"/>
        <w:jc w:val="center"/>
        <w:rPr>
          <w:color w:val="auto"/>
          <w:highlight w:val="none"/>
        </w:rPr>
      </w:pPr>
      <w:r>
        <w:rPr>
          <w:rFonts w:hint="eastAsia"/>
          <w:color w:val="auto"/>
          <w:highlight w:val="none"/>
        </w:rPr>
        <w:t xml:space="preserve">                      联系人：</w:t>
      </w:r>
    </w:p>
    <w:p>
      <w:pPr>
        <w:spacing w:line="360" w:lineRule="auto"/>
        <w:ind w:firstLine="315" w:firstLineChars="150"/>
        <w:jc w:val="center"/>
        <w:rPr>
          <w:color w:val="auto"/>
          <w:highlight w:val="none"/>
        </w:rPr>
      </w:pPr>
      <w:r>
        <w:rPr>
          <w:rFonts w:hint="eastAsia"/>
          <w:color w:val="auto"/>
          <w:highlight w:val="none"/>
        </w:rPr>
        <w:t xml:space="preserve">                        联系电话：</w:t>
      </w:r>
    </w:p>
    <w:p>
      <w:pPr>
        <w:spacing w:line="360" w:lineRule="auto"/>
        <w:ind w:right="420" w:firstLine="315" w:firstLineChars="150"/>
        <w:jc w:val="center"/>
        <w:rPr>
          <w:color w:val="auto"/>
          <w:highlight w:val="none"/>
        </w:rPr>
      </w:pPr>
      <w:r>
        <w:rPr>
          <w:rFonts w:hint="eastAsia"/>
          <w:color w:val="auto"/>
          <w:highlight w:val="none"/>
        </w:rPr>
        <w:t>2023年    月    日</w:t>
      </w:r>
    </w:p>
    <w:p>
      <w:pPr>
        <w:spacing w:line="360" w:lineRule="auto"/>
        <w:ind w:right="420" w:firstLine="6720" w:firstLineChars="3200"/>
        <w:rPr>
          <w:color w:val="auto"/>
          <w:highlight w:val="none"/>
        </w:rPr>
      </w:pPr>
    </w:p>
    <w:p>
      <w:pPr>
        <w:spacing w:line="360" w:lineRule="auto"/>
        <w:ind w:right="420" w:firstLine="6720" w:firstLineChars="3200"/>
        <w:rPr>
          <w:color w:val="auto"/>
          <w:highlight w:val="none"/>
        </w:rPr>
      </w:pPr>
    </w:p>
    <w:p>
      <w:pPr>
        <w:spacing w:line="360" w:lineRule="auto"/>
        <w:ind w:right="420" w:firstLine="6720" w:firstLineChars="3200"/>
        <w:rPr>
          <w:color w:val="auto"/>
          <w:highlight w:val="none"/>
        </w:rPr>
      </w:pPr>
    </w:p>
    <w:p>
      <w:pPr>
        <w:spacing w:line="360" w:lineRule="auto"/>
        <w:ind w:right="420" w:firstLine="6720" w:firstLineChars="3200"/>
        <w:rPr>
          <w:color w:val="auto"/>
          <w:highlight w:val="none"/>
        </w:rPr>
      </w:pPr>
    </w:p>
    <w:p>
      <w:pPr>
        <w:spacing w:line="360" w:lineRule="auto"/>
        <w:ind w:right="420" w:firstLine="6720" w:firstLineChars="3200"/>
        <w:rPr>
          <w:color w:val="auto"/>
          <w:highlight w:val="none"/>
        </w:rPr>
      </w:pPr>
    </w:p>
    <w:p>
      <w:pPr>
        <w:spacing w:line="360" w:lineRule="auto"/>
        <w:ind w:right="420" w:firstLine="6720" w:firstLineChars="3200"/>
        <w:rPr>
          <w:color w:val="auto"/>
          <w:highlight w:val="none"/>
        </w:rPr>
      </w:pPr>
    </w:p>
    <w:p>
      <w:pPr>
        <w:spacing w:line="360" w:lineRule="auto"/>
        <w:rPr>
          <w:rFonts w:ascii="ˎ̥" w:hAnsi="ˎ̥" w:cs="宋体"/>
          <w:b/>
          <w:color w:val="auto"/>
          <w:szCs w:val="21"/>
          <w:highlight w:val="none"/>
          <w:u w:val="wave"/>
        </w:rPr>
      </w:pPr>
      <w:r>
        <w:rPr>
          <w:rFonts w:hint="eastAsia" w:ascii="Arial" w:hAnsi="Arial" w:cs="Arial"/>
          <w:b/>
          <w:color w:val="auto"/>
          <w:szCs w:val="21"/>
          <w:highlight w:val="none"/>
          <w:u w:val="wave"/>
        </w:rPr>
        <w:t>注：本函传真件与原件具有同等效力。</w:t>
      </w:r>
      <w:r>
        <w:rPr>
          <w:rFonts w:hint="eastAsia" w:ascii="ˎ̥" w:hAnsi="ˎ̥" w:cs="宋体"/>
          <w:b/>
          <w:color w:val="auto"/>
          <w:szCs w:val="21"/>
          <w:highlight w:val="none"/>
          <w:u w:val="wave"/>
        </w:rPr>
        <w:t>投标人</w:t>
      </w:r>
      <w:r>
        <w:rPr>
          <w:rFonts w:ascii="ˎ̥" w:hAnsi="ˎ̥" w:cs="宋体"/>
          <w:b/>
          <w:color w:val="auto"/>
          <w:szCs w:val="21"/>
          <w:highlight w:val="none"/>
          <w:u w:val="wave"/>
        </w:rPr>
        <w:t>必须在</w:t>
      </w:r>
      <w:r>
        <w:rPr>
          <w:rFonts w:hint="eastAsia" w:ascii="ˎ̥" w:hAnsi="ˎ̥" w:cs="宋体"/>
          <w:b/>
          <w:color w:val="auto"/>
          <w:szCs w:val="21"/>
          <w:highlight w:val="none"/>
          <w:u w:val="wave"/>
        </w:rPr>
        <w:t>开标前1日内</w:t>
      </w:r>
      <w:r>
        <w:rPr>
          <w:rFonts w:ascii="ˎ̥" w:hAnsi="ˎ̥" w:cs="宋体"/>
          <w:b/>
          <w:color w:val="auto"/>
          <w:szCs w:val="21"/>
          <w:highlight w:val="none"/>
          <w:u w:val="wave"/>
        </w:rPr>
        <w:t>提供</w:t>
      </w:r>
      <w:r>
        <w:rPr>
          <w:rFonts w:hint="eastAsia" w:ascii="ˎ̥" w:hAnsi="ˎ̥" w:cs="宋体"/>
          <w:b/>
          <w:color w:val="auto"/>
          <w:szCs w:val="21"/>
          <w:highlight w:val="none"/>
          <w:u w:val="wave"/>
        </w:rPr>
        <w:t>弃标</w:t>
      </w:r>
      <w:r>
        <w:rPr>
          <w:rFonts w:ascii="ˎ̥" w:hAnsi="ˎ̥" w:cs="宋体"/>
          <w:b/>
          <w:color w:val="auto"/>
          <w:szCs w:val="21"/>
          <w:highlight w:val="none"/>
          <w:u w:val="wave"/>
        </w:rPr>
        <w:t>回执单</w:t>
      </w:r>
      <w:r>
        <w:rPr>
          <w:rFonts w:hint="eastAsia" w:ascii="ˎ̥" w:hAnsi="ˎ̥" w:cs="宋体"/>
          <w:b/>
          <w:color w:val="auto"/>
          <w:szCs w:val="21"/>
          <w:highlight w:val="none"/>
          <w:u w:val="wave"/>
        </w:rPr>
        <w:t>。如果不按时提供</w:t>
      </w:r>
      <w:r>
        <w:rPr>
          <w:rFonts w:ascii="ˎ̥" w:hAnsi="ˎ̥" w:cs="宋体"/>
          <w:b/>
          <w:color w:val="auto"/>
          <w:szCs w:val="21"/>
          <w:highlight w:val="none"/>
          <w:u w:val="wave"/>
        </w:rPr>
        <w:t>回执单</w:t>
      </w:r>
      <w:r>
        <w:rPr>
          <w:rFonts w:hint="eastAsia" w:ascii="ˎ̥" w:hAnsi="ˎ̥" w:cs="宋体"/>
          <w:b/>
          <w:color w:val="auto"/>
          <w:szCs w:val="21"/>
          <w:highlight w:val="none"/>
          <w:u w:val="wave"/>
        </w:rPr>
        <w:t>的，瑞安市公共</w:t>
      </w:r>
      <w:r>
        <w:rPr>
          <w:rFonts w:ascii="ˎ̥" w:hAnsi="ˎ̥" w:cs="宋体"/>
          <w:b/>
          <w:color w:val="auto"/>
          <w:szCs w:val="21"/>
          <w:highlight w:val="none"/>
          <w:u w:val="wave"/>
        </w:rPr>
        <w:t>资源交易中心</w:t>
      </w:r>
      <w:r>
        <w:rPr>
          <w:rFonts w:hint="eastAsia" w:ascii="ˎ̥" w:hAnsi="ˎ̥" w:cs="宋体"/>
          <w:b/>
          <w:color w:val="auto"/>
          <w:szCs w:val="21"/>
          <w:highlight w:val="none"/>
          <w:u w:val="wave"/>
        </w:rPr>
        <w:t>将此行为记录在供应商诚信档案中。</w:t>
      </w:r>
    </w:p>
    <w:p>
      <w:pPr>
        <w:spacing w:line="360" w:lineRule="auto"/>
        <w:rPr>
          <w:color w:val="auto"/>
          <w:highlight w:val="none"/>
        </w:rPr>
      </w:pPr>
      <w:r>
        <w:rPr>
          <w:rFonts w:hint="eastAsia"/>
          <w:color w:val="auto"/>
          <w:highlight w:val="none"/>
        </w:rPr>
        <w:t>请供应商如不参加本项目投标务必回传本回执 邮箱：274806296@qq.com 吴三郎收</w:t>
      </w:r>
    </w:p>
    <w:p>
      <w:pPr>
        <w:spacing w:line="360" w:lineRule="auto"/>
        <w:rPr>
          <w:rFonts w:ascii="Arial" w:hAnsi="Arial"/>
          <w:color w:val="auto"/>
          <w:highlight w:val="none"/>
        </w:rPr>
      </w:pPr>
    </w:p>
    <w:p>
      <w:pPr>
        <w:pStyle w:val="33"/>
        <w:ind w:firstLine="480"/>
        <w:rPr>
          <w:color w:val="auto"/>
          <w:highlight w:val="none"/>
        </w:rPr>
      </w:pPr>
    </w:p>
    <w:p>
      <w:pPr>
        <w:pStyle w:val="33"/>
        <w:ind w:firstLine="480"/>
        <w:rPr>
          <w:color w:val="auto"/>
          <w:highlight w:val="none"/>
        </w:rPr>
      </w:pPr>
    </w:p>
    <w:p>
      <w:pPr>
        <w:pStyle w:val="33"/>
        <w:ind w:firstLine="480"/>
        <w:rPr>
          <w:color w:val="auto"/>
          <w:highlight w:val="none"/>
        </w:rPr>
      </w:pPr>
    </w:p>
    <w:p>
      <w:pPr>
        <w:pStyle w:val="33"/>
        <w:ind w:firstLine="480"/>
        <w:rPr>
          <w:color w:val="auto"/>
          <w:highlight w:val="none"/>
        </w:rPr>
      </w:pPr>
    </w:p>
    <w:p>
      <w:pPr>
        <w:pStyle w:val="33"/>
        <w:ind w:firstLine="480"/>
        <w:rPr>
          <w:color w:val="auto"/>
          <w:highlight w:val="none"/>
        </w:rPr>
      </w:pPr>
    </w:p>
    <w:p>
      <w:pPr>
        <w:pStyle w:val="47"/>
        <w:widowControl w:val="0"/>
        <w:spacing w:line="360" w:lineRule="auto"/>
        <w:jc w:val="center"/>
        <w:rPr>
          <w:rFonts w:hint="default" w:ascii="黑体" w:hAnsi="黑体" w:eastAsia="黑体" w:cs="黑体"/>
          <w:color w:val="auto"/>
          <w:sz w:val="28"/>
          <w:szCs w:val="28"/>
          <w:highlight w:val="none"/>
        </w:rPr>
      </w:pPr>
      <w:r>
        <w:rPr>
          <w:rFonts w:ascii="黑体" w:hAnsi="黑体" w:eastAsia="黑体" w:cs="黑体"/>
          <w:color w:val="auto"/>
          <w:sz w:val="28"/>
          <w:szCs w:val="28"/>
          <w:highlight w:val="none"/>
        </w:rPr>
        <w:t>政府采购活动现场确认声明书</w:t>
      </w:r>
    </w:p>
    <w:p>
      <w:pPr>
        <w:pStyle w:val="47"/>
        <w:widowControl w:val="0"/>
        <w:spacing w:line="360" w:lineRule="auto"/>
        <w:jc w:val="both"/>
        <w:rPr>
          <w:rFonts w:hint="default" w:hAnsi="宋体" w:cs="宋体"/>
          <w:b/>
          <w:color w:val="auto"/>
          <w:szCs w:val="21"/>
          <w:highlight w:val="none"/>
        </w:rPr>
      </w:pPr>
      <w:r>
        <w:rPr>
          <w:rFonts w:hAnsi="宋体" w:cs="宋体"/>
          <w:color w:val="auto"/>
          <w:kern w:val="0"/>
          <w:szCs w:val="21"/>
          <w:highlight w:val="none"/>
          <w:u w:val="single"/>
        </w:rPr>
        <w:t>温州瑞辀工程项目管理有限公司</w:t>
      </w:r>
      <w:r>
        <w:rPr>
          <w:rFonts w:hAnsi="宋体" w:cs="宋体"/>
          <w:color w:val="auto"/>
          <w:kern w:val="0"/>
          <w:szCs w:val="21"/>
          <w:highlight w:val="none"/>
        </w:rPr>
        <w:t>：</w:t>
      </w:r>
    </w:p>
    <w:p>
      <w:pPr>
        <w:pStyle w:val="47"/>
        <w:widowControl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w:t>
      </w:r>
      <w:r>
        <w:rPr>
          <w:rFonts w:hAnsi="宋体" w:cs="宋体"/>
          <w:color w:val="auto"/>
          <w:spacing w:val="6"/>
          <w:szCs w:val="21"/>
          <w:highlight w:val="none"/>
        </w:rPr>
        <w:t>负责人</w:t>
      </w:r>
      <w:r>
        <w:rPr>
          <w:rFonts w:hAnsi="宋体" w:cs="宋体"/>
          <w:color w:val="auto"/>
          <w:spacing w:val="6"/>
          <w:szCs w:val="21"/>
          <w:highlight w:val="none"/>
          <w:u w:val="single"/>
        </w:rPr>
        <w:t xml:space="preserve">        （姓名）</w:t>
      </w:r>
      <w:r>
        <w:rPr>
          <w:rFonts w:hAnsi="宋体" w:cs="宋体"/>
          <w:color w:val="auto"/>
          <w:spacing w:val="6"/>
          <w:szCs w:val="21"/>
          <w:highlight w:val="none"/>
        </w:rPr>
        <w:t>合法授权参加</w:t>
      </w:r>
      <w:r>
        <w:rPr>
          <w:rFonts w:hAnsi="宋体" w:cs="宋体"/>
          <w:color w:val="auto"/>
          <w:szCs w:val="21"/>
          <w:highlight w:val="none"/>
          <w:u w:val="single"/>
        </w:rPr>
        <w:t>瑞安市综合行政执法局及下属事业单位辅助人员劳务派遣</w:t>
      </w:r>
      <w:r>
        <w:rPr>
          <w:rFonts w:hAnsi="宋体" w:cs="宋体"/>
          <w:color w:val="auto"/>
          <w:szCs w:val="21"/>
          <w:highlight w:val="none"/>
          <w:u w:val="single"/>
        </w:rPr>
        <w:t>（编号:</w:t>
      </w:r>
      <w:r>
        <w:rPr>
          <w:rFonts w:hint="eastAsia" w:hAnsi="宋体" w:cs="宋体"/>
          <w:color w:val="auto"/>
          <w:szCs w:val="21"/>
          <w:highlight w:val="none"/>
          <w:u w:val="single"/>
          <w:lang w:eastAsia="zh-CN"/>
        </w:rPr>
        <w:t>WZRZ20230406</w:t>
      </w:r>
      <w:r>
        <w:rPr>
          <w:rFonts w:hAnsi="宋体" w:cs="宋体"/>
          <w:color w:val="auto"/>
          <w:szCs w:val="21"/>
          <w:highlight w:val="none"/>
          <w:u w:val="single"/>
        </w:rPr>
        <w:t>）</w:t>
      </w:r>
      <w:r>
        <w:rPr>
          <w:rFonts w:hAnsi="宋体" w:cs="宋体"/>
          <w:color w:val="auto"/>
          <w:spacing w:val="6"/>
          <w:szCs w:val="21"/>
          <w:highlight w:val="none"/>
        </w:rPr>
        <w:t xml:space="preserve">政府采购活动，经与本单位法人代表（负责人）联系确认，现就有关公平竞争事项郑重声明如下： </w:t>
      </w:r>
    </w:p>
    <w:p>
      <w:pPr>
        <w:pStyle w:val="44"/>
        <w:widowControl/>
        <w:spacing w:line="360" w:lineRule="auto"/>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一、本单位与采购人之间 □不存在利害关系 □存在下列利害关系：</w:t>
      </w:r>
    </w:p>
    <w:p>
      <w:pPr>
        <w:pStyle w:val="44"/>
        <w:widowControl/>
        <w:spacing w:line="360" w:lineRule="auto"/>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A.投资关系    B.行政隶属关系    C.业务指导关系</w:t>
      </w:r>
    </w:p>
    <w:p>
      <w:pPr>
        <w:pStyle w:val="44"/>
        <w:widowControl/>
        <w:spacing w:line="360" w:lineRule="auto"/>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44"/>
        <w:widowControl/>
        <w:spacing w:line="360" w:lineRule="auto"/>
        <w:ind w:firstLine="420" w:firstLineChars="200"/>
        <w:rPr>
          <w:rFonts w:hint="default" w:ascii="宋体" w:hAnsi="宋体" w:cs="宋体"/>
          <w:color w:val="auto"/>
          <w:kern w:val="0"/>
          <w:szCs w:val="21"/>
          <w:highlight w:val="none"/>
        </w:rPr>
      </w:pPr>
    </w:p>
    <w:p>
      <w:pPr>
        <w:pStyle w:val="44"/>
        <w:widowControl/>
        <w:spacing w:line="360" w:lineRule="auto"/>
        <w:ind w:firstLine="444" w:firstLineChars="200"/>
        <w:rPr>
          <w:rFonts w:hint="default" w:ascii="宋体" w:hAnsi="宋体" w:cs="宋体"/>
          <w:color w:val="auto"/>
          <w:kern w:val="0"/>
          <w:szCs w:val="21"/>
          <w:highlight w:val="none"/>
        </w:rPr>
      </w:pPr>
      <w:r>
        <w:rPr>
          <w:rFonts w:ascii="宋体" w:hAnsi="宋体" w:cs="宋体"/>
          <w:color w:val="auto"/>
          <w:spacing w:val="6"/>
          <w:szCs w:val="21"/>
          <w:highlight w:val="none"/>
        </w:rPr>
        <w:t>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p>
    <w:p>
      <w:pPr>
        <w:pStyle w:val="47"/>
        <w:widowControl w:val="0"/>
        <w:spacing w:line="360" w:lineRule="auto"/>
        <w:ind w:firstLine="420" w:firstLineChars="200"/>
        <w:jc w:val="both"/>
        <w:rPr>
          <w:rFonts w:hint="default" w:hAnsi="宋体" w:cs="宋体"/>
          <w:color w:val="auto"/>
          <w:kern w:val="0"/>
          <w:szCs w:val="21"/>
          <w:highlight w:val="none"/>
        </w:rPr>
      </w:pPr>
      <w:r>
        <w:rPr>
          <w:rFonts w:hAnsi="宋体" w:cs="宋体"/>
          <w:color w:val="auto"/>
          <w:kern w:val="0"/>
          <w:szCs w:val="21"/>
          <w:highlight w:val="none"/>
        </w:rPr>
        <w:t>A.法定代表人或负责人或实际控制人是同一人</w:t>
      </w:r>
    </w:p>
    <w:p>
      <w:pPr>
        <w:pStyle w:val="47"/>
        <w:widowControl w:val="0"/>
        <w:spacing w:line="360" w:lineRule="auto"/>
        <w:ind w:firstLine="420" w:firstLineChars="200"/>
        <w:jc w:val="both"/>
        <w:rPr>
          <w:rFonts w:hint="default" w:hAnsi="宋体" w:cs="宋体"/>
          <w:color w:val="auto"/>
          <w:spacing w:val="6"/>
          <w:szCs w:val="21"/>
          <w:highlight w:val="none"/>
        </w:rPr>
      </w:pPr>
      <w:r>
        <w:rPr>
          <w:rFonts w:hAnsi="宋体" w:cs="宋体"/>
          <w:color w:val="auto"/>
          <w:kern w:val="0"/>
          <w:szCs w:val="21"/>
          <w:highlight w:val="none"/>
        </w:rPr>
        <w:t>B.法定代表人或负责人或实际控制人是夫妻关系</w:t>
      </w:r>
    </w:p>
    <w:p>
      <w:pPr>
        <w:pStyle w:val="47"/>
        <w:widowControl w:val="0"/>
        <w:spacing w:line="360" w:lineRule="auto"/>
        <w:ind w:firstLine="420" w:firstLineChars="200"/>
        <w:jc w:val="both"/>
        <w:rPr>
          <w:rFonts w:hint="default" w:hAnsi="宋体" w:cs="宋体"/>
          <w:color w:val="auto"/>
          <w:spacing w:val="6"/>
          <w:szCs w:val="21"/>
          <w:highlight w:val="none"/>
        </w:rPr>
      </w:pPr>
      <w:r>
        <w:rPr>
          <w:rFonts w:hAnsi="宋体" w:cs="宋体"/>
          <w:color w:val="auto"/>
          <w:kern w:val="0"/>
          <w:szCs w:val="21"/>
          <w:highlight w:val="none"/>
        </w:rPr>
        <w:t>C.法定代表人或负责人或实际控制人是直系血亲关系</w:t>
      </w:r>
    </w:p>
    <w:p>
      <w:pPr>
        <w:pStyle w:val="47"/>
        <w:widowControl w:val="0"/>
        <w:spacing w:line="360" w:lineRule="auto"/>
        <w:ind w:firstLine="420" w:firstLineChars="200"/>
        <w:jc w:val="both"/>
        <w:rPr>
          <w:rFonts w:hint="default" w:hAnsi="宋体" w:cs="宋体"/>
          <w:color w:val="auto"/>
          <w:spacing w:val="6"/>
          <w:szCs w:val="21"/>
          <w:highlight w:val="none"/>
        </w:rPr>
      </w:pPr>
      <w:r>
        <w:rPr>
          <w:rFonts w:hAnsi="宋体" w:cs="宋体"/>
          <w:color w:val="auto"/>
          <w:kern w:val="0"/>
          <w:szCs w:val="21"/>
          <w:highlight w:val="none"/>
        </w:rPr>
        <w:t>D.法定代表人或负责人或实际控制人存在三代以内旁系血亲关系</w:t>
      </w:r>
    </w:p>
    <w:p>
      <w:pPr>
        <w:pStyle w:val="47"/>
        <w:widowControl w:val="0"/>
        <w:spacing w:line="360" w:lineRule="auto"/>
        <w:ind w:firstLine="420" w:firstLineChars="200"/>
        <w:jc w:val="both"/>
        <w:rPr>
          <w:rFonts w:hint="default" w:hAnsi="宋体" w:cs="宋体"/>
          <w:color w:val="auto"/>
          <w:kern w:val="0"/>
          <w:szCs w:val="21"/>
          <w:highlight w:val="none"/>
        </w:rPr>
      </w:pPr>
      <w:r>
        <w:rPr>
          <w:rFonts w:hAnsi="宋体" w:cs="宋体"/>
          <w:color w:val="auto"/>
          <w:kern w:val="0"/>
          <w:szCs w:val="21"/>
          <w:highlight w:val="none"/>
        </w:rPr>
        <w:t>E.法定代表人或负责人或实际控制人存在近姻亲关系</w:t>
      </w:r>
    </w:p>
    <w:p>
      <w:pPr>
        <w:pStyle w:val="47"/>
        <w:widowControl w:val="0"/>
        <w:spacing w:line="360" w:lineRule="auto"/>
        <w:ind w:firstLine="420" w:firstLineChars="200"/>
        <w:jc w:val="both"/>
        <w:rPr>
          <w:rFonts w:hint="default" w:hAnsi="宋体" w:cs="宋体"/>
          <w:color w:val="auto"/>
          <w:kern w:val="0"/>
          <w:szCs w:val="21"/>
          <w:highlight w:val="none"/>
        </w:rPr>
      </w:pPr>
      <w:r>
        <w:rPr>
          <w:rFonts w:hAnsi="宋体" w:cs="宋体"/>
          <w:color w:val="auto"/>
          <w:kern w:val="0"/>
          <w:szCs w:val="21"/>
          <w:highlight w:val="none"/>
        </w:rPr>
        <w:t>F.法定代表人或负责人或实际控制人存在股份控制或实际控制关系  G.存在共同直接或间接投资设立子公司、联营企业和合营企业情况</w:t>
      </w:r>
    </w:p>
    <w:p>
      <w:pPr>
        <w:pStyle w:val="47"/>
        <w:widowControl w:val="0"/>
        <w:spacing w:line="360" w:lineRule="auto"/>
        <w:ind w:firstLine="420" w:firstLineChars="200"/>
        <w:jc w:val="both"/>
        <w:rPr>
          <w:rFonts w:hint="default" w:hAnsi="宋体" w:cs="宋体"/>
          <w:color w:val="auto"/>
          <w:szCs w:val="21"/>
          <w:highlight w:val="none"/>
        </w:rPr>
      </w:pPr>
      <w:r>
        <w:rPr>
          <w:rFonts w:hAnsi="宋体" w:cs="宋体"/>
          <w:color w:val="auto"/>
          <w:kern w:val="0"/>
          <w:szCs w:val="21"/>
          <w:highlight w:val="none"/>
        </w:rPr>
        <w:t>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47"/>
        <w:widowControl w:val="0"/>
        <w:spacing w:line="360" w:lineRule="auto"/>
        <w:ind w:firstLine="420" w:firstLineChars="200"/>
        <w:jc w:val="both"/>
        <w:rPr>
          <w:rFonts w:hint="default" w:hAnsi="宋体" w:cs="宋体"/>
          <w:color w:val="auto"/>
          <w:spacing w:val="6"/>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kern w:val="0"/>
          <w:szCs w:val="21"/>
          <w:highlight w:val="none"/>
        </w:rPr>
        <w:t>。</w:t>
      </w:r>
    </w:p>
    <w:p>
      <w:pPr>
        <w:pStyle w:val="44"/>
        <w:widowControl/>
        <w:spacing w:line="360" w:lineRule="auto"/>
        <w:ind w:firstLine="420" w:firstLineChars="200"/>
        <w:rPr>
          <w:rFonts w:hint="default" w:ascii="宋体" w:hAnsi="宋体" w:cs="宋体"/>
          <w:color w:val="auto"/>
          <w:kern w:val="0"/>
          <w:szCs w:val="21"/>
          <w:highlight w:val="none"/>
        </w:rPr>
      </w:pPr>
      <w:r>
        <w:rPr>
          <w:rFonts w:ascii="宋体" w:hAnsi="宋体" w:cs="宋体"/>
          <w:color w:val="auto"/>
          <w:szCs w:val="21"/>
          <w:highlight w:val="none"/>
        </w:rPr>
        <w:t>三、现已清楚知道并</w:t>
      </w:r>
      <w:r>
        <w:rPr>
          <w:rFonts w:ascii="宋体" w:hAnsi="宋体" w:cs="宋体"/>
          <w:color w:val="auto"/>
          <w:kern w:val="0"/>
          <w:szCs w:val="21"/>
          <w:highlight w:val="none"/>
        </w:rPr>
        <w:t>严格遵守政府采购法律法规和现场纪律。</w:t>
      </w:r>
    </w:p>
    <w:p>
      <w:pPr>
        <w:pStyle w:val="44"/>
        <w:widowControl/>
        <w:spacing w:line="360" w:lineRule="auto"/>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四、我发现供应商之间存在或可能存在上述第二条第项利害关系。</w:t>
      </w:r>
    </w:p>
    <w:p>
      <w:pPr>
        <w:pStyle w:val="47"/>
        <w:widowControl w:val="0"/>
        <w:spacing w:line="360" w:lineRule="auto"/>
        <w:ind w:firstLine="420" w:firstLineChars="200"/>
        <w:jc w:val="both"/>
        <w:rPr>
          <w:rFonts w:hint="default" w:hAnsi="宋体" w:cs="宋体"/>
          <w:color w:val="auto"/>
          <w:szCs w:val="21"/>
          <w:highlight w:val="none"/>
        </w:rPr>
      </w:pPr>
    </w:p>
    <w:p>
      <w:pPr>
        <w:pStyle w:val="47"/>
        <w:widowControl w:val="0"/>
        <w:spacing w:line="360" w:lineRule="auto"/>
        <w:ind w:firstLine="420" w:firstLineChars="200"/>
        <w:jc w:val="both"/>
        <w:rPr>
          <w:rFonts w:hint="default" w:hAnsi="宋体" w:cs="宋体"/>
          <w:color w:val="auto"/>
          <w:szCs w:val="21"/>
          <w:highlight w:val="none"/>
        </w:rPr>
      </w:pPr>
      <w:r>
        <w:rPr>
          <w:rFonts w:hAnsi="宋体" w:cs="宋体"/>
          <w:color w:val="auto"/>
          <w:szCs w:val="21"/>
          <w:highlight w:val="none"/>
        </w:rPr>
        <w:t xml:space="preserve">                                （供应商代表签名）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pPr>
        <w:spacing w:line="360" w:lineRule="auto"/>
        <w:jc w:val="center"/>
        <w:rPr>
          <w:rStyle w:val="37"/>
          <w:color w:val="auto"/>
          <w:sz w:val="28"/>
          <w:szCs w:val="28"/>
          <w:highlight w:val="none"/>
        </w:rPr>
      </w:pPr>
      <w:bookmarkStart w:id="188" w:name="_Toc23786"/>
      <w:r>
        <w:rPr>
          <w:rStyle w:val="37"/>
          <w:rFonts w:hint="eastAsia"/>
          <w:color w:val="auto"/>
          <w:sz w:val="28"/>
          <w:szCs w:val="28"/>
          <w:highlight w:val="none"/>
        </w:rPr>
        <w:t xml:space="preserve">第八部分   </w:t>
      </w:r>
      <w:bookmarkStart w:id="189" w:name="_Toc6195"/>
      <w:r>
        <w:rPr>
          <w:rStyle w:val="37"/>
          <w:color w:val="auto"/>
          <w:sz w:val="28"/>
          <w:szCs w:val="28"/>
          <w:highlight w:val="none"/>
        </w:rPr>
        <w:t>政府采购信用融资政策</w:t>
      </w:r>
      <w:bookmarkEnd w:id="189"/>
    </w:p>
    <w:bookmarkEnd w:id="188"/>
    <w:p>
      <w:pPr>
        <w:spacing w:line="360" w:lineRule="auto"/>
        <w:jc w:val="center"/>
        <w:rPr>
          <w:rFonts w:ascii="Arial" w:hAnsi="Arial" w:cs="Arial"/>
          <w:b/>
          <w:bCs/>
          <w:color w:val="auto"/>
          <w:sz w:val="28"/>
          <w:szCs w:val="28"/>
          <w:highlight w:val="none"/>
        </w:rPr>
      </w:pPr>
      <w:r>
        <w:rPr>
          <w:rFonts w:ascii="Arial" w:hAnsi="Arial" w:cs="Arial"/>
          <w:b/>
          <w:bCs/>
          <w:color w:val="auto"/>
          <w:sz w:val="28"/>
          <w:szCs w:val="28"/>
          <w:highlight w:val="none"/>
        </w:rPr>
        <w:t>温州市政府采购信用融资意向银行选择表</w:t>
      </w:r>
    </w:p>
    <w:p>
      <w:pPr>
        <w:spacing w:line="360" w:lineRule="auto"/>
        <w:jc w:val="center"/>
        <w:rPr>
          <w:rFonts w:ascii="Arial" w:hAnsi="Arial" w:cs="Arial"/>
          <w:b/>
          <w:bCs/>
          <w:color w:val="auto"/>
          <w:sz w:val="28"/>
          <w:szCs w:val="28"/>
          <w:highlight w:val="none"/>
        </w:rPr>
      </w:pPr>
      <w:r>
        <w:rPr>
          <w:rFonts w:ascii="Arial" w:hAnsi="Arial" w:cs="Arial"/>
          <w:b/>
          <w:bCs/>
          <w:color w:val="auto"/>
          <w:sz w:val="28"/>
          <w:szCs w:val="28"/>
          <w:highlight w:val="none"/>
        </w:rPr>
        <w:t>（温州市供应商填写）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49"/>
        <w:gridCol w:w="1593"/>
        <w:gridCol w:w="956"/>
        <w:gridCol w:w="17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企业名称</w:t>
            </w:r>
          </w:p>
        </w:tc>
        <w:tc>
          <w:tcPr>
            <w:tcW w:w="7704" w:type="dxa"/>
            <w:gridSpan w:val="5"/>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企业注册地</w:t>
            </w:r>
          </w:p>
        </w:tc>
        <w:tc>
          <w:tcPr>
            <w:tcW w:w="4142"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c>
          <w:tcPr>
            <w:tcW w:w="2709"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是否有融资意向</w:t>
            </w:r>
          </w:p>
        </w:tc>
        <w:tc>
          <w:tcPr>
            <w:tcW w:w="853" w:type="dxa"/>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融资联系人</w:t>
            </w:r>
          </w:p>
        </w:tc>
        <w:tc>
          <w:tcPr>
            <w:tcW w:w="2549" w:type="dxa"/>
            <w:noWrap/>
            <w:vAlign w:val="center"/>
          </w:tcPr>
          <w:p>
            <w:pPr>
              <w:pStyle w:val="59"/>
              <w:spacing w:line="360" w:lineRule="auto"/>
              <w:ind w:firstLine="0" w:firstLineChars="0"/>
              <w:jc w:val="both"/>
              <w:rPr>
                <w:rFonts w:ascii="Arial" w:hAnsi="Arial" w:eastAsia="宋体" w:cs="Arial"/>
                <w:color w:val="auto"/>
                <w:sz w:val="21"/>
                <w:szCs w:val="21"/>
                <w:highlight w:val="none"/>
              </w:rPr>
            </w:pPr>
          </w:p>
        </w:tc>
        <w:tc>
          <w:tcPr>
            <w:tcW w:w="2549"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联系方式</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温州市政府采购信用融资合作银行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温州银行股份有限公司温州分行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温州银行股份有限公司鹿城分行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中国工商银行股份有限公司温州分行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73" w:type="dxa"/>
            <w:gridSpan w:val="4"/>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中国建设银行股份有限公司温州分行</w:t>
            </w:r>
          </w:p>
        </w:tc>
        <w:tc>
          <w:tcPr>
            <w:tcW w:w="2606" w:type="dxa"/>
            <w:gridSpan w:val="2"/>
            <w:noWrap/>
            <w:vAlign w:val="center"/>
          </w:tcPr>
          <w:p>
            <w:pPr>
              <w:spacing w:line="360" w:lineRule="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中国邮政储蓄银行股份有限公司温州市分行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中国民生银行股份有限公司温州分行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宁波银行股份有限公司温州分行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杭州银行股份有限公司温州分行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招商银行股份有限公司温州分行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兴业银行股份有限公司温州分行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交通银行股份有限公司温州分行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3" w:type="dxa"/>
            <w:gridSpan w:val="4"/>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上海浦东发展银行股份有限公司温州分行</w:t>
            </w:r>
          </w:p>
        </w:tc>
        <w:tc>
          <w:tcPr>
            <w:tcW w:w="2606" w:type="dxa"/>
            <w:gridSpan w:val="2"/>
            <w:noWrap/>
            <w:vAlign w:val="center"/>
          </w:tcPr>
          <w:p>
            <w:pPr>
              <w:pStyle w:val="59"/>
              <w:spacing w:line="360" w:lineRule="auto"/>
              <w:ind w:firstLine="0" w:firstLineChars="0"/>
              <w:jc w:val="both"/>
              <w:rPr>
                <w:rFonts w:ascii="Arial" w:hAnsi="Arial" w:eastAsia="宋体" w:cs="Arial"/>
                <w:color w:val="auto"/>
                <w:sz w:val="21"/>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注：1、本表填写对象为注册地在温州市域内的供应商。</w:t>
      </w:r>
    </w:p>
    <w:p>
      <w:pPr>
        <w:numPr>
          <w:ilvl w:val="0"/>
          <w:numId w:val="4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财政部门根据企业自行选择，将本表及企业相关信息推送至相对应的融资意向银行经办人。</w:t>
      </w:r>
    </w:p>
    <w:p>
      <w:pPr>
        <w:numPr>
          <w:ilvl w:val="0"/>
          <w:numId w:val="4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供应商填表后发送至racgb@126.com</w:t>
      </w:r>
    </w:p>
    <w:p>
      <w:pPr>
        <w:spacing w:line="360" w:lineRule="auto"/>
        <w:rPr>
          <w:rFonts w:ascii="Arial" w:hAnsi="Arial" w:cs="Arial"/>
          <w:color w:val="auto"/>
          <w:sz w:val="22"/>
          <w:highlight w:val="none"/>
        </w:rPr>
      </w:pPr>
    </w:p>
    <w:p>
      <w:pPr>
        <w:rPr>
          <w:rFonts w:ascii="Arial" w:hAnsi="Arial" w:cs="Arial"/>
          <w:color w:val="auto"/>
          <w:sz w:val="24"/>
          <w:szCs w:val="24"/>
          <w:highlight w:val="none"/>
        </w:rPr>
      </w:pPr>
      <w:r>
        <w:rPr>
          <w:rFonts w:ascii="Arial" w:hAnsi="Arial" w:cs="Arial"/>
          <w:color w:val="auto"/>
          <w:sz w:val="24"/>
          <w:szCs w:val="24"/>
          <w:highlight w:val="none"/>
        </w:rPr>
        <w:br w:type="page"/>
      </w:r>
    </w:p>
    <w:p>
      <w:pPr>
        <w:tabs>
          <w:tab w:val="left" w:pos="4860"/>
        </w:tabs>
        <w:spacing w:line="360" w:lineRule="auto"/>
        <w:ind w:right="-2"/>
        <w:rPr>
          <w:rFonts w:ascii="Arial" w:hAnsi="Arial" w:cs="Arial"/>
          <w:color w:val="auto"/>
          <w:sz w:val="24"/>
          <w:szCs w:val="24"/>
          <w:highlight w:val="none"/>
        </w:rPr>
      </w:pPr>
      <w:r>
        <w:rPr>
          <w:rFonts w:ascii="Arial" w:hAnsi="Arial" w:cs="Arial"/>
          <w:color w:val="auto"/>
          <w:sz w:val="24"/>
          <w:szCs w:val="24"/>
          <w:highlight w:val="none"/>
        </w:rPr>
        <w:t>中标单位如需要融资，可联系以下银行：</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3865"/>
        <w:gridCol w:w="114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167" w:type="dxa"/>
            <w:gridSpan w:val="4"/>
            <w:noWrap/>
            <w:vAlign w:val="center"/>
          </w:tcPr>
          <w:p>
            <w:pPr>
              <w:widowControl w:val="0"/>
              <w:spacing w:line="360" w:lineRule="auto"/>
              <w:ind w:left="105" w:leftChars="50" w:right="105" w:rightChars="50"/>
              <w:jc w:val="center"/>
              <w:rPr>
                <w:rFonts w:ascii="Arial" w:hAnsi="Arial" w:cs="Arial"/>
                <w:color w:val="auto"/>
                <w:szCs w:val="21"/>
                <w:highlight w:val="none"/>
              </w:rPr>
            </w:pPr>
            <w:r>
              <w:rPr>
                <w:rFonts w:ascii="Arial" w:hAnsi="Arial" w:cs="Arial"/>
                <w:color w:val="auto"/>
                <w:sz w:val="24"/>
                <w:szCs w:val="24"/>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银行名称</w:t>
            </w:r>
          </w:p>
        </w:tc>
        <w:tc>
          <w:tcPr>
            <w:tcW w:w="3865" w:type="dxa"/>
            <w:noWrap/>
          </w:tcPr>
          <w:p>
            <w:pPr>
              <w:pStyle w:val="59"/>
              <w:spacing w:line="360" w:lineRule="auto"/>
              <w:ind w:firstLine="0" w:firstLineChars="0"/>
              <w:jc w:val="center"/>
              <w:rPr>
                <w:rFonts w:ascii="Arial" w:hAnsi="Arial" w:eastAsia="宋体" w:cs="Arial"/>
                <w:color w:val="auto"/>
                <w:sz w:val="21"/>
                <w:szCs w:val="21"/>
                <w:highlight w:val="none"/>
              </w:rPr>
            </w:pPr>
            <w:r>
              <w:rPr>
                <w:rFonts w:ascii="Arial" w:hAnsi="Arial" w:eastAsia="宋体" w:cs="Arial"/>
                <w:color w:val="auto"/>
                <w:sz w:val="21"/>
                <w:szCs w:val="21"/>
                <w:highlight w:val="none"/>
              </w:rPr>
              <w:t>产品特点（不超过120字）</w:t>
            </w:r>
          </w:p>
        </w:tc>
        <w:tc>
          <w:tcPr>
            <w:tcW w:w="1146"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经办人</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97"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中国建设银行股份有限公司温州分行</w:t>
            </w:r>
          </w:p>
        </w:tc>
        <w:tc>
          <w:tcPr>
            <w:tcW w:w="3865" w:type="dxa"/>
            <w:noWrap/>
          </w:tcPr>
          <w:p>
            <w:pPr>
              <w:spacing w:line="360" w:lineRule="auto"/>
              <w:rPr>
                <w:rFonts w:ascii="Arial" w:hAnsi="Arial" w:cs="Arial"/>
                <w:color w:val="auto"/>
                <w:szCs w:val="21"/>
                <w:highlight w:val="none"/>
              </w:rPr>
            </w:pPr>
            <w:r>
              <w:rPr>
                <w:rFonts w:ascii="Arial" w:hAnsi="Arial" w:cs="Arial"/>
                <w:color w:val="auto"/>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张经理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0577-65819553（瑞安）</w:t>
            </w:r>
          </w:p>
          <w:p>
            <w:pPr>
              <w:spacing w:line="360" w:lineRule="auto"/>
              <w:rPr>
                <w:rFonts w:ascii="Arial" w:hAnsi="Arial" w:cs="Arial"/>
                <w:color w:val="auto"/>
                <w:szCs w:val="21"/>
                <w:highlight w:val="none"/>
              </w:rPr>
            </w:pPr>
            <w:r>
              <w:rPr>
                <w:rFonts w:ascii="Arial" w:hAnsi="Arial" w:cs="Arial"/>
                <w:color w:val="auto"/>
                <w:szCs w:val="21"/>
                <w:highlight w:val="none"/>
              </w:rPr>
              <w:t>0577-88093286（温州）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中国工商银行股份有限公司温州分行</w:t>
            </w:r>
          </w:p>
        </w:tc>
        <w:tc>
          <w:tcPr>
            <w:tcW w:w="3865" w:type="dxa"/>
            <w:noWrap/>
          </w:tcPr>
          <w:p>
            <w:pPr>
              <w:spacing w:line="360" w:lineRule="auto"/>
              <w:rPr>
                <w:rFonts w:ascii="Arial" w:hAnsi="Arial" w:cs="Arial"/>
                <w:color w:val="auto"/>
                <w:szCs w:val="21"/>
                <w:highlight w:val="none"/>
              </w:rPr>
            </w:pPr>
            <w:r>
              <w:rPr>
                <w:rFonts w:ascii="Arial" w:hAnsi="Arial" w:cs="Arial"/>
                <w:color w:val="auto"/>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46"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王经理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中国邮政储蓄银行股份有限公司温州市分行</w:t>
            </w:r>
          </w:p>
        </w:tc>
        <w:tc>
          <w:tcPr>
            <w:tcW w:w="3865"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郑经理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中国民生银行股份有限公司温州分行</w:t>
            </w:r>
          </w:p>
        </w:tc>
        <w:tc>
          <w:tcPr>
            <w:tcW w:w="3865" w:type="dxa"/>
            <w:noWrap/>
          </w:tcPr>
          <w:p>
            <w:pPr>
              <w:spacing w:line="360" w:lineRule="auto"/>
              <w:rPr>
                <w:rFonts w:ascii="Arial" w:hAnsi="Arial" w:cs="Arial"/>
                <w:color w:val="auto"/>
                <w:szCs w:val="21"/>
                <w:highlight w:val="none"/>
              </w:rPr>
            </w:pPr>
            <w:r>
              <w:rPr>
                <w:rFonts w:ascii="Arial" w:hAnsi="Arial" w:cs="Arial"/>
                <w:color w:val="auto"/>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项经理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宁波银行股份有限公司温州分行</w:t>
            </w:r>
          </w:p>
        </w:tc>
        <w:tc>
          <w:tcPr>
            <w:tcW w:w="3865" w:type="dxa"/>
            <w:noWrap/>
          </w:tcPr>
          <w:p>
            <w:pPr>
              <w:spacing w:line="360" w:lineRule="auto"/>
              <w:rPr>
                <w:rFonts w:ascii="Arial" w:hAnsi="Arial" w:cs="Arial"/>
                <w:color w:val="auto"/>
                <w:szCs w:val="21"/>
                <w:highlight w:val="none"/>
              </w:rPr>
            </w:pPr>
            <w:r>
              <w:rPr>
                <w:rFonts w:ascii="Arial" w:hAnsi="Arial" w:cs="Arial"/>
                <w:color w:val="auto"/>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陈经理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杭州银行股份有限公司温州分行</w:t>
            </w:r>
          </w:p>
        </w:tc>
        <w:tc>
          <w:tcPr>
            <w:tcW w:w="3865" w:type="dxa"/>
            <w:noWrap/>
          </w:tcPr>
          <w:p>
            <w:pPr>
              <w:spacing w:line="360" w:lineRule="auto"/>
              <w:rPr>
                <w:rFonts w:ascii="Arial" w:hAnsi="Arial" w:cs="Arial"/>
                <w:bCs/>
                <w:color w:val="auto"/>
                <w:szCs w:val="21"/>
                <w:highlight w:val="none"/>
              </w:rPr>
            </w:pPr>
            <w:r>
              <w:rPr>
                <w:rFonts w:ascii="Arial" w:hAnsi="Arial" w:cs="Arial"/>
                <w:bCs/>
                <w:color w:val="auto"/>
                <w:szCs w:val="21"/>
                <w:highlight w:val="none"/>
              </w:rPr>
              <w:t>门槛低：纯信用，平台注册入库并取得采购合同即可申请手续简：线上申请+线上签约，足不出户</w:t>
            </w:r>
          </w:p>
          <w:p>
            <w:pPr>
              <w:spacing w:line="360" w:lineRule="auto"/>
              <w:rPr>
                <w:rFonts w:ascii="Arial" w:hAnsi="Arial" w:cs="Arial"/>
                <w:color w:val="auto"/>
                <w:szCs w:val="21"/>
                <w:highlight w:val="none"/>
              </w:rPr>
            </w:pPr>
            <w:r>
              <w:rPr>
                <w:rFonts w:ascii="Arial" w:hAnsi="Arial" w:cs="Arial"/>
                <w:bCs/>
                <w:color w:val="auto"/>
                <w:szCs w:val="21"/>
                <w:highlight w:val="none"/>
              </w:rPr>
              <w:t>利率优：按优于一般中小企业贷款利率执行额度高：最高为合同金额的80%</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叶经理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招商银行股份有限公司温州分行</w:t>
            </w:r>
          </w:p>
        </w:tc>
        <w:tc>
          <w:tcPr>
            <w:tcW w:w="3865" w:type="dxa"/>
            <w:noWrap/>
          </w:tcPr>
          <w:p>
            <w:pPr>
              <w:spacing w:line="360" w:lineRule="auto"/>
              <w:rPr>
                <w:rFonts w:ascii="Arial" w:hAnsi="Arial" w:cs="Arial"/>
                <w:color w:val="auto"/>
                <w:szCs w:val="21"/>
                <w:highlight w:val="none"/>
              </w:rPr>
            </w:pPr>
            <w:r>
              <w:rPr>
                <w:rFonts w:ascii="Arial" w:hAnsi="Arial" w:cs="Arial"/>
                <w:color w:val="auto"/>
                <w:szCs w:val="21"/>
                <w:highlight w:val="none"/>
              </w:rPr>
              <w:t>政采贷是招商银行针对政府采购招投标成交供应商，以政府采购合同项下未来应收账款为第一还款来源的融资业务，无需抵质押物。额度最高可达2000万，同时可开通自助贷款直通功能，自助贷款额度最高可达1000万，支持线上申请、随借随还。</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陈经理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兴业银行股份有限公司温州分行</w:t>
            </w:r>
          </w:p>
        </w:tc>
        <w:tc>
          <w:tcPr>
            <w:tcW w:w="3865" w:type="dxa"/>
            <w:noWrap/>
            <w:vAlign w:val="center"/>
          </w:tcPr>
          <w:p>
            <w:pPr>
              <w:pStyle w:val="59"/>
              <w:spacing w:line="360" w:lineRule="auto"/>
              <w:ind w:firstLine="0" w:firstLineChars="0"/>
              <w:jc w:val="both"/>
              <w:rPr>
                <w:rFonts w:ascii="Arial" w:hAnsi="Arial" w:eastAsia="宋体" w:cs="Arial"/>
                <w:bCs/>
                <w:color w:val="auto"/>
                <w:sz w:val="21"/>
                <w:szCs w:val="21"/>
                <w:highlight w:val="none"/>
              </w:rPr>
            </w:pPr>
            <w:r>
              <w:rPr>
                <w:rFonts w:ascii="Arial" w:hAnsi="Arial" w:eastAsia="宋体" w:cs="Arial"/>
                <w:bCs/>
                <w:color w:val="auto"/>
                <w:sz w:val="21"/>
                <w:szCs w:val="21"/>
                <w:highlight w:val="none"/>
              </w:rPr>
              <w:t>融资担保方式及融资金额：1、采取信用免抵押的企业，最高融资金额</w:t>
            </w:r>
            <w:r>
              <w:rPr>
                <w:rFonts w:hint="eastAsia" w:ascii="Arial" w:hAnsi="Arial" w:eastAsia="宋体" w:cs="Arial"/>
                <w:bCs/>
                <w:color w:val="auto"/>
                <w:sz w:val="21"/>
                <w:szCs w:val="21"/>
                <w:highlight w:val="none"/>
              </w:rPr>
              <w:t>180万元</w:t>
            </w:r>
            <w:r>
              <w:rPr>
                <w:rFonts w:ascii="Arial" w:hAnsi="Arial" w:eastAsia="宋体" w:cs="Arial"/>
                <w:bCs/>
                <w:color w:val="auto"/>
                <w:sz w:val="21"/>
                <w:szCs w:val="21"/>
                <w:highlight w:val="none"/>
              </w:rPr>
              <w:t>；2、采取政府采购中标应收帐款质押的，最高融资金额不超过1000万元，单笔提款金额不超过采购合同金额的70%。融资利率：在本单位一般性中小企业信用贷款利率基础上下浮10%。</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张经理</w:t>
            </w:r>
          </w:p>
          <w:p>
            <w:pPr>
              <w:spacing w:line="360" w:lineRule="auto"/>
              <w:rPr>
                <w:rFonts w:ascii="Arial" w:hAnsi="Arial" w:cs="Arial"/>
                <w:color w:val="auto"/>
                <w:szCs w:val="21"/>
                <w:highlight w:val="none"/>
              </w:rPr>
            </w:pPr>
            <w:r>
              <w:rPr>
                <w:rFonts w:ascii="Arial" w:hAnsi="Arial" w:cs="Arial"/>
                <w:color w:val="auto"/>
                <w:szCs w:val="21"/>
                <w:highlight w:val="none"/>
              </w:rPr>
              <w:t>陈经理</w:t>
            </w:r>
          </w:p>
        </w:tc>
        <w:tc>
          <w:tcPr>
            <w:tcW w:w="2059"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0577-88369368/13857713118</w:t>
            </w:r>
          </w:p>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温州银行股份有限公司温州分行</w:t>
            </w:r>
          </w:p>
        </w:tc>
        <w:tc>
          <w:tcPr>
            <w:tcW w:w="3865" w:type="dxa"/>
            <w:noWrap/>
          </w:tcPr>
          <w:p>
            <w:pPr>
              <w:spacing w:line="360" w:lineRule="auto"/>
              <w:rPr>
                <w:rFonts w:ascii="Arial" w:hAnsi="Arial" w:cs="Arial"/>
                <w:bCs/>
                <w:color w:val="auto"/>
                <w:szCs w:val="21"/>
                <w:highlight w:val="none"/>
              </w:rPr>
            </w:pPr>
            <w:r>
              <w:rPr>
                <w:rFonts w:ascii="Arial" w:hAnsi="Arial" w:cs="Arial"/>
                <w:bCs/>
                <w:color w:val="auto"/>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陈经理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温州银行股份有限公司鹿城分行</w:t>
            </w:r>
          </w:p>
        </w:tc>
        <w:tc>
          <w:tcPr>
            <w:tcW w:w="3865" w:type="dxa"/>
            <w:noWrap/>
          </w:tcPr>
          <w:p>
            <w:pPr>
              <w:spacing w:line="360" w:lineRule="auto"/>
              <w:rPr>
                <w:rFonts w:ascii="Arial" w:hAnsi="Arial" w:cs="Arial"/>
                <w:color w:val="auto"/>
                <w:szCs w:val="21"/>
                <w:highlight w:val="none"/>
              </w:rPr>
            </w:pPr>
            <w:r>
              <w:rPr>
                <w:rFonts w:ascii="Arial" w:hAnsi="Arial" w:cs="Arial"/>
                <w:color w:val="auto"/>
                <w:szCs w:val="21"/>
                <w:highlight w:val="none"/>
              </w:rPr>
              <w:t>政采订单贷：1、面向政府采购项目供应商，满足供应商资金周转需求，凭中标通知书即可申请，2、秒知额高，最高可贷500万元，单笔业务金额可贷中标金额的80%，最长期限可贷1年。信保贷：1、额度最高可达500万元</w:t>
            </w:r>
          </w:p>
          <w:p>
            <w:pPr>
              <w:spacing w:line="360" w:lineRule="auto"/>
              <w:rPr>
                <w:rFonts w:ascii="Arial" w:hAnsi="Arial" w:cs="Arial"/>
                <w:color w:val="auto"/>
                <w:szCs w:val="21"/>
                <w:highlight w:val="none"/>
              </w:rPr>
            </w:pPr>
            <w:r>
              <w:rPr>
                <w:rFonts w:ascii="Arial" w:hAnsi="Arial" w:cs="Arial"/>
                <w:color w:val="auto"/>
                <w:szCs w:val="21"/>
                <w:highlight w:val="none"/>
              </w:rPr>
              <w:t>2、担保灵活，信用贷款3、贷款年利率至少可享受本单位一般性中小企业信用贷款利率基础上下浮10 %</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戴经理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交通银行股份有限公司温州分行</w:t>
            </w:r>
          </w:p>
        </w:tc>
        <w:tc>
          <w:tcPr>
            <w:tcW w:w="3865" w:type="dxa"/>
            <w:noWrap/>
          </w:tcPr>
          <w:p>
            <w:pPr>
              <w:autoSpaceDE w:val="0"/>
              <w:autoSpaceDN w:val="0"/>
              <w:spacing w:line="360" w:lineRule="auto"/>
              <w:rPr>
                <w:rFonts w:ascii="Arial" w:hAnsi="Arial" w:cs="Arial"/>
                <w:color w:val="auto"/>
                <w:szCs w:val="21"/>
                <w:highlight w:val="none"/>
              </w:rPr>
            </w:pPr>
            <w:r>
              <w:rPr>
                <w:rFonts w:ascii="Arial" w:hAnsi="Arial" w:cs="Arial"/>
                <w:color w:val="auto"/>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缪经理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7" w:type="dxa"/>
            <w:noWrap/>
            <w:vAlign w:val="center"/>
          </w:tcPr>
          <w:p>
            <w:pPr>
              <w:pStyle w:val="59"/>
              <w:spacing w:line="360" w:lineRule="auto"/>
              <w:ind w:firstLine="0" w:firstLineChars="0"/>
              <w:jc w:val="both"/>
              <w:rPr>
                <w:rFonts w:ascii="Arial" w:hAnsi="Arial" w:eastAsia="宋体" w:cs="Arial"/>
                <w:color w:val="auto"/>
                <w:sz w:val="21"/>
                <w:szCs w:val="21"/>
                <w:highlight w:val="none"/>
              </w:rPr>
            </w:pPr>
            <w:r>
              <w:rPr>
                <w:rFonts w:ascii="Arial" w:hAnsi="Arial" w:eastAsia="宋体" w:cs="Arial"/>
                <w:color w:val="auto"/>
                <w:sz w:val="21"/>
                <w:szCs w:val="21"/>
                <w:highlight w:val="none"/>
              </w:rPr>
              <w:t>上海浦东发展银行股份有限公司温州分行</w:t>
            </w:r>
          </w:p>
        </w:tc>
        <w:tc>
          <w:tcPr>
            <w:tcW w:w="3865" w:type="dxa"/>
            <w:noWrap/>
          </w:tcPr>
          <w:p>
            <w:pPr>
              <w:spacing w:line="360" w:lineRule="auto"/>
              <w:rPr>
                <w:rFonts w:ascii="Arial" w:hAnsi="Arial" w:cs="Arial"/>
                <w:bCs/>
                <w:color w:val="auto"/>
                <w:szCs w:val="21"/>
                <w:highlight w:val="none"/>
              </w:rPr>
            </w:pPr>
            <w:r>
              <w:rPr>
                <w:rFonts w:ascii="Arial" w:hAnsi="Arial" w:cs="Arial"/>
                <w:bCs/>
                <w:color w:val="auto"/>
                <w:szCs w:val="21"/>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spacing w:line="360" w:lineRule="auto"/>
              <w:rPr>
                <w:rFonts w:ascii="Arial" w:hAnsi="Arial" w:cs="Arial"/>
                <w:color w:val="auto"/>
                <w:szCs w:val="21"/>
                <w:highlight w:val="none"/>
              </w:rPr>
            </w:pPr>
            <w:r>
              <w:rPr>
                <w:rFonts w:ascii="Arial" w:hAnsi="Arial" w:cs="Arial"/>
                <w:bCs/>
                <w:color w:val="auto"/>
                <w:szCs w:val="21"/>
                <w:highlight w:val="none"/>
              </w:rPr>
              <w:t>所需材料：企业基础证件、相关中标文件（中标通知书 、采购合同等）、其他必要文件</w:t>
            </w:r>
          </w:p>
        </w:tc>
        <w:tc>
          <w:tcPr>
            <w:tcW w:w="1146"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叶经理</w:t>
            </w:r>
          </w:p>
        </w:tc>
        <w:tc>
          <w:tcPr>
            <w:tcW w:w="2059" w:type="dxa"/>
            <w:noWrap/>
            <w:vAlign w:val="center"/>
          </w:tcPr>
          <w:p>
            <w:pPr>
              <w:spacing w:line="360" w:lineRule="auto"/>
              <w:rPr>
                <w:rFonts w:ascii="Arial" w:hAnsi="Arial" w:cs="Arial"/>
                <w:color w:val="auto"/>
                <w:szCs w:val="21"/>
                <w:highlight w:val="none"/>
              </w:rPr>
            </w:pPr>
            <w:r>
              <w:rPr>
                <w:rFonts w:ascii="Arial" w:hAnsi="Arial" w:cs="Arial"/>
                <w:color w:val="auto"/>
                <w:szCs w:val="21"/>
                <w:highlight w:val="none"/>
              </w:rPr>
              <w:t>0577-55570829</w:t>
            </w:r>
          </w:p>
          <w:p>
            <w:pPr>
              <w:spacing w:line="360" w:lineRule="auto"/>
              <w:rPr>
                <w:rFonts w:ascii="Arial" w:hAnsi="Arial" w:cs="Arial"/>
                <w:color w:val="auto"/>
                <w:szCs w:val="21"/>
                <w:highlight w:val="none"/>
              </w:rPr>
            </w:pPr>
          </w:p>
        </w:tc>
      </w:tr>
    </w:tbl>
    <w:p>
      <w:pPr>
        <w:pStyle w:val="7"/>
        <w:adjustRightInd/>
        <w:snapToGrid/>
        <w:spacing w:before="0" w:after="0" w:line="360" w:lineRule="auto"/>
        <w:rPr>
          <w:color w:val="auto"/>
          <w:highlight w:val="none"/>
        </w:rPr>
      </w:pPr>
    </w:p>
    <w:sectPr>
      <w:headerReference r:id="rId11" w:type="default"/>
      <w:pgSz w:w="11906" w:h="16838"/>
      <w:pgMar w:top="1417" w:right="1417" w:bottom="1417" w:left="1417"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180" w:type="dxa"/>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9180"/>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9180" w:type="dxa"/>
        </w:tcPr>
        <w:p>
          <w:pPr>
            <w:pStyle w:val="17"/>
            <w:ind w:firstLine="960" w:firstLineChars="400"/>
            <w:jc w:val="right"/>
            <w:rPr>
              <w:color w:val="4F81BD"/>
              <w:kern w:val="2"/>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Text Box 7"/>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pPr>
                                  <w:pStyle w:val="17"/>
                                  <w:wordWrap w:val="0"/>
                                  <w:ind w:firstLine="720" w:firstLineChars="400"/>
                                  <w:jc w:val="right"/>
                                  <w:rPr>
                                    <w:szCs w:val="18"/>
                                  </w:rPr>
                                </w:pPr>
                                <w:r>
                                  <w:rPr>
                                    <w:rFonts w:hint="eastAsia"/>
                                    <w:kern w:val="2"/>
                                    <w:szCs w:val="18"/>
                                  </w:rPr>
                                  <w:t xml:space="preserve">第 </w:t>
                                </w:r>
                                <w:r>
                                  <w:rPr>
                                    <w:kern w:val="2"/>
                                    <w:szCs w:val="18"/>
                                  </w:rPr>
                                  <w:fldChar w:fldCharType="begin"/>
                                </w:r>
                                <w:r>
                                  <w:rPr>
                                    <w:kern w:val="2"/>
                                    <w:szCs w:val="18"/>
                                  </w:rPr>
                                  <w:instrText xml:space="preserve"> PAGE   \* MERGEFORMAT </w:instrText>
                                </w:r>
                                <w:r>
                                  <w:rPr>
                                    <w:kern w:val="2"/>
                                    <w:szCs w:val="18"/>
                                  </w:rPr>
                                  <w:fldChar w:fldCharType="separate"/>
                                </w:r>
                                <w:r>
                                  <w:rPr>
                                    <w:color w:val="4F81BD"/>
                                    <w:kern w:val="2"/>
                                    <w:szCs w:val="18"/>
                                    <w:lang w:val="zh-CN"/>
                                  </w:rPr>
                                  <w:t>27</w:t>
                                </w:r>
                                <w:r>
                                  <w:rPr>
                                    <w:kern w:val="2"/>
                                    <w:szCs w:val="18"/>
                                  </w:rPr>
                                  <w:fldChar w:fldCharType="end"/>
                                </w:r>
                                <w:r>
                                  <w:rPr>
                                    <w:rFonts w:hint="eastAsia"/>
                                    <w:kern w:val="2"/>
                                    <w:szCs w:val="18"/>
                                  </w:rPr>
                                  <w:t xml:space="preserve"> 页</w:t>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72.05pt;mso-position-horizontal:center;mso-position-horizontal-relative:margin;mso-wrap-style:none;z-index:25166438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t6q30gAAAAQBAAAPAAAAAAAAAAEAIAAAACIAAABkcnMvZG93bnJldi54&#10;bWxQSwECFAAUAAAACACHTuJAA7/gVwACAAAPBAAADgAAAAAAAAABACAAAAAhAQAAZHJzL2Uyb0Rv&#10;Yy54bWxQSwUGAAAAAAYABgBZAQAAkwUAAAAA&#10;">
                    <v:fill on="f" focussize="0,0"/>
                    <v:stroke on="f"/>
                    <v:imagedata o:title=""/>
                    <o:lock v:ext="edit" aspectratio="f"/>
                    <v:textbox inset="0mm,0mm,0mm,0mm" style="mso-fit-shape-to-text:t;">
                      <w:txbxContent>
                        <w:p>
                          <w:pPr>
                            <w:pStyle w:val="17"/>
                            <w:wordWrap w:val="0"/>
                            <w:ind w:firstLine="720" w:firstLineChars="400"/>
                            <w:jc w:val="right"/>
                            <w:rPr>
                              <w:szCs w:val="18"/>
                            </w:rPr>
                          </w:pPr>
                          <w:r>
                            <w:rPr>
                              <w:rFonts w:hint="eastAsia"/>
                              <w:kern w:val="2"/>
                              <w:szCs w:val="18"/>
                            </w:rPr>
                            <w:t xml:space="preserve">第 </w:t>
                          </w:r>
                          <w:r>
                            <w:rPr>
                              <w:kern w:val="2"/>
                              <w:szCs w:val="18"/>
                            </w:rPr>
                            <w:fldChar w:fldCharType="begin"/>
                          </w:r>
                          <w:r>
                            <w:rPr>
                              <w:kern w:val="2"/>
                              <w:szCs w:val="18"/>
                            </w:rPr>
                            <w:instrText xml:space="preserve"> PAGE   \* MERGEFORMAT </w:instrText>
                          </w:r>
                          <w:r>
                            <w:rPr>
                              <w:kern w:val="2"/>
                              <w:szCs w:val="18"/>
                            </w:rPr>
                            <w:fldChar w:fldCharType="separate"/>
                          </w:r>
                          <w:r>
                            <w:rPr>
                              <w:color w:val="4F81BD"/>
                              <w:kern w:val="2"/>
                              <w:szCs w:val="18"/>
                              <w:lang w:val="zh-CN"/>
                            </w:rPr>
                            <w:t>27</w:t>
                          </w:r>
                          <w:r>
                            <w:rPr>
                              <w:kern w:val="2"/>
                              <w:szCs w:val="18"/>
                            </w:rPr>
                            <w:fldChar w:fldCharType="end"/>
                          </w:r>
                          <w:r>
                            <w:rPr>
                              <w:rFonts w:hint="eastAsia"/>
                              <w:kern w:val="2"/>
                              <w:szCs w:val="18"/>
                            </w:rPr>
                            <w:t xml:space="preserve"> 页</w:t>
                          </w:r>
                        </w:p>
                      </w:txbxContent>
                    </v:textbox>
                  </v:shape>
                </w:pict>
              </mc:Fallback>
            </mc:AlternateConten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7835" cy="147955"/>
              <wp:effectExtent l="0" t="0" r="0" b="0"/>
              <wp:wrapNone/>
              <wp:docPr id="3" name="文本框 25"/>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35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5" o:spid="_x0000_s1026" o:spt="202" type="#_x0000_t202" style="position:absolute;left:0pt;margin-top:0pt;height:11.65pt;width:36.05pt;mso-position-horizontal:center;mso-position-horizontal-relative:margin;mso-wrap-style:none;z-index:251661312;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GcakNEAAAADAQAADwAAAAAAAAABACAAAAAiAAAAZHJzL2Rvd25yZXYueG1sUEsBAhQA&#10;FAAAAAgAh07iQHeWeeL5AQAA4QMAAA4AAAAAAAAAAQAgAAAAIAEAAGRycy9lMm9Eb2MueG1sUEsF&#10;BgAAAAAGAAYAWQEAAIsFAAAAAA==&#10;">
              <v:fill on="f" focussize="0,0"/>
              <v:stroke on="f"/>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35</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7835" cy="147955"/>
              <wp:effectExtent l="0" t="0" r="0" b="0"/>
              <wp:wrapNone/>
              <wp:docPr id="2" name="文本框 26"/>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68</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6" o:spid="_x0000_s1026" o:spt="202" type="#_x0000_t202" style="position:absolute;left:0pt;margin-top:0pt;height:11.65pt;width:36.05pt;mso-position-horizontal:center;mso-position-horizontal-relative:margin;mso-wrap-style:none;z-index:251662336;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BnGpDRAAAAAwEAAA8AAAAAAAAAAQAgAAAAIgAAAGRycy9kb3ducmV2LnhtbFBLAQIUABQA&#10;AAAIAIdO4kC6LOGE9wEAAOEDAAAOAAAAAAAAAAEAIAAAACABAABkcnMvZTJvRG9jLnhtbFBLBQYA&#10;AAAABgAGAFkBAACJBQAAAAA=&#10;">
              <v:fill on="f" focussize="0,0"/>
              <v:stroke on="f"/>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68</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7835" cy="147955"/>
              <wp:effectExtent l="0" t="0" r="0" b="0"/>
              <wp:wrapNone/>
              <wp:docPr id="1" name="文本框 27"/>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7" o:spid="_x0000_s1026" o:spt="202" type="#_x0000_t202" style="position:absolute;left:0pt;margin-top:0pt;height:11.65pt;width:36.05pt;mso-position-horizontal:center;mso-position-horizontal-relative:margin;mso-wrap-style:none;z-index:251663360;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BnGpDRAAAAAwEAAA8AAAAAAAAAAQAgAAAAIgAAAGRycy9kb3ducmV2LnhtbFBLAQIUABQA&#10;AAAIAIdO4kAyCEeD9wEAAOEDAAAOAAAAAAAAAAEAIAAAACABAABkcnMvZTJvRG9jLnhtbFBLBQYA&#10;AAAABgAGAFkBAACJBQAAAAA=&#10;">
              <v:fill on="f" focussize="0,0"/>
              <v:stroke on="f"/>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85"/>
      </w:tabs>
      <w:rPr>
        <w:rFonts w:ascii="宋体" w:hAnsi="宋体"/>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038" w:type="dxa"/>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13" w:type="dxa"/>
        <w:bottom w:w="0" w:type="dxa"/>
        <w:right w:w="113" w:type="dxa"/>
      </w:tblCellMar>
    </w:tblPr>
    <w:tblGrid>
      <w:gridCol w:w="4426"/>
      <w:gridCol w:w="4612"/>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13" w:type="dxa"/>
          <w:bottom w:w="0" w:type="dxa"/>
          <w:right w:w="113" w:type="dxa"/>
        </w:tblCellMar>
      </w:tblPrEx>
      <w:trPr>
        <w:trHeight w:val="427" w:hRule="atLeast"/>
      </w:trPr>
      <w:tc>
        <w:tcPr>
          <w:tcW w:w="4426" w:type="dxa"/>
          <w:tcMar>
            <w:left w:w="0" w:type="dxa"/>
            <w:right w:w="0" w:type="dxa"/>
          </w:tcMar>
          <w:vAlign w:val="center"/>
        </w:tcPr>
        <w:p>
          <w:pPr>
            <w:jc w:val="both"/>
            <w:rPr>
              <w:rFonts w:ascii="宋体" w:hAnsi="宋体"/>
              <w:szCs w:val="21"/>
            </w:rPr>
          </w:pPr>
          <w:r>
            <w:rPr>
              <w:rFonts w:hint="eastAsia" w:ascii="宋体" w:hAnsi="宋体"/>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rPr>
            <w:t>48</w:t>
          </w:r>
          <w:r>
            <w:rPr>
              <w:rFonts w:ascii="宋体" w:hAnsi="宋体"/>
              <w:szCs w:val="21"/>
            </w:rPr>
            <w:fldChar w:fldCharType="end"/>
          </w:r>
          <w:r>
            <w:rPr>
              <w:rFonts w:hint="eastAsia" w:ascii="宋体" w:hAnsi="宋体"/>
              <w:szCs w:val="21"/>
            </w:rPr>
            <w:t>页</w:t>
          </w:r>
        </w:p>
      </w:tc>
      <w:tc>
        <w:tcPr>
          <w:tcW w:w="4612" w:type="dxa"/>
          <w:vAlign w:val="center"/>
        </w:tcPr>
        <w:p>
          <w:pPr>
            <w:wordWrap w:val="0"/>
            <w:ind w:right="-2"/>
            <w:jc w:val="right"/>
            <w:rPr>
              <w:rFonts w:ascii="楷体_GB2312" w:eastAsia="楷体_GB2312"/>
              <w:b/>
              <w:sz w:val="24"/>
              <w:szCs w:val="24"/>
            </w:rPr>
          </w:pPr>
          <w:r>
            <w:rPr>
              <w:rFonts w:hint="eastAsia" w:ascii="楷体_GB2312" w:eastAsia="楷体_GB2312"/>
              <w:b/>
              <w:sz w:val="24"/>
              <w:szCs w:val="24"/>
            </w:rPr>
            <w:t xml:space="preserve">           瑞安市政府采购文件</w:t>
          </w:r>
        </w:p>
      </w:tc>
    </w:tr>
  </w:tbl>
  <w:p>
    <w:pPr>
      <w:rPr>
        <w:sz w:val="2"/>
        <w:szCs w:val="2"/>
      </w:rPr>
    </w:pPr>
  </w:p>
  <w:p>
    <w:pPr>
      <w:rPr>
        <w:rFonts w:ascii="宋体" w:hAnsi="宋体"/>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09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62"/>
      <w:gridCol w:w="4637"/>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385" w:hRule="atLeast"/>
      </w:trPr>
      <w:tc>
        <w:tcPr>
          <w:tcW w:w="4462" w:type="dxa"/>
          <w:tcMar>
            <w:left w:w="0" w:type="dxa"/>
            <w:right w:w="0" w:type="dxa"/>
          </w:tcMar>
          <w:vAlign w:val="center"/>
        </w:tcPr>
        <w:p>
          <w:pPr>
            <w:jc w:val="both"/>
            <w:rPr>
              <w:rFonts w:ascii="楷体_GB2312" w:eastAsia="楷体_GB2312"/>
              <w:b/>
              <w:sz w:val="24"/>
              <w:szCs w:val="24"/>
            </w:rPr>
          </w:pPr>
          <w:r>
            <w:rPr>
              <w:rFonts w:hint="eastAsia" w:ascii="楷体_GB2312" w:eastAsia="楷体_GB2312"/>
              <w:b/>
              <w:sz w:val="24"/>
              <w:szCs w:val="24"/>
            </w:rPr>
            <w:t>瑞安市政府采购文件</w:t>
          </w:r>
        </w:p>
      </w:tc>
      <w:tc>
        <w:tcPr>
          <w:tcW w:w="4637" w:type="dxa"/>
          <w:vAlign w:val="center"/>
        </w:tcPr>
        <w:p>
          <w:pPr>
            <w:ind w:right="-2"/>
            <w:jc w:val="right"/>
            <w:rPr>
              <w:rFonts w:ascii="宋体" w:hAnsi="宋体"/>
              <w:szCs w:val="21"/>
            </w:rPr>
          </w:pPr>
        </w:p>
      </w:tc>
    </w:tr>
  </w:tbl>
  <w:p>
    <w:pPr>
      <w:tabs>
        <w:tab w:val="left" w:pos="8685"/>
      </w:tabs>
      <w:rPr>
        <w:rFonts w:ascii="宋体" w:hAnsi="宋体"/>
        <w:sz w:val="2"/>
        <w:szCs w:val="2"/>
      </w:rPr>
    </w:pPr>
    <w:r>
      <w:rPr>
        <w:rFonts w:ascii="宋体" w:hAnsi="宋体"/>
        <w:sz w:val="2"/>
        <w:szCs w:val="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075" w:type="dxa"/>
      <w:tblInd w:w="6"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3116"/>
      <w:gridCol w:w="5959"/>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425" w:hRule="atLeast"/>
      </w:trPr>
      <w:tc>
        <w:tcPr>
          <w:tcW w:w="3116" w:type="dxa"/>
          <w:tcMar>
            <w:left w:w="0" w:type="dxa"/>
            <w:right w:w="0" w:type="dxa"/>
          </w:tcMar>
          <w:vAlign w:val="center"/>
        </w:tcPr>
        <w:p>
          <w:pPr>
            <w:jc w:val="both"/>
            <w:rPr>
              <w:rFonts w:ascii="楷体_GB2312" w:eastAsia="楷体_GB2312"/>
              <w:b/>
              <w:sz w:val="24"/>
              <w:szCs w:val="24"/>
            </w:rPr>
          </w:pPr>
          <w:r>
            <w:rPr>
              <w:rFonts w:hint="eastAsia" w:ascii="楷体_GB2312" w:eastAsia="楷体_GB2312"/>
              <w:b/>
              <w:sz w:val="24"/>
              <w:szCs w:val="24"/>
            </w:rPr>
            <w:t>瑞安市政府采购文件</w:t>
          </w:r>
        </w:p>
      </w:tc>
      <w:tc>
        <w:tcPr>
          <w:tcW w:w="5959" w:type="dxa"/>
          <w:vAlign w:val="center"/>
        </w:tcPr>
        <w:p>
          <w:pPr>
            <w:ind w:right="-2"/>
            <w:jc w:val="right"/>
            <w:rPr>
              <w:rFonts w:ascii="宋体" w:hAnsi="宋体"/>
              <w:szCs w:val="21"/>
            </w:rPr>
          </w:pPr>
        </w:p>
      </w:tc>
    </w:tr>
  </w:tbl>
  <w:p>
    <w:pPr>
      <w:tabs>
        <w:tab w:val="left" w:pos="8685"/>
      </w:tabs>
      <w:rPr>
        <w:rFonts w:ascii="宋体" w:hAnsi="宋体"/>
        <w:sz w:val="2"/>
        <w:szCs w:val="2"/>
      </w:rPr>
    </w:pPr>
    <w:r>
      <w:rPr>
        <w:rFonts w:ascii="宋体" w:hAnsi="宋体"/>
        <w:sz w:val="2"/>
        <w:szCs w:val="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tabs>
        <w:tab w:val="right" w:pos="9064"/>
      </w:tabs>
      <w:ind w:right="7"/>
      <w:jc w:val="both"/>
      <w:rPr>
        <w:rFonts w:ascii="宋体" w:hAnsi="宋体"/>
        <w:szCs w:val="21"/>
      </w:rPr>
    </w:pPr>
    <w:r>
      <w:rPr>
        <w:rFonts w:hint="eastAsia" w:ascii="楷体_GB2312" w:eastAsia="楷体_GB2312"/>
        <w:b/>
        <w:sz w:val="24"/>
        <w:szCs w:val="24"/>
      </w:rPr>
      <w:t xml:space="preserve">瑞安市政府采购文件  </w:t>
    </w:r>
  </w:p>
  <w:p>
    <w:pPr>
      <w:pStyle w:val="33"/>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E3A1F"/>
    <w:multiLevelType w:val="singleLevel"/>
    <w:tmpl w:val="9A6E3A1F"/>
    <w:lvl w:ilvl="0" w:tentative="0">
      <w:start w:val="1"/>
      <w:numFmt w:val="decimal"/>
      <w:lvlText w:val="%1."/>
      <w:lvlJc w:val="left"/>
      <w:pPr>
        <w:ind w:left="425" w:hanging="425"/>
      </w:pPr>
      <w:rPr>
        <w:rFonts w:hint="default"/>
      </w:rPr>
    </w:lvl>
  </w:abstractNum>
  <w:abstractNum w:abstractNumId="1">
    <w:nsid w:val="A393A63F"/>
    <w:multiLevelType w:val="singleLevel"/>
    <w:tmpl w:val="A393A63F"/>
    <w:lvl w:ilvl="0" w:tentative="0">
      <w:start w:val="1"/>
      <w:numFmt w:val="decimal"/>
      <w:lvlText w:val="%1."/>
      <w:lvlJc w:val="left"/>
      <w:pPr>
        <w:ind w:left="425" w:hanging="425"/>
      </w:pPr>
      <w:rPr>
        <w:rFonts w:hint="default"/>
      </w:rPr>
    </w:lvl>
  </w:abstractNum>
  <w:abstractNum w:abstractNumId="2">
    <w:nsid w:val="BC092392"/>
    <w:multiLevelType w:val="singleLevel"/>
    <w:tmpl w:val="BC092392"/>
    <w:lvl w:ilvl="0" w:tentative="0">
      <w:start w:val="1"/>
      <w:numFmt w:val="decimal"/>
      <w:suff w:val="nothing"/>
      <w:lvlText w:val="%1．"/>
      <w:lvlJc w:val="left"/>
      <w:pPr>
        <w:ind w:left="0" w:firstLine="400"/>
      </w:pPr>
      <w:rPr>
        <w:rFonts w:hint="default"/>
      </w:rPr>
    </w:lvl>
  </w:abstractNum>
  <w:abstractNum w:abstractNumId="3">
    <w:nsid w:val="BCCEA9C9"/>
    <w:multiLevelType w:val="singleLevel"/>
    <w:tmpl w:val="BCCEA9C9"/>
    <w:lvl w:ilvl="0" w:tentative="0">
      <w:start w:val="1"/>
      <w:numFmt w:val="decimal"/>
      <w:lvlText w:val="%1."/>
      <w:lvlJc w:val="left"/>
      <w:pPr>
        <w:ind w:left="425" w:hanging="425"/>
      </w:pPr>
      <w:rPr>
        <w:rFonts w:hint="default"/>
      </w:rPr>
    </w:lvl>
  </w:abstractNum>
  <w:abstractNum w:abstractNumId="4">
    <w:nsid w:val="C7C82B1F"/>
    <w:multiLevelType w:val="singleLevel"/>
    <w:tmpl w:val="C7C82B1F"/>
    <w:lvl w:ilvl="0" w:tentative="0">
      <w:start w:val="1"/>
      <w:numFmt w:val="decimal"/>
      <w:lvlText w:val="%1."/>
      <w:lvlJc w:val="left"/>
      <w:pPr>
        <w:tabs>
          <w:tab w:val="left" w:pos="312"/>
        </w:tabs>
      </w:pPr>
    </w:lvl>
  </w:abstractNum>
  <w:abstractNum w:abstractNumId="5">
    <w:nsid w:val="CDA29177"/>
    <w:multiLevelType w:val="singleLevel"/>
    <w:tmpl w:val="CDA29177"/>
    <w:lvl w:ilvl="0" w:tentative="0">
      <w:start w:val="1"/>
      <w:numFmt w:val="decimal"/>
      <w:lvlText w:val="%1."/>
      <w:lvlJc w:val="left"/>
      <w:pPr>
        <w:ind w:left="425" w:hanging="425"/>
      </w:pPr>
      <w:rPr>
        <w:rFonts w:hint="default"/>
      </w:rPr>
    </w:lvl>
  </w:abstractNum>
  <w:abstractNum w:abstractNumId="6">
    <w:nsid w:val="CE1FB045"/>
    <w:multiLevelType w:val="singleLevel"/>
    <w:tmpl w:val="CE1FB045"/>
    <w:lvl w:ilvl="0" w:tentative="0">
      <w:start w:val="1"/>
      <w:numFmt w:val="decimal"/>
      <w:lvlText w:val="(%1)"/>
      <w:lvlJc w:val="left"/>
      <w:pPr>
        <w:ind w:left="425" w:hanging="425"/>
      </w:pPr>
      <w:rPr>
        <w:rFonts w:hint="default"/>
      </w:rPr>
    </w:lvl>
  </w:abstractNum>
  <w:abstractNum w:abstractNumId="7">
    <w:nsid w:val="D98FE394"/>
    <w:multiLevelType w:val="singleLevel"/>
    <w:tmpl w:val="D98FE394"/>
    <w:lvl w:ilvl="0" w:tentative="0">
      <w:start w:val="2"/>
      <w:numFmt w:val="decimal"/>
      <w:suff w:val="nothing"/>
      <w:lvlText w:val="%1、"/>
      <w:lvlJc w:val="left"/>
    </w:lvl>
  </w:abstractNum>
  <w:abstractNum w:abstractNumId="8">
    <w:nsid w:val="E0800772"/>
    <w:multiLevelType w:val="singleLevel"/>
    <w:tmpl w:val="E0800772"/>
    <w:lvl w:ilvl="0" w:tentative="0">
      <w:start w:val="1"/>
      <w:numFmt w:val="decimal"/>
      <w:suff w:val="nothing"/>
      <w:lvlText w:val="（%1）"/>
      <w:lvlJc w:val="left"/>
    </w:lvl>
  </w:abstractNum>
  <w:abstractNum w:abstractNumId="9">
    <w:nsid w:val="E46B885A"/>
    <w:multiLevelType w:val="singleLevel"/>
    <w:tmpl w:val="E46B885A"/>
    <w:lvl w:ilvl="0" w:tentative="0">
      <w:start w:val="1"/>
      <w:numFmt w:val="decimal"/>
      <w:lvlText w:val="%1."/>
      <w:lvlJc w:val="left"/>
      <w:pPr>
        <w:ind w:left="425" w:hanging="425"/>
      </w:pPr>
      <w:rPr>
        <w:rFonts w:hint="default"/>
      </w:rPr>
    </w:lvl>
  </w:abstractNum>
  <w:abstractNum w:abstractNumId="10">
    <w:nsid w:val="E8D030E2"/>
    <w:multiLevelType w:val="singleLevel"/>
    <w:tmpl w:val="E8D030E2"/>
    <w:lvl w:ilvl="0" w:tentative="0">
      <w:start w:val="2"/>
      <w:numFmt w:val="decimal"/>
      <w:suff w:val="nothing"/>
      <w:lvlText w:val="（%1）"/>
      <w:lvlJc w:val="left"/>
    </w:lvl>
  </w:abstractNum>
  <w:abstractNum w:abstractNumId="11">
    <w:nsid w:val="FC5E405B"/>
    <w:multiLevelType w:val="singleLevel"/>
    <w:tmpl w:val="FC5E405B"/>
    <w:lvl w:ilvl="0" w:tentative="0">
      <w:start w:val="1"/>
      <w:numFmt w:val="decimal"/>
      <w:suff w:val="nothing"/>
      <w:lvlText w:val="%1．"/>
      <w:lvlJc w:val="left"/>
      <w:pPr>
        <w:ind w:left="0" w:firstLine="400"/>
      </w:pPr>
      <w:rPr>
        <w:rFonts w:hint="default"/>
      </w:rPr>
    </w:lvl>
  </w:abstractNum>
  <w:abstractNum w:abstractNumId="12">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F"/>
    <w:multiLevelType w:val="multilevel"/>
    <w:tmpl w:val="0000000F"/>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992"/>
        </w:tabs>
        <w:ind w:left="992" w:hanging="567"/>
      </w:pPr>
      <w:rPr>
        <w:rFonts w:hint="default"/>
        <w:b w:val="0"/>
        <w:i w:val="0"/>
        <w:sz w:val="2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13"/>
    <w:multiLevelType w:val="multilevel"/>
    <w:tmpl w:val="00000013"/>
    <w:lvl w:ilvl="0" w:tentative="0">
      <w:start w:val="1"/>
      <w:numFmt w:val="decimal"/>
      <w:lvlText w:val="%1)"/>
      <w:lvlJc w:val="left"/>
      <w:pPr>
        <w:tabs>
          <w:tab w:val="left" w:pos="530"/>
        </w:tabs>
        <w:ind w:left="530" w:hanging="420"/>
      </w:pPr>
      <w:rPr>
        <w:rFonts w:hint="default" w:ascii="Arial" w:hAnsi="Arial" w:cs="Arial"/>
      </w:rPr>
    </w:lvl>
    <w:lvl w:ilvl="1" w:tentative="0">
      <w:start w:val="1"/>
      <w:numFmt w:val="decimal"/>
      <w:lvlText w:val="%2、"/>
      <w:lvlJc w:val="left"/>
      <w:pPr>
        <w:tabs>
          <w:tab w:val="left" w:pos="950"/>
        </w:tabs>
        <w:ind w:left="950" w:hanging="420"/>
      </w:pPr>
      <w:rPr>
        <w:rFonts w:ascii="Cambria" w:hAnsi="Cambria" w:eastAsia="宋体" w:cs="Times New Roman"/>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15">
    <w:nsid w:val="0000001B"/>
    <w:multiLevelType w:val="multilevel"/>
    <w:tmpl w:val="0000001B"/>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16">
    <w:nsid w:val="0000001E"/>
    <w:multiLevelType w:val="multilevel"/>
    <w:tmpl w:val="0000001E"/>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7">
    <w:nsid w:val="0281400A"/>
    <w:multiLevelType w:val="singleLevel"/>
    <w:tmpl w:val="0281400A"/>
    <w:lvl w:ilvl="0" w:tentative="0">
      <w:start w:val="1"/>
      <w:numFmt w:val="decimal"/>
      <w:suff w:val="nothing"/>
      <w:lvlText w:val="%1、"/>
      <w:lvlJc w:val="left"/>
    </w:lvl>
  </w:abstractNum>
  <w:abstractNum w:abstractNumId="18">
    <w:nsid w:val="02FCA2B6"/>
    <w:multiLevelType w:val="singleLevel"/>
    <w:tmpl w:val="02FCA2B6"/>
    <w:lvl w:ilvl="0" w:tentative="0">
      <w:start w:val="1"/>
      <w:numFmt w:val="decimal"/>
      <w:suff w:val="space"/>
      <w:lvlText w:val="%1."/>
      <w:lvlJc w:val="left"/>
    </w:lvl>
  </w:abstractNum>
  <w:abstractNum w:abstractNumId="19">
    <w:nsid w:val="046952E6"/>
    <w:multiLevelType w:val="singleLevel"/>
    <w:tmpl w:val="046952E6"/>
    <w:lvl w:ilvl="0" w:tentative="0">
      <w:start w:val="1"/>
      <w:numFmt w:val="decimal"/>
      <w:lvlText w:val="%1."/>
      <w:lvlJc w:val="left"/>
      <w:pPr>
        <w:ind w:left="425" w:hanging="425"/>
      </w:pPr>
      <w:rPr>
        <w:rFonts w:hint="default"/>
      </w:rPr>
    </w:lvl>
  </w:abstractNum>
  <w:abstractNum w:abstractNumId="20">
    <w:nsid w:val="09E076E0"/>
    <w:multiLevelType w:val="multilevel"/>
    <w:tmpl w:val="09E076E0"/>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071AE44"/>
    <w:multiLevelType w:val="singleLevel"/>
    <w:tmpl w:val="1071AE44"/>
    <w:lvl w:ilvl="0" w:tentative="0">
      <w:start w:val="6"/>
      <w:numFmt w:val="chineseCounting"/>
      <w:suff w:val="nothing"/>
      <w:lvlText w:val="%1、"/>
      <w:lvlJc w:val="left"/>
      <w:rPr>
        <w:rFonts w:hint="eastAsia"/>
      </w:rPr>
    </w:lvl>
  </w:abstractNum>
  <w:abstractNum w:abstractNumId="22">
    <w:nsid w:val="111D7DC1"/>
    <w:multiLevelType w:val="singleLevel"/>
    <w:tmpl w:val="111D7DC1"/>
    <w:lvl w:ilvl="0" w:tentative="0">
      <w:start w:val="1"/>
      <w:numFmt w:val="decimal"/>
      <w:suff w:val="nothing"/>
      <w:lvlText w:val="%1．"/>
      <w:lvlJc w:val="left"/>
      <w:pPr>
        <w:ind w:left="0" w:firstLine="400"/>
      </w:pPr>
      <w:rPr>
        <w:rFonts w:hint="default"/>
        <w:b w:val="0"/>
        <w:bCs w:val="0"/>
        <w:sz w:val="21"/>
        <w:szCs w:val="21"/>
      </w:rPr>
    </w:lvl>
  </w:abstractNum>
  <w:abstractNum w:abstractNumId="23">
    <w:nsid w:val="130A005C"/>
    <w:multiLevelType w:val="singleLevel"/>
    <w:tmpl w:val="130A005C"/>
    <w:lvl w:ilvl="0" w:tentative="0">
      <w:start w:val="1"/>
      <w:numFmt w:val="decimal"/>
      <w:lvlText w:val="%1."/>
      <w:lvlJc w:val="left"/>
      <w:pPr>
        <w:ind w:left="425" w:hanging="425"/>
      </w:pPr>
      <w:rPr>
        <w:rFonts w:hint="default"/>
      </w:rPr>
    </w:lvl>
  </w:abstractNum>
  <w:abstractNum w:abstractNumId="24">
    <w:nsid w:val="18936314"/>
    <w:multiLevelType w:val="multilevel"/>
    <w:tmpl w:val="18936314"/>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rPr>
        <w:rFonts w:ascii="Times New Roman" w:hAnsi="Times New Roman" w:eastAsia="宋体" w:cs="Times New Roman"/>
      </w:r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5">
    <w:nsid w:val="231802CB"/>
    <w:multiLevelType w:val="multilevel"/>
    <w:tmpl w:val="231802CB"/>
    <w:lvl w:ilvl="0" w:tentative="0">
      <w:start w:val="1"/>
      <w:numFmt w:val="decimal"/>
      <w:lvlText w:val="（%1）"/>
      <w:lvlJc w:val="left"/>
      <w:pPr>
        <w:ind w:left="840" w:hanging="420"/>
      </w:pPr>
      <w:rPr>
        <w:rFonts w:hint="eastAsia"/>
        <w:color w:val="auto"/>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0A84985"/>
    <w:multiLevelType w:val="multilevel"/>
    <w:tmpl w:val="30A84985"/>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8">
    <w:nsid w:val="3E3A07A7"/>
    <w:multiLevelType w:val="multilevel"/>
    <w:tmpl w:val="3E3A07A7"/>
    <w:lvl w:ilvl="0" w:tentative="0">
      <w:start w:val="1"/>
      <w:numFmt w:val="decimal"/>
      <w:lvlText w:val="（%1）"/>
      <w:lvlJc w:val="left"/>
      <w:pPr>
        <w:ind w:left="1980" w:hanging="720"/>
      </w:pPr>
      <w:rPr>
        <w:rFonts w:hint="default" w:cs="Times New Roman"/>
        <w:color w:val="auto"/>
        <w:sz w:val="21"/>
      </w:rPr>
    </w:lvl>
    <w:lvl w:ilvl="1" w:tentative="0">
      <w:start w:val="1"/>
      <w:numFmt w:val="decimalEnclosedCircle"/>
      <w:lvlText w:val="%2"/>
      <w:lvlJc w:val="left"/>
      <w:pPr>
        <w:tabs>
          <w:tab w:val="left" w:pos="1620"/>
        </w:tabs>
        <w:ind w:left="1620" w:hanging="360"/>
      </w:pPr>
      <w:rPr>
        <w:rFonts w:hint="default"/>
      </w:rPr>
    </w:lvl>
    <w:lvl w:ilvl="2" w:tentative="0">
      <w:start w:val="1"/>
      <w:numFmt w:val="bullet"/>
      <w:lvlText w:val=""/>
      <w:lvlJc w:val="left"/>
      <w:pPr>
        <w:tabs>
          <w:tab w:val="left" w:pos="2100"/>
        </w:tabs>
        <w:ind w:left="2100" w:hanging="420"/>
      </w:pPr>
      <w:rPr>
        <w:rFonts w:hint="default" w:ascii="Wingdings" w:hAnsi="Wingdings"/>
        <w:color w:val="auto"/>
        <w:sz w:val="21"/>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4BA99D59"/>
    <w:multiLevelType w:val="singleLevel"/>
    <w:tmpl w:val="4BA99D59"/>
    <w:lvl w:ilvl="0" w:tentative="0">
      <w:start w:val="1"/>
      <w:numFmt w:val="decimal"/>
      <w:lvlText w:val="(%1)"/>
      <w:lvlJc w:val="left"/>
      <w:pPr>
        <w:ind w:left="425" w:hanging="425"/>
      </w:pPr>
      <w:rPr>
        <w:rFonts w:hint="default"/>
      </w:rPr>
    </w:lvl>
  </w:abstractNum>
  <w:abstractNum w:abstractNumId="30">
    <w:nsid w:val="57B3C2AB"/>
    <w:multiLevelType w:val="singleLevel"/>
    <w:tmpl w:val="57B3C2AB"/>
    <w:lvl w:ilvl="0" w:tentative="0">
      <w:start w:val="6"/>
      <w:numFmt w:val="chineseCounting"/>
      <w:suff w:val="nothing"/>
      <w:lvlText w:val="%1、"/>
      <w:lvlJc w:val="left"/>
      <w:rPr>
        <w:rFonts w:hint="eastAsia"/>
      </w:rPr>
    </w:lvl>
  </w:abstractNum>
  <w:abstractNum w:abstractNumId="31">
    <w:nsid w:val="593C976F"/>
    <w:multiLevelType w:val="singleLevel"/>
    <w:tmpl w:val="593C976F"/>
    <w:lvl w:ilvl="0" w:tentative="0">
      <w:start w:val="1"/>
      <w:numFmt w:val="chineseCounting"/>
      <w:suff w:val="nothing"/>
      <w:lvlText w:val="（%1）"/>
      <w:lvlJc w:val="left"/>
      <w:rPr>
        <w:rFonts w:hint="eastAsia"/>
      </w:rPr>
    </w:lvl>
  </w:abstractNum>
  <w:abstractNum w:abstractNumId="32">
    <w:nsid w:val="5F6B4CCE"/>
    <w:multiLevelType w:val="multilevel"/>
    <w:tmpl w:val="5F6B4CCE"/>
    <w:lvl w:ilvl="0" w:tentative="0">
      <w:start w:val="1"/>
      <w:numFmt w:val="decimal"/>
      <w:lvlText w:val="%1."/>
      <w:lvlJc w:val="left"/>
      <w:pPr>
        <w:tabs>
          <w:tab w:val="left" w:pos="1664"/>
        </w:tabs>
        <w:ind w:left="1664" w:hanging="420"/>
      </w:pPr>
      <w:rPr>
        <w:rFonts w:hint="eastAsia"/>
      </w:rPr>
    </w:lvl>
    <w:lvl w:ilvl="1" w:tentative="0">
      <w:start w:val="1"/>
      <w:numFmt w:val="decimal"/>
      <w:lvlText w:val="%2."/>
      <w:lvlJc w:val="left"/>
      <w:pPr>
        <w:tabs>
          <w:tab w:val="left" w:pos="1244"/>
        </w:tabs>
        <w:ind w:left="1244" w:hanging="420"/>
      </w:pPr>
      <w:rPr>
        <w:rFonts w:hint="eastAsia"/>
      </w:rPr>
    </w:lvl>
    <w:lvl w:ilvl="2" w:tentative="0">
      <w:start w:val="1"/>
      <w:numFmt w:val="lowerRoman"/>
      <w:lvlText w:val="%3."/>
      <w:lvlJc w:val="right"/>
      <w:pPr>
        <w:tabs>
          <w:tab w:val="left" w:pos="1664"/>
        </w:tabs>
        <w:ind w:left="1664" w:hanging="420"/>
      </w:pPr>
    </w:lvl>
    <w:lvl w:ilvl="3" w:tentative="0">
      <w:start w:val="1"/>
      <w:numFmt w:val="decimal"/>
      <w:lvlText w:val="%4."/>
      <w:lvlJc w:val="left"/>
      <w:pPr>
        <w:tabs>
          <w:tab w:val="left" w:pos="2084"/>
        </w:tabs>
        <w:ind w:left="2084" w:hanging="420"/>
      </w:pPr>
    </w:lvl>
    <w:lvl w:ilvl="4" w:tentative="0">
      <w:start w:val="1"/>
      <w:numFmt w:val="lowerLetter"/>
      <w:lvlText w:val="%5)"/>
      <w:lvlJc w:val="left"/>
      <w:pPr>
        <w:tabs>
          <w:tab w:val="left" w:pos="2504"/>
        </w:tabs>
        <w:ind w:left="2504" w:hanging="420"/>
      </w:pPr>
    </w:lvl>
    <w:lvl w:ilvl="5" w:tentative="0">
      <w:start w:val="1"/>
      <w:numFmt w:val="lowerRoman"/>
      <w:lvlText w:val="%6."/>
      <w:lvlJc w:val="right"/>
      <w:pPr>
        <w:tabs>
          <w:tab w:val="left" w:pos="2924"/>
        </w:tabs>
        <w:ind w:left="2924" w:hanging="420"/>
      </w:pPr>
    </w:lvl>
    <w:lvl w:ilvl="6" w:tentative="0">
      <w:start w:val="1"/>
      <w:numFmt w:val="decimal"/>
      <w:lvlText w:val="%7."/>
      <w:lvlJc w:val="left"/>
      <w:pPr>
        <w:tabs>
          <w:tab w:val="left" w:pos="3344"/>
        </w:tabs>
        <w:ind w:left="3344" w:hanging="420"/>
      </w:pPr>
    </w:lvl>
    <w:lvl w:ilvl="7" w:tentative="0">
      <w:start w:val="1"/>
      <w:numFmt w:val="lowerLetter"/>
      <w:lvlText w:val="%8)"/>
      <w:lvlJc w:val="left"/>
      <w:pPr>
        <w:tabs>
          <w:tab w:val="left" w:pos="3764"/>
        </w:tabs>
        <w:ind w:left="3764" w:hanging="420"/>
      </w:pPr>
    </w:lvl>
    <w:lvl w:ilvl="8" w:tentative="0">
      <w:start w:val="1"/>
      <w:numFmt w:val="lowerRoman"/>
      <w:lvlText w:val="%9."/>
      <w:lvlJc w:val="right"/>
      <w:pPr>
        <w:tabs>
          <w:tab w:val="left" w:pos="4184"/>
        </w:tabs>
        <w:ind w:left="4184" w:hanging="420"/>
      </w:pPr>
    </w:lvl>
  </w:abstractNum>
  <w:abstractNum w:abstractNumId="33">
    <w:nsid w:val="66C7C4FC"/>
    <w:multiLevelType w:val="singleLevel"/>
    <w:tmpl w:val="66C7C4FC"/>
    <w:lvl w:ilvl="0" w:tentative="0">
      <w:start w:val="1"/>
      <w:numFmt w:val="decimal"/>
      <w:lvlText w:val="(%1)"/>
      <w:lvlJc w:val="left"/>
      <w:pPr>
        <w:ind w:left="425" w:hanging="425"/>
      </w:pPr>
      <w:rPr>
        <w:rFonts w:hint="default"/>
      </w:rPr>
    </w:lvl>
  </w:abstractNum>
  <w:abstractNum w:abstractNumId="34">
    <w:nsid w:val="686B1F6F"/>
    <w:multiLevelType w:val="singleLevel"/>
    <w:tmpl w:val="686B1F6F"/>
    <w:lvl w:ilvl="0" w:tentative="0">
      <w:start w:val="1"/>
      <w:numFmt w:val="decimal"/>
      <w:lvlText w:val="%1)"/>
      <w:lvlJc w:val="left"/>
      <w:pPr>
        <w:tabs>
          <w:tab w:val="left" w:pos="1276"/>
        </w:tabs>
        <w:ind w:left="1276" w:hanging="425"/>
      </w:pPr>
    </w:lvl>
  </w:abstractNum>
  <w:abstractNum w:abstractNumId="35">
    <w:nsid w:val="697B5FB3"/>
    <w:multiLevelType w:val="singleLevel"/>
    <w:tmpl w:val="697B5FB3"/>
    <w:lvl w:ilvl="0" w:tentative="0">
      <w:start w:val="1"/>
      <w:numFmt w:val="decimal"/>
      <w:lvlText w:val="%1)"/>
      <w:lvlJc w:val="left"/>
      <w:pPr>
        <w:tabs>
          <w:tab w:val="left" w:pos="425"/>
        </w:tabs>
        <w:ind w:left="425" w:hanging="425"/>
      </w:pPr>
    </w:lvl>
  </w:abstractNum>
  <w:abstractNum w:abstractNumId="36">
    <w:nsid w:val="6D0D4D26"/>
    <w:multiLevelType w:val="singleLevel"/>
    <w:tmpl w:val="6D0D4D26"/>
    <w:lvl w:ilvl="0" w:tentative="0">
      <w:start w:val="1"/>
      <w:numFmt w:val="decimal"/>
      <w:suff w:val="nothing"/>
      <w:lvlText w:val="%1、"/>
      <w:lvlJc w:val="left"/>
    </w:lvl>
  </w:abstractNum>
  <w:abstractNum w:abstractNumId="37">
    <w:nsid w:val="71B456FA"/>
    <w:multiLevelType w:val="singleLevel"/>
    <w:tmpl w:val="71B456FA"/>
    <w:lvl w:ilvl="0" w:tentative="0">
      <w:start w:val="4"/>
      <w:numFmt w:val="decimal"/>
      <w:suff w:val="nothing"/>
      <w:lvlText w:val="%1、"/>
      <w:lvlJc w:val="left"/>
    </w:lvl>
  </w:abstractNum>
  <w:abstractNum w:abstractNumId="38">
    <w:nsid w:val="7F9E1505"/>
    <w:multiLevelType w:val="singleLevel"/>
    <w:tmpl w:val="7F9E1505"/>
    <w:lvl w:ilvl="0" w:tentative="0">
      <w:start w:val="1"/>
      <w:numFmt w:val="decimal"/>
      <w:lvlText w:val="%1)"/>
      <w:lvlJc w:val="left"/>
      <w:pPr>
        <w:ind w:left="425" w:hanging="425"/>
      </w:pPr>
      <w:rPr>
        <w:rFonts w:hint="default"/>
      </w:rPr>
    </w:lvl>
  </w:abstractNum>
  <w:abstractNum w:abstractNumId="39">
    <w:nsid w:val="7FEF1E61"/>
    <w:multiLevelType w:val="singleLevel"/>
    <w:tmpl w:val="7FEF1E61"/>
    <w:lvl w:ilvl="0" w:tentative="0">
      <w:start w:val="1"/>
      <w:numFmt w:val="chineseCounting"/>
      <w:lvlText w:val="%1、"/>
      <w:lvlJc w:val="left"/>
      <w:pPr>
        <w:ind w:left="420" w:hanging="420"/>
      </w:pPr>
      <w:rPr>
        <w:rFonts w:hint="eastAsia"/>
      </w:rPr>
    </w:lvl>
  </w:abstractNum>
  <w:num w:numId="1">
    <w:abstractNumId w:val="37"/>
  </w:num>
  <w:num w:numId="2">
    <w:abstractNumId w:val="33"/>
  </w:num>
  <w:num w:numId="3">
    <w:abstractNumId w:val="18"/>
  </w:num>
  <w:num w:numId="4">
    <w:abstractNumId w:val="8"/>
  </w:num>
  <w:num w:numId="5">
    <w:abstractNumId w:val="20"/>
  </w:num>
  <w:num w:numId="6">
    <w:abstractNumId w:val="27"/>
  </w:num>
  <w:num w:numId="7">
    <w:abstractNumId w:val="10"/>
  </w:num>
  <w:num w:numId="8">
    <w:abstractNumId w:val="28"/>
  </w:num>
  <w:num w:numId="9">
    <w:abstractNumId w:val="24"/>
  </w:num>
  <w:num w:numId="10">
    <w:abstractNumId w:val="6"/>
  </w:num>
  <w:num w:numId="11">
    <w:abstractNumId w:val="34"/>
  </w:num>
  <w:num w:numId="12">
    <w:abstractNumId w:val="29"/>
  </w:num>
  <w:num w:numId="13">
    <w:abstractNumId w:val="39"/>
  </w:num>
  <w:num w:numId="14">
    <w:abstractNumId w:val="3"/>
  </w:num>
  <w:num w:numId="15">
    <w:abstractNumId w:val="5"/>
  </w:num>
  <w:num w:numId="16">
    <w:abstractNumId w:val="1"/>
  </w:num>
  <w:num w:numId="17">
    <w:abstractNumId w:val="19"/>
  </w:num>
  <w:num w:numId="18">
    <w:abstractNumId w:val="23"/>
  </w:num>
  <w:num w:numId="19">
    <w:abstractNumId w:val="0"/>
  </w:num>
  <w:num w:numId="20">
    <w:abstractNumId w:val="9"/>
  </w:num>
  <w:num w:numId="21">
    <w:abstractNumId w:val="11"/>
  </w:num>
  <w:num w:numId="22">
    <w:abstractNumId w:val="2"/>
  </w:num>
  <w:num w:numId="23">
    <w:abstractNumId w:val="21"/>
  </w:num>
  <w:num w:numId="24">
    <w:abstractNumId w:val="22"/>
  </w:num>
  <w:num w:numId="25">
    <w:abstractNumId w:val="38"/>
  </w:num>
  <w:num w:numId="26">
    <w:abstractNumId w:val="26"/>
  </w:num>
  <w:num w:numId="27">
    <w:abstractNumId w:val="31"/>
  </w:num>
  <w:num w:numId="28">
    <w:abstractNumId w:val="13"/>
  </w:num>
  <w:num w:numId="29">
    <w:abstractNumId w:val="14"/>
    <w:lvlOverride w:ilvl="0">
      <w:startOverride w:val="1"/>
    </w:lvlOverride>
  </w:num>
  <w:num w:numId="30">
    <w:abstractNumId w:val="15"/>
  </w:num>
  <w:num w:numId="31">
    <w:abstractNumId w:val="36"/>
  </w:num>
  <w:num w:numId="32">
    <w:abstractNumId w:val="32"/>
  </w:num>
  <w:num w:numId="33">
    <w:abstractNumId w:val="30"/>
  </w:num>
  <w:num w:numId="34">
    <w:abstractNumId w:val="4"/>
  </w:num>
  <w:num w:numId="35">
    <w:abstractNumId w:val="35"/>
  </w:num>
  <w:num w:numId="36">
    <w:abstractNumId w:val="17"/>
  </w:num>
  <w:num w:numId="37">
    <w:abstractNumId w:val="12"/>
  </w:num>
  <w:num w:numId="38">
    <w:abstractNumId w:val="25"/>
  </w:num>
  <w:num w:numId="39">
    <w:abstractNumId w:val="1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N2RjMDRiMjhmMjU4Y2YyZDE4NTY2NzNlZmRhMTIifQ=="/>
  </w:docVars>
  <w:rsids>
    <w:rsidRoot w:val="00E17196"/>
    <w:rsid w:val="00000706"/>
    <w:rsid w:val="00000F8C"/>
    <w:rsid w:val="00013EFC"/>
    <w:rsid w:val="00017BDC"/>
    <w:rsid w:val="000247BF"/>
    <w:rsid w:val="000301B9"/>
    <w:rsid w:val="00043DEC"/>
    <w:rsid w:val="0005055A"/>
    <w:rsid w:val="00057D96"/>
    <w:rsid w:val="000609DA"/>
    <w:rsid w:val="00065B31"/>
    <w:rsid w:val="0006763B"/>
    <w:rsid w:val="00076565"/>
    <w:rsid w:val="00077182"/>
    <w:rsid w:val="000827C7"/>
    <w:rsid w:val="0008363D"/>
    <w:rsid w:val="00084367"/>
    <w:rsid w:val="00095588"/>
    <w:rsid w:val="000A67CD"/>
    <w:rsid w:val="000D7E8E"/>
    <w:rsid w:val="000E6356"/>
    <w:rsid w:val="000E6B24"/>
    <w:rsid w:val="000E79A5"/>
    <w:rsid w:val="000F1928"/>
    <w:rsid w:val="000F229E"/>
    <w:rsid w:val="000F440B"/>
    <w:rsid w:val="00105EBF"/>
    <w:rsid w:val="00107463"/>
    <w:rsid w:val="00107F83"/>
    <w:rsid w:val="00110768"/>
    <w:rsid w:val="001151BF"/>
    <w:rsid w:val="0011587B"/>
    <w:rsid w:val="00117990"/>
    <w:rsid w:val="00120D87"/>
    <w:rsid w:val="00122A1E"/>
    <w:rsid w:val="0012729C"/>
    <w:rsid w:val="0013654A"/>
    <w:rsid w:val="0014408D"/>
    <w:rsid w:val="00147B13"/>
    <w:rsid w:val="0015478B"/>
    <w:rsid w:val="00156B0C"/>
    <w:rsid w:val="00162499"/>
    <w:rsid w:val="00165CA7"/>
    <w:rsid w:val="00166888"/>
    <w:rsid w:val="00167F6B"/>
    <w:rsid w:val="00174D48"/>
    <w:rsid w:val="00176049"/>
    <w:rsid w:val="001760B0"/>
    <w:rsid w:val="00181BEE"/>
    <w:rsid w:val="00193D73"/>
    <w:rsid w:val="001A1947"/>
    <w:rsid w:val="001A360E"/>
    <w:rsid w:val="001B00D7"/>
    <w:rsid w:val="001B5DA2"/>
    <w:rsid w:val="001B74D4"/>
    <w:rsid w:val="001C049C"/>
    <w:rsid w:val="001C0EEC"/>
    <w:rsid w:val="001C5015"/>
    <w:rsid w:val="001D259F"/>
    <w:rsid w:val="001D2AC0"/>
    <w:rsid w:val="001D394A"/>
    <w:rsid w:val="001D4468"/>
    <w:rsid w:val="001D7DD6"/>
    <w:rsid w:val="001E1A12"/>
    <w:rsid w:val="001E219C"/>
    <w:rsid w:val="001E241C"/>
    <w:rsid w:val="001E252B"/>
    <w:rsid w:val="001E2538"/>
    <w:rsid w:val="001E7E75"/>
    <w:rsid w:val="00212496"/>
    <w:rsid w:val="002137EB"/>
    <w:rsid w:val="00220947"/>
    <w:rsid w:val="0023145A"/>
    <w:rsid w:val="00231B3E"/>
    <w:rsid w:val="00234A39"/>
    <w:rsid w:val="00242309"/>
    <w:rsid w:val="00243D8A"/>
    <w:rsid w:val="00251735"/>
    <w:rsid w:val="00253C0C"/>
    <w:rsid w:val="00265B21"/>
    <w:rsid w:val="00273617"/>
    <w:rsid w:val="00275752"/>
    <w:rsid w:val="00282991"/>
    <w:rsid w:val="002857C5"/>
    <w:rsid w:val="002A03C6"/>
    <w:rsid w:val="002A7EB1"/>
    <w:rsid w:val="002B0049"/>
    <w:rsid w:val="002B0972"/>
    <w:rsid w:val="002B4FE2"/>
    <w:rsid w:val="002C0CEE"/>
    <w:rsid w:val="002C12EF"/>
    <w:rsid w:val="002C6882"/>
    <w:rsid w:val="002C734C"/>
    <w:rsid w:val="002D4BCE"/>
    <w:rsid w:val="002E1128"/>
    <w:rsid w:val="002E3DE9"/>
    <w:rsid w:val="002E5A12"/>
    <w:rsid w:val="002E6B5E"/>
    <w:rsid w:val="002F3681"/>
    <w:rsid w:val="002F3911"/>
    <w:rsid w:val="002F6A5E"/>
    <w:rsid w:val="002F7B63"/>
    <w:rsid w:val="00304930"/>
    <w:rsid w:val="003079CC"/>
    <w:rsid w:val="003162D1"/>
    <w:rsid w:val="00321F38"/>
    <w:rsid w:val="00322BDA"/>
    <w:rsid w:val="00323BC1"/>
    <w:rsid w:val="00324305"/>
    <w:rsid w:val="00327118"/>
    <w:rsid w:val="003273C6"/>
    <w:rsid w:val="0033328D"/>
    <w:rsid w:val="00335B26"/>
    <w:rsid w:val="00336415"/>
    <w:rsid w:val="00337F43"/>
    <w:rsid w:val="003400F3"/>
    <w:rsid w:val="00342C36"/>
    <w:rsid w:val="00350EB8"/>
    <w:rsid w:val="003627FE"/>
    <w:rsid w:val="003771C4"/>
    <w:rsid w:val="003778F0"/>
    <w:rsid w:val="00377C43"/>
    <w:rsid w:val="003844E5"/>
    <w:rsid w:val="00385E8A"/>
    <w:rsid w:val="00391E1B"/>
    <w:rsid w:val="003A094C"/>
    <w:rsid w:val="003B0B7F"/>
    <w:rsid w:val="003B7306"/>
    <w:rsid w:val="003C3A10"/>
    <w:rsid w:val="003C6052"/>
    <w:rsid w:val="003E42EE"/>
    <w:rsid w:val="003F1EE3"/>
    <w:rsid w:val="003F312D"/>
    <w:rsid w:val="003F31FB"/>
    <w:rsid w:val="003F697E"/>
    <w:rsid w:val="003F7E8F"/>
    <w:rsid w:val="00416271"/>
    <w:rsid w:val="00416810"/>
    <w:rsid w:val="00423E4B"/>
    <w:rsid w:val="00434992"/>
    <w:rsid w:val="00434D82"/>
    <w:rsid w:val="00444077"/>
    <w:rsid w:val="004470E7"/>
    <w:rsid w:val="00447406"/>
    <w:rsid w:val="004553A5"/>
    <w:rsid w:val="004607AA"/>
    <w:rsid w:val="004610C7"/>
    <w:rsid w:val="00462547"/>
    <w:rsid w:val="00463BB7"/>
    <w:rsid w:val="00463D0F"/>
    <w:rsid w:val="00466F8B"/>
    <w:rsid w:val="0048014F"/>
    <w:rsid w:val="00482D2E"/>
    <w:rsid w:val="00483C51"/>
    <w:rsid w:val="00491A5A"/>
    <w:rsid w:val="00491B1E"/>
    <w:rsid w:val="00493728"/>
    <w:rsid w:val="00495D24"/>
    <w:rsid w:val="004A0C5F"/>
    <w:rsid w:val="004A6CE0"/>
    <w:rsid w:val="004B677B"/>
    <w:rsid w:val="004B682A"/>
    <w:rsid w:val="004C0B52"/>
    <w:rsid w:val="004C31ED"/>
    <w:rsid w:val="004E1006"/>
    <w:rsid w:val="004E1A9E"/>
    <w:rsid w:val="004E3A26"/>
    <w:rsid w:val="004E4745"/>
    <w:rsid w:val="004E647E"/>
    <w:rsid w:val="004F069E"/>
    <w:rsid w:val="004F309E"/>
    <w:rsid w:val="00501016"/>
    <w:rsid w:val="00501D7D"/>
    <w:rsid w:val="00504DC9"/>
    <w:rsid w:val="0051722B"/>
    <w:rsid w:val="00520A90"/>
    <w:rsid w:val="00520AF3"/>
    <w:rsid w:val="005226AB"/>
    <w:rsid w:val="00531335"/>
    <w:rsid w:val="0053190B"/>
    <w:rsid w:val="0053210B"/>
    <w:rsid w:val="00550033"/>
    <w:rsid w:val="00570D10"/>
    <w:rsid w:val="00573E26"/>
    <w:rsid w:val="0058034D"/>
    <w:rsid w:val="00590958"/>
    <w:rsid w:val="00591058"/>
    <w:rsid w:val="005921ED"/>
    <w:rsid w:val="00592558"/>
    <w:rsid w:val="005A69FF"/>
    <w:rsid w:val="005B6B42"/>
    <w:rsid w:val="005B71BD"/>
    <w:rsid w:val="005C7569"/>
    <w:rsid w:val="005E0FAD"/>
    <w:rsid w:val="005E101F"/>
    <w:rsid w:val="005E6203"/>
    <w:rsid w:val="005E65F9"/>
    <w:rsid w:val="005E7F97"/>
    <w:rsid w:val="005F7CAE"/>
    <w:rsid w:val="00605D25"/>
    <w:rsid w:val="0061442F"/>
    <w:rsid w:val="00624EC7"/>
    <w:rsid w:val="00627B2A"/>
    <w:rsid w:val="006319AF"/>
    <w:rsid w:val="00635059"/>
    <w:rsid w:val="00637795"/>
    <w:rsid w:val="00637B22"/>
    <w:rsid w:val="006410B6"/>
    <w:rsid w:val="006516D0"/>
    <w:rsid w:val="0065530A"/>
    <w:rsid w:val="0065592A"/>
    <w:rsid w:val="0066036B"/>
    <w:rsid w:val="00665A04"/>
    <w:rsid w:val="00686AF2"/>
    <w:rsid w:val="00693028"/>
    <w:rsid w:val="0069344D"/>
    <w:rsid w:val="00696796"/>
    <w:rsid w:val="006A1F5E"/>
    <w:rsid w:val="006A57AE"/>
    <w:rsid w:val="006A62D8"/>
    <w:rsid w:val="006B4554"/>
    <w:rsid w:val="006C1214"/>
    <w:rsid w:val="006D0474"/>
    <w:rsid w:val="006D1272"/>
    <w:rsid w:val="006D43C5"/>
    <w:rsid w:val="006D52F2"/>
    <w:rsid w:val="006D7D0F"/>
    <w:rsid w:val="006E230F"/>
    <w:rsid w:val="006E577C"/>
    <w:rsid w:val="006E6D0A"/>
    <w:rsid w:val="006E78C6"/>
    <w:rsid w:val="006E7ED0"/>
    <w:rsid w:val="006F1C5C"/>
    <w:rsid w:val="006F2B76"/>
    <w:rsid w:val="006F39ED"/>
    <w:rsid w:val="006F78A6"/>
    <w:rsid w:val="00702E66"/>
    <w:rsid w:val="007044AB"/>
    <w:rsid w:val="007054D0"/>
    <w:rsid w:val="0071351C"/>
    <w:rsid w:val="00716D21"/>
    <w:rsid w:val="007228E6"/>
    <w:rsid w:val="0072489B"/>
    <w:rsid w:val="00730AC5"/>
    <w:rsid w:val="007353C7"/>
    <w:rsid w:val="00736C9A"/>
    <w:rsid w:val="007427E2"/>
    <w:rsid w:val="00746914"/>
    <w:rsid w:val="0075569B"/>
    <w:rsid w:val="00764784"/>
    <w:rsid w:val="00773FAD"/>
    <w:rsid w:val="007753BA"/>
    <w:rsid w:val="00776B3C"/>
    <w:rsid w:val="00785F1A"/>
    <w:rsid w:val="007970EE"/>
    <w:rsid w:val="007A0F85"/>
    <w:rsid w:val="007A28ED"/>
    <w:rsid w:val="007A4153"/>
    <w:rsid w:val="007A5F5D"/>
    <w:rsid w:val="007A6B83"/>
    <w:rsid w:val="007B4E97"/>
    <w:rsid w:val="007B6137"/>
    <w:rsid w:val="007B639D"/>
    <w:rsid w:val="007D5700"/>
    <w:rsid w:val="007D5CF3"/>
    <w:rsid w:val="007E34C9"/>
    <w:rsid w:val="007E3E5E"/>
    <w:rsid w:val="007E7AD0"/>
    <w:rsid w:val="007F2B0B"/>
    <w:rsid w:val="007F69F4"/>
    <w:rsid w:val="008022CC"/>
    <w:rsid w:val="00804CC2"/>
    <w:rsid w:val="00805864"/>
    <w:rsid w:val="00806EA5"/>
    <w:rsid w:val="0081051B"/>
    <w:rsid w:val="00810AF6"/>
    <w:rsid w:val="00825DFA"/>
    <w:rsid w:val="00826EEA"/>
    <w:rsid w:val="00830BA0"/>
    <w:rsid w:val="00834071"/>
    <w:rsid w:val="00836537"/>
    <w:rsid w:val="0084113D"/>
    <w:rsid w:val="008441C8"/>
    <w:rsid w:val="00844FDF"/>
    <w:rsid w:val="00845C21"/>
    <w:rsid w:val="0084728E"/>
    <w:rsid w:val="00855AB1"/>
    <w:rsid w:val="00855CDE"/>
    <w:rsid w:val="00855EFD"/>
    <w:rsid w:val="00863BEC"/>
    <w:rsid w:val="00866488"/>
    <w:rsid w:val="00873805"/>
    <w:rsid w:val="008877D5"/>
    <w:rsid w:val="008901DE"/>
    <w:rsid w:val="008A0FEC"/>
    <w:rsid w:val="008A3701"/>
    <w:rsid w:val="008C0C06"/>
    <w:rsid w:val="008D7D32"/>
    <w:rsid w:val="008F3B59"/>
    <w:rsid w:val="008F3E45"/>
    <w:rsid w:val="008F7EEF"/>
    <w:rsid w:val="00900A97"/>
    <w:rsid w:val="00903FE8"/>
    <w:rsid w:val="0091198F"/>
    <w:rsid w:val="00911C15"/>
    <w:rsid w:val="009272A1"/>
    <w:rsid w:val="0093420E"/>
    <w:rsid w:val="00947DF2"/>
    <w:rsid w:val="00952332"/>
    <w:rsid w:val="00957D64"/>
    <w:rsid w:val="009607D1"/>
    <w:rsid w:val="0096196C"/>
    <w:rsid w:val="009639F8"/>
    <w:rsid w:val="009707DB"/>
    <w:rsid w:val="009830D6"/>
    <w:rsid w:val="00991940"/>
    <w:rsid w:val="0099756B"/>
    <w:rsid w:val="00997A50"/>
    <w:rsid w:val="009A35D0"/>
    <w:rsid w:val="009A6340"/>
    <w:rsid w:val="009B5B36"/>
    <w:rsid w:val="009B5C36"/>
    <w:rsid w:val="009C309C"/>
    <w:rsid w:val="009C63F9"/>
    <w:rsid w:val="009D5341"/>
    <w:rsid w:val="009E5ABF"/>
    <w:rsid w:val="009E6C08"/>
    <w:rsid w:val="009F5401"/>
    <w:rsid w:val="00A0531D"/>
    <w:rsid w:val="00A133D2"/>
    <w:rsid w:val="00A14377"/>
    <w:rsid w:val="00A1705B"/>
    <w:rsid w:val="00A24A31"/>
    <w:rsid w:val="00A24EAD"/>
    <w:rsid w:val="00A2567C"/>
    <w:rsid w:val="00A352F0"/>
    <w:rsid w:val="00A408BE"/>
    <w:rsid w:val="00A42B5E"/>
    <w:rsid w:val="00A43E90"/>
    <w:rsid w:val="00A4523B"/>
    <w:rsid w:val="00A47DCD"/>
    <w:rsid w:val="00A547BF"/>
    <w:rsid w:val="00A61824"/>
    <w:rsid w:val="00A64FFD"/>
    <w:rsid w:val="00A71DF4"/>
    <w:rsid w:val="00A73635"/>
    <w:rsid w:val="00A76D8B"/>
    <w:rsid w:val="00A822AB"/>
    <w:rsid w:val="00A8262B"/>
    <w:rsid w:val="00A93FE8"/>
    <w:rsid w:val="00A971BE"/>
    <w:rsid w:val="00AA1229"/>
    <w:rsid w:val="00AA2133"/>
    <w:rsid w:val="00AA4717"/>
    <w:rsid w:val="00AB0AB2"/>
    <w:rsid w:val="00AB532C"/>
    <w:rsid w:val="00AC3343"/>
    <w:rsid w:val="00AD7692"/>
    <w:rsid w:val="00AE1A16"/>
    <w:rsid w:val="00AE1F4E"/>
    <w:rsid w:val="00AF34A3"/>
    <w:rsid w:val="00AF49B3"/>
    <w:rsid w:val="00AF69AA"/>
    <w:rsid w:val="00B02D2A"/>
    <w:rsid w:val="00B04C32"/>
    <w:rsid w:val="00B05316"/>
    <w:rsid w:val="00B11CF5"/>
    <w:rsid w:val="00B22867"/>
    <w:rsid w:val="00B23E34"/>
    <w:rsid w:val="00B27752"/>
    <w:rsid w:val="00B27C6A"/>
    <w:rsid w:val="00B34A19"/>
    <w:rsid w:val="00B35ADE"/>
    <w:rsid w:val="00B4005B"/>
    <w:rsid w:val="00B433E1"/>
    <w:rsid w:val="00B446C1"/>
    <w:rsid w:val="00B46ABB"/>
    <w:rsid w:val="00B47360"/>
    <w:rsid w:val="00B66D01"/>
    <w:rsid w:val="00B7269D"/>
    <w:rsid w:val="00B817B4"/>
    <w:rsid w:val="00B850B2"/>
    <w:rsid w:val="00B85389"/>
    <w:rsid w:val="00B85E71"/>
    <w:rsid w:val="00B866F2"/>
    <w:rsid w:val="00B96638"/>
    <w:rsid w:val="00BA3735"/>
    <w:rsid w:val="00BA5CB9"/>
    <w:rsid w:val="00BA6C04"/>
    <w:rsid w:val="00BB2EC8"/>
    <w:rsid w:val="00BB5404"/>
    <w:rsid w:val="00BB6C13"/>
    <w:rsid w:val="00BC0AD7"/>
    <w:rsid w:val="00BC1572"/>
    <w:rsid w:val="00BC2A4D"/>
    <w:rsid w:val="00BC33EB"/>
    <w:rsid w:val="00BC48F0"/>
    <w:rsid w:val="00BD17F3"/>
    <w:rsid w:val="00BD2C0B"/>
    <w:rsid w:val="00BD4D56"/>
    <w:rsid w:val="00BD75D1"/>
    <w:rsid w:val="00BF08E8"/>
    <w:rsid w:val="00BF7851"/>
    <w:rsid w:val="00C003BC"/>
    <w:rsid w:val="00C01781"/>
    <w:rsid w:val="00C042A5"/>
    <w:rsid w:val="00C06D91"/>
    <w:rsid w:val="00C103EF"/>
    <w:rsid w:val="00C14286"/>
    <w:rsid w:val="00C17FE5"/>
    <w:rsid w:val="00C24939"/>
    <w:rsid w:val="00C2504D"/>
    <w:rsid w:val="00C25BD7"/>
    <w:rsid w:val="00C304D5"/>
    <w:rsid w:val="00C33CDF"/>
    <w:rsid w:val="00C41273"/>
    <w:rsid w:val="00C46612"/>
    <w:rsid w:val="00C53E93"/>
    <w:rsid w:val="00C559E7"/>
    <w:rsid w:val="00C57E26"/>
    <w:rsid w:val="00C6418D"/>
    <w:rsid w:val="00C70705"/>
    <w:rsid w:val="00C73F64"/>
    <w:rsid w:val="00C74565"/>
    <w:rsid w:val="00C902D6"/>
    <w:rsid w:val="00C91542"/>
    <w:rsid w:val="00C9158F"/>
    <w:rsid w:val="00C92B59"/>
    <w:rsid w:val="00C93388"/>
    <w:rsid w:val="00C969F3"/>
    <w:rsid w:val="00CA1115"/>
    <w:rsid w:val="00CA23E5"/>
    <w:rsid w:val="00CA4653"/>
    <w:rsid w:val="00CC13BC"/>
    <w:rsid w:val="00CC236E"/>
    <w:rsid w:val="00CC4F7D"/>
    <w:rsid w:val="00CC60FF"/>
    <w:rsid w:val="00CC67BC"/>
    <w:rsid w:val="00CD5550"/>
    <w:rsid w:val="00CD6A3E"/>
    <w:rsid w:val="00CE3608"/>
    <w:rsid w:val="00CE737A"/>
    <w:rsid w:val="00CF0D41"/>
    <w:rsid w:val="00CF79B1"/>
    <w:rsid w:val="00D05151"/>
    <w:rsid w:val="00D10590"/>
    <w:rsid w:val="00D13037"/>
    <w:rsid w:val="00D17169"/>
    <w:rsid w:val="00D17A37"/>
    <w:rsid w:val="00D17A68"/>
    <w:rsid w:val="00D20D35"/>
    <w:rsid w:val="00D313E9"/>
    <w:rsid w:val="00D36997"/>
    <w:rsid w:val="00D37D98"/>
    <w:rsid w:val="00D41111"/>
    <w:rsid w:val="00D42C57"/>
    <w:rsid w:val="00D5391E"/>
    <w:rsid w:val="00D54E67"/>
    <w:rsid w:val="00D5611E"/>
    <w:rsid w:val="00D75591"/>
    <w:rsid w:val="00D7638D"/>
    <w:rsid w:val="00D85F1E"/>
    <w:rsid w:val="00D93212"/>
    <w:rsid w:val="00DA2DC1"/>
    <w:rsid w:val="00DA40B7"/>
    <w:rsid w:val="00DA4E02"/>
    <w:rsid w:val="00DC0791"/>
    <w:rsid w:val="00DC41AA"/>
    <w:rsid w:val="00DC5276"/>
    <w:rsid w:val="00DD0A10"/>
    <w:rsid w:val="00DD5357"/>
    <w:rsid w:val="00DD5660"/>
    <w:rsid w:val="00DE18C5"/>
    <w:rsid w:val="00DF11CF"/>
    <w:rsid w:val="00DF1AC3"/>
    <w:rsid w:val="00DF42C4"/>
    <w:rsid w:val="00E044A0"/>
    <w:rsid w:val="00E17196"/>
    <w:rsid w:val="00E231EB"/>
    <w:rsid w:val="00E3684F"/>
    <w:rsid w:val="00E40AFD"/>
    <w:rsid w:val="00E44CF3"/>
    <w:rsid w:val="00E47149"/>
    <w:rsid w:val="00E618E6"/>
    <w:rsid w:val="00E62791"/>
    <w:rsid w:val="00E7409A"/>
    <w:rsid w:val="00E7701C"/>
    <w:rsid w:val="00E802B4"/>
    <w:rsid w:val="00E81CD9"/>
    <w:rsid w:val="00E830B6"/>
    <w:rsid w:val="00E86317"/>
    <w:rsid w:val="00EA4E3F"/>
    <w:rsid w:val="00EA78E9"/>
    <w:rsid w:val="00EB3772"/>
    <w:rsid w:val="00EC29C7"/>
    <w:rsid w:val="00EC2B92"/>
    <w:rsid w:val="00EC48AC"/>
    <w:rsid w:val="00ED7A15"/>
    <w:rsid w:val="00EE0F1E"/>
    <w:rsid w:val="00EE441A"/>
    <w:rsid w:val="00EE7EFA"/>
    <w:rsid w:val="00EF5D02"/>
    <w:rsid w:val="00EF6A07"/>
    <w:rsid w:val="00F003FF"/>
    <w:rsid w:val="00F01D6F"/>
    <w:rsid w:val="00F04BDC"/>
    <w:rsid w:val="00F07E05"/>
    <w:rsid w:val="00F11F3C"/>
    <w:rsid w:val="00F146CB"/>
    <w:rsid w:val="00F205AF"/>
    <w:rsid w:val="00F32F93"/>
    <w:rsid w:val="00F36339"/>
    <w:rsid w:val="00F460F0"/>
    <w:rsid w:val="00F53AD4"/>
    <w:rsid w:val="00F53C1F"/>
    <w:rsid w:val="00F64476"/>
    <w:rsid w:val="00F66484"/>
    <w:rsid w:val="00F8329E"/>
    <w:rsid w:val="00F854D8"/>
    <w:rsid w:val="00F86740"/>
    <w:rsid w:val="00F87F4D"/>
    <w:rsid w:val="00F92223"/>
    <w:rsid w:val="00F9253B"/>
    <w:rsid w:val="00F932D8"/>
    <w:rsid w:val="00FA1BB3"/>
    <w:rsid w:val="00FA2E58"/>
    <w:rsid w:val="00FA7B94"/>
    <w:rsid w:val="00FB1562"/>
    <w:rsid w:val="00FC0AD3"/>
    <w:rsid w:val="00FC0DEB"/>
    <w:rsid w:val="00FC0E69"/>
    <w:rsid w:val="00FC28C6"/>
    <w:rsid w:val="00FD1AF1"/>
    <w:rsid w:val="00FD2187"/>
    <w:rsid w:val="00FD2B4A"/>
    <w:rsid w:val="00FD38DB"/>
    <w:rsid w:val="00FD3E6A"/>
    <w:rsid w:val="00FD6113"/>
    <w:rsid w:val="00FD7D6A"/>
    <w:rsid w:val="00FE30F8"/>
    <w:rsid w:val="00FE43B5"/>
    <w:rsid w:val="01151977"/>
    <w:rsid w:val="019A4755"/>
    <w:rsid w:val="020B712A"/>
    <w:rsid w:val="02911813"/>
    <w:rsid w:val="037F32F1"/>
    <w:rsid w:val="039101E8"/>
    <w:rsid w:val="043449DC"/>
    <w:rsid w:val="0446138B"/>
    <w:rsid w:val="050142BD"/>
    <w:rsid w:val="05402AF8"/>
    <w:rsid w:val="0557339A"/>
    <w:rsid w:val="058E2A81"/>
    <w:rsid w:val="05CF5FA2"/>
    <w:rsid w:val="060E7CE8"/>
    <w:rsid w:val="06296047"/>
    <w:rsid w:val="06D70873"/>
    <w:rsid w:val="073E25DB"/>
    <w:rsid w:val="078A0E71"/>
    <w:rsid w:val="081E607A"/>
    <w:rsid w:val="083A5BFB"/>
    <w:rsid w:val="083F1B7B"/>
    <w:rsid w:val="08527907"/>
    <w:rsid w:val="08F7778B"/>
    <w:rsid w:val="096900DD"/>
    <w:rsid w:val="0A1E73F4"/>
    <w:rsid w:val="0B6B40B0"/>
    <w:rsid w:val="0B8864EF"/>
    <w:rsid w:val="0C4E6AF9"/>
    <w:rsid w:val="0C563D22"/>
    <w:rsid w:val="0CC423FD"/>
    <w:rsid w:val="0E5E6A4C"/>
    <w:rsid w:val="0EA60DDD"/>
    <w:rsid w:val="0F11414E"/>
    <w:rsid w:val="0FE45F9D"/>
    <w:rsid w:val="114B682E"/>
    <w:rsid w:val="11590744"/>
    <w:rsid w:val="11725675"/>
    <w:rsid w:val="11A04CF5"/>
    <w:rsid w:val="124045A2"/>
    <w:rsid w:val="12BE4FF8"/>
    <w:rsid w:val="133253C2"/>
    <w:rsid w:val="14867288"/>
    <w:rsid w:val="14A035E0"/>
    <w:rsid w:val="153F05F6"/>
    <w:rsid w:val="15A07FE0"/>
    <w:rsid w:val="167F2C0C"/>
    <w:rsid w:val="17493D97"/>
    <w:rsid w:val="174E2EB7"/>
    <w:rsid w:val="183C633E"/>
    <w:rsid w:val="18941375"/>
    <w:rsid w:val="18E37943"/>
    <w:rsid w:val="199376B2"/>
    <w:rsid w:val="19BE66C1"/>
    <w:rsid w:val="1A1D50D7"/>
    <w:rsid w:val="1A975A4B"/>
    <w:rsid w:val="1AF81578"/>
    <w:rsid w:val="1B140288"/>
    <w:rsid w:val="1BE414DF"/>
    <w:rsid w:val="1C5F3D22"/>
    <w:rsid w:val="1C8B0664"/>
    <w:rsid w:val="1CA46505"/>
    <w:rsid w:val="1CAD6CD0"/>
    <w:rsid w:val="1CFF51A2"/>
    <w:rsid w:val="1D167BBB"/>
    <w:rsid w:val="1D541BA3"/>
    <w:rsid w:val="1D7638B1"/>
    <w:rsid w:val="1DD90387"/>
    <w:rsid w:val="1E5B107D"/>
    <w:rsid w:val="1ED91726"/>
    <w:rsid w:val="1EF515D8"/>
    <w:rsid w:val="203957A4"/>
    <w:rsid w:val="20456529"/>
    <w:rsid w:val="207C09B3"/>
    <w:rsid w:val="20902538"/>
    <w:rsid w:val="20A25E57"/>
    <w:rsid w:val="20E6060A"/>
    <w:rsid w:val="21144FF0"/>
    <w:rsid w:val="21941F7E"/>
    <w:rsid w:val="21A0648E"/>
    <w:rsid w:val="221053AF"/>
    <w:rsid w:val="2225435D"/>
    <w:rsid w:val="23C009F9"/>
    <w:rsid w:val="245169D4"/>
    <w:rsid w:val="24AD6297"/>
    <w:rsid w:val="24FF3A46"/>
    <w:rsid w:val="26132F9D"/>
    <w:rsid w:val="26A40C0C"/>
    <w:rsid w:val="2732478D"/>
    <w:rsid w:val="273E6603"/>
    <w:rsid w:val="27481137"/>
    <w:rsid w:val="27B66BC2"/>
    <w:rsid w:val="28116C60"/>
    <w:rsid w:val="2816627D"/>
    <w:rsid w:val="2845226C"/>
    <w:rsid w:val="28775BB9"/>
    <w:rsid w:val="29610BCC"/>
    <w:rsid w:val="296A10C1"/>
    <w:rsid w:val="298724B6"/>
    <w:rsid w:val="29CF0DBC"/>
    <w:rsid w:val="2A005E7B"/>
    <w:rsid w:val="2A2F56D9"/>
    <w:rsid w:val="2AC527AD"/>
    <w:rsid w:val="2B347209"/>
    <w:rsid w:val="2BA52AAD"/>
    <w:rsid w:val="2C216C72"/>
    <w:rsid w:val="2C234F40"/>
    <w:rsid w:val="2CBF7144"/>
    <w:rsid w:val="2E59257B"/>
    <w:rsid w:val="2E6B28C7"/>
    <w:rsid w:val="2E7C1A67"/>
    <w:rsid w:val="2EA03912"/>
    <w:rsid w:val="2EB42CB5"/>
    <w:rsid w:val="2F815E88"/>
    <w:rsid w:val="2FAD2983"/>
    <w:rsid w:val="2FDB53C0"/>
    <w:rsid w:val="304170CB"/>
    <w:rsid w:val="311F0884"/>
    <w:rsid w:val="325E553D"/>
    <w:rsid w:val="33147A5D"/>
    <w:rsid w:val="33555651"/>
    <w:rsid w:val="339B7340"/>
    <w:rsid w:val="33CD0F0D"/>
    <w:rsid w:val="342570B9"/>
    <w:rsid w:val="3485231F"/>
    <w:rsid w:val="34E52CC0"/>
    <w:rsid w:val="359D4322"/>
    <w:rsid w:val="35B262D4"/>
    <w:rsid w:val="35EE62E1"/>
    <w:rsid w:val="36380454"/>
    <w:rsid w:val="36CD3254"/>
    <w:rsid w:val="3714179A"/>
    <w:rsid w:val="374D5F72"/>
    <w:rsid w:val="377D5956"/>
    <w:rsid w:val="38257671"/>
    <w:rsid w:val="38777D06"/>
    <w:rsid w:val="389F3718"/>
    <w:rsid w:val="38D23D81"/>
    <w:rsid w:val="391A6687"/>
    <w:rsid w:val="391D7F6D"/>
    <w:rsid w:val="39272542"/>
    <w:rsid w:val="39BC7951"/>
    <w:rsid w:val="39CB3764"/>
    <w:rsid w:val="3AD7198C"/>
    <w:rsid w:val="3C020F83"/>
    <w:rsid w:val="3CB84785"/>
    <w:rsid w:val="3CF93D3D"/>
    <w:rsid w:val="3DF47D7D"/>
    <w:rsid w:val="3DFD3EAA"/>
    <w:rsid w:val="3E91033E"/>
    <w:rsid w:val="3F14011B"/>
    <w:rsid w:val="3F43378D"/>
    <w:rsid w:val="3F465EFC"/>
    <w:rsid w:val="3F6825F0"/>
    <w:rsid w:val="3F8773B7"/>
    <w:rsid w:val="403F240F"/>
    <w:rsid w:val="40C903B3"/>
    <w:rsid w:val="40D70427"/>
    <w:rsid w:val="40F16B34"/>
    <w:rsid w:val="415B09C9"/>
    <w:rsid w:val="41746A12"/>
    <w:rsid w:val="41793F4A"/>
    <w:rsid w:val="418F058E"/>
    <w:rsid w:val="4199612F"/>
    <w:rsid w:val="41DD718A"/>
    <w:rsid w:val="41E95C45"/>
    <w:rsid w:val="42543385"/>
    <w:rsid w:val="433D3B42"/>
    <w:rsid w:val="435267AB"/>
    <w:rsid w:val="43E9347E"/>
    <w:rsid w:val="44257C7E"/>
    <w:rsid w:val="449500F5"/>
    <w:rsid w:val="44D939A7"/>
    <w:rsid w:val="452C3ABD"/>
    <w:rsid w:val="45BC40F6"/>
    <w:rsid w:val="45E80EBB"/>
    <w:rsid w:val="45F70604"/>
    <w:rsid w:val="46180DE0"/>
    <w:rsid w:val="46B61421"/>
    <w:rsid w:val="46E45A22"/>
    <w:rsid w:val="47340B7A"/>
    <w:rsid w:val="4802277B"/>
    <w:rsid w:val="481B26FF"/>
    <w:rsid w:val="48420A18"/>
    <w:rsid w:val="488C4C51"/>
    <w:rsid w:val="48E94C61"/>
    <w:rsid w:val="48F71C2D"/>
    <w:rsid w:val="497860C1"/>
    <w:rsid w:val="49C55BF1"/>
    <w:rsid w:val="49EA3F73"/>
    <w:rsid w:val="49F275B6"/>
    <w:rsid w:val="4A2530C0"/>
    <w:rsid w:val="4A817DD7"/>
    <w:rsid w:val="4AE0041E"/>
    <w:rsid w:val="4B3B3FF9"/>
    <w:rsid w:val="4B53604D"/>
    <w:rsid w:val="4B6148D3"/>
    <w:rsid w:val="4BAD466F"/>
    <w:rsid w:val="4C0E41EC"/>
    <w:rsid w:val="4C792C00"/>
    <w:rsid w:val="4C7E79B7"/>
    <w:rsid w:val="4CA7380F"/>
    <w:rsid w:val="4E491555"/>
    <w:rsid w:val="4EDF4F18"/>
    <w:rsid w:val="4F0A34CC"/>
    <w:rsid w:val="4F1332E3"/>
    <w:rsid w:val="4F1C53FF"/>
    <w:rsid w:val="4F3A3B74"/>
    <w:rsid w:val="4F8571A9"/>
    <w:rsid w:val="50195936"/>
    <w:rsid w:val="50363214"/>
    <w:rsid w:val="5147420C"/>
    <w:rsid w:val="51E24C3B"/>
    <w:rsid w:val="52033E29"/>
    <w:rsid w:val="524A2661"/>
    <w:rsid w:val="524F5EB6"/>
    <w:rsid w:val="52F30270"/>
    <w:rsid w:val="530A5EF6"/>
    <w:rsid w:val="53D83F98"/>
    <w:rsid w:val="5445799A"/>
    <w:rsid w:val="54A94A39"/>
    <w:rsid w:val="55912841"/>
    <w:rsid w:val="55974998"/>
    <w:rsid w:val="56982AEA"/>
    <w:rsid w:val="56A327A5"/>
    <w:rsid w:val="56B3053A"/>
    <w:rsid w:val="56F563A5"/>
    <w:rsid w:val="574B7B5B"/>
    <w:rsid w:val="57B843EF"/>
    <w:rsid w:val="57E663D2"/>
    <w:rsid w:val="587005A3"/>
    <w:rsid w:val="58AA4573"/>
    <w:rsid w:val="58AD585C"/>
    <w:rsid w:val="58B76732"/>
    <w:rsid w:val="590226E5"/>
    <w:rsid w:val="59EC5D56"/>
    <w:rsid w:val="5A014679"/>
    <w:rsid w:val="5ADD65D4"/>
    <w:rsid w:val="5B0000E6"/>
    <w:rsid w:val="5B1700DC"/>
    <w:rsid w:val="5B915813"/>
    <w:rsid w:val="5BAE34FA"/>
    <w:rsid w:val="5C58435F"/>
    <w:rsid w:val="5C613D74"/>
    <w:rsid w:val="5CFC14F3"/>
    <w:rsid w:val="5D1C2B72"/>
    <w:rsid w:val="5D81160B"/>
    <w:rsid w:val="5DC446DA"/>
    <w:rsid w:val="5E024E3F"/>
    <w:rsid w:val="5EF4286A"/>
    <w:rsid w:val="5F0D27EB"/>
    <w:rsid w:val="5F356CCF"/>
    <w:rsid w:val="5F406406"/>
    <w:rsid w:val="5FA91890"/>
    <w:rsid w:val="5FE5773F"/>
    <w:rsid w:val="601739B1"/>
    <w:rsid w:val="618041F4"/>
    <w:rsid w:val="620A271D"/>
    <w:rsid w:val="626E00BD"/>
    <w:rsid w:val="6286523F"/>
    <w:rsid w:val="63090FD9"/>
    <w:rsid w:val="64876363"/>
    <w:rsid w:val="64A161F1"/>
    <w:rsid w:val="65392829"/>
    <w:rsid w:val="65652A5B"/>
    <w:rsid w:val="65E97DBF"/>
    <w:rsid w:val="661B74FF"/>
    <w:rsid w:val="66661D83"/>
    <w:rsid w:val="670E410F"/>
    <w:rsid w:val="674175FB"/>
    <w:rsid w:val="675B29A9"/>
    <w:rsid w:val="675D33D4"/>
    <w:rsid w:val="689B0118"/>
    <w:rsid w:val="692F4DA8"/>
    <w:rsid w:val="6932479B"/>
    <w:rsid w:val="698D73CE"/>
    <w:rsid w:val="69F86FD8"/>
    <w:rsid w:val="6A5748B9"/>
    <w:rsid w:val="6A610B11"/>
    <w:rsid w:val="6A930EAF"/>
    <w:rsid w:val="6AB75697"/>
    <w:rsid w:val="6B797CB1"/>
    <w:rsid w:val="6C6153F8"/>
    <w:rsid w:val="6CC43907"/>
    <w:rsid w:val="6D3842D4"/>
    <w:rsid w:val="6E021401"/>
    <w:rsid w:val="6E0F0F69"/>
    <w:rsid w:val="6E273436"/>
    <w:rsid w:val="6E3336F6"/>
    <w:rsid w:val="6E9A7DB0"/>
    <w:rsid w:val="6EE40D96"/>
    <w:rsid w:val="6F705296"/>
    <w:rsid w:val="6F812A87"/>
    <w:rsid w:val="6FB40E20"/>
    <w:rsid w:val="6FE253D4"/>
    <w:rsid w:val="6FEB7D4C"/>
    <w:rsid w:val="700C2817"/>
    <w:rsid w:val="704D17FC"/>
    <w:rsid w:val="70F212A3"/>
    <w:rsid w:val="717A2B3A"/>
    <w:rsid w:val="72032789"/>
    <w:rsid w:val="72137679"/>
    <w:rsid w:val="72855F71"/>
    <w:rsid w:val="729D41F8"/>
    <w:rsid w:val="72B60864"/>
    <w:rsid w:val="72F346E9"/>
    <w:rsid w:val="73973EEA"/>
    <w:rsid w:val="73B9732C"/>
    <w:rsid w:val="73DC5B12"/>
    <w:rsid w:val="74194357"/>
    <w:rsid w:val="743225EA"/>
    <w:rsid w:val="745840C2"/>
    <w:rsid w:val="74EB1536"/>
    <w:rsid w:val="7545103A"/>
    <w:rsid w:val="75580E91"/>
    <w:rsid w:val="768E1008"/>
    <w:rsid w:val="76B316F2"/>
    <w:rsid w:val="76F97D3E"/>
    <w:rsid w:val="78F474E2"/>
    <w:rsid w:val="793515BB"/>
    <w:rsid w:val="7948418F"/>
    <w:rsid w:val="79ED72AA"/>
    <w:rsid w:val="7A9916ED"/>
    <w:rsid w:val="7AFB4404"/>
    <w:rsid w:val="7BC41414"/>
    <w:rsid w:val="7BFA6E1E"/>
    <w:rsid w:val="7C2170D5"/>
    <w:rsid w:val="7CAF5384"/>
    <w:rsid w:val="7CB96DD3"/>
    <w:rsid w:val="7D097714"/>
    <w:rsid w:val="7D8E0CD4"/>
    <w:rsid w:val="7E3965FA"/>
    <w:rsid w:val="7E83478B"/>
    <w:rsid w:val="7EE625BD"/>
    <w:rsid w:val="7F056AA2"/>
    <w:rsid w:val="7F440D73"/>
    <w:rsid w:val="7F5D3C11"/>
    <w:rsid w:val="7FDF3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37"/>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5"/>
    <w:next w:val="1"/>
    <w:link w:val="35"/>
    <w:qFormat/>
    <w:uiPriority w:val="99"/>
    <w:pPr>
      <w:spacing w:before="260" w:after="260" w:line="416" w:lineRule="auto"/>
    </w:pPr>
    <w:rPr>
      <w:rFonts w:ascii="Cambria" w:hAnsi="Cambria"/>
      <w:sz w:val="32"/>
      <w:szCs w:val="32"/>
    </w:rPr>
  </w:style>
  <w:style w:type="paragraph" w:styleId="7">
    <w:name w:val="heading 6"/>
    <w:basedOn w:val="1"/>
    <w:next w:val="1"/>
    <w:qFormat/>
    <w:uiPriority w:val="0"/>
    <w:pPr>
      <w:keepNext/>
      <w:autoSpaceDE w:val="0"/>
      <w:autoSpaceDN w:val="0"/>
      <w:adjustRightInd w:val="0"/>
      <w:snapToGrid w:val="0"/>
      <w:spacing w:before="240" w:after="64" w:line="320" w:lineRule="auto"/>
      <w:outlineLvl w:val="5"/>
    </w:pPr>
    <w:rPr>
      <w:rFonts w:ascii="Arial" w:hAnsi="Arial" w:eastAsia="黑体"/>
      <w:b/>
      <w:color w:val="000000"/>
      <w:sz w:val="24"/>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customStyle="1" w:styleId="5">
    <w:name w:val="自定义标题2"/>
    <w:basedOn w:val="6"/>
    <w:next w:val="1"/>
    <w:qFormat/>
    <w:uiPriority w:val="0"/>
    <w:pPr>
      <w:spacing w:before="240" w:after="60" w:line="360" w:lineRule="auto"/>
      <w:ind w:left="420" w:hanging="420"/>
    </w:pPr>
    <w:rPr>
      <w:rFonts w:ascii="宋体" w:hAnsi="宋体" w:cs="Arial"/>
      <w:bCs/>
      <w:sz w:val="24"/>
    </w:rPr>
  </w:style>
  <w:style w:type="paragraph" w:customStyle="1" w:styleId="6">
    <w:name w:val="标题 21"/>
    <w:basedOn w:val="1"/>
    <w:next w:val="1"/>
    <w:qFormat/>
    <w:uiPriority w:val="0"/>
    <w:pPr>
      <w:keepNext/>
      <w:keepLines/>
      <w:spacing w:before="100" w:after="100" w:line="415" w:lineRule="auto"/>
      <w:ind w:left="576" w:hanging="576"/>
      <w:outlineLvl w:val="1"/>
    </w:pPr>
    <w:rPr>
      <w:b/>
      <w:iCs/>
      <w:sz w:val="32"/>
      <w:szCs w:val="28"/>
    </w:rPr>
  </w:style>
  <w:style w:type="paragraph" w:styleId="8">
    <w:name w:val="Normal Indent"/>
    <w:basedOn w:val="1"/>
    <w:link w:val="52"/>
    <w:qFormat/>
    <w:uiPriority w:val="0"/>
    <w:pPr>
      <w:ind w:firstLine="420"/>
    </w:pPr>
  </w:style>
  <w:style w:type="paragraph" w:styleId="9">
    <w:name w:val="Document Map"/>
    <w:basedOn w:val="1"/>
    <w:link w:val="39"/>
    <w:qFormat/>
    <w:uiPriority w:val="0"/>
    <w:rPr>
      <w:rFonts w:ascii="宋体"/>
      <w:sz w:val="18"/>
      <w:szCs w:val="18"/>
    </w:rPr>
  </w:style>
  <w:style w:type="paragraph" w:styleId="10">
    <w:name w:val="Body Text"/>
    <w:basedOn w:val="1"/>
    <w:next w:val="11"/>
    <w:link w:val="38"/>
    <w:qFormat/>
    <w:uiPriority w:val="0"/>
    <w:pPr>
      <w:widowControl w:val="0"/>
      <w:spacing w:line="360" w:lineRule="auto"/>
      <w:jc w:val="both"/>
    </w:pPr>
    <w:rPr>
      <w:rFonts w:ascii="楷体_GB2312" w:eastAsia="楷体_GB2312"/>
      <w:kern w:val="2"/>
      <w:sz w:val="32"/>
    </w:rPr>
  </w:style>
  <w:style w:type="paragraph" w:styleId="11">
    <w:name w:val="Body Text First Indent"/>
    <w:basedOn w:val="10"/>
    <w:next w:val="1"/>
    <w:link w:val="36"/>
    <w:qFormat/>
    <w:uiPriority w:val="99"/>
    <w:pPr>
      <w:widowControl/>
      <w:spacing w:after="120" w:line="240" w:lineRule="auto"/>
      <w:ind w:firstLine="420" w:firstLineChars="100"/>
      <w:jc w:val="left"/>
    </w:pPr>
    <w:rPr>
      <w:rFonts w:ascii="Times New Roman" w:eastAsia="宋体"/>
      <w:kern w:val="0"/>
      <w:sz w:val="21"/>
    </w:rPr>
  </w:style>
  <w:style w:type="paragraph" w:styleId="12">
    <w:name w:val="Body Text Indent"/>
    <w:basedOn w:val="1"/>
    <w:qFormat/>
    <w:uiPriority w:val="0"/>
    <w:pPr>
      <w:spacing w:after="120"/>
      <w:ind w:left="420" w:leftChars="200"/>
    </w:pPr>
  </w:style>
  <w:style w:type="paragraph" w:styleId="13">
    <w:name w:val="List 2"/>
    <w:basedOn w:val="1"/>
    <w:qFormat/>
    <w:uiPriority w:val="0"/>
    <w:pPr>
      <w:ind w:left="100" w:leftChars="200" w:hanging="200" w:hangingChars="200"/>
    </w:pPr>
  </w:style>
  <w:style w:type="paragraph" w:styleId="14">
    <w:name w:val="Plain Text"/>
    <w:basedOn w:val="1"/>
    <w:next w:val="1"/>
    <w:link w:val="50"/>
    <w:qFormat/>
    <w:uiPriority w:val="0"/>
    <w:pPr>
      <w:overflowPunct w:val="0"/>
      <w:autoSpaceDE w:val="0"/>
      <w:autoSpaceDN w:val="0"/>
      <w:adjustRightInd w:val="0"/>
      <w:textAlignment w:val="baseline"/>
    </w:pPr>
    <w:rPr>
      <w:rFonts w:ascii="宋体" w:hAnsi="Courier New"/>
      <w:szCs w:val="21"/>
    </w:rPr>
  </w:style>
  <w:style w:type="paragraph" w:styleId="15">
    <w:name w:val="Date"/>
    <w:basedOn w:val="1"/>
    <w:next w:val="1"/>
    <w:qFormat/>
    <w:uiPriority w:val="0"/>
    <w:pPr>
      <w:widowControl w:val="0"/>
      <w:ind w:left="100" w:leftChars="2500"/>
      <w:jc w:val="both"/>
    </w:pPr>
    <w:rPr>
      <w:kern w:val="2"/>
      <w:sz w:val="24"/>
      <w:szCs w:val="24"/>
    </w:rPr>
  </w:style>
  <w:style w:type="paragraph" w:styleId="16">
    <w:name w:val="Balloon Text"/>
    <w:basedOn w:val="1"/>
    <w:link w:val="51"/>
    <w:qFormat/>
    <w:uiPriority w:val="0"/>
    <w:rPr>
      <w:sz w:val="18"/>
      <w:szCs w:val="18"/>
    </w:rPr>
  </w:style>
  <w:style w:type="paragraph" w:styleId="17">
    <w:name w:val="footer"/>
    <w:basedOn w:val="1"/>
    <w:link w:val="49"/>
    <w:qFormat/>
    <w:uiPriority w:val="99"/>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tabs>
        <w:tab w:val="right" w:leader="middleDot" w:pos="8948"/>
      </w:tabs>
      <w:spacing w:before="120" w:after="120" w:line="360" w:lineRule="exact"/>
    </w:pPr>
    <w:rPr>
      <w:rFonts w:ascii="宋体" w:hAnsi="宋体" w:cs="Arial"/>
      <w:b/>
      <w:bCs/>
      <w:caps/>
      <w:szCs w:val="21"/>
    </w:rPr>
  </w:style>
  <w:style w:type="paragraph" w:styleId="20">
    <w:name w:val="Body Text Indent 3"/>
    <w:basedOn w:val="1"/>
    <w:qFormat/>
    <w:uiPriority w:val="0"/>
    <w:pPr>
      <w:spacing w:after="120"/>
      <w:ind w:left="420" w:leftChars="200"/>
    </w:pPr>
    <w:rPr>
      <w:sz w:val="16"/>
      <w:szCs w:val="16"/>
    </w:rPr>
  </w:style>
  <w:style w:type="paragraph" w:styleId="21">
    <w:name w:val="table of figures"/>
    <w:basedOn w:val="1"/>
    <w:next w:val="1"/>
    <w:qFormat/>
    <w:uiPriority w:val="0"/>
    <w:pPr>
      <w:ind w:left="840" w:leftChars="200" w:hanging="420" w:hangingChars="200"/>
    </w:pPr>
  </w:style>
  <w:style w:type="paragraph" w:styleId="22">
    <w:name w:val="toc 2"/>
    <w:basedOn w:val="1"/>
    <w:next w:val="1"/>
    <w:qFormat/>
    <w:uiPriority w:val="39"/>
    <w:pPr>
      <w:tabs>
        <w:tab w:val="right" w:leader="middleDot" w:pos="8948"/>
      </w:tabs>
      <w:spacing w:before="60" w:after="60"/>
      <w:ind w:left="210"/>
    </w:pPr>
    <w:rPr>
      <w:smallCaps/>
    </w:rPr>
  </w:style>
  <w:style w:type="paragraph" w:styleId="23">
    <w:name w:val="Normal (Web)"/>
    <w:basedOn w:val="1"/>
    <w:qFormat/>
    <w:uiPriority w:val="99"/>
    <w:pPr>
      <w:spacing w:before="100" w:beforeAutospacing="1" w:after="100" w:afterAutospacing="1"/>
    </w:pPr>
    <w:rPr>
      <w:rFonts w:cs="宋体"/>
      <w:sz w:val="24"/>
      <w:szCs w:val="24"/>
    </w:rPr>
  </w:style>
  <w:style w:type="paragraph" w:styleId="24">
    <w:name w:val="Body Text First Indent 2"/>
    <w:basedOn w:val="12"/>
    <w:unhideWhenUsed/>
    <w:qFormat/>
    <w:uiPriority w:val="99"/>
    <w:pPr>
      <w:ind w:firstLine="420"/>
    </w:pPr>
    <w:rPr>
      <w:rFonts w:cs="宋体"/>
      <w:szCs w:val="21"/>
    </w:r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semiHidden/>
    <w:unhideWhenUsed/>
    <w:qFormat/>
    <w:uiPriority w:val="0"/>
    <w:rPr>
      <w:rFonts w:hint="eastAsia" w:ascii="宋体" w:hAnsi="宋体" w:eastAsia="宋体" w:cs="宋体"/>
      <w:color w:val="000000"/>
      <w:sz w:val="18"/>
      <w:szCs w:val="18"/>
      <w:u w:val="none"/>
    </w:rPr>
  </w:style>
  <w:style w:type="character" w:styleId="30">
    <w:name w:val="Emphasis"/>
    <w:basedOn w:val="26"/>
    <w:qFormat/>
    <w:uiPriority w:val="0"/>
  </w:style>
  <w:style w:type="character" w:styleId="31">
    <w:name w:val="Hyperlink"/>
    <w:qFormat/>
    <w:uiPriority w:val="99"/>
    <w:rPr>
      <w:color w:val="0000FF"/>
      <w:u w:val="single"/>
    </w:rPr>
  </w:style>
  <w:style w:type="paragraph" w:customStyle="1" w:styleId="32">
    <w:name w:val="表格文字"/>
    <w:basedOn w:val="14"/>
    <w:next w:val="10"/>
    <w:qFormat/>
    <w:uiPriority w:val="0"/>
    <w:pPr>
      <w:spacing w:line="420" w:lineRule="atLeast"/>
    </w:pPr>
    <w:rPr>
      <w:szCs w:val="24"/>
    </w:rPr>
  </w:style>
  <w:style w:type="paragraph" w:customStyle="1" w:styleId="33">
    <w:name w:val="正文ok"/>
    <w:link w:val="34"/>
    <w:qFormat/>
    <w:uiPriority w:val="0"/>
    <w:pPr>
      <w:spacing w:line="360" w:lineRule="auto"/>
      <w:ind w:firstLine="200" w:firstLineChars="200"/>
    </w:pPr>
    <w:rPr>
      <w:rFonts w:ascii="宋体" w:hAnsi="Times New Roman" w:eastAsia="宋体" w:cs="Times New Roman"/>
      <w:sz w:val="24"/>
      <w:lang w:val="en-US" w:eastAsia="zh-CN" w:bidi="ar-SA"/>
    </w:rPr>
  </w:style>
  <w:style w:type="character" w:customStyle="1" w:styleId="34">
    <w:name w:val="正文ok Char"/>
    <w:link w:val="33"/>
    <w:qFormat/>
    <w:uiPriority w:val="0"/>
    <w:rPr>
      <w:rFonts w:ascii="宋体"/>
      <w:sz w:val="24"/>
      <w:lang w:val="en-US" w:eastAsia="zh-CN" w:bidi="ar-SA"/>
    </w:rPr>
  </w:style>
  <w:style w:type="character" w:customStyle="1" w:styleId="35">
    <w:name w:val="标题 2 Char"/>
    <w:link w:val="4"/>
    <w:qFormat/>
    <w:uiPriority w:val="99"/>
    <w:rPr>
      <w:rFonts w:ascii="Cambria" w:hAnsi="Cambria"/>
      <w:b/>
      <w:bCs/>
      <w:sz w:val="32"/>
      <w:szCs w:val="32"/>
    </w:rPr>
  </w:style>
  <w:style w:type="character" w:customStyle="1" w:styleId="36">
    <w:name w:val="正文首行缩进 Char"/>
    <w:link w:val="11"/>
    <w:qFormat/>
    <w:uiPriority w:val="99"/>
    <w:rPr>
      <w:rFonts w:ascii="楷体_GB2312" w:eastAsia="楷体_GB2312"/>
      <w:kern w:val="2"/>
      <w:sz w:val="21"/>
    </w:rPr>
  </w:style>
  <w:style w:type="character" w:customStyle="1" w:styleId="37">
    <w:name w:val="标题 1 Char"/>
    <w:link w:val="3"/>
    <w:qFormat/>
    <w:uiPriority w:val="0"/>
    <w:rPr>
      <w:rFonts w:ascii="宋体"/>
      <w:b/>
      <w:kern w:val="44"/>
      <w:sz w:val="24"/>
    </w:rPr>
  </w:style>
  <w:style w:type="character" w:customStyle="1" w:styleId="38">
    <w:name w:val="正文文本 Char"/>
    <w:link w:val="10"/>
    <w:qFormat/>
    <w:uiPriority w:val="0"/>
    <w:rPr>
      <w:rFonts w:ascii="楷体_GB2312" w:eastAsia="楷体_GB2312"/>
      <w:kern w:val="2"/>
      <w:sz w:val="32"/>
    </w:rPr>
  </w:style>
  <w:style w:type="character" w:customStyle="1" w:styleId="39">
    <w:name w:val="文档结构图 Char"/>
    <w:link w:val="9"/>
    <w:qFormat/>
    <w:uiPriority w:val="0"/>
    <w:rPr>
      <w:rFonts w:ascii="宋体"/>
      <w:sz w:val="18"/>
      <w:szCs w:val="18"/>
    </w:rPr>
  </w:style>
  <w:style w:type="paragraph" w:customStyle="1" w:styleId="40">
    <w:name w:val="1.1.1"/>
    <w:basedOn w:val="1"/>
    <w:qFormat/>
    <w:uiPriority w:val="0"/>
    <w:pPr>
      <w:widowControl w:val="0"/>
      <w:tabs>
        <w:tab w:val="left" w:pos="0"/>
        <w:tab w:val="left" w:pos="1134"/>
        <w:tab w:val="left" w:pos="8505"/>
      </w:tabs>
      <w:autoSpaceDE w:val="0"/>
      <w:autoSpaceDN w:val="0"/>
      <w:adjustRightInd w:val="0"/>
      <w:spacing w:before="240" w:after="60" w:line="360" w:lineRule="atLeast"/>
      <w:jc w:val="both"/>
    </w:pPr>
    <w:rPr>
      <w:rFonts w:ascii="宋体"/>
      <w:b/>
      <w:sz w:val="24"/>
    </w:rPr>
  </w:style>
  <w:style w:type="paragraph" w:customStyle="1" w:styleId="41">
    <w:name w:val="Char"/>
    <w:basedOn w:val="1"/>
    <w:qFormat/>
    <w:uiPriority w:val="0"/>
    <w:pPr>
      <w:widowControl w:val="0"/>
      <w:jc w:val="both"/>
    </w:pPr>
    <w:rPr>
      <w:kern w:val="2"/>
    </w:rPr>
  </w:style>
  <w:style w:type="paragraph" w:customStyle="1" w:styleId="42">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43">
    <w:name w:val="附件"/>
    <w:basedOn w:val="3"/>
    <w:qFormat/>
    <w:uiPriority w:val="0"/>
    <w:pPr>
      <w:keepNext w:val="0"/>
      <w:keepLines w:val="0"/>
      <w:pageBreakBefore/>
      <w:spacing w:beforeLines="100" w:afterLines="100" w:line="240" w:lineRule="auto"/>
      <w:jc w:val="center"/>
    </w:pPr>
    <w:rPr>
      <w:rFonts w:hAnsi="宋体"/>
      <w:sz w:val="28"/>
      <w:szCs w:val="36"/>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5">
    <w:name w:val="List Paragraph"/>
    <w:basedOn w:val="1"/>
    <w:qFormat/>
    <w:uiPriority w:val="99"/>
    <w:pPr>
      <w:ind w:firstLine="420" w:firstLineChars="200"/>
    </w:pPr>
  </w:style>
  <w:style w:type="paragraph" w:customStyle="1" w:styleId="46">
    <w:name w:val="_Style 2"/>
    <w:basedOn w:val="1"/>
    <w:qFormat/>
    <w:uiPriority w:val="0"/>
    <w:pPr>
      <w:ind w:firstLine="420" w:firstLineChars="200"/>
    </w:pPr>
  </w:style>
  <w:style w:type="paragraph" w:customStyle="1" w:styleId="47">
    <w:name w:val="纯文本1"/>
    <w:basedOn w:val="44"/>
    <w:qFormat/>
    <w:uiPriority w:val="0"/>
    <w:pPr>
      <w:widowControl/>
      <w:jc w:val="left"/>
    </w:pPr>
    <w:rPr>
      <w:rFonts w:ascii="宋体" w:hAnsi="Courier New"/>
    </w:rPr>
  </w:style>
  <w:style w:type="character" w:customStyle="1" w:styleId="48">
    <w:name w:val="标题 1 Char1"/>
    <w:qFormat/>
    <w:uiPriority w:val="0"/>
    <w:rPr>
      <w:rFonts w:ascii="宋体" w:hAnsi="Times New Roman" w:eastAsia="宋体" w:cs="Times New Roman"/>
      <w:b/>
      <w:kern w:val="44"/>
      <w:sz w:val="24"/>
      <w:szCs w:val="20"/>
    </w:rPr>
  </w:style>
  <w:style w:type="character" w:customStyle="1" w:styleId="49">
    <w:name w:val="页脚 Char"/>
    <w:link w:val="17"/>
    <w:qFormat/>
    <w:uiPriority w:val="99"/>
    <w:rPr>
      <w:sz w:val="18"/>
    </w:rPr>
  </w:style>
  <w:style w:type="character" w:customStyle="1" w:styleId="50">
    <w:name w:val="纯文本 Char"/>
    <w:link w:val="14"/>
    <w:qFormat/>
    <w:locked/>
    <w:uiPriority w:val="0"/>
    <w:rPr>
      <w:rFonts w:ascii="宋体" w:hAnsi="Courier New"/>
      <w:sz w:val="21"/>
      <w:szCs w:val="21"/>
    </w:rPr>
  </w:style>
  <w:style w:type="character" w:customStyle="1" w:styleId="51">
    <w:name w:val="批注框文本 Char"/>
    <w:basedOn w:val="26"/>
    <w:link w:val="16"/>
    <w:qFormat/>
    <w:uiPriority w:val="0"/>
    <w:rPr>
      <w:sz w:val="18"/>
      <w:szCs w:val="18"/>
    </w:rPr>
  </w:style>
  <w:style w:type="character" w:customStyle="1" w:styleId="52">
    <w:name w:val="正文缩进 Char"/>
    <w:link w:val="8"/>
    <w:qFormat/>
    <w:uiPriority w:val="0"/>
    <w:rPr>
      <w:sz w:val="21"/>
    </w:rPr>
  </w:style>
  <w:style w:type="paragraph" w:customStyle="1" w:styleId="53">
    <w:name w:val="中等深浅网格 1 - 强调文字颜色 21"/>
    <w:basedOn w:val="1"/>
    <w:qFormat/>
    <w:uiPriority w:val="34"/>
    <w:pPr>
      <w:ind w:firstLine="420" w:firstLineChars="200"/>
    </w:pPr>
  </w:style>
  <w:style w:type="paragraph" w:customStyle="1" w:styleId="54">
    <w:name w:val="aa.正文"/>
    <w:basedOn w:val="1"/>
    <w:qFormat/>
    <w:uiPriority w:val="0"/>
    <w:pPr>
      <w:ind w:firstLine="560"/>
    </w:pPr>
    <w:rPr>
      <w:rFonts w:ascii="仿宋_GB2312" w:hAnsi="仿宋" w:eastAsia="仿宋_GB2312" w:cs="宋体"/>
      <w:sz w:val="28"/>
      <w:szCs w:val="28"/>
    </w:rPr>
  </w:style>
  <w:style w:type="character" w:customStyle="1" w:styleId="55">
    <w:name w:val="font21"/>
    <w:qFormat/>
    <w:uiPriority w:val="0"/>
    <w:rPr>
      <w:rFonts w:hint="eastAsia" w:ascii="宋体" w:hAnsi="宋体" w:eastAsia="宋体"/>
      <w:color w:val="000000"/>
      <w:sz w:val="21"/>
      <w:szCs w:val="21"/>
      <w:u w:val="none"/>
    </w:rPr>
  </w:style>
  <w:style w:type="paragraph" w:customStyle="1" w:styleId="56">
    <w:name w:val="lp1"/>
    <w:basedOn w:val="1"/>
    <w:next w:val="45"/>
    <w:link w:val="57"/>
    <w:qFormat/>
    <w:uiPriority w:val="34"/>
    <w:pPr>
      <w:widowControl w:val="0"/>
      <w:spacing w:line="360" w:lineRule="auto"/>
      <w:ind w:firstLine="420" w:firstLineChars="200"/>
      <w:jc w:val="both"/>
    </w:pPr>
    <w:rPr>
      <w:rFonts w:ascii="Calibri" w:hAnsi="Calibri" w:eastAsia="仿宋"/>
      <w:sz w:val="24"/>
    </w:rPr>
  </w:style>
  <w:style w:type="character" w:customStyle="1" w:styleId="57">
    <w:name w:val="列出段落 字符"/>
    <w:link w:val="56"/>
    <w:qFormat/>
    <w:locked/>
    <w:uiPriority w:val="34"/>
    <w:rPr>
      <w:rFonts w:ascii="Calibri" w:hAnsi="Calibri" w:eastAsia="仿宋" w:cs="Times New Roman"/>
      <w:sz w:val="24"/>
    </w:rPr>
  </w:style>
  <w:style w:type="character" w:customStyle="1" w:styleId="58">
    <w:name w:val="NormalCharacter"/>
    <w:qFormat/>
    <w:uiPriority w:val="0"/>
  </w:style>
  <w:style w:type="paragraph" w:customStyle="1" w:styleId="59">
    <w:name w:val="l正文"/>
    <w:basedOn w:val="1"/>
    <w:qFormat/>
    <w:uiPriority w:val="0"/>
    <w:pPr>
      <w:spacing w:line="300" w:lineRule="auto"/>
      <w:ind w:firstLine="200" w:firstLineChars="200"/>
    </w:pPr>
    <w:rPr>
      <w:rFonts w:ascii="楷体_GB2312" w:hAnsi="Times" w:eastAsia="楷体_GB2312" w:cs="等线"/>
      <w:sz w:val="24"/>
      <w:szCs w:val="24"/>
    </w:rPr>
  </w:style>
  <w:style w:type="paragraph" w:customStyle="1" w:styleId="60">
    <w:name w:val="表内文字"/>
    <w:basedOn w:val="1"/>
    <w:qFormat/>
    <w:uiPriority w:val="0"/>
    <w:pPr>
      <w:spacing w:line="500" w:lineRule="atLeast"/>
      <w:jc w:val="center"/>
    </w:pPr>
    <w:rPr>
      <w:rFonts w:ascii="Arial" w:hAnsi="Arial" w:eastAsia="楷体_GB2312"/>
      <w:sz w:val="28"/>
    </w:rPr>
  </w:style>
  <w:style w:type="paragraph" w:customStyle="1" w:styleId="61">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4A297-23AB-4366-B5FE-988F7E85C7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37424</Words>
  <Characters>39388</Characters>
  <Lines>311</Lines>
  <Paragraphs>87</Paragraphs>
  <TotalTime>55</TotalTime>
  <ScaleCrop>false</ScaleCrop>
  <LinksUpToDate>false</LinksUpToDate>
  <CharactersWithSpaces>41283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2020-09-29T06:31:00Z</dcterms:created>
  <dc:creator>surface</dc:creator>
  <cp:lastModifiedBy>璇钥</cp:lastModifiedBy>
  <cp:lastPrinted>2020-10-28T07:59:00Z</cp:lastPrinted>
  <dcterms:modified xsi:type="dcterms:W3CDTF">2023-04-28T09:19:48Z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C165BC5E6D2B46ACA3614F2180F7833E_13</vt:lpwstr>
  </property>
</Properties>
</file>