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52"/>
          <w:szCs w:val="52"/>
          <w:highlight w:val="none"/>
          <w:lang w:val="en-US" w:eastAsia="zh-CN"/>
        </w:rPr>
      </w:pPr>
      <w:r>
        <w:rPr>
          <w:rFonts w:hint="eastAsia" w:ascii="宋体" w:hAnsi="宋体" w:eastAsia="宋体" w:cs="宋体"/>
          <w:b/>
          <w:bCs/>
          <w:color w:val="auto"/>
          <w:sz w:val="52"/>
          <w:szCs w:val="52"/>
          <w:highlight w:val="none"/>
          <w:lang w:val="en-US" w:eastAsia="zh-CN"/>
        </w:rPr>
        <w:t>瑞安市曹村镇宋岙溪河道治理工程</w:t>
      </w:r>
    </w:p>
    <w:p>
      <w:pPr>
        <w:jc w:val="both"/>
        <w:outlineLvl w:val="0"/>
        <w:rPr>
          <w:rFonts w:hint="eastAsia" w:ascii="宋体" w:hAnsi="宋体" w:eastAsia="宋体" w:cs="宋体"/>
          <w:b/>
          <w:bCs/>
          <w:color w:val="auto"/>
          <w:sz w:val="84"/>
          <w:szCs w:val="84"/>
          <w:highlight w:val="none"/>
          <w:lang w:val="en-US" w:eastAsia="zh-CN"/>
        </w:rPr>
      </w:pPr>
      <w:bookmarkStart w:id="0" w:name="_Toc21487"/>
    </w:p>
    <w:p>
      <w:pPr>
        <w:pStyle w:val="3"/>
        <w:rPr>
          <w:rFonts w:hint="eastAsia"/>
          <w:lang w:val="en-US" w:eastAsia="zh-CN"/>
        </w:rPr>
      </w:pPr>
    </w:p>
    <w:p>
      <w:pPr>
        <w:rPr>
          <w:rFonts w:hint="eastAsia"/>
          <w:lang w:val="en-US" w:eastAsia="zh-CN"/>
        </w:rPr>
      </w:pPr>
    </w:p>
    <w:p>
      <w:pPr>
        <w:pStyle w:val="3"/>
        <w:rPr>
          <w:rFonts w:hint="eastAsia"/>
          <w:lang w:val="en-US" w:eastAsia="zh-CN"/>
        </w:rPr>
      </w:pPr>
    </w:p>
    <w:bookmarkEnd w:id="0"/>
    <w:p>
      <w:pPr>
        <w:jc w:val="center"/>
        <w:outlineLvl w:val="0"/>
        <w:rPr>
          <w:rFonts w:hint="eastAsia" w:ascii="宋体" w:hAnsi="宋体" w:eastAsia="宋体" w:cs="宋体"/>
          <w:b/>
          <w:bCs/>
          <w:color w:val="auto"/>
          <w:sz w:val="84"/>
          <w:szCs w:val="84"/>
          <w:highlight w:val="none"/>
          <w:lang w:val="en-US" w:eastAsia="zh-CN"/>
        </w:rPr>
      </w:pPr>
      <w:r>
        <w:rPr>
          <w:rFonts w:hint="eastAsia" w:ascii="宋体" w:hAnsi="宋体" w:eastAsia="宋体" w:cs="宋体"/>
          <w:b/>
          <w:bCs/>
          <w:color w:val="auto"/>
          <w:sz w:val="84"/>
          <w:szCs w:val="84"/>
          <w:highlight w:val="none"/>
          <w:lang w:val="en-US" w:eastAsia="zh-CN"/>
        </w:rPr>
        <w:t>磋</w:t>
      </w:r>
    </w:p>
    <w:p>
      <w:pPr>
        <w:jc w:val="center"/>
        <w:outlineLvl w:val="0"/>
        <w:rPr>
          <w:rFonts w:hint="eastAsia" w:ascii="宋体" w:hAnsi="宋体" w:eastAsia="宋体" w:cs="宋体"/>
          <w:b/>
          <w:bCs/>
          <w:color w:val="auto"/>
          <w:sz w:val="84"/>
          <w:szCs w:val="84"/>
          <w:highlight w:val="none"/>
          <w:lang w:val="en-US" w:eastAsia="zh-CN"/>
        </w:rPr>
      </w:pPr>
      <w:bookmarkStart w:id="1" w:name="_Toc7393"/>
      <w:r>
        <w:rPr>
          <w:rFonts w:hint="eastAsia" w:ascii="宋体" w:hAnsi="宋体" w:eastAsia="宋体" w:cs="宋体"/>
          <w:b/>
          <w:bCs/>
          <w:color w:val="auto"/>
          <w:sz w:val="84"/>
          <w:szCs w:val="84"/>
          <w:highlight w:val="none"/>
          <w:lang w:val="en-US" w:eastAsia="zh-CN"/>
        </w:rPr>
        <w:t>商</w:t>
      </w:r>
      <w:bookmarkEnd w:id="1"/>
    </w:p>
    <w:p>
      <w:pPr>
        <w:jc w:val="center"/>
        <w:outlineLvl w:val="0"/>
        <w:rPr>
          <w:rFonts w:hint="eastAsia" w:ascii="宋体" w:hAnsi="宋体" w:eastAsia="宋体" w:cs="宋体"/>
          <w:b/>
          <w:bCs/>
          <w:color w:val="auto"/>
          <w:sz w:val="84"/>
          <w:szCs w:val="84"/>
          <w:highlight w:val="none"/>
        </w:rPr>
      </w:pPr>
      <w:bookmarkStart w:id="2" w:name="_Toc21178"/>
      <w:r>
        <w:rPr>
          <w:rFonts w:hint="eastAsia" w:ascii="宋体" w:hAnsi="宋体" w:eastAsia="宋体" w:cs="宋体"/>
          <w:b/>
          <w:bCs/>
          <w:color w:val="auto"/>
          <w:sz w:val="84"/>
          <w:szCs w:val="84"/>
          <w:highlight w:val="none"/>
        </w:rPr>
        <w:t>文</w:t>
      </w:r>
      <w:bookmarkEnd w:id="2"/>
    </w:p>
    <w:p>
      <w:pPr>
        <w:jc w:val="center"/>
        <w:outlineLvl w:val="0"/>
        <w:rPr>
          <w:rFonts w:hint="eastAsia" w:ascii="宋体" w:hAnsi="宋体" w:eastAsia="宋体" w:cs="宋体"/>
          <w:b/>
          <w:bCs/>
          <w:color w:val="auto"/>
          <w:sz w:val="84"/>
          <w:szCs w:val="84"/>
          <w:highlight w:val="none"/>
        </w:rPr>
      </w:pPr>
      <w:bookmarkStart w:id="3" w:name="_Toc6098"/>
      <w:r>
        <w:rPr>
          <w:rFonts w:hint="eastAsia" w:ascii="宋体" w:hAnsi="宋体" w:eastAsia="宋体" w:cs="宋体"/>
          <w:b/>
          <w:bCs/>
          <w:color w:val="auto"/>
          <w:sz w:val="84"/>
          <w:szCs w:val="84"/>
          <w:highlight w:val="none"/>
        </w:rPr>
        <w:t>件</w:t>
      </w:r>
      <w:bookmarkEnd w:id="3"/>
    </w:p>
    <w:p>
      <w:pPr>
        <w:jc w:val="left"/>
        <w:rPr>
          <w:rFonts w:hint="eastAsia" w:ascii="宋体" w:hAnsi="宋体" w:eastAsia="宋体" w:cs="宋体"/>
          <w:color w:val="auto"/>
          <w:sz w:val="32"/>
          <w:szCs w:val="32"/>
          <w:highlight w:val="none"/>
          <w:lang w:val="en-US" w:eastAsia="zh-CN"/>
        </w:rPr>
      </w:pPr>
    </w:p>
    <w:p>
      <w:pPr>
        <w:pStyle w:val="3"/>
        <w:rPr>
          <w:rFonts w:hint="eastAsia"/>
          <w:lang w:val="en-US" w:eastAsia="zh-CN"/>
        </w:rPr>
      </w:pPr>
    </w:p>
    <w:p>
      <w:pPr>
        <w:rPr>
          <w:rFonts w:hint="eastAsia"/>
          <w:lang w:val="en-US" w:eastAsia="zh-CN"/>
        </w:rPr>
      </w:pPr>
    </w:p>
    <w:p>
      <w:pPr>
        <w:jc w:val="left"/>
        <w:rPr>
          <w:rFonts w:hint="eastAsia" w:ascii="宋体" w:hAnsi="宋体" w:eastAsia="宋体" w:cs="宋体"/>
          <w:color w:val="auto"/>
          <w:sz w:val="32"/>
          <w:szCs w:val="32"/>
          <w:highlight w:val="none"/>
          <w:lang w:val="en-US" w:eastAsia="zh-CN"/>
        </w:rPr>
      </w:pPr>
    </w:p>
    <w:p>
      <w:pPr>
        <w:pStyle w:val="10"/>
        <w:rPr>
          <w:rFonts w:hint="eastAsia" w:ascii="宋体" w:hAnsi="宋体" w:eastAsia="宋体" w:cs="宋体"/>
          <w:color w:val="auto"/>
          <w:highlight w:val="none"/>
          <w:lang w:val="en-US" w:eastAsia="zh-CN"/>
        </w:rPr>
      </w:pPr>
    </w:p>
    <w:p>
      <w:pPr>
        <w:pStyle w:val="10"/>
        <w:rPr>
          <w:rFonts w:hint="eastAsia" w:ascii="宋体" w:hAnsi="宋体" w:eastAsia="宋体" w:cs="宋体"/>
          <w:color w:val="auto"/>
          <w:highlight w:val="none"/>
          <w:lang w:val="en-US" w:eastAsia="zh-CN"/>
        </w:rPr>
      </w:pPr>
    </w:p>
    <w:p>
      <w:pPr>
        <w:ind w:firstLine="420" w:firstLine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项 目  编 号：ZGCG2024002</w:t>
      </w:r>
    </w:p>
    <w:p>
      <w:pPr>
        <w:spacing w:line="540" w:lineRule="exact"/>
        <w:ind w:firstLine="420" w:firstLine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 xml:space="preserve">采 购  </w:t>
      </w:r>
      <w:r>
        <w:rPr>
          <w:rFonts w:hint="eastAsia" w:ascii="宋体" w:hAnsi="宋体" w:eastAsia="宋体" w:cs="宋体"/>
          <w:color w:val="auto"/>
          <w:sz w:val="32"/>
          <w:szCs w:val="32"/>
          <w:highlight w:val="none"/>
        </w:rPr>
        <w:t>方</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式：</w:t>
      </w:r>
      <w:r>
        <w:rPr>
          <w:rFonts w:hint="eastAsia" w:ascii="宋体" w:hAnsi="宋体" w:eastAsia="宋体" w:cs="宋体"/>
          <w:color w:val="auto"/>
          <w:sz w:val="32"/>
          <w:szCs w:val="32"/>
          <w:highlight w:val="none"/>
          <w:lang w:val="en-US" w:eastAsia="zh-CN"/>
        </w:rPr>
        <w:t>竞争性磋商</w:t>
      </w:r>
    </w:p>
    <w:p>
      <w:pPr>
        <w:spacing w:line="540" w:lineRule="exact"/>
        <w:ind w:firstLine="420" w:firstLineChars="0"/>
        <w:jc w:val="left"/>
        <w:outlineLvl w:val="0"/>
        <w:rPr>
          <w:rFonts w:hint="eastAsia" w:ascii="宋体" w:hAnsi="宋体" w:eastAsia="宋体" w:cs="宋体"/>
          <w:color w:val="auto"/>
          <w:sz w:val="32"/>
          <w:szCs w:val="32"/>
          <w:highlight w:val="none"/>
          <w:lang w:eastAsia="zh-CN"/>
        </w:rPr>
      </w:pPr>
      <w:bookmarkStart w:id="4" w:name="_Toc2700"/>
      <w:r>
        <w:rPr>
          <w:rFonts w:hint="eastAsia" w:ascii="宋体" w:hAnsi="宋体" w:eastAsia="宋体" w:cs="宋体"/>
          <w:color w:val="auto"/>
          <w:sz w:val="32"/>
          <w:szCs w:val="32"/>
          <w:highlight w:val="none"/>
          <w:lang w:val="en-US" w:eastAsia="zh-CN"/>
        </w:rPr>
        <w:t xml:space="preserve">采   购   </w:t>
      </w:r>
      <w:r>
        <w:rPr>
          <w:rFonts w:hint="eastAsia" w:ascii="宋体" w:hAnsi="宋体" w:eastAsia="宋体" w:cs="宋体"/>
          <w:color w:val="auto"/>
          <w:sz w:val="32"/>
          <w:szCs w:val="32"/>
          <w:highlight w:val="none"/>
        </w:rPr>
        <w:t>人：</w:t>
      </w:r>
      <w:bookmarkEnd w:id="4"/>
      <w:r>
        <w:rPr>
          <w:rFonts w:hint="eastAsia" w:ascii="宋体" w:hAnsi="宋体" w:eastAsia="宋体" w:cs="宋体"/>
          <w:color w:val="auto"/>
          <w:sz w:val="32"/>
          <w:szCs w:val="32"/>
          <w:highlight w:val="none"/>
          <w:lang w:eastAsia="zh-CN"/>
        </w:rPr>
        <w:t>瑞安市曹村镇人民政府</w:t>
      </w:r>
    </w:p>
    <w:p>
      <w:pPr>
        <w:spacing w:line="540" w:lineRule="exact"/>
        <w:ind w:firstLine="420" w:firstLineChars="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采购</w:t>
      </w:r>
      <w:r>
        <w:rPr>
          <w:rFonts w:hint="eastAsia" w:ascii="宋体" w:hAnsi="宋体" w:eastAsia="宋体" w:cs="宋体"/>
          <w:color w:val="auto"/>
          <w:sz w:val="32"/>
          <w:szCs w:val="32"/>
          <w:highlight w:val="none"/>
        </w:rPr>
        <w:t>代理机构：</w:t>
      </w:r>
      <w:r>
        <w:rPr>
          <w:rFonts w:hint="eastAsia" w:ascii="宋体" w:hAnsi="宋体" w:eastAsia="宋体" w:cs="宋体"/>
          <w:color w:val="auto"/>
          <w:sz w:val="32"/>
          <w:szCs w:val="32"/>
          <w:highlight w:val="none"/>
          <w:lang w:eastAsia="zh-CN"/>
        </w:rPr>
        <w:t>浙江中格工程项目管理有限公司</w:t>
      </w:r>
    </w:p>
    <w:p>
      <w:pPr>
        <w:tabs>
          <w:tab w:val="left" w:pos="5580"/>
        </w:tabs>
        <w:spacing w:line="540" w:lineRule="exact"/>
        <w:ind w:firstLine="3200" w:firstLineChars="1000"/>
        <w:jc w:val="both"/>
        <w:rPr>
          <w:rFonts w:hint="eastAsia" w:ascii="宋体" w:hAnsi="宋体" w:eastAsia="宋体" w:cs="宋体"/>
          <w:color w:val="auto"/>
          <w:sz w:val="32"/>
          <w:szCs w:val="32"/>
          <w:highlight w:val="none"/>
        </w:rPr>
      </w:pPr>
    </w:p>
    <w:p>
      <w:pPr>
        <w:tabs>
          <w:tab w:val="left" w:pos="5580"/>
        </w:tabs>
        <w:spacing w:line="540" w:lineRule="exact"/>
        <w:ind w:firstLine="3200" w:firstLineChars="1000"/>
        <w:jc w:val="both"/>
        <w:rPr>
          <w:rFonts w:hint="eastAsia" w:ascii="宋体" w:hAnsi="宋体" w:eastAsia="宋体" w:cs="宋体"/>
          <w:color w:val="auto"/>
          <w:highlight w:val="none"/>
          <w:lang w:val="en-US"/>
        </w:rPr>
      </w:pPr>
      <w:r>
        <w:rPr>
          <w:rFonts w:hint="eastAsia" w:ascii="宋体" w:hAnsi="宋体" w:eastAsia="宋体" w:cs="宋体"/>
          <w:color w:val="auto"/>
          <w:sz w:val="32"/>
          <w:szCs w:val="32"/>
          <w:highlight w:val="none"/>
        </w:rPr>
        <w:t>二○二</w:t>
      </w:r>
      <w:r>
        <w:rPr>
          <w:rFonts w:hint="eastAsia" w:ascii="宋体" w:hAnsi="宋体" w:eastAsia="宋体" w:cs="宋体"/>
          <w:color w:val="auto"/>
          <w:sz w:val="32"/>
          <w:szCs w:val="32"/>
          <w:highlight w:val="none"/>
          <w:lang w:val="en-US" w:eastAsia="zh-CN"/>
        </w:rPr>
        <w:t>四</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lang w:eastAsia="zh-CN"/>
        </w:rPr>
        <w:t>四</w:t>
      </w:r>
      <w:r>
        <w:rPr>
          <w:rFonts w:hint="eastAsia" w:ascii="宋体" w:hAnsi="宋体" w:eastAsia="宋体" w:cs="宋体"/>
          <w:color w:val="auto"/>
          <w:sz w:val="32"/>
          <w:szCs w:val="32"/>
          <w:highlight w:val="none"/>
          <w:lang w:val="en-US" w:eastAsia="zh-CN"/>
        </w:rPr>
        <w:t>月</w:t>
      </w:r>
    </w:p>
    <w:p>
      <w:pPr>
        <w:snapToGrid w:val="0"/>
        <w:spacing w:line="360" w:lineRule="auto"/>
        <w:jc w:val="center"/>
        <w:rPr>
          <w:rFonts w:hint="eastAsia" w:ascii="宋体" w:hAnsi="宋体" w:eastAsia="宋体" w:cs="宋体"/>
          <w:b/>
          <w:sz w:val="48"/>
          <w:szCs w:val="48"/>
        </w:rPr>
      </w:pPr>
      <w:r>
        <w:rPr>
          <w:rFonts w:hint="eastAsia" w:ascii="宋体" w:hAnsi="宋体" w:eastAsia="宋体" w:cs="宋体"/>
          <w:b/>
          <w:sz w:val="48"/>
          <w:szCs w:val="48"/>
        </w:rPr>
        <w:t>目  录</w:t>
      </w:r>
    </w:p>
    <w:p>
      <w:pPr>
        <w:pStyle w:val="16"/>
        <w:tabs>
          <w:tab w:val="right" w:leader="dot" w:pos="9070"/>
          <w:tab w:val="clear" w:pos="8948"/>
        </w:tabs>
        <w:spacing w:line="480" w:lineRule="auto"/>
      </w:pPr>
      <w:r>
        <w:rPr>
          <w:rFonts w:hint="eastAsia"/>
        </w:rPr>
        <w:fldChar w:fldCharType="begin"/>
      </w:r>
      <w:r>
        <w:rPr>
          <w:rFonts w:hint="eastAsia"/>
        </w:rPr>
        <w:instrText xml:space="preserve">TOC \o "1-1" \h \u </w:instrText>
      </w:r>
      <w:r>
        <w:rPr>
          <w:rFonts w:hint="eastAsia"/>
        </w:rPr>
        <w:fldChar w:fldCharType="separate"/>
      </w:r>
      <w:r>
        <w:rPr>
          <w:rFonts w:hint="eastAsia"/>
        </w:rPr>
        <w:fldChar w:fldCharType="begin"/>
      </w:r>
      <w:r>
        <w:rPr>
          <w:rFonts w:hint="eastAsia"/>
        </w:rPr>
        <w:instrText xml:space="preserve"> HYPERLINK \l _Toc6502 </w:instrText>
      </w:r>
      <w:r>
        <w:rPr>
          <w:rFonts w:hint="eastAsia"/>
        </w:rPr>
        <w:fldChar w:fldCharType="separate"/>
      </w:r>
      <w:r>
        <w:rPr>
          <w:rFonts w:hint="eastAsia" w:hAnsi="宋体" w:cs="宋体"/>
          <w:szCs w:val="36"/>
        </w:rPr>
        <w:t>第一部分 竞争性磋商公告</w:t>
      </w:r>
      <w:r>
        <w:tab/>
      </w:r>
      <w:r>
        <w:fldChar w:fldCharType="begin"/>
      </w:r>
      <w:r>
        <w:instrText xml:space="preserve"> PAGEREF _Toc6502 </w:instrText>
      </w:r>
      <w:r>
        <w:fldChar w:fldCharType="separate"/>
      </w:r>
      <w:r>
        <w:t>1</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_Toc14250 </w:instrText>
      </w:r>
      <w:r>
        <w:rPr>
          <w:rFonts w:hint="eastAsia"/>
        </w:rPr>
        <w:fldChar w:fldCharType="separate"/>
      </w:r>
      <w:r>
        <w:rPr>
          <w:rFonts w:hint="eastAsia" w:ascii="Times New Roman" w:hAnsi="宋体" w:eastAsia="宋体" w:cs="宋体"/>
          <w:bCs/>
          <w:kern w:val="44"/>
          <w:szCs w:val="36"/>
          <w:lang w:val="en-US" w:eastAsia="zh-CN" w:bidi="ar-SA"/>
        </w:rPr>
        <w:t>第二部分 磋商供应商须知</w:t>
      </w:r>
      <w:r>
        <w:tab/>
      </w:r>
      <w:r>
        <w:fldChar w:fldCharType="begin"/>
      </w:r>
      <w:r>
        <w:instrText xml:space="preserve"> PAGEREF _Toc14250 </w:instrText>
      </w:r>
      <w:r>
        <w:fldChar w:fldCharType="separate"/>
      </w:r>
      <w:r>
        <w:t>5</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_Toc29602 </w:instrText>
      </w:r>
      <w:r>
        <w:rPr>
          <w:rFonts w:hint="eastAsia"/>
        </w:rPr>
        <w:fldChar w:fldCharType="separate"/>
      </w:r>
      <w:r>
        <w:rPr>
          <w:rFonts w:hint="eastAsia" w:ascii="宋体" w:hAnsi="宋体" w:eastAsia="宋体" w:cs="宋体"/>
          <w:szCs w:val="20"/>
        </w:rPr>
        <w:t>一、总则</w:t>
      </w:r>
      <w:r>
        <w:tab/>
      </w:r>
      <w:r>
        <w:fldChar w:fldCharType="begin"/>
      </w:r>
      <w:r>
        <w:instrText xml:space="preserve"> PAGEREF _Toc29602 </w:instrText>
      </w:r>
      <w:r>
        <w:fldChar w:fldCharType="separate"/>
      </w:r>
      <w:r>
        <w:t>7</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_Toc2269 </w:instrText>
      </w:r>
      <w:r>
        <w:rPr>
          <w:rFonts w:hint="eastAsia"/>
        </w:rPr>
        <w:fldChar w:fldCharType="separate"/>
      </w:r>
      <w:r>
        <w:rPr>
          <w:rFonts w:hint="eastAsia" w:ascii="宋体" w:hAnsi="宋体" w:eastAsia="宋体" w:cs="宋体"/>
          <w:szCs w:val="20"/>
        </w:rPr>
        <w:t>二、</w:t>
      </w:r>
      <w:r>
        <w:rPr>
          <w:rFonts w:hint="eastAsia" w:ascii="宋体" w:hAnsi="宋体" w:eastAsia="宋体" w:cs="宋体"/>
          <w:szCs w:val="20"/>
          <w:lang w:eastAsia="zh-CN"/>
        </w:rPr>
        <w:t>磋商文件</w:t>
      </w:r>
      <w:r>
        <w:rPr>
          <w:rFonts w:hint="eastAsia" w:ascii="宋体" w:hAnsi="宋体" w:eastAsia="宋体" w:cs="宋体"/>
          <w:szCs w:val="20"/>
        </w:rPr>
        <w:t>的构成、澄清、修改</w:t>
      </w:r>
      <w:r>
        <w:tab/>
      </w:r>
      <w:r>
        <w:fldChar w:fldCharType="begin"/>
      </w:r>
      <w:r>
        <w:instrText xml:space="preserve"> PAGEREF _Toc2269 </w:instrText>
      </w:r>
      <w:r>
        <w:fldChar w:fldCharType="separate"/>
      </w:r>
      <w:r>
        <w:t>10</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_Toc1397 </w:instrText>
      </w:r>
      <w:r>
        <w:rPr>
          <w:rFonts w:hint="eastAsia"/>
        </w:rPr>
        <w:fldChar w:fldCharType="separate"/>
      </w:r>
      <w:r>
        <w:rPr>
          <w:rFonts w:hint="eastAsia" w:ascii="宋体" w:hAnsi="宋体" w:eastAsia="宋体" w:cs="宋体"/>
          <w:szCs w:val="20"/>
        </w:rPr>
        <w:t>三、投标</w:t>
      </w:r>
      <w:r>
        <w:tab/>
      </w:r>
      <w:r>
        <w:fldChar w:fldCharType="begin"/>
      </w:r>
      <w:r>
        <w:instrText xml:space="preserve"> PAGEREF _Toc1397 </w:instrText>
      </w:r>
      <w:r>
        <w:fldChar w:fldCharType="separate"/>
      </w:r>
      <w:r>
        <w:t>11</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_Toc21441 </w:instrText>
      </w:r>
      <w:r>
        <w:rPr>
          <w:rFonts w:hint="eastAsia"/>
        </w:rPr>
        <w:fldChar w:fldCharType="separate"/>
      </w:r>
      <w:r>
        <w:rPr>
          <w:rFonts w:hint="eastAsia" w:ascii="宋体" w:hAnsi="宋体" w:eastAsia="宋体" w:cs="宋体"/>
          <w:szCs w:val="36"/>
        </w:rPr>
        <w:t>四、开标、资格审查与信用信息查询</w:t>
      </w:r>
      <w:r>
        <w:tab/>
      </w:r>
      <w:r>
        <w:fldChar w:fldCharType="begin"/>
      </w:r>
      <w:r>
        <w:instrText xml:space="preserve"> PAGEREF _Toc21441 </w:instrText>
      </w:r>
      <w:r>
        <w:fldChar w:fldCharType="separate"/>
      </w:r>
      <w:r>
        <w:t>15</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_Toc29139 </w:instrText>
      </w:r>
      <w:r>
        <w:rPr>
          <w:rFonts w:hint="eastAsia"/>
        </w:rPr>
        <w:fldChar w:fldCharType="separate"/>
      </w:r>
      <w:r>
        <w:rPr>
          <w:rFonts w:hint="eastAsia" w:ascii="宋体" w:hAnsi="宋体" w:eastAsia="宋体" w:cs="宋体"/>
          <w:szCs w:val="36"/>
        </w:rPr>
        <w:t>五、评标</w:t>
      </w:r>
      <w:r>
        <w:tab/>
      </w:r>
      <w:r>
        <w:fldChar w:fldCharType="begin"/>
      </w:r>
      <w:r>
        <w:instrText xml:space="preserve"> PAGEREF _Toc29139 </w:instrText>
      </w:r>
      <w:r>
        <w:fldChar w:fldCharType="separate"/>
      </w:r>
      <w:r>
        <w:t>16</w:t>
      </w:r>
      <w:r>
        <w:fldChar w:fldCharType="end"/>
      </w:r>
      <w:r>
        <w:rPr>
          <w:rFonts w:hint="eastAsia"/>
        </w:rPr>
        <w:fldChar w:fldCharType="end"/>
      </w:r>
    </w:p>
    <w:p>
      <w:pPr>
        <w:pStyle w:val="16"/>
        <w:tabs>
          <w:tab w:val="right" w:leader="dot" w:pos="9070"/>
          <w:tab w:val="clear" w:pos="8948"/>
        </w:tabs>
        <w:spacing w:line="480" w:lineRule="auto"/>
        <w:ind w:left="0" w:leftChars="0" w:firstLine="422" w:firstLineChars="200"/>
      </w:pPr>
      <w:r>
        <w:rPr>
          <w:rFonts w:hint="eastAsia"/>
        </w:rPr>
        <w:fldChar w:fldCharType="begin"/>
      </w:r>
      <w:r>
        <w:rPr>
          <w:rFonts w:hint="eastAsia"/>
        </w:rPr>
        <w:instrText xml:space="preserve"> HYPERLINK \l _Toc15660 </w:instrText>
      </w:r>
      <w:r>
        <w:rPr>
          <w:rFonts w:hint="eastAsia"/>
        </w:rPr>
        <w:fldChar w:fldCharType="separate"/>
      </w:r>
      <w:r>
        <w:rPr>
          <w:rFonts w:hint="eastAsia" w:ascii="宋体" w:hAnsi="宋体" w:eastAsia="宋体" w:cs="宋体"/>
          <w:szCs w:val="36"/>
        </w:rPr>
        <w:t>六、定 标</w:t>
      </w:r>
      <w:r>
        <w:tab/>
      </w:r>
      <w:r>
        <w:fldChar w:fldCharType="begin"/>
      </w:r>
      <w:r>
        <w:instrText xml:space="preserve"> PAGEREF _Toc15660 </w:instrText>
      </w:r>
      <w:r>
        <w:fldChar w:fldCharType="separate"/>
      </w:r>
      <w:r>
        <w:t>17</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_Toc26914 </w:instrText>
      </w:r>
      <w:r>
        <w:rPr>
          <w:rFonts w:hint="eastAsia"/>
        </w:rPr>
        <w:fldChar w:fldCharType="separate"/>
      </w:r>
      <w:r>
        <w:rPr>
          <w:rFonts w:hint="eastAsia" w:ascii="宋体" w:hAnsi="宋体" w:eastAsia="宋体" w:cs="宋体"/>
          <w:szCs w:val="36"/>
        </w:rPr>
        <w:t>第三部分 采购需求</w:t>
      </w:r>
      <w:r>
        <w:tab/>
      </w:r>
      <w:r>
        <w:fldChar w:fldCharType="begin"/>
      </w:r>
      <w:r>
        <w:instrText xml:space="preserve"> PAGEREF _Toc26914 </w:instrText>
      </w:r>
      <w:r>
        <w:fldChar w:fldCharType="separate"/>
      </w:r>
      <w:r>
        <w:t>21</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_Toc32559 </w:instrText>
      </w:r>
      <w:r>
        <w:rPr>
          <w:rFonts w:hint="eastAsia"/>
        </w:rPr>
        <w:fldChar w:fldCharType="separate"/>
      </w:r>
      <w:r>
        <w:rPr>
          <w:rFonts w:hint="eastAsia" w:ascii="宋体" w:hAnsi="宋体" w:eastAsia="宋体" w:cs="宋体"/>
          <w:szCs w:val="36"/>
        </w:rPr>
        <w:t>第</w:t>
      </w:r>
      <w:r>
        <w:rPr>
          <w:rFonts w:hint="eastAsia" w:ascii="宋体" w:hAnsi="宋体" w:cs="宋体"/>
          <w:szCs w:val="36"/>
          <w:lang w:val="en-US" w:eastAsia="zh-CN"/>
        </w:rPr>
        <w:t>四</w:t>
      </w:r>
      <w:r>
        <w:rPr>
          <w:rFonts w:hint="eastAsia" w:ascii="宋体" w:hAnsi="宋体" w:eastAsia="宋体" w:cs="宋体"/>
          <w:szCs w:val="36"/>
        </w:rPr>
        <w:t>部分 评标办法</w:t>
      </w:r>
      <w:r>
        <w:tab/>
      </w:r>
      <w:r>
        <w:fldChar w:fldCharType="begin"/>
      </w:r>
      <w:r>
        <w:instrText xml:space="preserve"> PAGEREF _Toc32559 </w:instrText>
      </w:r>
      <w:r>
        <w:fldChar w:fldCharType="separate"/>
      </w:r>
      <w:r>
        <w:t>100</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_Toc9891 </w:instrText>
      </w:r>
      <w:r>
        <w:rPr>
          <w:rFonts w:hint="eastAsia"/>
        </w:rPr>
        <w:fldChar w:fldCharType="separate"/>
      </w:r>
      <w:r>
        <w:rPr>
          <w:rFonts w:hint="eastAsia" w:ascii="宋体" w:hAnsi="宋体" w:eastAsia="宋体" w:cs="宋体"/>
          <w:szCs w:val="36"/>
        </w:rPr>
        <w:t>第五部分 拟签订的合同文本</w:t>
      </w:r>
      <w:r>
        <w:tab/>
      </w:r>
      <w:r>
        <w:fldChar w:fldCharType="begin"/>
      </w:r>
      <w:r>
        <w:instrText xml:space="preserve"> PAGEREF _Toc9891 </w:instrText>
      </w:r>
      <w:r>
        <w:fldChar w:fldCharType="separate"/>
      </w:r>
      <w:r>
        <w:t>107</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_Toc17588 </w:instrText>
      </w:r>
      <w:r>
        <w:rPr>
          <w:rFonts w:hint="eastAsia"/>
        </w:rPr>
        <w:fldChar w:fldCharType="separate"/>
      </w:r>
      <w:r>
        <w:rPr>
          <w:rFonts w:hint="eastAsia" w:ascii="宋体" w:hAnsi="宋体" w:eastAsia="宋体" w:cs="宋体"/>
          <w:szCs w:val="20"/>
        </w:rPr>
        <w:t>第六部分 应提交的有关格式范例</w:t>
      </w:r>
      <w:r>
        <w:tab/>
      </w:r>
      <w:r>
        <w:fldChar w:fldCharType="begin"/>
      </w:r>
      <w:r>
        <w:instrText xml:space="preserve"> PAGEREF _Toc17588 </w:instrText>
      </w:r>
      <w:r>
        <w:fldChar w:fldCharType="separate"/>
      </w:r>
      <w:r>
        <w:t>127</w:t>
      </w:r>
      <w:r>
        <w:fldChar w:fldCharType="end"/>
      </w:r>
      <w:r>
        <w:rPr>
          <w:rFonts w:hint="eastAsia"/>
        </w:rPr>
        <w:fldChar w:fldCharType="end"/>
      </w:r>
    </w:p>
    <w:p>
      <w:pPr>
        <w:pStyle w:val="16"/>
        <w:tabs>
          <w:tab w:val="right" w:leader="dot" w:pos="9070"/>
          <w:tab w:val="clear" w:pos="8948"/>
        </w:tabs>
        <w:spacing w:line="480" w:lineRule="auto"/>
      </w:pPr>
      <w:r>
        <w:rPr>
          <w:rFonts w:hint="eastAsia"/>
        </w:rPr>
        <w:fldChar w:fldCharType="begin"/>
      </w:r>
      <w:r>
        <w:rPr>
          <w:rFonts w:hint="eastAsia"/>
        </w:rPr>
        <w:instrText xml:space="preserve"> HYPERLINK \l _Toc21523 </w:instrText>
      </w:r>
      <w:r>
        <w:rPr>
          <w:rFonts w:hint="eastAsia"/>
        </w:rPr>
        <w:fldChar w:fldCharType="separate"/>
      </w:r>
      <w:r>
        <w:rPr>
          <w:rFonts w:hint="eastAsia" w:ascii="宋体" w:hAnsi="宋体" w:eastAsia="宋体" w:cs="宋体"/>
          <w:szCs w:val="20"/>
        </w:rPr>
        <w:t>第</w:t>
      </w:r>
      <w:r>
        <w:rPr>
          <w:rFonts w:hint="eastAsia" w:ascii="宋体" w:hAnsi="宋体" w:eastAsia="宋体" w:cs="宋体"/>
          <w:szCs w:val="20"/>
          <w:lang w:val="en-US" w:eastAsia="zh-CN"/>
        </w:rPr>
        <w:t>七</w:t>
      </w:r>
      <w:r>
        <w:rPr>
          <w:rFonts w:hint="eastAsia" w:ascii="宋体" w:hAnsi="宋体" w:eastAsia="宋体" w:cs="宋体"/>
          <w:szCs w:val="20"/>
        </w:rPr>
        <w:t xml:space="preserve">部分 </w:t>
      </w:r>
      <w:r>
        <w:rPr>
          <w:rFonts w:hint="eastAsia" w:ascii="宋体" w:hAnsi="宋体" w:eastAsia="宋体" w:cs="宋体"/>
        </w:rPr>
        <w:t>实质性响应条款及无效标条款</w:t>
      </w:r>
      <w:r>
        <w:tab/>
      </w:r>
      <w:r>
        <w:fldChar w:fldCharType="begin"/>
      </w:r>
      <w:r>
        <w:instrText xml:space="preserve"> PAGEREF _Toc21523 </w:instrText>
      </w:r>
      <w:r>
        <w:fldChar w:fldCharType="separate"/>
      </w:r>
      <w:r>
        <w:t>140</w:t>
      </w:r>
      <w:r>
        <w:fldChar w:fldCharType="end"/>
      </w:r>
      <w:r>
        <w:rPr>
          <w:rFonts w:hint="eastAsia"/>
        </w:rPr>
        <w:fldChar w:fldCharType="end"/>
      </w:r>
    </w:p>
    <w:p>
      <w:pPr>
        <w:pStyle w:val="21"/>
        <w:spacing w:line="480" w:lineRule="auto"/>
        <w:rPr>
          <w:rFonts w:hint="eastAsia"/>
        </w:rPr>
      </w:pPr>
      <w:r>
        <w:rPr>
          <w:rFonts w:hint="eastAsia"/>
        </w:rPr>
        <w:fldChar w:fldCharType="end"/>
      </w:r>
    </w:p>
    <w:p>
      <w:pPr>
        <w:spacing w:line="360" w:lineRule="auto"/>
        <w:rPr>
          <w:rFonts w:hint="eastAsia" w:ascii="宋体" w:hAnsi="宋体" w:eastAsia="宋体" w:cs="宋体"/>
          <w:sz w:val="32"/>
          <w:szCs w:val="32"/>
        </w:rPr>
      </w:pPr>
    </w:p>
    <w:p>
      <w:pPr>
        <w:spacing w:line="360" w:lineRule="auto"/>
        <w:ind w:firstLine="549" w:firstLineChars="229"/>
        <w:rPr>
          <w:rFonts w:hint="eastAsia" w:ascii="宋体" w:hAnsi="宋体" w:eastAsia="宋体" w:cs="宋体"/>
          <w:sz w:val="24"/>
        </w:rPr>
      </w:pPr>
      <w:bookmarkStart w:id="5" w:name="_Toc91899869"/>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p>
      <w:pPr>
        <w:spacing w:line="360" w:lineRule="auto"/>
        <w:ind w:firstLine="549" w:firstLineChars="229"/>
        <w:rPr>
          <w:rFonts w:hint="eastAsia" w:ascii="宋体" w:hAnsi="宋体" w:eastAsia="宋体" w:cs="宋体"/>
          <w:sz w:val="24"/>
        </w:rPr>
      </w:pPr>
    </w:p>
    <w:bookmarkEnd w:id="5"/>
    <w:p>
      <w:pPr>
        <w:pStyle w:val="2"/>
        <w:keepNext w:val="0"/>
        <w:keepLines w:val="0"/>
        <w:tabs>
          <w:tab w:val="left" w:pos="840"/>
          <w:tab w:val="clear" w:pos="432"/>
        </w:tabs>
        <w:spacing w:after="120" w:afterLines="50" w:line="400" w:lineRule="exact"/>
        <w:jc w:val="center"/>
        <w:rPr>
          <w:rFonts w:hint="eastAsia" w:hAnsi="宋体" w:cs="宋体"/>
          <w:color w:val="auto"/>
          <w:sz w:val="36"/>
          <w:szCs w:val="36"/>
        </w:rPr>
        <w:sectPr>
          <w:footerReference r:id="rId4" w:type="first"/>
          <w:headerReference r:id="rId3" w:type="default"/>
          <w:pgSz w:w="11906" w:h="16838"/>
          <w:pgMar w:top="1984" w:right="1418" w:bottom="1417" w:left="1418" w:header="680" w:footer="992" w:gutter="0"/>
          <w:pgNumType w:fmt="decimal" w:start="1"/>
          <w:cols w:space="720" w:num="1"/>
          <w:rtlGutter w:val="0"/>
          <w:docGrid w:linePitch="312" w:charSpace="0"/>
        </w:sectPr>
      </w:pPr>
      <w:bookmarkStart w:id="6" w:name="_Hlt74728647"/>
      <w:bookmarkEnd w:id="6"/>
      <w:bookmarkStart w:id="7" w:name="_Hlt74649545"/>
      <w:bookmarkEnd w:id="7"/>
      <w:bookmarkStart w:id="8" w:name="_Hlt74707423"/>
      <w:bookmarkEnd w:id="8"/>
      <w:bookmarkStart w:id="9" w:name="_Hlt74729822"/>
      <w:bookmarkEnd w:id="9"/>
      <w:bookmarkStart w:id="10" w:name="_Toc17744"/>
      <w:bookmarkStart w:id="11" w:name="_Toc24163"/>
      <w:bookmarkStart w:id="12" w:name="_Toc6502"/>
      <w:bookmarkStart w:id="13" w:name="_第一部分 竞争性磋商公告"/>
      <w:bookmarkStart w:id="14" w:name="第二部分"/>
      <w:bookmarkStart w:id="15" w:name="_Toc91899870"/>
      <w:bookmarkStart w:id="16" w:name="_Toc91899871"/>
    </w:p>
    <w:p>
      <w:pPr>
        <w:pStyle w:val="2"/>
        <w:keepNext w:val="0"/>
        <w:keepLines w:val="0"/>
        <w:tabs>
          <w:tab w:val="left" w:pos="840"/>
          <w:tab w:val="clear" w:pos="432"/>
        </w:tabs>
        <w:spacing w:after="120" w:afterLines="50" w:line="400" w:lineRule="exact"/>
        <w:jc w:val="center"/>
        <w:outlineLvl w:val="0"/>
        <w:rPr>
          <w:rFonts w:hint="eastAsia" w:hAnsi="宋体" w:cs="宋体"/>
          <w:color w:val="auto"/>
          <w:sz w:val="36"/>
          <w:szCs w:val="36"/>
        </w:rPr>
      </w:pPr>
      <w:r>
        <w:rPr>
          <w:rFonts w:hint="eastAsia" w:hAnsi="宋体" w:cs="宋体"/>
          <w:color w:val="auto"/>
          <w:sz w:val="36"/>
          <w:szCs w:val="36"/>
        </w:rPr>
        <w:t>第一部分 竞争性磋商公告</w:t>
      </w:r>
      <w:bookmarkEnd w:id="10"/>
      <w:bookmarkEnd w:id="11"/>
      <w:bookmarkEnd w:id="12"/>
    </w:p>
    <w:bookmarkEnd w:id="13"/>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12" w:lineRule="auto"/>
        <w:jc w:val="both"/>
        <w:textAlignment w:val="auto"/>
        <w:rPr>
          <w:rFonts w:hint="eastAsia" w:ascii="宋体" w:hAnsi="宋体" w:eastAsia="宋体" w:cs="宋体"/>
          <w:b/>
          <w:bCs/>
          <w:sz w:val="21"/>
          <w:szCs w:val="21"/>
        </w:rPr>
      </w:pPr>
      <w:r>
        <w:rPr>
          <w:rFonts w:hint="eastAsia" w:ascii="宋体" w:hAnsi="宋体" w:eastAsia="宋体" w:cs="宋体"/>
          <w:b/>
          <w:bCs/>
          <w:sz w:val="21"/>
          <w:szCs w:val="21"/>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312" w:lineRule="auto"/>
        <w:ind w:firstLine="420" w:firstLineChars="200"/>
        <w:jc w:val="both"/>
        <w:textAlignment w:val="auto"/>
        <w:rPr>
          <w:rFonts w:hint="eastAsia" w:ascii="宋体" w:hAnsi="宋体" w:eastAsia="宋体" w:cs="宋体"/>
          <w:sz w:val="21"/>
          <w:szCs w:val="21"/>
          <w:u w:val="single"/>
        </w:rPr>
      </w:pPr>
      <w:r>
        <w:rPr>
          <w:rFonts w:hint="eastAsia" w:ascii="宋体" w:hAnsi="宋体" w:cs="宋体"/>
          <w:color w:val="auto"/>
          <w:sz w:val="21"/>
          <w:szCs w:val="21"/>
          <w:u w:val="single"/>
          <w:lang w:eastAsia="zh-CN"/>
        </w:rPr>
        <w:t>瑞安市曹村镇宋岙溪河道治理工程</w:t>
      </w:r>
      <w:r>
        <w:rPr>
          <w:rFonts w:hint="eastAsia" w:ascii="宋体" w:hAnsi="宋体" w:cs="宋体"/>
          <w:sz w:val="21"/>
          <w:szCs w:val="21"/>
          <w:lang w:eastAsia="zh-CN"/>
        </w:rPr>
        <w:t>采购</w:t>
      </w:r>
      <w:r>
        <w:rPr>
          <w:rFonts w:hint="eastAsia" w:ascii="宋体" w:hAnsi="宋体" w:eastAsia="宋体" w:cs="宋体"/>
          <w:sz w:val="21"/>
          <w:szCs w:val="21"/>
        </w:rPr>
        <w:t>项目的潜在</w:t>
      </w:r>
      <w:r>
        <w:rPr>
          <w:rFonts w:hint="eastAsia" w:ascii="宋体" w:hAnsi="宋体" w:eastAsia="宋体" w:cs="宋体"/>
          <w:sz w:val="21"/>
          <w:szCs w:val="21"/>
          <w:lang w:eastAsia="zh-CN"/>
        </w:rPr>
        <w:t>磋商供应商</w:t>
      </w:r>
      <w:r>
        <w:rPr>
          <w:rFonts w:hint="eastAsia" w:ascii="宋体" w:hAnsi="宋体" w:eastAsia="宋体" w:cs="宋体"/>
          <w:sz w:val="21"/>
          <w:szCs w:val="21"/>
        </w:rPr>
        <w:t>应</w:t>
      </w:r>
      <w:r>
        <w:rPr>
          <w:rFonts w:hint="eastAsia" w:ascii="宋体" w:hAnsi="宋体" w:eastAsia="宋体" w:cs="宋体"/>
          <w:color w:val="auto"/>
          <w:sz w:val="21"/>
          <w:szCs w:val="21"/>
        </w:rPr>
        <w:t>在</w:t>
      </w:r>
      <w:r>
        <w:rPr>
          <w:rFonts w:hint="eastAsia" w:ascii="宋体" w:hAnsi="宋体" w:eastAsia="宋体" w:cs="宋体"/>
          <w:color w:val="auto"/>
          <w:sz w:val="21"/>
          <w:szCs w:val="21"/>
          <w:lang w:eastAsia="zh-CN"/>
        </w:rPr>
        <w:t>政府采购云平台</w:t>
      </w:r>
      <w:r>
        <w:rPr>
          <w:rFonts w:hint="eastAsia" w:ascii="宋体" w:hAnsi="宋体" w:eastAsia="宋体" w:cs="宋体"/>
          <w:color w:val="auto"/>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"https://www.zcygov.cn/）获取（下载）招标文件，并于2021年" </w:instrText>
      </w:r>
      <w:r>
        <w:rPr>
          <w:rFonts w:hint="eastAsia" w:ascii="宋体" w:hAnsi="宋体" w:eastAsia="宋体" w:cs="宋体"/>
          <w:color w:val="auto"/>
          <w:sz w:val="21"/>
          <w:szCs w:val="21"/>
        </w:rPr>
        <w:fldChar w:fldCharType="separate"/>
      </w:r>
      <w:r>
        <w:rPr>
          <w:rStyle w:val="28"/>
          <w:rFonts w:hint="eastAsia" w:ascii="宋体" w:hAnsi="宋体" w:eastAsia="宋体" w:cs="宋体"/>
          <w:snapToGrid/>
          <w:color w:val="auto"/>
          <w:kern w:val="2"/>
          <w:sz w:val="21"/>
          <w:szCs w:val="21"/>
        </w:rPr>
        <w:t>www.zcygov.cn）获取（下载）</w:t>
      </w:r>
      <w:r>
        <w:rPr>
          <w:rStyle w:val="28"/>
          <w:rFonts w:hint="eastAsia" w:ascii="宋体" w:hAnsi="宋体" w:eastAsia="宋体" w:cs="宋体"/>
          <w:snapToGrid/>
          <w:color w:val="auto"/>
          <w:kern w:val="2"/>
          <w:sz w:val="21"/>
          <w:szCs w:val="21"/>
          <w:lang w:eastAsia="zh-CN"/>
        </w:rPr>
        <w:t>磋商文件</w:t>
      </w:r>
      <w:r>
        <w:rPr>
          <w:rStyle w:val="28"/>
          <w:rFonts w:hint="eastAsia" w:ascii="宋体" w:hAnsi="宋体" w:eastAsia="宋体" w:cs="宋体"/>
          <w:snapToGrid/>
          <w:color w:val="auto"/>
          <w:kern w:val="2"/>
          <w:sz w:val="21"/>
          <w:szCs w:val="21"/>
        </w:rPr>
        <w:t>，并于</w:t>
      </w:r>
      <w:r>
        <w:rPr>
          <w:rFonts w:hint="eastAsia" w:ascii="宋体" w:hAnsi="宋体" w:eastAsia="宋体" w:cs="宋体"/>
          <w:b/>
          <w:bCs/>
          <w:color w:val="auto"/>
          <w:sz w:val="21"/>
          <w:szCs w:val="21"/>
          <w:highlight w:val="none"/>
          <w:u w:val="single"/>
        </w:rPr>
        <w:t>202</w:t>
      </w:r>
      <w:r>
        <w:rPr>
          <w:rFonts w:hint="eastAsia" w:ascii="宋体" w:hAnsi="宋体" w:eastAsia="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rPr>
        <w:t>年</w:t>
      </w:r>
      <w:r>
        <w:rPr>
          <w:rFonts w:hint="eastAsia" w:ascii="宋体" w:hAnsi="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rPr>
        <w:t>月</w:t>
      </w:r>
      <w:r>
        <w:rPr>
          <w:rFonts w:hint="eastAsia" w:ascii="宋体" w:hAnsi="宋体" w:cs="宋体"/>
          <w:b/>
          <w:bCs/>
          <w:color w:val="auto"/>
          <w:sz w:val="21"/>
          <w:szCs w:val="21"/>
          <w:highlight w:val="none"/>
          <w:u w:val="single"/>
          <w:lang w:val="en-US" w:eastAsia="zh-CN"/>
        </w:rPr>
        <w:t>29</w:t>
      </w:r>
      <w:r>
        <w:rPr>
          <w:rFonts w:hint="eastAsia" w:ascii="宋体" w:hAnsi="宋体" w:eastAsia="宋体" w:cs="宋体"/>
          <w:b/>
          <w:bCs/>
          <w:color w:val="auto"/>
          <w:sz w:val="21"/>
          <w:szCs w:val="21"/>
          <w:highlight w:val="none"/>
          <w:u w:val="single"/>
        </w:rPr>
        <w:t>日</w:t>
      </w:r>
      <w:r>
        <w:rPr>
          <w:rFonts w:hint="eastAsia" w:ascii="宋体" w:hAnsi="宋体" w:cs="宋体"/>
          <w:b/>
          <w:bCs/>
          <w:color w:val="auto"/>
          <w:sz w:val="21"/>
          <w:szCs w:val="21"/>
          <w:highlight w:val="none"/>
          <w:u w:val="single"/>
          <w:lang w:val="en-US" w:eastAsia="zh-CN"/>
        </w:rPr>
        <w:t>9</w:t>
      </w:r>
      <w:r>
        <w:rPr>
          <w:rFonts w:hint="eastAsia" w:ascii="宋体" w:hAnsi="宋体" w:eastAsia="宋体" w:cs="宋体"/>
          <w:b/>
          <w:bCs/>
          <w:color w:val="auto"/>
          <w:sz w:val="21"/>
          <w:szCs w:val="21"/>
          <w:highlight w:val="none"/>
          <w:u w:val="single"/>
        </w:rPr>
        <w:t>点</w:t>
      </w:r>
      <w:r>
        <w:rPr>
          <w:rFonts w:hint="eastAsia" w:ascii="宋体" w:hAnsi="宋体" w:cs="宋体"/>
          <w:b/>
          <w:bCs/>
          <w:color w:val="auto"/>
          <w:sz w:val="21"/>
          <w:szCs w:val="21"/>
          <w:highlight w:val="none"/>
          <w:u w:val="single"/>
          <w:lang w:val="en-US" w:eastAsia="zh-CN"/>
        </w:rPr>
        <w:t>0</w:t>
      </w:r>
      <w:r>
        <w:rPr>
          <w:rFonts w:hint="eastAsia" w:ascii="宋体" w:hAnsi="宋体" w:eastAsia="宋体" w:cs="宋体"/>
          <w:b/>
          <w:bCs/>
          <w:color w:val="auto"/>
          <w:sz w:val="21"/>
          <w:szCs w:val="21"/>
          <w:highlight w:val="none"/>
          <w:u w:val="single"/>
        </w:rPr>
        <w:t>分0秒</w:t>
      </w:r>
      <w:r>
        <w:rPr>
          <w:rFonts w:hint="eastAsia" w:ascii="宋体" w:hAnsi="宋体" w:eastAsia="宋体" w:cs="宋体"/>
          <w:bCs/>
          <w:color w:val="auto"/>
          <w:sz w:val="21"/>
          <w:szCs w:val="21"/>
          <w:u w:val="single"/>
        </w:rPr>
        <w:fldChar w:fldCharType="end"/>
      </w:r>
      <w:r>
        <w:rPr>
          <w:rFonts w:hint="eastAsia" w:ascii="宋体" w:hAnsi="宋体" w:eastAsia="宋体" w:cs="宋体"/>
          <w:bCs/>
          <w:sz w:val="21"/>
          <w:szCs w:val="21"/>
        </w:rPr>
        <w:t>（北京时间）前</w:t>
      </w:r>
      <w:r>
        <w:rPr>
          <w:rFonts w:hint="eastAsia" w:ascii="宋体" w:hAnsi="宋体" w:eastAsia="宋体" w:cs="宋体"/>
          <w:sz w:val="21"/>
          <w:szCs w:val="21"/>
        </w:rPr>
        <w:t>递交（上传）</w:t>
      </w:r>
      <w:r>
        <w:rPr>
          <w:rFonts w:hint="eastAsia" w:ascii="宋体" w:hAnsi="宋体" w:eastAsia="宋体" w:cs="宋体"/>
          <w:sz w:val="21"/>
          <w:szCs w:val="21"/>
          <w:lang w:eastAsia="zh-CN"/>
        </w:rPr>
        <w:t>磋商响应文件</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snapToGrid/>
        <w:spacing w:line="344" w:lineRule="auto"/>
        <w:ind w:left="0" w:leftChars="0"/>
        <w:textAlignment w:val="auto"/>
        <w:rPr>
          <w:rFonts w:hint="eastAsia" w:ascii="宋体" w:hAnsi="宋体" w:eastAsia="宋体" w:cs="宋体"/>
          <w:b/>
          <w:sz w:val="21"/>
          <w:szCs w:val="21"/>
        </w:rPr>
      </w:pPr>
      <w:r>
        <w:rPr>
          <w:rFonts w:hint="eastAsia" w:ascii="宋体" w:hAnsi="宋体" w:eastAsia="宋体" w:cs="宋体"/>
          <w:b/>
          <w:sz w:val="21"/>
          <w:szCs w:val="21"/>
        </w:rPr>
        <w:t xml:space="preserve">一、项目基本情况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default" w:ascii="宋体" w:hAnsi="宋体" w:eastAsia="宋体" w:cs="宋体"/>
          <w:color w:val="auto"/>
          <w:szCs w:val="21"/>
          <w:lang w:val="en-US" w:eastAsia="zh-CN"/>
        </w:rPr>
      </w:pPr>
      <w:r>
        <w:rPr>
          <w:rFonts w:hint="eastAsia" w:ascii="宋体" w:hAnsi="宋体" w:eastAsia="宋体" w:cs="宋体"/>
          <w:b/>
          <w:color w:val="auto"/>
          <w:szCs w:val="21"/>
        </w:rPr>
        <w:t>项目编号：</w:t>
      </w:r>
      <w:r>
        <w:rPr>
          <w:rFonts w:hint="eastAsia" w:ascii="宋体" w:hAnsi="宋体" w:cs="宋体"/>
          <w:color w:val="auto"/>
          <w:lang w:eastAsia="zh-CN"/>
        </w:rPr>
        <w:t>ZGCG2024002</w:t>
      </w:r>
    </w:p>
    <w:p>
      <w:pPr>
        <w:pStyle w:val="19"/>
        <w:keepNext w:val="0"/>
        <w:keepLines w:val="0"/>
        <w:pageBreakBefore w:val="0"/>
        <w:kinsoku/>
        <w:overflowPunct/>
        <w:topLinePunct w:val="0"/>
        <w:autoSpaceDE/>
        <w:autoSpaceDN/>
        <w:bidi w:val="0"/>
        <w:snapToGrid/>
        <w:spacing w:before="0" w:beforeAutospacing="0" w:after="0" w:afterAutospacing="0" w:line="344" w:lineRule="auto"/>
        <w:ind w:firstLine="422"/>
        <w:textAlignment w:val="auto"/>
        <w:rPr>
          <w:rFonts w:hint="eastAsia" w:ascii="宋体" w:hAnsi="宋体" w:eastAsia="宋体" w:cs="宋体"/>
          <w:color w:val="auto"/>
          <w:lang w:eastAsia="zh-CN"/>
        </w:rPr>
      </w:pPr>
      <w:r>
        <w:rPr>
          <w:rFonts w:hint="eastAsia" w:ascii="宋体" w:hAnsi="宋体" w:eastAsia="宋体" w:cs="宋体"/>
          <w:b/>
          <w:color w:val="auto"/>
          <w:sz w:val="21"/>
          <w:szCs w:val="21"/>
        </w:rPr>
        <w:t>项目名称：</w:t>
      </w:r>
      <w:r>
        <w:rPr>
          <w:rFonts w:hint="eastAsia" w:ascii="宋体" w:hAnsi="宋体" w:eastAsia="宋体" w:cs="宋体"/>
          <w:b w:val="0"/>
          <w:bCs/>
          <w:color w:val="auto"/>
          <w:sz w:val="21"/>
          <w:szCs w:val="21"/>
          <w:u w:val="none"/>
          <w:lang w:eastAsia="zh-CN"/>
        </w:rPr>
        <w:t>瑞安市曹村镇宋岙溪河道治理工程</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Cs w:val="21"/>
        </w:rPr>
      </w:pPr>
      <w:r>
        <w:rPr>
          <w:rFonts w:hint="eastAsia" w:ascii="宋体" w:hAnsi="宋体" w:eastAsia="宋体" w:cs="宋体"/>
          <w:b/>
          <w:color w:val="auto"/>
          <w:szCs w:val="21"/>
        </w:rPr>
        <w:t>采购方式：</w:t>
      </w:r>
      <w:r>
        <w:rPr>
          <w:rFonts w:hint="eastAsia" w:ascii="宋体" w:hAnsi="宋体" w:eastAsia="宋体" w:cs="宋体"/>
          <w:color w:val="auto"/>
          <w:szCs w:val="21"/>
        </w:rPr>
        <w:t>竞争性磋商</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预算金额（元）：</w:t>
      </w:r>
      <w:r>
        <w:rPr>
          <w:rFonts w:hint="eastAsia" w:ascii="宋体" w:hAnsi="宋体" w:cs="宋体"/>
          <w:b/>
          <w:color w:val="auto"/>
          <w:highlight w:val="none"/>
          <w:lang w:val="en-US" w:eastAsia="zh-CN"/>
        </w:rPr>
        <w:t>1326731</w:t>
      </w:r>
      <w:r>
        <w:rPr>
          <w:rFonts w:hint="eastAsia" w:ascii="宋体" w:hAnsi="宋体" w:eastAsia="宋体" w:cs="宋体"/>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Cs w:val="21"/>
          <w:highlight w:val="yellow"/>
        </w:rPr>
      </w:pPr>
      <w:r>
        <w:rPr>
          <w:rFonts w:hint="eastAsia" w:ascii="宋体" w:hAnsi="宋体" w:eastAsia="宋体" w:cs="宋体"/>
          <w:b/>
          <w:color w:val="auto"/>
          <w:szCs w:val="21"/>
          <w:highlight w:val="none"/>
          <w:lang w:eastAsia="zh-CN"/>
        </w:rPr>
        <w:t>最高投标限价</w:t>
      </w:r>
      <w:r>
        <w:rPr>
          <w:rFonts w:hint="eastAsia" w:ascii="宋体" w:hAnsi="宋体" w:eastAsia="宋体" w:cs="宋体"/>
          <w:b/>
          <w:color w:val="auto"/>
          <w:szCs w:val="21"/>
          <w:highlight w:val="none"/>
        </w:rPr>
        <w:t>（元）：</w:t>
      </w:r>
      <w:r>
        <w:rPr>
          <w:rFonts w:hint="eastAsia" w:ascii="宋体" w:hAnsi="宋体" w:cs="宋体"/>
          <w:b/>
          <w:color w:val="auto"/>
          <w:szCs w:val="21"/>
          <w:highlight w:val="none"/>
          <w:lang w:val="en-US" w:eastAsia="zh-CN"/>
        </w:rPr>
        <w:t>1326731</w:t>
      </w:r>
      <w:r>
        <w:rPr>
          <w:rFonts w:hint="eastAsia" w:ascii="宋体" w:hAnsi="宋体" w:eastAsia="宋体" w:cs="宋体"/>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采购需求：</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rPr>
        <w:t>标项</w:t>
      </w:r>
      <w:r>
        <w:rPr>
          <w:rFonts w:hint="eastAsia" w:ascii="宋体" w:hAnsi="宋体" w:cs="宋体"/>
          <w:b/>
          <w:bCs/>
          <w:color w:val="auto"/>
          <w:szCs w:val="21"/>
          <w:highlight w:val="none"/>
          <w:lang w:eastAsia="zh-CN"/>
        </w:rPr>
        <w:t>名称：</w:t>
      </w:r>
      <w:r>
        <w:rPr>
          <w:rFonts w:hint="eastAsia" w:ascii="宋体" w:hAnsi="宋体" w:eastAsia="宋体" w:cs="宋体"/>
          <w:b w:val="0"/>
          <w:bCs/>
          <w:color w:val="auto"/>
          <w:sz w:val="21"/>
          <w:szCs w:val="21"/>
          <w:highlight w:val="none"/>
          <w:u w:val="none"/>
          <w:lang w:eastAsia="zh-CN"/>
        </w:rPr>
        <w:t>瑞安市曹村镇宋岙溪河道治理工程</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数量：</w:t>
      </w:r>
      <w:r>
        <w:rPr>
          <w:rFonts w:hint="eastAsia" w:ascii="宋体" w:hAnsi="宋体" w:eastAsia="宋体" w:cs="宋体"/>
          <w:color w:val="auto"/>
          <w:szCs w:val="21"/>
          <w:highlight w:val="none"/>
        </w:rPr>
        <w:t>1</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预算金额（元）：</w:t>
      </w:r>
      <w:r>
        <w:rPr>
          <w:rFonts w:hint="eastAsia" w:ascii="宋体" w:hAnsi="宋体" w:cs="宋体"/>
          <w:b/>
          <w:color w:val="auto"/>
          <w:highlight w:val="none"/>
          <w:lang w:val="en-US" w:eastAsia="zh-CN"/>
        </w:rPr>
        <w:t>1326731</w:t>
      </w:r>
      <w:r>
        <w:rPr>
          <w:rFonts w:hint="eastAsia" w:ascii="宋体" w:hAnsi="宋体" w:eastAsia="宋体" w:cs="宋体"/>
          <w:b/>
          <w:color w:val="auto"/>
          <w:highlight w:val="none"/>
        </w:rPr>
        <w:t>元</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Cs w:val="21"/>
        </w:rPr>
      </w:pPr>
      <w:r>
        <w:rPr>
          <w:rFonts w:hint="eastAsia" w:ascii="宋体" w:hAnsi="宋体" w:eastAsia="宋体" w:cs="宋体"/>
          <w:b/>
          <w:color w:val="auto"/>
          <w:szCs w:val="21"/>
        </w:rPr>
        <w:t>单位：</w:t>
      </w:r>
      <w:r>
        <w:rPr>
          <w:rFonts w:hint="eastAsia" w:ascii="宋体" w:hAnsi="宋体" w:eastAsia="宋体" w:cs="宋体"/>
          <w:color w:val="auto"/>
          <w:szCs w:val="21"/>
        </w:rPr>
        <w:t>项</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Cs w:val="21"/>
        </w:rPr>
      </w:pPr>
      <w:r>
        <w:rPr>
          <w:rFonts w:hint="eastAsia" w:ascii="宋体" w:hAnsi="宋体" w:eastAsia="宋体" w:cs="宋体"/>
          <w:b/>
          <w:color w:val="auto"/>
          <w:szCs w:val="21"/>
        </w:rPr>
        <w:t>简要规格描述：</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color w:val="auto"/>
          <w:szCs w:val="21"/>
          <w:highlight w:val="none"/>
        </w:rPr>
        <w:t>采购范围</w:t>
      </w:r>
      <w:r>
        <w:rPr>
          <w:rFonts w:hint="eastAsia" w:ascii="宋体" w:hAnsi="宋体" w:eastAsia="宋体" w:cs="宋体"/>
          <w:b/>
          <w:color w:val="auto"/>
          <w:highlight w:val="none"/>
        </w:rPr>
        <w:t>:</w:t>
      </w:r>
      <w:r>
        <w:rPr>
          <w:rFonts w:hint="eastAsia" w:ascii="宋体" w:hAnsi="宋体" w:eastAsia="宋体" w:cs="宋体"/>
          <w:sz w:val="21"/>
          <w:szCs w:val="21"/>
          <w:highlight w:val="none"/>
          <w:lang w:val="en-US" w:eastAsia="zh-CN"/>
        </w:rPr>
        <w:t>河道护岸、</w:t>
      </w:r>
      <w:r>
        <w:rPr>
          <w:rFonts w:hint="eastAsia" w:ascii="宋体" w:hAnsi="宋体" w:eastAsia="宋体" w:cs="宋体"/>
          <w:color w:val="000000"/>
          <w:kern w:val="0"/>
          <w:sz w:val="21"/>
          <w:szCs w:val="21"/>
          <w:highlight w:val="none"/>
          <w:lang w:val="en-US" w:eastAsia="zh-CN" w:bidi="ar"/>
        </w:rPr>
        <w:t>排洪渠</w:t>
      </w:r>
      <w:r>
        <w:rPr>
          <w:rFonts w:hint="eastAsia" w:ascii="宋体" w:hAnsi="宋体" w:eastAsia="宋体" w:cs="宋体"/>
          <w:sz w:val="21"/>
          <w:szCs w:val="21"/>
          <w:highlight w:val="none"/>
          <w:lang w:val="en-US" w:eastAsia="zh-CN"/>
        </w:rPr>
        <w:t>等</w:t>
      </w:r>
      <w:r>
        <w:rPr>
          <w:rFonts w:hint="eastAsia" w:ascii="宋体" w:hAnsi="宋体" w:eastAsia="宋体" w:cs="宋体"/>
          <w:color w:val="000000"/>
          <w:kern w:val="0"/>
          <w:sz w:val="21"/>
          <w:szCs w:val="21"/>
          <w:highlight w:val="none"/>
          <w:lang w:val="en-US" w:eastAsia="zh-CN" w:bidi="ar"/>
        </w:rPr>
        <w:t>，具体以施工图和工程量清单为准。</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rPr>
        <w:t>质量：</w:t>
      </w:r>
      <w:r>
        <w:rPr>
          <w:rFonts w:hint="eastAsia" w:ascii="宋体" w:hAnsi="宋体" w:eastAsia="宋体" w:cs="宋体"/>
          <w:color w:val="auto"/>
        </w:rPr>
        <w:t>合格。</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val="0"/>
          <w:bCs/>
          <w:color w:val="auto"/>
          <w:szCs w:val="21"/>
          <w:highlight w:val="yellow"/>
        </w:rPr>
      </w:pPr>
      <w:r>
        <w:rPr>
          <w:rFonts w:hint="eastAsia" w:ascii="宋体" w:hAnsi="宋体" w:eastAsia="宋体" w:cs="宋体"/>
          <w:b/>
          <w:color w:val="auto"/>
          <w:szCs w:val="21"/>
          <w:highlight w:val="none"/>
        </w:rPr>
        <w:t>合同履行期限：</w:t>
      </w:r>
      <w:r>
        <w:rPr>
          <w:rFonts w:hint="eastAsia" w:ascii="宋体" w:hAnsi="宋体" w:eastAsia="宋体" w:cs="宋体"/>
          <w:b w:val="0"/>
          <w:bCs/>
          <w:color w:val="auto"/>
          <w:szCs w:val="21"/>
          <w:highlight w:val="none"/>
        </w:rPr>
        <w:t>工期：</w:t>
      </w:r>
      <w:r>
        <w:rPr>
          <w:rFonts w:hint="eastAsia" w:ascii="宋体" w:hAnsi="宋体" w:cs="宋体"/>
          <w:b w:val="0"/>
          <w:bCs/>
          <w:color w:val="auto"/>
          <w:szCs w:val="21"/>
          <w:highlight w:val="none"/>
          <w:u w:val="single"/>
          <w:lang w:val="en-US" w:eastAsia="zh-CN"/>
        </w:rPr>
        <w:t>180</w:t>
      </w:r>
      <w:r>
        <w:rPr>
          <w:rFonts w:hint="eastAsia" w:ascii="宋体" w:hAnsi="宋体" w:eastAsia="宋体" w:cs="宋体"/>
          <w:b w:val="0"/>
          <w:bCs/>
          <w:color w:val="auto"/>
          <w:szCs w:val="21"/>
          <w:highlight w:val="none"/>
        </w:rPr>
        <w:t>日历天</w:t>
      </w:r>
    </w:p>
    <w:p>
      <w:pPr>
        <w:pStyle w:val="19"/>
        <w:keepNext w:val="0"/>
        <w:keepLines w:val="0"/>
        <w:pageBreakBefore w:val="0"/>
        <w:widowControl/>
        <w:suppressLineNumbers w:val="0"/>
        <w:kinsoku/>
        <w:overflowPunct/>
        <w:topLinePunct w:val="0"/>
        <w:autoSpaceDE/>
        <w:autoSpaceDN/>
        <w:bidi w:val="0"/>
        <w:adjustRightInd/>
        <w:snapToGrid/>
        <w:spacing w:before="0" w:beforeAutospacing="0" w:after="0" w:afterAutospacing="0" w:line="34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本项目接受联合体投标：☐是，</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否</w:t>
      </w:r>
      <w:r>
        <w:rPr>
          <w:rFonts w:hint="eastAsia" w:ascii="宋体" w:hAnsi="宋体" w:eastAsia="宋体" w:cs="宋体"/>
          <w:color w:val="auto"/>
          <w:szCs w:val="21"/>
        </w:rPr>
        <w:t>。</w:t>
      </w:r>
    </w:p>
    <w:p>
      <w:pPr>
        <w:keepNext w:val="0"/>
        <w:keepLines w:val="0"/>
        <w:pageBreakBefore w:val="0"/>
        <w:numPr>
          <w:ilvl w:val="0"/>
          <w:numId w:val="0"/>
        </w:numPr>
        <w:kinsoku/>
        <w:overflowPunct/>
        <w:topLinePunct w:val="0"/>
        <w:autoSpaceDE/>
        <w:autoSpaceDN/>
        <w:bidi w:val="0"/>
        <w:snapToGrid/>
        <w:spacing w:line="344" w:lineRule="auto"/>
        <w:textAlignment w:val="auto"/>
        <w:rPr>
          <w:rFonts w:hint="eastAsia" w:ascii="宋体" w:hAnsi="宋体" w:eastAsia="宋体" w:cs="宋体"/>
          <w:b/>
          <w:sz w:val="21"/>
          <w:szCs w:val="21"/>
        </w:rPr>
      </w:pPr>
      <w:r>
        <w:rPr>
          <w:rFonts w:hint="eastAsia" w:ascii="宋体" w:hAnsi="宋体" w:eastAsia="宋体" w:cs="宋体"/>
          <w:b/>
          <w:kern w:val="2"/>
          <w:sz w:val="21"/>
          <w:szCs w:val="21"/>
          <w:lang w:val="en-US" w:eastAsia="zh-CN" w:bidi="ar-SA"/>
        </w:rPr>
        <w:t>二、</w:t>
      </w:r>
      <w:r>
        <w:rPr>
          <w:rFonts w:hint="eastAsia" w:ascii="宋体" w:hAnsi="宋体" w:eastAsia="宋体" w:cs="宋体"/>
          <w:b/>
          <w:sz w:val="21"/>
          <w:szCs w:val="21"/>
        </w:rPr>
        <w:t>申请人的资格要求：</w:t>
      </w:r>
    </w:p>
    <w:p>
      <w:pPr>
        <w:pStyle w:val="19"/>
        <w:keepNext w:val="0"/>
        <w:keepLines w:val="0"/>
        <w:pageBreakBefore w:val="0"/>
        <w:widowControl/>
        <w:numPr>
          <w:ilvl w:val="0"/>
          <w:numId w:val="0"/>
        </w:numPr>
        <w:suppressLineNumbers w:val="0"/>
        <w:kinsoku/>
        <w:overflowPunct/>
        <w:topLinePunct w:val="0"/>
        <w:autoSpaceDE/>
        <w:autoSpaceDN/>
        <w:bidi w:val="0"/>
        <w:adjustRightInd/>
        <w:snapToGrid/>
        <w:spacing w:before="0" w:beforeAutospacing="0" w:after="0" w:afterAutospacing="0" w:line="344" w:lineRule="auto"/>
        <w:ind w:right="0" w:rightChars="0" w:firstLine="420" w:firstLineChars="200"/>
        <w:jc w:val="both"/>
        <w:textAlignment w:val="auto"/>
        <w:rPr>
          <w:rFonts w:hint="eastAsia" w:ascii="宋体" w:hAnsi="宋体" w:eastAsia="宋体" w:cs="宋体"/>
          <w:snapToGrid w:val="0"/>
          <w:kern w:val="28"/>
          <w:sz w:val="21"/>
          <w:szCs w:val="21"/>
          <w:lang w:eastAsia="zh-CN"/>
        </w:rPr>
      </w:pPr>
      <w:r>
        <w:rPr>
          <w:rFonts w:hint="eastAsia" w:ascii="宋体" w:hAnsi="宋体" w:eastAsia="宋体" w:cs="宋体"/>
          <w:snapToGrid w:val="0"/>
          <w:kern w:val="28"/>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eastAsia="宋体" w:cs="宋体"/>
          <w:snapToGrid w:val="0"/>
          <w:kern w:val="28"/>
          <w:sz w:val="21"/>
          <w:szCs w:val="21"/>
          <w:lang w:eastAsia="zh-CN"/>
        </w:rPr>
        <w:t>。</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b w:val="0"/>
          <w:bCs w:val="0"/>
          <w:snapToGrid w:val="0"/>
          <w:color w:val="auto"/>
          <w:kern w:val="28"/>
          <w:sz w:val="21"/>
          <w:szCs w:val="21"/>
          <w:highlight w:val="none"/>
          <w:lang w:val="en-US" w:eastAsia="zh-CN"/>
        </w:rPr>
      </w:pPr>
      <w:r>
        <w:rPr>
          <w:rFonts w:hint="eastAsia" w:ascii="宋体" w:hAnsi="宋体" w:eastAsia="宋体" w:cs="宋体"/>
          <w:b w:val="0"/>
          <w:bCs w:val="0"/>
          <w:snapToGrid w:val="0"/>
          <w:kern w:val="28"/>
          <w:sz w:val="21"/>
          <w:szCs w:val="21"/>
          <w:lang w:val="en-US" w:eastAsia="zh-CN"/>
        </w:rPr>
        <w:t>2.</w:t>
      </w:r>
      <w:r>
        <w:rPr>
          <w:rFonts w:hint="eastAsia" w:ascii="宋体" w:hAnsi="宋体" w:eastAsia="宋体" w:cs="宋体"/>
          <w:b w:val="0"/>
          <w:bCs w:val="0"/>
          <w:snapToGrid w:val="0"/>
          <w:kern w:val="28"/>
          <w:sz w:val="21"/>
          <w:szCs w:val="21"/>
        </w:rPr>
        <w:t>落实政府采购政策需满足的资格要求：</w:t>
      </w:r>
      <w:r>
        <w:rPr>
          <w:rFonts w:hint="eastAsia" w:ascii="宋体" w:hAnsi="宋体" w:eastAsia="宋体" w:cs="宋体"/>
          <w:b w:val="0"/>
          <w:bCs w:val="0"/>
          <w:snapToGrid w:val="0"/>
          <w:kern w:val="28"/>
          <w:sz w:val="21"/>
          <w:szCs w:val="21"/>
          <w:lang w:val="en-US" w:eastAsia="zh-CN"/>
        </w:rPr>
        <w:t>工程</w:t>
      </w:r>
      <w:r>
        <w:rPr>
          <w:rFonts w:hint="eastAsia" w:ascii="宋体" w:hAnsi="宋体" w:eastAsia="宋体" w:cs="宋体"/>
          <w:b w:val="0"/>
          <w:bCs w:val="0"/>
          <w:snapToGrid w:val="0"/>
          <w:kern w:val="28"/>
          <w:sz w:val="21"/>
          <w:szCs w:val="21"/>
          <w:lang w:val="en-US"/>
        </w:rPr>
        <w:t>全部由符合政策要求的中小企业承接，提供中小企业声明函；</w:t>
      </w:r>
      <w:r>
        <w:rPr>
          <w:rFonts w:hint="eastAsia" w:ascii="宋体" w:hAnsi="宋体" w:eastAsia="宋体" w:cs="宋体"/>
          <w:snapToGrid w:val="0"/>
          <w:kern w:val="28"/>
          <w:sz w:val="21"/>
          <w:szCs w:val="21"/>
        </w:rPr>
        <w:t>残疾人福利性单位</w:t>
      </w:r>
      <w:r>
        <w:rPr>
          <w:rFonts w:hint="eastAsia" w:ascii="宋体" w:hAnsi="宋体" w:eastAsia="宋体" w:cs="宋体"/>
          <w:snapToGrid w:val="0"/>
          <w:color w:val="auto"/>
          <w:kern w:val="28"/>
          <w:sz w:val="21"/>
          <w:szCs w:val="21"/>
          <w:highlight w:val="none"/>
        </w:rPr>
        <w:t>、监狱企业视同小型、微型企业</w:t>
      </w:r>
      <w:r>
        <w:rPr>
          <w:rFonts w:hint="eastAsia" w:ascii="宋体" w:hAnsi="宋体" w:eastAsia="宋体" w:cs="宋体"/>
          <w:snapToGrid w:val="0"/>
          <w:color w:val="auto"/>
          <w:kern w:val="28"/>
          <w:sz w:val="21"/>
          <w:szCs w:val="21"/>
          <w:highlight w:val="none"/>
          <w:lang w:eastAsia="zh-CN"/>
        </w:rPr>
        <w:t>。</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28"/>
          <w:sz w:val="21"/>
          <w:szCs w:val="21"/>
          <w:highlight w:val="none"/>
          <w:lang w:val="en-US" w:eastAsia="zh-CN"/>
        </w:rPr>
        <w:t>3.</w:t>
      </w:r>
      <w:r>
        <w:rPr>
          <w:rFonts w:hint="eastAsia" w:ascii="宋体" w:hAnsi="宋体" w:eastAsia="宋体" w:cs="宋体"/>
          <w:b w:val="0"/>
          <w:bCs w:val="0"/>
          <w:snapToGrid w:val="0"/>
          <w:color w:val="auto"/>
          <w:kern w:val="28"/>
          <w:sz w:val="21"/>
          <w:szCs w:val="21"/>
          <w:highlight w:val="none"/>
          <w:lang w:val="en-US" w:eastAsia="zh-CN"/>
        </w:rPr>
        <w:t>本项目的特定资格条件：</w:t>
      </w:r>
      <w:r>
        <w:rPr>
          <w:rFonts w:hint="eastAsia" w:ascii="宋体" w:hAnsi="宋体" w:eastAsia="宋体" w:cs="宋体"/>
          <w:color w:val="auto"/>
          <w:sz w:val="21"/>
          <w:szCs w:val="21"/>
          <w:highlight w:val="none"/>
          <w:lang w:val="en-US" w:eastAsia="zh-CN"/>
        </w:rPr>
        <w:t>标项一</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eastAsia" w:ascii="宋体" w:hAnsi="宋体" w:eastAsia="宋体" w:cs="宋体"/>
          <w:i w:val="0"/>
          <w:caps w:val="0"/>
          <w:color w:val="auto"/>
          <w:spacing w:val="0"/>
          <w:sz w:val="21"/>
          <w:szCs w:val="21"/>
          <w:highlight w:val="none"/>
          <w:u w:val="none"/>
          <w:lang w:eastAsia="zh-CN"/>
        </w:rPr>
      </w:pPr>
      <w:r>
        <w:rPr>
          <w:rFonts w:hint="eastAsia" w:ascii="宋体" w:hAnsi="宋体" w:eastAsia="宋体" w:cs="宋体"/>
          <w:color w:val="auto"/>
          <w:sz w:val="21"/>
          <w:szCs w:val="21"/>
          <w:highlight w:val="none"/>
          <w:lang w:val="en-US" w:eastAsia="zh-CN"/>
        </w:rPr>
        <w:t>①企业资质：具备</w:t>
      </w:r>
      <w:r>
        <w:rPr>
          <w:rFonts w:hint="eastAsia" w:ascii="宋体" w:hAnsi="宋体" w:eastAsia="宋体" w:cs="宋体"/>
          <w:color w:val="auto"/>
          <w:sz w:val="21"/>
          <w:szCs w:val="21"/>
          <w:u w:val="single"/>
          <w:lang w:val="en-US" w:eastAsia="zh-CN" w:bidi="ar-SA"/>
        </w:rPr>
        <w:t>水利水电工程施工总承包三级（含）以上</w:t>
      </w:r>
      <w:r>
        <w:rPr>
          <w:rFonts w:hint="eastAsia" w:ascii="宋体" w:hAnsi="宋体" w:eastAsia="宋体" w:cs="宋体"/>
          <w:color w:val="auto"/>
          <w:sz w:val="21"/>
          <w:szCs w:val="21"/>
          <w:highlight w:val="none"/>
        </w:rPr>
        <w:t>资质</w:t>
      </w:r>
      <w:r>
        <w:rPr>
          <w:rFonts w:hint="eastAsia" w:ascii="宋体" w:hAnsi="宋体" w:eastAsia="宋体" w:cs="宋体"/>
          <w:i w:val="0"/>
          <w:caps w:val="0"/>
          <w:color w:val="auto"/>
          <w:spacing w:val="0"/>
          <w:sz w:val="21"/>
          <w:szCs w:val="21"/>
          <w:highlight w:val="none"/>
          <w:u w:val="none"/>
          <w:lang w:eastAsia="zh-CN"/>
        </w:rPr>
        <w:t>；</w:t>
      </w:r>
    </w:p>
    <w:p>
      <w:pPr>
        <w:keepNext w:val="0"/>
        <w:keepLines w:val="0"/>
        <w:pageBreakBefore w:val="0"/>
        <w:kinsoku/>
        <w:overflowPunct/>
        <w:topLinePunct w:val="0"/>
        <w:autoSpaceDE/>
        <w:autoSpaceDN/>
        <w:bidi w:val="0"/>
        <w:snapToGrid/>
        <w:spacing w:line="344"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②</w:t>
      </w:r>
      <w:r>
        <w:rPr>
          <w:rFonts w:hint="eastAsia" w:ascii="宋体" w:hAnsi="宋体" w:eastAsia="宋体" w:cs="宋体"/>
          <w:color w:val="auto"/>
          <w:sz w:val="21"/>
          <w:szCs w:val="21"/>
          <w:highlight w:val="none"/>
          <w:lang w:eastAsia="zh-CN"/>
        </w:rPr>
        <w:t>项目负责人：具备</w:t>
      </w:r>
      <w:r>
        <w:rPr>
          <w:rFonts w:hint="eastAsia" w:ascii="宋体" w:hAnsi="宋体" w:eastAsia="宋体" w:cs="宋体"/>
          <w:color w:val="auto"/>
          <w:sz w:val="21"/>
          <w:szCs w:val="21"/>
          <w:highlight w:val="none"/>
          <w:u w:val="single"/>
          <w:lang w:eastAsia="zh-CN"/>
        </w:rPr>
        <w:t>注册建造师水利水电工程二级(含)以上</w:t>
      </w:r>
      <w:r>
        <w:rPr>
          <w:rFonts w:hint="eastAsia" w:ascii="宋体" w:hAnsi="宋体" w:eastAsia="宋体" w:cs="宋体"/>
          <w:color w:val="auto"/>
          <w:sz w:val="21"/>
          <w:szCs w:val="21"/>
          <w:highlight w:val="none"/>
          <w:lang w:eastAsia="zh-CN"/>
        </w:rPr>
        <w:t>资格，</w:t>
      </w:r>
      <w:r>
        <w:rPr>
          <w:rFonts w:hint="eastAsia" w:ascii="宋体" w:hAnsi="宋体" w:cs="宋体"/>
          <w:color w:val="000000"/>
          <w:sz w:val="21"/>
          <w:szCs w:val="21"/>
        </w:rPr>
        <w:t>同时具有有效的安全生产管理人员B类证书</w:t>
      </w:r>
      <w:r>
        <w:rPr>
          <w:rFonts w:hint="eastAsia" w:ascii="宋体" w:hAnsi="宋体" w:eastAsia="宋体" w:cs="宋体"/>
          <w:color w:val="auto"/>
          <w:sz w:val="21"/>
          <w:szCs w:val="21"/>
          <w:highlight w:val="none"/>
          <w:lang w:eastAsia="zh-CN"/>
        </w:rPr>
        <w:t>；</w:t>
      </w:r>
    </w:p>
    <w:p>
      <w:pPr>
        <w:pStyle w:val="19"/>
        <w:keepNext w:val="0"/>
        <w:keepLines w:val="0"/>
        <w:pageBreakBefore w:val="0"/>
        <w:widowControl/>
        <w:numPr>
          <w:ilvl w:val="0"/>
          <w:numId w:val="0"/>
        </w:numPr>
        <w:suppressLineNumbers w:val="0"/>
        <w:kinsoku/>
        <w:overflowPunct/>
        <w:topLinePunct w:val="0"/>
        <w:autoSpaceDE/>
        <w:autoSpaceDN/>
        <w:bidi w:val="0"/>
        <w:adjustRightInd/>
        <w:snapToGrid/>
        <w:spacing w:before="0" w:beforeAutospacing="0" w:after="0" w:afterAutospacing="0" w:line="344" w:lineRule="auto"/>
        <w:ind w:right="0" w:rightChars="0" w:firstLine="420" w:firstLineChars="200"/>
        <w:jc w:val="both"/>
        <w:textAlignment w:val="auto"/>
        <w:rPr>
          <w:rFonts w:hint="eastAsia" w:ascii="宋体" w:hAnsi="宋体" w:eastAsia="宋体" w:cs="宋体"/>
          <w:snapToGrid w:val="0"/>
          <w:kern w:val="28"/>
          <w:sz w:val="21"/>
          <w:szCs w:val="21"/>
          <w:lang w:val="en-US" w:eastAsia="zh-CN"/>
        </w:rPr>
      </w:pPr>
      <w:r>
        <w:rPr>
          <w:rFonts w:hint="eastAsia" w:ascii="宋体" w:hAnsi="宋体" w:eastAsia="宋体" w:cs="宋体"/>
          <w:snapToGrid w:val="0"/>
          <w:kern w:val="28"/>
          <w:sz w:val="21"/>
          <w:szCs w:val="21"/>
          <w:lang w:val="en-US" w:eastAsia="zh-CN"/>
        </w:rPr>
        <w:t>③具备有效的安全生产许可证。</w:t>
      </w:r>
    </w:p>
    <w:p>
      <w:pPr>
        <w:pStyle w:val="19"/>
        <w:keepNext w:val="0"/>
        <w:keepLines w:val="0"/>
        <w:pageBreakBefore w:val="0"/>
        <w:widowControl/>
        <w:numPr>
          <w:ilvl w:val="0"/>
          <w:numId w:val="0"/>
        </w:numPr>
        <w:suppressLineNumbers w:val="0"/>
        <w:kinsoku/>
        <w:overflowPunct/>
        <w:topLinePunct w:val="0"/>
        <w:autoSpaceDE/>
        <w:autoSpaceDN/>
        <w:bidi w:val="0"/>
        <w:adjustRightInd/>
        <w:snapToGrid/>
        <w:spacing w:before="0" w:beforeAutospacing="0" w:after="0" w:afterAutospacing="0" w:line="344" w:lineRule="auto"/>
        <w:ind w:right="0" w:righ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snapToGrid w:val="0"/>
          <w:kern w:val="28"/>
          <w:sz w:val="21"/>
          <w:szCs w:val="21"/>
          <w:lang w:val="en-US" w:eastAsia="zh-CN"/>
        </w:rPr>
        <w:fldChar w:fldCharType="begin"/>
      </w:r>
      <w:r>
        <w:rPr>
          <w:rFonts w:hint="eastAsia" w:ascii="宋体" w:hAnsi="宋体" w:eastAsia="宋体" w:cs="宋体"/>
          <w:snapToGrid w:val="0"/>
          <w:kern w:val="28"/>
          <w:sz w:val="21"/>
          <w:szCs w:val="21"/>
          <w:lang w:val="en-US" w:eastAsia="zh-CN"/>
        </w:rPr>
        <w:instrText xml:space="preserve"> = 4 \* GB3 \* MERGEFORMAT </w:instrText>
      </w:r>
      <w:r>
        <w:rPr>
          <w:rFonts w:hint="eastAsia" w:ascii="宋体" w:hAnsi="宋体" w:eastAsia="宋体" w:cs="宋体"/>
          <w:snapToGrid w:val="0"/>
          <w:kern w:val="28"/>
          <w:sz w:val="21"/>
          <w:szCs w:val="21"/>
          <w:lang w:val="en-US" w:eastAsia="zh-CN"/>
        </w:rPr>
        <w:fldChar w:fldCharType="separate"/>
      </w:r>
      <w:r>
        <w:rPr>
          <w:rFonts w:hint="eastAsia" w:ascii="宋体" w:hAnsi="宋体" w:eastAsia="宋体" w:cs="宋体"/>
          <w:sz w:val="21"/>
          <w:szCs w:val="21"/>
        </w:rPr>
        <w:t>④</w:t>
      </w:r>
      <w:r>
        <w:rPr>
          <w:rFonts w:hint="eastAsia" w:ascii="宋体" w:hAnsi="宋体" w:eastAsia="宋体" w:cs="宋体"/>
          <w:snapToGrid w:val="0"/>
          <w:kern w:val="28"/>
          <w:sz w:val="21"/>
          <w:szCs w:val="21"/>
          <w:lang w:val="en-US" w:eastAsia="zh-CN"/>
        </w:rPr>
        <w:fldChar w:fldCharType="end"/>
      </w:r>
      <w:r>
        <w:rPr>
          <w:rFonts w:hint="eastAsia" w:ascii="宋体" w:hAnsi="宋体" w:eastAsia="宋体" w:cs="宋体"/>
          <w:snapToGrid w:val="0"/>
          <w:kern w:val="28"/>
          <w:sz w:val="21"/>
          <w:szCs w:val="21"/>
          <w:lang w:val="en-US" w:eastAsia="zh-CN"/>
        </w:rPr>
        <w:t>根据省水利厅浙水建[2013]31号文件（关于印发《浙江省水利建设市场信息登记和发布管理办法（暂行）》的通知）要求，投标人须在磋商响应文件递交截止时间前，在浙江省水利建设市场信息平台“http://js.zjwater.gov.cn/”或全国水利建设市场监管服务平台“http://xypt.mwr.gov.cn/”上登记的网页截图。</w:t>
      </w:r>
    </w:p>
    <w:p>
      <w:pPr>
        <w:keepNext w:val="0"/>
        <w:keepLines w:val="0"/>
        <w:pageBreakBefore w:val="0"/>
        <w:numPr>
          <w:ilvl w:val="0"/>
          <w:numId w:val="0"/>
        </w:numPr>
        <w:kinsoku/>
        <w:overflowPunct/>
        <w:topLinePunct w:val="0"/>
        <w:autoSpaceDE/>
        <w:autoSpaceDN/>
        <w:bidi w:val="0"/>
        <w:snapToGrid/>
        <w:spacing w:line="344" w:lineRule="auto"/>
        <w:textAlignment w:val="auto"/>
        <w:rPr>
          <w:rFonts w:hint="eastAsia" w:ascii="宋体" w:hAnsi="宋体" w:eastAsia="宋体" w:cs="宋体"/>
          <w:b/>
          <w:sz w:val="21"/>
          <w:szCs w:val="21"/>
          <w:lang w:val="en-US" w:eastAsia="zh-CN"/>
        </w:rPr>
      </w:pPr>
      <w:r>
        <w:rPr>
          <w:rFonts w:hint="eastAsia" w:ascii="宋体" w:hAnsi="宋体" w:eastAsia="宋体" w:cs="宋体"/>
          <w:b/>
          <w:kern w:val="2"/>
          <w:sz w:val="21"/>
          <w:szCs w:val="21"/>
          <w:lang w:val="en-US" w:eastAsia="zh-CN" w:bidi="ar-SA"/>
        </w:rPr>
        <w:t>三、</w:t>
      </w:r>
      <w:r>
        <w:rPr>
          <w:rFonts w:hint="eastAsia" w:ascii="宋体" w:hAnsi="宋体" w:eastAsia="宋体" w:cs="宋体"/>
          <w:b/>
          <w:sz w:val="21"/>
          <w:szCs w:val="21"/>
          <w:lang w:val="en-US" w:eastAsia="zh-CN"/>
        </w:rPr>
        <w:t xml:space="preserve">获取磋商文件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sz w:val="21"/>
          <w:szCs w:val="21"/>
        </w:rPr>
        <w:t>时间：</w:t>
      </w:r>
      <w:r>
        <w:rPr>
          <w:rFonts w:hint="eastAsia" w:ascii="宋体" w:hAnsi="宋体" w:eastAsia="宋体" w:cs="宋体"/>
          <w:sz w:val="21"/>
          <w:szCs w:val="21"/>
        </w:rPr>
        <w:t>/</w:t>
      </w:r>
      <w:r>
        <w:rPr>
          <w:rFonts w:hint="eastAsia" w:ascii="宋体" w:hAnsi="宋体" w:eastAsia="宋体" w:cs="宋体"/>
          <w:color w:val="auto"/>
          <w:sz w:val="21"/>
          <w:szCs w:val="21"/>
          <w:highlight w:val="none"/>
        </w:rPr>
        <w:t>至</w:t>
      </w:r>
      <w:r>
        <w:rPr>
          <w:rFonts w:hint="eastAsia" w:ascii="宋体" w:hAnsi="宋体" w:eastAsia="宋体" w:cs="宋体"/>
          <w:b/>
          <w:bCs/>
          <w:color w:val="auto"/>
          <w:sz w:val="21"/>
          <w:szCs w:val="21"/>
          <w:highlight w:val="none"/>
          <w:u w:val="single"/>
          <w:lang w:eastAsia="zh-CN"/>
        </w:rPr>
        <w:t>2024年</w:t>
      </w:r>
      <w:r>
        <w:rPr>
          <w:rFonts w:hint="eastAsia" w:ascii="宋体" w:hAnsi="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lang w:eastAsia="zh-CN"/>
        </w:rPr>
        <w:t>月</w:t>
      </w:r>
      <w:r>
        <w:rPr>
          <w:rFonts w:hint="eastAsia" w:ascii="宋体" w:hAnsi="宋体" w:cs="宋体"/>
          <w:b/>
          <w:bCs/>
          <w:color w:val="auto"/>
          <w:sz w:val="21"/>
          <w:szCs w:val="21"/>
          <w:highlight w:val="none"/>
          <w:u w:val="single"/>
          <w:lang w:val="en-US" w:eastAsia="zh-CN"/>
        </w:rPr>
        <w:t>29</w:t>
      </w:r>
      <w:r>
        <w:rPr>
          <w:rFonts w:hint="eastAsia" w:ascii="宋体" w:hAnsi="宋体" w:eastAsia="宋体" w:cs="宋体"/>
          <w:b/>
          <w:bCs/>
          <w:color w:val="auto"/>
          <w:sz w:val="21"/>
          <w:szCs w:val="21"/>
          <w:highlight w:val="none"/>
          <w:u w:val="single"/>
          <w:lang w:eastAsia="zh-CN"/>
        </w:rPr>
        <w:t>日</w:t>
      </w:r>
      <w:r>
        <w:rPr>
          <w:rFonts w:hint="eastAsia" w:ascii="宋体" w:hAnsi="宋体" w:eastAsia="宋体" w:cs="宋体"/>
          <w:color w:val="auto"/>
          <w:sz w:val="21"/>
          <w:szCs w:val="21"/>
          <w:highlight w:val="none"/>
        </w:rPr>
        <w:t>，每天上午00:00至12:00 ，下午12:00至23:59（北京时间，线上获取法定节假日均可，线下获取文件法定节假日除外）</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地点（网址）：</w:t>
      </w:r>
      <w:r>
        <w:rPr>
          <w:rFonts w:hint="eastAsia" w:ascii="宋体" w:hAnsi="宋体" w:eastAsia="宋体" w:cs="宋体"/>
          <w:color w:val="auto"/>
          <w:sz w:val="21"/>
          <w:szCs w:val="21"/>
          <w:highlight w:val="none"/>
          <w:lang w:eastAsia="zh-CN"/>
        </w:rPr>
        <w:t>政府采购云平台线上获取</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方式：</w:t>
      </w:r>
      <w:r>
        <w:rPr>
          <w:rFonts w:hint="eastAsia" w:ascii="宋体" w:hAnsi="宋体" w:eastAsia="宋体" w:cs="宋体"/>
          <w:color w:val="auto"/>
          <w:sz w:val="21"/>
          <w:szCs w:val="21"/>
          <w:highlight w:val="none"/>
        </w:rPr>
        <w:t>供应商登录</w:t>
      </w:r>
      <w:r>
        <w:rPr>
          <w:rFonts w:hint="eastAsia" w:ascii="宋体" w:hAnsi="宋体" w:eastAsia="宋体" w:cs="宋体"/>
          <w:color w:val="auto"/>
          <w:sz w:val="21"/>
          <w:szCs w:val="21"/>
          <w:highlight w:val="none"/>
          <w:lang w:eastAsia="zh-CN"/>
        </w:rPr>
        <w:t>政府采购云平台</w:t>
      </w:r>
      <w:r>
        <w:rPr>
          <w:rFonts w:hint="eastAsia" w:ascii="宋体" w:hAnsi="宋体" w:eastAsia="宋体" w:cs="宋体"/>
          <w:color w:val="auto"/>
          <w:sz w:val="21"/>
          <w:szCs w:val="21"/>
          <w:highlight w:val="none"/>
        </w:rPr>
        <w:t xml:space="preserve">https://www.zcygov.cn/在线申请获取采购文件（进入“项目采购”应用，在获取采购文件菜单中选择项目，申请获取采购文件）。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售价（元）：</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ab/>
      </w:r>
    </w:p>
    <w:p>
      <w:pPr>
        <w:keepNext w:val="0"/>
        <w:keepLines w:val="0"/>
        <w:pageBreakBefore w:val="0"/>
        <w:kinsoku/>
        <w:overflowPunct/>
        <w:topLinePunct w:val="0"/>
        <w:autoSpaceDE/>
        <w:autoSpaceDN/>
        <w:bidi w:val="0"/>
        <w:snapToGrid/>
        <w:spacing w:line="344"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四、提交</w:t>
      </w: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截止时间、开标时间和地点</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提交</w:t>
      </w: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截止时间：</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eastAsia="zh-CN"/>
        </w:rPr>
        <w:t>2024年</w:t>
      </w:r>
      <w:r>
        <w:rPr>
          <w:rFonts w:hint="eastAsia" w:ascii="宋体" w:hAnsi="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lang w:eastAsia="zh-CN"/>
        </w:rPr>
        <w:t>月</w:t>
      </w:r>
      <w:r>
        <w:rPr>
          <w:rFonts w:hint="eastAsia" w:ascii="宋体" w:hAnsi="宋体" w:cs="宋体"/>
          <w:b/>
          <w:bCs/>
          <w:color w:val="auto"/>
          <w:sz w:val="21"/>
          <w:szCs w:val="21"/>
          <w:highlight w:val="none"/>
          <w:u w:val="single"/>
          <w:lang w:val="en-US" w:eastAsia="zh-CN"/>
        </w:rPr>
        <w:t>29</w:t>
      </w:r>
      <w:r>
        <w:rPr>
          <w:rFonts w:hint="eastAsia" w:ascii="宋体" w:hAnsi="宋体" w:eastAsia="宋体" w:cs="宋体"/>
          <w:b/>
          <w:bCs/>
          <w:color w:val="auto"/>
          <w:sz w:val="21"/>
          <w:szCs w:val="21"/>
          <w:highlight w:val="none"/>
          <w:u w:val="single"/>
          <w:lang w:eastAsia="zh-CN"/>
        </w:rPr>
        <w:t>日</w:t>
      </w:r>
      <w:r>
        <w:rPr>
          <w:rFonts w:hint="eastAsia" w:ascii="宋体" w:hAnsi="宋体" w:cs="宋体"/>
          <w:b/>
          <w:bCs/>
          <w:color w:val="auto"/>
          <w:sz w:val="21"/>
          <w:szCs w:val="21"/>
          <w:highlight w:val="none"/>
          <w:u w:val="single"/>
          <w:lang w:val="en-US" w:eastAsia="zh-CN"/>
        </w:rPr>
        <w:t>9</w:t>
      </w:r>
      <w:r>
        <w:rPr>
          <w:rFonts w:hint="eastAsia" w:ascii="宋体" w:hAnsi="宋体" w:eastAsia="宋体" w:cs="宋体"/>
          <w:b/>
          <w:bCs/>
          <w:color w:val="auto"/>
          <w:sz w:val="21"/>
          <w:szCs w:val="21"/>
          <w:highlight w:val="none"/>
          <w:u w:val="single"/>
        </w:rPr>
        <w:t>点</w:t>
      </w:r>
      <w:r>
        <w:rPr>
          <w:rFonts w:hint="eastAsia" w:ascii="宋体" w:hAnsi="宋体" w:cs="宋体"/>
          <w:b/>
          <w:bCs/>
          <w:color w:val="auto"/>
          <w:sz w:val="21"/>
          <w:szCs w:val="21"/>
          <w:highlight w:val="none"/>
          <w:u w:val="single"/>
          <w:lang w:val="en-US" w:eastAsia="zh-CN"/>
        </w:rPr>
        <w:t>0</w:t>
      </w:r>
      <w:r>
        <w:rPr>
          <w:rFonts w:hint="eastAsia" w:ascii="宋体" w:hAnsi="宋体" w:eastAsia="宋体" w:cs="宋体"/>
          <w:b/>
          <w:bCs/>
          <w:color w:val="auto"/>
          <w:sz w:val="21"/>
          <w:szCs w:val="21"/>
          <w:highlight w:val="none"/>
          <w:u w:val="single"/>
        </w:rPr>
        <w:t xml:space="preserve">分 </w:t>
      </w:r>
      <w:r>
        <w:rPr>
          <w:rFonts w:hint="eastAsia" w:ascii="宋体" w:hAnsi="宋体" w:eastAsia="宋体" w:cs="宋体"/>
          <w:color w:val="auto"/>
          <w:sz w:val="21"/>
          <w:szCs w:val="21"/>
          <w:highlight w:val="none"/>
        </w:rPr>
        <w:t>（北京时间）</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投标地点（网址）：</w:t>
      </w:r>
      <w:r>
        <w:rPr>
          <w:rFonts w:hint="eastAsia" w:ascii="宋体" w:hAnsi="宋体" w:eastAsia="宋体" w:cs="宋体"/>
          <w:i w:val="0"/>
          <w:iCs w:val="0"/>
          <w:caps w:val="0"/>
          <w:color w:val="auto"/>
          <w:spacing w:val="0"/>
          <w:sz w:val="21"/>
          <w:szCs w:val="21"/>
          <w:highlight w:val="none"/>
        </w:rPr>
        <w:t>请登录政采云投标客户端投标</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
          <w:color w:val="auto"/>
          <w:sz w:val="21"/>
          <w:szCs w:val="21"/>
          <w:highlight w:val="none"/>
        </w:rPr>
        <w:t>开标时间：</w:t>
      </w:r>
      <w:r>
        <w:rPr>
          <w:rFonts w:hint="eastAsia" w:ascii="宋体" w:hAnsi="宋体" w:eastAsia="宋体" w:cs="宋体"/>
          <w:b/>
          <w:bCs/>
          <w:color w:val="auto"/>
          <w:sz w:val="21"/>
          <w:szCs w:val="21"/>
          <w:highlight w:val="none"/>
          <w:u w:val="single"/>
          <w:lang w:eastAsia="zh-CN"/>
        </w:rPr>
        <w:t>2024年</w:t>
      </w:r>
      <w:r>
        <w:rPr>
          <w:rFonts w:hint="eastAsia" w:ascii="宋体" w:hAnsi="宋体" w:cs="宋体"/>
          <w:b/>
          <w:bCs/>
          <w:color w:val="auto"/>
          <w:sz w:val="21"/>
          <w:szCs w:val="21"/>
          <w:highlight w:val="none"/>
          <w:u w:val="single"/>
          <w:lang w:val="en-US" w:eastAsia="zh-CN"/>
        </w:rPr>
        <w:t>4</w:t>
      </w:r>
      <w:r>
        <w:rPr>
          <w:rFonts w:hint="eastAsia" w:ascii="宋体" w:hAnsi="宋体" w:eastAsia="宋体" w:cs="宋体"/>
          <w:b/>
          <w:bCs/>
          <w:color w:val="auto"/>
          <w:sz w:val="21"/>
          <w:szCs w:val="21"/>
          <w:highlight w:val="none"/>
          <w:u w:val="single"/>
          <w:lang w:eastAsia="zh-CN"/>
        </w:rPr>
        <w:t>月</w:t>
      </w:r>
      <w:r>
        <w:rPr>
          <w:rFonts w:hint="eastAsia" w:ascii="宋体" w:hAnsi="宋体" w:cs="宋体"/>
          <w:b/>
          <w:bCs/>
          <w:color w:val="auto"/>
          <w:sz w:val="21"/>
          <w:szCs w:val="21"/>
          <w:highlight w:val="none"/>
          <w:u w:val="single"/>
          <w:lang w:val="en-US" w:eastAsia="zh-CN"/>
        </w:rPr>
        <w:t>29</w:t>
      </w:r>
      <w:r>
        <w:rPr>
          <w:rFonts w:hint="eastAsia" w:ascii="宋体" w:hAnsi="宋体" w:eastAsia="宋体" w:cs="宋体"/>
          <w:b/>
          <w:bCs/>
          <w:color w:val="auto"/>
          <w:sz w:val="21"/>
          <w:szCs w:val="21"/>
          <w:highlight w:val="none"/>
          <w:u w:val="single"/>
          <w:lang w:eastAsia="zh-CN"/>
        </w:rPr>
        <w:t>日</w:t>
      </w:r>
      <w:r>
        <w:rPr>
          <w:rFonts w:hint="eastAsia" w:ascii="宋体" w:hAnsi="宋体" w:eastAsia="宋体" w:cs="宋体"/>
          <w:b/>
          <w:bCs/>
          <w:color w:val="auto"/>
          <w:sz w:val="21"/>
          <w:szCs w:val="21"/>
          <w:highlight w:val="none"/>
          <w:u w:val="single"/>
        </w:rPr>
        <w:t xml:space="preserve"> </w:t>
      </w:r>
      <w:r>
        <w:rPr>
          <w:rFonts w:hint="eastAsia" w:ascii="宋体" w:hAnsi="宋体" w:cs="宋体"/>
          <w:b/>
          <w:bCs/>
          <w:color w:val="auto"/>
          <w:sz w:val="21"/>
          <w:szCs w:val="21"/>
          <w:highlight w:val="none"/>
          <w:u w:val="single"/>
          <w:lang w:val="en-US" w:eastAsia="zh-CN"/>
        </w:rPr>
        <w:t>9</w:t>
      </w:r>
      <w:r>
        <w:rPr>
          <w:rFonts w:hint="eastAsia" w:ascii="宋体" w:hAnsi="宋体" w:eastAsia="宋体" w:cs="宋体"/>
          <w:b/>
          <w:bCs/>
          <w:color w:val="auto"/>
          <w:sz w:val="21"/>
          <w:szCs w:val="21"/>
          <w:highlight w:val="none"/>
          <w:u w:val="single"/>
        </w:rPr>
        <w:t>点</w:t>
      </w:r>
      <w:r>
        <w:rPr>
          <w:rFonts w:hint="eastAsia" w:ascii="宋体" w:hAnsi="宋体" w:cs="宋体"/>
          <w:b/>
          <w:bCs/>
          <w:color w:val="auto"/>
          <w:sz w:val="21"/>
          <w:szCs w:val="21"/>
          <w:highlight w:val="none"/>
          <w:u w:val="single"/>
          <w:lang w:val="en-US" w:eastAsia="zh-CN"/>
        </w:rPr>
        <w:t>0</w:t>
      </w:r>
      <w:r>
        <w:rPr>
          <w:rFonts w:hint="eastAsia" w:ascii="宋体" w:hAnsi="宋体" w:eastAsia="宋体" w:cs="宋体"/>
          <w:b/>
          <w:bCs/>
          <w:color w:val="auto"/>
          <w:sz w:val="21"/>
          <w:szCs w:val="21"/>
          <w:highlight w:val="none"/>
          <w:u w:val="single"/>
        </w:rPr>
        <w:t>分</w:t>
      </w:r>
      <w:r>
        <w:rPr>
          <w:rFonts w:hint="eastAsia" w:ascii="宋体" w:hAnsi="宋体" w:eastAsia="宋体" w:cs="宋体"/>
          <w:b/>
          <w:bCs/>
          <w:color w:val="auto"/>
          <w:sz w:val="21"/>
          <w:szCs w:val="21"/>
          <w:highlight w:val="none"/>
          <w:u w:val="single"/>
        </w:rPr>
        <w:t xml:space="preserve"> </w:t>
      </w:r>
    </w:p>
    <w:p>
      <w:pPr>
        <w:keepNext w:val="0"/>
        <w:keepLines w:val="0"/>
        <w:pageBreakBefore w:val="0"/>
        <w:kinsoku/>
        <w:overflowPunct/>
        <w:topLinePunct w:val="0"/>
        <w:autoSpaceDE/>
        <w:autoSpaceDN/>
        <w:bidi w:val="0"/>
        <w:snapToGrid/>
        <w:spacing w:line="344" w:lineRule="auto"/>
        <w:ind w:firstLine="422" w:firstLineChars="200"/>
        <w:textAlignment w:val="auto"/>
        <w:rPr>
          <w:rFonts w:hint="eastAsia" w:ascii="宋体" w:hAnsi="宋体" w:eastAsia="宋体" w:cs="宋体"/>
          <w:sz w:val="21"/>
          <w:szCs w:val="21"/>
        </w:rPr>
      </w:pPr>
      <w:r>
        <w:rPr>
          <w:rFonts w:hint="eastAsia" w:ascii="宋体" w:hAnsi="宋体" w:eastAsia="宋体" w:cs="宋体"/>
          <w:b/>
          <w:sz w:val="21"/>
          <w:szCs w:val="21"/>
        </w:rPr>
        <w:t>开标地点（网址）：</w:t>
      </w:r>
      <w:r>
        <w:rPr>
          <w:rFonts w:hint="eastAsia" w:ascii="宋体" w:hAnsi="宋体" w:eastAsia="宋体" w:cs="宋体"/>
          <w:sz w:val="21"/>
          <w:szCs w:val="21"/>
          <w:lang w:eastAsia="zh-CN"/>
        </w:rPr>
        <w:t>政府采购云平台</w:t>
      </w:r>
      <w:r>
        <w:rPr>
          <w:rFonts w:hint="eastAsia" w:ascii="宋体" w:hAnsi="宋体" w:eastAsia="宋体" w:cs="宋体"/>
          <w:sz w:val="21"/>
          <w:szCs w:val="21"/>
        </w:rPr>
        <w:t>（https://www.zcygov.cn/）</w:t>
      </w:r>
    </w:p>
    <w:p>
      <w:pPr>
        <w:keepNext w:val="0"/>
        <w:keepLines w:val="0"/>
        <w:pageBreakBefore w:val="0"/>
        <w:kinsoku/>
        <w:overflowPunct/>
        <w:topLinePunct w:val="0"/>
        <w:autoSpaceDE/>
        <w:autoSpaceDN/>
        <w:bidi w:val="0"/>
        <w:snapToGrid/>
        <w:spacing w:line="344" w:lineRule="auto"/>
        <w:textAlignment w:val="auto"/>
        <w:rPr>
          <w:rFonts w:hint="eastAsia" w:ascii="宋体" w:hAnsi="宋体" w:eastAsia="宋体" w:cs="宋体"/>
          <w:sz w:val="21"/>
          <w:szCs w:val="21"/>
        </w:rPr>
      </w:pPr>
      <w:r>
        <w:rPr>
          <w:rFonts w:hint="eastAsia" w:ascii="宋体" w:hAnsi="宋体" w:eastAsia="宋体" w:cs="宋体"/>
          <w:b/>
          <w:sz w:val="21"/>
          <w:szCs w:val="21"/>
        </w:rPr>
        <w:t xml:space="preserve">五、公告期限 </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自本公告发布之日起</w:t>
      </w:r>
      <w:r>
        <w:rPr>
          <w:rFonts w:hint="eastAsia" w:ascii="宋体" w:hAnsi="宋体" w:cs="宋体"/>
          <w:sz w:val="21"/>
          <w:szCs w:val="21"/>
          <w:lang w:val="en-US" w:eastAsia="zh-CN"/>
        </w:rPr>
        <w:t>3</w:t>
      </w:r>
      <w:r>
        <w:rPr>
          <w:rFonts w:hint="eastAsia" w:ascii="宋体" w:hAnsi="宋体" w:eastAsia="宋体" w:cs="宋体"/>
          <w:sz w:val="21"/>
          <w:szCs w:val="21"/>
        </w:rPr>
        <w:t>个工作日。</w:t>
      </w:r>
    </w:p>
    <w:p>
      <w:pPr>
        <w:keepNext w:val="0"/>
        <w:keepLines w:val="0"/>
        <w:pageBreakBefore w:val="0"/>
        <w:kinsoku/>
        <w:overflowPunct/>
        <w:topLinePunct w:val="0"/>
        <w:autoSpaceDE/>
        <w:autoSpaceDN/>
        <w:bidi w:val="0"/>
        <w:snapToGrid/>
        <w:spacing w:line="344" w:lineRule="auto"/>
        <w:textAlignment w:val="auto"/>
        <w:rPr>
          <w:rFonts w:hint="eastAsia" w:ascii="宋体" w:hAnsi="宋体" w:eastAsia="宋体" w:cs="宋体"/>
          <w:b/>
          <w:sz w:val="21"/>
          <w:szCs w:val="21"/>
        </w:rPr>
      </w:pPr>
      <w:r>
        <w:rPr>
          <w:rFonts w:hint="eastAsia" w:ascii="宋体" w:hAnsi="宋体" w:eastAsia="宋体" w:cs="宋体"/>
          <w:b/>
          <w:sz w:val="21"/>
          <w:szCs w:val="21"/>
        </w:rPr>
        <w:t>六、其他补充事宜</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1.《浙江省财政厅关于进一步发挥政府采购政策功能全力推动经济稳进提质的通知》 （浙财采监（2022）3号）、《浙江省财政厅关于进一步促进政府采购公平竞争打造最优营商环境的通知》（浙财采监（2021）22号）</w:t>
      </w:r>
      <w:r>
        <w:rPr>
          <w:rFonts w:hint="eastAsia" w:ascii="宋体" w:hAnsi="宋体" w:eastAsia="宋体" w:cs="宋体"/>
          <w:sz w:val="21"/>
          <w:szCs w:val="21"/>
          <w:lang w:eastAsia="zh-CN"/>
        </w:rPr>
        <w:t>、</w:t>
      </w:r>
      <w:r>
        <w:rPr>
          <w:rFonts w:hint="eastAsia" w:ascii="宋体" w:hAnsi="宋体" w:eastAsia="宋体" w:cs="宋体"/>
          <w:sz w:val="21"/>
          <w:szCs w:val="21"/>
        </w:rPr>
        <w:t>浙江省财政厅关于进一步加大政府采购支持中小企业力度助力扎实稳住经济的通知》 （浙财采监（2022）8号已分别于2022年1月29日</w:t>
      </w:r>
      <w:r>
        <w:rPr>
          <w:rFonts w:hint="eastAsia" w:ascii="宋体" w:hAnsi="宋体" w:eastAsia="宋体" w:cs="宋体"/>
          <w:sz w:val="21"/>
          <w:szCs w:val="21"/>
          <w:lang w:eastAsia="zh-CN"/>
        </w:rPr>
        <w:t>、</w:t>
      </w:r>
      <w:r>
        <w:rPr>
          <w:rFonts w:hint="eastAsia" w:ascii="宋体" w:hAnsi="宋体" w:eastAsia="宋体" w:cs="宋体"/>
          <w:sz w:val="21"/>
          <w:szCs w:val="21"/>
        </w:rPr>
        <w:t>2022年2月1日</w:t>
      </w:r>
      <w:r>
        <w:rPr>
          <w:rFonts w:hint="eastAsia" w:ascii="宋体" w:hAnsi="宋体" w:eastAsia="宋体" w:cs="宋体"/>
          <w:sz w:val="21"/>
          <w:szCs w:val="21"/>
          <w:lang w:eastAsia="zh-CN"/>
        </w:rPr>
        <w:t>和</w:t>
      </w:r>
      <w:r>
        <w:rPr>
          <w:rFonts w:hint="eastAsia" w:ascii="宋体" w:hAnsi="宋体" w:eastAsia="宋体" w:cs="宋体"/>
          <w:sz w:val="21"/>
          <w:szCs w:val="21"/>
        </w:rPr>
        <w:t>2022年7月1日开始实施，此前有关规定与上述文件内容不一致的，按上述文件要求执行。</w:t>
      </w:r>
    </w:p>
    <w:p>
      <w:pPr>
        <w:keepNext w:val="0"/>
        <w:keepLines w:val="0"/>
        <w:pageBreakBefore w:val="0"/>
        <w:kinsoku/>
        <w:wordWrap w:val="0"/>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注意：需在线质疑后才可在线投诉，并电话告知相关采购人、代理机构、财政部门。</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其他事项：</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（1）需要落实的政府采购政策：包括节约资源、保护环境、支持创新、促进中小企业发展</w:t>
      </w:r>
      <w:r>
        <w:rPr>
          <w:rFonts w:hint="eastAsia" w:ascii="宋体" w:hAnsi="宋体" w:eastAsia="宋体" w:cs="宋体"/>
          <w:strike w:val="0"/>
          <w:color w:val="auto"/>
          <w:sz w:val="21"/>
          <w:szCs w:val="21"/>
          <w:highlight w:val="none"/>
          <w:lang w:eastAsia="zh-CN"/>
        </w:rPr>
        <w:t>、</w:t>
      </w:r>
      <w:r>
        <w:rPr>
          <w:rFonts w:hint="eastAsia" w:ascii="宋体" w:hAnsi="宋体" w:eastAsia="宋体" w:cs="宋体"/>
          <w:strike w:val="0"/>
          <w:color w:val="auto"/>
          <w:sz w:val="21"/>
          <w:szCs w:val="21"/>
          <w:highlight w:val="none"/>
        </w:rPr>
        <w:t>扶持不发达地区和少数民族地区</w:t>
      </w:r>
      <w:r>
        <w:rPr>
          <w:rFonts w:hint="eastAsia" w:ascii="宋体" w:hAnsi="宋体" w:eastAsia="宋体" w:cs="宋体"/>
          <w:sz w:val="21"/>
          <w:szCs w:val="21"/>
        </w:rPr>
        <w:t>等。</w:t>
      </w:r>
      <w:r>
        <w:rPr>
          <w:rFonts w:hint="eastAsia" w:ascii="宋体" w:hAnsi="宋体" w:eastAsia="宋体" w:cs="宋体"/>
          <w:color w:val="auto"/>
          <w:sz w:val="21"/>
          <w:szCs w:val="21"/>
          <w:highlight w:val="none"/>
          <w:lang w:val="en-US" w:eastAsia="zh-CN"/>
        </w:rPr>
        <w:t>具体</w:t>
      </w:r>
      <w:r>
        <w:rPr>
          <w:rFonts w:hint="eastAsia" w:ascii="宋体" w:hAnsi="宋体" w:eastAsia="宋体" w:cs="宋体"/>
          <w:color w:val="auto"/>
          <w:sz w:val="21"/>
          <w:szCs w:val="21"/>
          <w:highlight w:val="none"/>
        </w:rPr>
        <w:t>详见</w:t>
      </w:r>
      <w:r>
        <w:rPr>
          <w:rFonts w:hint="eastAsia" w:ascii="宋体" w:hAnsi="宋体" w:eastAsia="宋体" w:cs="宋体"/>
          <w:color w:val="auto"/>
          <w:sz w:val="21"/>
          <w:szCs w:val="21"/>
          <w:highlight w:val="none"/>
          <w:lang w:val="en-US"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部分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磋商供应商须知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电子招投标的说明：①</w:t>
      </w:r>
      <w:r>
        <w:rPr>
          <w:rFonts w:hint="eastAsia" w:ascii="宋体" w:hAnsi="宋体" w:eastAsia="宋体" w:cs="宋体"/>
          <w:b/>
          <w:bCs/>
          <w:sz w:val="21"/>
          <w:szCs w:val="21"/>
        </w:rPr>
        <w:t>本项目</w:t>
      </w:r>
      <w:r>
        <w:rPr>
          <w:rFonts w:hint="eastAsia" w:ascii="宋体" w:hAnsi="宋体" w:eastAsia="宋体" w:cs="宋体"/>
          <w:b/>
          <w:bCs/>
          <w:sz w:val="21"/>
          <w:szCs w:val="21"/>
          <w:lang w:eastAsia="zh-CN"/>
        </w:rPr>
        <w:t>采用全流程电子化交易</w:t>
      </w:r>
      <w:r>
        <w:rPr>
          <w:rFonts w:hint="eastAsia" w:ascii="宋体" w:hAnsi="宋体" w:eastAsia="宋体" w:cs="宋体"/>
          <w:sz w:val="21"/>
          <w:szCs w:val="21"/>
        </w:rPr>
        <w:t>，依托“政府采购云平台（www.zcygov.cn）”进行招投标活动，不接受纸质</w:t>
      </w:r>
      <w:r>
        <w:rPr>
          <w:rFonts w:hint="eastAsia" w:ascii="宋体" w:hAnsi="宋体" w:eastAsia="宋体" w:cs="宋体"/>
          <w:sz w:val="21"/>
          <w:szCs w:val="21"/>
          <w:lang w:eastAsia="zh-CN"/>
        </w:rPr>
        <w:t>磋商响应文件</w:t>
      </w:r>
      <w:r>
        <w:rPr>
          <w:rFonts w:hint="eastAsia" w:ascii="宋体" w:hAnsi="宋体" w:eastAsia="宋体" w:cs="宋体"/>
          <w:sz w:val="21"/>
          <w:szCs w:val="21"/>
        </w:rPr>
        <w:t>；②</w:t>
      </w:r>
      <w:r>
        <w:rPr>
          <w:rFonts w:hint="eastAsia" w:ascii="宋体" w:hAnsi="宋体" w:eastAsia="宋体" w:cs="宋体"/>
          <w:sz w:val="21"/>
          <w:szCs w:val="21"/>
          <w:lang w:eastAsia="zh-CN"/>
        </w:rPr>
        <w:t>磋商供应商</w:t>
      </w:r>
      <w:r>
        <w:rPr>
          <w:rFonts w:hint="eastAsia" w:ascii="宋体" w:hAnsi="宋体" w:eastAsia="宋体" w:cs="宋体"/>
          <w:sz w:val="21"/>
          <w:szCs w:val="21"/>
        </w:rPr>
        <w:t>须在投标前申领CA数字证书、下载政采云电子交易客户端。申领CA数字证书</w:t>
      </w:r>
      <w:r>
        <w:rPr>
          <w:rFonts w:hint="eastAsia" w:ascii="宋体" w:hAnsi="宋体" w:eastAsia="宋体" w:cs="宋体"/>
          <w:sz w:val="21"/>
          <w:szCs w:val="21"/>
          <w:lang w:val="en-US" w:eastAsia="zh-CN"/>
        </w:rPr>
        <w:t>:</w:t>
      </w:r>
      <w:r>
        <w:rPr>
          <w:rFonts w:hint="eastAsia" w:ascii="宋体" w:hAnsi="宋体" w:eastAsia="宋体" w:cs="宋体"/>
          <w:sz w:val="21"/>
          <w:szCs w:val="21"/>
        </w:rPr>
        <w:t>申领流程详见“浙江政府采购网-下载专区-电子交易客户端-CA驱动和申领流程”；安装“政采云电子交易客户端”</w:t>
      </w:r>
      <w:r>
        <w:rPr>
          <w:rFonts w:hint="eastAsia" w:ascii="宋体" w:hAnsi="宋体" w:eastAsia="宋体" w:cs="宋体"/>
          <w:sz w:val="21"/>
          <w:szCs w:val="21"/>
          <w:lang w:val="en-US" w:eastAsia="zh-CN"/>
        </w:rPr>
        <w:t>:</w:t>
      </w:r>
      <w:r>
        <w:rPr>
          <w:rFonts w:hint="eastAsia" w:ascii="宋体" w:hAnsi="宋体" w:eastAsia="宋体" w:cs="宋体"/>
          <w:sz w:val="21"/>
          <w:szCs w:val="21"/>
        </w:rPr>
        <w:t>前往“浙江政府采购网-下载专区-电子交易客户端”进行下载并安装；③电子投标具体操作流程详见浙江省“项目采购电子交易系统/不见面开评标”学习专题（网址https://edu.zcygov.cn/luban/e-biding）</w:t>
      </w:r>
      <w:r>
        <w:rPr>
          <w:rFonts w:hint="eastAsia" w:ascii="宋体" w:hAnsi="宋体" w:eastAsia="宋体" w:cs="宋体"/>
          <w:sz w:val="21"/>
          <w:szCs w:val="21"/>
          <w:lang w:val="en-US" w:eastAsia="zh-CN"/>
        </w:rPr>
        <w:t>;</w:t>
      </w:r>
      <w:r>
        <w:rPr>
          <w:rFonts w:hint="eastAsia" w:ascii="宋体" w:hAnsi="宋体" w:eastAsia="宋体" w:cs="宋体"/>
          <w:sz w:val="21"/>
          <w:szCs w:val="21"/>
        </w:rPr>
        <w:t>④</w:t>
      </w:r>
      <w:r>
        <w:rPr>
          <w:rFonts w:hint="eastAsia" w:ascii="宋体" w:hAnsi="宋体" w:eastAsia="宋体" w:cs="宋体"/>
          <w:sz w:val="21"/>
          <w:szCs w:val="21"/>
          <w:lang w:eastAsia="zh-CN"/>
        </w:rPr>
        <w:t>磋商文件</w:t>
      </w:r>
      <w:r>
        <w:rPr>
          <w:rFonts w:hint="eastAsia" w:ascii="宋体" w:hAnsi="宋体" w:eastAsia="宋体" w:cs="宋体"/>
          <w:sz w:val="21"/>
          <w:szCs w:val="21"/>
        </w:rPr>
        <w:t>的获取：使用账号登录或者使用CA登录政采云平台；进入“项目采购”应用，在获取采购文件菜单中选择项目，获取</w:t>
      </w:r>
      <w:r>
        <w:rPr>
          <w:rFonts w:hint="eastAsia" w:ascii="宋体" w:hAnsi="宋体" w:eastAsia="宋体" w:cs="宋体"/>
          <w:sz w:val="21"/>
          <w:szCs w:val="21"/>
          <w:lang w:eastAsia="zh-CN"/>
        </w:rPr>
        <w:t>磋商文件。⑤</w:t>
      </w:r>
      <w:r>
        <w:rPr>
          <w:rFonts w:hint="eastAsia" w:ascii="宋体" w:hAnsi="宋体" w:eastAsia="宋体" w:cs="宋体"/>
          <w:sz w:val="21"/>
          <w:szCs w:val="21"/>
        </w:rPr>
        <w:t>若对项目采购电子交易系统操作有疑问，可登录政采云，点击右侧咨询小采，获取采小蜜智能服务管家帮助，或拨打政采云服务热线95763获取热线服务帮助。CA问题联系电话（人工）：汇信CA 400-888-4636；天谷CA 400-087-8198。注：</w:t>
      </w:r>
      <w:r>
        <w:rPr>
          <w:rFonts w:hint="eastAsia" w:ascii="宋体" w:hAnsi="宋体" w:eastAsia="宋体" w:cs="宋体"/>
          <w:sz w:val="21"/>
          <w:szCs w:val="21"/>
          <w:lang w:eastAsia="zh-CN"/>
        </w:rPr>
        <w:t>磋商供应商</w:t>
      </w:r>
      <w:r>
        <w:rPr>
          <w:rFonts w:hint="eastAsia" w:ascii="宋体" w:hAnsi="宋体" w:eastAsia="宋体" w:cs="宋体"/>
          <w:sz w:val="21"/>
          <w:szCs w:val="21"/>
        </w:rPr>
        <w:t>在使用政采云投标客户端时，建议使用WIN7及以上操作系统。</w:t>
      </w:r>
      <w:r>
        <w:rPr>
          <w:rFonts w:hint="eastAsia" w:ascii="宋体" w:hAnsi="宋体" w:eastAsia="宋体" w:cs="宋体"/>
          <w:sz w:val="21"/>
          <w:szCs w:val="21"/>
          <w:lang w:eastAsia="zh-CN"/>
        </w:rPr>
        <w:t>磋商供应商</w:t>
      </w:r>
      <w:r>
        <w:rPr>
          <w:rFonts w:hint="eastAsia" w:ascii="宋体" w:hAnsi="宋体" w:eastAsia="宋体" w:cs="宋体"/>
          <w:sz w:val="21"/>
          <w:szCs w:val="21"/>
        </w:rPr>
        <w:t>需自行准备好摄像头和耳麦，保持网络稳定通畅，并在</w:t>
      </w:r>
      <w:r>
        <w:rPr>
          <w:rFonts w:hint="eastAsia" w:ascii="宋体" w:hAnsi="宋体" w:eastAsia="宋体" w:cs="宋体"/>
          <w:sz w:val="21"/>
          <w:szCs w:val="21"/>
          <w:lang w:eastAsia="zh-CN"/>
        </w:rPr>
        <w:t>磋商响应文件</w:t>
      </w:r>
      <w:r>
        <w:rPr>
          <w:rFonts w:hint="eastAsia" w:ascii="宋体" w:hAnsi="宋体" w:eastAsia="宋体" w:cs="宋体"/>
          <w:sz w:val="21"/>
          <w:szCs w:val="21"/>
        </w:rPr>
        <w:t xml:space="preserve">开启时间前自测硬件能否正常使用，如因自身硬件或网络原因导致询标讲解失败，相关后果自行负责。  </w:t>
      </w:r>
    </w:p>
    <w:p>
      <w:pPr>
        <w:keepNext w:val="0"/>
        <w:keepLines w:val="0"/>
        <w:pageBreakBefore w:val="0"/>
        <w:numPr>
          <w:ilvl w:val="0"/>
          <w:numId w:val="2"/>
        </w:numPr>
        <w:kinsoku/>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磋商文件</w:t>
      </w:r>
      <w:r>
        <w:rPr>
          <w:rFonts w:hint="eastAsia" w:ascii="宋体" w:hAnsi="宋体" w:eastAsia="宋体" w:cs="宋体"/>
          <w:sz w:val="21"/>
          <w:szCs w:val="21"/>
          <w:lang w:val="en-US"/>
        </w:rPr>
        <w:t>公告期限与</w:t>
      </w:r>
      <w:r>
        <w:rPr>
          <w:rFonts w:hint="eastAsia" w:ascii="宋体" w:hAnsi="宋体" w:eastAsia="宋体" w:cs="宋体"/>
          <w:sz w:val="21"/>
          <w:szCs w:val="21"/>
          <w:lang w:val="en-US" w:eastAsia="zh-CN"/>
        </w:rPr>
        <w:t>竞争性磋商公告</w:t>
      </w:r>
      <w:r>
        <w:rPr>
          <w:rFonts w:hint="eastAsia" w:ascii="宋体" w:hAnsi="宋体" w:eastAsia="宋体" w:cs="宋体"/>
          <w:sz w:val="21"/>
          <w:szCs w:val="21"/>
          <w:lang w:val="en-US"/>
        </w:rPr>
        <w:t>公告期限一致</w:t>
      </w:r>
      <w:r>
        <w:rPr>
          <w:rFonts w:hint="eastAsia" w:ascii="宋体" w:hAnsi="宋体" w:eastAsia="宋体" w:cs="宋体"/>
          <w:sz w:val="21"/>
          <w:szCs w:val="21"/>
          <w:lang w:val="en-US" w:eastAsia="zh-CN"/>
        </w:rPr>
        <w:t>。</w:t>
      </w:r>
    </w:p>
    <w:p>
      <w:pPr>
        <w:keepNext w:val="0"/>
        <w:keepLines w:val="0"/>
        <w:pageBreakBefore w:val="0"/>
        <w:numPr>
          <w:ilvl w:val="0"/>
          <w:numId w:val="2"/>
        </w:numPr>
        <w:kinsoku/>
        <w:wordWrap w:val="0"/>
        <w:overflowPunct/>
        <w:topLinePunct w:val="0"/>
        <w:autoSpaceDE/>
        <w:autoSpaceDN/>
        <w:bidi w:val="0"/>
        <w:snapToGrid/>
        <w:spacing w:line="344"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潜在供应商已依法获取</w:t>
      </w:r>
      <w:r>
        <w:rPr>
          <w:rFonts w:hint="eastAsia" w:ascii="宋体" w:hAnsi="宋体" w:eastAsia="宋体" w:cs="宋体"/>
          <w:sz w:val="21"/>
          <w:szCs w:val="21"/>
          <w:lang w:eastAsia="zh-CN"/>
        </w:rPr>
        <w:t>磋商文件</w:t>
      </w:r>
      <w:r>
        <w:rPr>
          <w:rFonts w:hint="eastAsia" w:ascii="宋体" w:hAnsi="宋体" w:eastAsia="宋体" w:cs="宋体"/>
          <w:sz w:val="21"/>
          <w:szCs w:val="21"/>
        </w:rPr>
        <w:t>，认为</w:t>
      </w:r>
      <w:r>
        <w:rPr>
          <w:rFonts w:hint="eastAsia" w:ascii="宋体" w:hAnsi="宋体" w:eastAsia="宋体" w:cs="宋体"/>
          <w:sz w:val="21"/>
          <w:szCs w:val="21"/>
          <w:lang w:eastAsia="zh-CN"/>
        </w:rPr>
        <w:t>磋商文件</w:t>
      </w:r>
      <w:r>
        <w:rPr>
          <w:rFonts w:hint="eastAsia" w:ascii="宋体" w:hAnsi="宋体" w:eastAsia="宋体" w:cs="宋体"/>
          <w:sz w:val="21"/>
          <w:szCs w:val="21"/>
        </w:rPr>
        <w:t>使自己的权益受到损害的，可以自获取</w:t>
      </w:r>
      <w:r>
        <w:rPr>
          <w:rFonts w:hint="eastAsia" w:ascii="宋体" w:hAnsi="宋体" w:eastAsia="宋体" w:cs="宋体"/>
          <w:sz w:val="21"/>
          <w:szCs w:val="21"/>
          <w:lang w:eastAsia="zh-CN"/>
        </w:rPr>
        <w:t>磋商文件</w:t>
      </w:r>
      <w:r>
        <w:rPr>
          <w:rFonts w:hint="eastAsia" w:ascii="宋体" w:hAnsi="宋体" w:eastAsia="宋体" w:cs="宋体"/>
          <w:sz w:val="21"/>
          <w:szCs w:val="21"/>
        </w:rPr>
        <w:t>之日或者</w:t>
      </w:r>
      <w:r>
        <w:rPr>
          <w:rFonts w:hint="eastAsia" w:ascii="宋体" w:hAnsi="宋体" w:eastAsia="宋体" w:cs="宋体"/>
          <w:sz w:val="21"/>
          <w:szCs w:val="21"/>
          <w:lang w:eastAsia="zh-CN"/>
        </w:rPr>
        <w:t>磋商文件</w:t>
      </w:r>
      <w:r>
        <w:rPr>
          <w:rFonts w:hint="eastAsia" w:ascii="宋体" w:hAnsi="宋体" w:eastAsia="宋体" w:cs="宋体"/>
          <w:sz w:val="21"/>
          <w:szCs w:val="21"/>
        </w:rPr>
        <w:t>公告期限届满之日（公告期限届满后获取</w:t>
      </w:r>
      <w:r>
        <w:rPr>
          <w:rFonts w:hint="eastAsia" w:ascii="宋体" w:hAnsi="宋体" w:eastAsia="宋体" w:cs="宋体"/>
          <w:sz w:val="21"/>
          <w:szCs w:val="21"/>
          <w:lang w:eastAsia="zh-CN"/>
        </w:rPr>
        <w:t>磋商文件</w:t>
      </w:r>
      <w:r>
        <w:rPr>
          <w:rFonts w:hint="eastAsia" w:ascii="宋体" w:hAnsi="宋体" w:eastAsia="宋体" w:cs="宋体"/>
          <w:sz w:val="21"/>
          <w:szCs w:val="21"/>
        </w:rPr>
        <w:t>的，以公告期限届满之日为准）起7个工作日内，以书面形式向采购人、采购代理机构提出质疑。质疑供应商对采购人、采购代理机构的答复不满意，或者采购人、采购代理机构未在规定时间内作出答复的，可以在答复期满后15个工作日内向同级政府采购监督管理部门投诉。质疑函范本、投诉书范本请到浙江政府采购网（https://zfcg.czt.zj.gov.cn/）下载专区下载。</w:t>
      </w:r>
      <w:r>
        <w:rPr>
          <w:rFonts w:hint="eastAsia" w:ascii="宋体" w:hAnsi="宋体" w:eastAsia="宋体" w:cs="宋体"/>
          <w:b/>
          <w:bCs/>
          <w:color w:val="000000"/>
          <w:sz w:val="21"/>
          <w:szCs w:val="21"/>
        </w:rPr>
        <w:t>注意：游客通道获取的</w:t>
      </w:r>
      <w:r>
        <w:rPr>
          <w:rFonts w:hint="eastAsia" w:ascii="宋体" w:hAnsi="宋体" w:eastAsia="宋体" w:cs="宋体"/>
          <w:b/>
          <w:bCs/>
          <w:color w:val="000000"/>
          <w:sz w:val="21"/>
          <w:szCs w:val="21"/>
          <w:lang w:eastAsia="zh-CN"/>
        </w:rPr>
        <w:t>磋商文件</w:t>
      </w:r>
      <w:r>
        <w:rPr>
          <w:rFonts w:hint="eastAsia" w:ascii="宋体" w:hAnsi="宋体" w:eastAsia="宋体" w:cs="宋体"/>
          <w:b/>
          <w:bCs/>
          <w:color w:val="000000"/>
          <w:sz w:val="21"/>
          <w:szCs w:val="21"/>
        </w:rPr>
        <w:t>仅供浏览使用，潜在供应商请通过规定方式依法获取</w:t>
      </w:r>
      <w:r>
        <w:rPr>
          <w:rFonts w:hint="eastAsia" w:ascii="宋体" w:hAnsi="宋体" w:eastAsia="宋体" w:cs="宋体"/>
          <w:b/>
          <w:bCs/>
          <w:color w:val="000000"/>
          <w:sz w:val="21"/>
          <w:szCs w:val="21"/>
          <w:lang w:eastAsia="zh-CN"/>
        </w:rPr>
        <w:t>磋商文件</w:t>
      </w:r>
      <w:r>
        <w:rPr>
          <w:rFonts w:hint="eastAsia" w:ascii="宋体" w:hAnsi="宋体" w:eastAsia="宋体" w:cs="宋体"/>
          <w:b/>
          <w:bCs/>
          <w:color w:val="000000"/>
          <w:sz w:val="21"/>
          <w:szCs w:val="21"/>
        </w:rPr>
        <w:t>。</w:t>
      </w:r>
    </w:p>
    <w:p>
      <w:pPr>
        <w:keepNext w:val="0"/>
        <w:keepLines w:val="0"/>
        <w:pageBreakBefore w:val="0"/>
        <w:kinsoku/>
        <w:overflowPunct/>
        <w:topLinePunct w:val="0"/>
        <w:autoSpaceDE/>
        <w:autoSpaceDN/>
        <w:bidi w:val="0"/>
        <w:snapToGrid/>
        <w:spacing w:line="344" w:lineRule="auto"/>
        <w:textAlignment w:val="auto"/>
        <w:rPr>
          <w:rFonts w:hint="eastAsia" w:ascii="宋体" w:hAnsi="宋体" w:eastAsia="宋体" w:cs="宋体"/>
          <w:b/>
          <w:sz w:val="21"/>
          <w:szCs w:val="21"/>
        </w:rPr>
      </w:pPr>
      <w:r>
        <w:rPr>
          <w:rFonts w:hint="eastAsia" w:ascii="宋体" w:hAnsi="宋体" w:eastAsia="宋体" w:cs="宋体"/>
          <w:b/>
          <w:sz w:val="21"/>
          <w:szCs w:val="21"/>
        </w:rPr>
        <w:t>七、对本次采购提出询问、质疑、投诉，请按以下方式联系</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1.采购人信息</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u w:val="none"/>
          <w:lang w:val="en-US"/>
        </w:rPr>
      </w:pPr>
      <w:r>
        <w:rPr>
          <w:rFonts w:hint="eastAsia" w:ascii="宋体" w:hAnsi="宋体" w:eastAsia="宋体" w:cs="宋体"/>
          <w:color w:val="auto"/>
          <w:sz w:val="21"/>
          <w:szCs w:val="21"/>
          <w:u w:val="none"/>
        </w:rPr>
        <w:t>名    称：</w:t>
      </w:r>
      <w:r>
        <w:rPr>
          <w:rFonts w:hint="eastAsia" w:ascii="宋体" w:hAnsi="宋体" w:cs="宋体"/>
          <w:color w:val="auto"/>
          <w:sz w:val="21"/>
          <w:szCs w:val="21"/>
          <w:u w:val="none"/>
          <w:lang w:eastAsia="zh-CN"/>
        </w:rPr>
        <w:t>瑞安市曹村镇人民政府</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地    址：</w:t>
      </w:r>
      <w:r>
        <w:rPr>
          <w:rFonts w:hint="eastAsia" w:ascii="宋体" w:hAnsi="宋体" w:cs="宋体"/>
          <w:color w:val="auto"/>
          <w:sz w:val="21"/>
          <w:szCs w:val="21"/>
          <w:lang w:eastAsia="zh-CN"/>
        </w:rPr>
        <w:t>瑞安市曹村镇人民政府</w:t>
      </w:r>
      <w:r>
        <w:rPr>
          <w:rFonts w:hint="eastAsia" w:ascii="宋体" w:hAnsi="宋体" w:eastAsia="宋体" w:cs="宋体"/>
          <w:color w:val="auto"/>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传    真： /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项目联系人（询问）：</w:t>
      </w:r>
      <w:r>
        <w:rPr>
          <w:rFonts w:hint="eastAsia" w:ascii="宋体" w:hAnsi="宋体" w:cs="宋体"/>
          <w:color w:val="auto"/>
          <w:sz w:val="21"/>
          <w:szCs w:val="21"/>
          <w:highlight w:val="none"/>
          <w:lang w:eastAsia="zh-CN"/>
        </w:rPr>
        <w:t>洪先生</w:t>
      </w:r>
      <w:r>
        <w:rPr>
          <w:rFonts w:hint="eastAsia" w:ascii="宋体" w:hAnsi="宋体" w:eastAsia="宋体" w:cs="宋体"/>
          <w:color w:val="auto"/>
          <w:sz w:val="21"/>
          <w:szCs w:val="21"/>
          <w:highlight w:val="none"/>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项目联系方式（询问）：</w:t>
      </w:r>
      <w:r>
        <w:rPr>
          <w:rFonts w:hint="eastAsia" w:ascii="宋体" w:hAnsi="宋体" w:cs="宋体"/>
          <w:color w:val="auto"/>
          <w:sz w:val="21"/>
          <w:szCs w:val="21"/>
          <w:highlight w:val="none"/>
          <w:lang w:eastAsia="zh-CN"/>
        </w:rPr>
        <w:t>13967708595</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质疑联系人：</w:t>
      </w:r>
      <w:r>
        <w:rPr>
          <w:rFonts w:hint="eastAsia" w:ascii="宋体" w:hAnsi="宋体" w:cs="宋体"/>
          <w:color w:val="auto"/>
          <w:sz w:val="21"/>
          <w:szCs w:val="21"/>
          <w:highlight w:val="none"/>
          <w:lang w:eastAsia="zh-CN"/>
        </w:rPr>
        <w:t>洪先生</w:t>
      </w:r>
      <w:r>
        <w:rPr>
          <w:rFonts w:hint="eastAsia" w:ascii="宋体" w:hAnsi="宋体" w:eastAsia="宋体" w:cs="宋体"/>
          <w:color w:val="auto"/>
          <w:sz w:val="21"/>
          <w:szCs w:val="21"/>
          <w:highlight w:val="none"/>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质疑联系方式：</w:t>
      </w:r>
      <w:r>
        <w:rPr>
          <w:rFonts w:hint="eastAsia" w:ascii="宋体" w:hAnsi="宋体" w:cs="宋体"/>
          <w:color w:val="auto"/>
          <w:sz w:val="21"/>
          <w:szCs w:val="21"/>
          <w:highlight w:val="none"/>
          <w:lang w:eastAsia="zh-CN"/>
        </w:rPr>
        <w:t>13967708595</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 xml:space="preserve">    2.采购代理机构信息            </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名称：</w:t>
      </w:r>
      <w:r>
        <w:rPr>
          <w:rFonts w:hint="eastAsia" w:ascii="宋体" w:hAnsi="宋体" w:cs="宋体"/>
          <w:szCs w:val="21"/>
          <w:lang w:eastAsia="zh-CN"/>
        </w:rPr>
        <w:t>浙江中格工程项目管理有限公司</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地址：</w:t>
      </w:r>
      <w:r>
        <w:rPr>
          <w:rFonts w:hint="eastAsia" w:ascii="宋体" w:hAnsi="宋体" w:cs="宋体"/>
          <w:szCs w:val="21"/>
          <w:lang w:eastAsia="zh-CN"/>
        </w:rPr>
        <w:t>温州市瑞安市上望街道瑞宁家园1栋1楼1号</w:t>
      </w:r>
    </w:p>
    <w:p>
      <w:pPr>
        <w:keepNext w:val="0"/>
        <w:keepLines w:val="0"/>
        <w:pageBreakBefore w:val="0"/>
        <w:widowControl w:val="0"/>
        <w:tabs>
          <w:tab w:val="left" w:pos="2888"/>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传真：</w:t>
      </w:r>
      <w:r>
        <w:rPr>
          <w:rFonts w:hint="eastAsia" w:ascii="宋体" w:hAnsi="宋体" w:cs="宋体"/>
          <w:szCs w:val="21"/>
          <w:lang w:eastAsia="zh-CN"/>
        </w:rPr>
        <w:t xml:space="preserve">0577-65665199 </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项目联系人（询问）：</w:t>
      </w:r>
      <w:r>
        <w:rPr>
          <w:rFonts w:hint="eastAsia" w:ascii="宋体" w:hAnsi="宋体" w:cs="宋体"/>
          <w:szCs w:val="21"/>
          <w:lang w:val="en-US" w:eastAsia="zh-CN"/>
        </w:rPr>
        <w:t>王牡丹</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default" w:ascii="宋体" w:hAnsi="宋体" w:eastAsia="宋体" w:cs="宋体"/>
          <w:szCs w:val="21"/>
          <w:lang w:val="en-US" w:eastAsia="zh-CN"/>
        </w:rPr>
      </w:pPr>
      <w:r>
        <w:rPr>
          <w:rFonts w:hint="eastAsia" w:ascii="宋体" w:hAnsi="宋体" w:eastAsia="宋体" w:cs="宋体"/>
          <w:szCs w:val="21"/>
        </w:rPr>
        <w:t>项目联系方式（询问）：</w:t>
      </w:r>
      <w:r>
        <w:rPr>
          <w:rFonts w:hint="eastAsia" w:ascii="宋体" w:hAnsi="宋体" w:cs="宋体"/>
          <w:szCs w:val="21"/>
          <w:lang w:val="en-US" w:eastAsia="zh-CN"/>
        </w:rPr>
        <w:t>18857958513</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质疑联系人：</w:t>
      </w:r>
      <w:r>
        <w:rPr>
          <w:rFonts w:hint="eastAsia" w:ascii="宋体" w:hAnsi="宋体" w:eastAsia="宋体" w:cs="宋体"/>
          <w:szCs w:val="21"/>
          <w:lang w:eastAsia="zh-CN"/>
        </w:rPr>
        <w:t>王凤丹</w:t>
      </w:r>
    </w:p>
    <w:p>
      <w:pPr>
        <w:keepNext w:val="0"/>
        <w:keepLines w:val="0"/>
        <w:pageBreakBefore w:val="0"/>
        <w:widowControl w:val="0"/>
        <w:tabs>
          <w:tab w:val="left" w:pos="1384"/>
          <w:tab w:val="left" w:pos="4644"/>
          <w:tab w:val="left" w:pos="6203"/>
        </w:tabs>
        <w:kinsoku/>
        <w:wordWrap/>
        <w:overflowPunct/>
        <w:topLinePunct w:val="0"/>
        <w:autoSpaceDE/>
        <w:autoSpaceDN/>
        <w:bidi w:val="0"/>
        <w:adjustRightInd w:val="0"/>
        <w:snapToGrid/>
        <w:spacing w:line="344"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质疑联系方式：</w:t>
      </w:r>
      <w:r>
        <w:rPr>
          <w:rFonts w:hint="eastAsia" w:ascii="宋体" w:hAnsi="宋体" w:eastAsia="宋体" w:cs="宋体"/>
          <w:color w:val="000000"/>
          <w:sz w:val="21"/>
          <w:szCs w:val="21"/>
          <w:u w:val="none"/>
        </w:rPr>
        <w:t xml:space="preserve"> </w:t>
      </w:r>
      <w:r>
        <w:rPr>
          <w:rFonts w:hint="eastAsia" w:ascii="宋体" w:hAnsi="宋体" w:eastAsia="宋体" w:cs="宋体"/>
          <w:szCs w:val="21"/>
          <w:lang w:eastAsia="zh-CN"/>
        </w:rPr>
        <w:t xml:space="preserve">0577-65665199 </w:t>
      </w:r>
    </w:p>
    <w:p>
      <w:pPr>
        <w:keepNext w:val="0"/>
        <w:keepLines w:val="0"/>
        <w:pageBreakBefore w:val="0"/>
        <w:widowControl w:val="0"/>
        <w:kinsoku/>
        <w:wordWrap/>
        <w:overflowPunct/>
        <w:topLinePunct w:val="0"/>
        <w:autoSpaceDE/>
        <w:autoSpaceDN/>
        <w:bidi w:val="0"/>
        <w:adjustRightInd w:val="0"/>
        <w:snapToGrid/>
        <w:spacing w:line="344" w:lineRule="auto"/>
        <w:textAlignment w:val="auto"/>
        <w:rPr>
          <w:rFonts w:hint="eastAsia" w:ascii="宋体" w:hAnsi="宋体" w:eastAsia="宋体" w:cs="宋体"/>
          <w:sz w:val="21"/>
          <w:szCs w:val="21"/>
          <w:u w:val="none"/>
        </w:rPr>
      </w:pPr>
      <w:r>
        <w:rPr>
          <w:rFonts w:hint="eastAsia" w:ascii="宋体" w:hAnsi="宋体" w:eastAsia="宋体" w:cs="宋体"/>
          <w:sz w:val="21"/>
          <w:szCs w:val="21"/>
          <w:u w:val="none"/>
        </w:rPr>
        <w:t xml:space="preserve">    3.同级政府采购监督管理部门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 xml:space="preserve">名    称： </w:t>
      </w:r>
      <w:r>
        <w:rPr>
          <w:rFonts w:hint="eastAsia" w:ascii="宋体" w:hAnsi="宋体" w:eastAsia="宋体" w:cs="宋体"/>
          <w:sz w:val="21"/>
          <w:szCs w:val="21"/>
          <w:u w:val="none"/>
          <w:lang w:eastAsia="zh-CN"/>
        </w:rPr>
        <w:t>瑞安市财政局政府采购监管科</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地    址： 瑞安市万松东路379号瑞安财税大楼1505室</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传    真：</w:t>
      </w:r>
      <w:r>
        <w:rPr>
          <w:rFonts w:hint="eastAsia" w:ascii="宋体" w:hAnsi="宋体" w:eastAsia="宋体" w:cs="宋体"/>
          <w:sz w:val="21"/>
          <w:szCs w:val="21"/>
          <w:u w:val="none"/>
          <w:lang w:val="en-US" w:eastAsia="zh-CN"/>
        </w:rPr>
        <w:t>0577-65822153</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sz w:val="21"/>
          <w:szCs w:val="21"/>
          <w:u w:val="none"/>
        </w:rPr>
      </w:pPr>
      <w:r>
        <w:rPr>
          <w:rFonts w:hint="eastAsia" w:ascii="宋体" w:hAnsi="宋体" w:eastAsia="宋体" w:cs="宋体"/>
          <w:sz w:val="21"/>
          <w:szCs w:val="21"/>
          <w:u w:val="none"/>
        </w:rPr>
        <w:t>联</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系</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u w:val="none"/>
        </w:rPr>
        <w:t xml:space="preserve">人 ： </w:t>
      </w:r>
      <w:r>
        <w:rPr>
          <w:rFonts w:hint="eastAsia" w:ascii="宋体" w:hAnsi="宋体" w:eastAsia="宋体" w:cs="宋体"/>
          <w:sz w:val="21"/>
          <w:szCs w:val="21"/>
          <w:u w:val="none"/>
          <w:lang w:eastAsia="zh-CN"/>
        </w:rPr>
        <w:t>蔡先生</w:t>
      </w:r>
      <w:r>
        <w:rPr>
          <w:rFonts w:hint="eastAsia" w:ascii="宋体" w:hAnsi="宋体" w:eastAsia="宋体" w:cs="宋体"/>
          <w:sz w:val="21"/>
          <w:szCs w:val="21"/>
          <w:u w:val="none"/>
        </w:rPr>
        <w:t xml:space="preserve">   </w:t>
      </w:r>
    </w:p>
    <w:p>
      <w:pPr>
        <w:keepNext w:val="0"/>
        <w:keepLines w:val="0"/>
        <w:pageBreakBefore w:val="0"/>
        <w:widowControl w:val="0"/>
        <w:kinsoku/>
        <w:wordWrap/>
        <w:overflowPunct/>
        <w:topLinePunct w:val="0"/>
        <w:autoSpaceDE/>
        <w:autoSpaceDN/>
        <w:bidi w:val="0"/>
        <w:adjustRightInd w:val="0"/>
        <w:snapToGrid/>
        <w:spacing w:line="344" w:lineRule="auto"/>
        <w:ind w:left="0" w:leftChars="0" w:firstLine="420" w:firstLineChars="200"/>
        <w:textAlignment w:val="auto"/>
        <w:rPr>
          <w:rFonts w:hint="eastAsia" w:ascii="宋体" w:hAnsi="宋体" w:eastAsia="宋体" w:cs="宋体"/>
          <w:sz w:val="24"/>
          <w:szCs w:val="24"/>
        </w:rPr>
      </w:pPr>
      <w:r>
        <w:rPr>
          <w:rFonts w:hint="eastAsia" w:ascii="宋体" w:hAnsi="宋体" w:eastAsia="宋体" w:cs="宋体"/>
          <w:sz w:val="21"/>
          <w:szCs w:val="21"/>
          <w:u w:val="none"/>
        </w:rPr>
        <w:t>监督投诉电话：</w:t>
      </w:r>
      <w:r>
        <w:rPr>
          <w:rFonts w:hint="eastAsia" w:ascii="宋体" w:hAnsi="宋体" w:eastAsia="宋体" w:cs="宋体"/>
          <w:sz w:val="21"/>
          <w:szCs w:val="21"/>
          <w:u w:val="none"/>
          <w:lang w:val="en-US" w:eastAsia="zh-CN"/>
        </w:rPr>
        <w:t>0577-65827567</w:t>
      </w:r>
      <w:r>
        <w:rPr>
          <w:rFonts w:hint="eastAsia" w:ascii="宋体" w:hAnsi="宋体" w:eastAsia="宋体" w:cs="宋体"/>
          <w:sz w:val="24"/>
        </w:rPr>
        <w:t xml:space="preserve">                              </w:t>
      </w:r>
    </w:p>
    <w:p>
      <w:pPr>
        <w:adjustRightInd/>
        <w:spacing w:line="360" w:lineRule="auto"/>
        <w:jc w:val="center"/>
        <w:outlineLvl w:val="0"/>
        <w:rPr>
          <w:rFonts w:hint="eastAsia" w:ascii="宋体" w:hAnsi="宋体" w:eastAsia="宋体" w:cs="宋体"/>
          <w:b/>
          <w:sz w:val="36"/>
          <w:szCs w:val="20"/>
        </w:rPr>
      </w:pPr>
      <w:bookmarkStart w:id="17" w:name="_Toc650"/>
      <w:bookmarkStart w:id="18" w:name="_Toc14250"/>
      <w:r>
        <w:rPr>
          <w:rFonts w:hint="eastAsia" w:ascii="宋体" w:hAnsi="宋体" w:eastAsia="宋体" w:cs="宋体"/>
          <w:b/>
          <w:sz w:val="36"/>
          <w:szCs w:val="20"/>
        </w:rPr>
        <w:br w:type="page"/>
      </w:r>
      <w:r>
        <w:rPr>
          <w:rFonts w:hint="eastAsia" w:ascii="Times New Roman" w:hAnsi="宋体" w:eastAsia="宋体" w:cs="宋体"/>
          <w:b/>
          <w:bCs/>
          <w:color w:val="auto"/>
          <w:kern w:val="44"/>
          <w:sz w:val="36"/>
          <w:szCs w:val="36"/>
          <w:lang w:val="en-US" w:eastAsia="zh-CN" w:bidi="ar-SA"/>
        </w:rPr>
        <w:t>第二部分</w:t>
      </w:r>
      <w:bookmarkEnd w:id="14"/>
      <w:r>
        <w:rPr>
          <w:rFonts w:hint="eastAsia" w:ascii="Times New Roman" w:hAnsi="宋体" w:eastAsia="宋体" w:cs="宋体"/>
          <w:b/>
          <w:bCs/>
          <w:color w:val="auto"/>
          <w:kern w:val="44"/>
          <w:sz w:val="36"/>
          <w:szCs w:val="36"/>
          <w:lang w:val="en-US" w:eastAsia="zh-CN" w:bidi="ar-SA"/>
        </w:rPr>
        <w:t xml:space="preserve"> 磋商供应商须知</w:t>
      </w:r>
      <w:bookmarkEnd w:id="15"/>
      <w:bookmarkEnd w:id="17"/>
      <w:bookmarkEnd w:id="18"/>
    </w:p>
    <w:p>
      <w:pPr>
        <w:snapToGrid w:val="0"/>
        <w:spacing w:line="360" w:lineRule="auto"/>
        <w:jc w:val="center"/>
        <w:rPr>
          <w:rFonts w:hint="eastAsia" w:ascii="宋体" w:hAnsi="宋体" w:eastAsia="宋体" w:cs="宋体"/>
          <w:b/>
          <w:sz w:val="32"/>
          <w:szCs w:val="20"/>
        </w:rPr>
      </w:pPr>
      <w:r>
        <w:rPr>
          <w:rFonts w:hint="eastAsia" w:ascii="宋体" w:hAnsi="宋体" w:eastAsia="宋体" w:cs="宋体"/>
          <w:b/>
          <w:sz w:val="32"/>
          <w:szCs w:val="20"/>
        </w:rPr>
        <w:t>前附表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57" w:type="dxa"/>
          <w:left w:w="108" w:type="dxa"/>
          <w:bottom w:w="57" w:type="dxa"/>
          <w:right w:w="108" w:type="dxa"/>
        </w:tblCellMar>
      </w:tblPr>
      <w:tblGrid>
        <w:gridCol w:w="851"/>
        <w:gridCol w:w="1799"/>
        <w:gridCol w:w="63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tblHeader/>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项号</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内容</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说明与要求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lang w:eastAsia="zh-CN"/>
              </w:rPr>
            </w:pPr>
            <w:r>
              <w:rPr>
                <w:rFonts w:hint="eastAsia" w:ascii="宋体" w:hAnsi="宋体" w:cs="宋体"/>
                <w:color w:val="auto"/>
                <w:sz w:val="21"/>
                <w:szCs w:val="21"/>
                <w:lang w:eastAsia="zh-CN"/>
              </w:rPr>
              <w:t>瑞安市曹村镇宋岙溪河道治理工程</w:t>
            </w:r>
            <w:r>
              <w:rPr>
                <w:rFonts w:hint="eastAsia" w:ascii="宋体" w:hAnsi="宋体" w:eastAsia="宋体" w:cs="宋体"/>
                <w:color w:val="auto"/>
                <w:sz w:val="21"/>
                <w:szCs w:val="21"/>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项目编号</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FF0000"/>
                <w:sz w:val="21"/>
                <w:szCs w:val="21"/>
                <w:lang w:eastAsia="zh-CN"/>
              </w:rPr>
            </w:pPr>
            <w:r>
              <w:rPr>
                <w:rFonts w:hint="eastAsia" w:ascii="宋体" w:hAnsi="宋体" w:cs="宋体"/>
                <w:color w:val="auto"/>
                <w:sz w:val="21"/>
                <w:szCs w:val="21"/>
                <w:lang w:eastAsia="zh-CN"/>
              </w:rPr>
              <w:t>ZGCG2024002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采购方式</w:t>
            </w:r>
            <w:r>
              <w:rPr>
                <w:rFonts w:hint="eastAsia" w:ascii="宋体" w:hAnsi="宋体" w:eastAsia="宋体" w:cs="宋体"/>
                <w:color w:val="000000"/>
                <w:sz w:val="21"/>
                <w:szCs w:val="21"/>
                <w:lang w:eastAsia="zh-CN"/>
              </w:rPr>
              <w:t>及</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评标方法</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竞争性磋商；综合评分法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9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预算</w:t>
            </w:r>
            <w:r>
              <w:rPr>
                <w:rFonts w:hint="eastAsia" w:ascii="宋体" w:hAnsi="宋体" w:eastAsia="宋体" w:cs="宋体"/>
                <w:color w:val="auto"/>
                <w:sz w:val="21"/>
                <w:szCs w:val="21"/>
                <w:lang w:eastAsia="zh-CN"/>
              </w:rPr>
              <w:t>金额</w:t>
            </w:r>
            <w:r>
              <w:rPr>
                <w:rFonts w:hint="eastAsia" w:ascii="宋体" w:hAnsi="宋体" w:eastAsia="宋体" w:cs="宋体"/>
                <w:color w:val="auto"/>
                <w:sz w:val="21"/>
                <w:szCs w:val="21"/>
              </w:rPr>
              <w:t>及</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最高限价</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预算金额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1326731元</w:t>
            </w:r>
          </w:p>
          <w:p>
            <w:pPr>
              <w:pStyle w:val="19"/>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rPr>
              <w:t>最高限价：</w:t>
            </w:r>
            <w:r>
              <w:rPr>
                <w:rFonts w:hint="eastAsia" w:ascii="宋体" w:hAnsi="宋体" w:eastAsia="宋体" w:cs="宋体"/>
                <w:color w:val="auto"/>
                <w:sz w:val="21"/>
                <w:szCs w:val="21"/>
                <w:highlight w:val="none"/>
                <w:lang w:val="en-US" w:eastAsia="zh-CN"/>
              </w:rPr>
              <w:t>1326731元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是否专门面向</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中小企业采购</w:t>
            </w:r>
          </w:p>
        </w:tc>
        <w:tc>
          <w:tcPr>
            <w:tcW w:w="6384" w:type="dxa"/>
            <w:noWrap w:val="0"/>
            <w:vAlign w:val="top"/>
          </w:tcPr>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i w:val="0"/>
                <w:iCs w:val="0"/>
                <w:sz w:val="21"/>
                <w:szCs w:val="21"/>
                <w:lang w:eastAsia="zh-CN"/>
              </w:rPr>
            </w:pPr>
            <w:r>
              <w:rPr>
                <w:rFonts w:hint="eastAsia" w:ascii="宋体" w:hAnsi="宋体" w:eastAsia="宋体" w:cs="宋体"/>
                <w:i w:val="0"/>
                <w:iCs w:val="0"/>
                <w:sz w:val="21"/>
                <w:szCs w:val="21"/>
              </w:rPr>
              <w:t>根据《政府采购促进中小企业发展管理办法》（财库[2020]46号）规定，本项目属于</w:t>
            </w:r>
            <w:r>
              <w:rPr>
                <w:rFonts w:hint="eastAsia" w:ascii="宋体" w:hAnsi="宋体" w:eastAsia="宋体" w:cs="宋体"/>
                <w:i w:val="0"/>
                <w:iCs w:val="0"/>
                <w:sz w:val="21"/>
                <w:szCs w:val="21"/>
                <w:lang w:eastAsia="zh-CN"/>
              </w:rPr>
              <w:t>：</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i w:val="0"/>
                <w:iCs w:val="0"/>
                <w:sz w:val="21"/>
                <w:szCs w:val="21"/>
              </w:rPr>
            </w:pPr>
            <w:r>
              <w:rPr>
                <w:rFonts w:hint="eastAsia" w:ascii="宋体" w:hAnsi="宋体" w:eastAsia="宋体" w:cs="宋体"/>
                <w:i w:val="0"/>
                <w:iCs w:val="0"/>
                <w:kern w:val="0"/>
                <w:sz w:val="21"/>
                <w:szCs w:val="21"/>
                <w:lang w:val="en-US" w:eastAsia="zh-CN" w:bidi="ar-SA"/>
              </w:rPr>
              <w:sym w:font="Wingdings" w:char="00FE"/>
            </w:r>
            <w:r>
              <w:rPr>
                <w:rFonts w:hint="eastAsia" w:ascii="宋体" w:hAnsi="宋体" w:eastAsia="宋体" w:cs="宋体"/>
                <w:i w:val="0"/>
                <w:iCs w:val="0"/>
                <w:sz w:val="21"/>
                <w:szCs w:val="21"/>
              </w:rPr>
              <w:t>预留份额专门面向中小企业采购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i w:val="0"/>
                <w:iCs w:val="0"/>
                <w:sz w:val="21"/>
                <w:szCs w:val="21"/>
              </w:rPr>
            </w:pPr>
            <w:r>
              <w:rPr>
                <w:rFonts w:hint="eastAsia" w:ascii="宋体" w:hAnsi="宋体" w:eastAsia="宋体" w:cs="宋体"/>
                <w:i w:val="0"/>
                <w:iCs w:val="0"/>
                <w:kern w:val="0"/>
                <w:sz w:val="21"/>
                <w:szCs w:val="21"/>
                <w:lang w:val="en-US" w:eastAsia="zh-CN" w:bidi="ar-SA"/>
              </w:rPr>
              <w:sym w:font="Wingdings" w:char="00A8"/>
            </w:r>
            <w:r>
              <w:rPr>
                <w:rFonts w:hint="eastAsia" w:ascii="宋体" w:hAnsi="宋体" w:eastAsia="宋体" w:cs="宋体"/>
                <w:i w:val="0"/>
                <w:iCs w:val="0"/>
                <w:sz w:val="21"/>
                <w:szCs w:val="21"/>
              </w:rPr>
              <w:t>部分预留份额项目面向中小企业采购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i w:val="0"/>
                <w:iCs w:val="0"/>
                <w:sz w:val="21"/>
                <w:szCs w:val="21"/>
              </w:rPr>
            </w:pPr>
            <w:r>
              <w:rPr>
                <w:rFonts w:hint="eastAsia" w:ascii="宋体" w:hAnsi="宋体" w:eastAsia="宋体" w:cs="宋体"/>
                <w:i w:val="0"/>
                <w:iCs w:val="0"/>
                <w:kern w:val="0"/>
                <w:sz w:val="21"/>
                <w:szCs w:val="21"/>
                <w:lang w:val="en-US" w:eastAsia="zh-CN" w:bidi="ar-SA"/>
              </w:rPr>
              <w:sym w:font="Wingdings" w:char="00A8"/>
            </w:r>
            <w:r>
              <w:rPr>
                <w:rFonts w:hint="eastAsia" w:ascii="宋体" w:hAnsi="宋体" w:eastAsia="宋体" w:cs="宋体"/>
                <w:i w:val="0"/>
                <w:iCs w:val="0"/>
                <w:sz w:val="21"/>
                <w:szCs w:val="21"/>
              </w:rPr>
              <w:t>未预留份额专门面向中小企业采购</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i w:val="0"/>
                <w:iCs w:val="0"/>
                <w:sz w:val="21"/>
                <w:szCs w:val="21"/>
              </w:rPr>
            </w:pPr>
            <w:r>
              <w:rPr>
                <w:rFonts w:hint="eastAsia" w:ascii="宋体" w:hAnsi="宋体" w:eastAsia="宋体" w:cs="宋体"/>
                <w:i w:val="0"/>
                <w:iCs w:val="0"/>
                <w:sz w:val="21"/>
                <w:szCs w:val="21"/>
              </w:rPr>
              <w:t>针对本项目的相关规定：</w:t>
            </w:r>
          </w:p>
          <w:p>
            <w:pPr>
              <w:keepNext w:val="0"/>
              <w:keepLines w:val="0"/>
              <w:pageBreakBefore w:val="0"/>
              <w:widowControl/>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i w:val="0"/>
                <w:iCs w:val="0"/>
                <w:sz w:val="21"/>
                <w:szCs w:val="21"/>
              </w:rPr>
              <w:t>本项目对符合《政府采购促进中小企</w:t>
            </w:r>
            <w:r>
              <w:rPr>
                <w:rFonts w:hint="eastAsia" w:ascii="宋体" w:hAnsi="宋体" w:eastAsia="宋体" w:cs="宋体"/>
                <w:i w:val="0"/>
                <w:iCs w:val="0"/>
                <w:color w:val="auto"/>
                <w:sz w:val="21"/>
                <w:szCs w:val="21"/>
              </w:rPr>
              <w:t>业发展管理办法》（财库〔20</w:t>
            </w:r>
            <w:r>
              <w:rPr>
                <w:rFonts w:hint="eastAsia" w:ascii="宋体" w:hAnsi="宋体" w:eastAsia="宋体" w:cs="宋体"/>
                <w:i w:val="0"/>
                <w:iCs w:val="0"/>
                <w:color w:val="auto"/>
                <w:sz w:val="21"/>
                <w:szCs w:val="21"/>
                <w:lang w:eastAsia="zh-CN"/>
              </w:rPr>
              <w:t>2</w:t>
            </w:r>
            <w:r>
              <w:rPr>
                <w:rFonts w:hint="eastAsia" w:ascii="宋体" w:hAnsi="宋体" w:eastAsia="宋体" w:cs="宋体"/>
                <w:i w:val="0"/>
                <w:iCs w:val="0"/>
                <w:color w:val="auto"/>
                <w:sz w:val="21"/>
                <w:szCs w:val="21"/>
                <w:lang w:val="en-US" w:eastAsia="zh-CN"/>
              </w:rPr>
              <w:t>0</w:t>
            </w:r>
            <w:r>
              <w:rPr>
                <w:rFonts w:hint="eastAsia" w:ascii="宋体" w:hAnsi="宋体" w:eastAsia="宋体" w:cs="宋体"/>
                <w:i w:val="0"/>
                <w:iCs w:val="0"/>
                <w:color w:val="auto"/>
                <w:sz w:val="21"/>
                <w:szCs w:val="21"/>
              </w:rPr>
              <w:t>〕46号）规定的小微企业报价给予</w:t>
            </w:r>
            <w:r>
              <w:rPr>
                <w:rFonts w:hint="eastAsia" w:ascii="宋体" w:hAnsi="宋体" w:eastAsia="宋体" w:cs="宋体"/>
                <w:i w:val="0"/>
                <w:iCs w:val="0"/>
                <w:color w:val="auto"/>
                <w:sz w:val="21"/>
                <w:szCs w:val="21"/>
                <w:lang w:val="en-US" w:eastAsia="zh-CN"/>
              </w:rPr>
              <w:t xml:space="preserve"> </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rPr>
              <w:t>0%</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20%</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rPr>
              <w:t>的扣除，用扣除后的价格参加评审。接受大中型企业与小微企业组成联合体或者允许大中型企业向一家或者多家小微企业分包的采购项目，对于联合协议或者分包意向协议约定小微企业的合同份额占到合同总金额30%以上的，采购单位、采购代理机构应结合项目实际，对联合体或者大中型企业的报价</w:t>
            </w:r>
            <w:r>
              <w:rPr>
                <w:rFonts w:hint="eastAsia" w:ascii="宋体" w:hAnsi="宋体" w:eastAsia="宋体" w:cs="宋体"/>
                <w:i w:val="0"/>
                <w:iCs w:val="0"/>
                <w:color w:val="auto"/>
                <w:sz w:val="21"/>
                <w:szCs w:val="21"/>
                <w:lang w:eastAsia="zh-CN"/>
              </w:rPr>
              <w:t>给予</w:t>
            </w:r>
            <w:r>
              <w:rPr>
                <w:rFonts w:hint="eastAsia" w:ascii="宋体" w:hAnsi="宋体" w:eastAsia="宋体" w:cs="宋体"/>
                <w:i w:val="0"/>
                <w:iCs w:val="0"/>
                <w:color w:val="auto"/>
                <w:sz w:val="21"/>
                <w:szCs w:val="21"/>
                <w:u w:val="single"/>
                <w:lang w:val="en-US" w:eastAsia="zh-CN"/>
              </w:rPr>
              <w:t xml:space="preserve"> /</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4%-6%</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lang w:eastAsia="zh-CN"/>
              </w:rPr>
              <w:t>的</w:t>
            </w:r>
            <w:r>
              <w:rPr>
                <w:rFonts w:hint="eastAsia" w:ascii="宋体" w:hAnsi="宋体" w:eastAsia="宋体" w:cs="宋体"/>
                <w:i w:val="0"/>
                <w:iCs w:val="0"/>
                <w:color w:val="auto"/>
                <w:sz w:val="21"/>
                <w:szCs w:val="21"/>
              </w:rPr>
              <w:t xml:space="preserve">扣除，用扣除后的价格参加评审。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rPr>
              <w:t>项目属性</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sym w:font="Wingdings" w:char="00A8"/>
            </w:r>
            <w:r>
              <w:rPr>
                <w:rFonts w:hint="eastAsia" w:ascii="宋体" w:hAnsi="宋体" w:eastAsia="宋体" w:cs="宋体"/>
                <w:kern w:val="0"/>
                <w:sz w:val="21"/>
                <w:szCs w:val="21"/>
              </w:rPr>
              <w:t>A货物类，单一产品或核心产品为：</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sym w:font="Wingdings" w:char="00A8"/>
            </w:r>
            <w:r>
              <w:rPr>
                <w:rFonts w:hint="eastAsia" w:ascii="宋体" w:hAnsi="宋体" w:eastAsia="宋体" w:cs="宋体"/>
                <w:kern w:val="0"/>
                <w:sz w:val="21"/>
                <w:szCs w:val="21"/>
              </w:rPr>
              <w:t>B服务类。</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SA"/>
              </w:rPr>
              <w:sym w:font="Wingdings" w:char="00FE"/>
            </w:r>
            <w:r>
              <w:rPr>
                <w:rFonts w:hint="eastAsia" w:ascii="宋体" w:hAnsi="宋体" w:eastAsia="宋体" w:cs="宋体"/>
                <w:kern w:val="0"/>
                <w:sz w:val="21"/>
                <w:szCs w:val="21"/>
                <w:lang w:val="en-US" w:eastAsia="zh-CN"/>
              </w:rPr>
              <w:t>C工程</w:t>
            </w:r>
            <w:r>
              <w:rPr>
                <w:rFonts w:hint="eastAsia" w:ascii="宋体" w:hAnsi="宋体" w:eastAsia="宋体" w:cs="宋体"/>
                <w:kern w:val="0"/>
                <w:sz w:val="21"/>
                <w:szCs w:val="21"/>
              </w:rPr>
              <w:t>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采购标的及其对应的中小企业划分标准所属行业</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（1）标的：</w:t>
            </w:r>
            <w:r>
              <w:rPr>
                <w:rFonts w:hint="eastAsia" w:ascii="宋体" w:hAnsi="宋体" w:cs="宋体"/>
                <w:color w:val="auto"/>
                <w:sz w:val="21"/>
                <w:szCs w:val="21"/>
                <w:u w:val="single"/>
                <w:lang w:val="en-US" w:eastAsia="zh-CN"/>
              </w:rPr>
              <w:t>瑞安市曹村镇宋岙溪河道治理工程</w:t>
            </w:r>
            <w:r>
              <w:rPr>
                <w:rFonts w:hint="eastAsia" w:ascii="宋体" w:hAnsi="宋体" w:eastAsia="宋体" w:cs="宋体"/>
                <w:color w:val="auto"/>
                <w:sz w:val="21"/>
                <w:szCs w:val="21"/>
                <w:lang w:val="en-US" w:eastAsia="zh-CN"/>
              </w:rPr>
              <w:t>；属于</w:t>
            </w:r>
            <w:r>
              <w:rPr>
                <w:rFonts w:hint="eastAsia" w:ascii="宋体" w:hAnsi="宋体" w:eastAsia="宋体" w:cs="宋体"/>
                <w:color w:val="auto"/>
                <w:sz w:val="21"/>
                <w:szCs w:val="21"/>
                <w:u w:val="single"/>
                <w:lang w:val="en-US" w:eastAsia="zh-CN"/>
              </w:rPr>
              <w:t>建筑业</w:t>
            </w:r>
            <w:r>
              <w:rPr>
                <w:rFonts w:hint="eastAsia" w:ascii="宋体" w:hAnsi="宋体" w:eastAsia="宋体" w:cs="宋体"/>
                <w:color w:val="auto"/>
                <w:sz w:val="21"/>
                <w:szCs w:val="21"/>
                <w:lang w:val="en-US" w:eastAsia="zh-CN"/>
              </w:rPr>
              <w:t>行业。</w:t>
            </w:r>
          </w:p>
          <w:p>
            <w:pPr>
              <w:pStyle w:val="11"/>
              <w:keepNext w:val="0"/>
              <w:keepLines w:val="0"/>
              <w:pageBreakBefore w:val="0"/>
              <w:kinsoku/>
              <w:wordWrap/>
              <w:overflowPunct/>
              <w:topLinePunct w:val="0"/>
              <w:autoSpaceDE/>
              <w:autoSpaceDN/>
              <w:bidi w:val="0"/>
              <w:adjustRightInd w:val="0"/>
              <w:spacing w:line="240" w:lineRule="auto"/>
              <w:ind w:left="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lang w:eastAsia="zh-CN"/>
              </w:rPr>
              <w:t>注：磋商供应商应属于磋商文件中明确的行业所对应的中小企业/小微企业；（监狱企业、残疾人福利性单位视同小型、微型企业。）</w:t>
            </w:r>
            <w:r>
              <w:rPr>
                <w:rFonts w:hint="eastAsia" w:ascii="宋体" w:hAnsi="宋体" w:eastAsia="宋体" w:cs="宋体"/>
                <w:color w:val="auto"/>
                <w:kern w:val="0"/>
                <w:sz w:val="21"/>
                <w:szCs w:val="21"/>
                <w:highlight w:val="none"/>
              </w:rPr>
              <w:t>中小企业的划分标准依据《关于印发中小企业划型标准规定的通知》（工信部联企业〔2011〕300号）文件执行</w:t>
            </w:r>
            <w:r>
              <w:rPr>
                <w:rFonts w:hint="eastAsia" w:ascii="宋体" w:hAnsi="宋体" w:eastAsia="宋体" w:cs="宋体"/>
                <w:color w:val="auto"/>
                <w:kern w:val="0"/>
                <w:sz w:val="21"/>
                <w:szCs w:val="21"/>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8</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rPr>
              <w:t>是否允许</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rPr>
              <w:t>采购进口产品</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sym w:font="Wingdings" w:char="00FE"/>
            </w:r>
            <w:r>
              <w:rPr>
                <w:rFonts w:hint="eastAsia" w:ascii="宋体" w:hAnsi="宋体" w:eastAsia="宋体" w:cs="宋体"/>
                <w:kern w:val="0"/>
                <w:sz w:val="21"/>
                <w:szCs w:val="21"/>
              </w:rPr>
              <w:t>本项目不允许采购进口产品。</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rPr>
            </w:pPr>
            <w:r>
              <w:rPr>
                <w:rFonts w:hint="eastAsia" w:ascii="宋体" w:hAnsi="宋体" w:eastAsia="宋体" w:cs="宋体"/>
                <w:kern w:val="0"/>
                <w:sz w:val="21"/>
                <w:szCs w:val="21"/>
              </w:rPr>
              <w:sym w:font="Wingdings" w:char="00A8"/>
            </w:r>
            <w:r>
              <w:rPr>
                <w:rFonts w:hint="eastAsia" w:ascii="宋体" w:hAnsi="宋体" w:eastAsia="宋体" w:cs="宋体"/>
                <w:kern w:val="0"/>
                <w:sz w:val="21"/>
                <w:szCs w:val="21"/>
              </w:rPr>
              <w:t>可以采购进口产品，优先采购向我国企业转让技术、与我国企业签订消化吸收再创新方案的供应商的进口产品；如果因信息不对称等原因，仍有满足需求的国内产品要求参与采购竞争的，采购人及其委托的采购代理机构不</w:t>
            </w:r>
            <w:r>
              <w:rPr>
                <w:rFonts w:hint="eastAsia" w:ascii="宋体" w:hAnsi="宋体" w:eastAsia="宋体" w:cs="宋体"/>
                <w:kern w:val="0"/>
                <w:sz w:val="21"/>
                <w:szCs w:val="21"/>
                <w:lang w:eastAsia="zh-CN"/>
              </w:rPr>
              <w:t>会</w:t>
            </w:r>
            <w:r>
              <w:rPr>
                <w:rFonts w:hint="eastAsia" w:ascii="宋体" w:hAnsi="宋体" w:eastAsia="宋体" w:cs="宋体"/>
                <w:kern w:val="0"/>
                <w:sz w:val="21"/>
                <w:szCs w:val="21"/>
              </w:rPr>
              <w:t>对其加以限制，将按照公平竞争原则实施采购。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FF0000"/>
                <w:sz w:val="21"/>
                <w:szCs w:val="21"/>
              </w:rPr>
            </w:pPr>
            <w:r>
              <w:rPr>
                <w:rFonts w:hint="eastAsia" w:ascii="宋体" w:hAnsi="宋体" w:eastAsia="宋体" w:cs="宋体"/>
                <w:color w:val="000000"/>
                <w:sz w:val="21"/>
                <w:szCs w:val="21"/>
              </w:rPr>
              <w:t>是否允许分包</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sym w:font="Wingdings" w:char="00FE"/>
            </w:r>
            <w:r>
              <w:rPr>
                <w:rFonts w:hint="eastAsia" w:ascii="宋体" w:hAnsi="宋体" w:eastAsia="宋体" w:cs="宋体"/>
                <w:color w:val="000000"/>
                <w:sz w:val="21"/>
                <w:szCs w:val="21"/>
              </w:rPr>
              <w:t>不</w:t>
            </w:r>
            <w:r>
              <w:rPr>
                <w:rFonts w:hint="eastAsia" w:ascii="宋体" w:hAnsi="宋体" w:eastAsia="宋体" w:cs="宋体"/>
                <w:color w:val="000000"/>
                <w:sz w:val="21"/>
                <w:szCs w:val="21"/>
                <w:lang w:eastAsia="zh-CN"/>
              </w:rPr>
              <w:t>允许</w:t>
            </w:r>
            <w:r>
              <w:rPr>
                <w:rFonts w:hint="eastAsia" w:ascii="宋体" w:hAnsi="宋体" w:eastAsia="宋体" w:cs="宋体"/>
                <w:color w:val="000000"/>
                <w:sz w:val="21"/>
                <w:szCs w:val="21"/>
              </w:rPr>
              <w:t>分包。</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FF0000"/>
                <w:sz w:val="21"/>
                <w:szCs w:val="21"/>
              </w:rPr>
            </w:pPr>
            <w:r>
              <w:rPr>
                <w:rFonts w:hint="eastAsia" w:ascii="宋体" w:hAnsi="宋体" w:eastAsia="宋体" w:cs="宋体"/>
                <w:kern w:val="0"/>
                <w:sz w:val="21"/>
                <w:szCs w:val="21"/>
              </w:rPr>
              <w:sym w:font="Wingdings" w:char="00A8"/>
            </w:r>
            <w:r>
              <w:rPr>
                <w:rFonts w:hint="eastAsia" w:ascii="宋体" w:hAnsi="宋体" w:eastAsia="宋体" w:cs="宋体"/>
                <w:kern w:val="0"/>
                <w:sz w:val="21"/>
                <w:szCs w:val="21"/>
                <w:lang w:eastAsia="zh-CN"/>
              </w:rPr>
              <w:t>允许</w:t>
            </w:r>
            <w:r>
              <w:rPr>
                <w:rFonts w:hint="eastAsia" w:ascii="宋体" w:hAnsi="宋体" w:eastAsia="宋体" w:cs="宋体"/>
                <w:kern w:val="0"/>
                <w:sz w:val="21"/>
                <w:szCs w:val="21"/>
              </w:rPr>
              <w:t>将非主体、非关键性的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工作分包。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是否接受</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联合体投标</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sym w:font="Wingdings" w:char="00FE"/>
            </w:r>
            <w:r>
              <w:rPr>
                <w:rFonts w:hint="eastAsia" w:ascii="宋体" w:hAnsi="宋体" w:eastAsia="宋体" w:cs="宋体"/>
                <w:color w:val="auto"/>
                <w:sz w:val="21"/>
                <w:szCs w:val="21"/>
              </w:rPr>
              <w:t>不接受</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sym w:font="Wingdings" w:char="00A8"/>
            </w:r>
            <w:r>
              <w:rPr>
                <w:rFonts w:hint="eastAsia" w:ascii="宋体" w:hAnsi="宋体" w:eastAsia="宋体" w:cs="宋体"/>
                <w:color w:val="auto"/>
                <w:sz w:val="21"/>
                <w:szCs w:val="21"/>
              </w:rPr>
              <w:t xml:space="preserve">接受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rPr>
              <w:t>投标保证金</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不需要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是否需要缴纳</w:t>
            </w:r>
          </w:p>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履约保证金</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000000"/>
                <w:sz w:val="21"/>
                <w:szCs w:val="21"/>
              </w:rPr>
            </w:pPr>
            <w:r>
              <w:rPr>
                <w:rFonts w:hint="eastAsia" w:ascii="宋体" w:hAnsi="宋体" w:eastAsia="宋体" w:cs="宋体"/>
                <w:kern w:val="0"/>
                <w:sz w:val="21"/>
                <w:szCs w:val="21"/>
              </w:rPr>
              <w:sym w:font="Wingdings" w:char="00A8"/>
            </w:r>
            <w:r>
              <w:rPr>
                <w:rFonts w:hint="eastAsia" w:ascii="宋体" w:hAnsi="宋体" w:eastAsia="宋体" w:cs="宋体"/>
                <w:color w:val="000000"/>
                <w:sz w:val="21"/>
                <w:szCs w:val="21"/>
              </w:rPr>
              <w:t>不需要</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kern w:val="0"/>
                <w:sz w:val="21"/>
                <w:szCs w:val="21"/>
              </w:rPr>
              <w:sym w:font="Wingdings" w:char="00FE"/>
            </w:r>
            <w:r>
              <w:rPr>
                <w:rFonts w:hint="eastAsia" w:ascii="宋体" w:hAnsi="宋体" w:eastAsia="宋体" w:cs="宋体"/>
                <w:color w:val="000000"/>
                <w:sz w:val="21"/>
                <w:szCs w:val="21"/>
              </w:rPr>
              <w:t>需要</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eastAsia="zh-CN"/>
              </w:rPr>
              <w:t>本项目合同金额的</w:t>
            </w:r>
            <w:r>
              <w:rPr>
                <w:rFonts w:hint="eastAsia" w:ascii="宋体" w:hAnsi="宋体" w:eastAsia="宋体" w:cs="宋体"/>
                <w:color w:val="000000"/>
                <w:sz w:val="21"/>
                <w:szCs w:val="21"/>
                <w:u w:val="single"/>
                <w:lang w:val="en-US" w:eastAsia="zh-CN"/>
              </w:rPr>
              <w:t xml:space="preserve"> 1 </w:t>
            </w:r>
            <w:r>
              <w:rPr>
                <w:rFonts w:hint="eastAsia" w:ascii="宋体" w:hAnsi="宋体" w:eastAsia="宋体" w:cs="宋体"/>
                <w:color w:val="000000"/>
                <w:sz w:val="21"/>
                <w:szCs w:val="21"/>
                <w:lang w:val="en-US" w:eastAsia="zh-CN"/>
              </w:rPr>
              <w:t>%</w:t>
            </w:r>
            <w:r>
              <w:rPr>
                <w:rFonts w:hint="eastAsia" w:ascii="宋体" w:hAnsi="宋体" w:eastAsia="宋体" w:cs="宋体"/>
                <w:b w:val="0"/>
                <w:bCs w:val="0"/>
                <w:color w:val="FF0000"/>
                <w:sz w:val="21"/>
                <w:szCs w:val="21"/>
              </w:rPr>
              <w:t xml:space="preserve"> </w:t>
            </w:r>
            <w:r>
              <w:rPr>
                <w:rFonts w:hint="eastAsia" w:ascii="宋体" w:hAnsi="宋体" w:eastAsia="宋体" w:cs="宋体"/>
                <w:b w:val="0"/>
                <w:bCs w:val="0"/>
                <w:color w:val="auto"/>
                <w:sz w:val="21"/>
                <w:szCs w:val="21"/>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9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预付款</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rPr>
            </w:pPr>
            <w:r>
              <w:rPr>
                <w:rFonts w:hint="eastAsia" w:ascii="宋体" w:hAnsi="宋体" w:eastAsia="宋体" w:cs="宋体"/>
                <w:kern w:val="0"/>
                <w:sz w:val="21"/>
                <w:szCs w:val="21"/>
              </w:rPr>
              <w:sym w:font="Wingdings" w:char="00FE"/>
            </w:r>
            <w:r>
              <w:rPr>
                <w:rFonts w:hint="eastAsia" w:ascii="宋体" w:hAnsi="宋体" w:eastAsia="宋体" w:cs="宋体"/>
                <w:sz w:val="21"/>
                <w:szCs w:val="21"/>
                <w:lang w:val="en-US" w:eastAsia="zh-CN"/>
              </w:rPr>
              <w:t>预付款为本项目采购</w:t>
            </w:r>
            <w:r>
              <w:rPr>
                <w:rFonts w:hint="eastAsia" w:ascii="宋体" w:hAnsi="宋体" w:eastAsia="宋体" w:cs="宋体"/>
                <w:sz w:val="21"/>
                <w:szCs w:val="21"/>
              </w:rPr>
              <w:t>合同金额的</w:t>
            </w:r>
            <w:r>
              <w:rPr>
                <w:rFonts w:hint="eastAsia" w:ascii="宋体" w:hAnsi="宋体" w:eastAsia="宋体" w:cs="宋体"/>
                <w:sz w:val="21"/>
                <w:szCs w:val="21"/>
                <w:u w:val="single"/>
                <w:lang w:val="en-US" w:eastAsia="zh-CN"/>
              </w:rPr>
              <w:t xml:space="preserve"> 40 </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rPr>
            </w:pPr>
            <w:r>
              <w:rPr>
                <w:rFonts w:hint="eastAsia" w:ascii="宋体" w:hAnsi="宋体" w:eastAsia="宋体" w:cs="宋体"/>
                <w:kern w:val="0"/>
                <w:sz w:val="21"/>
                <w:szCs w:val="21"/>
              </w:rPr>
              <w:sym w:font="Wingdings" w:char="00A8"/>
            </w:r>
            <w:r>
              <w:rPr>
                <w:rFonts w:hint="eastAsia" w:ascii="宋体" w:hAnsi="宋体" w:eastAsia="宋体" w:cs="宋体"/>
                <w:sz w:val="21"/>
                <w:szCs w:val="21"/>
                <w:lang w:val="en-US" w:eastAsia="zh-CN"/>
              </w:rPr>
              <w:t>本</w:t>
            </w:r>
            <w:r>
              <w:rPr>
                <w:rFonts w:hint="eastAsia" w:ascii="宋体" w:hAnsi="宋体" w:eastAsia="宋体" w:cs="宋体"/>
                <w:sz w:val="21"/>
                <w:szCs w:val="21"/>
              </w:rPr>
              <w:t>项目</w:t>
            </w:r>
            <w:r>
              <w:rPr>
                <w:rFonts w:hint="eastAsia" w:ascii="宋体" w:hAnsi="宋体" w:eastAsia="宋体" w:cs="宋体"/>
                <w:sz w:val="21"/>
                <w:szCs w:val="21"/>
                <w:lang w:val="en-US" w:eastAsia="zh-CN"/>
              </w:rPr>
              <w:t>为</w:t>
            </w:r>
            <w:r>
              <w:rPr>
                <w:rFonts w:hint="eastAsia" w:ascii="宋体" w:hAnsi="宋体" w:eastAsia="宋体" w:cs="宋体"/>
                <w:sz w:val="21"/>
                <w:szCs w:val="21"/>
              </w:rPr>
              <w:t>分年</w:t>
            </w:r>
            <w:r>
              <w:rPr>
                <w:rFonts w:hint="eastAsia" w:ascii="宋体" w:hAnsi="宋体" w:eastAsia="宋体" w:cs="宋体"/>
                <w:sz w:val="21"/>
                <w:szCs w:val="21"/>
                <w:lang w:val="en-US" w:eastAsia="zh-CN"/>
              </w:rPr>
              <w:t>度</w:t>
            </w:r>
            <w:r>
              <w:rPr>
                <w:rFonts w:hint="eastAsia" w:ascii="宋体" w:hAnsi="宋体" w:eastAsia="宋体" w:cs="宋体"/>
                <w:sz w:val="21"/>
                <w:szCs w:val="21"/>
              </w:rPr>
              <w:t>安排预算，每年预付款为项目年度计划支付资金额的</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rPr>
              <w:sym w:font="Wingdings" w:char="00A8"/>
            </w:r>
            <w:r>
              <w:rPr>
                <w:rFonts w:hint="eastAsia" w:ascii="宋体" w:hAnsi="宋体" w:eastAsia="宋体" w:cs="宋体"/>
                <w:sz w:val="21"/>
                <w:szCs w:val="21"/>
                <w:lang w:val="en-US" w:eastAsia="zh-CN"/>
              </w:rPr>
              <w:t>本</w:t>
            </w:r>
            <w:r>
              <w:rPr>
                <w:rFonts w:hint="eastAsia" w:ascii="宋体" w:hAnsi="宋体" w:eastAsia="宋体" w:cs="宋体"/>
                <w:sz w:val="21"/>
                <w:szCs w:val="21"/>
              </w:rPr>
              <w:t>项目</w:t>
            </w:r>
            <w:r>
              <w:rPr>
                <w:rFonts w:hint="eastAsia" w:ascii="宋体" w:hAnsi="宋体" w:eastAsia="宋体" w:cs="宋体"/>
                <w:sz w:val="21"/>
                <w:szCs w:val="21"/>
                <w:lang w:val="en-US" w:eastAsia="zh-CN"/>
              </w:rPr>
              <w:t>为</w:t>
            </w:r>
            <w:r>
              <w:rPr>
                <w:rFonts w:hint="eastAsia" w:ascii="宋体" w:hAnsi="宋体" w:eastAsia="宋体" w:cs="宋体"/>
                <w:sz w:val="21"/>
                <w:szCs w:val="21"/>
              </w:rPr>
              <w:t>实施以人工投入为主</w:t>
            </w:r>
            <w:r>
              <w:rPr>
                <w:rFonts w:hint="eastAsia" w:ascii="宋体" w:hAnsi="宋体" w:eastAsia="宋体" w:cs="宋体"/>
                <w:sz w:val="21"/>
                <w:szCs w:val="21"/>
                <w:lang w:val="en-US" w:eastAsia="zh-CN"/>
              </w:rPr>
              <w:t>且按月支付，不约定预付款。</w:t>
            </w:r>
          </w:p>
          <w:p>
            <w:pPr>
              <w:pStyle w:val="6"/>
              <w:keepNext w:val="0"/>
              <w:keepLines w:val="0"/>
              <w:pageBreakBefore w:val="0"/>
              <w:kinsoku/>
              <w:wordWrap/>
              <w:overflowPunct/>
              <w:topLinePunct w:val="0"/>
              <w:autoSpaceDE/>
              <w:autoSpaceDN/>
              <w:bidi w:val="0"/>
              <w:adjustRightInd w:val="0"/>
              <w:spacing w:line="240" w:lineRule="auto"/>
              <w:ind w:left="0" w:leftChars="0" w:right="0" w:rightChars="0"/>
              <w:jc w:val="both"/>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rPr>
              <w:sym w:font="Wingdings" w:char="00A8"/>
            </w:r>
            <w:r>
              <w:rPr>
                <w:rFonts w:hint="eastAsia" w:ascii="宋体" w:hAnsi="宋体" w:eastAsia="宋体" w:cs="宋体"/>
                <w:sz w:val="21"/>
                <w:szCs w:val="21"/>
                <w:lang w:val="en-US" w:eastAsia="zh-CN"/>
              </w:rPr>
              <w:t>成交供应商如为大型企业，采购人可不约定预付款。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1799"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投标有效期</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提交</w:t>
            </w:r>
            <w:r>
              <w:rPr>
                <w:rFonts w:hint="eastAsia" w:ascii="宋体" w:hAnsi="宋体" w:eastAsia="宋体" w:cs="宋体"/>
                <w:sz w:val="21"/>
                <w:szCs w:val="21"/>
                <w:lang w:eastAsia="zh-CN"/>
              </w:rPr>
              <w:t>磋商响应文件</w:t>
            </w:r>
            <w:r>
              <w:rPr>
                <w:rFonts w:hint="eastAsia" w:ascii="宋体" w:hAnsi="宋体" w:eastAsia="宋体" w:cs="宋体"/>
                <w:sz w:val="21"/>
                <w:szCs w:val="21"/>
              </w:rPr>
              <w:t>截止之日起</w:t>
            </w:r>
            <w:r>
              <w:rPr>
                <w:rFonts w:hint="eastAsia" w:ascii="宋体" w:hAnsi="宋体" w:eastAsia="宋体" w:cs="宋体"/>
                <w:sz w:val="21"/>
                <w:szCs w:val="21"/>
                <w:u w:val="single"/>
                <w:lang w:val="en-US" w:eastAsia="zh-CN"/>
              </w:rPr>
              <w:t xml:space="preserve"> </w:t>
            </w:r>
            <w:r>
              <w:rPr>
                <w:rFonts w:hint="eastAsia" w:ascii="宋体" w:hAnsi="宋体" w:cs="宋体"/>
                <w:sz w:val="21"/>
                <w:szCs w:val="21"/>
                <w:u w:val="single"/>
                <w:lang w:val="en-US" w:eastAsia="zh-CN"/>
              </w:rPr>
              <w:t>90</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highlight w:val="none"/>
                <w:u w:val="none"/>
                <w:lang w:eastAsia="zh-CN"/>
              </w:rPr>
              <w:t>日</w:t>
            </w:r>
            <w:r>
              <w:rPr>
                <w:rFonts w:hint="eastAsia" w:ascii="宋体" w:hAnsi="宋体" w:eastAsia="宋体" w:cs="宋体"/>
                <w:sz w:val="21"/>
                <w:szCs w:val="21"/>
              </w:rPr>
              <w:t>内有效。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15</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
                <w:kern w:val="2"/>
                <w:sz w:val="21"/>
                <w:szCs w:val="21"/>
                <w:lang w:val="en-US" w:eastAsia="zh-CN" w:bidi="ar-SA"/>
              </w:rPr>
            </w:pPr>
            <w:r>
              <w:rPr>
                <w:rFonts w:hint="eastAsia" w:ascii="宋体" w:hAnsi="宋体" w:eastAsia="宋体" w:cs="宋体"/>
                <w:b w:val="0"/>
                <w:bCs/>
                <w:sz w:val="21"/>
                <w:szCs w:val="21"/>
              </w:rPr>
              <w:t>开标前答疑会或现场考察</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rPr>
            </w:pPr>
            <w:r>
              <w:rPr>
                <w:rFonts w:hint="eastAsia" w:ascii="宋体" w:hAnsi="宋体" w:eastAsia="宋体" w:cs="宋体"/>
                <w:kern w:val="0"/>
                <w:sz w:val="21"/>
                <w:szCs w:val="21"/>
              </w:rPr>
              <w:sym w:font="Wingdings" w:char="00FE"/>
            </w:r>
            <w:r>
              <w:rPr>
                <w:rFonts w:hint="eastAsia" w:ascii="宋体" w:hAnsi="宋体" w:eastAsia="宋体" w:cs="宋体"/>
                <w:kern w:val="0"/>
                <w:sz w:val="21"/>
                <w:szCs w:val="21"/>
              </w:rPr>
              <w:t>A</w:t>
            </w:r>
            <w:r>
              <w:rPr>
                <w:rFonts w:hint="eastAsia" w:ascii="宋体" w:hAnsi="宋体" w:eastAsia="宋体" w:cs="宋体"/>
                <w:sz w:val="21"/>
                <w:szCs w:val="21"/>
              </w:rPr>
              <w:t>不组织。</w:t>
            </w:r>
          </w:p>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sym w:font="Wingdings" w:char="00A8"/>
            </w:r>
            <w:r>
              <w:rPr>
                <w:rFonts w:hint="eastAsia" w:ascii="宋体" w:hAnsi="宋体" w:eastAsia="宋体" w:cs="宋体"/>
                <w:kern w:val="0"/>
                <w:sz w:val="21"/>
                <w:szCs w:val="21"/>
              </w:rPr>
              <w:t>B组织，</w:t>
            </w:r>
            <w:r>
              <w:rPr>
                <w:rFonts w:hint="eastAsia" w:ascii="宋体" w:hAnsi="宋体" w:eastAsia="宋体" w:cs="宋体"/>
                <w:sz w:val="21"/>
                <w:szCs w:val="21"/>
              </w:rPr>
              <w:t>时间：</w:t>
            </w:r>
            <w:r>
              <w:rPr>
                <w:rFonts w:hint="eastAsia" w:ascii="宋体" w:hAnsi="宋体" w:eastAsia="宋体" w:cs="宋体"/>
                <w:sz w:val="21"/>
                <w:szCs w:val="21"/>
                <w:u w:val="single"/>
              </w:rPr>
              <w:t xml:space="preserve">      </w:t>
            </w:r>
            <w:r>
              <w:rPr>
                <w:rFonts w:hint="eastAsia" w:ascii="宋体" w:hAnsi="宋体" w:eastAsia="宋体" w:cs="宋体"/>
                <w:sz w:val="21"/>
                <w:szCs w:val="21"/>
              </w:rPr>
              <w:t>,地点：</w:t>
            </w:r>
            <w:r>
              <w:rPr>
                <w:rFonts w:hint="eastAsia" w:ascii="宋体" w:hAnsi="宋体" w:eastAsia="宋体" w:cs="宋体"/>
                <w:sz w:val="21"/>
                <w:szCs w:val="21"/>
                <w:u w:val="single"/>
              </w:rPr>
              <w:t xml:space="preserve">      </w:t>
            </w:r>
            <w:r>
              <w:rPr>
                <w:rFonts w:hint="eastAsia" w:ascii="宋体" w:hAnsi="宋体" w:eastAsia="宋体" w:cs="宋体"/>
                <w:sz w:val="21"/>
                <w:szCs w:val="21"/>
              </w:rPr>
              <w:t>，联系人：</w:t>
            </w:r>
            <w:r>
              <w:rPr>
                <w:rFonts w:hint="eastAsia" w:ascii="宋体" w:hAnsi="宋体" w:eastAsia="宋体" w:cs="宋体"/>
                <w:sz w:val="21"/>
                <w:szCs w:val="21"/>
                <w:u w:val="single"/>
              </w:rPr>
              <w:t xml:space="preserve">      </w:t>
            </w:r>
            <w:r>
              <w:rPr>
                <w:rFonts w:hint="eastAsia" w:ascii="宋体" w:hAnsi="宋体" w:eastAsia="宋体" w:cs="宋体"/>
                <w:sz w:val="21"/>
                <w:szCs w:val="21"/>
              </w:rPr>
              <w:t>，联系方式：</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 w:val="0"/>
                <w:bCs/>
                <w:sz w:val="21"/>
                <w:szCs w:val="21"/>
              </w:rPr>
            </w:pPr>
            <w:r>
              <w:rPr>
                <w:rFonts w:hint="eastAsia" w:ascii="宋体" w:hAnsi="宋体" w:eastAsia="宋体" w:cs="宋体"/>
                <w:b w:val="0"/>
                <w:bCs/>
                <w:color w:val="auto"/>
                <w:sz w:val="21"/>
                <w:szCs w:val="21"/>
              </w:rPr>
              <w:t>节能产品、环境标志产品</w:t>
            </w:r>
          </w:p>
        </w:tc>
        <w:tc>
          <w:tcPr>
            <w:tcW w:w="63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autoSpaceDE/>
              <w:autoSpaceDN/>
              <w:bidi w:val="0"/>
              <w:adjustRightInd w:val="0"/>
              <w:snapToGrid w:val="0"/>
              <w:spacing w:line="24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属于强制采购节能产品的，必须提供节能产品认证证书。</w:t>
            </w:r>
          </w:p>
          <w:p>
            <w:pPr>
              <w:keepNext w:val="0"/>
              <w:keepLines w:val="0"/>
              <w:pageBreakBefore w:val="0"/>
              <w:kinsoku/>
              <w:wordWrap/>
              <w:overflowPunct/>
              <w:topLinePunct w:val="0"/>
              <w:autoSpaceDE/>
              <w:autoSpaceDN/>
              <w:bidi w:val="0"/>
              <w:adjustRightInd w:val="0"/>
              <w:spacing w:line="240" w:lineRule="auto"/>
              <w:ind w:right="0" w:righ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sz w:val="21"/>
                <w:szCs w:val="21"/>
                <w:lang w:val="en-US" w:eastAsia="zh-CN"/>
              </w:rPr>
              <w:t>产品清单：</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17</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提交</w:t>
            </w:r>
            <w:r>
              <w:rPr>
                <w:rFonts w:hint="eastAsia" w:ascii="宋体" w:hAnsi="宋体" w:eastAsia="宋体" w:cs="宋体"/>
                <w:bCs/>
                <w:color w:val="auto"/>
                <w:sz w:val="21"/>
                <w:szCs w:val="21"/>
                <w:highlight w:val="none"/>
                <w:lang w:eastAsia="zh-CN"/>
              </w:rPr>
              <w:t>磋商响应文件</w:t>
            </w:r>
            <w:r>
              <w:rPr>
                <w:rFonts w:hint="eastAsia" w:ascii="宋体" w:hAnsi="宋体" w:eastAsia="宋体" w:cs="宋体"/>
                <w:bCs/>
                <w:color w:val="auto"/>
                <w:sz w:val="21"/>
                <w:szCs w:val="21"/>
                <w:highlight w:val="none"/>
              </w:rPr>
              <w:t>截止时间及</w:t>
            </w:r>
          </w:p>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Cs/>
                <w:color w:val="auto"/>
                <w:sz w:val="21"/>
                <w:szCs w:val="21"/>
                <w:highlight w:val="none"/>
              </w:rPr>
              <w:t>开标时间</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i/>
                <w:iCs/>
                <w:color w:val="auto"/>
                <w:sz w:val="21"/>
                <w:szCs w:val="21"/>
                <w:highlight w:val="none"/>
                <w:lang w:val="en-US" w:eastAsia="zh-CN"/>
              </w:rPr>
            </w:pPr>
            <w:r>
              <w:rPr>
                <w:rFonts w:hint="eastAsia" w:ascii="宋体" w:hAnsi="宋体" w:eastAsia="宋体" w:cs="宋体"/>
                <w:color w:val="auto"/>
                <w:sz w:val="21"/>
                <w:szCs w:val="21"/>
                <w:highlight w:val="none"/>
                <w:u w:val="none"/>
                <w:lang w:eastAsia="zh-CN"/>
              </w:rPr>
              <w:t>2024年</w:t>
            </w:r>
            <w:r>
              <w:rPr>
                <w:rFonts w:hint="eastAsia" w:ascii="宋体" w:hAnsi="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eastAsia="zh-CN"/>
              </w:rPr>
              <w:t>月</w:t>
            </w:r>
            <w:r>
              <w:rPr>
                <w:rFonts w:hint="eastAsia" w:ascii="宋体" w:hAnsi="宋体" w:cs="宋体"/>
                <w:color w:val="auto"/>
                <w:sz w:val="21"/>
                <w:szCs w:val="21"/>
                <w:highlight w:val="none"/>
                <w:u w:val="none"/>
                <w:lang w:val="en-US" w:eastAsia="zh-CN"/>
              </w:rPr>
              <w:t>29</w:t>
            </w:r>
            <w:r>
              <w:rPr>
                <w:rFonts w:hint="eastAsia" w:ascii="宋体" w:hAnsi="宋体" w:eastAsia="宋体" w:cs="宋体"/>
                <w:color w:val="auto"/>
                <w:sz w:val="21"/>
                <w:szCs w:val="21"/>
                <w:highlight w:val="none"/>
                <w:u w:val="none"/>
                <w:lang w:eastAsia="zh-CN"/>
              </w:rPr>
              <w:t>日</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点</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分</w:t>
            </w:r>
            <w:r>
              <w:rPr>
                <w:rFonts w:hint="eastAsia" w:ascii="宋体" w:hAnsi="宋体" w:eastAsia="宋体" w:cs="宋体"/>
                <w:bCs/>
                <w:color w:val="auto"/>
                <w:sz w:val="21"/>
                <w:szCs w:val="21"/>
                <w:highlight w:val="none"/>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18</w:t>
            </w:r>
          </w:p>
        </w:tc>
        <w:tc>
          <w:tcPr>
            <w:tcW w:w="1799" w:type="dxa"/>
            <w:noWrap w:val="0"/>
            <w:vAlign w:val="center"/>
          </w:tcPr>
          <w:p>
            <w:pPr>
              <w:snapToGrid w:val="0"/>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合同管理</w:t>
            </w:r>
          </w:p>
        </w:tc>
        <w:tc>
          <w:tcPr>
            <w:tcW w:w="6384" w:type="dxa"/>
            <w:noWrap w:val="0"/>
            <w:vAlign w:val="center"/>
          </w:tcPr>
          <w:p>
            <w:pPr>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采购人应当自政府采购合同签订之日起2个工作日内，将政府采购合同在省级以上人民政府财政部门指定的媒体上公告</w:t>
            </w:r>
            <w:r>
              <w:rPr>
                <w:rFonts w:hint="eastAsia" w:ascii="宋体" w:hAnsi="宋体" w:eastAsia="宋体" w:cs="宋体"/>
                <w:color w:val="auto"/>
                <w:sz w:val="21"/>
                <w:szCs w:val="21"/>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1065"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9</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特别说明</w:t>
            </w:r>
          </w:p>
        </w:tc>
        <w:tc>
          <w:tcPr>
            <w:tcW w:w="6384" w:type="dxa"/>
            <w:noWrap w:val="0"/>
            <w:vAlign w:val="center"/>
          </w:tcPr>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sym w:font="Wingdings" w:char="00FE"/>
            </w:r>
            <w:r>
              <w:rPr>
                <w:rFonts w:hint="eastAsia" w:ascii="宋体" w:hAnsi="宋体" w:eastAsia="宋体" w:cs="宋体"/>
                <w:i w:val="0"/>
                <w:iCs w:val="0"/>
                <w:color w:val="auto"/>
                <w:sz w:val="21"/>
                <w:szCs w:val="21"/>
                <w:highlight w:val="none"/>
                <w:lang w:val="en-US" w:eastAsia="zh-CN"/>
              </w:rPr>
              <w:t>本项目不接受联合体投标；</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sym w:font="Wingdings" w:char="00A8"/>
            </w:r>
            <w:r>
              <w:rPr>
                <w:rFonts w:hint="eastAsia" w:ascii="宋体" w:hAnsi="宋体" w:eastAsia="宋体" w:cs="宋体"/>
                <w:i w:val="0"/>
                <w:iCs w:val="0"/>
                <w:color w:val="auto"/>
                <w:sz w:val="21"/>
                <w:szCs w:val="21"/>
                <w:highlight w:val="none"/>
                <w:lang w:val="en-US" w:eastAsia="zh-CN"/>
              </w:rPr>
              <w:t>联合体投标的：</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rPr>
              <w:t>联合体投标的，联合体各方分别提供与联合体协议中规定的分工内容相应的业绩证明材料，业绩数量以提供材料较少的一方为准。</w:t>
            </w:r>
          </w:p>
          <w:p>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☐联合体投标的，联合体各方均需按</w:t>
            </w:r>
            <w:r>
              <w:rPr>
                <w:rFonts w:hint="eastAsia" w:ascii="宋体" w:hAnsi="宋体" w:eastAsia="宋体" w:cs="宋体"/>
                <w:i w:val="0"/>
                <w:iCs w:val="0"/>
                <w:color w:val="auto"/>
                <w:sz w:val="21"/>
                <w:szCs w:val="21"/>
                <w:highlight w:val="none"/>
                <w:lang w:eastAsia="zh-CN"/>
              </w:rPr>
              <w:t>磋商文件</w:t>
            </w:r>
            <w:r>
              <w:rPr>
                <w:rFonts w:hint="eastAsia" w:ascii="宋体" w:hAnsi="宋体" w:eastAsia="宋体" w:cs="宋体"/>
                <w:i w:val="0"/>
                <w:iCs w:val="0"/>
                <w:color w:val="auto"/>
                <w:sz w:val="21"/>
                <w:szCs w:val="21"/>
                <w:highlight w:val="none"/>
              </w:rPr>
              <w:t>第</w:t>
            </w:r>
            <w:r>
              <w:rPr>
                <w:rFonts w:hint="eastAsia" w:ascii="宋体" w:hAnsi="宋体" w:eastAsia="宋体" w:cs="宋体"/>
                <w:i w:val="0"/>
                <w:iCs w:val="0"/>
                <w:color w:val="auto"/>
                <w:sz w:val="21"/>
                <w:szCs w:val="21"/>
                <w:highlight w:val="none"/>
                <w:lang w:val="en-US" w:eastAsia="zh-CN"/>
              </w:rPr>
              <w:t>四</w:t>
            </w:r>
            <w:r>
              <w:rPr>
                <w:rFonts w:hint="eastAsia" w:ascii="宋体" w:hAnsi="宋体" w:eastAsia="宋体" w:cs="宋体"/>
                <w:i w:val="0"/>
                <w:iCs w:val="0"/>
                <w:color w:val="auto"/>
                <w:sz w:val="21"/>
                <w:szCs w:val="21"/>
                <w:highlight w:val="none"/>
              </w:rPr>
              <w:t>部分评标标准要求提供资信证明文件，否则视为不符合相关要求。</w:t>
            </w:r>
          </w:p>
          <w:p>
            <w:pPr>
              <w:keepNext w:val="0"/>
              <w:keepLines w:val="0"/>
              <w:pageBreakBefore w:val="0"/>
              <w:kinsoku/>
              <w:wordWrap/>
              <w:overflowPunct/>
              <w:topLinePunct w:val="0"/>
              <w:autoSpaceDE/>
              <w:autoSpaceDN/>
              <w:bidi w:val="0"/>
              <w:adjustRightInd w:val="0"/>
              <w:snapToGrid w:val="0"/>
              <w:spacing w:line="240" w:lineRule="auto"/>
              <w:ind w:right="0" w:rightChars="0"/>
              <w:jc w:val="both"/>
              <w:textAlignment w:val="auto"/>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highlight w:val="none"/>
              </w:rPr>
              <w:t>☐联合体投标的，联合体中有一方或者联合体成员根据分工按</w:t>
            </w:r>
            <w:r>
              <w:rPr>
                <w:rFonts w:hint="eastAsia" w:ascii="宋体" w:hAnsi="宋体" w:eastAsia="宋体" w:cs="宋体"/>
                <w:i w:val="0"/>
                <w:iCs w:val="0"/>
                <w:color w:val="auto"/>
                <w:sz w:val="21"/>
                <w:szCs w:val="21"/>
                <w:highlight w:val="none"/>
                <w:lang w:eastAsia="zh-CN"/>
              </w:rPr>
              <w:t>磋商文件</w:t>
            </w:r>
            <w:r>
              <w:rPr>
                <w:rFonts w:hint="eastAsia" w:ascii="宋体" w:hAnsi="宋体" w:eastAsia="宋体" w:cs="宋体"/>
                <w:i w:val="0"/>
                <w:iCs w:val="0"/>
                <w:color w:val="auto"/>
                <w:sz w:val="21"/>
                <w:szCs w:val="21"/>
                <w:highlight w:val="none"/>
              </w:rPr>
              <w:t>第</w:t>
            </w:r>
            <w:r>
              <w:rPr>
                <w:rFonts w:hint="eastAsia" w:ascii="宋体" w:hAnsi="宋体" w:eastAsia="宋体" w:cs="宋体"/>
                <w:i w:val="0"/>
                <w:iCs w:val="0"/>
                <w:color w:val="auto"/>
                <w:sz w:val="21"/>
                <w:szCs w:val="21"/>
                <w:highlight w:val="none"/>
                <w:lang w:val="en-US" w:eastAsia="zh-CN"/>
              </w:rPr>
              <w:t>四</w:t>
            </w:r>
            <w:r>
              <w:rPr>
                <w:rFonts w:hint="eastAsia" w:ascii="宋体" w:hAnsi="宋体" w:eastAsia="宋体" w:cs="宋体"/>
                <w:i w:val="0"/>
                <w:iCs w:val="0"/>
                <w:color w:val="auto"/>
                <w:sz w:val="21"/>
                <w:szCs w:val="21"/>
                <w:highlight w:val="none"/>
              </w:rPr>
              <w:t>部分评标标准要求提供资信证明文件的，视为符合了相关要求。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w:t>
            </w:r>
          </w:p>
        </w:tc>
        <w:tc>
          <w:tcPr>
            <w:tcW w:w="179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sz w:val="21"/>
                <w:szCs w:val="21"/>
              </w:rPr>
            </w:pPr>
            <w:r>
              <w:rPr>
                <w:rFonts w:hint="eastAsia" w:ascii="宋体" w:hAnsi="宋体" w:eastAsia="宋体" w:cs="宋体"/>
                <w:sz w:val="21"/>
                <w:szCs w:val="21"/>
              </w:rPr>
              <w:t>解释权</w:t>
            </w:r>
          </w:p>
        </w:tc>
        <w:tc>
          <w:tcPr>
            <w:tcW w:w="6384" w:type="dxa"/>
            <w:noWrap w:val="0"/>
            <w:vAlign w:val="center"/>
          </w:tcPr>
          <w:p>
            <w:pPr>
              <w:keepNext w:val="0"/>
              <w:keepLines w:val="0"/>
              <w:pageBreakBefore w:val="0"/>
              <w:kinsoku/>
              <w:wordWrap/>
              <w:overflowPunct/>
              <w:topLinePunct w:val="0"/>
              <w:autoSpaceDE/>
              <w:autoSpaceDN/>
              <w:bidi w:val="0"/>
              <w:adjustRightInd w:val="0"/>
              <w:spacing w:line="240" w:lineRule="auto"/>
              <w:ind w:right="0" w:rightChars="0"/>
              <w:jc w:val="both"/>
              <w:textAlignment w:val="auto"/>
              <w:rPr>
                <w:rFonts w:hint="eastAsia" w:ascii="宋体" w:hAnsi="宋体" w:eastAsia="宋体" w:cs="宋体"/>
                <w:sz w:val="21"/>
                <w:szCs w:val="21"/>
              </w:rPr>
            </w:pPr>
            <w:r>
              <w:rPr>
                <w:rFonts w:hint="eastAsia" w:ascii="宋体" w:hAnsi="宋体" w:eastAsia="宋体" w:cs="宋体"/>
                <w:sz w:val="21"/>
                <w:szCs w:val="21"/>
              </w:rPr>
              <w:t>本</w:t>
            </w:r>
            <w:r>
              <w:rPr>
                <w:rFonts w:hint="eastAsia" w:ascii="宋体" w:hAnsi="宋体" w:eastAsia="宋体" w:cs="宋体"/>
                <w:sz w:val="21"/>
                <w:szCs w:val="21"/>
                <w:lang w:eastAsia="zh-CN"/>
              </w:rPr>
              <w:t>磋商文件</w:t>
            </w:r>
            <w:r>
              <w:rPr>
                <w:rFonts w:hint="eastAsia" w:ascii="宋体" w:hAnsi="宋体" w:eastAsia="宋体" w:cs="宋体"/>
                <w:sz w:val="21"/>
                <w:szCs w:val="21"/>
              </w:rPr>
              <w:t>的解释权属于招标采购单位。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1</w:t>
            </w:r>
          </w:p>
        </w:tc>
        <w:tc>
          <w:tcPr>
            <w:tcW w:w="1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诚信履约管理</w:t>
            </w:r>
          </w:p>
        </w:tc>
        <w:tc>
          <w:tcPr>
            <w:tcW w:w="63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合同签订后，采购人依法加强对合同履约进行管理。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8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2</w:t>
            </w:r>
          </w:p>
        </w:tc>
        <w:tc>
          <w:tcPr>
            <w:tcW w:w="1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备注</w:t>
            </w:r>
          </w:p>
        </w:tc>
        <w:tc>
          <w:tcPr>
            <w:tcW w:w="6384" w:type="dxa"/>
            <w:noWrap w:val="0"/>
            <w:vAlign w:val="center"/>
          </w:tcPr>
          <w:p>
            <w:pPr>
              <w:numPr>
                <w:ilvl w:val="0"/>
                <w:numId w:val="0"/>
              </w:numPr>
              <w:snapToGrid w:val="0"/>
              <w:spacing w:line="360" w:lineRule="auto"/>
              <w:jc w:val="left"/>
              <w:rPr>
                <w:rFonts w:hint="eastAsia" w:ascii="宋体" w:hAnsi="宋体" w:eastAsia="宋体" w:cs="宋体"/>
                <w:b w:val="0"/>
                <w:bCs w:val="0"/>
                <w:strike w:val="0"/>
                <w:dstrike w:val="0"/>
                <w:color w:val="auto"/>
                <w:szCs w:val="21"/>
                <w:highlight w:val="none"/>
              </w:rPr>
            </w:pPr>
            <w:r>
              <w:rPr>
                <w:rFonts w:hint="eastAsia" w:ascii="宋体" w:hAnsi="宋体" w:eastAsia="宋体" w:cs="宋体"/>
                <w:b w:val="0"/>
                <w:bCs w:val="0"/>
                <w:strike w:val="0"/>
                <w:dstrike w:val="0"/>
                <w:color w:val="auto"/>
                <w:szCs w:val="21"/>
                <w:highlight w:val="none"/>
                <w:lang w:val="en-US" w:eastAsia="zh-CN"/>
              </w:rPr>
              <w:t>1.</w:t>
            </w:r>
            <w:r>
              <w:rPr>
                <w:rFonts w:hint="eastAsia" w:ascii="宋体" w:hAnsi="宋体" w:eastAsia="宋体" w:cs="宋体"/>
                <w:b w:val="0"/>
                <w:bCs w:val="0"/>
                <w:strike w:val="0"/>
                <w:dstrike w:val="0"/>
                <w:color w:val="auto"/>
                <w:szCs w:val="21"/>
                <w:highlight w:val="none"/>
                <w:lang w:eastAsia="zh-CN"/>
              </w:rPr>
              <w:t>成交供应商</w:t>
            </w:r>
            <w:r>
              <w:rPr>
                <w:rFonts w:hint="eastAsia" w:ascii="宋体" w:hAnsi="宋体" w:eastAsia="宋体" w:cs="宋体"/>
                <w:b w:val="0"/>
                <w:bCs w:val="0"/>
                <w:strike w:val="0"/>
                <w:dstrike w:val="0"/>
                <w:color w:val="auto"/>
                <w:szCs w:val="21"/>
                <w:highlight w:val="none"/>
              </w:rPr>
              <w:t>在领取中标通知书时提供全套纸质</w:t>
            </w:r>
            <w:r>
              <w:rPr>
                <w:rFonts w:hint="eastAsia" w:ascii="宋体" w:hAnsi="宋体" w:eastAsia="宋体" w:cs="宋体"/>
                <w:b w:val="0"/>
                <w:bCs w:val="0"/>
                <w:strike w:val="0"/>
                <w:dstrike w:val="0"/>
                <w:color w:val="auto"/>
                <w:szCs w:val="21"/>
                <w:highlight w:val="none"/>
                <w:lang w:eastAsia="zh-CN"/>
              </w:rPr>
              <w:t>磋商响应文件</w:t>
            </w:r>
            <w:r>
              <w:rPr>
                <w:rFonts w:hint="eastAsia" w:ascii="宋体" w:hAnsi="宋体" w:eastAsia="宋体" w:cs="宋体"/>
                <w:b w:val="0"/>
                <w:bCs w:val="0"/>
                <w:strike w:val="0"/>
                <w:dstrike w:val="0"/>
                <w:color w:val="auto"/>
                <w:szCs w:val="21"/>
                <w:highlight w:val="none"/>
              </w:rPr>
              <w:t>一正</w:t>
            </w:r>
            <w:r>
              <w:rPr>
                <w:rFonts w:hint="eastAsia" w:ascii="宋体" w:hAnsi="宋体" w:eastAsia="宋体" w:cs="宋体"/>
                <w:b w:val="0"/>
                <w:bCs w:val="0"/>
                <w:strike w:val="0"/>
                <w:dstrike w:val="0"/>
                <w:color w:val="auto"/>
                <w:szCs w:val="21"/>
                <w:highlight w:val="none"/>
                <w:lang w:val="en-US" w:eastAsia="zh-CN"/>
              </w:rPr>
              <w:t>二</w:t>
            </w:r>
            <w:r>
              <w:rPr>
                <w:rFonts w:hint="eastAsia" w:ascii="宋体" w:hAnsi="宋体" w:eastAsia="宋体" w:cs="宋体"/>
                <w:b w:val="0"/>
                <w:bCs w:val="0"/>
                <w:strike w:val="0"/>
                <w:dstrike w:val="0"/>
                <w:color w:val="auto"/>
                <w:szCs w:val="21"/>
                <w:highlight w:val="none"/>
              </w:rPr>
              <w:t>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color w:val="auto"/>
                <w:w w:val="100"/>
                <w:kern w:val="2"/>
                <w:sz w:val="21"/>
                <w:szCs w:val="21"/>
                <w:highlight w:val="none"/>
                <w:lang w:val="en-US" w:eastAsia="zh-CN" w:bidi="ar-SA"/>
              </w:rPr>
            </w:pPr>
            <w:r>
              <w:rPr>
                <w:rFonts w:hint="eastAsia" w:ascii="宋体" w:hAnsi="宋体" w:eastAsia="宋体" w:cs="宋体"/>
                <w:b w:val="0"/>
                <w:bCs w:val="0"/>
                <w:strike w:val="0"/>
                <w:dstrike w:val="0"/>
                <w:color w:val="auto"/>
                <w:szCs w:val="21"/>
                <w:highlight w:val="none"/>
                <w:lang w:val="en-US" w:eastAsia="zh-CN"/>
              </w:rPr>
              <w:t>2.如最终</w:t>
            </w:r>
            <w:r>
              <w:rPr>
                <w:rFonts w:hint="eastAsia" w:ascii="宋体" w:hAnsi="宋体" w:eastAsia="宋体" w:cs="宋体"/>
                <w:b w:val="0"/>
                <w:bCs w:val="0"/>
                <w:strike w:val="0"/>
                <w:dstrike w:val="0"/>
                <w:color w:val="auto"/>
                <w:szCs w:val="21"/>
                <w:highlight w:val="none"/>
              </w:rPr>
              <w:t>的磋商报价与首次报价不</w:t>
            </w:r>
            <w:r>
              <w:rPr>
                <w:rFonts w:hint="eastAsia" w:ascii="宋体" w:hAnsi="宋体" w:eastAsia="宋体" w:cs="宋体"/>
                <w:b w:val="0"/>
                <w:bCs w:val="0"/>
                <w:strike w:val="0"/>
                <w:dstrike w:val="0"/>
                <w:color w:val="auto"/>
                <w:szCs w:val="21"/>
                <w:highlight w:val="none"/>
                <w:lang w:val="en-US" w:eastAsia="zh-CN"/>
              </w:rPr>
              <w:t>同</w:t>
            </w:r>
            <w:r>
              <w:rPr>
                <w:rFonts w:hint="eastAsia" w:ascii="宋体" w:hAnsi="宋体" w:eastAsia="宋体" w:cs="宋体"/>
                <w:b w:val="0"/>
                <w:bCs w:val="0"/>
                <w:strike w:val="0"/>
                <w:dstrike w:val="0"/>
                <w:color w:val="auto"/>
                <w:szCs w:val="21"/>
                <w:highlight w:val="none"/>
              </w:rPr>
              <w:t>，其报价明细表中各项报价需另行明确，各项报价均按同比例下调</w:t>
            </w:r>
            <w:r>
              <w:rPr>
                <w:rFonts w:hint="eastAsia" w:ascii="宋体" w:hAnsi="宋体" w:eastAsia="宋体" w:cs="宋体"/>
                <w:b w:val="0"/>
                <w:bCs w:val="0"/>
                <w:strike w:val="0"/>
                <w:dstrike w:val="0"/>
                <w:color w:val="auto"/>
                <w:szCs w:val="21"/>
                <w:highlight w:val="none"/>
                <w:lang w:val="en-US" w:eastAsia="zh-CN"/>
              </w:rPr>
              <w:t>后提供</w:t>
            </w:r>
            <w:r>
              <w:rPr>
                <w:rFonts w:hint="eastAsia" w:ascii="宋体" w:hAnsi="宋体" w:eastAsia="宋体" w:cs="宋体"/>
                <w:b w:val="0"/>
                <w:bCs w:val="0"/>
                <w:strike w:val="0"/>
                <w:dstrike w:val="0"/>
                <w:color w:val="auto"/>
                <w:szCs w:val="21"/>
                <w:highlight w:val="none"/>
              </w:rPr>
              <w:t>。</w:t>
            </w:r>
          </w:p>
        </w:tc>
      </w:tr>
    </w:tbl>
    <w:p>
      <w:pPr>
        <w:pStyle w:val="9"/>
        <w:rPr>
          <w:rFonts w:hint="eastAsia" w:ascii="宋体" w:hAnsi="宋体" w:eastAsia="宋体" w:cs="宋体"/>
        </w:rPr>
      </w:pPr>
    </w:p>
    <w:bookmarkEnd w:id="16"/>
    <w:p>
      <w:pPr>
        <w:keepNext w:val="0"/>
        <w:keepLines w:val="0"/>
        <w:pageBreakBefore w:val="0"/>
        <w:kinsoku/>
        <w:wordWrap/>
        <w:overflowPunct/>
        <w:topLinePunct w:val="0"/>
        <w:bidi w:val="0"/>
        <w:adjustRightInd/>
        <w:spacing w:line="336" w:lineRule="auto"/>
        <w:jc w:val="center"/>
        <w:textAlignment w:val="auto"/>
        <w:outlineLvl w:val="0"/>
        <w:rPr>
          <w:rFonts w:hint="eastAsia" w:ascii="宋体" w:hAnsi="宋体" w:eastAsia="宋体" w:cs="宋体"/>
          <w:b/>
          <w:sz w:val="32"/>
          <w:szCs w:val="20"/>
        </w:rPr>
      </w:pPr>
      <w:bookmarkStart w:id="19" w:name="_Toc29602"/>
      <w:bookmarkStart w:id="20" w:name="_Toc10212"/>
      <w:bookmarkStart w:id="21" w:name="_Toc164416483"/>
      <w:bookmarkStart w:id="22" w:name="第三部分"/>
      <w:r>
        <w:rPr>
          <w:rFonts w:hint="eastAsia" w:ascii="宋体" w:hAnsi="宋体" w:eastAsia="宋体" w:cs="宋体"/>
          <w:b/>
          <w:sz w:val="32"/>
          <w:szCs w:val="20"/>
        </w:rPr>
        <w:t>一、总则</w:t>
      </w:r>
      <w:bookmarkEnd w:id="19"/>
      <w:bookmarkEnd w:id="20"/>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rPr>
      </w:pPr>
      <w:r>
        <w:rPr>
          <w:rFonts w:hint="eastAsia" w:ascii="宋体" w:hAnsi="宋体" w:eastAsia="宋体" w:cs="宋体"/>
          <w:b/>
          <w:i w:val="0"/>
          <w:color w:val="auto"/>
          <w:kern w:val="2"/>
          <w:sz w:val="21"/>
          <w:szCs w:val="21"/>
          <w:lang w:val="en-US" w:eastAsia="zh-CN" w:bidi="ar-SA"/>
        </w:rPr>
        <w:t>1.</w:t>
      </w:r>
      <w:r>
        <w:rPr>
          <w:rFonts w:hint="eastAsia" w:ascii="宋体" w:hAnsi="宋体" w:eastAsia="宋体" w:cs="宋体"/>
          <w:b/>
          <w:color w:val="auto"/>
          <w:sz w:val="21"/>
          <w:szCs w:val="21"/>
        </w:rPr>
        <w:t>适用范围</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1.1</w:t>
      </w:r>
      <w:r>
        <w:rPr>
          <w:rFonts w:hint="eastAsia" w:ascii="宋体" w:hAnsi="宋体" w:eastAsia="宋体" w:cs="宋体"/>
          <w:color w:val="auto"/>
          <w:sz w:val="21"/>
          <w:szCs w:val="21"/>
          <w:lang w:val="zh-CN"/>
        </w:rPr>
        <w:t>本</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适用于该项目的招标、投标、开标、资格审查及信用信息查询、评标、定标、合同、验收等行为（法律、法规另有规定的，从其规定）。</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1.2</w:t>
      </w:r>
      <w:r>
        <w:rPr>
          <w:rFonts w:hint="eastAsia" w:ascii="宋体" w:hAnsi="宋体" w:eastAsia="宋体" w:cs="宋体"/>
          <w:color w:val="auto"/>
          <w:sz w:val="21"/>
          <w:szCs w:val="21"/>
          <w:lang w:val="en-US" w:eastAsia="zh-CN"/>
        </w:rPr>
        <w:t>本次竞争性磋商工作是按照《中华人民共和国政府采购法》、《中华人民共和国政府采购法实施条例》、《政府采购竞争性磋商采购方式管理暂行办法》、《浙江省政府采购项目电子交易管理暂行办法》浙江省及项目所在地的有关政府采购规定，结合本项目的实际，组织和实施。</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rPr>
      </w:pPr>
      <w:r>
        <w:rPr>
          <w:rFonts w:hint="eastAsia" w:ascii="宋体" w:hAnsi="宋体" w:eastAsia="宋体" w:cs="宋体"/>
          <w:b/>
          <w:i w:val="0"/>
          <w:color w:val="auto"/>
          <w:kern w:val="2"/>
          <w:sz w:val="21"/>
          <w:szCs w:val="21"/>
          <w:lang w:val="en-US" w:eastAsia="zh-CN" w:bidi="ar-SA"/>
        </w:rPr>
        <w:t>2.</w:t>
      </w:r>
      <w:r>
        <w:rPr>
          <w:rFonts w:hint="eastAsia" w:ascii="宋体" w:hAnsi="宋体" w:eastAsia="宋体" w:cs="宋体"/>
          <w:b/>
          <w:color w:val="auto"/>
          <w:sz w:val="21"/>
          <w:szCs w:val="21"/>
        </w:rPr>
        <w:t>定义</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2.1</w:t>
      </w:r>
      <w:r>
        <w:rPr>
          <w:rFonts w:hint="eastAsia" w:ascii="宋体" w:hAnsi="宋体" w:eastAsia="宋体" w:cs="宋体"/>
          <w:color w:val="auto"/>
          <w:sz w:val="21"/>
          <w:szCs w:val="21"/>
          <w:lang w:val="zh-CN"/>
        </w:rPr>
        <w:t>“采购人”系指</w:t>
      </w:r>
      <w:r>
        <w:rPr>
          <w:rFonts w:hint="eastAsia" w:ascii="宋体" w:hAnsi="宋体" w:eastAsia="宋体" w:cs="宋体"/>
          <w:color w:val="auto"/>
          <w:sz w:val="21"/>
          <w:szCs w:val="21"/>
          <w:lang w:val="zh-CN" w:eastAsia="zh-CN"/>
        </w:rPr>
        <w:t>竞争性磋商公告</w:t>
      </w:r>
      <w:r>
        <w:rPr>
          <w:rFonts w:hint="eastAsia" w:ascii="宋体" w:hAnsi="宋体" w:eastAsia="宋体" w:cs="宋体"/>
          <w:color w:val="auto"/>
          <w:sz w:val="21"/>
          <w:szCs w:val="21"/>
          <w:lang w:val="zh-CN"/>
        </w:rPr>
        <w:t>中载明的本项目的采购人。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2.2</w:t>
      </w: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zh-CN" w:eastAsia="zh-CN"/>
        </w:rPr>
        <w:t>采购代理机构</w:t>
      </w:r>
      <w:r>
        <w:rPr>
          <w:rFonts w:hint="eastAsia" w:ascii="宋体" w:hAnsi="宋体" w:eastAsia="宋体" w:cs="宋体"/>
          <w:color w:val="auto"/>
          <w:sz w:val="21"/>
          <w:szCs w:val="21"/>
          <w:lang w:val="zh-CN"/>
        </w:rPr>
        <w:t>”系指</w:t>
      </w:r>
      <w:r>
        <w:rPr>
          <w:rFonts w:hint="eastAsia" w:ascii="宋体" w:hAnsi="宋体" w:eastAsia="宋体" w:cs="宋体"/>
          <w:color w:val="auto"/>
          <w:sz w:val="21"/>
          <w:szCs w:val="21"/>
          <w:lang w:val="zh-CN" w:eastAsia="zh-CN"/>
        </w:rPr>
        <w:t>竞争性磋商公告</w:t>
      </w:r>
      <w:r>
        <w:rPr>
          <w:rFonts w:hint="eastAsia" w:ascii="宋体" w:hAnsi="宋体" w:eastAsia="宋体" w:cs="宋体"/>
          <w:color w:val="auto"/>
          <w:sz w:val="21"/>
          <w:szCs w:val="21"/>
          <w:lang w:val="zh-CN"/>
        </w:rPr>
        <w:t>中载明的本项目的采购</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val="zh-CN"/>
        </w:rPr>
        <w:t>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2.3</w:t>
      </w:r>
      <w:r>
        <w:rPr>
          <w:rFonts w:hint="eastAsia" w:ascii="宋体" w:hAnsi="宋体" w:eastAsia="宋体" w:cs="宋体"/>
          <w:color w:val="auto"/>
          <w:sz w:val="21"/>
          <w:szCs w:val="21"/>
          <w:lang w:val="zh-CN"/>
        </w:rPr>
        <w:t>“</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”系指是指响应招标、参加投标竞争的法人、其他组织或者自然人。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2.4</w:t>
      </w:r>
      <w:r>
        <w:rPr>
          <w:rFonts w:hint="eastAsia" w:ascii="宋体" w:hAnsi="宋体" w:eastAsia="宋体" w:cs="宋体"/>
          <w:color w:val="auto"/>
          <w:sz w:val="21"/>
          <w:szCs w:val="21"/>
          <w:lang w:val="en-US" w:eastAsia="zh-CN"/>
        </w:rPr>
        <w:t>“招标采购单位”系指</w:t>
      </w:r>
      <w:r>
        <w:rPr>
          <w:rFonts w:hint="eastAsia" w:ascii="宋体" w:hAnsi="宋体" w:eastAsia="宋体" w:cs="宋体"/>
          <w:color w:val="auto"/>
          <w:sz w:val="21"/>
          <w:szCs w:val="21"/>
          <w:lang w:val="zh-CN"/>
        </w:rPr>
        <w:t>组织本次招标的采购</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val="zh-CN"/>
        </w:rPr>
        <w:t>机构和</w:t>
      </w:r>
      <w:r>
        <w:rPr>
          <w:rFonts w:hint="eastAsia" w:ascii="宋体" w:hAnsi="宋体" w:eastAsia="宋体" w:cs="宋体"/>
          <w:color w:val="auto"/>
          <w:sz w:val="21"/>
          <w:szCs w:val="21"/>
          <w:lang w:val="en-US" w:eastAsia="zh-CN"/>
        </w:rPr>
        <w:t>采购人。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2.5</w:t>
      </w:r>
      <w:r>
        <w:rPr>
          <w:rFonts w:hint="eastAsia" w:ascii="宋体" w:hAnsi="宋体" w:eastAsia="宋体" w:cs="宋体"/>
          <w:color w:val="auto"/>
          <w:sz w:val="21"/>
          <w:szCs w:val="21"/>
          <w:lang w:val="zh-CN"/>
        </w:rPr>
        <w:t>“负责人”系指法人企业的法定负责人，或其他组织为法律、行政法规规定代表单位行使职权的主要负责人，或自然人本人。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 xml:space="preserve"> “成交候选供应商”指磋商小组按磋商文件规定的评审办法与规则推荐的成交候选供应</w:t>
      </w:r>
      <w:r>
        <w:rPr>
          <w:rFonts w:hint="eastAsia" w:ascii="宋体" w:hAnsi="宋体" w:eastAsia="宋体" w:cs="宋体"/>
          <w:color w:val="auto"/>
          <w:sz w:val="21"/>
          <w:szCs w:val="21"/>
          <w:highlight w:val="none"/>
          <w:lang w:val="en-US" w:eastAsia="zh-CN"/>
        </w:rPr>
        <w:t>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w:t>
      </w:r>
      <w:r>
        <w:rPr>
          <w:rFonts w:hint="eastAsia" w:ascii="宋体" w:hAnsi="宋体" w:eastAsia="宋体" w:cs="宋体"/>
          <w:sz w:val="21"/>
          <w:szCs w:val="21"/>
          <w:highlight w:val="none"/>
          <w:lang w:val="en-US" w:eastAsia="zh-CN"/>
        </w:rPr>
        <w:t>7</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成交供应商</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系指在本次竞争性磋商中成交的磋商供应商；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w:t>
      </w:r>
      <w:r>
        <w:rPr>
          <w:rFonts w:hint="eastAsia" w:ascii="宋体" w:hAnsi="宋体" w:eastAsia="宋体" w:cs="宋体"/>
          <w:sz w:val="21"/>
          <w:szCs w:val="21"/>
          <w:highlight w:val="none"/>
          <w:lang w:val="en-US" w:eastAsia="zh-CN"/>
        </w:rPr>
        <w:t>8</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磋商小组</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系指依《中华人民共和国政府采购法》、《政府采购竞争性磋商采购方式管理暂行办法》组建的专门负责采购评审工作的临时性机构；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w:t>
      </w:r>
      <w:r>
        <w:rPr>
          <w:rFonts w:hint="eastAsia" w:ascii="宋体" w:hAnsi="宋体" w:eastAsia="宋体" w:cs="宋体"/>
          <w:sz w:val="21"/>
          <w:szCs w:val="21"/>
          <w:lang w:val="en-US" w:eastAsia="zh-CN"/>
        </w:rPr>
        <w:t>9</w:t>
      </w:r>
      <w:r>
        <w:rPr>
          <w:rFonts w:hint="eastAsia" w:ascii="宋体" w:hAnsi="宋体" w:eastAsia="宋体" w:cs="宋体"/>
          <w:color w:val="auto"/>
          <w:sz w:val="21"/>
          <w:szCs w:val="21"/>
          <w:lang w:val="zh-CN"/>
        </w:rPr>
        <w:t>“电子签名”系指数据电文中以电子形式所含、所附用于识别签名人身份并表明签名人认可其中内容的数据；</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公章”系指单位法定名称章。</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w:t>
      </w:r>
      <w:r>
        <w:rPr>
          <w:rFonts w:hint="eastAsia" w:ascii="宋体" w:hAnsi="宋体" w:cs="宋体"/>
          <w:b w:val="0"/>
          <w:i w:val="0"/>
          <w:color w:val="auto"/>
          <w:kern w:val="2"/>
          <w:sz w:val="21"/>
          <w:szCs w:val="21"/>
          <w:lang w:val="en-US" w:eastAsia="zh-CN" w:bidi="ar-SA"/>
        </w:rPr>
        <w:t>10</w:t>
      </w:r>
      <w:r>
        <w:rPr>
          <w:rFonts w:hint="eastAsia" w:ascii="宋体" w:hAnsi="宋体" w:eastAsia="宋体" w:cs="宋体"/>
          <w:color w:val="auto"/>
          <w:sz w:val="21"/>
          <w:szCs w:val="21"/>
          <w:lang w:val="zh-CN"/>
        </w:rPr>
        <w:t>“电子交易平台”是指本项目政府采购活动所依托的政府采购云平台（https://www.zcygov.cn/）。</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2.1</w:t>
      </w:r>
      <w:r>
        <w:rPr>
          <w:rFonts w:hint="eastAsia" w:ascii="宋体" w:hAnsi="宋体" w:cs="宋体"/>
          <w:b w:val="0"/>
          <w:i w:val="0"/>
          <w:color w:val="auto"/>
          <w:kern w:val="2"/>
          <w:sz w:val="21"/>
          <w:szCs w:val="21"/>
          <w:lang w:val="en-US" w:eastAsia="zh-CN" w:bidi="ar-SA"/>
        </w:rPr>
        <w:t>1</w:t>
      </w:r>
      <w:r>
        <w:rPr>
          <w:rFonts w:hint="eastAsia" w:ascii="宋体" w:hAnsi="宋体" w:eastAsia="宋体" w:cs="宋体"/>
          <w:color w:val="auto"/>
          <w:sz w:val="21"/>
          <w:szCs w:val="21"/>
          <w:lang w:val="zh-CN"/>
        </w:rPr>
        <w:t>“▲”系指实质性要求条款，“★”系产品采购项目中单一产品或核心产品，“</w:t>
      </w:r>
      <w:r>
        <w:rPr>
          <w:rFonts w:ascii="Wingdings" w:hAnsi="Wingdings" w:eastAsia="仿宋_GB2312" w:cs="Arial"/>
          <w:kern w:val="0"/>
          <w:sz w:val="21"/>
          <w:szCs w:val="21"/>
        </w:rPr>
        <w:t></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系指适用本项目的要求，“☐”系指不适用本项目的要求。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2.1</w:t>
      </w:r>
      <w:r>
        <w:rPr>
          <w:rFonts w:hint="eastAsia" w:ascii="宋体" w:hAnsi="宋体" w:cs="宋体"/>
          <w:b w:val="0"/>
          <w:i w:val="0"/>
          <w:color w:val="auto"/>
          <w:kern w:val="2"/>
          <w:sz w:val="21"/>
          <w:szCs w:val="21"/>
          <w:lang w:val="en-US" w:eastAsia="zh-CN" w:bidi="ar-SA"/>
        </w:rPr>
        <w:t>2</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必须对</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中以“▲”标识的有关技术和商务条款做出实质性响应，否则其投标无效。</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rPr>
      </w:pPr>
      <w:r>
        <w:rPr>
          <w:rFonts w:hint="eastAsia" w:ascii="宋体" w:hAnsi="宋体" w:eastAsia="宋体" w:cs="宋体"/>
          <w:b/>
          <w:i w:val="0"/>
          <w:color w:val="auto"/>
          <w:kern w:val="2"/>
          <w:sz w:val="21"/>
          <w:szCs w:val="21"/>
          <w:lang w:val="en-US" w:eastAsia="zh-CN" w:bidi="ar-SA"/>
        </w:rPr>
        <w:t>3.</w:t>
      </w:r>
      <w:r>
        <w:rPr>
          <w:rFonts w:hint="eastAsia" w:ascii="宋体" w:hAnsi="宋体" w:eastAsia="宋体" w:cs="宋体"/>
          <w:b/>
          <w:color w:val="auto"/>
          <w:sz w:val="21"/>
          <w:szCs w:val="21"/>
        </w:rPr>
        <w:t>采购项目需要落实的政府采购政策</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3.1</w:t>
      </w:r>
      <w:r>
        <w:rPr>
          <w:rFonts w:hint="eastAsia" w:ascii="宋体" w:hAnsi="宋体" w:eastAsia="宋体" w:cs="宋体"/>
          <w:color w:val="auto"/>
          <w:sz w:val="21"/>
          <w:szCs w:val="21"/>
          <w:lang w:val="zh-CN"/>
        </w:rPr>
        <w:t>本项目原则上采购本国生产的货物、工程和服务，不允许采购进口产品。除非采购人采购进口产品</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已经在采购活动开始前向财政部门提出申请并获得财政部门审核同意，且在</w:t>
      </w:r>
      <w:r>
        <w:rPr>
          <w:rFonts w:hint="eastAsia" w:ascii="宋体" w:hAnsi="宋体" w:eastAsia="宋体" w:cs="宋体"/>
          <w:color w:val="auto"/>
          <w:sz w:val="21"/>
          <w:szCs w:val="21"/>
          <w:lang w:val="zh-CN" w:eastAsia="zh-CN"/>
        </w:rPr>
        <w:t>“磋商供应商须知”</w:t>
      </w:r>
      <w:r>
        <w:rPr>
          <w:rFonts w:hint="eastAsia" w:ascii="宋体" w:hAnsi="宋体" w:eastAsia="宋体" w:cs="宋体"/>
          <w:color w:val="auto"/>
          <w:sz w:val="21"/>
          <w:szCs w:val="21"/>
          <w:lang w:val="zh-CN"/>
        </w:rPr>
        <w:t>中明确规定可以采购进口产品</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如果因信息不对称等原因，仍有满足需求的国内产品要求参与采购竞争的，采购人、</w:t>
      </w:r>
      <w:r>
        <w:rPr>
          <w:rFonts w:hint="eastAsia" w:ascii="宋体" w:hAnsi="宋体" w:eastAsia="宋体" w:cs="宋体"/>
          <w:color w:val="auto"/>
          <w:sz w:val="21"/>
          <w:szCs w:val="21"/>
          <w:lang w:val="zh-CN" w:eastAsia="zh-CN"/>
        </w:rPr>
        <w:t>采购代理机构</w:t>
      </w:r>
      <w:r>
        <w:rPr>
          <w:rFonts w:hint="eastAsia" w:ascii="宋体" w:hAnsi="宋体" w:eastAsia="宋体" w:cs="宋体"/>
          <w:color w:val="auto"/>
          <w:sz w:val="21"/>
          <w:szCs w:val="21"/>
          <w:lang w:val="zh-CN"/>
        </w:rPr>
        <w:t>不会对其加以限制，仍将按照公平竞争原则实施采购。</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3.2</w:t>
      </w:r>
      <w:r>
        <w:rPr>
          <w:rFonts w:hint="eastAsia" w:ascii="宋体" w:hAnsi="宋体" w:eastAsia="宋体" w:cs="宋体"/>
          <w:color w:val="auto"/>
          <w:sz w:val="21"/>
          <w:szCs w:val="21"/>
          <w:lang w:val="zh-CN"/>
        </w:rPr>
        <w:t>支持绿色发展</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b w:val="0"/>
          <w:bCs w:val="0"/>
          <w:sz w:val="21"/>
          <w:szCs w:val="21"/>
        </w:rPr>
      </w:pPr>
      <w:r>
        <w:rPr>
          <w:rFonts w:hint="default" w:ascii="宋体" w:hAnsi="宋体" w:eastAsia="宋体" w:cs="宋体"/>
          <w:b w:val="0"/>
          <w:bCs w:val="0"/>
          <w:kern w:val="2"/>
          <w:sz w:val="21"/>
          <w:szCs w:val="21"/>
          <w:lang w:val="en-US" w:eastAsia="zh-CN" w:bidi="ar-SA"/>
        </w:rPr>
        <w:t>3.2.1</w:t>
      </w:r>
      <w:r>
        <w:rPr>
          <w:rFonts w:hint="eastAsia" w:ascii="宋体" w:hAnsi="宋体" w:eastAsia="宋体" w:cs="宋体"/>
          <w:b w:val="0"/>
          <w:bCs w:val="0"/>
          <w:sz w:val="21"/>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b w:val="0"/>
          <w:bCs w:val="0"/>
          <w:sz w:val="21"/>
          <w:szCs w:val="21"/>
          <w:lang w:eastAsia="zh-CN"/>
        </w:rPr>
        <w:t>磋商供应商</w:t>
      </w:r>
      <w:r>
        <w:rPr>
          <w:rFonts w:hint="eastAsia" w:ascii="宋体" w:hAnsi="宋体" w:eastAsia="宋体" w:cs="宋体"/>
          <w:b w:val="0"/>
          <w:bCs w:val="0"/>
          <w:sz w:val="21"/>
          <w:szCs w:val="21"/>
        </w:rPr>
        <w:t>须按</w:t>
      </w:r>
      <w:r>
        <w:rPr>
          <w:rFonts w:hint="eastAsia" w:ascii="宋体" w:hAnsi="宋体" w:eastAsia="宋体" w:cs="宋体"/>
          <w:b w:val="0"/>
          <w:bCs w:val="0"/>
          <w:sz w:val="21"/>
          <w:szCs w:val="21"/>
          <w:lang w:eastAsia="zh-CN"/>
        </w:rPr>
        <w:t>磋商文件</w:t>
      </w:r>
      <w:r>
        <w:rPr>
          <w:rFonts w:hint="eastAsia" w:ascii="宋体" w:hAnsi="宋体" w:eastAsia="宋体" w:cs="宋体"/>
          <w:b w:val="0"/>
          <w:bCs w:val="0"/>
          <w:sz w:val="21"/>
          <w:szCs w:val="21"/>
        </w:rPr>
        <w:t>要求提供相关产品认证证书。采购人拟采购的产品属于政府强制采购的节能产品品目清单范围的，</w:t>
      </w:r>
      <w:r>
        <w:rPr>
          <w:rFonts w:hint="eastAsia" w:ascii="宋体" w:hAnsi="宋体" w:eastAsia="宋体" w:cs="宋体"/>
          <w:b w:val="0"/>
          <w:bCs w:val="0"/>
          <w:sz w:val="21"/>
          <w:szCs w:val="21"/>
          <w:lang w:eastAsia="zh-CN"/>
        </w:rPr>
        <w:t>磋商供应商</w:t>
      </w:r>
      <w:r>
        <w:rPr>
          <w:rFonts w:hint="eastAsia" w:ascii="宋体" w:hAnsi="宋体" w:eastAsia="宋体" w:cs="宋体"/>
          <w:b w:val="0"/>
          <w:bCs w:val="0"/>
          <w:sz w:val="21"/>
          <w:szCs w:val="21"/>
        </w:rPr>
        <w:t>未按</w:t>
      </w:r>
      <w:r>
        <w:rPr>
          <w:rFonts w:hint="eastAsia" w:ascii="宋体" w:hAnsi="宋体" w:eastAsia="宋体" w:cs="宋体"/>
          <w:b w:val="0"/>
          <w:bCs w:val="0"/>
          <w:sz w:val="21"/>
          <w:szCs w:val="21"/>
          <w:lang w:eastAsia="zh-CN"/>
        </w:rPr>
        <w:t>磋商文件</w:t>
      </w:r>
      <w:r>
        <w:rPr>
          <w:rFonts w:hint="eastAsia" w:ascii="宋体" w:hAnsi="宋体" w:eastAsia="宋体" w:cs="宋体"/>
          <w:b w:val="0"/>
          <w:bCs w:val="0"/>
          <w:sz w:val="21"/>
          <w:szCs w:val="21"/>
        </w:rPr>
        <w:t>要求提供国家确定的认证机构出具的、处于有效期之内的节能产品认证证书的，</w:t>
      </w:r>
      <w:r>
        <w:rPr>
          <w:rFonts w:hint="eastAsia" w:ascii="宋体" w:hAnsi="宋体" w:eastAsia="宋体" w:cs="宋体"/>
          <w:b w:val="0"/>
          <w:bCs w:val="0"/>
          <w:sz w:val="21"/>
          <w:szCs w:val="21"/>
          <w:lang w:val="en-US" w:eastAsia="zh-CN"/>
        </w:rPr>
        <w:t>其</w:t>
      </w:r>
      <w:r>
        <w:rPr>
          <w:rFonts w:hint="eastAsia" w:ascii="宋体" w:hAnsi="宋体" w:eastAsia="宋体" w:cs="宋体"/>
          <w:b w:val="0"/>
          <w:bCs w:val="0"/>
          <w:sz w:val="21"/>
          <w:szCs w:val="21"/>
        </w:rPr>
        <w:t>投标无效。</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3.2.2</w:t>
      </w:r>
      <w:r>
        <w:rPr>
          <w:rFonts w:hint="eastAsia" w:ascii="宋体" w:hAnsi="宋体" w:eastAsia="宋体" w:cs="宋体"/>
          <w:sz w:val="21"/>
          <w:szCs w:val="21"/>
        </w:rPr>
        <w:t>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numPr>
          <w:ilvl w:val="0"/>
          <w:numId w:val="0"/>
        </w:numPr>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3.2.3</w:t>
      </w:r>
      <w:r>
        <w:rPr>
          <w:rFonts w:hint="eastAsia" w:ascii="宋体" w:hAnsi="宋体" w:eastAsia="宋体" w:cs="宋体"/>
          <w:sz w:val="21"/>
          <w:szCs w:val="21"/>
        </w:rPr>
        <w:t>为助力打好污染防治攻坚战，推广使用绿色包装，政府采购货物</w:t>
      </w:r>
      <w:r>
        <w:rPr>
          <w:rFonts w:hint="eastAsia" w:ascii="宋体" w:hAnsi="宋体" w:eastAsia="宋体" w:cs="宋体"/>
          <w:sz w:val="21"/>
          <w:szCs w:val="21"/>
          <w:lang w:eastAsia="zh-CN"/>
        </w:rPr>
        <w:t>、</w:t>
      </w:r>
      <w:r>
        <w:rPr>
          <w:rFonts w:hint="eastAsia" w:ascii="宋体" w:hAnsi="宋体" w:eastAsia="宋体" w:cs="宋体"/>
          <w:sz w:val="21"/>
          <w:szCs w:val="21"/>
        </w:rPr>
        <w:t>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3.3</w:t>
      </w:r>
      <w:r>
        <w:rPr>
          <w:rFonts w:hint="eastAsia" w:ascii="宋体" w:hAnsi="宋体" w:eastAsia="宋体" w:cs="宋体"/>
          <w:color w:val="auto"/>
          <w:sz w:val="21"/>
          <w:szCs w:val="21"/>
          <w:lang w:val="zh-CN"/>
        </w:rPr>
        <w:t>支持中小企业发展</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3.3.1</w:t>
      </w:r>
      <w:r>
        <w:rPr>
          <w:rFonts w:hint="eastAsia" w:ascii="宋体" w:hAnsi="宋体" w:eastAsia="宋体" w:cs="宋体"/>
          <w:sz w:val="21"/>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符合中小企业划分标准的个体工商户，在政府采购活动中视同中小企业。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left"/>
        <w:textAlignment w:val="auto"/>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3.3.2</w:t>
      </w:r>
      <w:r>
        <w:rPr>
          <w:rFonts w:hint="eastAsia" w:ascii="宋体" w:hAnsi="宋体" w:eastAsia="宋体" w:cs="宋体"/>
          <w:kern w:val="0"/>
          <w:sz w:val="21"/>
          <w:szCs w:val="21"/>
        </w:rPr>
        <w:t>在政府采购活动中，</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提供的货物、工程或者服务符合下列情形的，享受中小企业扶持政策：</w:t>
      </w:r>
    </w:p>
    <w:p>
      <w:pPr>
        <w:keepNext w:val="0"/>
        <w:keepLines w:val="0"/>
        <w:pageBreakBefore w:val="0"/>
        <w:widowControl/>
        <w:numPr>
          <w:ilvl w:val="0"/>
          <w:numId w:val="3"/>
        </w:numPr>
        <w:tabs>
          <w:tab w:val="left" w:pos="840"/>
          <w:tab w:val="clear" w:pos="420"/>
        </w:tabs>
        <w:kinsoku/>
        <w:wordWrap/>
        <w:overflowPunct/>
        <w:topLinePunct w:val="0"/>
        <w:bidi w:val="0"/>
        <w:spacing w:beforeAutospacing="0" w:line="336"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在货物采购项目中，货物由中小企业制造，即货物由中小企业生产且使用该中小企业商号或者注册商标；</w:t>
      </w:r>
    </w:p>
    <w:p>
      <w:pPr>
        <w:keepNext w:val="0"/>
        <w:keepLines w:val="0"/>
        <w:pageBreakBefore w:val="0"/>
        <w:widowControl/>
        <w:numPr>
          <w:ilvl w:val="0"/>
          <w:numId w:val="3"/>
        </w:numPr>
        <w:tabs>
          <w:tab w:val="left" w:pos="840"/>
          <w:tab w:val="clear" w:pos="420"/>
        </w:tabs>
        <w:kinsoku/>
        <w:wordWrap/>
        <w:overflowPunct/>
        <w:topLinePunct w:val="0"/>
        <w:bidi w:val="0"/>
        <w:spacing w:beforeAutospacing="0" w:line="336"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在服务采购项目中，服务由中小企业承接，即提供服务的人员为中小企业依照《中华人民共和国劳动合同法》订立劳动合同的从业人员。</w:t>
      </w:r>
    </w:p>
    <w:p>
      <w:pPr>
        <w:keepNext w:val="0"/>
        <w:keepLines w:val="0"/>
        <w:pageBreakBefore w:val="0"/>
        <w:widowControl/>
        <w:kinsoku/>
        <w:wordWrap/>
        <w:overflowPunct/>
        <w:topLinePunct w:val="0"/>
        <w:bidi w:val="0"/>
        <w:spacing w:beforeAutospacing="0" w:line="336"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在货物采购项目中，</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提供的货物既有中小企业制造货物，也有大型企业制造货物的，不享受中小企业扶持政策。</w:t>
      </w:r>
    </w:p>
    <w:p>
      <w:pPr>
        <w:keepNext w:val="0"/>
        <w:keepLines w:val="0"/>
        <w:pageBreakBefore w:val="0"/>
        <w:widowControl/>
        <w:kinsoku/>
        <w:wordWrap/>
        <w:overflowPunct/>
        <w:topLinePunct w:val="0"/>
        <w:bidi w:val="0"/>
        <w:spacing w:beforeAutospacing="0" w:line="336"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以联合体形式参加政府采购活动，联合体各方均为中小企业的，联合体视同中小企业。其中，联合体各方均为小微企业的，联合体视同小微企业。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3.3.3</w:t>
      </w:r>
      <w:r>
        <w:rPr>
          <w:rFonts w:hint="eastAsia" w:ascii="宋体" w:hAnsi="宋体" w:eastAsia="宋体" w:cs="宋体"/>
          <w:kern w:val="0"/>
          <w:sz w:val="21"/>
          <w:szCs w:val="21"/>
        </w:rPr>
        <w:t>对于未预留份额专门面向中小企业的政府采购货物或服务项目，以及预留份额政府采购货物或服务项目中的非预留部分标项，对小型和微型企业的投标报价给予10%</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kern w:val="0"/>
          <w:sz w:val="21"/>
          <w:szCs w:val="21"/>
          <w:lang w:val="en-US" w:eastAsia="zh-CN"/>
        </w:rPr>
        <w:t>4%-6%</w:t>
      </w:r>
      <w:r>
        <w:rPr>
          <w:rFonts w:hint="eastAsia" w:ascii="宋体" w:hAnsi="宋体" w:eastAsia="宋体" w:cs="宋体"/>
          <w:kern w:val="0"/>
          <w:sz w:val="21"/>
          <w:szCs w:val="21"/>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3.3.4</w:t>
      </w:r>
      <w:r>
        <w:rPr>
          <w:rFonts w:hint="eastAsia" w:ascii="宋体" w:hAnsi="宋体" w:eastAsia="宋体" w:cs="宋体"/>
          <w:kern w:val="0"/>
          <w:sz w:val="21"/>
          <w:szCs w:val="21"/>
        </w:rPr>
        <w:t>符合《关于促进残疾人就业政府采购政策的通知》（财库〔2017〕141号）规定的条件并提供《残疾人福利性单位声明函》（附件1）的残疾人福利性单位视同小型、微型企业；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3.3.5</w:t>
      </w:r>
      <w:r>
        <w:rPr>
          <w:rFonts w:hint="eastAsia" w:ascii="宋体" w:hAnsi="宋体" w:eastAsia="宋体" w:cs="宋体"/>
          <w:kern w:val="0"/>
          <w:sz w:val="21"/>
          <w:szCs w:val="21"/>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lang w:val="en-US" w:eastAsia="zh-CN"/>
        </w:rPr>
      </w:pPr>
      <w:r>
        <w:rPr>
          <w:rFonts w:hint="default" w:ascii="宋体" w:hAnsi="宋体" w:eastAsia="宋体" w:cs="宋体"/>
          <w:kern w:val="0"/>
          <w:sz w:val="21"/>
          <w:szCs w:val="21"/>
          <w:lang w:val="en-US" w:eastAsia="zh-CN" w:bidi="ar-SA"/>
        </w:rPr>
        <w:t>3.3.6</w:t>
      </w:r>
      <w:r>
        <w:rPr>
          <w:rFonts w:hint="eastAsia" w:ascii="宋体" w:hAnsi="宋体" w:eastAsia="宋体" w:cs="宋体"/>
          <w:kern w:val="0"/>
          <w:sz w:val="21"/>
          <w:szCs w:val="21"/>
        </w:rPr>
        <w:t>监狱企业、残疾人福利性单位视同小型、微型企业的，享受价格扣除。监狱企业、残疾人福利性单位属于小型、微型企业的，不重复享受政策。</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lang w:eastAsia="zh-CN"/>
        </w:rPr>
      </w:pPr>
      <w:r>
        <w:rPr>
          <w:rFonts w:hint="default" w:ascii="宋体" w:hAnsi="宋体" w:eastAsia="宋体" w:cs="宋体"/>
          <w:kern w:val="0"/>
          <w:sz w:val="21"/>
          <w:szCs w:val="21"/>
          <w:lang w:val="en-US" w:eastAsia="zh-CN" w:bidi="ar-SA"/>
        </w:rPr>
        <w:t>3.3.7</w:t>
      </w:r>
      <w:r>
        <w:rPr>
          <w:rFonts w:hint="eastAsia" w:ascii="宋体" w:hAnsi="宋体" w:eastAsia="宋体" w:cs="宋体"/>
          <w:kern w:val="0"/>
          <w:sz w:val="21"/>
          <w:szCs w:val="21"/>
        </w:rPr>
        <w:t>可享受中小企业扶持政策的</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应按照</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格式要求提供《中小企业声明函》</w:t>
      </w:r>
      <w:r>
        <w:rPr>
          <w:rFonts w:hint="eastAsia" w:ascii="宋体" w:hAnsi="宋体" w:eastAsia="宋体" w:cs="宋体"/>
          <w:kern w:val="0"/>
          <w:sz w:val="21"/>
          <w:szCs w:val="21"/>
          <w:lang w:eastAsia="zh-CN"/>
        </w:rPr>
        <w:t>。</w:t>
      </w:r>
    </w:p>
    <w:p>
      <w:pPr>
        <w:keepNext w:val="0"/>
        <w:keepLines w:val="0"/>
        <w:pageBreakBefore w:val="0"/>
        <w:widowControl/>
        <w:numPr>
          <w:ilvl w:val="0"/>
          <w:numId w:val="0"/>
        </w:numPr>
        <w:tabs>
          <w:tab w:val="left" w:pos="840"/>
        </w:tabs>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3.3.8</w:t>
      </w:r>
      <w:r>
        <w:rPr>
          <w:rFonts w:hint="eastAsia" w:ascii="宋体" w:hAnsi="宋体" w:eastAsia="宋体" w:cs="宋体"/>
          <w:kern w:val="0"/>
          <w:sz w:val="21"/>
          <w:szCs w:val="21"/>
        </w:rPr>
        <w:t>中小企业享受扶持政策获得政府采购合同的，小微企业不得将合同分包给大中型企业，中型企业不得将合同分包给大型企业。</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3.4</w:t>
      </w:r>
      <w:r>
        <w:rPr>
          <w:rFonts w:hint="eastAsia" w:ascii="宋体" w:hAnsi="宋体" w:eastAsia="宋体" w:cs="宋体"/>
          <w:color w:val="auto"/>
          <w:sz w:val="21"/>
          <w:szCs w:val="21"/>
          <w:lang w:val="zh-CN"/>
        </w:rPr>
        <w:t>支持创新发展</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3.4.1</w:t>
      </w:r>
      <w:r>
        <w:rPr>
          <w:rFonts w:hint="eastAsia" w:ascii="宋体" w:hAnsi="宋体" w:eastAsia="宋体" w:cs="宋体"/>
          <w:sz w:val="21"/>
          <w:szCs w:val="21"/>
        </w:rPr>
        <w:t>采购人优先采购被认定为首台套产品和“制造精品”的自主创新产品。</w:t>
      </w:r>
    </w:p>
    <w:p>
      <w:pPr>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3.4.2</w:t>
      </w:r>
      <w:r>
        <w:rPr>
          <w:rFonts w:hint="eastAsia" w:ascii="宋体" w:hAnsi="宋体" w:eastAsia="宋体" w:cs="宋体"/>
          <w:sz w:val="21"/>
          <w:szCs w:val="21"/>
        </w:rPr>
        <w:t>对省级以上主管部门认定的首台套产品，自纳入《省推广应用指导目录》起</w:t>
      </w:r>
      <w:r>
        <w:rPr>
          <w:rFonts w:hint="eastAsia" w:ascii="宋体" w:hAnsi="宋体" w:eastAsia="宋体" w:cs="宋体"/>
          <w:sz w:val="21"/>
          <w:szCs w:val="21"/>
          <w:lang w:val="en-US" w:eastAsia="zh-CN"/>
        </w:rPr>
        <w:t>3</w:t>
      </w:r>
      <w:r>
        <w:rPr>
          <w:rFonts w:hint="eastAsia" w:ascii="宋体" w:hAnsi="宋体" w:eastAsia="宋体" w:cs="宋体"/>
          <w:sz w:val="21"/>
          <w:szCs w:val="21"/>
        </w:rPr>
        <w:t>年内，以及产品核心技术高于国内领先水平，并具有明晰自主知识产权的“制造精品”产品，自认定之日起2年内</w:t>
      </w:r>
      <w:r>
        <w:rPr>
          <w:rFonts w:hint="eastAsia" w:ascii="宋体" w:hAnsi="宋体" w:eastAsia="宋体" w:cs="宋体"/>
          <w:sz w:val="21"/>
          <w:szCs w:val="21"/>
          <w:lang w:eastAsia="zh-CN"/>
        </w:rPr>
        <w:t>，</w:t>
      </w:r>
      <w:r>
        <w:rPr>
          <w:rFonts w:hint="eastAsia" w:ascii="宋体" w:hAnsi="宋体" w:eastAsia="宋体" w:cs="宋体"/>
          <w:sz w:val="21"/>
          <w:szCs w:val="21"/>
        </w:rPr>
        <w:t>视同已具备相应销售业绩，参加政府采购活动时业绩分值为满分。</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3.5</w:t>
      </w:r>
      <w:r>
        <w:rPr>
          <w:rFonts w:hint="eastAsia" w:ascii="宋体" w:hAnsi="宋体" w:eastAsia="宋体" w:cs="宋体"/>
          <w:color w:val="auto"/>
          <w:sz w:val="21"/>
          <w:szCs w:val="21"/>
          <w:lang w:val="zh-CN"/>
        </w:rPr>
        <w:t>平等对待内外资企业和符合条件的破产重整企业</w:t>
      </w:r>
    </w:p>
    <w:p>
      <w:pPr>
        <w:keepNext w:val="0"/>
        <w:keepLines w:val="0"/>
        <w:pageBreakBefore w:val="0"/>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平等对待内外资企业和符合条件的破产重整企业，切实保障企业公平竞争，平等维护企业的合法利益。</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3.6</w:t>
      </w:r>
      <w:r>
        <w:rPr>
          <w:rFonts w:hint="eastAsia" w:ascii="宋体" w:hAnsi="宋体" w:eastAsia="宋体" w:cs="宋体"/>
          <w:color w:val="auto"/>
          <w:sz w:val="21"/>
          <w:szCs w:val="21"/>
          <w:lang w:val="en-US" w:eastAsia="zh-CN"/>
        </w:rPr>
        <w:t>支持中小企业信用融资</w:t>
      </w:r>
    </w:p>
    <w:p>
      <w:pPr>
        <w:keepNext w:val="0"/>
        <w:keepLines w:val="0"/>
        <w:pageBreakBefore w:val="0"/>
        <w:kinsoku/>
        <w:wordWrap/>
        <w:overflowPunct/>
        <w:topLinePunct w:val="0"/>
        <w:bidi w:val="0"/>
        <w:spacing w:beforeAutospacing="0" w:line="336" w:lineRule="auto"/>
        <w:ind w:left="0" w:leftChars="0" w:firstLine="420" w:firstLineChars="200"/>
        <w:jc w:val="both"/>
        <w:textAlignment w:val="auto"/>
        <w:rPr>
          <w:rFonts w:hint="eastAsia" w:ascii="宋体" w:hAnsi="宋体" w:eastAsia="宋体" w:cs="宋体"/>
          <w:color w:val="FF0000"/>
          <w:sz w:val="21"/>
          <w:szCs w:val="21"/>
        </w:rPr>
      </w:pPr>
      <w:r>
        <w:rPr>
          <w:rFonts w:hint="eastAsia" w:ascii="宋体" w:hAnsi="宋体" w:eastAsia="宋体" w:cs="宋体"/>
          <w:sz w:val="21"/>
          <w:szCs w:val="21"/>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keepNext w:val="0"/>
        <w:keepLines w:val="0"/>
        <w:pageBreakBefore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rPr>
      </w:pPr>
      <w:r>
        <w:rPr>
          <w:rFonts w:hint="eastAsia" w:ascii="宋体" w:hAnsi="宋体" w:eastAsia="宋体" w:cs="宋体"/>
          <w:b/>
          <w:i w:val="0"/>
          <w:color w:val="auto"/>
          <w:kern w:val="2"/>
          <w:sz w:val="21"/>
          <w:szCs w:val="21"/>
          <w:lang w:val="en-US" w:eastAsia="zh-CN" w:bidi="ar-SA"/>
        </w:rPr>
        <w:t>4.</w:t>
      </w:r>
      <w:r>
        <w:rPr>
          <w:rFonts w:hint="eastAsia" w:ascii="宋体" w:hAnsi="宋体" w:eastAsia="宋体" w:cs="宋体"/>
          <w:b/>
          <w:color w:val="auto"/>
          <w:sz w:val="21"/>
          <w:szCs w:val="21"/>
        </w:rPr>
        <w:t>询问、质疑、投诉</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4.1</w:t>
      </w:r>
      <w:r>
        <w:rPr>
          <w:rFonts w:hint="eastAsia" w:ascii="宋体" w:hAnsi="宋体" w:eastAsia="宋体" w:cs="宋体"/>
          <w:color w:val="auto"/>
          <w:sz w:val="21"/>
          <w:szCs w:val="21"/>
          <w:lang w:val="zh-CN"/>
        </w:rPr>
        <w:t>供应商询问</w:t>
      </w:r>
    </w:p>
    <w:p>
      <w:pPr>
        <w:keepNext w:val="0"/>
        <w:keepLines w:val="0"/>
        <w:pageBreakBefore w:val="0"/>
        <w:kinsoku/>
        <w:wordWrap/>
        <w:overflowPunct/>
        <w:topLinePunct w:val="0"/>
        <w:autoSpaceDE w:val="0"/>
        <w:autoSpaceDN w:val="0"/>
        <w:bidi w:val="0"/>
        <w:spacing w:beforeAutospacing="0" w:line="336" w:lineRule="auto"/>
        <w:ind w:left="0" w:leftChars="0" w:firstLine="420" w:firstLineChars="200"/>
        <w:jc w:val="both"/>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4.2</w:t>
      </w:r>
      <w:r>
        <w:rPr>
          <w:rFonts w:hint="eastAsia" w:ascii="宋体" w:hAnsi="宋体" w:eastAsia="宋体" w:cs="宋体"/>
          <w:color w:val="auto"/>
          <w:sz w:val="21"/>
          <w:szCs w:val="21"/>
          <w:lang w:val="zh-CN"/>
        </w:rPr>
        <w:t>供应商质疑</w:t>
      </w:r>
    </w:p>
    <w:p>
      <w:pPr>
        <w:pStyle w:val="12"/>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4.2.1</w:t>
      </w:r>
      <w:r>
        <w:rPr>
          <w:rFonts w:hint="eastAsia" w:ascii="宋体" w:hAnsi="宋体" w:eastAsia="宋体" w:cs="宋体"/>
          <w:sz w:val="21"/>
          <w:szCs w:val="21"/>
        </w:rPr>
        <w:t>提出质疑的供应商应当是参与所质疑项目采购活动的供应商。潜在供应商已依法获取其可质疑的</w:t>
      </w:r>
      <w:r>
        <w:rPr>
          <w:rFonts w:hint="eastAsia" w:ascii="宋体" w:hAnsi="宋体" w:eastAsia="宋体" w:cs="宋体"/>
          <w:sz w:val="21"/>
          <w:szCs w:val="21"/>
          <w:lang w:eastAsia="zh-CN"/>
        </w:rPr>
        <w:t>磋商文件</w:t>
      </w:r>
      <w:r>
        <w:rPr>
          <w:rFonts w:hint="eastAsia" w:ascii="宋体" w:hAnsi="宋体" w:eastAsia="宋体" w:cs="宋体"/>
          <w:sz w:val="21"/>
          <w:szCs w:val="21"/>
        </w:rPr>
        <w:t>的，可以对该文件提出质疑。</w:t>
      </w:r>
    </w:p>
    <w:p>
      <w:pPr>
        <w:pStyle w:val="12"/>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b/>
          <w:bCs/>
          <w:sz w:val="21"/>
          <w:szCs w:val="21"/>
          <w:lang w:eastAsia="zh-CN"/>
        </w:rPr>
      </w:pPr>
      <w:r>
        <w:rPr>
          <w:rFonts w:hint="default" w:ascii="宋体" w:hAnsi="宋体" w:eastAsia="宋体" w:cs="宋体"/>
          <w:b w:val="0"/>
          <w:bCs w:val="0"/>
          <w:snapToGrid w:val="0"/>
          <w:kern w:val="2"/>
          <w:sz w:val="21"/>
          <w:szCs w:val="21"/>
          <w:lang w:val="en-US" w:eastAsia="zh-CN" w:bidi="ar-SA"/>
        </w:rPr>
        <w:t>4.2.2</w:t>
      </w:r>
      <w:r>
        <w:rPr>
          <w:rFonts w:hint="eastAsia" w:ascii="宋体" w:hAnsi="宋体" w:eastAsia="宋体" w:cs="宋体"/>
          <w:b w:val="0"/>
          <w:bCs w:val="0"/>
          <w:sz w:val="21"/>
          <w:szCs w:val="21"/>
        </w:rPr>
        <w:t>供应</w:t>
      </w:r>
      <w:r>
        <w:rPr>
          <w:rFonts w:hint="eastAsia" w:ascii="宋体" w:hAnsi="宋体" w:eastAsia="宋体" w:cs="宋体"/>
          <w:sz w:val="21"/>
          <w:szCs w:val="21"/>
        </w:rPr>
        <w:t>商认为</w:t>
      </w:r>
      <w:r>
        <w:rPr>
          <w:rFonts w:hint="eastAsia" w:ascii="宋体" w:hAnsi="宋体" w:eastAsia="宋体" w:cs="宋体"/>
          <w:sz w:val="21"/>
          <w:szCs w:val="21"/>
          <w:lang w:eastAsia="zh-CN"/>
        </w:rPr>
        <w:t>磋商文件</w:t>
      </w:r>
      <w:r>
        <w:rPr>
          <w:rFonts w:hint="eastAsia" w:ascii="宋体" w:hAnsi="宋体" w:eastAsia="宋体" w:cs="宋体"/>
          <w:sz w:val="21"/>
          <w:szCs w:val="21"/>
        </w:rPr>
        <w:t>、采购过程和</w:t>
      </w:r>
      <w:r>
        <w:rPr>
          <w:rFonts w:hint="eastAsia" w:ascii="宋体" w:hAnsi="宋体" w:eastAsia="宋体" w:cs="宋体"/>
          <w:sz w:val="21"/>
          <w:szCs w:val="21"/>
          <w:lang w:eastAsia="zh-CN"/>
        </w:rPr>
        <w:t>成交结果</w:t>
      </w:r>
      <w:r>
        <w:rPr>
          <w:rFonts w:hint="eastAsia" w:ascii="宋体" w:hAnsi="宋体" w:eastAsia="宋体" w:cs="宋体"/>
          <w:sz w:val="21"/>
          <w:szCs w:val="21"/>
        </w:rPr>
        <w:t>使自己的权益受到损害的，可以在知道或者应知其权益受到损害之日起七个工作日内，以书面形式向采购人或者</w:t>
      </w:r>
      <w:r>
        <w:rPr>
          <w:rFonts w:hint="eastAsia" w:ascii="宋体" w:hAnsi="宋体" w:eastAsia="宋体" w:cs="宋体"/>
          <w:sz w:val="21"/>
          <w:szCs w:val="21"/>
          <w:lang w:eastAsia="zh-CN"/>
        </w:rPr>
        <w:t>采购代理机构</w:t>
      </w:r>
      <w:r>
        <w:rPr>
          <w:rFonts w:hint="eastAsia" w:ascii="宋体" w:hAnsi="宋体" w:eastAsia="宋体" w:cs="宋体"/>
          <w:sz w:val="21"/>
          <w:szCs w:val="21"/>
        </w:rPr>
        <w:t>提出质疑，否则，采购人或者</w:t>
      </w:r>
      <w:r>
        <w:rPr>
          <w:rFonts w:hint="eastAsia" w:ascii="宋体" w:hAnsi="宋体" w:eastAsia="宋体" w:cs="宋体"/>
          <w:sz w:val="21"/>
          <w:szCs w:val="21"/>
          <w:lang w:eastAsia="zh-CN"/>
        </w:rPr>
        <w:t>采购代理机构</w:t>
      </w:r>
      <w:r>
        <w:rPr>
          <w:rFonts w:hint="eastAsia" w:ascii="宋体" w:hAnsi="宋体" w:eastAsia="宋体" w:cs="宋体"/>
          <w:sz w:val="21"/>
          <w:szCs w:val="21"/>
        </w:rPr>
        <w:t>不予受理</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供应商在法定质疑期内必须一次性提出针对</w:t>
      </w:r>
      <w:r>
        <w:rPr>
          <w:rFonts w:hint="eastAsia" w:ascii="宋体" w:hAnsi="宋体" w:eastAsia="宋体" w:cs="宋体"/>
          <w:b/>
          <w:bCs/>
          <w:sz w:val="21"/>
          <w:szCs w:val="21"/>
        </w:rPr>
        <w:t>同一采购程序环节的质疑。</w:t>
      </w:r>
    </w:p>
    <w:p>
      <w:pPr>
        <w:pStyle w:val="7"/>
        <w:keepNext w:val="0"/>
        <w:keepLines w:val="0"/>
        <w:pageBreakBefore w:val="0"/>
        <w:numPr>
          <w:ilvl w:val="0"/>
          <w:numId w:val="4"/>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napToGrid/>
          <w:color w:val="auto"/>
          <w:kern w:val="2"/>
          <w:sz w:val="21"/>
          <w:szCs w:val="21"/>
        </w:rPr>
      </w:pPr>
      <w:r>
        <w:rPr>
          <w:rFonts w:hint="eastAsia" w:ascii="宋体" w:hAnsi="宋体" w:eastAsia="宋体" w:cs="宋体"/>
          <w:snapToGrid/>
          <w:color w:val="auto"/>
          <w:kern w:val="2"/>
          <w:sz w:val="21"/>
          <w:szCs w:val="21"/>
        </w:rPr>
        <w:t>对</w:t>
      </w:r>
      <w:r>
        <w:rPr>
          <w:rFonts w:hint="eastAsia" w:ascii="宋体" w:hAnsi="宋体" w:eastAsia="宋体" w:cs="宋体"/>
          <w:snapToGrid/>
          <w:color w:val="auto"/>
          <w:kern w:val="2"/>
          <w:sz w:val="21"/>
          <w:szCs w:val="21"/>
          <w:lang w:eastAsia="zh-CN"/>
        </w:rPr>
        <w:t>磋商文件</w:t>
      </w:r>
      <w:r>
        <w:rPr>
          <w:rFonts w:hint="eastAsia" w:ascii="宋体" w:hAnsi="宋体" w:eastAsia="宋体" w:cs="宋体"/>
          <w:snapToGrid/>
          <w:color w:val="auto"/>
          <w:kern w:val="2"/>
          <w:sz w:val="21"/>
          <w:szCs w:val="21"/>
        </w:rPr>
        <w:t>提出质疑的，质疑期限为供应商获得</w:t>
      </w:r>
      <w:r>
        <w:rPr>
          <w:rFonts w:hint="eastAsia" w:ascii="宋体" w:hAnsi="宋体" w:eastAsia="宋体" w:cs="宋体"/>
          <w:snapToGrid/>
          <w:color w:val="auto"/>
          <w:kern w:val="2"/>
          <w:sz w:val="21"/>
          <w:szCs w:val="21"/>
          <w:lang w:eastAsia="zh-CN"/>
        </w:rPr>
        <w:t>磋商文件</w:t>
      </w:r>
      <w:r>
        <w:rPr>
          <w:rFonts w:hint="eastAsia" w:ascii="宋体" w:hAnsi="宋体" w:eastAsia="宋体" w:cs="宋体"/>
          <w:snapToGrid/>
          <w:color w:val="auto"/>
          <w:kern w:val="2"/>
          <w:sz w:val="21"/>
          <w:szCs w:val="21"/>
        </w:rPr>
        <w:t>之日或者</w:t>
      </w:r>
      <w:r>
        <w:rPr>
          <w:rFonts w:hint="eastAsia" w:ascii="宋体" w:hAnsi="宋体" w:eastAsia="宋体" w:cs="宋体"/>
          <w:snapToGrid/>
          <w:color w:val="auto"/>
          <w:kern w:val="2"/>
          <w:sz w:val="21"/>
          <w:szCs w:val="21"/>
          <w:lang w:eastAsia="zh-CN"/>
        </w:rPr>
        <w:t>磋商文件</w:t>
      </w:r>
      <w:r>
        <w:rPr>
          <w:rFonts w:hint="eastAsia" w:ascii="宋体" w:hAnsi="宋体" w:eastAsia="宋体" w:cs="宋体"/>
          <w:snapToGrid/>
          <w:color w:val="auto"/>
          <w:kern w:val="2"/>
          <w:sz w:val="21"/>
          <w:szCs w:val="21"/>
        </w:rPr>
        <w:t>公告期限届满之日起计算</w:t>
      </w:r>
      <w:r>
        <w:rPr>
          <w:rFonts w:hint="eastAsia" w:ascii="宋体" w:hAnsi="宋体" w:eastAsia="宋体" w:cs="宋体"/>
          <w:snapToGrid/>
          <w:color w:val="auto"/>
          <w:kern w:val="2"/>
          <w:sz w:val="21"/>
          <w:szCs w:val="21"/>
          <w:lang w:eastAsia="zh-CN"/>
        </w:rPr>
        <w:t>（</w:t>
      </w:r>
      <w:r>
        <w:rPr>
          <w:rFonts w:hint="eastAsia" w:ascii="宋体" w:hAnsi="宋体" w:eastAsia="宋体" w:cs="宋体"/>
          <w:sz w:val="21"/>
          <w:szCs w:val="21"/>
        </w:rPr>
        <w:t>公告期限届满后获取</w:t>
      </w:r>
      <w:r>
        <w:rPr>
          <w:rFonts w:hint="eastAsia" w:ascii="宋体" w:hAnsi="宋体" w:eastAsia="宋体" w:cs="宋体"/>
          <w:sz w:val="21"/>
          <w:szCs w:val="21"/>
          <w:lang w:eastAsia="zh-CN"/>
        </w:rPr>
        <w:t>磋商文件</w:t>
      </w:r>
      <w:r>
        <w:rPr>
          <w:rFonts w:hint="eastAsia" w:ascii="宋体" w:hAnsi="宋体" w:eastAsia="宋体" w:cs="宋体"/>
          <w:sz w:val="21"/>
          <w:szCs w:val="21"/>
        </w:rPr>
        <w:t>的，以公告期限届满之日为准</w:t>
      </w:r>
      <w:r>
        <w:rPr>
          <w:rFonts w:hint="eastAsia" w:ascii="宋体" w:hAnsi="宋体" w:eastAsia="宋体" w:cs="宋体"/>
          <w:snapToGrid/>
          <w:color w:val="auto"/>
          <w:kern w:val="2"/>
          <w:sz w:val="21"/>
          <w:szCs w:val="21"/>
          <w:lang w:eastAsia="zh-CN"/>
        </w:rPr>
        <w:t>）</w:t>
      </w:r>
      <w:r>
        <w:rPr>
          <w:rFonts w:hint="eastAsia" w:ascii="宋体" w:hAnsi="宋体" w:eastAsia="宋体" w:cs="宋体"/>
          <w:snapToGrid/>
          <w:color w:val="auto"/>
          <w:kern w:val="2"/>
          <w:sz w:val="21"/>
          <w:szCs w:val="21"/>
        </w:rPr>
        <w:t>。</w:t>
      </w:r>
    </w:p>
    <w:p>
      <w:pPr>
        <w:pStyle w:val="12"/>
        <w:keepNext w:val="0"/>
        <w:keepLines w:val="0"/>
        <w:pageBreakBefore w:val="0"/>
        <w:numPr>
          <w:ilvl w:val="0"/>
          <w:numId w:val="4"/>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对采购过程提出质疑的，质疑期限为各采购程序环节结束之日起计算</w:t>
      </w:r>
      <w:r>
        <w:rPr>
          <w:rFonts w:hint="eastAsia" w:ascii="宋体" w:hAnsi="宋体" w:eastAsia="宋体" w:cs="宋体"/>
          <w:sz w:val="21"/>
          <w:szCs w:val="21"/>
          <w:lang w:eastAsia="zh-CN"/>
        </w:rPr>
        <w:t>。</w:t>
      </w:r>
    </w:p>
    <w:p>
      <w:pPr>
        <w:pStyle w:val="12"/>
        <w:keepNext w:val="0"/>
        <w:keepLines w:val="0"/>
        <w:pageBreakBefore w:val="0"/>
        <w:numPr>
          <w:ilvl w:val="0"/>
          <w:numId w:val="4"/>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对采购结果提出质疑的，质疑期限自采购结果公告期限届满之日起计算。</w:t>
      </w:r>
    </w:p>
    <w:p>
      <w:pPr>
        <w:pStyle w:val="12"/>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lang w:val="zh-CN"/>
        </w:rPr>
      </w:pPr>
      <w:r>
        <w:rPr>
          <w:rFonts w:hint="default" w:ascii="宋体" w:hAnsi="宋体" w:eastAsia="宋体" w:cs="宋体"/>
          <w:snapToGrid w:val="0"/>
          <w:kern w:val="2"/>
          <w:sz w:val="21"/>
          <w:szCs w:val="21"/>
          <w:lang w:val="zh-CN" w:eastAsia="zh-CN" w:bidi="ar-SA"/>
        </w:rPr>
        <w:t>4.2.3</w:t>
      </w:r>
      <w:r>
        <w:rPr>
          <w:rFonts w:hint="eastAsia" w:ascii="宋体" w:hAnsi="宋体" w:eastAsia="宋体" w:cs="宋体"/>
          <w:sz w:val="21"/>
          <w:szCs w:val="21"/>
        </w:rPr>
        <w:t>供应商提出质疑应当提交质疑函和必要的证明材料。质疑函应当包括下列内容：</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供应商的姓名或者名称、地址、邮编、联系人及联系电话；</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质疑项目的名称、编号；</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具体、明确的质疑事项和与质疑事项相关的请求；</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事实依据；</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必要的法律依据；</w:t>
      </w:r>
    </w:p>
    <w:p>
      <w:pPr>
        <w:pStyle w:val="12"/>
        <w:keepNext w:val="0"/>
        <w:keepLines w:val="0"/>
        <w:pageBreakBefore w:val="0"/>
        <w:numPr>
          <w:ilvl w:val="0"/>
          <w:numId w:val="5"/>
        </w:numPr>
        <w:tabs>
          <w:tab w:val="left" w:pos="840"/>
          <w:tab w:val="clear" w:pos="42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提出质疑的日期。</w:t>
      </w:r>
    </w:p>
    <w:p>
      <w:pPr>
        <w:pStyle w:val="45"/>
        <w:keepNext w:val="0"/>
        <w:keepLines w:val="0"/>
        <w:pageBreakBefore w:val="0"/>
        <w:shd w:val="clear" w:color="auto" w:fill="auto"/>
        <w:kinsoku/>
        <w:wordWrap/>
        <w:overflowPunct/>
        <w:topLinePunct w:val="0"/>
        <w:bidi w:val="0"/>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rPr>
      </w:pPr>
      <w:r>
        <w:rPr>
          <w:rFonts w:hint="eastAsia" w:ascii="宋体" w:hAnsi="宋体" w:eastAsia="宋体" w:cs="宋体"/>
          <w:sz w:val="21"/>
          <w:szCs w:val="21"/>
          <w:highlight w:val="none"/>
        </w:rPr>
        <w:t>供应商提交的质疑函需一式三份。</w:t>
      </w:r>
      <w:r>
        <w:rPr>
          <w:rFonts w:hint="eastAsia" w:ascii="宋体" w:hAnsi="宋体" w:eastAsia="宋体" w:cs="宋体"/>
          <w:sz w:val="21"/>
          <w:szCs w:val="21"/>
        </w:rPr>
        <w:t>供应商为自然人的，应当由本人签字；供应商为法人或者其他组织的，应当由法定代表人、主要负责人，或者其授权代表签字或者盖章，并加盖公章。</w:t>
      </w:r>
    </w:p>
    <w:p>
      <w:pPr>
        <w:pStyle w:val="45"/>
        <w:keepNext w:val="0"/>
        <w:keepLines w:val="0"/>
        <w:pageBreakBefore w:val="0"/>
        <w:widowControl/>
        <w:shd w:val="clear" w:color="auto" w:fill="auto"/>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outlineLvl w:val="9"/>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none"/>
        </w:rPr>
        <w:t>质疑函范本及制作说明详见附件2。</w:t>
      </w:r>
    </w:p>
    <w:p>
      <w:pPr>
        <w:pStyle w:val="12"/>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4.2.4</w:t>
      </w:r>
      <w:r>
        <w:rPr>
          <w:rFonts w:hint="eastAsia" w:ascii="宋体" w:hAnsi="宋体" w:eastAsia="宋体" w:cs="宋体"/>
          <w:sz w:val="21"/>
          <w:szCs w:val="21"/>
        </w:rPr>
        <w:t>采购人或者</w:t>
      </w:r>
      <w:r>
        <w:rPr>
          <w:rFonts w:hint="eastAsia" w:ascii="宋体" w:hAnsi="宋体" w:eastAsia="宋体" w:cs="宋体"/>
          <w:sz w:val="21"/>
          <w:szCs w:val="21"/>
          <w:lang w:eastAsia="zh-CN"/>
        </w:rPr>
        <w:t>采购代理机构</w:t>
      </w:r>
      <w:r>
        <w:rPr>
          <w:rFonts w:hint="eastAsia" w:ascii="宋体" w:hAnsi="宋体" w:eastAsia="宋体" w:cs="宋体"/>
          <w:sz w:val="21"/>
          <w:szCs w:val="21"/>
        </w:rPr>
        <w:t>应当在收到供应商的书面质疑后</w:t>
      </w:r>
      <w:r>
        <w:rPr>
          <w:rFonts w:hint="eastAsia" w:ascii="宋体" w:hAnsi="宋体" w:eastAsia="宋体" w:cs="宋体"/>
          <w:sz w:val="21"/>
          <w:szCs w:val="21"/>
          <w:lang w:val="en-US" w:eastAsia="zh-CN"/>
        </w:rPr>
        <w:t>7</w:t>
      </w:r>
      <w:r>
        <w:rPr>
          <w:rFonts w:hint="eastAsia" w:ascii="宋体" w:hAnsi="宋体" w:eastAsia="宋体" w:cs="宋体"/>
          <w:sz w:val="21"/>
          <w:szCs w:val="21"/>
        </w:rPr>
        <w:t>个工作日内作出答复，并以书面形式通知质疑供应商和其他有关供应商</w:t>
      </w:r>
      <w:r>
        <w:rPr>
          <w:rFonts w:hint="eastAsia" w:ascii="宋体" w:hAnsi="宋体" w:eastAsia="宋体" w:cs="宋体"/>
          <w:sz w:val="21"/>
          <w:szCs w:val="21"/>
          <w:lang w:eastAsia="zh-CN"/>
        </w:rPr>
        <w:t>，</w:t>
      </w:r>
      <w:r>
        <w:rPr>
          <w:rFonts w:hint="eastAsia" w:ascii="宋体" w:hAnsi="宋体" w:eastAsia="宋体" w:cs="宋体"/>
          <w:sz w:val="21"/>
          <w:szCs w:val="21"/>
        </w:rPr>
        <w:t>但答复的内容不得涉及商业秘密。</w:t>
      </w:r>
    </w:p>
    <w:p>
      <w:pPr>
        <w:pStyle w:val="12"/>
        <w:keepNext w:val="0"/>
        <w:keepLines w:val="0"/>
        <w:pageBreakBefore w:val="0"/>
        <w:numPr>
          <w:ilvl w:val="0"/>
          <w:numId w:val="0"/>
        </w:numPr>
        <w:tabs>
          <w:tab w:val="left" w:pos="840"/>
        </w:tabs>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4.2.5</w:t>
      </w:r>
      <w:r>
        <w:rPr>
          <w:rFonts w:hint="eastAsia" w:ascii="宋体" w:hAnsi="宋体" w:eastAsia="宋体" w:cs="宋体"/>
          <w:sz w:val="21"/>
          <w:szCs w:val="21"/>
        </w:rPr>
        <w:t>质疑事项可能影响采购结果的，采购人应当暂停签订合同，已经签订合同的，应当中止履行合同。</w:t>
      </w:r>
    </w:p>
    <w:p>
      <w:pPr>
        <w:keepNext w:val="0"/>
        <w:keepLines w:val="0"/>
        <w:pageBreakBefore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4.3</w:t>
      </w:r>
      <w:r>
        <w:rPr>
          <w:rFonts w:hint="eastAsia" w:ascii="宋体" w:hAnsi="宋体" w:eastAsia="宋体" w:cs="宋体"/>
          <w:color w:val="auto"/>
          <w:sz w:val="21"/>
          <w:szCs w:val="21"/>
          <w:lang w:val="zh-CN"/>
        </w:rPr>
        <w:t>供应商投诉</w:t>
      </w:r>
    </w:p>
    <w:p>
      <w:pPr>
        <w:pStyle w:val="45"/>
        <w:keepNext w:val="0"/>
        <w:keepLines w:val="0"/>
        <w:pageBreakBefore w:val="0"/>
        <w:numPr>
          <w:ilvl w:val="0"/>
          <w:numId w:val="0"/>
        </w:numPr>
        <w:shd w:val="clear" w:color="auto" w:fill="auto"/>
        <w:tabs>
          <w:tab w:val="left" w:pos="840"/>
        </w:tabs>
        <w:kinsoku/>
        <w:wordWrap/>
        <w:overflowPunct/>
        <w:topLinePunct w:val="0"/>
        <w:bidi w:val="0"/>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rPr>
      </w:pPr>
      <w:r>
        <w:rPr>
          <w:rFonts w:hint="default" w:ascii="宋体" w:hAnsi="宋体" w:eastAsia="宋体" w:cs="宋体"/>
          <w:kern w:val="0"/>
          <w:sz w:val="21"/>
          <w:szCs w:val="21"/>
          <w:lang w:val="en-US" w:eastAsia="zh-CN" w:bidi="ar-SA"/>
        </w:rPr>
        <w:t>4.3.1</w:t>
      </w:r>
      <w:r>
        <w:rPr>
          <w:rFonts w:hint="eastAsia" w:ascii="宋体" w:hAnsi="宋体" w:eastAsia="宋体" w:cs="宋体"/>
          <w:sz w:val="21"/>
          <w:szCs w:val="21"/>
        </w:rPr>
        <w:t>质疑供应商对采购人、</w:t>
      </w:r>
      <w:r>
        <w:rPr>
          <w:rFonts w:hint="eastAsia" w:ascii="宋体" w:hAnsi="宋体" w:eastAsia="宋体" w:cs="宋体"/>
          <w:sz w:val="21"/>
          <w:szCs w:val="21"/>
          <w:lang w:eastAsia="zh-CN"/>
        </w:rPr>
        <w:t>采购代理机构</w:t>
      </w:r>
      <w:r>
        <w:rPr>
          <w:rFonts w:hint="eastAsia" w:ascii="宋体" w:hAnsi="宋体" w:eastAsia="宋体" w:cs="宋体"/>
          <w:sz w:val="21"/>
          <w:szCs w:val="21"/>
        </w:rPr>
        <w:t>的答复不满意或者采购人、</w:t>
      </w:r>
      <w:r>
        <w:rPr>
          <w:rFonts w:hint="eastAsia" w:ascii="宋体" w:hAnsi="宋体" w:eastAsia="宋体" w:cs="宋体"/>
          <w:sz w:val="21"/>
          <w:szCs w:val="21"/>
          <w:lang w:eastAsia="zh-CN"/>
        </w:rPr>
        <w:t>采购代理机构</w:t>
      </w:r>
      <w:r>
        <w:rPr>
          <w:rFonts w:hint="eastAsia" w:ascii="宋体" w:hAnsi="宋体" w:eastAsia="宋体" w:cs="宋体"/>
          <w:sz w:val="21"/>
          <w:szCs w:val="21"/>
        </w:rPr>
        <w:t>未在规定的时间内作出答复的，可以在答复期满后</w:t>
      </w:r>
      <w:r>
        <w:rPr>
          <w:rFonts w:hint="eastAsia" w:ascii="宋体" w:hAnsi="宋体" w:eastAsia="宋体" w:cs="宋体"/>
          <w:sz w:val="21"/>
          <w:szCs w:val="21"/>
          <w:lang w:val="en-US" w:eastAsia="zh-CN"/>
        </w:rPr>
        <w:t>15</w:t>
      </w:r>
      <w:r>
        <w:rPr>
          <w:rFonts w:hint="eastAsia" w:ascii="宋体" w:hAnsi="宋体" w:eastAsia="宋体" w:cs="宋体"/>
          <w:sz w:val="21"/>
          <w:szCs w:val="21"/>
        </w:rPr>
        <w:t>个工作日内向同级政府采购监督管理部门提出投诉。</w:t>
      </w:r>
    </w:p>
    <w:p>
      <w:pPr>
        <w:pStyle w:val="45"/>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rPr>
      </w:pPr>
      <w:r>
        <w:rPr>
          <w:rFonts w:hint="default" w:ascii="宋体" w:hAnsi="宋体" w:eastAsia="宋体" w:cs="宋体"/>
          <w:kern w:val="0"/>
          <w:sz w:val="21"/>
          <w:szCs w:val="21"/>
          <w:lang w:val="en-US" w:eastAsia="zh-CN" w:bidi="ar-SA"/>
        </w:rPr>
        <w:t>4.3.2</w:t>
      </w:r>
      <w:r>
        <w:rPr>
          <w:rFonts w:hint="eastAsia" w:ascii="宋体" w:hAnsi="宋体" w:eastAsia="宋体" w:cs="宋体"/>
          <w:sz w:val="21"/>
          <w:szCs w:val="21"/>
        </w:rPr>
        <w:t>供应商投诉的事项不得超出已质疑事项的范围，基于质疑答复内容提出的投诉事项除外。</w:t>
      </w:r>
    </w:p>
    <w:p>
      <w:pPr>
        <w:pStyle w:val="45"/>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rPr>
      </w:pPr>
      <w:r>
        <w:rPr>
          <w:rFonts w:hint="default" w:ascii="宋体" w:hAnsi="宋体" w:eastAsia="宋体" w:cs="宋体"/>
          <w:kern w:val="0"/>
          <w:sz w:val="21"/>
          <w:szCs w:val="21"/>
          <w:lang w:val="en-US" w:eastAsia="zh-CN" w:bidi="ar-SA"/>
        </w:rPr>
        <w:t>4.3.3</w:t>
      </w:r>
      <w:r>
        <w:rPr>
          <w:rFonts w:hint="eastAsia" w:ascii="宋体" w:hAnsi="宋体" w:eastAsia="宋体" w:cs="宋体"/>
          <w:sz w:val="21"/>
          <w:szCs w:val="21"/>
        </w:rPr>
        <w:t>供应商投诉应当有明确的请求和必要的证明材料。</w:t>
      </w:r>
    </w:p>
    <w:p>
      <w:pPr>
        <w:pStyle w:val="45"/>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rPr>
      </w:pPr>
      <w:r>
        <w:rPr>
          <w:rFonts w:hint="default" w:ascii="宋体" w:hAnsi="宋体" w:eastAsia="宋体" w:cs="宋体"/>
          <w:kern w:val="0"/>
          <w:sz w:val="21"/>
          <w:szCs w:val="21"/>
          <w:lang w:val="en-US" w:eastAsia="zh-CN" w:bidi="ar-SA"/>
        </w:rPr>
        <w:t>4.3.4</w:t>
      </w:r>
      <w:r>
        <w:rPr>
          <w:rFonts w:hint="eastAsia" w:ascii="宋体" w:hAnsi="宋体" w:eastAsia="宋体" w:cs="宋体"/>
          <w:sz w:val="21"/>
          <w:szCs w:val="21"/>
        </w:rPr>
        <w:t>以联合体形式参加政府采购活动的，其投诉应当由组成联合体的所有供应商共同提出。</w:t>
      </w:r>
    </w:p>
    <w:p>
      <w:pPr>
        <w:pStyle w:val="45"/>
        <w:keepNext w:val="0"/>
        <w:keepLines w:val="0"/>
        <w:pageBreakBefore w:val="0"/>
        <w:widowControl/>
        <w:numPr>
          <w:ilvl w:val="0"/>
          <w:numId w:val="0"/>
        </w:numPr>
        <w:shd w:val="clear" w:color="auto" w:fill="auto"/>
        <w:tabs>
          <w:tab w:val="left" w:pos="840"/>
        </w:tabs>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sz w:val="21"/>
          <w:szCs w:val="21"/>
          <w:lang w:val="en-US" w:eastAsia="zh-CN"/>
        </w:rPr>
      </w:pPr>
      <w:r>
        <w:rPr>
          <w:rFonts w:hint="default" w:ascii="宋体" w:hAnsi="宋体" w:eastAsia="宋体" w:cs="宋体"/>
          <w:kern w:val="0"/>
          <w:sz w:val="21"/>
          <w:szCs w:val="21"/>
          <w:lang w:val="en-US" w:eastAsia="zh-CN" w:bidi="ar-SA"/>
        </w:rPr>
        <w:t>4.3.5</w:t>
      </w:r>
      <w:r>
        <w:rPr>
          <w:rFonts w:hint="eastAsia" w:ascii="宋体" w:hAnsi="宋体" w:eastAsia="宋体" w:cs="宋体"/>
          <w:sz w:val="21"/>
          <w:szCs w:val="21"/>
          <w:lang w:val="en-US" w:eastAsia="zh-CN"/>
        </w:rPr>
        <w:t>投诉人</w:t>
      </w:r>
      <w:r>
        <w:rPr>
          <w:rFonts w:hint="eastAsia" w:ascii="宋体" w:hAnsi="宋体" w:eastAsia="宋体" w:cs="宋体"/>
          <w:sz w:val="21"/>
          <w:szCs w:val="21"/>
        </w:rPr>
        <w:t>投诉时，应当提交投诉书和必要的证明材料，并按照被投诉采购人、采购代理机构和与投诉事项有关的供应商数量提供投诉书的副本。投诉人为自然人的，应当由本人签字；投诉人为法人或者其他组织的，应当由法定代表人、主要负责人，或者其授权代表签字或者盖章，并加盖公章。</w:t>
      </w:r>
    </w:p>
    <w:p>
      <w:pPr>
        <w:pStyle w:val="45"/>
        <w:keepNext w:val="0"/>
        <w:keepLines w:val="0"/>
        <w:pageBreakBefore w:val="0"/>
        <w:widowControl/>
        <w:shd w:val="clear" w:color="auto" w:fill="auto"/>
        <w:kinsoku/>
        <w:wordWrap/>
        <w:overflowPunct/>
        <w:topLinePunct w:val="0"/>
        <w:autoSpaceDE/>
        <w:autoSpaceDN/>
        <w:bidi w:val="0"/>
        <w:adjustRightInd/>
        <w:snapToGrid w:val="0"/>
        <w:spacing w:before="0" w:beforeAutospacing="0" w:after="0" w:afterAutospacing="0" w:line="336" w:lineRule="auto"/>
        <w:ind w:left="0" w:leftChars="0" w:firstLine="420" w:firstLineChars="200"/>
        <w:contextualSpacing/>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投诉书范本及制作说明详见附件3。</w:t>
      </w:r>
    </w:p>
    <w:p>
      <w:pPr>
        <w:adjustRightInd/>
        <w:spacing w:line="360" w:lineRule="auto"/>
        <w:jc w:val="center"/>
        <w:outlineLvl w:val="0"/>
        <w:rPr>
          <w:rFonts w:hint="eastAsia" w:ascii="宋体" w:hAnsi="宋体" w:eastAsia="宋体" w:cs="宋体"/>
          <w:b/>
          <w:sz w:val="32"/>
          <w:szCs w:val="20"/>
        </w:rPr>
      </w:pPr>
      <w:bookmarkStart w:id="23" w:name="_Toc1621"/>
      <w:bookmarkStart w:id="24" w:name="_Toc2269"/>
      <w:r>
        <w:rPr>
          <w:rFonts w:hint="eastAsia" w:ascii="宋体" w:hAnsi="宋体" w:eastAsia="宋体" w:cs="宋体"/>
          <w:b/>
          <w:sz w:val="32"/>
          <w:szCs w:val="20"/>
        </w:rPr>
        <w:t>二、</w:t>
      </w:r>
      <w:r>
        <w:rPr>
          <w:rFonts w:hint="eastAsia" w:ascii="宋体" w:hAnsi="宋体" w:eastAsia="宋体" w:cs="宋体"/>
          <w:b/>
          <w:sz w:val="32"/>
          <w:szCs w:val="20"/>
          <w:lang w:eastAsia="zh-CN"/>
        </w:rPr>
        <w:t>磋商文件</w:t>
      </w:r>
      <w:r>
        <w:rPr>
          <w:rFonts w:hint="eastAsia" w:ascii="宋体" w:hAnsi="宋体" w:eastAsia="宋体" w:cs="宋体"/>
          <w:b/>
          <w:sz w:val="32"/>
          <w:szCs w:val="20"/>
        </w:rPr>
        <w:t>的构成、澄清、修改</w:t>
      </w:r>
      <w:bookmarkEnd w:id="23"/>
      <w:bookmarkEnd w:id="24"/>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atLeast"/>
        <w:jc w:val="both"/>
        <w:textAlignment w:val="auto"/>
        <w:rPr>
          <w:rFonts w:hint="eastAsia" w:ascii="宋体" w:hAnsi="宋体" w:eastAsia="宋体" w:cs="宋体"/>
          <w:b/>
          <w:color w:val="auto"/>
          <w:sz w:val="21"/>
          <w:szCs w:val="21"/>
        </w:rPr>
      </w:pPr>
      <w:r>
        <w:rPr>
          <w:rFonts w:hint="eastAsia" w:ascii="宋体" w:hAnsi="宋体" w:eastAsia="宋体" w:cs="宋体"/>
          <w:b/>
          <w:i w:val="0"/>
          <w:color w:val="auto"/>
          <w:kern w:val="2"/>
          <w:sz w:val="21"/>
          <w:szCs w:val="21"/>
          <w:lang w:val="en-US" w:eastAsia="zh-CN" w:bidi="ar-SA"/>
        </w:rPr>
        <w:t>5.</w:t>
      </w:r>
      <w:r>
        <w:rPr>
          <w:rFonts w:hint="eastAsia" w:ascii="宋体" w:hAnsi="宋体" w:eastAsia="宋体" w:cs="宋体"/>
          <w:b/>
          <w:color w:val="auto"/>
          <w:sz w:val="21"/>
          <w:szCs w:val="21"/>
          <w:lang w:eastAsia="zh-CN"/>
        </w:rPr>
        <w:t>磋商文件</w:t>
      </w:r>
      <w:r>
        <w:rPr>
          <w:rFonts w:hint="eastAsia" w:ascii="宋体" w:hAnsi="宋体" w:eastAsia="宋体" w:cs="宋体"/>
          <w:b/>
          <w:color w:val="auto"/>
          <w:sz w:val="21"/>
          <w:szCs w:val="21"/>
        </w:rPr>
        <w:t>的构成</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5.1</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包括下列文件及附件：</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5.1.1</w:t>
      </w:r>
      <w:r>
        <w:rPr>
          <w:rFonts w:hint="eastAsia" w:ascii="宋体" w:hAnsi="宋体" w:eastAsia="宋体" w:cs="宋体"/>
          <w:sz w:val="21"/>
          <w:szCs w:val="21"/>
          <w:lang w:eastAsia="zh-CN"/>
        </w:rPr>
        <w:t>竞争性磋商公告</w:t>
      </w:r>
      <w:r>
        <w:rPr>
          <w:rFonts w:hint="eastAsia" w:ascii="宋体" w:hAnsi="宋体" w:eastAsia="宋体" w:cs="宋体"/>
          <w:sz w:val="21"/>
          <w:szCs w:val="21"/>
        </w:rPr>
        <w:t>；</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5.1.2</w:t>
      </w:r>
      <w:r>
        <w:rPr>
          <w:rFonts w:hint="eastAsia" w:ascii="宋体" w:hAnsi="宋体" w:eastAsia="宋体" w:cs="宋体"/>
          <w:sz w:val="21"/>
          <w:szCs w:val="21"/>
          <w:lang w:eastAsia="zh-CN"/>
        </w:rPr>
        <w:t>磋商供应商</w:t>
      </w:r>
      <w:r>
        <w:rPr>
          <w:rFonts w:hint="eastAsia" w:ascii="宋体" w:hAnsi="宋体" w:eastAsia="宋体" w:cs="宋体"/>
          <w:sz w:val="21"/>
          <w:szCs w:val="21"/>
        </w:rPr>
        <w:t>须知；</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5.1.3</w:t>
      </w:r>
      <w:r>
        <w:rPr>
          <w:rFonts w:hint="eastAsia" w:ascii="宋体" w:hAnsi="宋体" w:eastAsia="宋体" w:cs="宋体"/>
          <w:sz w:val="21"/>
          <w:szCs w:val="21"/>
        </w:rPr>
        <w:t>采购需求；</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5.1.4</w:t>
      </w:r>
      <w:r>
        <w:rPr>
          <w:rFonts w:hint="eastAsia" w:ascii="宋体" w:hAnsi="宋体" w:eastAsia="宋体" w:cs="宋体"/>
          <w:sz w:val="21"/>
          <w:szCs w:val="21"/>
        </w:rPr>
        <w:t>评标办法；</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5.1.5</w:t>
      </w:r>
      <w:r>
        <w:rPr>
          <w:rFonts w:hint="eastAsia" w:ascii="宋体" w:hAnsi="宋体" w:eastAsia="宋体" w:cs="宋体"/>
          <w:sz w:val="21"/>
          <w:szCs w:val="21"/>
        </w:rPr>
        <w:t>拟签订的合同文本；</w:t>
      </w:r>
    </w:p>
    <w:p>
      <w:pPr>
        <w:pStyle w:val="12"/>
        <w:keepNext w:val="0"/>
        <w:keepLines w:val="0"/>
        <w:pageBreakBefore w:val="0"/>
        <w:widowControl w:val="0"/>
        <w:numPr>
          <w:ilvl w:val="0"/>
          <w:numId w:val="0"/>
        </w:numPr>
        <w:tabs>
          <w:tab w:val="left" w:pos="840"/>
        </w:tabs>
        <w:kinsoku/>
        <w:wordWrap/>
        <w:overflowPunct/>
        <w:topLinePunct w:val="0"/>
        <w:autoSpaceDE/>
        <w:autoSpaceDN/>
        <w:bidi w:val="0"/>
        <w:adjustRightInd w:val="0"/>
        <w:spacing w:beforeAutospacing="0" w:line="400" w:lineRule="atLeast"/>
        <w:ind w:left="0" w:leftChars="0" w:firstLine="420" w:firstLineChars="200"/>
        <w:textAlignment w:val="auto"/>
        <w:rPr>
          <w:rFonts w:hint="eastAsia" w:ascii="宋体" w:hAnsi="宋体" w:eastAsia="宋体" w:cs="宋体"/>
          <w:sz w:val="21"/>
          <w:szCs w:val="21"/>
        </w:rPr>
      </w:pPr>
      <w:r>
        <w:rPr>
          <w:rFonts w:hint="default" w:ascii="宋体" w:hAnsi="宋体" w:eastAsia="宋体" w:cs="宋体"/>
          <w:snapToGrid w:val="0"/>
          <w:kern w:val="2"/>
          <w:sz w:val="21"/>
          <w:szCs w:val="21"/>
          <w:lang w:val="en-US" w:eastAsia="zh-CN" w:bidi="ar-SA"/>
        </w:rPr>
        <w:t>5.1.6</w:t>
      </w:r>
      <w:r>
        <w:rPr>
          <w:rFonts w:hint="eastAsia" w:ascii="宋体" w:hAnsi="宋体" w:eastAsia="宋体" w:cs="宋体"/>
          <w:sz w:val="21"/>
          <w:szCs w:val="21"/>
        </w:rPr>
        <w:t>应提交的有关格式范例。</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eastAsia" w:ascii="宋体" w:hAnsi="宋体" w:eastAsia="宋体" w:cs="宋体"/>
          <w:color w:val="auto"/>
          <w:sz w:val="21"/>
          <w:szCs w:val="21"/>
          <w:lang w:val="zh-CN" w:eastAsia="zh-CN"/>
        </w:rPr>
      </w:pPr>
      <w:r>
        <w:rPr>
          <w:rFonts w:hint="eastAsia" w:ascii="宋体" w:hAnsi="宋体" w:eastAsia="宋体" w:cs="宋体"/>
          <w:b w:val="0"/>
          <w:i w:val="0"/>
          <w:color w:val="auto"/>
          <w:kern w:val="2"/>
          <w:sz w:val="21"/>
          <w:szCs w:val="21"/>
          <w:lang w:val="zh-CN" w:eastAsia="zh-CN" w:bidi="ar-SA"/>
        </w:rPr>
        <w:t>5.2</w:t>
      </w:r>
      <w:r>
        <w:rPr>
          <w:rFonts w:hint="eastAsia" w:ascii="宋体" w:hAnsi="宋体" w:eastAsia="宋体" w:cs="宋体"/>
          <w:color w:val="auto"/>
          <w:sz w:val="21"/>
          <w:szCs w:val="21"/>
          <w:lang w:val="zh-CN" w:eastAsia="zh-CN"/>
        </w:rPr>
        <w:t>与本项目有关的澄清或者修改的内容为磋商文件的组成部分。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atLeast"/>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6.</w:t>
      </w:r>
      <w:r>
        <w:rPr>
          <w:rFonts w:hint="eastAsia" w:ascii="宋体" w:hAnsi="宋体" w:eastAsia="宋体" w:cs="宋体"/>
          <w:b/>
          <w:color w:val="auto"/>
          <w:sz w:val="21"/>
          <w:szCs w:val="21"/>
          <w:lang w:eastAsia="zh-CN"/>
        </w:rPr>
        <w:t>磋商文件的澄清、修改</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6.1</w:t>
      </w:r>
      <w:r>
        <w:rPr>
          <w:rFonts w:hint="eastAsia" w:ascii="宋体" w:hAnsi="宋体" w:eastAsia="宋体" w:cs="宋体"/>
          <w:color w:val="auto"/>
          <w:sz w:val="21"/>
          <w:szCs w:val="21"/>
          <w:lang w:val="zh-CN"/>
        </w:rPr>
        <w:t>已获取</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的潜在</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，若有问题需要</w:t>
      </w:r>
      <w:r>
        <w:rPr>
          <w:rFonts w:hint="eastAsia" w:ascii="宋体" w:hAnsi="宋体" w:eastAsia="宋体" w:cs="宋体"/>
          <w:color w:val="auto"/>
          <w:sz w:val="21"/>
          <w:szCs w:val="21"/>
          <w:lang w:val="en-US" w:eastAsia="zh-CN"/>
        </w:rPr>
        <w:t>采购人或采购代理机构</w:t>
      </w:r>
      <w:r>
        <w:rPr>
          <w:rFonts w:hint="eastAsia" w:ascii="宋体" w:hAnsi="宋体" w:eastAsia="宋体" w:cs="宋体"/>
          <w:color w:val="auto"/>
          <w:sz w:val="21"/>
          <w:szCs w:val="21"/>
          <w:lang w:val="zh-CN"/>
        </w:rPr>
        <w:t>澄清，应于投标截止时间前，以书面形式向</w:t>
      </w:r>
      <w:r>
        <w:rPr>
          <w:rFonts w:hint="eastAsia" w:ascii="宋体" w:hAnsi="宋体" w:eastAsia="宋体" w:cs="宋体"/>
          <w:color w:val="auto"/>
          <w:sz w:val="21"/>
          <w:szCs w:val="21"/>
          <w:lang w:val="zh-CN" w:eastAsia="zh-CN"/>
        </w:rPr>
        <w:t>采购代理机构</w:t>
      </w:r>
      <w:r>
        <w:rPr>
          <w:rFonts w:hint="eastAsia" w:ascii="宋体" w:hAnsi="宋体" w:eastAsia="宋体" w:cs="宋体"/>
          <w:color w:val="auto"/>
          <w:sz w:val="21"/>
          <w:szCs w:val="21"/>
          <w:lang w:val="zh-CN"/>
        </w:rPr>
        <w:t>提出。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6.2</w:t>
      </w:r>
      <w:r>
        <w:rPr>
          <w:rFonts w:hint="eastAsia" w:ascii="宋体" w:hAnsi="宋体" w:eastAsia="宋体" w:cs="宋体"/>
          <w:color w:val="auto"/>
          <w:sz w:val="21"/>
          <w:szCs w:val="21"/>
          <w:lang w:val="zh-CN"/>
        </w:rPr>
        <w:t>采购人或者采购</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val="zh-CN"/>
        </w:rPr>
        <w:t>机构可以对已发出的</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进行必要的澄清或者修改，但不得改变采购标的和资格条件。</w:t>
      </w:r>
      <w:r>
        <w:rPr>
          <w:rFonts w:hint="eastAsia" w:ascii="宋体" w:hAnsi="宋体" w:eastAsia="宋体" w:cs="宋体"/>
          <w:color w:val="auto"/>
          <w:sz w:val="21"/>
          <w:szCs w:val="21"/>
          <w:lang w:val="en-US" w:eastAsia="zh-CN"/>
        </w:rPr>
        <w:t>采购人或</w:t>
      </w:r>
      <w:r>
        <w:rPr>
          <w:rFonts w:hint="eastAsia" w:ascii="宋体" w:hAnsi="宋体" w:eastAsia="宋体" w:cs="宋体"/>
          <w:color w:val="auto"/>
          <w:sz w:val="21"/>
          <w:szCs w:val="21"/>
          <w:lang w:val="zh-CN" w:eastAsia="zh-CN"/>
        </w:rPr>
        <w:t>采购代理机构</w:t>
      </w:r>
      <w:r>
        <w:rPr>
          <w:rFonts w:hint="eastAsia" w:ascii="宋体" w:hAnsi="宋体" w:eastAsia="宋体" w:cs="宋体"/>
          <w:color w:val="auto"/>
          <w:sz w:val="21"/>
          <w:szCs w:val="21"/>
          <w:lang w:val="zh-CN"/>
        </w:rPr>
        <w:t>对</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进行澄清或修改的，将同时通过电子交易平台通知已获取</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的潜在</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澄清或者修改的内容为</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的组成部分</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lang w:val="zh-CN"/>
        </w:rPr>
        <w:t>当</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与</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的答复、澄清、修改、补充通知就同一内容的表述不一致时，以最后发出的更正（澄清）公告为准。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400" w:lineRule="atLeast"/>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6.3</w:t>
      </w:r>
      <w:r>
        <w:rPr>
          <w:rFonts w:hint="eastAsia" w:ascii="宋体" w:hAnsi="宋体" w:eastAsia="宋体" w:cs="宋体"/>
          <w:color w:val="auto"/>
          <w:sz w:val="21"/>
          <w:szCs w:val="21"/>
          <w:lang w:val="zh-CN"/>
        </w:rPr>
        <w:t>澄清或者修改的内容可能影响</w:t>
      </w:r>
      <w:r>
        <w:rPr>
          <w:rFonts w:hint="eastAsia" w:ascii="宋体" w:hAnsi="宋体" w:eastAsia="宋体" w:cs="宋体"/>
          <w:color w:val="auto"/>
          <w:sz w:val="21"/>
          <w:szCs w:val="21"/>
          <w:lang w:val="zh-CN" w:eastAsia="zh-CN"/>
        </w:rPr>
        <w:t>磋商响应文件</w:t>
      </w:r>
      <w:r>
        <w:rPr>
          <w:rFonts w:hint="eastAsia" w:ascii="宋体" w:hAnsi="宋体" w:eastAsia="宋体" w:cs="宋体"/>
          <w:color w:val="auto"/>
          <w:sz w:val="21"/>
          <w:szCs w:val="21"/>
          <w:lang w:val="zh-CN"/>
        </w:rPr>
        <w:t>编制的，采购人或者采购代理机构构应当在投标截止时间至少</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rPr>
        <w:t>日前，以更正（澄清）公告形式通知所有获取</w:t>
      </w:r>
      <w:r>
        <w:rPr>
          <w:rFonts w:hint="eastAsia" w:ascii="宋体" w:hAnsi="宋体" w:eastAsia="宋体" w:cs="宋体"/>
          <w:color w:val="auto"/>
          <w:sz w:val="21"/>
          <w:szCs w:val="21"/>
          <w:lang w:val="zh-CN" w:eastAsia="zh-CN"/>
        </w:rPr>
        <w:t>磋商文件</w:t>
      </w:r>
      <w:r>
        <w:rPr>
          <w:rFonts w:hint="eastAsia" w:ascii="宋体" w:hAnsi="宋体" w:eastAsia="宋体" w:cs="宋体"/>
          <w:color w:val="auto"/>
          <w:sz w:val="21"/>
          <w:szCs w:val="21"/>
          <w:lang w:val="zh-CN"/>
        </w:rPr>
        <w:t>的潜在</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，并对其具有约束力；不足</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rPr>
        <w:t>日的，采购人或者采购</w:t>
      </w:r>
      <w:r>
        <w:rPr>
          <w:rFonts w:hint="eastAsia" w:ascii="宋体" w:hAnsi="宋体" w:eastAsia="宋体" w:cs="宋体"/>
          <w:color w:val="auto"/>
          <w:sz w:val="21"/>
          <w:szCs w:val="21"/>
          <w:lang w:val="en-US" w:eastAsia="zh-CN"/>
        </w:rPr>
        <w:t>代理</w:t>
      </w:r>
      <w:r>
        <w:rPr>
          <w:rFonts w:hint="eastAsia" w:ascii="宋体" w:hAnsi="宋体" w:eastAsia="宋体" w:cs="宋体"/>
          <w:color w:val="auto"/>
          <w:sz w:val="21"/>
          <w:szCs w:val="21"/>
          <w:lang w:val="zh-CN"/>
        </w:rPr>
        <w:t>机构应当顺延提交</w:t>
      </w:r>
      <w:r>
        <w:rPr>
          <w:rFonts w:hint="eastAsia" w:ascii="宋体" w:hAnsi="宋体" w:eastAsia="宋体" w:cs="宋体"/>
          <w:color w:val="auto"/>
          <w:sz w:val="21"/>
          <w:szCs w:val="21"/>
          <w:lang w:val="zh-CN" w:eastAsia="zh-CN"/>
        </w:rPr>
        <w:t>磋商响应文件</w:t>
      </w:r>
      <w:r>
        <w:rPr>
          <w:rFonts w:hint="eastAsia" w:ascii="宋体" w:hAnsi="宋体" w:eastAsia="宋体" w:cs="宋体"/>
          <w:color w:val="auto"/>
          <w:sz w:val="21"/>
          <w:szCs w:val="21"/>
          <w:lang w:val="zh-CN"/>
        </w:rPr>
        <w:t>的截止时间。</w:t>
      </w:r>
      <w:r>
        <w:rPr>
          <w:rFonts w:hint="eastAsia" w:ascii="宋体" w:hAnsi="宋体" w:eastAsia="宋体" w:cs="宋体"/>
          <w:color w:val="auto"/>
          <w:sz w:val="21"/>
          <w:szCs w:val="21"/>
          <w:lang w:val="zh-CN" w:eastAsia="zh-CN"/>
        </w:rPr>
        <w:t>磋商供应商</w:t>
      </w:r>
      <w:r>
        <w:rPr>
          <w:rFonts w:hint="eastAsia" w:ascii="宋体" w:hAnsi="宋体" w:eastAsia="宋体" w:cs="宋体"/>
          <w:color w:val="auto"/>
          <w:sz w:val="21"/>
          <w:szCs w:val="21"/>
          <w:lang w:val="zh-CN"/>
        </w:rPr>
        <w:t>应及时关注浙江政府采购网上该项目的公告信息</w:t>
      </w:r>
      <w:r>
        <w:rPr>
          <w:rFonts w:hint="eastAsia" w:ascii="宋体" w:hAnsi="宋体" w:eastAsia="宋体" w:cs="宋体"/>
          <w:color w:val="auto"/>
          <w:sz w:val="21"/>
          <w:szCs w:val="21"/>
          <w:lang w:val="zh-CN" w:eastAsia="zh-CN"/>
        </w:rPr>
        <w:t>。</w:t>
      </w:r>
    </w:p>
    <w:p>
      <w:pPr>
        <w:pStyle w:val="9"/>
        <w:pageBreakBefore w:val="0"/>
        <w:kinsoku/>
        <w:wordWrap/>
        <w:overflowPunct/>
        <w:topLinePunct w:val="0"/>
        <w:bidi w:val="0"/>
        <w:spacing w:beforeAutospacing="0" w:line="400" w:lineRule="atLeast"/>
        <w:jc w:val="center"/>
        <w:textAlignment w:val="auto"/>
        <w:rPr>
          <w:rFonts w:hint="eastAsia" w:ascii="宋体" w:hAnsi="宋体" w:eastAsia="宋体" w:cs="宋体"/>
          <w:b/>
          <w:sz w:val="32"/>
          <w:szCs w:val="20"/>
        </w:rPr>
      </w:pPr>
      <w:bookmarkStart w:id="25" w:name="_Toc1397"/>
      <w:bookmarkStart w:id="26" w:name="_Toc13236"/>
      <w:r>
        <w:rPr>
          <w:rFonts w:hint="eastAsia" w:ascii="宋体" w:hAnsi="宋体" w:eastAsia="宋体" w:cs="宋体"/>
          <w:b/>
          <w:sz w:val="32"/>
          <w:szCs w:val="20"/>
        </w:rPr>
        <w:t>三、投标</w:t>
      </w:r>
      <w:bookmarkEnd w:id="25"/>
      <w:bookmarkEnd w:id="26"/>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7.</w:t>
      </w:r>
      <w:r>
        <w:rPr>
          <w:rFonts w:hint="eastAsia" w:ascii="宋体" w:hAnsi="宋体" w:eastAsia="宋体" w:cs="宋体"/>
          <w:b/>
          <w:color w:val="auto"/>
          <w:sz w:val="21"/>
          <w:szCs w:val="21"/>
          <w:lang w:eastAsia="zh-CN"/>
        </w:rPr>
        <w:t>磋商文件的获取</w:t>
      </w:r>
    </w:p>
    <w:p>
      <w:pPr>
        <w:keepNext w:val="0"/>
        <w:keepLines w:val="0"/>
        <w:pageBreakBefore w:val="0"/>
        <w:widowControl w:val="0"/>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napToGrid w:val="0"/>
          <w:kern w:val="28"/>
          <w:sz w:val="21"/>
          <w:szCs w:val="21"/>
        </w:rPr>
      </w:pPr>
      <w:r>
        <w:rPr>
          <w:rFonts w:hint="eastAsia" w:ascii="宋体" w:hAnsi="宋体" w:eastAsia="宋体" w:cs="宋体"/>
          <w:snapToGrid w:val="0"/>
          <w:kern w:val="28"/>
          <w:sz w:val="21"/>
          <w:szCs w:val="21"/>
        </w:rPr>
        <w:t>详见</w:t>
      </w:r>
      <w:r>
        <w:rPr>
          <w:rFonts w:hint="eastAsia" w:ascii="宋体" w:hAnsi="宋体" w:eastAsia="宋体" w:cs="宋体"/>
          <w:snapToGrid w:val="0"/>
          <w:kern w:val="28"/>
          <w:sz w:val="21"/>
          <w:szCs w:val="21"/>
          <w:lang w:eastAsia="zh-CN"/>
        </w:rPr>
        <w:t>竞争性磋商公告</w:t>
      </w:r>
      <w:r>
        <w:rPr>
          <w:rFonts w:hint="eastAsia" w:ascii="宋体" w:hAnsi="宋体" w:eastAsia="宋体" w:cs="宋体"/>
          <w:snapToGrid w:val="0"/>
          <w:kern w:val="28"/>
          <w:sz w:val="21"/>
          <w:szCs w:val="21"/>
        </w:rPr>
        <w:t>中获取</w:t>
      </w:r>
      <w:r>
        <w:rPr>
          <w:rFonts w:hint="eastAsia" w:ascii="宋体" w:hAnsi="宋体" w:eastAsia="宋体" w:cs="宋体"/>
          <w:snapToGrid w:val="0"/>
          <w:kern w:val="28"/>
          <w:sz w:val="21"/>
          <w:szCs w:val="21"/>
          <w:lang w:eastAsia="zh-CN"/>
        </w:rPr>
        <w:t>磋商文件</w:t>
      </w:r>
      <w:r>
        <w:rPr>
          <w:rFonts w:hint="eastAsia" w:ascii="宋体" w:hAnsi="宋体" w:eastAsia="宋体" w:cs="宋体"/>
          <w:snapToGrid w:val="0"/>
          <w:kern w:val="28"/>
          <w:sz w:val="21"/>
          <w:szCs w:val="21"/>
        </w:rPr>
        <w:t>的时间期限、地点、方式及</w:t>
      </w:r>
      <w:r>
        <w:rPr>
          <w:rFonts w:hint="eastAsia" w:ascii="宋体" w:hAnsi="宋体" w:eastAsia="宋体" w:cs="宋体"/>
          <w:snapToGrid w:val="0"/>
          <w:kern w:val="28"/>
          <w:sz w:val="21"/>
          <w:szCs w:val="21"/>
          <w:lang w:eastAsia="zh-CN"/>
        </w:rPr>
        <w:t>磋商文件</w:t>
      </w:r>
      <w:r>
        <w:rPr>
          <w:rFonts w:hint="eastAsia" w:ascii="宋体" w:hAnsi="宋体" w:eastAsia="宋体" w:cs="宋体"/>
          <w:snapToGrid w:val="0"/>
          <w:kern w:val="28"/>
          <w:sz w:val="21"/>
          <w:szCs w:val="21"/>
        </w:rPr>
        <w:t>售价。</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8.</w:t>
      </w:r>
      <w:r>
        <w:rPr>
          <w:rFonts w:hint="eastAsia" w:ascii="宋体" w:hAnsi="宋体" w:eastAsia="宋体" w:cs="宋体"/>
          <w:b/>
          <w:color w:val="auto"/>
          <w:sz w:val="21"/>
          <w:szCs w:val="21"/>
          <w:lang w:eastAsia="zh-CN"/>
        </w:rPr>
        <w:t>开标前答疑会或现场考察</w:t>
      </w:r>
    </w:p>
    <w:p>
      <w:pPr>
        <w:pStyle w:val="12"/>
        <w:keepNext w:val="0"/>
        <w:keepLines w:val="0"/>
        <w:pageBreakBefore w:val="0"/>
        <w:widowControl w:val="0"/>
        <w:kinsoku/>
        <w:wordWrap/>
        <w:overflowPunct/>
        <w:topLinePunct w:val="0"/>
        <w:bidi w:val="0"/>
        <w:spacing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采购人组织潜在</w:t>
      </w:r>
      <w:r>
        <w:rPr>
          <w:rFonts w:hint="eastAsia" w:ascii="宋体" w:hAnsi="宋体" w:eastAsia="宋体" w:cs="宋体"/>
          <w:sz w:val="21"/>
          <w:szCs w:val="21"/>
          <w:lang w:eastAsia="zh-CN"/>
        </w:rPr>
        <w:t>磋商供应商</w:t>
      </w:r>
      <w:r>
        <w:rPr>
          <w:rFonts w:hint="eastAsia" w:ascii="宋体" w:hAnsi="宋体" w:eastAsia="宋体" w:cs="宋体"/>
          <w:sz w:val="21"/>
          <w:szCs w:val="21"/>
        </w:rPr>
        <w:t>现场考察或者召开开标前答疑会的，潜在</w:t>
      </w:r>
      <w:r>
        <w:rPr>
          <w:rFonts w:hint="eastAsia" w:ascii="宋体" w:hAnsi="宋体" w:eastAsia="宋体" w:cs="宋体"/>
          <w:sz w:val="21"/>
          <w:szCs w:val="21"/>
          <w:lang w:eastAsia="zh-CN"/>
        </w:rPr>
        <w:t>磋商供应商</w:t>
      </w:r>
      <w:r>
        <w:rPr>
          <w:rFonts w:hint="eastAsia" w:ascii="宋体" w:hAnsi="宋体" w:eastAsia="宋体" w:cs="宋体"/>
          <w:sz w:val="21"/>
          <w:szCs w:val="21"/>
        </w:rPr>
        <w:t>按第</w:t>
      </w:r>
      <w:r>
        <w:rPr>
          <w:rFonts w:hint="eastAsia" w:ascii="宋体" w:hAnsi="宋体" w:eastAsia="宋体" w:cs="宋体"/>
          <w:color w:val="FF0000"/>
          <w:sz w:val="21"/>
          <w:szCs w:val="21"/>
          <w:lang w:val="en-US" w:eastAsia="zh-CN"/>
        </w:rPr>
        <w:t>二</w:t>
      </w:r>
      <w:r>
        <w:rPr>
          <w:rFonts w:hint="eastAsia" w:ascii="宋体" w:hAnsi="宋体" w:eastAsia="宋体" w:cs="宋体"/>
          <w:sz w:val="21"/>
          <w:szCs w:val="21"/>
        </w:rPr>
        <w:t>部分</w:t>
      </w:r>
      <w:r>
        <w:rPr>
          <w:rFonts w:hint="eastAsia" w:ascii="宋体" w:hAnsi="宋体" w:eastAsia="宋体" w:cs="宋体"/>
          <w:sz w:val="21"/>
          <w:szCs w:val="21"/>
          <w:lang w:eastAsia="zh-CN"/>
        </w:rPr>
        <w:t>磋商供应商</w:t>
      </w:r>
      <w:r>
        <w:rPr>
          <w:rFonts w:hint="eastAsia" w:ascii="宋体" w:hAnsi="宋体" w:eastAsia="宋体" w:cs="宋体"/>
          <w:sz w:val="21"/>
          <w:szCs w:val="21"/>
        </w:rPr>
        <w:t>须知前附表的规定参加现场考察或者开标前答疑会。</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9.</w:t>
      </w:r>
      <w:r>
        <w:rPr>
          <w:rFonts w:hint="eastAsia" w:ascii="宋体" w:hAnsi="宋体" w:eastAsia="宋体" w:cs="宋体"/>
          <w:b/>
          <w:color w:val="auto"/>
          <w:sz w:val="21"/>
          <w:szCs w:val="21"/>
          <w:lang w:eastAsia="zh-CN"/>
        </w:rPr>
        <w:t>投标保证金</w:t>
      </w:r>
    </w:p>
    <w:p>
      <w:pPr>
        <w:keepNext w:val="0"/>
        <w:keepLines w:val="0"/>
        <w:pageBreakBefore w:val="0"/>
        <w:widowControl w:val="0"/>
        <w:kinsoku/>
        <w:wordWrap/>
        <w:overflowPunct/>
        <w:topLinePunct w:val="0"/>
        <w:bidi w:val="0"/>
        <w:spacing w:line="336" w:lineRule="auto"/>
        <w:ind w:left="0" w:leftChars="0" w:firstLine="420" w:firstLineChars="200"/>
        <w:textAlignment w:val="auto"/>
        <w:rPr>
          <w:rFonts w:hint="eastAsia" w:ascii="宋体" w:hAnsi="宋体" w:eastAsia="宋体" w:cs="宋体"/>
          <w:snapToGrid w:val="0"/>
          <w:kern w:val="2"/>
          <w:sz w:val="21"/>
          <w:szCs w:val="21"/>
          <w:lang w:val="en-US" w:eastAsia="zh-CN" w:bidi="ar-SA"/>
        </w:rPr>
      </w:pPr>
      <w:r>
        <w:rPr>
          <w:rFonts w:hint="eastAsia" w:ascii="宋体" w:hAnsi="宋体" w:eastAsia="宋体" w:cs="宋体"/>
          <w:snapToGrid w:val="0"/>
          <w:kern w:val="2"/>
          <w:sz w:val="21"/>
          <w:szCs w:val="21"/>
          <w:lang w:val="en-US" w:eastAsia="zh-CN" w:bidi="ar-SA"/>
        </w:rPr>
        <w:t xml:space="preserve">本项目不需要缴纳投标保证金。  </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10.</w:t>
      </w:r>
      <w:r>
        <w:rPr>
          <w:rFonts w:hint="eastAsia" w:ascii="宋体" w:hAnsi="宋体" w:eastAsia="宋体" w:cs="宋体"/>
          <w:b/>
          <w:color w:val="auto"/>
          <w:sz w:val="21"/>
          <w:szCs w:val="21"/>
          <w:lang w:eastAsia="zh-CN"/>
        </w:rPr>
        <w:t>磋商响应文件的语言</w:t>
      </w:r>
    </w:p>
    <w:p>
      <w:pPr>
        <w:keepNext w:val="0"/>
        <w:keepLines w:val="0"/>
        <w:pageBreakBefore w:val="0"/>
        <w:widowControl w:val="0"/>
        <w:kinsoku/>
        <w:wordWrap/>
        <w:overflowPunct/>
        <w:topLinePunct w:val="0"/>
        <w:autoSpaceDE w:val="0"/>
        <w:autoSpaceDN w:val="0"/>
        <w:bidi w:val="0"/>
        <w:spacing w:beforeAutospacing="0" w:line="336" w:lineRule="auto"/>
        <w:ind w:left="0" w:leftChars="0"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eastAsia="zh-CN"/>
        </w:rPr>
        <w:t>磋商响应文件</w:t>
      </w:r>
      <w:r>
        <w:rPr>
          <w:rFonts w:hint="eastAsia" w:ascii="宋体" w:hAnsi="宋体" w:eastAsia="宋体" w:cs="宋体"/>
          <w:sz w:val="21"/>
          <w:szCs w:val="21"/>
        </w:rPr>
        <w:t>及</w:t>
      </w:r>
      <w:r>
        <w:rPr>
          <w:rFonts w:hint="eastAsia" w:ascii="宋体" w:hAnsi="宋体" w:eastAsia="宋体" w:cs="宋体"/>
          <w:sz w:val="21"/>
          <w:szCs w:val="21"/>
          <w:lang w:eastAsia="zh-CN"/>
        </w:rPr>
        <w:t>磋商供应商</w:t>
      </w:r>
      <w:r>
        <w:rPr>
          <w:rFonts w:hint="eastAsia" w:ascii="宋体" w:hAnsi="宋体" w:eastAsia="宋体" w:cs="宋体"/>
          <w:sz w:val="21"/>
          <w:szCs w:val="21"/>
        </w:rPr>
        <w:t>与采购有关的来往通知、函件和文件均应使用中文。</w:t>
      </w:r>
    </w:p>
    <w:p>
      <w:pPr>
        <w:keepNext w:val="0"/>
        <w:keepLines w:val="0"/>
        <w:pageBreakBefore w:val="0"/>
        <w:widowControl w:val="0"/>
        <w:numPr>
          <w:ilvl w:val="0"/>
          <w:numId w:val="0"/>
        </w:numPr>
        <w:kinsoku/>
        <w:wordWrap/>
        <w:overflowPunct/>
        <w:topLinePunct w:val="0"/>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11.</w:t>
      </w:r>
      <w:r>
        <w:rPr>
          <w:rFonts w:hint="eastAsia" w:ascii="宋体" w:hAnsi="宋体" w:eastAsia="宋体" w:cs="宋体"/>
          <w:b/>
          <w:color w:val="auto"/>
          <w:sz w:val="21"/>
          <w:szCs w:val="21"/>
          <w:lang w:eastAsia="zh-CN"/>
        </w:rPr>
        <w:t>磋商响应文件的组成</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val="zh-CN"/>
        </w:rPr>
      </w:pPr>
      <w:r>
        <w:rPr>
          <w:rFonts w:hint="eastAsia" w:ascii="宋体" w:hAnsi="宋体" w:eastAsia="宋体" w:cs="宋体"/>
          <w:b w:val="0"/>
          <w:bCs/>
          <w:i w:val="0"/>
          <w:color w:val="auto"/>
          <w:kern w:val="2"/>
          <w:sz w:val="21"/>
          <w:szCs w:val="21"/>
          <w:lang w:val="zh-CN" w:eastAsia="zh-CN" w:bidi="ar-SA"/>
        </w:rPr>
        <w:t>11.1</w:t>
      </w:r>
      <w:r>
        <w:rPr>
          <w:rFonts w:hint="eastAsia" w:ascii="宋体" w:hAnsi="宋体" w:eastAsia="宋体" w:cs="宋体"/>
          <w:b/>
          <w:bCs/>
          <w:color w:val="auto"/>
          <w:sz w:val="21"/>
          <w:szCs w:val="21"/>
          <w:lang w:val="zh-CN"/>
        </w:rPr>
        <w:t>资格文件：</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val="zh-CN"/>
        </w:rPr>
      </w:pPr>
      <w:r>
        <w:rPr>
          <w:rFonts w:hint="default" w:ascii="宋体" w:hAnsi="宋体" w:eastAsia="宋体" w:cs="宋体"/>
          <w:kern w:val="2"/>
          <w:sz w:val="21"/>
          <w:szCs w:val="21"/>
          <w:lang w:val="zh-CN" w:eastAsia="zh-CN" w:bidi="ar-SA"/>
        </w:rPr>
        <w:t>11.1.1</w:t>
      </w:r>
      <w:r>
        <w:rPr>
          <w:rFonts w:hint="eastAsia" w:ascii="宋体" w:hAnsi="宋体" w:eastAsia="宋体" w:cs="宋体"/>
          <w:sz w:val="21"/>
          <w:szCs w:val="21"/>
          <w:lang w:val="en-US" w:eastAsia="zh-CN"/>
        </w:rPr>
        <w:t>提供</w:t>
      </w:r>
      <w:r>
        <w:rPr>
          <w:rFonts w:hint="eastAsia" w:ascii="宋体" w:hAnsi="宋体" w:eastAsia="宋体" w:cs="宋体"/>
          <w:sz w:val="21"/>
          <w:szCs w:val="21"/>
          <w:lang w:val="zh-CN"/>
        </w:rPr>
        <w:t>有效的营业执照</w:t>
      </w:r>
    </w:p>
    <w:p>
      <w:pPr>
        <w:snapToGrid w:val="0"/>
        <w:spacing w:line="360" w:lineRule="auto"/>
        <w:ind w:firstLine="420" w:firstLineChars="200"/>
        <w:rPr>
          <w:rFonts w:hint="eastAsia" w:ascii="宋体" w:hAnsi="宋体" w:eastAsia="宋体" w:cs="宋体"/>
          <w:kern w:val="2"/>
          <w:sz w:val="21"/>
          <w:szCs w:val="21"/>
          <w:highlight w:val="none"/>
          <w:lang w:val="zh-CN" w:eastAsia="zh-CN" w:bidi="ar-SA"/>
        </w:rPr>
      </w:pPr>
      <w:r>
        <w:rPr>
          <w:rFonts w:hint="eastAsia" w:ascii="宋体" w:hAnsi="宋体" w:eastAsia="宋体" w:cs="宋体"/>
          <w:kern w:val="2"/>
          <w:sz w:val="21"/>
          <w:szCs w:val="21"/>
          <w:highlight w:val="none"/>
          <w:lang w:val="en-US" w:eastAsia="zh-CN" w:bidi="ar-SA"/>
        </w:rPr>
        <w:t>11.1.2 具有独立承担民事责任能力的证明材料；</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val="en-US" w:eastAsia="zh-CN"/>
        </w:rPr>
      </w:pPr>
      <w:r>
        <w:rPr>
          <w:rFonts w:hint="default" w:ascii="宋体" w:hAnsi="宋体" w:eastAsia="宋体" w:cs="宋体"/>
          <w:kern w:val="2"/>
          <w:sz w:val="21"/>
          <w:szCs w:val="21"/>
          <w:lang w:val="en-US" w:eastAsia="zh-CN" w:bidi="ar-SA"/>
        </w:rPr>
        <w:t>11.1.</w:t>
      </w:r>
      <w:r>
        <w:rPr>
          <w:rFonts w:hint="eastAsia" w:ascii="宋体" w:hAnsi="宋体" w:cs="宋体"/>
          <w:kern w:val="2"/>
          <w:sz w:val="21"/>
          <w:szCs w:val="21"/>
          <w:lang w:val="en-US" w:eastAsia="zh-CN" w:bidi="ar-SA"/>
        </w:rPr>
        <w:t>3</w:t>
      </w:r>
      <w:r>
        <w:rPr>
          <w:rFonts w:hint="eastAsia" w:ascii="宋体" w:hAnsi="宋体" w:eastAsia="宋体" w:cs="宋体"/>
          <w:sz w:val="21"/>
          <w:szCs w:val="21"/>
        </w:rPr>
        <w:t>符合参加政府采购活动应当具备的一般条件的承诺函</w:t>
      </w:r>
      <w:r>
        <w:rPr>
          <w:rFonts w:hint="eastAsia" w:ascii="宋体" w:hAnsi="宋体" w:eastAsia="宋体" w:cs="宋体"/>
          <w:sz w:val="21"/>
          <w:szCs w:val="21"/>
          <w:lang w:eastAsia="zh-CN"/>
        </w:rPr>
        <w:t>；</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11.1.</w:t>
      </w:r>
      <w:r>
        <w:rPr>
          <w:rFonts w:hint="eastAsia" w:ascii="宋体" w:hAnsi="宋体" w:cs="宋体"/>
          <w:kern w:val="2"/>
          <w:sz w:val="21"/>
          <w:szCs w:val="21"/>
          <w:lang w:val="en-US" w:eastAsia="zh-CN" w:bidi="ar-SA"/>
        </w:rPr>
        <w:t>4</w:t>
      </w:r>
      <w:r>
        <w:rPr>
          <w:rFonts w:hint="eastAsia" w:ascii="宋体" w:hAnsi="宋体" w:eastAsia="宋体" w:cs="宋体"/>
          <w:sz w:val="21"/>
          <w:szCs w:val="21"/>
        </w:rPr>
        <w:t>落实政府采购政策需满足的资格要求；</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val="en-US" w:eastAsia="zh-CN"/>
        </w:rPr>
      </w:pPr>
      <w:r>
        <w:rPr>
          <w:rFonts w:hint="default" w:ascii="宋体" w:hAnsi="宋体" w:eastAsia="宋体" w:cs="宋体"/>
          <w:kern w:val="2"/>
          <w:sz w:val="21"/>
          <w:szCs w:val="21"/>
          <w:lang w:val="en-US" w:eastAsia="zh-CN" w:bidi="ar-SA"/>
        </w:rPr>
        <w:t>11.1.</w:t>
      </w:r>
      <w:r>
        <w:rPr>
          <w:rFonts w:hint="eastAsia" w:ascii="宋体" w:hAnsi="宋体" w:eastAsia="宋体" w:cs="宋体"/>
          <w:sz w:val="21"/>
          <w:szCs w:val="21"/>
          <w:lang w:val="en-US" w:eastAsia="zh-CN"/>
        </w:rPr>
        <w:t>5中小企业声明函；</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eastAsia="zh-CN"/>
        </w:rPr>
      </w:pPr>
      <w:r>
        <w:rPr>
          <w:rFonts w:hint="default" w:ascii="宋体" w:hAnsi="宋体" w:eastAsia="宋体" w:cs="宋体"/>
          <w:kern w:val="2"/>
          <w:sz w:val="21"/>
          <w:szCs w:val="21"/>
          <w:lang w:val="en-US" w:eastAsia="zh-CN" w:bidi="ar-SA"/>
        </w:rPr>
        <w:t>11.1.</w:t>
      </w:r>
      <w:r>
        <w:rPr>
          <w:rFonts w:hint="eastAsia" w:ascii="宋体" w:hAnsi="宋体" w:eastAsia="宋体" w:cs="宋体"/>
          <w:sz w:val="21"/>
          <w:szCs w:val="21"/>
          <w:lang w:val="en-US" w:eastAsia="zh-CN"/>
        </w:rPr>
        <w:t>6</w:t>
      </w:r>
      <w:r>
        <w:rPr>
          <w:rFonts w:hint="eastAsia" w:ascii="宋体" w:hAnsi="宋体" w:eastAsia="宋体" w:cs="宋体"/>
          <w:sz w:val="21"/>
          <w:szCs w:val="21"/>
        </w:rPr>
        <w:t>本项目的特定资格要求</w:t>
      </w:r>
      <w:r>
        <w:rPr>
          <w:rFonts w:hint="eastAsia" w:ascii="宋体" w:hAnsi="宋体" w:eastAsia="宋体" w:cs="宋体"/>
          <w:sz w:val="21"/>
          <w:szCs w:val="21"/>
          <w:lang w:eastAsia="zh-CN"/>
        </w:rPr>
        <w:t>；</w:t>
      </w:r>
    </w:p>
    <w:p>
      <w:pPr>
        <w:keepNext w:val="0"/>
        <w:keepLines w:val="0"/>
        <w:pageBreakBefore w:val="0"/>
        <w:widowControl w:val="0"/>
        <w:numPr>
          <w:ilvl w:val="0"/>
          <w:numId w:val="0"/>
        </w:numPr>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eastAsia="zh-CN"/>
        </w:rPr>
      </w:pPr>
      <w:r>
        <w:rPr>
          <w:rFonts w:hint="default" w:ascii="宋体" w:hAnsi="宋体" w:eastAsia="宋体" w:cs="宋体"/>
          <w:kern w:val="2"/>
          <w:sz w:val="21"/>
          <w:szCs w:val="21"/>
          <w:lang w:val="en-US" w:eastAsia="zh-CN" w:bidi="ar-SA"/>
        </w:rPr>
        <w:t>11.1.</w:t>
      </w:r>
      <w:r>
        <w:rPr>
          <w:rFonts w:hint="eastAsia" w:ascii="宋体" w:hAnsi="宋体" w:cs="宋体"/>
          <w:kern w:val="2"/>
          <w:sz w:val="21"/>
          <w:szCs w:val="21"/>
          <w:lang w:val="en-US" w:eastAsia="zh-CN" w:bidi="ar-SA"/>
        </w:rPr>
        <w:t>7</w:t>
      </w:r>
      <w:r>
        <w:rPr>
          <w:rFonts w:hint="eastAsia" w:ascii="宋体" w:hAnsi="宋体" w:eastAsia="宋体" w:cs="宋体"/>
          <w:sz w:val="21"/>
          <w:szCs w:val="21"/>
        </w:rPr>
        <w:t>联合协议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如有</w:t>
      </w:r>
      <w:r>
        <w:rPr>
          <w:rFonts w:hint="eastAsia" w:ascii="宋体" w:hAnsi="宋体" w:eastAsia="宋体" w:cs="宋体"/>
          <w:sz w:val="21"/>
          <w:szCs w:val="21"/>
          <w:lang w:eastAsia="zh-CN"/>
        </w:rPr>
        <w:t>）。</w:t>
      </w:r>
    </w:p>
    <w:p>
      <w:pPr>
        <w:pStyle w:val="10"/>
        <w:spacing w:line="360" w:lineRule="auto"/>
        <w:rPr>
          <w:rFonts w:hint="eastAsia"/>
          <w:highlight w:val="none"/>
        </w:rPr>
      </w:pPr>
      <w:r>
        <w:rPr>
          <w:rFonts w:hint="eastAsia" w:ascii="宋体" w:hAnsi="宋体" w:eastAsia="宋体" w:cs="宋体"/>
          <w:b/>
          <w:bCs/>
          <w:color w:val="auto"/>
          <w:kern w:val="2"/>
          <w:sz w:val="21"/>
          <w:szCs w:val="21"/>
          <w:highlight w:val="none"/>
          <w:lang w:val="en-US" w:eastAsia="zh-CN" w:bidi="ar-SA"/>
        </w:rPr>
        <w:t>备注：以上所需的各种证书、证件、证明、执照等证明材料均须加盖CA电子签章或供应商公章。</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val="zh-CN"/>
        </w:rPr>
      </w:pPr>
      <w:r>
        <w:rPr>
          <w:rFonts w:hint="eastAsia" w:ascii="宋体" w:hAnsi="宋体" w:eastAsia="宋体" w:cs="宋体"/>
          <w:b w:val="0"/>
          <w:bCs/>
          <w:i w:val="0"/>
          <w:color w:val="auto"/>
          <w:kern w:val="2"/>
          <w:sz w:val="21"/>
          <w:szCs w:val="21"/>
          <w:lang w:val="zh-CN" w:eastAsia="zh-CN" w:bidi="ar-SA"/>
        </w:rPr>
        <w:t>11.2</w:t>
      </w:r>
      <w:r>
        <w:rPr>
          <w:rFonts w:hint="eastAsia" w:ascii="宋体" w:hAnsi="宋体" w:eastAsia="宋体" w:cs="宋体"/>
          <w:b/>
          <w:bCs/>
          <w:color w:val="auto"/>
          <w:sz w:val="21"/>
          <w:szCs w:val="21"/>
          <w:lang w:val="zh-CN"/>
        </w:rPr>
        <w:t>商务技术文件：</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11.2.1</w:t>
      </w:r>
      <w:r>
        <w:rPr>
          <w:rFonts w:hint="eastAsia" w:ascii="宋体" w:hAnsi="宋体" w:eastAsia="宋体" w:cs="宋体"/>
          <w:sz w:val="21"/>
          <w:szCs w:val="21"/>
        </w:rPr>
        <w:t>投标函；</w:t>
      </w:r>
      <w:r>
        <w:rPr>
          <w:rFonts w:hint="eastAsia" w:ascii="宋体" w:hAnsi="宋体" w:eastAsia="宋体" w:cs="宋体"/>
          <w:sz w:val="21"/>
          <w:szCs w:val="21"/>
          <w:lang w:val="zh-CN"/>
        </w:rPr>
        <w:t xml:space="preserve"> </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11.2.2</w:t>
      </w:r>
      <w:r>
        <w:rPr>
          <w:rFonts w:hint="eastAsia" w:ascii="宋体" w:hAnsi="宋体" w:eastAsia="宋体" w:cs="宋体"/>
          <w:sz w:val="21"/>
          <w:szCs w:val="21"/>
        </w:rPr>
        <w:t>授权委托书或法定代表人（单位负责人、自然人本人）身份证明；</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eastAsia="zh-CN"/>
        </w:rPr>
      </w:pPr>
      <w:r>
        <w:rPr>
          <w:rFonts w:hint="default" w:ascii="宋体" w:hAnsi="宋体" w:eastAsia="宋体" w:cs="宋体"/>
          <w:kern w:val="2"/>
          <w:sz w:val="21"/>
          <w:szCs w:val="21"/>
          <w:lang w:val="en-US" w:eastAsia="zh-CN" w:bidi="ar-SA"/>
        </w:rPr>
        <w:t>11.2.3</w:t>
      </w:r>
      <w:r>
        <w:rPr>
          <w:rFonts w:hint="eastAsia" w:ascii="宋体" w:hAnsi="宋体" w:eastAsia="宋体" w:cs="宋体"/>
          <w:sz w:val="21"/>
          <w:szCs w:val="21"/>
        </w:rPr>
        <w:t>分包意向协议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如有</w:t>
      </w:r>
      <w:r>
        <w:rPr>
          <w:rFonts w:hint="eastAsia" w:ascii="宋体" w:hAnsi="宋体" w:eastAsia="宋体" w:cs="宋体"/>
          <w:sz w:val="21"/>
          <w:szCs w:val="21"/>
          <w:lang w:eastAsia="zh-CN"/>
        </w:rPr>
        <w:t>）；</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11.2.4</w:t>
      </w:r>
      <w:r>
        <w:rPr>
          <w:rFonts w:hint="eastAsia" w:ascii="宋体" w:hAnsi="宋体" w:eastAsia="宋体" w:cs="宋体"/>
          <w:sz w:val="21"/>
          <w:szCs w:val="21"/>
        </w:rPr>
        <w:t>符合性审查资料；</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11.2.5</w:t>
      </w:r>
      <w:r>
        <w:rPr>
          <w:rFonts w:hint="eastAsia" w:ascii="宋体" w:hAnsi="宋体" w:eastAsia="宋体" w:cs="宋体"/>
          <w:sz w:val="21"/>
          <w:szCs w:val="21"/>
        </w:rPr>
        <w:t>评标标准相应的商务技术资料</w:t>
      </w:r>
      <w:r>
        <w:rPr>
          <w:rFonts w:hint="eastAsia" w:ascii="宋体" w:hAnsi="宋体" w:eastAsia="宋体" w:cs="宋体"/>
          <w:sz w:val="21"/>
          <w:szCs w:val="21"/>
          <w:lang w:eastAsia="zh-CN"/>
        </w:rPr>
        <w:t>；</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11.2.6</w:t>
      </w:r>
      <w:r>
        <w:rPr>
          <w:rFonts w:hint="eastAsia" w:ascii="宋体" w:hAnsi="宋体" w:eastAsia="宋体" w:cs="宋体"/>
          <w:sz w:val="21"/>
          <w:szCs w:val="21"/>
        </w:rPr>
        <w:t>商务技术偏离表；</w:t>
      </w:r>
    </w:p>
    <w:p>
      <w:pPr>
        <w:keepNext w:val="0"/>
        <w:keepLines w:val="0"/>
        <w:pageBreakBefore w:val="0"/>
        <w:widowControl w:val="0"/>
        <w:numPr>
          <w:ilvl w:val="0"/>
          <w:numId w:val="0"/>
        </w:numPr>
        <w:tabs>
          <w:tab w:val="left" w:pos="84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lang w:val="zh-CN"/>
        </w:rPr>
      </w:pPr>
      <w:r>
        <w:rPr>
          <w:rFonts w:hint="default" w:ascii="宋体" w:hAnsi="宋体" w:eastAsia="宋体" w:cs="宋体"/>
          <w:kern w:val="2"/>
          <w:sz w:val="21"/>
          <w:szCs w:val="21"/>
          <w:lang w:val="zh-CN" w:eastAsia="zh-CN" w:bidi="ar-SA"/>
        </w:rPr>
        <w:t>11.2.7</w:t>
      </w:r>
      <w:r>
        <w:rPr>
          <w:rFonts w:hint="eastAsia" w:ascii="宋体" w:hAnsi="宋体" w:eastAsia="宋体" w:cs="宋体"/>
          <w:sz w:val="21"/>
          <w:szCs w:val="21"/>
          <w:lang w:val="zh-CN"/>
        </w:rPr>
        <w:t>政府采购供应商廉洁自律承诺书；</w:t>
      </w:r>
    </w:p>
    <w:p>
      <w:pPr>
        <w:keepNext w:val="0"/>
        <w:keepLines w:val="0"/>
        <w:pageBreakBefore w:val="0"/>
        <w:widowControl w:val="0"/>
        <w:numPr>
          <w:ilvl w:val="1"/>
          <w:numId w:val="0"/>
        </w:numPr>
        <w:kinsoku/>
        <w:wordWrap/>
        <w:overflowPunct/>
        <w:topLinePunct w:val="0"/>
        <w:bidi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val="zh-CN"/>
        </w:rPr>
      </w:pPr>
      <w:r>
        <w:rPr>
          <w:rFonts w:hint="eastAsia" w:ascii="宋体" w:hAnsi="宋体" w:eastAsia="宋体" w:cs="宋体"/>
          <w:b w:val="0"/>
          <w:bCs/>
          <w:i w:val="0"/>
          <w:color w:val="auto"/>
          <w:kern w:val="2"/>
          <w:sz w:val="21"/>
          <w:szCs w:val="21"/>
          <w:lang w:val="zh-CN" w:eastAsia="zh-CN" w:bidi="ar-SA"/>
        </w:rPr>
        <w:t>11.3</w:t>
      </w:r>
      <w:r>
        <w:rPr>
          <w:rFonts w:hint="eastAsia" w:ascii="宋体" w:hAnsi="宋体" w:eastAsia="宋体" w:cs="宋体"/>
          <w:b/>
          <w:bCs/>
          <w:color w:val="auto"/>
          <w:sz w:val="21"/>
          <w:szCs w:val="21"/>
          <w:lang w:val="zh-CN"/>
        </w:rPr>
        <w:t xml:space="preserve">报价文件： </w:t>
      </w:r>
    </w:p>
    <w:p>
      <w:pPr>
        <w:keepNext w:val="0"/>
        <w:keepLines w:val="0"/>
        <w:pageBreakBefore w:val="0"/>
        <w:widowControl w:val="0"/>
        <w:numPr>
          <w:ilvl w:val="0"/>
          <w:numId w:val="0"/>
        </w:numPr>
        <w:tabs>
          <w:tab w:val="left" w:pos="0"/>
        </w:tabs>
        <w:kinsoku/>
        <w:wordWrap/>
        <w:overflowPunct/>
        <w:topLinePunct w:val="0"/>
        <w:bidi w:val="0"/>
        <w:snapToGrid w:val="0"/>
        <w:spacing w:beforeAutospacing="0" w:line="336" w:lineRule="auto"/>
        <w:ind w:left="0" w:leftChars="0" w:firstLine="420" w:firstLineChars="200"/>
        <w:textAlignment w:val="auto"/>
        <w:rPr>
          <w:rFonts w:hint="eastAsia" w:ascii="宋体" w:hAnsi="宋体" w:eastAsia="宋体" w:cs="宋体"/>
          <w:sz w:val="21"/>
          <w:szCs w:val="21"/>
        </w:rPr>
      </w:pPr>
      <w:r>
        <w:rPr>
          <w:rFonts w:hint="default" w:ascii="宋体" w:hAnsi="宋体" w:eastAsia="宋体" w:cs="宋体"/>
          <w:kern w:val="2"/>
          <w:sz w:val="21"/>
          <w:szCs w:val="21"/>
          <w:lang w:val="en-US" w:eastAsia="zh-CN" w:bidi="ar-SA"/>
        </w:rPr>
        <w:t>11.3.1</w:t>
      </w:r>
      <w:r>
        <w:rPr>
          <w:rFonts w:hint="eastAsia" w:ascii="宋体" w:hAnsi="宋体" w:eastAsia="宋体" w:cs="宋体"/>
          <w:sz w:val="21"/>
          <w:szCs w:val="21"/>
        </w:rPr>
        <w:t>开标一览表（报价表）；</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Autospacing="0" w:line="336" w:lineRule="auto"/>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11.3.2</w:t>
      </w:r>
      <w:r>
        <w:rPr>
          <w:rFonts w:hint="eastAsia" w:ascii="宋体" w:hAnsi="宋体" w:eastAsia="宋体" w:cs="宋体"/>
          <w:sz w:val="21"/>
          <w:szCs w:val="21"/>
        </w:rPr>
        <w:t>已标价工程量清单</w:t>
      </w:r>
      <w:r>
        <w:rPr>
          <w:rFonts w:hint="eastAsia" w:ascii="宋体" w:hAnsi="宋体" w:cs="宋体"/>
          <w:sz w:val="21"/>
          <w:szCs w:val="21"/>
          <w:lang w:eastAsia="zh-CN"/>
        </w:rPr>
        <w:t>；</w:t>
      </w:r>
    </w:p>
    <w:tbl>
      <w:tblPr>
        <w:tblStyle w:val="2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序号</w:t>
            </w:r>
          </w:p>
        </w:tc>
        <w:tc>
          <w:tcPr>
            <w:tcW w:w="8471"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商务标内容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2</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投标总价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3</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4</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工程量清单计价汇总表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5</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建筑工程分类分项工程量清单计价表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6</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机电设备及安装工程分类分项工程量清单计价表（如有）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7</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金属结构设备及安装工程分类分项工程量清单计价表（如有）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8</w:t>
            </w:r>
          </w:p>
        </w:tc>
        <w:tc>
          <w:tcPr>
            <w:tcW w:w="8471" w:type="dxa"/>
            <w:noWrap w:val="0"/>
            <w:vAlign w:val="center"/>
          </w:tcPr>
          <w:p>
            <w:pPr>
              <w:pStyle w:val="42"/>
              <w:rPr>
                <w:rFonts w:hint="eastAsia" w:ascii="宋体" w:hAnsi="宋体" w:eastAsia="宋体" w:cs="宋体"/>
              </w:rPr>
            </w:pPr>
            <w:r>
              <w:rPr>
                <w:rFonts w:hint="eastAsia" w:ascii="宋体" w:hAnsi="宋体" w:eastAsia="宋体" w:cs="宋体"/>
                <w:lang w:eastAsia="zh-CN"/>
              </w:rPr>
              <w:t>施工临时工程分类分项工程量清单</w:t>
            </w:r>
            <w:r>
              <w:rPr>
                <w:rFonts w:hint="eastAsia" w:ascii="宋体" w:hAnsi="宋体" w:eastAsia="宋体" w:cs="宋体"/>
              </w:rPr>
              <w:t>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9</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其他项目清单计价表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10</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零星工作项目计价表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11</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工程量清单单价组合表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12</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电、风、水、砂石基础单价汇总表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13</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混凝土（砂浆）配合比材料费表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14</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招标人供应材料价格表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15</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主要材料</w:t>
            </w:r>
            <w:r>
              <w:rPr>
                <w:rFonts w:hint="eastAsia" w:ascii="宋体" w:hAnsi="宋体" w:eastAsia="宋体" w:cs="宋体"/>
                <w:lang w:eastAsia="zh-CN"/>
              </w:rPr>
              <w:t>用量及预算</w:t>
            </w:r>
            <w:r>
              <w:rPr>
                <w:rFonts w:hint="eastAsia" w:ascii="宋体" w:hAnsi="宋体" w:eastAsia="宋体" w:cs="宋体"/>
              </w:rPr>
              <w:t>价格汇总表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16</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施工机械台班费汇总表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17</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总价项目分类分项工程分解表（如有）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18</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单价计算表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09" w:type="dxa"/>
            <w:noWrap w:val="0"/>
            <w:vAlign w:val="center"/>
          </w:tcPr>
          <w:p>
            <w:pPr>
              <w:pStyle w:val="55"/>
              <w:wordWrap/>
              <w:snapToGrid w:val="0"/>
              <w:spacing w:line="240" w:lineRule="auto"/>
              <w:ind w:left="0"/>
              <w:jc w:val="center"/>
              <w:rPr>
                <w:rFonts w:hint="eastAsia" w:ascii="宋体" w:hAnsi="宋体" w:eastAsia="宋体" w:cs="宋体"/>
              </w:rPr>
            </w:pPr>
            <w:r>
              <w:rPr>
                <w:rFonts w:hint="eastAsia" w:ascii="宋体" w:hAnsi="宋体" w:eastAsia="宋体" w:cs="宋体"/>
              </w:rPr>
              <w:t>19</w:t>
            </w:r>
          </w:p>
        </w:tc>
        <w:tc>
          <w:tcPr>
            <w:tcW w:w="8471" w:type="dxa"/>
            <w:noWrap w:val="0"/>
            <w:vAlign w:val="center"/>
          </w:tcPr>
          <w:p>
            <w:pPr>
              <w:pStyle w:val="42"/>
              <w:rPr>
                <w:rFonts w:hint="eastAsia" w:ascii="宋体" w:hAnsi="宋体" w:eastAsia="宋体" w:cs="宋体"/>
              </w:rPr>
            </w:pPr>
            <w:r>
              <w:rPr>
                <w:rFonts w:hint="eastAsia" w:ascii="宋体" w:hAnsi="宋体" w:eastAsia="宋体" w:cs="宋体"/>
              </w:rPr>
              <w:t>电、风、水、砂石单价计算表（如有）</w:t>
            </w:r>
          </w:p>
        </w:tc>
      </w:tr>
    </w:tbl>
    <w:p>
      <w:pPr>
        <w:pStyle w:val="3"/>
        <w:ind w:left="428" w:leftChars="200" w:hanging="8" w:hangingChars="4"/>
        <w:rPr>
          <w:rFonts w:hint="eastAsia" w:ascii="宋体" w:hAnsi="宋体" w:eastAsia="宋体" w:cs="宋体"/>
          <w:b/>
          <w:i w:val="0"/>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备注：以上所需的各种证书、证件、证明、执照等证明材料如遇年检或换证等特殊情况须提供相应的证明材料。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12.</w:t>
      </w:r>
      <w:r>
        <w:rPr>
          <w:rFonts w:hint="eastAsia" w:ascii="宋体" w:hAnsi="宋体" w:eastAsia="宋体" w:cs="宋体"/>
          <w:b/>
          <w:color w:val="auto"/>
          <w:sz w:val="21"/>
          <w:szCs w:val="21"/>
          <w:lang w:eastAsia="zh-CN"/>
        </w:rPr>
        <w:t>磋商响应文件的编制</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12.1</w:t>
      </w:r>
      <w:r>
        <w:rPr>
          <w:rFonts w:hint="eastAsia" w:ascii="宋体" w:hAnsi="宋体" w:eastAsia="宋体" w:cs="宋体"/>
          <w:color w:val="auto"/>
          <w:sz w:val="21"/>
          <w:szCs w:val="21"/>
          <w:lang w:val="zh-CN"/>
        </w:rPr>
        <w:t>磋商响应文件分为资格文件、商务技术文件、报价文件三部分。各磋商供应商在编制磋商响应文件时请按照磋商文件第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lang w:val="zh-CN"/>
        </w:rPr>
        <w:t>部分规定的格式进行，</w:t>
      </w:r>
      <w:r>
        <w:rPr>
          <w:rFonts w:hint="eastAsia" w:ascii="宋体" w:hAnsi="宋体" w:eastAsia="宋体" w:cs="宋体"/>
          <w:b/>
          <w:bCs/>
          <w:color w:val="auto"/>
          <w:sz w:val="21"/>
          <w:szCs w:val="21"/>
          <w:lang w:val="zh-CN"/>
        </w:rPr>
        <w:t>混乱的编排导致磋商响应文件被误读或磋商小组查找不到有效文件是磋商供应商的风险。</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12.2</w:t>
      </w:r>
      <w:r>
        <w:rPr>
          <w:rFonts w:hint="eastAsia" w:ascii="宋体" w:hAnsi="宋体" w:eastAsia="宋体" w:cs="宋体"/>
          <w:color w:val="auto"/>
          <w:sz w:val="21"/>
          <w:szCs w:val="21"/>
          <w:lang w:val="zh-CN"/>
        </w:rPr>
        <w:t>磋商供应商进行电子投标应安装客户端软件—“政采云电子交易客户端”，并按照磋商文件和电子交易平台的要求编制并加密磋商响应文件。磋商供应商未按规定加密的磋商响应文件，电子交易平台将拒收并提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12.3</w:t>
      </w:r>
      <w:r>
        <w:rPr>
          <w:rFonts w:hint="eastAsia" w:ascii="宋体" w:hAnsi="宋体" w:eastAsia="宋体" w:cs="宋体"/>
          <w:color w:val="auto"/>
          <w:sz w:val="21"/>
          <w:szCs w:val="21"/>
          <w:lang w:val="zh-CN"/>
        </w:rPr>
        <w:t>使用“政采云电子交易客户端”需要提前申领CA数字证书，申领流程请自行前往“浙江政府采购网-下载专区-电子交易客户端-CA驱动和申领流程”进行查阅。</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13.</w:t>
      </w:r>
      <w:r>
        <w:rPr>
          <w:rFonts w:hint="eastAsia" w:ascii="宋体" w:hAnsi="宋体" w:eastAsia="宋体" w:cs="宋体"/>
          <w:b/>
          <w:color w:val="auto"/>
          <w:sz w:val="21"/>
          <w:szCs w:val="21"/>
          <w:lang w:eastAsia="zh-CN"/>
        </w:rPr>
        <w:t>磋商报价</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13.1</w:t>
      </w:r>
      <w:r>
        <w:rPr>
          <w:rFonts w:hint="eastAsia" w:ascii="宋体" w:hAnsi="宋体" w:eastAsia="宋体" w:cs="宋体"/>
          <w:color w:val="auto"/>
          <w:sz w:val="21"/>
          <w:szCs w:val="21"/>
          <w:lang w:val="zh-CN"/>
        </w:rPr>
        <w:t>磋商供应商提供的价格应该用人民币投标。投标报价为磋商供应商在磋商响应文件中提出的各项支付金额的总和。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13.2</w:t>
      </w:r>
      <w:r>
        <w:rPr>
          <w:rFonts w:hint="eastAsia" w:ascii="宋体" w:hAnsi="宋体" w:eastAsia="宋体" w:cs="宋体"/>
          <w:color w:val="auto"/>
          <w:sz w:val="21"/>
          <w:szCs w:val="21"/>
          <w:lang w:val="zh-CN"/>
        </w:rPr>
        <w:t>最后一轮报价时</w:t>
      </w:r>
      <w:r>
        <w:rPr>
          <w:rFonts w:hint="eastAsia" w:ascii="宋体" w:hAnsi="宋体" w:eastAsia="宋体" w:cs="宋体"/>
          <w:b w:val="0"/>
          <w:color w:val="auto"/>
          <w:sz w:val="21"/>
          <w:szCs w:val="21"/>
        </w:rPr>
        <w:t>原则上不得高于上轮的报价（实质性变动的除外）</w:t>
      </w:r>
      <w:r>
        <w:rPr>
          <w:rFonts w:hint="eastAsia" w:ascii="宋体" w:hAnsi="宋体" w:eastAsia="宋体" w:cs="宋体"/>
          <w:color w:val="auto"/>
          <w:sz w:val="21"/>
          <w:szCs w:val="21"/>
          <w:lang w:val="zh-CN"/>
        </w:rPr>
        <w:t>，各项报价均按比例调整。每一轮报价需在规定时间内提交，否则视为放弃该轮报价，以上一轮报价为准。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13.3</w:t>
      </w:r>
      <w:r>
        <w:rPr>
          <w:rFonts w:hint="eastAsia" w:ascii="宋体" w:hAnsi="宋体" w:eastAsia="宋体" w:cs="宋体"/>
          <w:color w:val="auto"/>
          <w:sz w:val="21"/>
          <w:szCs w:val="21"/>
          <w:lang w:val="zh-CN"/>
        </w:rPr>
        <w:t>首次报价不公开。</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13.4</w:t>
      </w:r>
      <w:r>
        <w:rPr>
          <w:rFonts w:hint="eastAsia" w:ascii="宋体" w:hAnsi="宋体" w:eastAsia="宋体" w:cs="宋体"/>
          <w:color w:val="auto"/>
          <w:sz w:val="21"/>
          <w:szCs w:val="21"/>
          <w:lang w:val="zh-CN"/>
        </w:rPr>
        <w:t>除非合同中另有规定，磋商供应商在投标总价中均包括完成该工程项目的人工费、材料费、施工机械使用费、企业管理费、利润、税金、规费、安全施工费、风险费及检验试验费等所有费用。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13.5</w:t>
      </w:r>
      <w:r>
        <w:rPr>
          <w:rFonts w:hint="eastAsia" w:ascii="宋体" w:hAnsi="宋体" w:eastAsia="宋体" w:cs="宋体"/>
          <w:color w:val="auto"/>
          <w:sz w:val="21"/>
          <w:szCs w:val="21"/>
          <w:lang w:val="zh-CN"/>
        </w:rPr>
        <w:t>报价采用方式：采用工程量清单报价，磋商供应商应按采购人提供的工程量清单中列出的工程项目和工程量填报单价和合价。磋商供应商未填单价或合价的工程项目，在实施后，采购人将不予以支付，视为该项费用已包括在其他有价款的单价或合价内。</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13.6</w:t>
      </w:r>
      <w:r>
        <w:rPr>
          <w:rFonts w:hint="eastAsia" w:ascii="宋体" w:hAnsi="宋体" w:eastAsia="宋体" w:cs="宋体"/>
          <w:color w:val="auto"/>
          <w:sz w:val="21"/>
          <w:szCs w:val="21"/>
          <w:lang w:val="zh-CN"/>
        </w:rPr>
        <w:t>根据本次竞争性磋商采购工作要求，最后只允许有一个磋商报价，磋商供应商应在各自技术和商务占优势的基础上并充分考虑本项目的重要性，在磋商结束后提供给采购机构及采购人最优惠的磋商价格。</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6" w:lineRule="auto"/>
        <w:ind w:left="0" w:leftChars="0" w:firstLine="420" w:firstLineChars="200"/>
        <w:jc w:val="left"/>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13.7.1</w:t>
      </w:r>
      <w:r>
        <w:rPr>
          <w:rFonts w:hint="eastAsia" w:ascii="宋体" w:hAnsi="宋体" w:eastAsia="宋体" w:cs="宋体"/>
          <w:color w:val="auto"/>
          <w:kern w:val="0"/>
          <w:sz w:val="21"/>
          <w:szCs w:val="21"/>
          <w:lang w:val="zh-CN"/>
        </w:rPr>
        <w:t>税金作为不可竞争性费用不得变动；</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6" w:lineRule="auto"/>
        <w:ind w:left="0" w:leftChars="0" w:firstLine="420" w:firstLineChars="200"/>
        <w:jc w:val="left"/>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13.7.2磋商供应商的投标报价中安全施工费低于招标文件规定的</w:t>
      </w:r>
      <w:r>
        <w:rPr>
          <w:rFonts w:hint="eastAsia" w:ascii="宋体" w:hAnsi="宋体" w:eastAsia="宋体" w:cs="宋体"/>
          <w:color w:val="auto"/>
          <w:kern w:val="0"/>
          <w:sz w:val="21"/>
          <w:szCs w:val="21"/>
          <w:lang w:val="zh-CN"/>
        </w:rPr>
        <w:t>；</w:t>
      </w:r>
    </w:p>
    <w:p>
      <w:pPr>
        <w:keepNext w:val="0"/>
        <w:keepLines w:val="0"/>
        <w:pageBreakBefore w:val="0"/>
        <w:widowControl/>
        <w:numPr>
          <w:ilvl w:val="0"/>
          <w:numId w:val="0"/>
        </w:numPr>
        <w:kinsoku/>
        <w:wordWrap/>
        <w:overflowPunct/>
        <w:topLinePunct w:val="0"/>
        <w:autoSpaceDE/>
        <w:autoSpaceDN/>
        <w:bidi w:val="0"/>
        <w:adjustRightInd/>
        <w:snapToGrid w:val="0"/>
        <w:spacing w:beforeAutospacing="0" w:line="336" w:lineRule="auto"/>
        <w:ind w:left="0" w:leftChars="0" w:firstLine="420" w:firstLineChars="200"/>
        <w:jc w:val="left"/>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13.7.</w:t>
      </w:r>
      <w:r>
        <w:rPr>
          <w:rFonts w:hint="eastAsia" w:ascii="宋体" w:hAnsi="宋体" w:cs="宋体"/>
          <w:color w:val="auto"/>
          <w:kern w:val="0"/>
          <w:sz w:val="21"/>
          <w:szCs w:val="21"/>
          <w:lang w:val="en-US" w:eastAsia="zh-CN" w:bidi="ar-SA"/>
        </w:rPr>
        <w:t>3</w:t>
      </w:r>
      <w:r>
        <w:rPr>
          <w:rFonts w:hint="eastAsia" w:ascii="宋体" w:hAnsi="宋体" w:eastAsia="宋体" w:cs="宋体"/>
          <w:color w:val="auto"/>
          <w:kern w:val="0"/>
          <w:sz w:val="21"/>
          <w:szCs w:val="21"/>
          <w:lang w:val="zh-CN"/>
        </w:rPr>
        <w:t>本工程适用一般计税办法计税。</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13.8</w:t>
      </w:r>
      <w:r>
        <w:rPr>
          <w:rFonts w:hint="eastAsia" w:ascii="宋体" w:hAnsi="宋体" w:eastAsia="宋体" w:cs="宋体"/>
          <w:color w:val="auto"/>
          <w:sz w:val="21"/>
          <w:szCs w:val="21"/>
          <w:lang w:val="zh-CN"/>
        </w:rPr>
        <w:t>本清单提供品牌要求并不是唯一标准，磋商供应商可参照清单要求品牌提供“相当于”或“高于”本要求标准的品牌，具体由磋商小组确定，假如磋商小组认定磋商供应商提供品牌低于清单要求，可作无效标处理。磋商供应商未在响应文件中提出其他品牌的，中标后严格按照清单参考品牌进行采购。</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zh-CN"/>
        </w:rPr>
      </w:pPr>
      <w:r>
        <w:rPr>
          <w:rFonts w:hint="eastAsia" w:ascii="宋体" w:hAnsi="宋体" w:eastAsia="宋体" w:cs="宋体"/>
          <w:b w:val="0"/>
          <w:i w:val="0"/>
          <w:color w:val="auto"/>
          <w:kern w:val="2"/>
          <w:sz w:val="21"/>
          <w:szCs w:val="21"/>
          <w:lang w:val="zh-CN" w:eastAsia="zh-CN" w:bidi="ar-SA"/>
        </w:rPr>
        <w:t>13.9</w:t>
      </w:r>
      <w:r>
        <w:rPr>
          <w:rFonts w:hint="eastAsia" w:ascii="宋体" w:hAnsi="宋体" w:eastAsia="宋体" w:cs="宋体"/>
          <w:color w:val="auto"/>
          <w:sz w:val="21"/>
          <w:szCs w:val="21"/>
          <w:lang w:val="zh-CN"/>
        </w:rPr>
        <w:t>投标报价说明</w:t>
      </w:r>
    </w:p>
    <w:p>
      <w:pPr>
        <w:keepNext w:val="0"/>
        <w:keepLines w:val="0"/>
        <w:pageBreakBefore w:val="0"/>
        <w:numPr>
          <w:ilvl w:val="0"/>
          <w:numId w:val="0"/>
        </w:numPr>
        <w:tabs>
          <w:tab w:val="left" w:pos="64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①</w:t>
      </w:r>
      <w:r>
        <w:rPr>
          <w:rFonts w:hint="eastAsia" w:ascii="宋体" w:hAnsi="宋体" w:eastAsia="宋体" w:cs="宋体"/>
          <w:color w:val="auto"/>
          <w:kern w:val="0"/>
          <w:sz w:val="21"/>
          <w:szCs w:val="21"/>
          <w:lang w:val="zh-CN"/>
        </w:rPr>
        <w:t>工程量清单投标报价应根据磋商文件的有关要求和工程量清单、结合施工现场实际情况、拟定的施工方案或施工组织设计、磋商供应商自身情况，依据企业定额和市场价格信息，或参照本省颁布的“计价依据”以及工程量清单指引进行编制。</w:t>
      </w:r>
    </w:p>
    <w:p>
      <w:pPr>
        <w:keepNext w:val="0"/>
        <w:keepLines w:val="0"/>
        <w:pageBreakBefore w:val="0"/>
        <w:numPr>
          <w:ilvl w:val="0"/>
          <w:numId w:val="0"/>
        </w:numPr>
        <w:tabs>
          <w:tab w:val="left" w:pos="64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②</w:t>
      </w:r>
      <w:r>
        <w:rPr>
          <w:rFonts w:hint="eastAsia" w:ascii="宋体" w:hAnsi="宋体" w:eastAsia="宋体" w:cs="宋体"/>
          <w:color w:val="auto"/>
          <w:kern w:val="0"/>
          <w:sz w:val="21"/>
          <w:szCs w:val="21"/>
          <w:lang w:val="zh-CN"/>
        </w:rPr>
        <w:t>各磋商供应商应充分考虑承包本工程可能存在的包干风险，并计入投标报价，包干风险应包括下列因素：</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a.</w:t>
      </w:r>
      <w:r>
        <w:rPr>
          <w:rFonts w:hint="eastAsia" w:ascii="宋体" w:hAnsi="宋体" w:eastAsia="宋体" w:cs="宋体"/>
          <w:color w:val="auto"/>
          <w:kern w:val="0"/>
          <w:sz w:val="21"/>
          <w:szCs w:val="21"/>
          <w:lang w:val="zh-CN"/>
        </w:rPr>
        <w:t>本标文考虑的工程费率(除不可竞争性费用外)仅供参考，各磋商供应商可根据自身实力和本工程的实际情况，若须增加，在包干风险费用中自行列支计入综合单价。</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b.</w:t>
      </w:r>
      <w:r>
        <w:rPr>
          <w:rFonts w:hint="eastAsia" w:ascii="宋体" w:hAnsi="宋体" w:eastAsia="宋体" w:cs="宋体"/>
          <w:color w:val="auto"/>
          <w:kern w:val="0"/>
          <w:sz w:val="21"/>
          <w:szCs w:val="21"/>
          <w:lang w:val="zh-CN"/>
        </w:rPr>
        <w:t>施工期间所发生的施工技术措施费和施工组织措施费以一项为单位的施工单位自行测定综合报价，一次性包干，今后不予调整；其他按相应规定执行。</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c.</w:t>
      </w:r>
      <w:r>
        <w:rPr>
          <w:rFonts w:hint="eastAsia" w:ascii="宋体" w:hAnsi="宋体" w:eastAsia="宋体" w:cs="宋体"/>
          <w:color w:val="auto"/>
          <w:kern w:val="0"/>
          <w:sz w:val="21"/>
          <w:szCs w:val="21"/>
          <w:lang w:val="zh-CN"/>
        </w:rPr>
        <w:t>除暂定价材料外，其他材料将采用一次性包干，由各磋商供应商根据市场实际价格，参照市场材料价格信息一次性包干所需考虑的增加费用。</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d.</w:t>
      </w:r>
      <w:r>
        <w:rPr>
          <w:rFonts w:hint="eastAsia" w:ascii="宋体" w:hAnsi="宋体" w:eastAsia="宋体" w:cs="宋体"/>
          <w:color w:val="auto"/>
          <w:kern w:val="0"/>
          <w:sz w:val="21"/>
          <w:szCs w:val="21"/>
          <w:lang w:val="zh-CN"/>
        </w:rPr>
        <w:t>人工、机械等可能存在的政策性调整所需增加的费用；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e.</w:t>
      </w:r>
      <w:r>
        <w:rPr>
          <w:rFonts w:hint="eastAsia" w:ascii="宋体" w:hAnsi="宋体" w:eastAsia="宋体" w:cs="宋体"/>
          <w:color w:val="auto"/>
          <w:kern w:val="0"/>
          <w:sz w:val="21"/>
          <w:szCs w:val="21"/>
          <w:lang w:val="zh-CN"/>
        </w:rPr>
        <w:t>报价中应包括施工图内及按常规理解应包含在此范围内所有材料、人工、机械、管理、利润等政策性文件规定应包括的项目费用而定额子目可能包含不完整的费用。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f.</w:t>
      </w:r>
      <w:r>
        <w:rPr>
          <w:rFonts w:hint="eastAsia" w:ascii="宋体" w:hAnsi="宋体" w:eastAsia="宋体" w:cs="宋体"/>
          <w:color w:val="auto"/>
          <w:kern w:val="0"/>
          <w:sz w:val="21"/>
          <w:szCs w:val="21"/>
          <w:lang w:val="zh-CN"/>
        </w:rPr>
        <w:t>由于城市管理、交通管理及根据本工程现场的实际条件等原因所增加支出的运输增加的费用。</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g.</w:t>
      </w:r>
      <w:r>
        <w:rPr>
          <w:rFonts w:hint="eastAsia" w:ascii="宋体" w:hAnsi="宋体" w:eastAsia="宋体" w:cs="宋体"/>
          <w:color w:val="auto"/>
          <w:kern w:val="0"/>
          <w:sz w:val="21"/>
          <w:szCs w:val="21"/>
          <w:lang w:val="zh-CN"/>
        </w:rPr>
        <w:t>由于停电、停水工期将不予顺延，费用也不予增加。</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h.</w:t>
      </w:r>
      <w:r>
        <w:rPr>
          <w:rFonts w:hint="eastAsia" w:ascii="宋体" w:hAnsi="宋体" w:eastAsia="宋体" w:cs="宋体"/>
          <w:color w:val="auto"/>
          <w:kern w:val="0"/>
          <w:sz w:val="21"/>
          <w:szCs w:val="21"/>
          <w:lang w:val="zh-CN"/>
        </w:rPr>
        <w:t>其他在本标文中没有包含，但实际可能发生及磋商供应商认为应当计列的一切费用，均属包干风险费用应计的内容，今后除本标文规定允许调整的内容按规定调整外，一次性包干。</w:t>
      </w:r>
    </w:p>
    <w:p>
      <w:pPr>
        <w:keepNext w:val="0"/>
        <w:keepLines w:val="0"/>
        <w:pageBreakBefore w:val="0"/>
        <w:numPr>
          <w:ilvl w:val="0"/>
          <w:numId w:val="0"/>
        </w:numPr>
        <w:tabs>
          <w:tab w:val="left" w:pos="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default" w:ascii="宋体" w:hAnsi="宋体" w:eastAsia="宋体" w:cs="宋体"/>
          <w:color w:val="auto"/>
          <w:kern w:val="0"/>
          <w:sz w:val="21"/>
          <w:szCs w:val="21"/>
          <w:lang w:val="zh-CN" w:eastAsia="zh-CN" w:bidi="ar-SA"/>
        </w:rPr>
        <w:t>i.</w:t>
      </w:r>
      <w:r>
        <w:rPr>
          <w:rFonts w:hint="eastAsia" w:ascii="宋体" w:hAnsi="宋体" w:eastAsia="宋体" w:cs="宋体"/>
          <w:color w:val="auto"/>
          <w:kern w:val="0"/>
          <w:sz w:val="21"/>
          <w:szCs w:val="21"/>
          <w:lang w:val="zh-CN"/>
        </w:rPr>
        <w:t>暂定价材料单价或综合单价的由采购人确定准于计取的费用磋商供应商认为不足的或可能发生的其他费用，磋商供应商应予以考虑。暂定价格的材料由采购人确定供应商和单价的，成交供应商无条件接受并予以配合并进行质量验收。暂定价材料价格、采管费及安装损耗由磋商供应商自行测算后计入综合单价。</w:t>
      </w:r>
    </w:p>
    <w:p>
      <w:pPr>
        <w:keepNext w:val="0"/>
        <w:keepLines w:val="0"/>
        <w:pageBreakBefore w:val="0"/>
        <w:numPr>
          <w:ilvl w:val="0"/>
          <w:numId w:val="0"/>
        </w:numPr>
        <w:tabs>
          <w:tab w:val="left" w:pos="64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③</w:t>
      </w:r>
      <w:r>
        <w:rPr>
          <w:rFonts w:hint="eastAsia" w:ascii="宋体" w:hAnsi="宋体" w:eastAsia="宋体" w:cs="宋体"/>
          <w:color w:val="auto"/>
          <w:kern w:val="0"/>
          <w:sz w:val="21"/>
          <w:szCs w:val="21"/>
          <w:lang w:val="zh-CN"/>
        </w:rPr>
        <w:t>磋商供应商的投标单价在合同实施期间不因市场定额、政府文件调整等的变化而变化，今后除暂定价材料按采购人确认的价格调整外，均不予调整（注：审计部门有权对暂定材料价格审查调整）。</w:t>
      </w:r>
    </w:p>
    <w:p>
      <w:pPr>
        <w:keepNext w:val="0"/>
        <w:keepLines w:val="0"/>
        <w:pageBreakBefore w:val="0"/>
        <w:numPr>
          <w:ilvl w:val="0"/>
          <w:numId w:val="0"/>
        </w:numPr>
        <w:tabs>
          <w:tab w:val="left" w:pos="640"/>
        </w:tabs>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eastAsia="zh-CN" w:bidi="ar-SA"/>
        </w:rPr>
        <w:t>④</w:t>
      </w:r>
      <w:r>
        <w:rPr>
          <w:rFonts w:hint="eastAsia" w:ascii="宋体" w:hAnsi="宋体" w:eastAsia="宋体" w:cs="宋体"/>
          <w:color w:val="auto"/>
          <w:kern w:val="0"/>
          <w:sz w:val="21"/>
          <w:szCs w:val="21"/>
          <w:lang w:val="zh-CN"/>
        </w:rPr>
        <w:t>采购人需要更改设计错误，成交供应商无条件接受，不得以此理由提出工期索赔，并按修改后的施工图进行施工和按本磋商文件规定计取费用。</w:t>
      </w:r>
    </w:p>
    <w:p>
      <w:pPr>
        <w:keepNext w:val="0"/>
        <w:keepLines w:val="0"/>
        <w:pageBreakBefore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color w:val="auto"/>
          <w:sz w:val="21"/>
          <w:szCs w:val="21"/>
          <w:lang w:eastAsia="zh-CN"/>
        </w:rPr>
      </w:pPr>
      <w:r>
        <w:rPr>
          <w:rFonts w:hint="eastAsia" w:ascii="宋体" w:hAnsi="宋体" w:eastAsia="宋体" w:cs="宋体"/>
          <w:b/>
          <w:i w:val="0"/>
          <w:color w:val="auto"/>
          <w:kern w:val="2"/>
          <w:sz w:val="21"/>
          <w:szCs w:val="21"/>
          <w:lang w:val="en-US" w:eastAsia="zh-CN" w:bidi="ar-SA"/>
        </w:rPr>
        <w:t>14.</w:t>
      </w:r>
      <w:r>
        <w:rPr>
          <w:rFonts w:hint="eastAsia" w:ascii="宋体" w:hAnsi="宋体" w:eastAsia="宋体" w:cs="宋体"/>
          <w:b/>
          <w:color w:val="auto"/>
          <w:sz w:val="21"/>
          <w:szCs w:val="21"/>
          <w:lang w:eastAsia="zh-CN"/>
        </w:rPr>
        <w:t>磋商响应文件的签署、盖章</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i w:val="0"/>
          <w:color w:val="auto"/>
          <w:kern w:val="2"/>
          <w:sz w:val="21"/>
          <w:szCs w:val="21"/>
          <w:highlight w:val="none"/>
          <w:lang w:val="en-US" w:eastAsia="zh-CN" w:bidi="ar-SA"/>
        </w:rPr>
        <w:t>14.1</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按照</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格式要求进行签署、盖章。</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要求签署、盖章的，其投标无效。</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i w:val="0"/>
          <w:color w:val="auto"/>
          <w:kern w:val="2"/>
          <w:sz w:val="21"/>
          <w:szCs w:val="21"/>
          <w:highlight w:val="none"/>
          <w:lang w:val="en-US" w:eastAsia="zh-CN" w:bidi="ar-SA"/>
        </w:rPr>
        <w:t>14.2</w:t>
      </w:r>
      <w:r>
        <w:rPr>
          <w:rFonts w:hint="eastAsia" w:ascii="宋体" w:hAnsi="宋体" w:eastAsia="宋体" w:cs="宋体"/>
          <w:color w:val="auto"/>
          <w:sz w:val="21"/>
          <w:szCs w:val="21"/>
          <w:highlight w:val="none"/>
        </w:rPr>
        <w:t>为确保网上操作合法、有效和安全，</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应当在投标截止时间前完成在“政府采购云平台”的身份认证，确保在电子投标过程中能够对相关数据电文进行加密和使用电子签名。</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i w:val="0"/>
          <w:color w:val="auto"/>
          <w:kern w:val="2"/>
          <w:sz w:val="21"/>
          <w:szCs w:val="21"/>
          <w:highlight w:val="none"/>
          <w:lang w:val="en-US" w:eastAsia="zh-CN" w:bidi="ar-SA"/>
        </w:rPr>
        <w:t>14.3</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签署、盖章的要求适用于电子签名。</w:t>
      </w:r>
    </w:p>
    <w:p>
      <w:pPr>
        <w:keepNext w:val="0"/>
        <w:keepLines w:val="0"/>
        <w:pageBreakBefore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sz w:val="21"/>
          <w:szCs w:val="21"/>
          <w:lang w:eastAsia="zh-CN"/>
        </w:rPr>
      </w:pPr>
      <w:r>
        <w:rPr>
          <w:rFonts w:hint="eastAsia" w:ascii="宋体" w:hAnsi="宋体" w:eastAsia="宋体" w:cs="宋体"/>
          <w:b/>
          <w:i w:val="0"/>
          <w:kern w:val="2"/>
          <w:sz w:val="21"/>
          <w:szCs w:val="21"/>
          <w:lang w:val="en-US" w:eastAsia="zh-CN" w:bidi="ar-SA"/>
        </w:rPr>
        <w:t>15.</w:t>
      </w:r>
      <w:r>
        <w:rPr>
          <w:rFonts w:hint="eastAsia" w:ascii="宋体" w:hAnsi="宋体" w:eastAsia="宋体" w:cs="宋体"/>
          <w:b/>
          <w:sz w:val="21"/>
          <w:szCs w:val="21"/>
          <w:lang w:eastAsia="zh-CN"/>
        </w:rPr>
        <w:t>磋商响应文件的提交、补充、修改、撤回</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15.1</w:t>
      </w:r>
      <w:r>
        <w:rPr>
          <w:rFonts w:hint="eastAsia" w:ascii="宋体" w:hAnsi="宋体" w:eastAsia="宋体" w:cs="宋体"/>
          <w:color w:val="auto"/>
          <w:sz w:val="21"/>
          <w:szCs w:val="21"/>
        </w:rPr>
        <w:t>供应商应当在投标截止时间前完成</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的传输递交，并可以补充、修改或者撤回</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。补充或者修改</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的，应当先行撤回原文件，补充、修改后重新传输递交。投标截止时间前未完成传输的，视为撤回</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。投标截止时间后递交的</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，电子交易平台将拒收。</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15.2</w:t>
      </w:r>
      <w:r>
        <w:rPr>
          <w:rFonts w:hint="eastAsia" w:ascii="宋体" w:hAnsi="宋体" w:eastAsia="宋体" w:cs="宋体"/>
          <w:color w:val="auto"/>
          <w:sz w:val="21"/>
          <w:szCs w:val="21"/>
        </w:rPr>
        <w:t>电子交易平台收到</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，将妥善保存并即时向供应商发出确认回执通知。在投标截止时间前，除供应商补充、修改或者撤回</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外，任何单位和个人不得解密或提取</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15.3</w:t>
      </w:r>
      <w:r>
        <w:rPr>
          <w:rFonts w:hint="eastAsia" w:ascii="宋体" w:hAnsi="宋体" w:eastAsia="宋体" w:cs="宋体"/>
          <w:color w:val="auto"/>
          <w:sz w:val="21"/>
          <w:szCs w:val="21"/>
        </w:rPr>
        <w:t>采购人、</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可以视情况延长</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提交的截止时间。在上述情况下，</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与</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以前在投标截止期方面的全部权利、责任和义务，将适用于延长至新的投标截止期。</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15.4</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应承担其参加投标所涉及的一切费用，不管投标结果如何，采购人对这些费用不负任何责任。</w:t>
      </w:r>
    </w:p>
    <w:p>
      <w:pPr>
        <w:pStyle w:val="39"/>
        <w:spacing w:before="0"/>
        <w:ind w:firstLine="480"/>
        <w:rPr>
          <w:rFonts w:hint="eastAsia"/>
          <w:highlight w:val="none"/>
        </w:rPr>
      </w:pPr>
      <w:r>
        <w:rPr>
          <w:rFonts w:hint="eastAsia" w:ascii="宋体" w:hAnsi="宋体" w:eastAsia="宋体" w:cs="宋体"/>
          <w:b w:val="0"/>
          <w:bCs w:val="0"/>
          <w:sz w:val="21"/>
          <w:szCs w:val="21"/>
          <w:highlight w:val="none"/>
          <w:lang w:val="en-US" w:eastAsia="zh-CN"/>
        </w:rPr>
        <w:t>15.5</w:t>
      </w:r>
      <w:r>
        <w:rPr>
          <w:rFonts w:hint="eastAsia" w:ascii="宋体" w:hAnsi="宋体" w:eastAsia="宋体" w:cs="宋体"/>
          <w:b w:val="0"/>
          <w:bCs w:val="0"/>
          <w:color w:val="auto"/>
          <w:sz w:val="21"/>
          <w:szCs w:val="21"/>
          <w:highlight w:val="none"/>
        </w:rPr>
        <w:t>成交后，成交供应商</w:t>
      </w:r>
      <w:r>
        <w:rPr>
          <w:rFonts w:hint="eastAsia" w:ascii="宋体" w:hAnsi="宋体" w:eastAsia="宋体" w:cs="宋体"/>
          <w:b w:val="0"/>
          <w:bCs w:val="0"/>
          <w:color w:val="auto"/>
          <w:sz w:val="21"/>
          <w:szCs w:val="21"/>
          <w:highlight w:val="none"/>
          <w:lang w:val="en-US" w:eastAsia="zh-CN"/>
        </w:rPr>
        <w:t>在领取成交通知书时</w:t>
      </w:r>
      <w:r>
        <w:rPr>
          <w:rFonts w:hint="eastAsia" w:ascii="宋体" w:hAnsi="宋体" w:eastAsia="宋体" w:cs="宋体"/>
          <w:b w:val="0"/>
          <w:bCs w:val="0"/>
          <w:color w:val="auto"/>
          <w:sz w:val="21"/>
          <w:szCs w:val="21"/>
          <w:highlight w:val="none"/>
        </w:rPr>
        <w:t>需提供纸质响应文件一式肆份。另提供第二轮报价明细表并加盖公章，一式肆份。</w:t>
      </w:r>
    </w:p>
    <w:p>
      <w:pPr>
        <w:keepNext w:val="0"/>
        <w:keepLines w:val="0"/>
        <w:pageBreakBefore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sz w:val="21"/>
          <w:szCs w:val="21"/>
          <w:lang w:eastAsia="zh-CN"/>
        </w:rPr>
      </w:pPr>
      <w:r>
        <w:rPr>
          <w:rFonts w:hint="eastAsia" w:ascii="宋体" w:hAnsi="宋体" w:eastAsia="宋体" w:cs="宋体"/>
          <w:b/>
          <w:i w:val="0"/>
          <w:kern w:val="2"/>
          <w:sz w:val="21"/>
          <w:szCs w:val="21"/>
          <w:lang w:val="en-US" w:eastAsia="zh-CN" w:bidi="ar-SA"/>
        </w:rPr>
        <w:t>16.</w:t>
      </w:r>
      <w:r>
        <w:rPr>
          <w:rFonts w:hint="eastAsia" w:ascii="宋体" w:hAnsi="宋体" w:eastAsia="宋体" w:cs="宋体"/>
          <w:b/>
          <w:sz w:val="21"/>
          <w:szCs w:val="21"/>
          <w:lang w:eastAsia="zh-CN"/>
        </w:rPr>
        <w:t>磋商响应文件的无效处理</w:t>
      </w:r>
    </w:p>
    <w:p>
      <w:pPr>
        <w:keepNext w:val="0"/>
        <w:keepLines w:val="0"/>
        <w:pageBreakBefore w:val="0"/>
        <w:kinsoku/>
        <w:wordWrap/>
        <w:overflowPunct/>
        <w:topLinePunct w:val="0"/>
        <w:autoSpaceDE/>
        <w:autoSpaceDN/>
        <w:bidi w:val="0"/>
        <w:spacing w:beforeAutospacing="0" w:line="336" w:lineRule="auto"/>
        <w:ind w:left="0" w:lef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属于</w:t>
      </w:r>
      <w:r>
        <w:rPr>
          <w:rFonts w:hint="eastAsia" w:ascii="宋体" w:hAnsi="宋体" w:eastAsia="宋体" w:cs="宋体"/>
          <w:color w:val="auto"/>
          <w:sz w:val="21"/>
          <w:szCs w:val="21"/>
          <w:highlight w:val="none"/>
          <w:lang w:eastAsia="zh-CN"/>
        </w:rPr>
        <w:t>磋商文件无效标</w:t>
      </w:r>
      <w:r>
        <w:rPr>
          <w:rFonts w:hint="eastAsia" w:ascii="宋体" w:hAnsi="宋体" w:eastAsia="宋体" w:cs="宋体"/>
          <w:color w:val="auto"/>
          <w:sz w:val="21"/>
          <w:szCs w:val="21"/>
          <w:highlight w:val="none"/>
        </w:rPr>
        <w:t>规定的情形的</w:t>
      </w:r>
      <w:r>
        <w:rPr>
          <w:rFonts w:hint="eastAsia" w:ascii="宋体" w:hAnsi="宋体" w:eastAsia="宋体" w:cs="宋体"/>
          <w:color w:val="auto"/>
          <w:sz w:val="21"/>
          <w:szCs w:val="21"/>
        </w:rPr>
        <w:t>，投标无效</w:t>
      </w:r>
      <w:r>
        <w:rPr>
          <w:rFonts w:hint="eastAsia" w:ascii="宋体" w:hAnsi="宋体" w:eastAsia="宋体" w:cs="宋体"/>
          <w:color w:val="auto"/>
          <w:sz w:val="21"/>
          <w:szCs w:val="21"/>
          <w:lang w:eastAsia="zh-CN"/>
        </w:rPr>
        <w:t>。</w:t>
      </w:r>
    </w:p>
    <w:p>
      <w:pPr>
        <w:keepNext w:val="0"/>
        <w:keepLines w:val="0"/>
        <w:pageBreakBefore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sz w:val="21"/>
          <w:szCs w:val="21"/>
          <w:lang w:eastAsia="zh-CN"/>
        </w:rPr>
      </w:pPr>
      <w:r>
        <w:rPr>
          <w:rFonts w:hint="eastAsia" w:ascii="宋体" w:hAnsi="宋体" w:eastAsia="宋体" w:cs="宋体"/>
          <w:b/>
          <w:i w:val="0"/>
          <w:kern w:val="2"/>
          <w:sz w:val="21"/>
          <w:szCs w:val="21"/>
          <w:lang w:val="en-US" w:eastAsia="zh-CN" w:bidi="ar-SA"/>
        </w:rPr>
        <w:t>17.</w:t>
      </w:r>
      <w:r>
        <w:rPr>
          <w:rFonts w:hint="eastAsia" w:ascii="宋体" w:hAnsi="宋体" w:eastAsia="宋体" w:cs="宋体"/>
          <w:b/>
          <w:sz w:val="21"/>
          <w:szCs w:val="21"/>
          <w:lang w:eastAsia="zh-CN"/>
        </w:rPr>
        <w:t>投标有效期</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17.1</w:t>
      </w:r>
      <w:r>
        <w:rPr>
          <w:rFonts w:hint="eastAsia" w:ascii="宋体" w:hAnsi="宋体" w:eastAsia="宋体" w:cs="宋体"/>
          <w:color w:val="auto"/>
          <w:sz w:val="21"/>
          <w:szCs w:val="21"/>
        </w:rPr>
        <w:t>投标有效期为从提交</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的截止之日起</w:t>
      </w:r>
      <w:r>
        <w:rPr>
          <w:rFonts w:hint="eastAsia" w:ascii="宋体" w:hAnsi="宋体" w:eastAsia="宋体" w:cs="宋体"/>
          <w:color w:val="auto"/>
          <w:sz w:val="21"/>
          <w:szCs w:val="21"/>
          <w:lang w:val="en-US" w:eastAsia="zh-CN"/>
        </w:rPr>
        <w:t>90</w:t>
      </w:r>
      <w:r>
        <w:rPr>
          <w:rFonts w:hint="eastAsia" w:ascii="宋体" w:hAnsi="宋体" w:eastAsia="宋体" w:cs="宋体"/>
          <w:color w:val="auto"/>
          <w:sz w:val="21"/>
          <w:szCs w:val="21"/>
        </w:rPr>
        <w:t>天。</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的</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中承诺的投标有效期少于</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中载明的投标有效期的，投标无效。</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17.2</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合格投递后，自投标截止日期起，在投标有效期内有效。</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val="0"/>
          <w:bCs/>
          <w:i w:val="0"/>
          <w:color w:val="auto"/>
          <w:kern w:val="2"/>
          <w:sz w:val="21"/>
          <w:szCs w:val="21"/>
          <w:lang w:val="en-US" w:eastAsia="zh-CN" w:bidi="ar-SA"/>
        </w:rPr>
        <w:t>17.3</w:t>
      </w:r>
      <w:r>
        <w:rPr>
          <w:rFonts w:hint="eastAsia" w:ascii="宋体" w:hAnsi="宋体" w:eastAsia="宋体" w:cs="宋体"/>
          <w:color w:val="auto"/>
          <w:sz w:val="21"/>
          <w:szCs w:val="21"/>
        </w:rPr>
        <w:t>在原定投标有效期满之前，如果出现特殊情况，</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可以以书面形式通知</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延长投标有效期。</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同意延长的，不得要求或被允许修改其</w:t>
      </w:r>
      <w:r>
        <w:rPr>
          <w:rFonts w:hint="eastAsia" w:ascii="宋体" w:hAnsi="宋体" w:eastAsia="宋体" w:cs="宋体"/>
          <w:b/>
          <w:bCs/>
          <w:color w:val="auto"/>
          <w:sz w:val="21"/>
          <w:szCs w:val="21"/>
          <w:lang w:eastAsia="zh-CN"/>
        </w:rPr>
        <w:t>磋商响应文件</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拒绝延长的，其投标无效。</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val="0"/>
          <w:bCs/>
          <w:i w:val="0"/>
          <w:color w:val="auto"/>
          <w:kern w:val="2"/>
          <w:sz w:val="21"/>
          <w:szCs w:val="21"/>
          <w:lang w:val="en-US" w:eastAsia="zh-CN" w:bidi="ar-SA"/>
        </w:rPr>
        <w:t>17.4</w:t>
      </w:r>
      <w:r>
        <w:rPr>
          <w:rFonts w:hint="eastAsia" w:ascii="宋体" w:hAnsi="宋体" w:eastAsia="宋体" w:cs="宋体"/>
          <w:b/>
          <w:bCs/>
          <w:color w:val="auto"/>
          <w:sz w:val="21"/>
          <w:szCs w:val="21"/>
          <w:lang w:val="en-US" w:eastAsia="zh-CN"/>
        </w:rPr>
        <w:t>本政府采购项目不允许转包。</w:t>
      </w:r>
    </w:p>
    <w:p>
      <w:pPr>
        <w:keepNext w:val="0"/>
        <w:keepLines w:val="0"/>
        <w:pageBreakBefore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color w:val="auto"/>
          <w:sz w:val="21"/>
          <w:szCs w:val="21"/>
          <w:lang w:val="en-US" w:eastAsia="zh-CN"/>
        </w:rPr>
      </w:pPr>
      <w:r>
        <w:rPr>
          <w:rFonts w:hint="eastAsia" w:ascii="宋体" w:hAnsi="宋体" w:eastAsia="宋体" w:cs="宋体"/>
          <w:b/>
          <w:i w:val="0"/>
          <w:color w:val="auto"/>
          <w:kern w:val="2"/>
          <w:sz w:val="21"/>
          <w:szCs w:val="21"/>
          <w:lang w:val="en-US" w:eastAsia="zh-CN" w:bidi="ar-SA"/>
        </w:rPr>
        <w:t>18.</w:t>
      </w:r>
      <w:r>
        <w:rPr>
          <w:rFonts w:hint="eastAsia" w:ascii="宋体" w:hAnsi="宋体" w:eastAsia="宋体" w:cs="宋体"/>
          <w:b/>
          <w:color w:val="auto"/>
          <w:sz w:val="21"/>
          <w:szCs w:val="21"/>
          <w:lang w:val="en-US" w:eastAsia="zh-CN"/>
        </w:rPr>
        <w:t>备份磋商响应文件</w:t>
      </w:r>
    </w:p>
    <w:p>
      <w:pPr>
        <w:keepNext w:val="0"/>
        <w:keepLines w:val="0"/>
        <w:pageBreakBefore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18.1</w:t>
      </w:r>
      <w:r>
        <w:rPr>
          <w:rFonts w:hint="eastAsia" w:ascii="宋体" w:hAnsi="宋体" w:eastAsia="宋体" w:cs="宋体"/>
          <w:color w:val="auto"/>
          <w:sz w:val="21"/>
          <w:szCs w:val="21"/>
        </w:rPr>
        <w:t>供应商准备“电子加密响应文件”在线上传递交一份。供应商应按政采云平台供应商项目采购-电子招投标操作指南及本磋商文件要求制作。“备份响应文件”：投标截止时间前以压缩文件形式加密发送至采购代理机构邮箱，并在接到在线解密通知后30分钟内发送压缩文件密码至采购代理机构邮箱（邮箱号码：</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"mailto:441389513@qq.com）。" </w:instrText>
      </w:r>
      <w:r>
        <w:rPr>
          <w:rFonts w:hint="eastAsia" w:ascii="宋体" w:hAnsi="宋体" w:eastAsia="宋体" w:cs="宋体"/>
          <w:color w:val="auto"/>
          <w:sz w:val="21"/>
          <w:szCs w:val="21"/>
        </w:rPr>
        <w:fldChar w:fldCharType="separate"/>
      </w:r>
      <w:r>
        <w:rPr>
          <w:rStyle w:val="28"/>
          <w:rFonts w:hint="eastAsia" w:ascii="宋体" w:hAnsi="宋体" w:cs="宋体"/>
          <w:color w:val="auto"/>
          <w:sz w:val="21"/>
          <w:szCs w:val="21"/>
          <w:highlight w:val="none"/>
          <w:lang w:val="en-US" w:eastAsia="zh-CN"/>
        </w:rPr>
        <w:t>278309160</w:t>
      </w:r>
      <w:r>
        <w:rPr>
          <w:rStyle w:val="28"/>
          <w:rFonts w:hint="eastAsia" w:ascii="宋体" w:hAnsi="宋体" w:cs="宋体"/>
          <w:color w:val="auto"/>
          <w:sz w:val="21"/>
          <w:szCs w:val="21"/>
          <w:lang w:val="en-US" w:eastAsia="zh-CN"/>
        </w:rPr>
        <w:t>@qq.com</w:t>
      </w:r>
      <w:r>
        <w:rPr>
          <w:rStyle w:val="28"/>
          <w:rFonts w:hint="eastAsia" w:ascii="宋体" w:hAnsi="宋体" w:eastAsia="宋体" w:cs="宋体"/>
          <w:color w:val="auto"/>
          <w:sz w:val="21"/>
          <w:szCs w:val="21"/>
        </w:rPr>
        <w:t>）。</w:t>
      </w:r>
      <w:r>
        <w:rPr>
          <w:rFonts w:hint="eastAsia" w:ascii="宋体" w:hAnsi="宋体" w:eastAsia="宋体" w:cs="宋体"/>
          <w:color w:val="auto"/>
          <w:sz w:val="21"/>
          <w:szCs w:val="21"/>
        </w:rPr>
        <w:fldChar w:fldCharType="end"/>
      </w:r>
    </w:p>
    <w:p>
      <w:pPr>
        <w:keepNext w:val="0"/>
        <w:keepLines w:val="0"/>
        <w:pageBreakBefore w:val="0"/>
        <w:kinsoku/>
        <w:wordWrap/>
        <w:overflowPunct/>
        <w:topLinePunct w:val="0"/>
        <w:bidi w:val="0"/>
        <w:snapToGrid w:val="0"/>
        <w:spacing w:beforeAutospacing="0"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.2</w:t>
      </w:r>
      <w:r>
        <w:rPr>
          <w:rFonts w:ascii="宋体" w:hAnsi="宋体" w:cs="宋体"/>
          <w:color w:val="auto"/>
          <w:szCs w:val="21"/>
          <w:highlight w:val="none"/>
          <w:lang w:val="zh-CN"/>
        </w:rPr>
        <w:t>“备份</w:t>
      </w:r>
      <w:r>
        <w:rPr>
          <w:rFonts w:ascii="宋体" w:hAnsi="宋体" w:cs="宋体"/>
          <w:color w:val="auto"/>
          <w:szCs w:val="21"/>
          <w:highlight w:val="none"/>
        </w:rPr>
        <w:t>响应文件</w:t>
      </w:r>
      <w:r>
        <w:rPr>
          <w:rFonts w:ascii="宋体" w:hAnsi="宋体" w:cs="宋体"/>
          <w:color w:val="auto"/>
          <w:szCs w:val="21"/>
          <w:highlight w:val="none"/>
          <w:lang w:val="zh-CN"/>
        </w:rPr>
        <w:t>”是指与“电子加密</w:t>
      </w:r>
      <w:r>
        <w:rPr>
          <w:rFonts w:ascii="宋体" w:hAnsi="宋体" w:cs="宋体"/>
          <w:color w:val="auto"/>
          <w:szCs w:val="21"/>
          <w:highlight w:val="none"/>
        </w:rPr>
        <w:t>响应文件</w:t>
      </w:r>
      <w:r>
        <w:rPr>
          <w:rFonts w:ascii="宋体" w:hAnsi="宋体" w:cs="宋体"/>
          <w:color w:val="auto"/>
          <w:szCs w:val="21"/>
          <w:highlight w:val="none"/>
          <w:lang w:val="zh-CN"/>
        </w:rPr>
        <w:t>”同时生成的数据电文形式的电子文件（备份标书），其他方式编制的备份</w:t>
      </w:r>
      <w:r>
        <w:rPr>
          <w:rFonts w:ascii="宋体" w:hAnsi="宋体" w:cs="宋体"/>
          <w:color w:val="auto"/>
          <w:szCs w:val="21"/>
          <w:highlight w:val="none"/>
        </w:rPr>
        <w:t>响应文件</w:t>
      </w:r>
      <w:r>
        <w:rPr>
          <w:rFonts w:ascii="宋体" w:hAnsi="宋体" w:cs="宋体"/>
          <w:color w:val="auto"/>
          <w:szCs w:val="21"/>
          <w:highlight w:val="none"/>
          <w:lang w:val="zh-CN"/>
        </w:rPr>
        <w:t>视为无效备份</w:t>
      </w:r>
      <w:r>
        <w:rPr>
          <w:rFonts w:ascii="宋体" w:hAnsi="宋体" w:cs="宋体"/>
          <w:color w:val="auto"/>
          <w:szCs w:val="21"/>
          <w:highlight w:val="none"/>
        </w:rPr>
        <w:t>响应文件</w:t>
      </w:r>
      <w:r>
        <w:rPr>
          <w:rFonts w:ascii="宋体" w:hAnsi="宋体" w:cs="宋体"/>
          <w:color w:val="auto"/>
          <w:szCs w:val="21"/>
          <w:highlight w:val="none"/>
          <w:lang w:val="zh-CN"/>
        </w:rPr>
        <w:t>。</w:t>
      </w:r>
      <w:r>
        <w:rPr>
          <w:rFonts w:ascii="宋体" w:hAnsi="宋体" w:cs="宋体"/>
          <w:b/>
          <w:bCs/>
          <w:color w:val="auto"/>
          <w:szCs w:val="21"/>
          <w:highlight w:val="none"/>
          <w:u w:val="wave"/>
          <w:lang w:val="zh-CN"/>
        </w:rPr>
        <w:t>“备份</w:t>
      </w:r>
      <w:r>
        <w:rPr>
          <w:rFonts w:ascii="宋体" w:hAnsi="宋体" w:cs="宋体"/>
          <w:b/>
          <w:bCs/>
          <w:color w:val="auto"/>
          <w:szCs w:val="21"/>
          <w:highlight w:val="none"/>
          <w:u w:val="wave"/>
        </w:rPr>
        <w:t>响应文件</w:t>
      </w:r>
      <w:r>
        <w:rPr>
          <w:rFonts w:ascii="宋体" w:hAnsi="宋体" w:cs="宋体"/>
          <w:b/>
          <w:bCs/>
          <w:color w:val="auto"/>
          <w:szCs w:val="21"/>
          <w:highlight w:val="none"/>
          <w:u w:val="wave"/>
          <w:lang w:val="zh-CN"/>
        </w:rPr>
        <w:t>”</w:t>
      </w:r>
      <w:r>
        <w:rPr>
          <w:rFonts w:ascii="宋体" w:hAnsi="宋体" w:cs="宋体"/>
          <w:b/>
          <w:bCs/>
          <w:color w:val="auto"/>
          <w:szCs w:val="21"/>
          <w:highlight w:val="none"/>
          <w:u w:val="wave"/>
        </w:rPr>
        <w:t>文件格式为（.bfbs）。</w:t>
      </w:r>
    </w:p>
    <w:p>
      <w:pPr>
        <w:keepNext w:val="0"/>
        <w:keepLines w:val="0"/>
        <w:pageBreakBefore w:val="0"/>
        <w:kinsoku/>
        <w:wordWrap/>
        <w:overflowPunct/>
        <w:topLinePunct w:val="0"/>
        <w:bidi w:val="0"/>
        <w:snapToGrid w:val="0"/>
        <w:spacing w:beforeAutospacing="0" w:line="400" w:lineRule="exact"/>
        <w:ind w:firstLine="422" w:firstLineChars="200"/>
        <w:textAlignment w:val="auto"/>
        <w:rPr>
          <w:rFonts w:ascii="宋体" w:hAnsi="宋体" w:cs="宋体"/>
          <w:color w:val="auto"/>
          <w:szCs w:val="21"/>
          <w:highlight w:val="none"/>
        </w:rPr>
      </w:pPr>
      <w:r>
        <w:rPr>
          <w:rFonts w:hint="eastAsia" w:ascii="宋体" w:hAnsi="宋体" w:cs="宋体"/>
          <w:b/>
          <w:bCs/>
          <w:color w:val="auto"/>
          <w:szCs w:val="21"/>
          <w:highlight w:val="none"/>
        </w:rPr>
        <w:t>1</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.3</w:t>
      </w:r>
      <w:r>
        <w:rPr>
          <w:rFonts w:ascii="宋体" w:hAnsi="宋体" w:cs="宋体"/>
          <w:b/>
          <w:bCs/>
          <w:color w:val="auto"/>
          <w:szCs w:val="21"/>
          <w:highlight w:val="none"/>
        </w:rPr>
        <w:t>如供应商多次发送邮件，以最近时间收到的备份响应文件为准。</w:t>
      </w:r>
    </w:p>
    <w:p>
      <w:pPr>
        <w:pStyle w:val="3"/>
        <w:rPr>
          <w:rFonts w:hint="eastAsia"/>
        </w:rPr>
      </w:pPr>
    </w:p>
    <w:p>
      <w:pPr>
        <w:adjustRightInd/>
        <w:spacing w:line="360" w:lineRule="auto"/>
        <w:jc w:val="center"/>
        <w:outlineLvl w:val="0"/>
        <w:rPr>
          <w:rFonts w:hint="eastAsia" w:ascii="宋体" w:hAnsi="宋体" w:eastAsia="宋体" w:cs="宋体"/>
          <w:b/>
          <w:sz w:val="32"/>
          <w:szCs w:val="20"/>
        </w:rPr>
      </w:pPr>
      <w:bookmarkStart w:id="27" w:name="_Toc21441"/>
      <w:r>
        <w:rPr>
          <w:rFonts w:hint="eastAsia" w:ascii="宋体" w:hAnsi="宋体" w:eastAsia="宋体" w:cs="宋体"/>
          <w:b/>
          <w:sz w:val="32"/>
          <w:szCs w:val="20"/>
        </w:rPr>
        <w:t>四、开标、资格审查与信用信息查询</w:t>
      </w:r>
      <w:bookmarkEnd w:id="27"/>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19.</w:t>
      </w:r>
      <w:r>
        <w:rPr>
          <w:rFonts w:hint="eastAsia" w:ascii="宋体" w:hAnsi="宋体" w:eastAsia="宋体" w:cs="宋体"/>
          <w:b/>
          <w:sz w:val="21"/>
          <w:szCs w:val="21"/>
          <w:lang w:val="en-US" w:eastAsia="zh-CN"/>
        </w:rPr>
        <w:t xml:space="preserve">开标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19.1</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按照</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规定的时间通过电子交易平台组织开标，所有</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均应当准时在线参加。</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不足3家的，不得开标。</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19.2</w:t>
      </w:r>
      <w:r>
        <w:rPr>
          <w:rFonts w:hint="eastAsia" w:ascii="宋体" w:hAnsi="宋体" w:eastAsia="宋体" w:cs="宋体"/>
          <w:color w:val="auto"/>
          <w:sz w:val="21"/>
          <w:szCs w:val="21"/>
        </w:rPr>
        <w:t>开标时，电子交易平台按开标时间自动提取所有</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依托电子交易平台发起开始解密指令，</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按照平台提示和</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的规定</w:t>
      </w:r>
      <w:r>
        <w:rPr>
          <w:rFonts w:hint="eastAsia" w:ascii="宋体" w:hAnsi="宋体" w:eastAsia="宋体" w:cs="宋体"/>
          <w:color w:val="auto"/>
          <w:sz w:val="21"/>
          <w:szCs w:val="21"/>
          <w:lang w:eastAsia="zh-CN"/>
        </w:rPr>
        <w:t>时间内</w:t>
      </w:r>
      <w:r>
        <w:rPr>
          <w:rFonts w:hint="eastAsia" w:ascii="宋体" w:hAnsi="宋体" w:eastAsia="宋体" w:cs="宋体"/>
          <w:color w:val="auto"/>
          <w:sz w:val="21"/>
          <w:szCs w:val="21"/>
        </w:rPr>
        <w:t>完成在线解密。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19.3</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未按时解密，视为</w:t>
      </w:r>
      <w:r>
        <w:rPr>
          <w:rFonts w:hint="eastAsia" w:ascii="宋体" w:hAnsi="宋体" w:eastAsia="宋体" w:cs="宋体"/>
          <w:color w:val="auto"/>
          <w:sz w:val="21"/>
          <w:szCs w:val="21"/>
          <w:lang w:eastAsia="zh-CN"/>
        </w:rPr>
        <w:t>磋商响应文件</w:t>
      </w:r>
      <w:r>
        <w:rPr>
          <w:rFonts w:hint="eastAsia" w:ascii="宋体" w:hAnsi="宋体" w:eastAsia="宋体" w:cs="宋体"/>
          <w:color w:val="auto"/>
          <w:sz w:val="21"/>
          <w:szCs w:val="21"/>
        </w:rPr>
        <w:t>撤回。</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i w:val="0"/>
          <w:color w:val="auto"/>
          <w:kern w:val="2"/>
          <w:sz w:val="21"/>
          <w:szCs w:val="21"/>
          <w:highlight w:val="none"/>
          <w:lang w:val="en-US" w:eastAsia="zh-CN" w:bidi="ar-SA"/>
        </w:rPr>
        <w:t>19.4</w:t>
      </w:r>
      <w:r>
        <w:rPr>
          <w:rFonts w:hint="eastAsia" w:ascii="宋体" w:hAnsi="宋体" w:eastAsia="宋体" w:cs="宋体"/>
          <w:b/>
          <w:bCs/>
          <w:color w:val="auto"/>
          <w:sz w:val="21"/>
          <w:szCs w:val="21"/>
          <w:highlight w:val="none"/>
          <w:lang w:val="en-US" w:eastAsia="zh-CN"/>
        </w:rPr>
        <w:t>开启磋商响应文件后，</w:t>
      </w:r>
      <w:r>
        <w:rPr>
          <w:rFonts w:hint="eastAsia" w:ascii="宋体" w:hAnsi="宋体" w:eastAsia="宋体" w:cs="宋体"/>
          <w:b/>
          <w:bCs/>
          <w:color w:val="auto"/>
          <w:sz w:val="21"/>
          <w:szCs w:val="21"/>
          <w:highlight w:val="none"/>
        </w:rPr>
        <w:t>各供应商签署《政府采购活动现场确认声明书》，并在15分钟内以扫描件方式发送至代理机构邮箱：</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278309160</w:t>
      </w:r>
      <w:r>
        <w:rPr>
          <w:rFonts w:hint="eastAsia" w:ascii="宋体" w:hAnsi="宋体" w:eastAsia="宋体" w:cs="宋体"/>
          <w:b/>
          <w:bCs/>
          <w:color w:val="auto"/>
          <w:sz w:val="21"/>
          <w:szCs w:val="21"/>
          <w:highlight w:val="none"/>
          <w:lang w:val="en-US" w:eastAsia="zh-CN"/>
        </w:rPr>
        <w:t xml:space="preserve">@QQ.com）。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20.</w:t>
      </w:r>
      <w:r>
        <w:rPr>
          <w:rFonts w:hint="eastAsia" w:ascii="宋体" w:hAnsi="宋体" w:eastAsia="宋体" w:cs="宋体"/>
          <w:b/>
          <w:sz w:val="21"/>
          <w:szCs w:val="21"/>
          <w:lang w:val="en-US" w:eastAsia="zh-CN"/>
        </w:rPr>
        <w:t>资格审查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20.1</w:t>
      </w:r>
      <w:r>
        <w:rPr>
          <w:rFonts w:hint="eastAsia" w:ascii="宋体" w:hAnsi="宋体" w:eastAsia="宋体" w:cs="宋体"/>
          <w:color w:val="auto"/>
          <w:sz w:val="21"/>
          <w:szCs w:val="21"/>
        </w:rPr>
        <w:t>采购人或</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将依据法律法规和</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的规定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的资格进行审查。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val="0"/>
          <w:bCs/>
          <w:i w:val="0"/>
          <w:color w:val="auto"/>
          <w:kern w:val="2"/>
          <w:sz w:val="21"/>
          <w:szCs w:val="21"/>
          <w:lang w:val="en-US" w:eastAsia="zh-CN" w:bidi="ar-SA"/>
        </w:rPr>
        <w:t>20.2</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未按照</w:t>
      </w:r>
      <w:r>
        <w:rPr>
          <w:rFonts w:hint="eastAsia" w:ascii="宋体" w:hAnsi="宋体" w:eastAsia="宋体" w:cs="宋体"/>
          <w:b/>
          <w:bCs/>
          <w:color w:val="auto"/>
          <w:sz w:val="21"/>
          <w:szCs w:val="21"/>
          <w:lang w:eastAsia="zh-CN"/>
        </w:rPr>
        <w:t>磋商文件</w:t>
      </w:r>
      <w:r>
        <w:rPr>
          <w:rFonts w:hint="eastAsia" w:ascii="宋体" w:hAnsi="宋体" w:eastAsia="宋体" w:cs="宋体"/>
          <w:b/>
          <w:bCs/>
          <w:color w:val="auto"/>
          <w:sz w:val="21"/>
          <w:szCs w:val="21"/>
        </w:rPr>
        <w:t>要求提供与资格条件相应的有效资格证明材料的，视为</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不具备</w:t>
      </w:r>
      <w:r>
        <w:rPr>
          <w:rFonts w:hint="eastAsia" w:ascii="宋体" w:hAnsi="宋体" w:eastAsia="宋体" w:cs="宋体"/>
          <w:b/>
          <w:bCs/>
          <w:color w:val="auto"/>
          <w:sz w:val="21"/>
          <w:szCs w:val="21"/>
          <w:lang w:eastAsia="zh-CN"/>
        </w:rPr>
        <w:t>磋商文件</w:t>
      </w:r>
      <w:r>
        <w:rPr>
          <w:rFonts w:hint="eastAsia" w:ascii="宋体" w:hAnsi="宋体" w:eastAsia="宋体" w:cs="宋体"/>
          <w:b/>
          <w:bCs/>
          <w:color w:val="auto"/>
          <w:sz w:val="21"/>
          <w:szCs w:val="21"/>
        </w:rPr>
        <w:t>中规定的资格要求，其投标无效。</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20.3</w:t>
      </w:r>
      <w:r>
        <w:rPr>
          <w:rFonts w:hint="eastAsia" w:ascii="宋体" w:hAnsi="宋体" w:eastAsia="宋体" w:cs="宋体"/>
          <w:color w:val="auto"/>
          <w:sz w:val="21"/>
          <w:szCs w:val="21"/>
        </w:rPr>
        <w:t>对未通过资格审查的</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，采购人或</w:t>
      </w:r>
      <w:r>
        <w:rPr>
          <w:rFonts w:hint="eastAsia" w:ascii="宋体" w:hAnsi="宋体" w:eastAsia="宋体" w:cs="宋体"/>
          <w:color w:val="auto"/>
          <w:sz w:val="21"/>
          <w:szCs w:val="21"/>
          <w:lang w:eastAsia="zh-CN"/>
        </w:rPr>
        <w:t>采购代理机构</w:t>
      </w:r>
      <w:r>
        <w:rPr>
          <w:rFonts w:hint="eastAsia" w:ascii="宋体" w:hAnsi="宋体" w:eastAsia="宋体" w:cs="宋体"/>
          <w:color w:val="auto"/>
          <w:sz w:val="21"/>
          <w:szCs w:val="21"/>
        </w:rPr>
        <w:t>告知其未通过的原因。</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20.4</w:t>
      </w:r>
      <w:r>
        <w:rPr>
          <w:rFonts w:hint="eastAsia" w:ascii="宋体" w:hAnsi="宋体" w:eastAsia="宋体" w:cs="宋体"/>
          <w:color w:val="auto"/>
          <w:sz w:val="21"/>
          <w:szCs w:val="21"/>
        </w:rPr>
        <w:t>合格</w:t>
      </w:r>
      <w:r>
        <w:rPr>
          <w:rFonts w:hint="eastAsia" w:ascii="宋体" w:hAnsi="宋体" w:eastAsia="宋体" w:cs="宋体"/>
          <w:color w:val="auto"/>
          <w:sz w:val="21"/>
          <w:szCs w:val="21"/>
          <w:lang w:eastAsia="zh-CN"/>
        </w:rPr>
        <w:t>磋商供应商</w:t>
      </w:r>
      <w:r>
        <w:rPr>
          <w:rFonts w:hint="eastAsia" w:ascii="宋体" w:hAnsi="宋体" w:eastAsia="宋体" w:cs="宋体"/>
          <w:color w:val="auto"/>
          <w:sz w:val="21"/>
          <w:szCs w:val="21"/>
        </w:rPr>
        <w:t>不足3家的，不</w:t>
      </w:r>
      <w:r>
        <w:rPr>
          <w:rFonts w:hint="eastAsia" w:ascii="宋体" w:hAnsi="宋体" w:eastAsia="宋体" w:cs="宋体"/>
          <w:color w:val="auto"/>
          <w:sz w:val="21"/>
          <w:szCs w:val="21"/>
          <w:lang w:val="en-US" w:eastAsia="zh-CN"/>
        </w:rPr>
        <w:t>得</w:t>
      </w:r>
      <w:r>
        <w:rPr>
          <w:rFonts w:hint="eastAsia" w:ascii="宋体" w:hAnsi="宋体" w:eastAsia="宋体" w:cs="宋体"/>
          <w:color w:val="auto"/>
          <w:sz w:val="21"/>
          <w:szCs w:val="21"/>
        </w:rPr>
        <w:t>评标。</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val="0"/>
          <w:bCs/>
          <w:i w:val="0"/>
          <w:color w:val="auto"/>
          <w:kern w:val="2"/>
          <w:sz w:val="21"/>
          <w:szCs w:val="21"/>
          <w:lang w:val="en-US" w:eastAsia="zh-CN" w:bidi="ar-SA"/>
        </w:rPr>
        <w:t>20.5</w:t>
      </w:r>
      <w:r>
        <w:rPr>
          <w:rFonts w:hint="eastAsia" w:ascii="宋体" w:hAnsi="宋体" w:eastAsia="宋体" w:cs="宋体"/>
          <w:b/>
          <w:bCs/>
          <w:color w:val="auto"/>
          <w:sz w:val="21"/>
          <w:szCs w:val="21"/>
        </w:rPr>
        <w:t>▲单位负责人（指法定代表人或者法律、行政法规规定代表单位行使职权的主要负责人）为同一人或者存在直接控股、管理关系的不同</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不得分别参加同一合同项下的采购活动。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rPr>
      </w:pPr>
      <w:r>
        <w:rPr>
          <w:rFonts w:hint="eastAsia" w:ascii="宋体" w:hAnsi="宋体" w:eastAsia="宋体" w:cs="宋体"/>
          <w:b w:val="0"/>
          <w:bCs/>
          <w:i w:val="0"/>
          <w:color w:val="auto"/>
          <w:kern w:val="2"/>
          <w:sz w:val="21"/>
          <w:szCs w:val="21"/>
          <w:lang w:val="en-US" w:eastAsia="zh-CN" w:bidi="ar-SA"/>
        </w:rPr>
        <w:t>20.6</w:t>
      </w:r>
      <w:r>
        <w:rPr>
          <w:rFonts w:hint="eastAsia" w:ascii="宋体" w:hAnsi="宋体" w:eastAsia="宋体" w:cs="宋体"/>
          <w:b/>
          <w:bCs/>
          <w:color w:val="auto"/>
          <w:sz w:val="21"/>
          <w:szCs w:val="21"/>
        </w:rPr>
        <w:t>▲为本项目提供过整体设计、规范编制或者项目管理、监理、检测等服务的</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，不得再参加该采购项目的其他采购活动。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val="0"/>
          <w:bCs/>
          <w:i w:val="0"/>
          <w:color w:val="auto"/>
          <w:kern w:val="2"/>
          <w:sz w:val="21"/>
          <w:szCs w:val="21"/>
          <w:lang w:val="en-US" w:eastAsia="zh-CN" w:bidi="ar-SA"/>
        </w:rPr>
        <w:t>20.7</w:t>
      </w:r>
      <w:r>
        <w:rPr>
          <w:rFonts w:hint="eastAsia" w:ascii="宋体" w:hAnsi="宋体" w:eastAsia="宋体" w:cs="宋体"/>
          <w:b/>
          <w:bCs/>
          <w:color w:val="auto"/>
          <w:sz w:val="21"/>
          <w:szCs w:val="21"/>
        </w:rPr>
        <w:t>▲以联合体形式参加政府采购活动的，联合体各方不得再单独参加或者与其他</w:t>
      </w:r>
      <w:r>
        <w:rPr>
          <w:rFonts w:hint="eastAsia" w:ascii="宋体" w:hAnsi="宋体" w:eastAsia="宋体" w:cs="宋体"/>
          <w:b/>
          <w:bCs/>
          <w:color w:val="auto"/>
          <w:sz w:val="21"/>
          <w:szCs w:val="21"/>
          <w:lang w:eastAsia="zh-CN"/>
        </w:rPr>
        <w:t>磋商供应商</w:t>
      </w:r>
      <w:r>
        <w:rPr>
          <w:rFonts w:hint="eastAsia" w:ascii="宋体" w:hAnsi="宋体" w:eastAsia="宋体" w:cs="宋体"/>
          <w:b/>
          <w:bCs/>
          <w:color w:val="auto"/>
          <w:sz w:val="21"/>
          <w:szCs w:val="21"/>
        </w:rPr>
        <w:t>另外组成联合体参加同一合同项下的政府采购活动。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21.</w:t>
      </w:r>
      <w:r>
        <w:rPr>
          <w:rFonts w:hint="eastAsia" w:ascii="宋体" w:hAnsi="宋体" w:eastAsia="宋体" w:cs="宋体"/>
          <w:b/>
          <w:sz w:val="21"/>
          <w:szCs w:val="21"/>
          <w:lang w:val="en-US" w:eastAsia="zh-CN"/>
        </w:rPr>
        <w:t>信用信息查询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bCs/>
          <w:color w:val="auto"/>
          <w:sz w:val="21"/>
          <w:szCs w:val="21"/>
          <w:lang w:eastAsia="zh-CN"/>
        </w:rPr>
      </w:pPr>
      <w:r>
        <w:rPr>
          <w:rFonts w:hint="eastAsia" w:ascii="宋体" w:hAnsi="宋体" w:eastAsia="宋体" w:cs="宋体"/>
          <w:b w:val="0"/>
          <w:i w:val="0"/>
          <w:color w:val="auto"/>
          <w:kern w:val="2"/>
          <w:sz w:val="21"/>
          <w:szCs w:val="21"/>
          <w:lang w:val="en-US" w:eastAsia="zh-CN" w:bidi="ar-SA"/>
        </w:rPr>
        <w:t>21.1</w:t>
      </w:r>
      <w:r>
        <w:rPr>
          <w:rFonts w:hint="eastAsia" w:ascii="宋体" w:hAnsi="宋体" w:eastAsia="宋体" w:cs="宋体"/>
          <w:color w:val="auto"/>
          <w:sz w:val="21"/>
          <w:szCs w:val="21"/>
          <w:lang w:eastAsia="zh-CN"/>
        </w:rPr>
        <w:t>信用信息查询渠道及截止时间：</w:t>
      </w:r>
      <w:r>
        <w:rPr>
          <w:rFonts w:hint="eastAsia" w:ascii="宋体" w:hAnsi="宋体" w:cs="宋体"/>
          <w:b/>
          <w:bCs/>
          <w:color w:val="auto"/>
          <w:sz w:val="21"/>
          <w:szCs w:val="21"/>
          <w:lang w:eastAsia="zh-CN"/>
        </w:rPr>
        <w:t>采购人或采购代理机构</w:t>
      </w:r>
      <w:r>
        <w:rPr>
          <w:rFonts w:hint="eastAsia" w:ascii="宋体" w:hAnsi="宋体" w:eastAsia="宋体" w:cs="宋体"/>
          <w:b/>
          <w:bCs/>
          <w:color w:val="auto"/>
          <w:sz w:val="21"/>
          <w:szCs w:val="21"/>
          <w:lang w:eastAsia="zh-CN"/>
        </w:rPr>
        <w:t>将在资格审查时通过“信用中国”网站(www.creditchina.gov.cn)、中国政府采购网(www.ccgp.gov.cn)渠道查询磋商供应商接收资格审查时的信用记录。</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21.2</w:t>
      </w:r>
      <w:r>
        <w:rPr>
          <w:rFonts w:hint="eastAsia" w:ascii="宋体" w:hAnsi="宋体" w:eastAsia="宋体" w:cs="宋体"/>
          <w:color w:val="auto"/>
          <w:sz w:val="21"/>
          <w:szCs w:val="21"/>
          <w:lang w:eastAsia="zh-CN"/>
        </w:rPr>
        <w:t>信用信息查询记录和证据留存的具体方式：现场查询的磋商供应商的信用记录、查询结果经确认后将与采购文件一起存档。</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21.3</w:t>
      </w:r>
      <w:r>
        <w:rPr>
          <w:rFonts w:hint="eastAsia" w:ascii="宋体" w:hAnsi="宋体" w:eastAsia="宋体" w:cs="宋体"/>
          <w:color w:val="auto"/>
          <w:sz w:val="21"/>
          <w:szCs w:val="21"/>
          <w:lang w:eastAsia="zh-CN"/>
        </w:rPr>
        <w:t>信用信息的使用规则：经查询列入失信被执行人名单、重大税收违法案件当事人名单、政府采购严重违法失信行为记录名单的磋商供应商将被拒绝参与政府采购活动。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21.4</w:t>
      </w:r>
      <w:r>
        <w:rPr>
          <w:rFonts w:hint="eastAsia" w:ascii="宋体" w:hAnsi="宋体" w:eastAsia="宋体" w:cs="宋体"/>
          <w:color w:val="auto"/>
          <w:sz w:val="21"/>
          <w:szCs w:val="21"/>
          <w:lang w:eastAsia="zh-CN"/>
        </w:rPr>
        <w:t>联合体信用信息查询：两个以上的自然人、法人或者其他组织组成一个联合体，以一个供应商的身份共同参加政府采购活动的，对所有联合体成员进行信用记录查询，联合体成员存在不良信用记录的，视同联合体存在不良信用记录。</w:t>
      </w:r>
    </w:p>
    <w:p>
      <w:pPr>
        <w:adjustRightInd/>
        <w:spacing w:line="360" w:lineRule="auto"/>
        <w:jc w:val="center"/>
        <w:outlineLvl w:val="0"/>
        <w:rPr>
          <w:rFonts w:hint="eastAsia" w:ascii="宋体" w:hAnsi="宋体" w:eastAsia="宋体" w:cs="宋体"/>
          <w:b/>
          <w:sz w:val="32"/>
          <w:szCs w:val="20"/>
        </w:rPr>
      </w:pPr>
      <w:bookmarkStart w:id="28" w:name="_Toc29139"/>
      <w:bookmarkStart w:id="29" w:name="_Toc29936"/>
      <w:r>
        <w:rPr>
          <w:rFonts w:hint="eastAsia" w:ascii="宋体" w:hAnsi="宋体" w:eastAsia="宋体" w:cs="宋体"/>
          <w:b/>
          <w:sz w:val="32"/>
          <w:szCs w:val="20"/>
        </w:rPr>
        <w:t>五、评标</w:t>
      </w:r>
      <w:bookmarkEnd w:id="28"/>
      <w:bookmarkEnd w:id="29"/>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bookmarkStart w:id="30" w:name="_Toc91899903"/>
      <w:r>
        <w:rPr>
          <w:rFonts w:hint="eastAsia" w:ascii="宋体" w:hAnsi="宋体" w:eastAsia="宋体" w:cs="宋体"/>
          <w:b/>
          <w:i w:val="0"/>
          <w:kern w:val="2"/>
          <w:sz w:val="21"/>
          <w:szCs w:val="21"/>
          <w:lang w:val="en-US" w:eastAsia="zh-CN" w:bidi="ar-SA"/>
        </w:rPr>
        <w:t>22.</w:t>
      </w:r>
      <w:r>
        <w:rPr>
          <w:rFonts w:hint="eastAsia" w:ascii="宋体" w:hAnsi="宋体" w:eastAsia="宋体" w:cs="宋体"/>
          <w:b/>
          <w:sz w:val="21"/>
          <w:szCs w:val="21"/>
          <w:lang w:val="en-US" w:eastAsia="zh-CN"/>
        </w:rPr>
        <w:t>磋商小组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22.1</w:t>
      </w:r>
      <w:r>
        <w:rPr>
          <w:rFonts w:hint="eastAsia" w:ascii="宋体" w:hAnsi="宋体" w:eastAsia="宋体" w:cs="宋体"/>
          <w:color w:val="auto"/>
          <w:sz w:val="21"/>
          <w:szCs w:val="21"/>
          <w:lang w:val="en-US" w:eastAsia="zh-CN"/>
        </w:rPr>
        <w:t>磋商小组组成：</w:t>
      </w:r>
      <w:r>
        <w:rPr>
          <w:rFonts w:hint="eastAsia" w:ascii="宋体" w:hAnsi="宋体" w:eastAsia="宋体" w:cs="宋体"/>
          <w:color w:val="auto"/>
          <w:sz w:val="21"/>
          <w:szCs w:val="21"/>
          <w:lang w:eastAsia="zh-CN"/>
        </w:rPr>
        <w:t xml:space="preserve">磋商小组由采购人代表和评审专家组成，成员人数为 </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含</w:t>
      </w:r>
      <w:r>
        <w:rPr>
          <w:rFonts w:hint="eastAsia" w:ascii="宋体" w:hAnsi="宋体" w:eastAsia="宋体" w:cs="宋体"/>
          <w:color w:val="auto"/>
          <w:sz w:val="21"/>
          <w:szCs w:val="21"/>
          <w:lang w:eastAsia="zh-CN"/>
        </w:rPr>
        <w:t>）人以上单数，其中评审专家不得少于成员总数的三分之二。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eastAsia="zh-CN"/>
        </w:rPr>
      </w:pPr>
      <w:r>
        <w:rPr>
          <w:rFonts w:hint="eastAsia" w:ascii="宋体" w:hAnsi="宋体" w:eastAsia="宋体" w:cs="宋体"/>
          <w:b w:val="0"/>
          <w:i w:val="0"/>
          <w:color w:val="auto"/>
          <w:kern w:val="2"/>
          <w:sz w:val="21"/>
          <w:szCs w:val="21"/>
          <w:lang w:val="en-US" w:eastAsia="zh-CN" w:bidi="ar-SA"/>
        </w:rPr>
        <w:t>22.2</w:t>
      </w:r>
      <w:r>
        <w:rPr>
          <w:rFonts w:hint="eastAsia" w:ascii="宋体" w:hAnsi="宋体" w:eastAsia="宋体" w:cs="宋体"/>
          <w:color w:val="auto"/>
          <w:sz w:val="21"/>
          <w:szCs w:val="21"/>
          <w:lang w:eastAsia="zh-CN"/>
        </w:rPr>
        <w:t>磋商小组负责具体评标事务，并独立履行下列职责：</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(1)</w:t>
      </w:r>
      <w:r>
        <w:rPr>
          <w:rFonts w:hint="eastAsia" w:ascii="宋体" w:hAnsi="宋体" w:eastAsia="宋体" w:cs="宋体"/>
          <w:bCs/>
          <w:sz w:val="21"/>
          <w:szCs w:val="21"/>
        </w:rPr>
        <w:t>审查、评价</w:t>
      </w:r>
      <w:r>
        <w:rPr>
          <w:rFonts w:hint="eastAsia" w:ascii="宋体" w:hAnsi="宋体" w:eastAsia="宋体" w:cs="宋体"/>
          <w:bCs/>
          <w:sz w:val="21"/>
          <w:szCs w:val="21"/>
          <w:lang w:eastAsia="zh-CN"/>
        </w:rPr>
        <w:t>磋商响应文件</w:t>
      </w:r>
      <w:r>
        <w:rPr>
          <w:rFonts w:hint="eastAsia" w:ascii="宋体" w:hAnsi="宋体" w:eastAsia="宋体" w:cs="宋体"/>
          <w:bCs/>
          <w:sz w:val="21"/>
          <w:szCs w:val="21"/>
        </w:rPr>
        <w:t>是否符合</w:t>
      </w:r>
      <w:r>
        <w:rPr>
          <w:rFonts w:hint="eastAsia" w:ascii="宋体" w:hAnsi="宋体" w:eastAsia="宋体" w:cs="宋体"/>
          <w:bCs/>
          <w:sz w:val="21"/>
          <w:szCs w:val="21"/>
          <w:lang w:eastAsia="zh-CN"/>
        </w:rPr>
        <w:t>磋商文件</w:t>
      </w:r>
      <w:r>
        <w:rPr>
          <w:rFonts w:hint="eastAsia" w:ascii="宋体" w:hAnsi="宋体" w:eastAsia="宋体" w:cs="宋体"/>
          <w:bCs/>
          <w:sz w:val="21"/>
          <w:szCs w:val="21"/>
        </w:rPr>
        <w:t>的商务、技术等实质性要求；</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(2)</w:t>
      </w:r>
      <w:r>
        <w:rPr>
          <w:rFonts w:hint="eastAsia" w:ascii="宋体" w:hAnsi="宋体" w:eastAsia="宋体" w:cs="宋体"/>
          <w:bCs/>
          <w:sz w:val="21"/>
          <w:szCs w:val="21"/>
        </w:rPr>
        <w:t>要求</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对</w:t>
      </w:r>
      <w:r>
        <w:rPr>
          <w:rFonts w:hint="eastAsia" w:ascii="宋体" w:hAnsi="宋体" w:eastAsia="宋体" w:cs="宋体"/>
          <w:bCs/>
          <w:sz w:val="21"/>
          <w:szCs w:val="21"/>
          <w:lang w:eastAsia="zh-CN"/>
        </w:rPr>
        <w:t>磋商响应文件</w:t>
      </w:r>
      <w:r>
        <w:rPr>
          <w:rFonts w:hint="eastAsia" w:ascii="宋体" w:hAnsi="宋体" w:eastAsia="宋体" w:cs="宋体"/>
          <w:bCs/>
          <w:sz w:val="21"/>
          <w:szCs w:val="21"/>
        </w:rPr>
        <w:t>有关事项作出澄清或者说明；</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(3)</w:t>
      </w:r>
      <w:r>
        <w:rPr>
          <w:rFonts w:hint="eastAsia" w:ascii="宋体" w:hAnsi="宋体" w:eastAsia="宋体" w:cs="宋体"/>
          <w:bCs/>
          <w:sz w:val="21"/>
          <w:szCs w:val="21"/>
        </w:rPr>
        <w:t>对</w:t>
      </w:r>
      <w:r>
        <w:rPr>
          <w:rFonts w:hint="eastAsia" w:ascii="宋体" w:hAnsi="宋体" w:eastAsia="宋体" w:cs="宋体"/>
          <w:bCs/>
          <w:sz w:val="21"/>
          <w:szCs w:val="21"/>
          <w:lang w:eastAsia="zh-CN"/>
        </w:rPr>
        <w:t>磋商响应文件</w:t>
      </w:r>
      <w:r>
        <w:rPr>
          <w:rFonts w:hint="eastAsia" w:ascii="宋体" w:hAnsi="宋体" w:eastAsia="宋体" w:cs="宋体"/>
          <w:bCs/>
          <w:sz w:val="21"/>
          <w:szCs w:val="21"/>
        </w:rPr>
        <w:t>进行比较和评价；</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(4)</w:t>
      </w:r>
      <w:r>
        <w:rPr>
          <w:rFonts w:hint="eastAsia" w:ascii="宋体" w:hAnsi="宋体" w:eastAsia="宋体" w:cs="宋体"/>
          <w:bCs/>
          <w:sz w:val="21"/>
          <w:szCs w:val="21"/>
        </w:rPr>
        <w:t>确定</w:t>
      </w:r>
      <w:r>
        <w:rPr>
          <w:rFonts w:hint="eastAsia" w:ascii="宋体" w:hAnsi="宋体" w:eastAsia="宋体" w:cs="宋体"/>
          <w:bCs/>
          <w:sz w:val="21"/>
          <w:szCs w:val="21"/>
          <w:lang w:eastAsia="zh-CN"/>
        </w:rPr>
        <w:t>成交候选人</w:t>
      </w:r>
      <w:r>
        <w:rPr>
          <w:rFonts w:hint="eastAsia" w:ascii="宋体" w:hAnsi="宋体" w:eastAsia="宋体" w:cs="宋体"/>
          <w:bCs/>
          <w:sz w:val="21"/>
          <w:szCs w:val="21"/>
        </w:rPr>
        <w:t>名单，以及根据采购人委托直接确定</w:t>
      </w:r>
      <w:r>
        <w:rPr>
          <w:rFonts w:hint="eastAsia" w:ascii="宋体" w:hAnsi="宋体" w:eastAsia="宋体" w:cs="宋体"/>
          <w:bCs/>
          <w:sz w:val="21"/>
          <w:szCs w:val="21"/>
          <w:lang w:eastAsia="zh-CN"/>
        </w:rPr>
        <w:t>成交供应商</w:t>
      </w:r>
      <w:r>
        <w:rPr>
          <w:rFonts w:hint="eastAsia" w:ascii="宋体" w:hAnsi="宋体" w:eastAsia="宋体" w:cs="宋体"/>
          <w:bCs/>
          <w:sz w:val="21"/>
          <w:szCs w:val="21"/>
        </w:rPr>
        <w:t>；</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(5)</w:t>
      </w:r>
      <w:r>
        <w:rPr>
          <w:rFonts w:hint="eastAsia" w:ascii="宋体" w:hAnsi="宋体" w:eastAsia="宋体" w:cs="宋体"/>
          <w:bCs/>
          <w:sz w:val="21"/>
          <w:szCs w:val="21"/>
        </w:rPr>
        <w:t>向采购人、采购代理机构或者有关部门报告评标中发现的违法行为。</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22.3</w:t>
      </w:r>
      <w:r>
        <w:rPr>
          <w:rFonts w:hint="eastAsia" w:ascii="宋体" w:hAnsi="宋体" w:eastAsia="宋体" w:cs="宋体"/>
          <w:color w:val="auto"/>
          <w:sz w:val="21"/>
          <w:szCs w:val="21"/>
          <w:lang w:val="en-US" w:eastAsia="zh-CN"/>
        </w:rPr>
        <w:t>评标纪律：</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(1)</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成员要严格遵守评审工作纪律、保密、回避等相关规定，依法独立履行评审职责，客观、公正、审慎参与评审工作。</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(2)</w:t>
      </w:r>
      <w:r>
        <w:rPr>
          <w:rFonts w:hint="eastAsia" w:ascii="宋体" w:hAnsi="宋体" w:eastAsia="宋体" w:cs="宋体"/>
          <w:bCs/>
          <w:sz w:val="21"/>
          <w:szCs w:val="21"/>
        </w:rPr>
        <w:t>与</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或</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其他成员存在利害关系的，要主动回避，自觉签订《政府采购评审人员廉洁自律承诺书》。</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(3)</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成员不得私下接触联系</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，不得接受或参加</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或与投标有关的单位、组织或个人的有碍公务的宴请、娱乐活动等，不得以任何形式弄虚作假。</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(4)</w:t>
      </w:r>
      <w:r>
        <w:rPr>
          <w:rFonts w:hint="eastAsia" w:ascii="宋体" w:hAnsi="宋体" w:eastAsia="宋体" w:cs="宋体"/>
          <w:bCs/>
          <w:sz w:val="21"/>
          <w:szCs w:val="21"/>
        </w:rPr>
        <w:t>保持评审现场安静，不在评审现场随意走动，因发生不可预见情况确需与外界联系或暂时离开评审现场的，应向现场监督员说明情况，征得同意后在监控区域内进行相关活动，并应接受相关工作人员的监督。</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(5)</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成员不得将自身意见强加给其他</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成员，或私下相互串通压制其他</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成员的意见。</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(6)</w:t>
      </w:r>
      <w:r>
        <w:rPr>
          <w:rFonts w:hint="eastAsia" w:ascii="宋体" w:hAnsi="宋体" w:eastAsia="宋体" w:cs="宋体"/>
          <w:bCs/>
          <w:sz w:val="21"/>
          <w:szCs w:val="21"/>
          <w:lang w:eastAsia="zh-CN"/>
        </w:rPr>
        <w:t>磋商小组</w:t>
      </w:r>
      <w:r>
        <w:rPr>
          <w:rFonts w:hint="eastAsia" w:ascii="宋体" w:hAnsi="宋体" w:eastAsia="宋体" w:cs="宋体"/>
          <w:bCs/>
          <w:sz w:val="21"/>
          <w:szCs w:val="21"/>
        </w:rPr>
        <w:t>成员不得征询采购人对</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的倾向性意向，不得接受任何单位、个人明示或暗示提出的倾向或排斥特定</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的要求。</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rPr>
      </w:pPr>
      <w:r>
        <w:rPr>
          <w:rFonts w:hint="default" w:ascii="宋体" w:hAnsi="宋体" w:eastAsia="宋体" w:cs="宋体"/>
          <w:bCs/>
          <w:kern w:val="2"/>
          <w:sz w:val="21"/>
          <w:szCs w:val="21"/>
          <w:lang w:val="en-US" w:eastAsia="zh-CN" w:bidi="ar-SA"/>
        </w:rPr>
        <w:t>(7)</w:t>
      </w:r>
      <w:r>
        <w:rPr>
          <w:rFonts w:hint="eastAsia" w:ascii="宋体" w:hAnsi="宋体" w:eastAsia="宋体" w:cs="宋体"/>
          <w:bCs/>
          <w:sz w:val="21"/>
          <w:szCs w:val="21"/>
        </w:rPr>
        <w:t>严格遵守政府采购评审工作纪律，不得向外泄露评审情况及涉及</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商业秘密的信息。</w:t>
      </w:r>
    </w:p>
    <w:p>
      <w:pPr>
        <w:keepNext w:val="0"/>
        <w:keepLines w:val="0"/>
        <w:pageBreakBefore w:val="0"/>
        <w:widowControl w:val="0"/>
        <w:numPr>
          <w:ilvl w:val="0"/>
          <w:numId w:val="0"/>
        </w:numPr>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bCs/>
          <w:sz w:val="21"/>
          <w:szCs w:val="21"/>
          <w:lang w:val="en-US" w:eastAsia="zh-CN"/>
        </w:rPr>
      </w:pPr>
      <w:r>
        <w:rPr>
          <w:rFonts w:hint="default" w:ascii="宋体" w:hAnsi="宋体" w:eastAsia="宋体" w:cs="宋体"/>
          <w:bCs/>
          <w:kern w:val="2"/>
          <w:sz w:val="21"/>
          <w:szCs w:val="21"/>
          <w:lang w:val="en-US" w:eastAsia="zh-CN" w:bidi="ar-SA"/>
        </w:rPr>
        <w:t>(8)</w:t>
      </w:r>
      <w:r>
        <w:rPr>
          <w:rFonts w:hint="eastAsia" w:ascii="宋体" w:hAnsi="宋体" w:eastAsia="宋体" w:cs="宋体"/>
          <w:bCs/>
          <w:sz w:val="21"/>
          <w:szCs w:val="21"/>
        </w:rPr>
        <w:t>评标结束后，各评标人员应将全部资料整理上交招标采购单位，严禁将评标过程中的任何资料带出评标现场向</w:t>
      </w:r>
      <w:r>
        <w:rPr>
          <w:rFonts w:hint="eastAsia" w:ascii="宋体" w:hAnsi="宋体" w:eastAsia="宋体" w:cs="宋体"/>
          <w:bCs/>
          <w:sz w:val="21"/>
          <w:szCs w:val="21"/>
          <w:lang w:eastAsia="zh-CN"/>
        </w:rPr>
        <w:t>磋商供应商</w:t>
      </w:r>
      <w:r>
        <w:rPr>
          <w:rFonts w:hint="eastAsia" w:ascii="宋体" w:hAnsi="宋体" w:eastAsia="宋体" w:cs="宋体"/>
          <w:bCs/>
          <w:sz w:val="21"/>
          <w:szCs w:val="21"/>
        </w:rPr>
        <w:t>或其他单位提供。</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22.4</w:t>
      </w:r>
      <w:r>
        <w:rPr>
          <w:rFonts w:hint="eastAsia" w:ascii="宋体" w:hAnsi="宋体" w:eastAsia="宋体" w:cs="宋体"/>
          <w:color w:val="auto"/>
          <w:sz w:val="21"/>
          <w:szCs w:val="21"/>
          <w:lang w:val="en-US" w:eastAsia="zh-CN"/>
        </w:rPr>
        <w:t>磋商小组将根据磋商文件和有关规定，履行评标工作职责，并按照评标方法及评分标准，全面衡量各磋商供应商对磋商文件的响应情况。对实质上响应磋商文件的磋商供应商，按照评审因素的量化指标排出推荐中标的磋商供应商的先后顺序，并按顺序提出授标建议。详见磋商文件第四部分评标办法。</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i w:val="0"/>
          <w:color w:val="auto"/>
          <w:kern w:val="2"/>
          <w:sz w:val="21"/>
          <w:szCs w:val="21"/>
          <w:lang w:val="en-US" w:eastAsia="zh-CN" w:bidi="ar-SA"/>
        </w:rPr>
        <w:t>22.5</w:t>
      </w:r>
      <w:r>
        <w:rPr>
          <w:rFonts w:hint="eastAsia" w:ascii="宋体" w:hAnsi="宋体" w:eastAsia="宋体" w:cs="宋体"/>
          <w:color w:val="auto"/>
          <w:sz w:val="21"/>
          <w:szCs w:val="21"/>
          <w:lang w:val="en-US" w:eastAsia="zh-CN"/>
        </w:rPr>
        <w:t>保密义务：参与采购活动的所有各方，对在参与投标过程中获悉的国家、商业和技术秘密以及其它依法应当保密的内容，均负有保密义务，违者应对由此造成的后果承担全部法律责任。</w:t>
      </w:r>
    </w:p>
    <w:p>
      <w:pPr>
        <w:adjustRightInd/>
        <w:spacing w:line="360" w:lineRule="auto"/>
        <w:jc w:val="center"/>
        <w:outlineLvl w:val="0"/>
        <w:rPr>
          <w:rFonts w:hint="eastAsia" w:ascii="宋体" w:hAnsi="宋体" w:eastAsia="宋体" w:cs="宋体"/>
          <w:b/>
          <w:sz w:val="32"/>
          <w:szCs w:val="20"/>
        </w:rPr>
      </w:pPr>
      <w:bookmarkStart w:id="31" w:name="_Toc15660"/>
      <w:bookmarkStart w:id="32" w:name="_Toc10976"/>
      <w:r>
        <w:rPr>
          <w:rFonts w:hint="eastAsia" w:ascii="宋体" w:hAnsi="宋体" w:eastAsia="宋体" w:cs="宋体"/>
          <w:b/>
          <w:sz w:val="32"/>
          <w:szCs w:val="20"/>
        </w:rPr>
        <w:t>六、</w:t>
      </w:r>
      <w:bookmarkEnd w:id="31"/>
      <w:bookmarkEnd w:id="32"/>
      <w:r>
        <w:rPr>
          <w:rFonts w:hint="eastAsia" w:ascii="宋体" w:hAnsi="宋体" w:eastAsia="宋体" w:cs="宋体"/>
          <w:b/>
          <w:sz w:val="32"/>
          <w:szCs w:val="20"/>
        </w:rPr>
        <w:t>定标</w:t>
      </w:r>
    </w:p>
    <w:p>
      <w:pPr>
        <w:pageBreakBefore w:val="0"/>
        <w:widowControl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23.</w:t>
      </w:r>
      <w:r>
        <w:rPr>
          <w:rFonts w:hint="eastAsia" w:ascii="宋体" w:hAnsi="宋体" w:eastAsia="宋体" w:cs="宋体"/>
          <w:b/>
          <w:sz w:val="21"/>
          <w:szCs w:val="21"/>
          <w:lang w:val="en-US" w:eastAsia="zh-CN"/>
        </w:rPr>
        <w:t>确定成交供应商</w:t>
      </w:r>
    </w:p>
    <w:p>
      <w:pPr>
        <w:pStyle w:val="39"/>
        <w:pageBreakBefore w:val="0"/>
        <w:widowControl w:val="0"/>
        <w:kinsoku/>
        <w:wordWrap/>
        <w:overflowPunct/>
        <w:topLinePunct w:val="0"/>
        <w:autoSpaceDE/>
        <w:autoSpaceDN/>
        <w:bidi w:val="0"/>
        <w:snapToGrid w:val="0"/>
        <w:spacing w:before="0" w:beforeAutospacing="0" w:line="336"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23.1</w:t>
      </w:r>
      <w:r>
        <w:rPr>
          <w:rFonts w:hint="eastAsia" w:ascii="宋体" w:hAnsi="宋体" w:eastAsia="宋体" w:cs="宋体"/>
          <w:sz w:val="21"/>
          <w:szCs w:val="21"/>
        </w:rPr>
        <w:t>采购人将自收到评审报告之日起5个工作日内通过电子交易平台在评审报告推荐的</w:t>
      </w:r>
      <w:r>
        <w:rPr>
          <w:rFonts w:hint="eastAsia" w:ascii="宋体" w:hAnsi="宋体" w:eastAsia="宋体" w:cs="宋体"/>
          <w:sz w:val="21"/>
          <w:szCs w:val="21"/>
          <w:lang w:eastAsia="zh-CN"/>
        </w:rPr>
        <w:t>成交候选人</w:t>
      </w:r>
      <w:r>
        <w:rPr>
          <w:rFonts w:hint="eastAsia" w:ascii="宋体" w:hAnsi="宋体" w:eastAsia="宋体" w:cs="宋体"/>
          <w:sz w:val="21"/>
          <w:szCs w:val="21"/>
        </w:rPr>
        <w:t>中按顺序确定</w:t>
      </w:r>
      <w:r>
        <w:rPr>
          <w:rFonts w:hint="eastAsia" w:ascii="宋体" w:hAnsi="宋体" w:eastAsia="宋体" w:cs="宋体"/>
          <w:sz w:val="21"/>
          <w:szCs w:val="21"/>
          <w:lang w:eastAsia="zh-CN"/>
        </w:rPr>
        <w:t>成交供应商</w:t>
      </w:r>
      <w:r>
        <w:rPr>
          <w:rFonts w:hint="eastAsia" w:ascii="宋体" w:hAnsi="宋体" w:eastAsia="宋体" w:cs="宋体"/>
          <w:sz w:val="21"/>
          <w:szCs w:val="21"/>
        </w:rPr>
        <w:t>。</w:t>
      </w:r>
    </w:p>
    <w:p>
      <w:pPr>
        <w:pStyle w:val="39"/>
        <w:snapToGrid w:val="0"/>
        <w:spacing w:before="0"/>
        <w:ind w:firstLine="480"/>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23.2采购人在收到评审报告后5个工作日内未确定成交供应商且不提出异议的，视为确定评审报告提出的排序第一的供应商为成交供应商。</w:t>
      </w:r>
    </w:p>
    <w:p>
      <w:pPr>
        <w:pageBreakBefore w:val="0"/>
        <w:widowControl w:val="0"/>
        <w:numPr>
          <w:ilvl w:val="0"/>
          <w:numId w:val="0"/>
        </w:numPr>
        <w:kinsoku/>
        <w:wordWrap/>
        <w:overflowPunct/>
        <w:topLinePunct w:val="0"/>
        <w:autoSpaceDE/>
        <w:autoSpaceDN/>
        <w:bidi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24.</w:t>
      </w:r>
      <w:r>
        <w:rPr>
          <w:rFonts w:hint="eastAsia" w:ascii="宋体" w:hAnsi="宋体" w:eastAsia="宋体" w:cs="宋体"/>
          <w:b/>
          <w:sz w:val="21"/>
          <w:szCs w:val="21"/>
          <w:lang w:val="en-US" w:eastAsia="zh-CN"/>
        </w:rPr>
        <w:t>成交通知书与成交结果公告</w:t>
      </w:r>
    </w:p>
    <w:p>
      <w:pPr>
        <w:pageBreakBefore w:val="0"/>
        <w:widowControl w:val="0"/>
        <w:numPr>
          <w:ilvl w:val="1"/>
          <w:numId w:val="0"/>
        </w:numPr>
        <w:kinsoku/>
        <w:wordWrap/>
        <w:overflowPunct/>
        <w:topLinePunct w:val="0"/>
        <w:autoSpaceDE/>
        <w:autoSpaceDN/>
        <w:bidi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24.1</w:t>
      </w:r>
      <w:r>
        <w:rPr>
          <w:rFonts w:hint="eastAsia" w:ascii="宋体" w:hAnsi="宋体" w:eastAsia="宋体" w:cs="宋体"/>
          <w:b w:val="0"/>
          <w:bCs w:val="0"/>
          <w:color w:val="auto"/>
          <w:sz w:val="21"/>
          <w:szCs w:val="21"/>
          <w:lang w:val="en-US" w:eastAsia="zh-CN"/>
        </w:rPr>
        <w:t>自成交供应商确定之日起2个工作日内，采购代理机构通过电子交易平台向成交供应商发出成交通知书，同时编制发布采购结果公告。采购代理机构也可以以纸质形式发出成交通知书。</w:t>
      </w:r>
    </w:p>
    <w:p>
      <w:pPr>
        <w:widowControl/>
        <w:shd w:val="clear" w:color="auto" w:fill="FFFFFF"/>
        <w:spacing w:line="360" w:lineRule="auto"/>
        <w:ind w:firstLine="48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24.2</w:t>
      </w:r>
      <w:r>
        <w:rPr>
          <w:rFonts w:hint="eastAsia" w:ascii="宋体" w:hAnsi="宋体" w:eastAsia="宋体" w:cs="宋体"/>
          <w:b w:val="0"/>
          <w:bCs w:val="0"/>
          <w:color w:val="auto"/>
          <w:sz w:val="21"/>
          <w:szCs w:val="21"/>
          <w:lang w:val="en-US" w:eastAsia="zh-CN"/>
        </w:rPr>
        <w:t>成交结果公告内容包括采购人及其委托的采购代理机构的名称、地址、联系方式，项目名称和项目编号，成交供应商名称、地址和中标金额，主要中标标的的名称、规格型号、数量、单价、服务要求、成交公告期限以及评审专家名单等。</w:t>
      </w:r>
      <w:r>
        <w:rPr>
          <w:rFonts w:hint="eastAsia" w:ascii="宋体" w:hAnsi="宋体" w:eastAsia="宋体" w:cs="宋体"/>
          <w:color w:val="auto"/>
          <w:sz w:val="21"/>
          <w:szCs w:val="21"/>
          <w:highlight w:val="none"/>
          <w:lang w:val="en-US" w:eastAsia="zh-CN"/>
        </w:rPr>
        <w:t>成交供应商享受中小企业扶持政策的，采购代理机构应当随成交结果公开成交供应商的《中小企业声明函》。</w:t>
      </w:r>
    </w:p>
    <w:p>
      <w:pPr>
        <w:widowControl/>
        <w:shd w:val="clear" w:color="auto" w:fill="FFFFFF"/>
        <w:spacing w:line="360" w:lineRule="auto"/>
        <w:ind w:firstLine="48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highlight w:val="none"/>
          <w:lang w:val="en-US" w:eastAsia="zh-CN" w:bidi="ar-SA"/>
        </w:rPr>
        <w:t>24.3</w:t>
      </w:r>
      <w:r>
        <w:rPr>
          <w:rFonts w:hint="eastAsia" w:ascii="宋体" w:hAnsi="宋体" w:eastAsia="宋体" w:cs="宋体"/>
          <w:color w:val="auto"/>
          <w:sz w:val="21"/>
          <w:szCs w:val="21"/>
          <w:highlight w:val="none"/>
        </w:rPr>
        <w:t>采购机构将在 “浙江省政府采购网”（网址：http://zfcg.czt.zj.gov.cn//）上发布《成交结果公示》，采购结果公告期限为1个工作日。</w:t>
      </w:r>
    </w:p>
    <w:p>
      <w:pPr>
        <w:adjustRightInd/>
        <w:spacing w:line="360" w:lineRule="auto"/>
        <w:jc w:val="center"/>
        <w:outlineLvl w:val="0"/>
        <w:rPr>
          <w:rFonts w:hint="eastAsia" w:ascii="宋体" w:hAnsi="宋体" w:eastAsia="宋体" w:cs="宋体"/>
          <w:b/>
          <w:color w:val="auto"/>
          <w:sz w:val="32"/>
          <w:szCs w:val="20"/>
        </w:rPr>
      </w:pPr>
      <w:r>
        <w:rPr>
          <w:rFonts w:hint="eastAsia" w:ascii="宋体" w:hAnsi="宋体" w:eastAsia="宋体" w:cs="宋体"/>
          <w:b/>
          <w:color w:val="auto"/>
          <w:sz w:val="32"/>
          <w:szCs w:val="20"/>
        </w:rPr>
        <w:t>七、合同授予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color w:val="auto"/>
          <w:sz w:val="21"/>
          <w:szCs w:val="21"/>
          <w:lang w:val="en-US" w:eastAsia="zh-CN"/>
        </w:rPr>
      </w:pPr>
      <w:r>
        <w:rPr>
          <w:rFonts w:hint="eastAsia" w:ascii="宋体" w:hAnsi="宋体" w:eastAsia="宋体" w:cs="宋体"/>
          <w:b/>
          <w:i w:val="0"/>
          <w:color w:val="auto"/>
          <w:kern w:val="2"/>
          <w:sz w:val="21"/>
          <w:szCs w:val="21"/>
          <w:lang w:val="en-US" w:eastAsia="zh-CN" w:bidi="ar-SA"/>
        </w:rPr>
        <w:t>25.</w:t>
      </w:r>
      <w:r>
        <w:rPr>
          <w:rFonts w:hint="eastAsia" w:ascii="宋体" w:hAnsi="宋体" w:eastAsia="宋体" w:cs="宋体"/>
          <w:b/>
          <w:color w:val="auto"/>
          <w:sz w:val="21"/>
          <w:szCs w:val="21"/>
          <w:lang w:val="en-US" w:eastAsia="zh-CN"/>
        </w:rPr>
        <w:t>合同主要条款详见第五部分拟签订的合同文本。</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26.</w:t>
      </w:r>
      <w:r>
        <w:rPr>
          <w:rFonts w:hint="eastAsia" w:ascii="宋体" w:hAnsi="宋体" w:eastAsia="宋体" w:cs="宋体"/>
          <w:b/>
          <w:sz w:val="21"/>
          <w:szCs w:val="21"/>
          <w:lang w:val="en-US" w:eastAsia="zh-CN"/>
        </w:rPr>
        <w:t>合同的签订</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26.1</w:t>
      </w:r>
      <w:r>
        <w:rPr>
          <w:rFonts w:hint="eastAsia" w:ascii="宋体" w:hAnsi="宋体" w:eastAsia="宋体" w:cs="宋体"/>
          <w:b w:val="0"/>
          <w:bCs w:val="0"/>
          <w:color w:val="auto"/>
          <w:sz w:val="21"/>
          <w:szCs w:val="21"/>
          <w:lang w:val="en-US" w:eastAsia="zh-CN"/>
        </w:rPr>
        <w:t>采购人与成交供应商应当通过电子交易平台在成交通知书发出之日起三十日内，按照磋商文件和成交供应商磋商响应文件等确定的事项签订政府采购合同，并在合同签订之日起2个工作日内依法发布合同公告。</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26.2</w:t>
      </w:r>
      <w:r>
        <w:rPr>
          <w:rFonts w:hint="eastAsia" w:ascii="宋体" w:hAnsi="宋体" w:eastAsia="宋体" w:cs="宋体"/>
          <w:b w:val="0"/>
          <w:bCs w:val="0"/>
          <w:color w:val="auto"/>
          <w:sz w:val="21"/>
          <w:szCs w:val="21"/>
          <w:lang w:val="zh-CN" w:eastAsia="zh-CN"/>
        </w:rPr>
        <w:t>成交供应商按规定的日期、时间、地点，由法定代表人或其授权代表与采购人代表签订合同。如成交供应商为联合体的，由联合体成员各方法定代表人或其授权代表与采购人代表签订合同。</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26.3</w:t>
      </w:r>
      <w:r>
        <w:rPr>
          <w:rFonts w:hint="eastAsia" w:ascii="宋体" w:hAnsi="宋体" w:eastAsia="宋体" w:cs="宋体"/>
          <w:b w:val="0"/>
          <w:bCs w:val="0"/>
          <w:color w:val="auto"/>
          <w:sz w:val="21"/>
          <w:szCs w:val="21"/>
          <w:lang w:val="en-US" w:eastAsia="zh-CN"/>
        </w:rPr>
        <w:t>成交供应商拒绝与采购人签订合同的，采购人可以按照评审报告推荐的中标或者成交候选人名单排序，确定下一候选人为成交供应商，也可以重新开展政府采购活动。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26.4</w:t>
      </w:r>
      <w:r>
        <w:rPr>
          <w:rFonts w:hint="eastAsia" w:ascii="宋体" w:hAnsi="宋体" w:eastAsia="宋体" w:cs="宋体"/>
          <w:b w:val="0"/>
          <w:bCs w:val="0"/>
          <w:color w:val="auto"/>
          <w:sz w:val="21"/>
          <w:szCs w:val="21"/>
          <w:lang w:val="en-US" w:eastAsia="zh-CN"/>
        </w:rPr>
        <w:t>鼓励有条件的采购人与成交供应商通过政府采购电子交易平台在线签订政府采购合同。</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27.</w:t>
      </w:r>
      <w:r>
        <w:rPr>
          <w:rFonts w:hint="eastAsia" w:ascii="宋体" w:hAnsi="宋体" w:eastAsia="宋体" w:cs="宋体"/>
          <w:b/>
          <w:sz w:val="21"/>
          <w:szCs w:val="21"/>
          <w:lang w:val="en-US" w:eastAsia="zh-CN"/>
        </w:rPr>
        <w:t>履约保证金和预付款</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27.1</w:t>
      </w:r>
      <w:r>
        <w:rPr>
          <w:rFonts w:hint="eastAsia" w:ascii="宋体" w:hAnsi="宋体" w:eastAsia="宋体" w:cs="宋体"/>
          <w:b w:val="0"/>
          <w:bCs w:val="0"/>
          <w:color w:val="auto"/>
          <w:sz w:val="21"/>
          <w:szCs w:val="21"/>
          <w:lang w:val="en-US" w:eastAsia="zh-CN"/>
        </w:rPr>
        <w:t>履约保证金拟签订的合同文本要求成交供应商提交履约保证金的，履约保证金的数额不得超过政府采购合同金额的1%，供应商应当以支票、汇票、本票或者金融机构、保险机构出具的保函等非现金形式提交。鼓励和支持供应商以银行、保险公司出具的保函形式提供履约保证金。采购人不得拒收履约保函。</w:t>
      </w:r>
    </w:p>
    <w:p>
      <w:pPr>
        <w:pStyle w:val="10"/>
        <w:keepNext w:val="0"/>
        <w:keepLines w:val="0"/>
        <w:pageBreakBefore w:val="0"/>
        <w:widowControl w:val="0"/>
        <w:kinsoku/>
        <w:wordWrap/>
        <w:overflowPunct/>
        <w:topLinePunct w:val="0"/>
        <w:autoSpaceDE/>
        <w:autoSpaceDN/>
        <w:bidi w:val="0"/>
        <w:adjustRightInd w:val="0"/>
        <w:spacing w:beforeAutospacing="0" w:line="336" w:lineRule="auto"/>
        <w:ind w:left="0" w:leftChars="0" w:firstLine="420" w:firstLineChars="200"/>
        <w:jc w:val="left"/>
        <w:textAlignment w:val="auto"/>
        <w:rPr>
          <w:rFonts w:hint="eastAsia" w:ascii="宋体" w:hAnsi="宋体" w:eastAsia="宋体" w:cs="宋体"/>
          <w:b/>
          <w:bCs/>
          <w:snapToGrid w:val="0"/>
          <w:kern w:val="28"/>
          <w:sz w:val="21"/>
          <w:szCs w:val="21"/>
          <w:lang w:val="en-US" w:eastAsia="zh-CN"/>
        </w:rPr>
      </w:pPr>
      <w:r>
        <w:rPr>
          <w:rFonts w:hint="eastAsia" w:ascii="宋体" w:hAnsi="宋体" w:eastAsia="宋体" w:cs="宋体"/>
          <w:b w:val="0"/>
          <w:bCs w:val="0"/>
          <w:snapToGrid/>
          <w:kern w:val="2"/>
          <w:sz w:val="21"/>
          <w:szCs w:val="21"/>
        </w:rPr>
        <w:t>供应商</w:t>
      </w:r>
      <w:r>
        <w:rPr>
          <w:rFonts w:hint="eastAsia" w:ascii="宋体" w:hAnsi="宋体" w:eastAsia="宋体" w:cs="宋体"/>
          <w:b w:val="0"/>
          <w:bCs w:val="0"/>
          <w:snapToGrid/>
          <w:kern w:val="2"/>
          <w:sz w:val="21"/>
          <w:szCs w:val="21"/>
          <w:lang w:val="en-US" w:eastAsia="zh-CN"/>
        </w:rPr>
        <w:t>也</w:t>
      </w:r>
      <w:r>
        <w:rPr>
          <w:rFonts w:hint="eastAsia" w:ascii="宋体" w:hAnsi="宋体" w:eastAsia="宋体" w:cs="宋体"/>
          <w:b w:val="0"/>
          <w:bCs w:val="0"/>
          <w:snapToGrid/>
          <w:kern w:val="2"/>
          <w:sz w:val="21"/>
          <w:szCs w:val="21"/>
          <w:lang w:val="en-US"/>
        </w:rPr>
        <w:t>可</w:t>
      </w:r>
      <w:r>
        <w:rPr>
          <w:rFonts w:hint="eastAsia" w:ascii="宋体" w:hAnsi="宋体" w:eastAsia="宋体" w:cs="宋体"/>
          <w:b w:val="0"/>
          <w:bCs w:val="0"/>
          <w:snapToGrid/>
          <w:kern w:val="2"/>
          <w:sz w:val="21"/>
          <w:szCs w:val="21"/>
          <w:lang w:val="en-US" w:eastAsia="zh-CN"/>
        </w:rPr>
        <w:t>以</w:t>
      </w:r>
      <w:r>
        <w:rPr>
          <w:rFonts w:hint="eastAsia" w:ascii="宋体" w:hAnsi="宋体" w:eastAsia="宋体" w:cs="宋体"/>
          <w:b w:val="0"/>
          <w:bCs w:val="0"/>
          <w:snapToGrid/>
          <w:kern w:val="2"/>
          <w:sz w:val="21"/>
          <w:szCs w:val="21"/>
        </w:rPr>
        <w:t>登录政采云平台-</w:t>
      </w:r>
      <w:r>
        <w:rPr>
          <w:rFonts w:hint="eastAsia" w:ascii="宋体" w:hAnsi="宋体" w:eastAsia="宋体" w:cs="宋体"/>
          <w:b w:val="0"/>
          <w:bCs w:val="0"/>
          <w:snapToGrid/>
          <w:kern w:val="2"/>
          <w:sz w:val="21"/>
          <w:szCs w:val="21"/>
          <w:lang w:val="en-US" w:eastAsia="zh-CN"/>
        </w:rPr>
        <w:t>[</w:t>
      </w:r>
      <w:r>
        <w:rPr>
          <w:rFonts w:hint="eastAsia" w:ascii="宋体" w:hAnsi="宋体" w:eastAsia="宋体" w:cs="宋体"/>
          <w:b w:val="0"/>
          <w:bCs w:val="0"/>
          <w:snapToGrid/>
          <w:kern w:val="2"/>
          <w:sz w:val="21"/>
          <w:szCs w:val="21"/>
        </w:rPr>
        <w:t>金融服务</w:t>
      </w:r>
      <w:r>
        <w:rPr>
          <w:rFonts w:hint="eastAsia" w:ascii="宋体" w:hAnsi="宋体" w:eastAsia="宋体" w:cs="宋体"/>
          <w:b w:val="0"/>
          <w:bCs w:val="0"/>
          <w:snapToGrid/>
          <w:kern w:val="2"/>
          <w:sz w:val="21"/>
          <w:szCs w:val="21"/>
          <w:lang w:eastAsia="zh-CN"/>
        </w:rPr>
        <w:t>]</w:t>
      </w:r>
      <w:r>
        <w:rPr>
          <w:rFonts w:hint="eastAsia" w:ascii="宋体" w:hAnsi="宋体" w:eastAsia="宋体" w:cs="宋体"/>
          <w:b w:val="0"/>
          <w:bCs w:val="0"/>
          <w:snapToGrid/>
          <w:kern w:val="2"/>
          <w:sz w:val="21"/>
          <w:szCs w:val="21"/>
        </w:rPr>
        <w:t>—</w:t>
      </w:r>
      <w:r>
        <w:rPr>
          <w:rFonts w:hint="eastAsia" w:ascii="宋体" w:hAnsi="宋体" w:eastAsia="宋体" w:cs="宋体"/>
          <w:b w:val="0"/>
          <w:bCs w:val="0"/>
          <w:snapToGrid/>
          <w:kern w:val="2"/>
          <w:sz w:val="21"/>
          <w:szCs w:val="21"/>
          <w:lang w:eastAsia="zh-CN"/>
        </w:rPr>
        <w:t>[</w:t>
      </w:r>
      <w:r>
        <w:rPr>
          <w:rFonts w:hint="eastAsia" w:ascii="宋体" w:hAnsi="宋体" w:eastAsia="宋体" w:cs="宋体"/>
          <w:b w:val="0"/>
          <w:bCs w:val="0"/>
          <w:snapToGrid/>
          <w:kern w:val="2"/>
          <w:sz w:val="21"/>
          <w:szCs w:val="21"/>
        </w:rPr>
        <w:t>我的项目</w:t>
      </w:r>
      <w:r>
        <w:rPr>
          <w:rFonts w:hint="eastAsia" w:ascii="宋体" w:hAnsi="宋体" w:eastAsia="宋体" w:cs="宋体"/>
          <w:b w:val="0"/>
          <w:bCs w:val="0"/>
          <w:snapToGrid/>
          <w:kern w:val="2"/>
          <w:sz w:val="21"/>
          <w:szCs w:val="21"/>
          <w:lang w:eastAsia="zh-CN"/>
        </w:rPr>
        <w:t>]</w:t>
      </w:r>
      <w:r>
        <w:rPr>
          <w:rFonts w:hint="eastAsia" w:ascii="宋体" w:hAnsi="宋体" w:eastAsia="宋体" w:cs="宋体"/>
          <w:b w:val="0"/>
          <w:bCs w:val="0"/>
          <w:snapToGrid/>
          <w:kern w:val="2"/>
          <w:sz w:val="21"/>
          <w:szCs w:val="21"/>
        </w:rPr>
        <w:t>—</w:t>
      </w:r>
      <w:r>
        <w:rPr>
          <w:rFonts w:hint="eastAsia" w:ascii="宋体" w:hAnsi="宋体" w:eastAsia="宋体" w:cs="宋体"/>
          <w:b w:val="0"/>
          <w:bCs w:val="0"/>
          <w:snapToGrid/>
          <w:kern w:val="2"/>
          <w:sz w:val="21"/>
          <w:szCs w:val="21"/>
          <w:lang w:eastAsia="zh-CN"/>
        </w:rPr>
        <w:t>[</w:t>
      </w:r>
      <w:r>
        <w:rPr>
          <w:rFonts w:hint="eastAsia" w:ascii="宋体" w:hAnsi="宋体" w:eastAsia="宋体" w:cs="宋体"/>
          <w:b w:val="0"/>
          <w:bCs w:val="0"/>
          <w:snapToGrid/>
          <w:kern w:val="2"/>
          <w:sz w:val="21"/>
          <w:szCs w:val="21"/>
        </w:rPr>
        <w:t>已备案合同</w:t>
      </w:r>
      <w:r>
        <w:rPr>
          <w:rFonts w:hint="eastAsia" w:ascii="宋体" w:hAnsi="宋体" w:eastAsia="宋体" w:cs="宋体"/>
          <w:b w:val="0"/>
          <w:bCs w:val="0"/>
          <w:snapToGrid/>
          <w:kern w:val="2"/>
          <w:sz w:val="21"/>
          <w:szCs w:val="21"/>
          <w:lang w:eastAsia="zh-CN"/>
        </w:rPr>
        <w:t>]</w:t>
      </w:r>
      <w:r>
        <w:rPr>
          <w:rFonts w:hint="eastAsia" w:ascii="宋体" w:hAnsi="宋体" w:eastAsia="宋体" w:cs="宋体"/>
          <w:b w:val="0"/>
          <w:bCs w:val="0"/>
          <w:snapToGrid/>
          <w:kern w:val="2"/>
          <w:sz w:val="21"/>
          <w:szCs w:val="21"/>
        </w:rPr>
        <w:t>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27.2</w:t>
      </w:r>
      <w:r>
        <w:rPr>
          <w:rFonts w:hint="eastAsia" w:ascii="宋体" w:hAnsi="宋体" w:eastAsia="宋体" w:cs="宋体"/>
          <w:b w:val="0"/>
          <w:bCs w:val="0"/>
          <w:color w:val="auto"/>
          <w:sz w:val="21"/>
          <w:szCs w:val="21"/>
          <w:lang w:val="en-US" w:eastAsia="zh-CN"/>
        </w:rPr>
        <w:t>预付款</w:t>
      </w:r>
    </w:p>
    <w:p>
      <w:pPr>
        <w:pStyle w:val="10"/>
        <w:keepNext w:val="0"/>
        <w:keepLines w:val="0"/>
        <w:pageBreakBefore w:val="0"/>
        <w:widowControl w:val="0"/>
        <w:kinsoku/>
        <w:wordWrap/>
        <w:overflowPunct/>
        <w:topLinePunct w:val="0"/>
        <w:autoSpaceDE/>
        <w:autoSpaceDN/>
        <w:bidi w:val="0"/>
        <w:adjustRightInd w:val="0"/>
        <w:spacing w:beforeAutospacing="0" w:line="336" w:lineRule="auto"/>
        <w:ind w:left="0" w:leftChars="0" w:firstLine="420" w:firstLineChars="200"/>
        <w:jc w:val="left"/>
        <w:textAlignment w:val="auto"/>
        <w:rPr>
          <w:rFonts w:hint="eastAsia" w:ascii="宋体" w:hAnsi="宋体" w:eastAsia="宋体" w:cs="宋体"/>
          <w:b w:val="0"/>
          <w:bCs w:val="0"/>
          <w:snapToGrid/>
          <w:kern w:val="2"/>
          <w:sz w:val="21"/>
          <w:szCs w:val="21"/>
          <w:highlight w:val="none"/>
        </w:rPr>
      </w:pPr>
      <w:r>
        <w:rPr>
          <w:rFonts w:hint="eastAsia" w:ascii="宋体" w:hAnsi="宋体" w:eastAsia="宋体" w:cs="宋体"/>
          <w:b w:val="0"/>
          <w:bCs w:val="0"/>
          <w:snapToGrid/>
          <w:kern w:val="2"/>
          <w:sz w:val="21"/>
          <w:szCs w:val="21"/>
          <w:highlight w:val="none"/>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b w:val="0"/>
          <w:bCs w:val="0"/>
          <w:snapToGrid/>
          <w:kern w:val="2"/>
          <w:sz w:val="21"/>
          <w:szCs w:val="21"/>
        </w:rPr>
        <w:t>不低于</w:t>
      </w:r>
      <w:r>
        <w:rPr>
          <w:rFonts w:hint="eastAsia" w:ascii="宋体" w:hAnsi="宋体" w:eastAsia="宋体" w:cs="宋体"/>
          <w:b w:val="0"/>
          <w:bCs w:val="0"/>
          <w:snapToGrid/>
          <w:kern w:val="2"/>
          <w:sz w:val="21"/>
          <w:szCs w:val="21"/>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宋体" w:hAnsi="宋体" w:eastAsia="宋体" w:cs="宋体"/>
          <w:b w:val="0"/>
          <w:bCs w:val="0"/>
          <w:snapToGrid/>
          <w:kern w:val="2"/>
          <w:sz w:val="21"/>
          <w:szCs w:val="21"/>
          <w:highlight w:val="none"/>
          <w:lang w:val="en-US" w:eastAsia="zh-CN"/>
        </w:rPr>
        <w:t>7</w:t>
      </w:r>
      <w:r>
        <w:rPr>
          <w:rFonts w:hint="eastAsia" w:ascii="宋体" w:hAnsi="宋体" w:eastAsia="宋体" w:cs="宋体"/>
          <w:b w:val="0"/>
          <w:bCs w:val="0"/>
          <w:snapToGrid/>
          <w:kern w:val="2"/>
          <w:sz w:val="21"/>
          <w:szCs w:val="21"/>
          <w:highlight w:val="none"/>
        </w:rPr>
        <w:t>个工作日内支付。政府采购工程以及与工程建设有关的货物、服务，采用招标方式采购的，预付款从其相关规定。</w:t>
      </w:r>
    </w:p>
    <w:p>
      <w:pPr>
        <w:pStyle w:val="10"/>
        <w:keepNext w:val="0"/>
        <w:keepLines w:val="0"/>
        <w:pageBreakBefore w:val="0"/>
        <w:widowControl w:val="0"/>
        <w:kinsoku/>
        <w:wordWrap/>
        <w:overflowPunct/>
        <w:topLinePunct w:val="0"/>
        <w:autoSpaceDE/>
        <w:autoSpaceDN/>
        <w:bidi w:val="0"/>
        <w:adjustRightInd w:val="0"/>
        <w:spacing w:beforeAutospacing="0" w:line="336"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 w:val="0"/>
          <w:bCs w:val="0"/>
          <w:snapToGrid/>
          <w:kern w:val="2"/>
          <w:sz w:val="21"/>
          <w:szCs w:val="21"/>
          <w:highlight w:val="none"/>
        </w:rPr>
        <w:t>供应商</w:t>
      </w:r>
      <w:r>
        <w:rPr>
          <w:rFonts w:hint="eastAsia" w:ascii="宋体" w:hAnsi="宋体" w:eastAsia="宋体" w:cs="宋体"/>
          <w:b w:val="0"/>
          <w:bCs w:val="0"/>
          <w:snapToGrid/>
          <w:kern w:val="2"/>
          <w:sz w:val="21"/>
          <w:szCs w:val="21"/>
          <w:highlight w:val="none"/>
          <w:lang w:val="en-US" w:eastAsia="zh-CN"/>
        </w:rPr>
        <w:t>也可以</w:t>
      </w:r>
      <w:r>
        <w:rPr>
          <w:rFonts w:hint="eastAsia" w:ascii="宋体" w:hAnsi="宋体" w:eastAsia="宋体" w:cs="宋体"/>
          <w:b w:val="0"/>
          <w:bCs w:val="0"/>
          <w:snapToGrid/>
          <w:kern w:val="2"/>
          <w:sz w:val="21"/>
          <w:szCs w:val="21"/>
          <w:highlight w:val="none"/>
        </w:rPr>
        <w:t>登录政采云前台大厅选择金融服务-</w:t>
      </w:r>
      <w:r>
        <w:rPr>
          <w:rFonts w:hint="eastAsia" w:ascii="宋体" w:hAnsi="宋体" w:eastAsia="宋体" w:cs="宋体"/>
          <w:b w:val="0"/>
          <w:bCs w:val="0"/>
          <w:snapToGrid/>
          <w:kern w:val="2"/>
          <w:sz w:val="21"/>
          <w:szCs w:val="21"/>
          <w:highlight w:val="none"/>
          <w:lang w:val="en-US" w:eastAsia="zh-CN"/>
        </w:rPr>
        <w:t>[</w:t>
      </w:r>
      <w:r>
        <w:rPr>
          <w:rFonts w:hint="eastAsia" w:ascii="宋体" w:hAnsi="宋体" w:eastAsia="宋体" w:cs="宋体"/>
          <w:b w:val="0"/>
          <w:bCs w:val="0"/>
          <w:snapToGrid/>
          <w:kern w:val="2"/>
          <w:sz w:val="21"/>
          <w:szCs w:val="21"/>
          <w:highlight w:val="none"/>
        </w:rPr>
        <w:t>保函保险服务</w:t>
      </w:r>
      <w:r>
        <w:rPr>
          <w:rFonts w:hint="eastAsia" w:ascii="宋体" w:hAnsi="宋体" w:eastAsia="宋体" w:cs="宋体"/>
          <w:b w:val="0"/>
          <w:bCs w:val="0"/>
          <w:snapToGrid/>
          <w:kern w:val="2"/>
          <w:sz w:val="21"/>
          <w:szCs w:val="21"/>
          <w:highlight w:val="none"/>
          <w:lang w:val="en-US" w:eastAsia="zh-CN"/>
        </w:rPr>
        <w:t>]</w:t>
      </w:r>
      <w:r>
        <w:rPr>
          <w:rFonts w:hint="eastAsia" w:ascii="宋体" w:hAnsi="宋体" w:eastAsia="宋体" w:cs="宋体"/>
          <w:b w:val="0"/>
          <w:bCs w:val="0"/>
          <w:snapToGrid/>
          <w:kern w:val="2"/>
          <w:sz w:val="21"/>
          <w:szCs w:val="21"/>
          <w:highlight w:val="none"/>
        </w:rPr>
        <w:t>出具预付款保函，具体步骤：选择产品—填写供应商信息—选择中标项目—确认信息—等待保险/保函受理—确认保单—支付保费—成功出单。政采云金融专线400-903-9583。</w:t>
      </w:r>
      <w:r>
        <w:rPr>
          <w:rFonts w:hint="eastAsia" w:ascii="宋体" w:hAnsi="宋体" w:eastAsia="宋体" w:cs="宋体"/>
          <w:b w:val="0"/>
          <w:bCs w:val="0"/>
          <w:snapToGrid w:val="0"/>
          <w:kern w:val="28"/>
          <w:sz w:val="21"/>
          <w:szCs w:val="21"/>
          <w:lang w:val="en-US" w:eastAsia="zh-CN"/>
        </w:rPr>
        <w:t xml:space="preserve">  </w:t>
      </w:r>
      <w:r>
        <w:rPr>
          <w:rFonts w:hint="eastAsia" w:ascii="宋体" w:hAnsi="宋体" w:eastAsia="宋体" w:cs="宋体"/>
          <w:sz w:val="21"/>
          <w:szCs w:val="21"/>
          <w:lang w:val="en-US" w:eastAsia="zh-CN"/>
        </w:rPr>
        <w:t xml:space="preserve">      </w:t>
      </w:r>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r>
        <w:rPr>
          <w:rFonts w:hint="eastAsia" w:ascii="宋体" w:hAnsi="宋体" w:eastAsia="宋体" w:cs="宋体"/>
          <w:b/>
          <w:sz w:val="32"/>
          <w:szCs w:val="20"/>
        </w:rPr>
        <w:t>八、电子交易活动的中止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28.</w:t>
      </w:r>
      <w:r>
        <w:rPr>
          <w:rFonts w:hint="eastAsia" w:ascii="宋体" w:hAnsi="宋体" w:eastAsia="宋体" w:cs="宋体"/>
          <w:b/>
          <w:sz w:val="21"/>
          <w:szCs w:val="21"/>
          <w:lang w:val="en-US" w:eastAsia="zh-CN"/>
        </w:rPr>
        <w:t>电子交易活动的中止。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sz w:val="21"/>
          <w:szCs w:val="21"/>
          <w:lang w:val="en-US" w:eastAsia="zh-CN"/>
        </w:rPr>
      </w:pPr>
      <w:r>
        <w:rPr>
          <w:rFonts w:hint="eastAsia" w:ascii="宋体" w:hAnsi="宋体" w:eastAsia="宋体" w:cs="宋体"/>
          <w:b w:val="0"/>
          <w:bCs/>
          <w:sz w:val="21"/>
          <w:szCs w:val="21"/>
          <w:lang w:val="en-US" w:eastAsia="zh-CN"/>
        </w:rPr>
        <w:t>采购过程中出现以下情形，导致电子交易平台无法正常运行，或者无法保证电子交易的公平、公正和安全时，采购代理机构可中止电子交易活动：</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28.1</w:t>
      </w:r>
      <w:r>
        <w:rPr>
          <w:rFonts w:hint="eastAsia" w:ascii="宋体" w:hAnsi="宋体" w:eastAsia="宋体" w:cs="宋体"/>
          <w:b w:val="0"/>
          <w:bCs w:val="0"/>
          <w:color w:val="auto"/>
          <w:sz w:val="21"/>
          <w:szCs w:val="21"/>
          <w:lang w:val="en-US" w:eastAsia="zh-CN"/>
        </w:rPr>
        <w:t xml:space="preserve">电子交易平台发生故障而无法登录访问的；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28.2</w:t>
      </w:r>
      <w:r>
        <w:rPr>
          <w:rFonts w:hint="eastAsia" w:ascii="宋体" w:hAnsi="宋体" w:eastAsia="宋体" w:cs="宋体"/>
          <w:b w:val="0"/>
          <w:bCs w:val="0"/>
          <w:color w:val="auto"/>
          <w:sz w:val="21"/>
          <w:szCs w:val="21"/>
          <w:lang w:val="en-US" w:eastAsia="zh-CN"/>
        </w:rPr>
        <w:t>电子交易平台应用或数据库出现错误，不能进行正常操作的；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28.3</w:t>
      </w:r>
      <w:r>
        <w:rPr>
          <w:rFonts w:hint="eastAsia" w:ascii="宋体" w:hAnsi="宋体" w:eastAsia="宋体" w:cs="宋体"/>
          <w:b w:val="0"/>
          <w:bCs w:val="0"/>
          <w:color w:val="auto"/>
          <w:sz w:val="21"/>
          <w:szCs w:val="21"/>
          <w:lang w:val="en-US" w:eastAsia="zh-CN"/>
        </w:rPr>
        <w:t>电子交易平台发现严重安全漏洞，有潜在泄密危险的；</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28.4</w:t>
      </w:r>
      <w:r>
        <w:rPr>
          <w:rFonts w:hint="eastAsia" w:ascii="宋体" w:hAnsi="宋体" w:eastAsia="宋体" w:cs="宋体"/>
          <w:b w:val="0"/>
          <w:bCs w:val="0"/>
          <w:color w:val="auto"/>
          <w:sz w:val="21"/>
          <w:szCs w:val="21"/>
          <w:lang w:val="en-US" w:eastAsia="zh-CN"/>
        </w:rPr>
        <w:t xml:space="preserve">病毒发作导致不能进行正常操作的； </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28.5</w:t>
      </w:r>
      <w:r>
        <w:rPr>
          <w:rFonts w:hint="eastAsia" w:ascii="宋体" w:hAnsi="宋体" w:eastAsia="宋体" w:cs="宋体"/>
          <w:b w:val="0"/>
          <w:bCs w:val="0"/>
          <w:color w:val="auto"/>
          <w:sz w:val="21"/>
          <w:szCs w:val="21"/>
          <w:lang w:val="en-US" w:eastAsia="zh-CN"/>
        </w:rPr>
        <w:t>其他无法保证电子交易的公平、公正和安全的情况。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29.</w:t>
      </w:r>
      <w:r>
        <w:rPr>
          <w:rFonts w:hint="eastAsia" w:ascii="宋体" w:hAnsi="宋体" w:eastAsia="宋体" w:cs="宋体"/>
          <w:b/>
          <w:sz w:val="21"/>
          <w:szCs w:val="21"/>
          <w:lang w:val="en-US" w:eastAsia="zh-CN"/>
        </w:rPr>
        <w:t>出现以上情形，不影响采购公平、公正性的，采购组织机构可以待上述情形消除后继续组织电子交易活动，也可以决定某些环节以纸质形式进行；影响或可能影响采购公平、公正性的，应当重新采购。</w:t>
      </w:r>
      <w:bookmarkEnd w:id="21"/>
      <w:bookmarkEnd w:id="22"/>
      <w:bookmarkEnd w:id="30"/>
      <w:bookmarkStart w:id="33" w:name="第四部分"/>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r>
        <w:rPr>
          <w:rFonts w:hint="eastAsia" w:ascii="宋体" w:hAnsi="宋体" w:eastAsia="宋体" w:cs="宋体"/>
          <w:b/>
          <w:sz w:val="32"/>
          <w:szCs w:val="20"/>
        </w:rPr>
        <w:t>九、验收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sz w:val="21"/>
          <w:szCs w:val="21"/>
          <w:lang w:val="en-US" w:eastAsia="zh-CN"/>
        </w:rPr>
      </w:pPr>
      <w:r>
        <w:rPr>
          <w:rFonts w:hint="eastAsia" w:ascii="宋体" w:hAnsi="宋体" w:eastAsia="宋体" w:cs="宋体"/>
          <w:b/>
          <w:i w:val="0"/>
          <w:kern w:val="2"/>
          <w:sz w:val="21"/>
          <w:szCs w:val="21"/>
          <w:lang w:val="en-US" w:eastAsia="zh-CN" w:bidi="ar-SA"/>
        </w:rPr>
        <w:t>30.</w:t>
      </w:r>
      <w:r>
        <w:rPr>
          <w:rFonts w:hint="eastAsia" w:ascii="宋体" w:hAnsi="宋体" w:eastAsia="宋体" w:cs="宋体"/>
          <w:b/>
          <w:sz w:val="21"/>
          <w:szCs w:val="21"/>
          <w:lang w:val="en-US" w:eastAsia="zh-CN"/>
        </w:rPr>
        <w:t>验收</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30.1</w:t>
      </w:r>
      <w:r>
        <w:rPr>
          <w:rFonts w:hint="eastAsia" w:ascii="宋体" w:hAnsi="宋体" w:eastAsia="宋体" w:cs="宋体"/>
          <w:b w:val="0"/>
          <w:bCs w:val="0"/>
          <w:color w:val="auto"/>
          <w:sz w:val="21"/>
          <w:szCs w:val="21"/>
          <w:lang w:val="en-US" w:eastAsia="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30.2</w:t>
      </w:r>
      <w:r>
        <w:rPr>
          <w:rFonts w:hint="eastAsia" w:ascii="宋体" w:hAnsi="宋体" w:eastAsia="宋体" w:cs="宋体"/>
          <w:b w:val="0"/>
          <w:bCs w:val="0"/>
          <w:color w:val="auto"/>
          <w:sz w:val="21"/>
          <w:szCs w:val="21"/>
          <w:lang w:val="en-US" w:eastAsia="zh-CN"/>
        </w:rPr>
        <w:t>采购人可以邀请参加本项目的其他磋商供应商或者第三方机构参与验收。参与验收的磋商供应商或者第三方机构的意见作为验收书的参考资料一并存档。</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30.3</w:t>
      </w:r>
      <w:r>
        <w:rPr>
          <w:rFonts w:hint="eastAsia" w:ascii="宋体" w:hAnsi="宋体" w:eastAsia="宋体" w:cs="宋体"/>
          <w:b w:val="0"/>
          <w:bCs w:val="0"/>
          <w:color w:val="auto"/>
          <w:sz w:val="21"/>
          <w:szCs w:val="21"/>
          <w:lang w:val="en-US" w:eastAsia="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Autospacing="0" w:line="336" w:lineRule="auto"/>
        <w:ind w:left="0" w:leftChars="0" w:firstLine="420" w:firstLineChars="200"/>
        <w:jc w:val="both"/>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30.4</w:t>
      </w:r>
      <w:r>
        <w:rPr>
          <w:rFonts w:hint="eastAsia" w:ascii="宋体" w:hAnsi="宋体" w:eastAsia="宋体" w:cs="宋体"/>
          <w:b w:val="0"/>
          <w:bCs w:val="0"/>
          <w:color w:val="auto"/>
          <w:sz w:val="21"/>
          <w:szCs w:val="21"/>
          <w:lang w:val="en-US" w:eastAsia="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36" w:lineRule="auto"/>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i w:val="0"/>
          <w:color w:val="auto"/>
          <w:kern w:val="2"/>
          <w:sz w:val="21"/>
          <w:szCs w:val="21"/>
          <w:lang w:val="en-US" w:eastAsia="zh-CN" w:bidi="ar-SA"/>
        </w:rPr>
        <w:t>31.</w:t>
      </w:r>
      <w:r>
        <w:rPr>
          <w:rFonts w:hint="eastAsia" w:ascii="宋体" w:hAnsi="宋体" w:eastAsia="宋体" w:cs="宋体"/>
          <w:b/>
          <w:color w:val="auto"/>
          <w:sz w:val="21"/>
          <w:szCs w:val="21"/>
          <w:highlight w:val="none"/>
          <w:lang w:val="en-US" w:eastAsia="zh-CN"/>
        </w:rPr>
        <w:t>代理服务费</w:t>
      </w:r>
    </w:p>
    <w:p>
      <w:pPr>
        <w:widowControl/>
        <w:shd w:val="clear" w:color="auto" w:fill="FFFFFF"/>
        <w:spacing w:line="360" w:lineRule="auto"/>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i w:val="0"/>
          <w:color w:val="auto"/>
          <w:kern w:val="2"/>
          <w:sz w:val="21"/>
          <w:szCs w:val="21"/>
          <w:lang w:val="en-US" w:eastAsia="zh-CN" w:bidi="ar-SA"/>
        </w:rPr>
        <w:t>31.1</w:t>
      </w:r>
      <w:r>
        <w:rPr>
          <w:rFonts w:hint="eastAsia" w:ascii="宋体" w:hAnsi="宋体" w:eastAsia="宋体" w:cs="宋体"/>
          <w:color w:val="auto"/>
          <w:sz w:val="21"/>
          <w:szCs w:val="21"/>
          <w:highlight w:val="none"/>
          <w:lang w:val="en-US" w:eastAsia="zh-CN"/>
        </w:rPr>
        <w:t>招标代理服务费：经采购人和代理人双方协商，本次采购代理服务费由成交供应商支付，采购代理服务费根据预算金额依据发改办价格（2003）857号文件及国家计委印发的《招标代理服务收费管理暂行办法》计价格【2002】1980号文件的服务类收费标准收取，不足捌仟元按捌仟元收取。采购代理服务费不在报价中单列（各磋商供应商应在报价中予以考虑）。</w:t>
      </w:r>
    </w:p>
    <w:p>
      <w:pPr>
        <w:keepNext w:val="0"/>
        <w:keepLines w:val="0"/>
        <w:pageBreakBefore w:val="0"/>
        <w:widowControl w:val="0"/>
        <w:kinsoku/>
        <w:wordWrap/>
        <w:overflowPunct/>
        <w:topLinePunct w:val="0"/>
        <w:autoSpaceDE/>
        <w:autoSpaceDN/>
        <w:bidi w:val="0"/>
        <w:adjustRightInd w:val="0"/>
        <w:spacing w:beforeAutospacing="0" w:line="336" w:lineRule="auto"/>
        <w:ind w:left="0"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val="0"/>
        <w:spacing w:beforeAutospacing="0" w:line="336" w:lineRule="auto"/>
        <w:ind w:left="0"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val="0"/>
        <w:spacing w:beforeAutospacing="0" w:line="336" w:lineRule="auto"/>
        <w:ind w:left="0"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val="0"/>
        <w:spacing w:beforeAutospacing="0" w:line="336" w:lineRule="auto"/>
        <w:ind w:left="0"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val="0"/>
        <w:spacing w:beforeAutospacing="0" w:line="336" w:lineRule="auto"/>
        <w:ind w:left="0"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附表一：</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1968"/>
        <w:gridCol w:w="2287"/>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b/>
                <w:color w:val="auto"/>
                <w:sz w:val="21"/>
                <w:szCs w:val="21"/>
              </w:rPr>
            </w:pPr>
            <w:r>
              <w:rPr>
                <w:rFonts w:hint="eastAsia" w:ascii="宋体" w:hAnsi="宋体" w:cs="宋体"/>
                <w:b/>
                <w:color w:val="auto"/>
                <w:sz w:val="21"/>
                <w:szCs w:val="21"/>
              </w:rPr>
              <mc:AlternateContent>
                <mc:Choice Requires="wpg">
                  <w:drawing>
                    <wp:anchor distT="0" distB="0" distL="114300" distR="114300" simplePos="0" relativeHeight="251666432" behindDoc="0" locked="0" layoutInCell="1" allowOverlap="1">
                      <wp:simplePos x="0" y="0"/>
                      <wp:positionH relativeFrom="column">
                        <wp:posOffset>-43815</wp:posOffset>
                      </wp:positionH>
                      <wp:positionV relativeFrom="paragraph">
                        <wp:posOffset>0</wp:posOffset>
                      </wp:positionV>
                      <wp:extent cx="1668780" cy="1082040"/>
                      <wp:effectExtent l="1270" t="3175" r="6350" b="19685"/>
                      <wp:wrapNone/>
                      <wp:docPr id="5" name="Group 4"/>
                      <wp:cNvGraphicFramePr/>
                      <a:graphic xmlns:a="http://schemas.openxmlformats.org/drawingml/2006/main">
                        <a:graphicData uri="http://schemas.microsoft.com/office/word/2010/wordprocessingGroup">
                          <wpg:wgp>
                            <wpg:cNvGrpSpPr/>
                            <wpg:grpSpPr>
                              <a:xfrm>
                                <a:off x="0" y="0"/>
                                <a:ext cx="1668780" cy="1082040"/>
                                <a:chOff x="0" y="0"/>
                                <a:chExt cx="2711" cy="2121"/>
                              </a:xfrm>
                              <a:effectLst/>
                            </wpg:grpSpPr>
                            <wps:wsp>
                              <wps:cNvPr id="6" name="__TH_L32"/>
                              <wps:cNvCnPr/>
                              <wps:spPr bwMode="auto">
                                <a:xfrm>
                                  <a:off x="1355" y="0"/>
                                  <a:ext cx="1356" cy="2120"/>
                                </a:xfrm>
                                <a:prstGeom prst="line">
                                  <a:avLst/>
                                </a:prstGeom>
                                <a:noFill/>
                                <a:ln w="6350">
                                  <a:solidFill>
                                    <a:srgbClr val="000000"/>
                                  </a:solidFill>
                                  <a:round/>
                                </a:ln>
                                <a:effectLst/>
                              </wps:spPr>
                              <wps:bodyPr/>
                            </wps:wsp>
                            <wps:wsp>
                              <wps:cNvPr id="7" name="__TH_L33"/>
                              <wps:cNvCnPr/>
                              <wps:spPr bwMode="auto">
                                <a:xfrm>
                                  <a:off x="0" y="1060"/>
                                  <a:ext cx="2711" cy="1060"/>
                                </a:xfrm>
                                <a:prstGeom prst="line">
                                  <a:avLst/>
                                </a:prstGeom>
                                <a:noFill/>
                                <a:ln w="6350">
                                  <a:solidFill>
                                    <a:srgbClr val="000000"/>
                                  </a:solidFill>
                                  <a:round/>
                                </a:ln>
                                <a:effectLst/>
                              </wps:spPr>
                              <wps:bodyPr/>
                            </wps:wsp>
                            <wps:wsp>
                              <wps:cNvPr id="8" name="__TH_B1134"/>
                              <wps:cNvSpPr txBox="1">
                                <a:spLocks noChangeArrowheads="1"/>
                              </wps:cNvSpPr>
                              <wps:spPr bwMode="auto">
                                <a:xfrm>
                                  <a:off x="2028" y="166"/>
                                  <a:ext cx="253" cy="262"/>
                                </a:xfrm>
                                <a:prstGeom prst="rect">
                                  <a:avLst/>
                                </a:prstGeom>
                                <a:noFill/>
                                <a:ln>
                                  <a:noFill/>
                                </a:ln>
                                <a:effectLst/>
                              </wps:spPr>
                              <wps:txbx>
                                <w:txbxContent>
                                  <w:p>
                                    <w:pPr>
                                      <w:snapToGrid w:val="0"/>
                                    </w:pPr>
                                    <w:r>
                                      <w:rPr>
                                        <w:rFonts w:hint="eastAsia"/>
                                      </w:rPr>
                                      <w:t>服</w:t>
                                    </w:r>
                                  </w:p>
                                </w:txbxContent>
                              </wps:txbx>
                              <wps:bodyPr rot="0" vert="horz" wrap="square" lIns="0" tIns="0" rIns="0" bIns="0" anchor="t" anchorCtr="0" upright="1">
                                <a:noAutofit/>
                              </wps:bodyPr>
                            </wps:wsp>
                            <wps:wsp>
                              <wps:cNvPr id="9" name="__TH_B1235"/>
                              <wps:cNvSpPr txBox="1">
                                <a:spLocks noChangeArrowheads="1"/>
                              </wps:cNvSpPr>
                              <wps:spPr bwMode="auto">
                                <a:xfrm>
                                  <a:off x="2151" y="550"/>
                                  <a:ext cx="253" cy="263"/>
                                </a:xfrm>
                                <a:prstGeom prst="rect">
                                  <a:avLst/>
                                </a:prstGeom>
                                <a:noFill/>
                                <a:ln>
                                  <a:noFill/>
                                </a:ln>
                                <a:effectLst/>
                              </wps:spPr>
                              <wps:txbx>
                                <w:txbxContent>
                                  <w:p>
                                    <w:pPr>
                                      <w:snapToGrid w:val="0"/>
                                    </w:pPr>
                                    <w:r>
                                      <w:rPr>
                                        <w:rFonts w:hint="eastAsia"/>
                                      </w:rPr>
                                      <w:t>务</w:t>
                                    </w:r>
                                  </w:p>
                                </w:txbxContent>
                              </wps:txbx>
                              <wps:bodyPr rot="0" vert="horz" wrap="square" lIns="0" tIns="0" rIns="0" bIns="0" anchor="t" anchorCtr="0" upright="1">
                                <a:noAutofit/>
                              </wps:bodyPr>
                            </wps:wsp>
                            <wps:wsp>
                              <wps:cNvPr id="10" name="__TH_B1336"/>
                              <wps:cNvSpPr txBox="1">
                                <a:spLocks noChangeArrowheads="1"/>
                              </wps:cNvSpPr>
                              <wps:spPr bwMode="auto">
                                <a:xfrm>
                                  <a:off x="2274" y="935"/>
                                  <a:ext cx="253" cy="262"/>
                                </a:xfrm>
                                <a:prstGeom prst="rect">
                                  <a:avLst/>
                                </a:prstGeom>
                                <a:noFill/>
                                <a:ln>
                                  <a:noFill/>
                                </a:ln>
                                <a:effectLst/>
                              </wps:spPr>
                              <wps:txbx>
                                <w:txbxContent>
                                  <w:p>
                                    <w:pPr>
                                      <w:snapToGrid w:val="0"/>
                                    </w:pPr>
                                    <w:r>
                                      <w:rPr>
                                        <w:rFonts w:hint="eastAsia"/>
                                      </w:rPr>
                                      <w:t>类</w:t>
                                    </w:r>
                                  </w:p>
                                </w:txbxContent>
                              </wps:txbx>
                              <wps:bodyPr rot="0" vert="horz" wrap="square" lIns="0" tIns="0" rIns="0" bIns="0" anchor="t" anchorCtr="0" upright="1">
                                <a:noAutofit/>
                              </wps:bodyPr>
                            </wps:wsp>
                            <wps:wsp>
                              <wps:cNvPr id="11" name="__TH_B1437"/>
                              <wps:cNvSpPr txBox="1">
                                <a:spLocks noChangeArrowheads="1"/>
                              </wps:cNvSpPr>
                              <wps:spPr bwMode="auto">
                                <a:xfrm>
                                  <a:off x="2397" y="1319"/>
                                  <a:ext cx="253" cy="263"/>
                                </a:xfrm>
                                <a:prstGeom prst="rect">
                                  <a:avLst/>
                                </a:prstGeom>
                                <a:noFill/>
                                <a:ln>
                                  <a:noFill/>
                                </a:ln>
                                <a:effectLst/>
                              </wps:spPr>
                              <wps:txbx>
                                <w:txbxContent>
                                  <w:p>
                                    <w:pPr>
                                      <w:snapToGrid w:val="0"/>
                                    </w:pPr>
                                    <w:r>
                                      <w:rPr>
                                        <w:rFonts w:hint="eastAsia"/>
                                      </w:rPr>
                                      <w:t>型</w:t>
                                    </w:r>
                                  </w:p>
                                </w:txbxContent>
                              </wps:txbx>
                              <wps:bodyPr rot="0" vert="horz" wrap="square" lIns="0" tIns="0" rIns="0" bIns="0" anchor="t" anchorCtr="0" upright="1">
                                <a:noAutofit/>
                              </wps:bodyPr>
                            </wps:wsp>
                            <wps:wsp>
                              <wps:cNvPr id="12" name="__TH_B2138"/>
                              <wps:cNvSpPr txBox="1">
                                <a:spLocks noChangeArrowheads="1"/>
                              </wps:cNvSpPr>
                              <wps:spPr bwMode="auto">
                                <a:xfrm>
                                  <a:off x="602" y="418"/>
                                  <a:ext cx="253" cy="262"/>
                                </a:xfrm>
                                <a:prstGeom prst="rect">
                                  <a:avLst/>
                                </a:prstGeom>
                                <a:noFill/>
                                <a:ln>
                                  <a:noFill/>
                                </a:ln>
                                <a:effectLst/>
                              </wps:spPr>
                              <wps:txbx>
                                <w:txbxContent>
                                  <w:p>
                                    <w:pPr>
                                      <w:snapToGrid w:val="0"/>
                                    </w:pPr>
                                    <w:r>
                                      <w:rPr>
                                        <w:rFonts w:hint="eastAsia"/>
                                      </w:rPr>
                                      <w:t>费</w:t>
                                    </w:r>
                                  </w:p>
                                </w:txbxContent>
                              </wps:txbx>
                              <wps:bodyPr rot="0" vert="horz" wrap="square" lIns="0" tIns="0" rIns="0" bIns="0" anchor="t" anchorCtr="0" upright="1">
                                <a:noAutofit/>
                              </wps:bodyPr>
                            </wps:wsp>
                            <wps:wsp>
                              <wps:cNvPr id="13" name="__TH_B2239"/>
                              <wps:cNvSpPr txBox="1">
                                <a:spLocks noChangeArrowheads="1"/>
                              </wps:cNvSpPr>
                              <wps:spPr bwMode="auto">
                                <a:xfrm>
                                  <a:off x="1738" y="1306"/>
                                  <a:ext cx="253" cy="263"/>
                                </a:xfrm>
                                <a:prstGeom prst="rect">
                                  <a:avLst/>
                                </a:prstGeom>
                                <a:noFill/>
                                <a:ln>
                                  <a:noFill/>
                                </a:ln>
                                <a:effectLst/>
                              </wps:spPr>
                              <wps:txbx>
                                <w:txbxContent>
                                  <w:p>
                                    <w:pPr>
                                      <w:snapToGrid w:val="0"/>
                                    </w:pPr>
                                    <w:r>
                                      <w:rPr>
                                        <w:rFonts w:hint="eastAsia"/>
                                      </w:rPr>
                                      <w:t>率</w:t>
                                    </w:r>
                                  </w:p>
                                </w:txbxContent>
                              </wps:txbx>
                              <wps:bodyPr rot="0" vert="horz" wrap="square" lIns="0" tIns="0" rIns="0" bIns="0" anchor="t" anchorCtr="0" upright="1">
                                <a:noAutofit/>
                              </wps:bodyPr>
                            </wps:wsp>
                            <wps:wsp>
                              <wps:cNvPr id="14" name="__TH_B3140"/>
                              <wps:cNvSpPr txBox="1">
                                <a:spLocks noChangeArrowheads="1"/>
                              </wps:cNvSpPr>
                              <wps:spPr bwMode="auto">
                                <a:xfrm>
                                  <a:off x="134" y="1505"/>
                                  <a:ext cx="253" cy="262"/>
                                </a:xfrm>
                                <a:prstGeom prst="rect">
                                  <a:avLst/>
                                </a:prstGeom>
                                <a:noFill/>
                                <a:ln>
                                  <a:noFill/>
                                </a:ln>
                                <a:effectLst/>
                              </wps:spPr>
                              <wps:txbx>
                                <w:txbxContent>
                                  <w:p>
                                    <w:pPr>
                                      <w:snapToGrid w:val="0"/>
                                    </w:pPr>
                                    <w:r>
                                      <w:rPr>
                                        <w:rFonts w:hint="eastAsia"/>
                                      </w:rPr>
                                      <w:t>中</w:t>
                                    </w:r>
                                  </w:p>
                                </w:txbxContent>
                              </wps:txbx>
                              <wps:bodyPr rot="0" vert="horz" wrap="square" lIns="0" tIns="0" rIns="0" bIns="0" anchor="t" anchorCtr="0" upright="1">
                                <a:noAutofit/>
                              </wps:bodyPr>
                            </wps:wsp>
                            <wps:wsp>
                              <wps:cNvPr id="15" name="__TH_B3241"/>
                              <wps:cNvSpPr txBox="1">
                                <a:spLocks noChangeArrowheads="1"/>
                              </wps:cNvSpPr>
                              <wps:spPr bwMode="auto">
                                <a:xfrm>
                                  <a:off x="393" y="1555"/>
                                  <a:ext cx="252" cy="263"/>
                                </a:xfrm>
                                <a:prstGeom prst="rect">
                                  <a:avLst/>
                                </a:prstGeom>
                                <a:noFill/>
                                <a:ln>
                                  <a:noFill/>
                                </a:ln>
                                <a:effectLst/>
                              </wps:spPr>
                              <wps:txbx>
                                <w:txbxContent>
                                  <w:p>
                                    <w:pPr>
                                      <w:snapToGrid w:val="0"/>
                                    </w:pPr>
                                    <w:r>
                                      <w:rPr>
                                        <w:rFonts w:hint="eastAsia"/>
                                      </w:rPr>
                                      <w:t>标</w:t>
                                    </w:r>
                                  </w:p>
                                </w:txbxContent>
                              </wps:txbx>
                              <wps:bodyPr rot="0" vert="horz" wrap="square" lIns="0" tIns="0" rIns="0" bIns="0" anchor="t" anchorCtr="0" upright="1">
                                <a:noAutofit/>
                              </wps:bodyPr>
                            </wps:wsp>
                            <wps:wsp>
                              <wps:cNvPr id="16" name="__TH_B3342"/>
                              <wps:cNvSpPr txBox="1">
                                <a:spLocks noChangeArrowheads="1"/>
                              </wps:cNvSpPr>
                              <wps:spPr bwMode="auto">
                                <a:xfrm>
                                  <a:off x="652" y="1606"/>
                                  <a:ext cx="252" cy="262"/>
                                </a:xfrm>
                                <a:prstGeom prst="rect">
                                  <a:avLst/>
                                </a:prstGeom>
                                <a:noFill/>
                                <a:ln>
                                  <a:noFill/>
                                </a:ln>
                                <a:effectLst/>
                              </wps:spPr>
                              <wps:txbx>
                                <w:txbxContent>
                                  <w:p>
                                    <w:pPr>
                                      <w:snapToGrid w:val="0"/>
                                    </w:pPr>
                                    <w:r>
                                      <w:rPr>
                                        <w:rFonts w:hint="eastAsia"/>
                                      </w:rPr>
                                      <w:t>金</w:t>
                                    </w:r>
                                  </w:p>
                                </w:txbxContent>
                              </wps:txbx>
                              <wps:bodyPr rot="0" vert="horz" wrap="square" lIns="0" tIns="0" rIns="0" bIns="0" anchor="t" anchorCtr="0" upright="1">
                                <a:noAutofit/>
                              </wps:bodyPr>
                            </wps:wsp>
                            <wps:wsp>
                              <wps:cNvPr id="17" name="__TH_B3443"/>
                              <wps:cNvSpPr txBox="1">
                                <a:spLocks noChangeArrowheads="1"/>
                              </wps:cNvSpPr>
                              <wps:spPr bwMode="auto">
                                <a:xfrm>
                                  <a:off x="910" y="1656"/>
                                  <a:ext cx="253" cy="263"/>
                                </a:xfrm>
                                <a:prstGeom prst="rect">
                                  <a:avLst/>
                                </a:prstGeom>
                                <a:noFill/>
                                <a:ln>
                                  <a:noFill/>
                                </a:ln>
                                <a:effectLst/>
                              </wps:spPr>
                              <wps:txbx>
                                <w:txbxContent>
                                  <w:p>
                                    <w:pPr>
                                      <w:snapToGrid w:val="0"/>
                                    </w:pPr>
                                    <w:r>
                                      <w:rPr>
                                        <w:rFonts w:hint="eastAsia"/>
                                      </w:rPr>
                                      <w:t>额</w:t>
                                    </w:r>
                                  </w:p>
                                </w:txbxContent>
                              </wps:txbx>
                              <wps:bodyPr rot="0" vert="horz" wrap="square" lIns="0" tIns="0" rIns="0" bIns="0" anchor="t" anchorCtr="0" upright="1">
                                <a:noAutofit/>
                              </wps:bodyPr>
                            </wps:wsp>
                            <wps:wsp>
                              <wps:cNvPr id="18" name="__TH_B3544"/>
                              <wps:cNvSpPr txBox="1">
                                <a:spLocks noChangeArrowheads="1"/>
                              </wps:cNvSpPr>
                              <wps:spPr bwMode="auto">
                                <a:xfrm>
                                  <a:off x="1169" y="1707"/>
                                  <a:ext cx="252" cy="262"/>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s:wsp>
                              <wps:cNvPr id="19" name="__TH_B3645"/>
                              <wps:cNvSpPr txBox="1">
                                <a:spLocks noChangeArrowheads="1"/>
                              </wps:cNvSpPr>
                              <wps:spPr bwMode="auto">
                                <a:xfrm>
                                  <a:off x="1427" y="1757"/>
                                  <a:ext cx="253" cy="263"/>
                                </a:xfrm>
                                <a:prstGeom prst="rect">
                                  <a:avLst/>
                                </a:prstGeom>
                                <a:noFill/>
                                <a:ln>
                                  <a:noFill/>
                                </a:ln>
                                <a:effectLst/>
                              </wps:spPr>
                              <wps:txbx>
                                <w:txbxContent>
                                  <w:p>
                                    <w:pPr>
                                      <w:snapToGrid w:val="0"/>
                                    </w:pPr>
                                    <w:r>
                                      <w:rPr>
                                        <w:rFonts w:hint="eastAsia"/>
                                      </w:rPr>
                                      <w:t>万</w:t>
                                    </w:r>
                                  </w:p>
                                </w:txbxContent>
                              </wps:txbx>
                              <wps:bodyPr rot="0" vert="horz" wrap="square" lIns="0" tIns="0" rIns="0" bIns="0" anchor="t" anchorCtr="0" upright="1">
                                <a:noAutofit/>
                              </wps:bodyPr>
                            </wps:wsp>
                            <wps:wsp>
                              <wps:cNvPr id="20" name="__TH_B3746"/>
                              <wps:cNvSpPr txBox="1">
                                <a:spLocks noChangeArrowheads="1"/>
                              </wps:cNvSpPr>
                              <wps:spPr bwMode="auto">
                                <a:xfrm>
                                  <a:off x="1712" y="1808"/>
                                  <a:ext cx="201" cy="262"/>
                                </a:xfrm>
                                <a:prstGeom prst="rect">
                                  <a:avLst/>
                                </a:prstGeom>
                                <a:noFill/>
                                <a:ln>
                                  <a:noFill/>
                                </a:ln>
                                <a:effectLst/>
                              </wps:spPr>
                              <wps:txbx>
                                <w:txbxContent>
                                  <w:p>
                                    <w:pPr>
                                      <w:snapToGrid w:val="0"/>
                                    </w:pPr>
                                    <w:r>
                                      <w:rPr>
                                        <w:rFonts w:hint="eastAsia"/>
                                      </w:rPr>
                                      <w:t>元</w:t>
                                    </w:r>
                                  </w:p>
                                </w:txbxContent>
                              </wps:txbx>
                              <wps:bodyPr rot="0" vert="horz" wrap="square" lIns="0" tIns="0" rIns="0" bIns="0" anchor="t" anchorCtr="0" upright="1">
                                <a:noAutofit/>
                              </wps:bodyPr>
                            </wps:wsp>
                            <wps:wsp>
                              <wps:cNvPr id="21" name="__TH_B3847"/>
                              <wps:cNvSpPr txBox="1">
                                <a:spLocks noChangeArrowheads="1"/>
                              </wps:cNvSpPr>
                              <wps:spPr bwMode="auto">
                                <a:xfrm>
                                  <a:off x="2047" y="1858"/>
                                  <a:ext cx="48" cy="263"/>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g:wgp>
                        </a:graphicData>
                      </a:graphic>
                    </wp:anchor>
                  </w:drawing>
                </mc:Choice>
                <mc:Fallback>
                  <w:pict>
                    <v:group id="Group 4" o:spid="_x0000_s1026" o:spt="203" style="position:absolute;left:0pt;margin-left:-3.45pt;margin-top:0pt;height:85.2pt;width:131.4pt;z-index:251666432;mso-width-relative:page;mso-height-relative:page;" coordsize="2711,2121" o:gfxdata="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BQOOd/XAAAABwEAAA8AAAAAAAAAAQAgAAAA&#10;IgAAAGRycy9kb3ducmV2LnhtbFBLAQIUABQAAAAIAIdO4kBA1x9RfwQAACYlAAAOAAAAAAAAAAEA&#10;IAAAACYBAABkcnMvZTJvRG9jLnhtbFBLBQYAAAAABgAGAFkBAAAXCAAAAAA=&#10;">
                      <o:lock v:ext="edit" aspectratio="f"/>
                      <v:line id="__TH_L32" o:spid="_x0000_s1026" o:spt="20" style="position:absolute;left:1355;top:0;height:2120;width:1356;"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_TH_L33" o:spid="_x0000_s1026" o:spt="20" style="position:absolute;left:0;top:1060;height:1060;width:2711;"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4" o:spid="_x0000_s1026" o:spt="202" type="#_x0000_t202" style="position:absolute;left:2028;top:166;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服</w:t>
                              </w:r>
                            </w:p>
                          </w:txbxContent>
                        </v:textbox>
                      </v:shape>
                      <v:shape id="__TH_B1235" o:spid="_x0000_s1026" o:spt="202" type="#_x0000_t202" style="position:absolute;left:2151;top:550;height:263;width:25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务</w:t>
                              </w:r>
                            </w:p>
                          </w:txbxContent>
                        </v:textbox>
                      </v:shape>
                      <v:shape id="__TH_B1336" o:spid="_x0000_s1026" o:spt="202" type="#_x0000_t202" style="position:absolute;left:2274;top:935;height:262;width:2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类</w:t>
                              </w:r>
                            </w:p>
                          </w:txbxContent>
                        </v:textbox>
                      </v:shape>
                      <v:shape id="__TH_B1437" o:spid="_x0000_s1026" o:spt="202" type="#_x0000_t202" style="position:absolute;left:2397;top:1319;height:263;width:25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pPr>
                              <w:r>
                                <w:rPr>
                                  <w:rFonts w:hint="eastAsia"/>
                                </w:rPr>
                                <w:t>型</w:t>
                              </w:r>
                            </w:p>
                          </w:txbxContent>
                        </v:textbox>
                      </v:shape>
                      <v:shape id="__TH_B2138" o:spid="_x0000_s1026" o:spt="202" type="#_x0000_t202" style="position:absolute;left:602;top:418;height:262;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费</w:t>
                              </w:r>
                            </w:p>
                          </w:txbxContent>
                        </v:textbox>
                      </v:shape>
                      <v:shape id="__TH_B2239" o:spid="_x0000_s1026" o:spt="202" type="#_x0000_t202" style="position:absolute;left:1738;top:1306;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率</w:t>
                              </w:r>
                            </w:p>
                          </w:txbxContent>
                        </v:textbox>
                      </v:shape>
                      <v:shape id="__TH_B3140" o:spid="_x0000_s1026" o:spt="202" type="#_x0000_t202" style="position:absolute;left:134;top:1505;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中</w:t>
                              </w:r>
                            </w:p>
                          </w:txbxContent>
                        </v:textbox>
                      </v:shape>
                      <v:shape id="__TH_B3241" o:spid="_x0000_s1026" o:spt="202" type="#_x0000_t202" style="position:absolute;left:393;top:1555;height:263;width:252;"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标</w:t>
                              </w:r>
                            </w:p>
                          </w:txbxContent>
                        </v:textbox>
                      </v:shape>
                      <v:shape id="__TH_B3342" o:spid="_x0000_s1026" o:spt="202" type="#_x0000_t202" style="position:absolute;left:652;top:1606;height:262;width:25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金</w:t>
                              </w:r>
                            </w:p>
                          </w:txbxContent>
                        </v:textbox>
                      </v:shape>
                      <v:shape id="__TH_B3443" o:spid="_x0000_s1026" o:spt="202" type="#_x0000_t202" style="position:absolute;left:910;top:1656;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额</w:t>
                              </w:r>
                            </w:p>
                          </w:txbxContent>
                        </v:textbox>
                      </v:shape>
                      <v:shape id="__TH_B3544" o:spid="_x0000_s1026" o:spt="202" type="#_x0000_t202" style="position:absolute;left:1169;top:1707;height:262;width:252;"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shape id="__TH_B3645" o:spid="_x0000_s1026" o:spt="202" type="#_x0000_t202" style="position:absolute;left:1427;top:1757;height:263;width:25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万</w:t>
                              </w:r>
                            </w:p>
                          </w:txbxContent>
                        </v:textbox>
                      </v:shape>
                      <v:shape id="__TH_B3746" o:spid="_x0000_s1026" o:spt="202" type="#_x0000_t202" style="position:absolute;left:1712;top:1808;height:262;width:201;"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元</w:t>
                              </w:r>
                            </w:p>
                          </w:txbxContent>
                        </v:textbox>
                      </v:shape>
                      <v:shape id="__TH_B3847" o:spid="_x0000_s1026" o:spt="202" type="#_x0000_t202" style="position:absolute;left:2047;top:1858;height:263;width:48;"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b/>
                <w:color w:val="auto"/>
                <w:sz w:val="21"/>
                <w:szCs w:val="21"/>
              </w:rPr>
            </w:pP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b/>
                <w:color w:val="auto"/>
                <w:sz w:val="21"/>
                <w:szCs w:val="21"/>
              </w:rPr>
            </w:pPr>
            <w:r>
              <w:rPr>
                <w:rFonts w:hint="eastAsia" w:ascii="宋体" w:hAnsi="宋体" w:cs="宋体"/>
                <w:b/>
                <w:color w:val="auto"/>
                <w:sz w:val="21"/>
                <w:szCs w:val="21"/>
              </w:rPr>
              <w:t>货物招标</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b/>
                <w:color w:val="auto"/>
                <w:sz w:val="21"/>
                <w:szCs w:val="21"/>
              </w:rPr>
            </w:pPr>
            <w:r>
              <w:rPr>
                <w:rFonts w:hint="eastAsia" w:ascii="宋体" w:hAnsi="宋体" w:cs="宋体"/>
                <w:b/>
                <w:color w:val="auto"/>
                <w:sz w:val="21"/>
                <w:szCs w:val="21"/>
              </w:rPr>
              <w:t>服务招标</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b/>
                <w:color w:val="auto"/>
                <w:sz w:val="21"/>
                <w:szCs w:val="21"/>
              </w:rPr>
            </w:pPr>
            <w:r>
              <w:rPr>
                <w:rFonts w:hint="eastAsia" w:ascii="宋体" w:hAnsi="宋体" w:cs="宋体"/>
                <w:b/>
                <w:color w:val="auto"/>
                <w:sz w:val="21"/>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100以下</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100-500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1.1%</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0.8%</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500-1000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0.8%</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0.45%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1000-5000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0.25%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5000-10000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0.25%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0.1%</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10000-100000</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0.05%</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0.05%</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1000000以上</w:t>
            </w:r>
          </w:p>
        </w:tc>
        <w:tc>
          <w:tcPr>
            <w:tcW w:w="1968"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0.01%</w:t>
            </w:r>
          </w:p>
        </w:tc>
        <w:tc>
          <w:tcPr>
            <w:tcW w:w="2287"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0.01%</w:t>
            </w:r>
          </w:p>
        </w:tc>
        <w:tc>
          <w:tcPr>
            <w:tcW w:w="2285" w:type="dxa"/>
            <w:noWrap w:val="0"/>
            <w:vAlign w:val="center"/>
          </w:tcPr>
          <w:p>
            <w:pPr>
              <w:keepNext w:val="0"/>
              <w:keepLines w:val="0"/>
              <w:pageBreakBefore w:val="0"/>
              <w:widowControl w:val="0"/>
              <w:kinsoku/>
              <w:wordWrap/>
              <w:overflowPunct/>
              <w:topLinePunct w:val="0"/>
              <w:autoSpaceDE/>
              <w:autoSpaceDN/>
              <w:bidi w:val="0"/>
              <w:adjustRightInd w:val="0"/>
              <w:snapToGrid/>
              <w:spacing w:beforeAutospacing="0" w:line="240" w:lineRule="auto"/>
              <w:jc w:val="center"/>
              <w:textAlignment w:val="auto"/>
              <w:rPr>
                <w:rFonts w:hint="eastAsia" w:ascii="宋体" w:hAnsi="宋体" w:cs="宋体"/>
                <w:color w:val="auto"/>
                <w:sz w:val="21"/>
                <w:szCs w:val="21"/>
              </w:rPr>
            </w:pPr>
            <w:r>
              <w:rPr>
                <w:rFonts w:hint="eastAsia" w:ascii="宋体" w:hAnsi="宋体" w:cs="宋体"/>
                <w:color w:val="auto"/>
                <w:sz w:val="21"/>
                <w:szCs w:val="21"/>
              </w:rPr>
              <w:t>0.01%</w:t>
            </w:r>
          </w:p>
        </w:tc>
      </w:tr>
    </w:tbl>
    <w:p>
      <w:pPr>
        <w:pStyle w:val="21"/>
        <w:rPr>
          <w:rFonts w:hint="eastAsia"/>
          <w:lang w:eastAsia="zh-CN"/>
        </w:rPr>
        <w:sectPr>
          <w:footerReference r:id="rId5" w:type="default"/>
          <w:pgSz w:w="11906" w:h="16838"/>
          <w:pgMar w:top="1417" w:right="1418" w:bottom="1417" w:left="1418" w:header="680" w:footer="992" w:gutter="0"/>
          <w:pgNumType w:fmt="decimal" w:start="1"/>
          <w:cols w:space="720" w:num="1"/>
          <w:rtlGutter w:val="0"/>
          <w:docGrid w:linePitch="312" w:charSpace="0"/>
        </w:sectPr>
      </w:pPr>
    </w:p>
    <w:p>
      <w:pPr>
        <w:keepNext w:val="0"/>
        <w:keepLines w:val="0"/>
        <w:pageBreakBefore w:val="0"/>
        <w:kinsoku/>
        <w:overflowPunct/>
        <w:autoSpaceDE/>
        <w:bidi w:val="0"/>
        <w:spacing w:line="336" w:lineRule="auto"/>
        <w:jc w:val="center"/>
        <w:outlineLvl w:val="0"/>
        <w:rPr>
          <w:rFonts w:hint="eastAsia" w:ascii="宋体" w:hAnsi="宋体" w:eastAsia="宋体" w:cs="宋体"/>
          <w:b/>
          <w:sz w:val="36"/>
          <w:szCs w:val="36"/>
        </w:rPr>
      </w:pPr>
      <w:bookmarkStart w:id="34" w:name="_Toc26914"/>
      <w:bookmarkStart w:id="35" w:name="_Toc23319"/>
      <w:r>
        <w:rPr>
          <w:rFonts w:hint="eastAsia" w:ascii="宋体" w:hAnsi="宋体" w:eastAsia="宋体" w:cs="宋体"/>
          <w:b/>
          <w:sz w:val="36"/>
          <w:szCs w:val="36"/>
        </w:rPr>
        <w:t>第三部分   采购需求</w:t>
      </w:r>
      <w:bookmarkEnd w:id="34"/>
      <w:bookmarkEnd w:id="35"/>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eastAsia" w:ascii="宋体" w:hAnsi="宋体" w:cs="宋体"/>
          <w:b/>
          <w:bCs/>
          <w:color w:val="auto"/>
          <w:sz w:val="32"/>
          <w:szCs w:val="32"/>
        </w:rPr>
      </w:pP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eastAsia" w:ascii="宋体" w:hAnsi="宋体" w:cs="宋体"/>
          <w:b/>
          <w:color w:val="auto"/>
          <w:sz w:val="32"/>
          <w:szCs w:val="32"/>
        </w:rPr>
      </w:pPr>
      <w:r>
        <w:rPr>
          <w:rFonts w:hint="eastAsia" w:ascii="宋体" w:hAnsi="宋体" w:cs="宋体"/>
          <w:b/>
          <w:bCs/>
          <w:color w:val="auto"/>
          <w:sz w:val="32"/>
          <w:szCs w:val="32"/>
        </w:rPr>
        <w:t>（一）概述</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eastAsia" w:ascii="宋体" w:hAnsi="宋体" w:cs="宋体"/>
          <w:color w:val="auto"/>
          <w:sz w:val="21"/>
          <w:szCs w:val="21"/>
        </w:rPr>
      </w:pPr>
      <w:r>
        <w:rPr>
          <w:rFonts w:hint="default" w:ascii="宋体" w:hAnsi="宋体" w:eastAsia="宋体" w:cs="宋体"/>
          <w:color w:val="auto"/>
          <w:kern w:val="2"/>
          <w:sz w:val="21"/>
          <w:szCs w:val="21"/>
          <w:lang w:val="en-US" w:eastAsia="zh-CN" w:bidi="ar-SA"/>
        </w:rPr>
        <w:t>1.</w:t>
      </w:r>
      <w:r>
        <w:rPr>
          <w:rFonts w:hint="eastAsia" w:ascii="宋体" w:hAnsi="宋体" w:cs="宋体"/>
          <w:color w:val="auto"/>
          <w:sz w:val="21"/>
          <w:szCs w:val="21"/>
        </w:rPr>
        <w:t>每个磋商供应商必须完成采购内容和合同规定义务，不允许只对部分内容进行报价。</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2" w:firstLineChars="200"/>
        <w:jc w:val="both"/>
        <w:textAlignment w:val="auto"/>
        <w:outlineLvl w:val="9"/>
        <w:rPr>
          <w:rFonts w:hint="eastAsia" w:ascii="宋体" w:hAnsi="宋体" w:cs="宋体"/>
          <w:b/>
          <w:color w:val="auto"/>
          <w:sz w:val="21"/>
          <w:szCs w:val="21"/>
        </w:rPr>
      </w:pPr>
      <w:r>
        <w:rPr>
          <w:rFonts w:hint="default" w:ascii="宋体" w:hAnsi="宋体" w:eastAsia="宋体" w:cs="宋体"/>
          <w:b/>
          <w:color w:val="auto"/>
          <w:kern w:val="2"/>
          <w:sz w:val="21"/>
          <w:szCs w:val="21"/>
          <w:lang w:val="en-US" w:eastAsia="zh-CN" w:bidi="ar-SA"/>
        </w:rPr>
        <w:t>2.</w:t>
      </w:r>
      <w:r>
        <w:rPr>
          <w:rFonts w:hint="eastAsia" w:ascii="宋体" w:hAnsi="宋体" w:cs="宋体"/>
          <w:b/>
          <w:color w:val="auto"/>
          <w:sz w:val="21"/>
          <w:szCs w:val="21"/>
        </w:rPr>
        <w:t>▲现场踏勘</w:t>
      </w:r>
      <w:r>
        <w:rPr>
          <w:rFonts w:hint="eastAsia" w:ascii="宋体" w:hAnsi="宋体" w:cs="宋体"/>
          <w:color w:val="auto"/>
          <w:sz w:val="21"/>
          <w:szCs w:val="21"/>
        </w:rPr>
        <w:t>：</w:t>
      </w:r>
      <w:r>
        <w:rPr>
          <w:rFonts w:hint="eastAsia" w:ascii="宋体" w:hAnsi="宋体" w:cs="宋体"/>
          <w:b/>
          <w:color w:val="auto"/>
          <w:sz w:val="21"/>
          <w:szCs w:val="21"/>
        </w:rPr>
        <w:t>各磋商供应商于磋商截止时间前自行到现场进行踏勘 ，以获取本次磋商所需的现场资料及数据，磋商人若未到现场踏勘，引起的一切后果均由其自行负责，由此造成投标价的偏差均不予调整。现场踏勘费用自理。</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eastAsia" w:ascii="宋体" w:hAnsi="宋体" w:cs="宋体"/>
          <w:color w:val="auto"/>
          <w:sz w:val="21"/>
          <w:szCs w:val="21"/>
        </w:rPr>
      </w:pPr>
      <w:r>
        <w:rPr>
          <w:rFonts w:hint="default" w:ascii="宋体" w:hAnsi="宋体" w:eastAsia="宋体" w:cs="宋体"/>
          <w:color w:val="auto"/>
          <w:kern w:val="2"/>
          <w:sz w:val="21"/>
          <w:szCs w:val="21"/>
          <w:lang w:val="en-US" w:eastAsia="zh-CN" w:bidi="ar-SA"/>
        </w:rPr>
        <w:t>3.</w:t>
      </w:r>
      <w:r>
        <w:rPr>
          <w:rFonts w:hint="eastAsia" w:ascii="宋体" w:hAnsi="宋体" w:cs="宋体"/>
          <w:color w:val="auto"/>
          <w:sz w:val="21"/>
          <w:szCs w:val="21"/>
        </w:rPr>
        <w:t>磋商供应商需按</w:t>
      </w:r>
      <w:r>
        <w:rPr>
          <w:rFonts w:hint="eastAsia" w:ascii="宋体" w:hAnsi="宋体" w:cs="宋体"/>
          <w:color w:val="auto"/>
          <w:sz w:val="21"/>
          <w:szCs w:val="21"/>
          <w:lang w:eastAsia="zh-CN"/>
        </w:rPr>
        <w:t>磋商文件</w:t>
      </w:r>
      <w:r>
        <w:rPr>
          <w:rFonts w:hint="eastAsia" w:ascii="宋体" w:hAnsi="宋体" w:cs="宋体"/>
          <w:color w:val="auto"/>
          <w:sz w:val="21"/>
          <w:szCs w:val="21"/>
        </w:rPr>
        <w:t>的要求完成采购服务工作。按工作顺序提交所需的无论其是否被明细列在合同文件中的所有资料，提供的服务必须满足</w:t>
      </w:r>
      <w:r>
        <w:rPr>
          <w:rFonts w:hint="eastAsia" w:ascii="宋体" w:hAnsi="宋体" w:cs="宋体"/>
          <w:color w:val="auto"/>
          <w:sz w:val="21"/>
          <w:szCs w:val="21"/>
          <w:lang w:eastAsia="zh-CN"/>
        </w:rPr>
        <w:t>磋商文件</w:t>
      </w:r>
      <w:r>
        <w:rPr>
          <w:rFonts w:hint="eastAsia" w:ascii="宋体" w:hAnsi="宋体" w:cs="宋体"/>
          <w:color w:val="auto"/>
          <w:sz w:val="21"/>
          <w:szCs w:val="21"/>
        </w:rPr>
        <w:t>中提出的相关要求。</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0" w:firstLineChars="200"/>
        <w:jc w:val="both"/>
        <w:textAlignment w:val="auto"/>
        <w:outlineLvl w:val="9"/>
        <w:rPr>
          <w:rFonts w:hint="eastAsia" w:ascii="宋体" w:hAnsi="宋体" w:cs="宋体"/>
          <w:color w:val="auto"/>
          <w:sz w:val="21"/>
          <w:szCs w:val="21"/>
        </w:rPr>
      </w:pPr>
      <w:r>
        <w:rPr>
          <w:rFonts w:hint="default" w:ascii="宋体" w:hAnsi="宋体" w:eastAsia="宋体" w:cs="宋体"/>
          <w:color w:val="auto"/>
          <w:kern w:val="2"/>
          <w:sz w:val="21"/>
          <w:szCs w:val="21"/>
          <w:lang w:val="en-US" w:eastAsia="zh-CN" w:bidi="ar-SA"/>
        </w:rPr>
        <w:t>4.</w:t>
      </w:r>
      <w:r>
        <w:rPr>
          <w:rFonts w:hint="eastAsia" w:ascii="宋体" w:hAnsi="宋体" w:cs="宋体"/>
          <w:color w:val="auto"/>
          <w:sz w:val="21"/>
          <w:szCs w:val="21"/>
        </w:rPr>
        <w:t>在报价之前，磋商供应商须仔细阅读</w:t>
      </w:r>
      <w:r>
        <w:rPr>
          <w:rFonts w:hint="eastAsia" w:ascii="宋体" w:hAnsi="宋体" w:cs="宋体"/>
          <w:color w:val="auto"/>
          <w:sz w:val="21"/>
          <w:szCs w:val="21"/>
          <w:lang w:eastAsia="zh-CN"/>
        </w:rPr>
        <w:t>磋商文件</w:t>
      </w:r>
      <w:r>
        <w:rPr>
          <w:rFonts w:hint="eastAsia" w:ascii="宋体" w:hAnsi="宋体" w:cs="宋体"/>
          <w:color w:val="auto"/>
          <w:sz w:val="21"/>
          <w:szCs w:val="21"/>
        </w:rPr>
        <w:t>，如发现有任何疑问、冲突或技术问题，磋商供应商须在答疑截止时间前以书面形式向采购代理机构提出。逾期采购人不再作答复，有关风险及责任由磋商供应商自行承担。</w:t>
      </w:r>
    </w:p>
    <w:p>
      <w:pPr>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36" w:lineRule="auto"/>
        <w:ind w:left="0" w:leftChars="0" w:firstLine="422" w:firstLineChars="200"/>
        <w:textAlignment w:val="auto"/>
        <w:outlineLvl w:val="9"/>
        <w:rPr>
          <w:rFonts w:hint="eastAsia" w:ascii="宋体" w:hAnsi="宋体" w:cs="宋体"/>
          <w:b/>
          <w:color w:val="auto"/>
          <w:sz w:val="21"/>
          <w:szCs w:val="21"/>
        </w:rPr>
      </w:pPr>
      <w:r>
        <w:rPr>
          <w:rFonts w:hint="default" w:ascii="宋体" w:hAnsi="宋体" w:eastAsia="宋体" w:cs="宋体"/>
          <w:b/>
          <w:color w:val="auto"/>
          <w:kern w:val="2"/>
          <w:sz w:val="21"/>
          <w:szCs w:val="21"/>
          <w:lang w:val="en-US" w:eastAsia="zh-CN" w:bidi="ar-SA"/>
        </w:rPr>
        <w:t>5.</w:t>
      </w:r>
      <w:r>
        <w:rPr>
          <w:rFonts w:hint="eastAsia" w:ascii="宋体" w:hAnsi="宋体" w:cs="宋体"/>
          <w:color w:val="auto"/>
          <w:sz w:val="21"/>
          <w:szCs w:val="21"/>
        </w:rPr>
        <w:t>磋商供应商须对</w:t>
      </w:r>
      <w:r>
        <w:rPr>
          <w:rFonts w:hint="eastAsia" w:ascii="宋体" w:hAnsi="宋体" w:cs="宋体"/>
          <w:color w:val="auto"/>
          <w:sz w:val="21"/>
          <w:szCs w:val="21"/>
          <w:lang w:eastAsia="zh-CN"/>
        </w:rPr>
        <w:t>磋商文件</w:t>
      </w:r>
      <w:r>
        <w:rPr>
          <w:rFonts w:hint="eastAsia" w:ascii="宋体" w:hAnsi="宋体" w:cs="宋体"/>
          <w:color w:val="auto"/>
          <w:sz w:val="21"/>
          <w:szCs w:val="21"/>
        </w:rPr>
        <w:t>中各个条款一一给予实质性答复，</w:t>
      </w:r>
      <w:r>
        <w:rPr>
          <w:rFonts w:hint="eastAsia" w:ascii="宋体" w:hAnsi="宋体" w:cs="宋体"/>
          <w:color w:val="auto"/>
          <w:sz w:val="21"/>
          <w:szCs w:val="21"/>
          <w:u w:val="wave"/>
        </w:rPr>
        <w:t>否则有可能导致作无效标处理</w:t>
      </w:r>
      <w:r>
        <w:rPr>
          <w:rFonts w:hint="eastAsia" w:ascii="宋体" w:hAnsi="宋体" w:cs="宋体"/>
          <w:b/>
          <w:color w:val="auto"/>
          <w:sz w:val="21"/>
          <w:szCs w:val="21"/>
        </w:rPr>
        <w:t>。</w:t>
      </w: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eastAsia" w:ascii="宋体" w:hAnsi="宋体" w:cs="宋体"/>
          <w:b/>
          <w:bCs/>
          <w:color w:val="auto"/>
          <w:sz w:val="32"/>
          <w:szCs w:val="32"/>
        </w:rPr>
      </w:pPr>
    </w:p>
    <w:p>
      <w:pPr>
        <w:keepNext w:val="0"/>
        <w:keepLines w:val="0"/>
        <w:pageBreakBefore w:val="0"/>
        <w:widowControl/>
        <w:tabs>
          <w:tab w:val="left" w:pos="927"/>
        </w:tabs>
        <w:kinsoku/>
        <w:wordWrap/>
        <w:overflowPunct/>
        <w:topLinePunct w:val="0"/>
        <w:autoSpaceDE/>
        <w:autoSpaceDN/>
        <w:bidi w:val="0"/>
        <w:adjustRightInd w:val="0"/>
        <w:snapToGrid w:val="0"/>
        <w:spacing w:line="336" w:lineRule="auto"/>
        <w:jc w:val="center"/>
        <w:textAlignment w:val="auto"/>
        <w:outlineLvl w:val="9"/>
        <w:rPr>
          <w:rFonts w:hint="eastAsia" w:ascii="宋体" w:hAnsi="宋体" w:cs="宋体"/>
          <w:b/>
          <w:bCs/>
          <w:color w:val="auto"/>
          <w:sz w:val="32"/>
          <w:szCs w:val="32"/>
        </w:rPr>
      </w:pPr>
      <w:r>
        <w:rPr>
          <w:rFonts w:hint="eastAsia" w:ascii="宋体" w:hAnsi="宋体" w:cs="宋体"/>
          <w:b/>
          <w:bCs/>
          <w:color w:val="auto"/>
          <w:sz w:val="32"/>
          <w:szCs w:val="32"/>
        </w:rPr>
        <w:t>（二）采购内容</w:t>
      </w:r>
    </w:p>
    <w:p>
      <w:pPr>
        <w:keepNext w:val="0"/>
        <w:keepLines w:val="0"/>
        <w:pageBreakBefore w:val="0"/>
        <w:widowControl/>
        <w:numPr>
          <w:ilvl w:val="0"/>
          <w:numId w:val="0"/>
        </w:numPr>
        <w:kinsoku/>
        <w:wordWrap/>
        <w:overflowPunct/>
        <w:topLinePunct w:val="0"/>
        <w:autoSpaceDE/>
        <w:autoSpaceDN/>
        <w:bidi w:val="0"/>
        <w:adjustRightInd/>
        <w:snapToGrid/>
        <w:spacing w:line="336" w:lineRule="auto"/>
        <w:ind w:left="0" w:leftChars="0" w:firstLine="0" w:firstLineChars="0"/>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lang w:val="en-US" w:eastAsia="zh-CN" w:bidi="ar-SA"/>
        </w:rPr>
        <w:t>一、</w:t>
      </w:r>
      <w:r>
        <w:rPr>
          <w:rFonts w:hint="eastAsia" w:ascii="宋体" w:hAnsi="宋体" w:eastAsia="宋体" w:cs="宋体"/>
          <w:b/>
          <w:color w:val="auto"/>
          <w:sz w:val="21"/>
          <w:szCs w:val="21"/>
          <w:highlight w:val="none"/>
        </w:rPr>
        <w:t>工程概况：</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1、工程名称：</w:t>
      </w:r>
      <w:r>
        <w:rPr>
          <w:rFonts w:hint="eastAsia" w:ascii="宋体" w:hAnsi="宋体"/>
          <w:bCs/>
          <w:sz w:val="21"/>
          <w:szCs w:val="21"/>
          <w:lang w:eastAsia="zh-CN"/>
        </w:rPr>
        <w:t>瑞安市曹村镇宋岙溪河道治理工程</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eastAsia="宋体" w:cs="宋体"/>
          <w:sz w:val="21"/>
          <w:szCs w:val="21"/>
          <w:lang w:val="en-US" w:eastAsia="zh-CN"/>
        </w:rPr>
      </w:pPr>
      <w:r>
        <w:rPr>
          <w:rFonts w:hint="eastAsia" w:ascii="宋体" w:hAnsi="宋体" w:eastAsia="宋体" w:cs="宋体"/>
          <w:b/>
          <w:color w:val="000000"/>
          <w:sz w:val="21"/>
          <w:szCs w:val="21"/>
          <w:lang w:val="en-US" w:eastAsia="zh-CN"/>
        </w:rPr>
        <w:t>2、</w:t>
      </w:r>
      <w:r>
        <w:rPr>
          <w:rFonts w:hint="eastAsia" w:ascii="宋体" w:hAnsi="宋体" w:eastAsia="宋体" w:cs="宋体"/>
          <w:b/>
          <w:color w:val="000000"/>
          <w:sz w:val="21"/>
          <w:szCs w:val="21"/>
        </w:rPr>
        <w:t>建设地点：</w:t>
      </w:r>
      <w:r>
        <w:rPr>
          <w:rFonts w:hint="eastAsia" w:ascii="宋体" w:hAnsi="宋体" w:eastAsia="宋体" w:cs="宋体"/>
          <w:color w:val="000000"/>
          <w:kern w:val="0"/>
          <w:sz w:val="21"/>
          <w:szCs w:val="21"/>
          <w:lang w:val="en-US" w:eastAsia="zh-CN" w:bidi="ar"/>
        </w:rPr>
        <w:t>位于曹村镇。</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eastAsia="宋体" w:cs="宋体"/>
          <w:color w:val="0000FF"/>
          <w:sz w:val="21"/>
          <w:szCs w:val="21"/>
          <w:highlight w:val="none"/>
          <w:u w:val="single"/>
          <w:lang w:eastAsia="zh-CN"/>
        </w:rPr>
      </w:pPr>
      <w:r>
        <w:rPr>
          <w:rFonts w:hint="eastAsia" w:ascii="宋体" w:hAnsi="宋体" w:eastAsia="宋体" w:cs="宋体"/>
          <w:b/>
          <w:bCs/>
          <w:sz w:val="21"/>
          <w:szCs w:val="21"/>
          <w:highlight w:val="none"/>
          <w:lang w:val="en-US" w:eastAsia="zh-CN"/>
        </w:rPr>
        <w:t>3、采购范围：</w:t>
      </w:r>
      <w:r>
        <w:rPr>
          <w:rFonts w:hint="eastAsia" w:ascii="宋体" w:hAnsi="宋体" w:eastAsia="宋体" w:cs="宋体"/>
          <w:sz w:val="21"/>
          <w:szCs w:val="21"/>
          <w:highlight w:val="none"/>
          <w:lang w:val="en-US" w:eastAsia="zh-CN"/>
        </w:rPr>
        <w:t>河道护岸、</w:t>
      </w:r>
      <w:r>
        <w:rPr>
          <w:rFonts w:hint="eastAsia" w:ascii="宋体" w:hAnsi="宋体" w:eastAsia="宋体" w:cs="宋体"/>
          <w:color w:val="000000"/>
          <w:kern w:val="0"/>
          <w:sz w:val="21"/>
          <w:szCs w:val="21"/>
          <w:highlight w:val="none"/>
          <w:lang w:val="en-US" w:eastAsia="zh-CN" w:bidi="ar"/>
        </w:rPr>
        <w:t>排洪渠</w:t>
      </w:r>
      <w:r>
        <w:rPr>
          <w:rFonts w:hint="eastAsia" w:ascii="宋体" w:hAnsi="宋体" w:eastAsia="宋体" w:cs="宋体"/>
          <w:sz w:val="21"/>
          <w:szCs w:val="21"/>
          <w:highlight w:val="none"/>
          <w:lang w:val="en-US" w:eastAsia="zh-CN"/>
        </w:rPr>
        <w:t>等</w:t>
      </w:r>
      <w:r>
        <w:rPr>
          <w:rFonts w:hint="eastAsia" w:ascii="宋体" w:hAnsi="宋体" w:eastAsia="宋体" w:cs="宋体"/>
          <w:color w:val="000000"/>
          <w:kern w:val="0"/>
          <w:sz w:val="21"/>
          <w:szCs w:val="21"/>
          <w:highlight w:val="none"/>
          <w:lang w:val="en-US" w:eastAsia="zh-CN" w:bidi="ar"/>
        </w:rPr>
        <w:t>，具体以施工图和工程量清单为准。</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、承包方式：</w:t>
      </w:r>
      <w:r>
        <w:rPr>
          <w:rFonts w:hint="eastAsia" w:ascii="宋体" w:hAnsi="宋体" w:eastAsia="宋体" w:cs="宋体"/>
          <w:color w:val="auto"/>
          <w:sz w:val="21"/>
          <w:szCs w:val="21"/>
          <w:highlight w:val="none"/>
        </w:rPr>
        <w:t>包工包料</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、质量标准</w:t>
      </w:r>
      <w:r>
        <w:rPr>
          <w:rFonts w:hint="eastAsia" w:ascii="宋体" w:hAnsi="宋体" w:eastAsia="宋体" w:cs="宋体"/>
          <w:color w:val="auto"/>
          <w:sz w:val="21"/>
          <w:szCs w:val="21"/>
          <w:highlight w:val="none"/>
        </w:rPr>
        <w:t>：合格</w:t>
      </w:r>
    </w:p>
    <w:p>
      <w:pPr>
        <w:keepNext w:val="0"/>
        <w:keepLines w:val="0"/>
        <w:pageBreakBefore w:val="0"/>
        <w:widowControl/>
        <w:kinsoku/>
        <w:wordWrap/>
        <w:overflowPunct/>
        <w:topLinePunct w:val="0"/>
        <w:autoSpaceDE/>
        <w:autoSpaceDN/>
        <w:bidi w:val="0"/>
        <w:adjustRightInd/>
        <w:snapToGrid/>
        <w:spacing w:line="336" w:lineRule="auto"/>
        <w:ind w:firstLine="420"/>
        <w:textAlignment w:val="auto"/>
        <w:rPr>
          <w:rFonts w:hint="eastAsia" w:ascii="宋体" w:hAnsi="宋体" w:cs="Arial"/>
          <w:bCs/>
          <w:color w:val="auto"/>
          <w:kern w:val="28"/>
          <w:sz w:val="21"/>
          <w:szCs w:val="21"/>
          <w:highlight w:val="none"/>
          <w:lang w:eastAsia="zh-CN"/>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、工    期</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180日历天</w:t>
      </w:r>
      <w:r>
        <w:rPr>
          <w:rFonts w:hint="eastAsia" w:ascii="宋体" w:hAnsi="宋体" w:cs="Arial"/>
          <w:bCs/>
          <w:color w:val="auto"/>
          <w:kern w:val="28"/>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36" w:lineRule="auto"/>
        <w:ind w:left="0" w:leftChars="0" w:firstLine="0" w:firstLineChars="0"/>
        <w:textAlignment w:val="auto"/>
        <w:outlineLvl w:val="9"/>
        <w:rPr>
          <w:rFonts w:hint="eastAsia" w:ascii="宋体" w:hAnsi="宋体" w:eastAsia="宋体" w:cs="宋体"/>
          <w:b/>
          <w:color w:val="auto"/>
          <w:sz w:val="21"/>
          <w:szCs w:val="21"/>
          <w:highlight w:val="yellow"/>
        </w:rPr>
      </w:pPr>
      <w:r>
        <w:rPr>
          <w:rFonts w:hint="eastAsia" w:ascii="宋体" w:hAnsi="宋体" w:eastAsia="宋体" w:cs="宋体"/>
          <w:color w:val="auto"/>
          <w:kern w:val="2"/>
          <w:sz w:val="21"/>
          <w:szCs w:val="21"/>
          <w:highlight w:val="none"/>
          <w:lang w:val="en-US" w:eastAsia="zh-CN" w:bidi="ar-SA"/>
        </w:rPr>
        <w:t>二、</w:t>
      </w:r>
      <w:r>
        <w:rPr>
          <w:rFonts w:hint="eastAsia" w:ascii="宋体" w:hAnsi="宋体" w:eastAsia="宋体" w:cs="宋体"/>
          <w:b/>
          <w:color w:val="auto"/>
          <w:sz w:val="21"/>
          <w:szCs w:val="21"/>
          <w:highlight w:val="none"/>
        </w:rPr>
        <w:t>付款方式：</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0" w:leftChars="0" w:firstLine="422" w:firstLineChars="200"/>
        <w:textAlignment w:val="auto"/>
        <w:outlineLvl w:val="9"/>
        <w:rPr>
          <w:rFonts w:hint="eastAsia" w:ascii="宋体" w:hAnsi="宋体" w:eastAsia="宋体" w:cs="宋体"/>
          <w:b/>
          <w:color w:val="auto"/>
          <w:highlight w:val="none"/>
          <w:u w:val="single"/>
          <w:lang w:val="en-US" w:eastAsia="zh-CN"/>
        </w:rPr>
      </w:pPr>
      <w:r>
        <w:rPr>
          <w:rFonts w:hint="eastAsia" w:ascii="宋体" w:hAnsi="宋体" w:eastAsia="宋体" w:cs="宋体"/>
          <w:b/>
          <w:color w:val="auto"/>
          <w:highlight w:val="none"/>
          <w:u w:val="single"/>
          <w:lang w:eastAsia="zh-CN"/>
        </w:rPr>
        <w:t>①</w:t>
      </w:r>
      <w:r>
        <w:rPr>
          <w:rFonts w:hint="eastAsia" w:ascii="宋体" w:hAnsi="宋体" w:eastAsia="宋体" w:cs="宋体"/>
          <w:b/>
          <w:color w:val="auto"/>
          <w:highlight w:val="none"/>
          <w:u w:val="single"/>
          <w:lang w:val="en-US" w:eastAsia="zh-CN"/>
        </w:rPr>
        <w:t>合同签订以及具备实施条件后7个工作日内支付合同价款的40%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具体拨付时间视财政资金到位情况为准）</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0" w:leftChars="0" w:firstLine="422" w:firstLineChars="200"/>
        <w:textAlignment w:val="auto"/>
        <w:outlineLvl w:val="9"/>
        <w:rPr>
          <w:rFonts w:hint="eastAsia" w:ascii="宋体" w:hAnsi="宋体" w:eastAsia="宋体" w:cs="MS Sans Serif"/>
          <w:b/>
          <w:color w:val="auto"/>
          <w:szCs w:val="21"/>
          <w:highlight w:val="none"/>
          <w:u w:val="single"/>
          <w:lang w:eastAsia="zh-CN"/>
        </w:rPr>
      </w:pPr>
      <w:r>
        <w:rPr>
          <w:rFonts w:hint="eastAsia" w:ascii="宋体" w:hAnsi="宋体" w:eastAsia="宋体" w:cs="MS Sans Serif"/>
          <w:b/>
          <w:color w:val="auto"/>
          <w:szCs w:val="21"/>
          <w:highlight w:val="none"/>
          <w:u w:val="single"/>
          <w:lang w:val="en-US" w:eastAsia="zh-CN"/>
        </w:rPr>
        <w:t>②</w:t>
      </w:r>
      <w:r>
        <w:rPr>
          <w:rFonts w:hint="eastAsia" w:ascii="宋体" w:hAnsi="宋体" w:eastAsia="宋体" w:cs="MS Sans Serif"/>
          <w:b/>
          <w:color w:val="auto"/>
          <w:szCs w:val="21"/>
          <w:highlight w:val="none"/>
          <w:u w:val="single"/>
          <w:lang w:eastAsia="zh-CN"/>
        </w:rPr>
        <w:t>每月</w:t>
      </w:r>
      <w:r>
        <w:rPr>
          <w:rFonts w:hint="eastAsia" w:ascii="宋体" w:hAnsi="宋体" w:eastAsia="宋体" w:cs="MS Sans Serif"/>
          <w:b/>
          <w:color w:val="auto"/>
          <w:szCs w:val="21"/>
          <w:highlight w:val="none"/>
          <w:u w:val="single"/>
          <w:lang w:val="en-US" w:eastAsia="zh-CN"/>
        </w:rPr>
        <w:t>1</w:t>
      </w:r>
      <w:r>
        <w:rPr>
          <w:rFonts w:hint="eastAsia" w:ascii="宋体" w:hAnsi="宋体" w:eastAsia="宋体" w:cs="MS Sans Serif"/>
          <w:b/>
          <w:color w:val="auto"/>
          <w:szCs w:val="21"/>
          <w:highlight w:val="none"/>
          <w:u w:val="single"/>
          <w:lang w:eastAsia="zh-CN"/>
        </w:rPr>
        <w:t>5日承包人上报实际完成工程量，经监理人和发包人签认确定并收到发票后（满足合同约定支付条件的），2</w:t>
      </w:r>
      <w:r>
        <w:rPr>
          <w:rFonts w:hint="eastAsia" w:ascii="宋体" w:hAnsi="宋体" w:eastAsia="宋体" w:cs="MS Sans Serif"/>
          <w:b/>
          <w:color w:val="auto"/>
          <w:szCs w:val="21"/>
          <w:highlight w:val="none"/>
          <w:u w:val="single"/>
          <w:lang w:val="en-US" w:eastAsia="zh-CN"/>
        </w:rPr>
        <w:t>8</w:t>
      </w:r>
      <w:r>
        <w:rPr>
          <w:rFonts w:hint="eastAsia" w:ascii="宋体" w:hAnsi="宋体" w:eastAsia="宋体" w:cs="MS Sans Serif"/>
          <w:b/>
          <w:color w:val="auto"/>
          <w:szCs w:val="21"/>
          <w:highlight w:val="none"/>
          <w:u w:val="single"/>
          <w:lang w:eastAsia="zh-CN"/>
        </w:rPr>
        <w:t>天内支付至已完成工程价款的85%，工程款累计支付至合同价款的85%后暂停支付。</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0" w:leftChars="0" w:firstLine="422" w:firstLineChars="200"/>
        <w:textAlignment w:val="auto"/>
        <w:outlineLvl w:val="9"/>
        <w:rPr>
          <w:rFonts w:hint="eastAsia" w:ascii="宋体" w:hAnsi="宋体" w:eastAsia="宋体" w:cs="宋体"/>
          <w:b/>
          <w:color w:val="auto"/>
          <w:highlight w:val="none"/>
          <w:u w:val="single"/>
          <w:lang w:eastAsia="zh-CN"/>
        </w:rPr>
      </w:pPr>
      <w:r>
        <w:rPr>
          <w:rFonts w:hint="eastAsia" w:ascii="宋体" w:hAnsi="宋体" w:eastAsia="宋体" w:cs="宋体"/>
          <w:b/>
          <w:color w:val="auto"/>
          <w:highlight w:val="none"/>
          <w:u w:val="single"/>
          <w:lang w:val="en-US" w:eastAsia="zh-CN"/>
        </w:rPr>
        <w:t>③</w:t>
      </w:r>
      <w:r>
        <w:rPr>
          <w:rFonts w:hint="eastAsia" w:ascii="宋体" w:hAnsi="宋体" w:eastAsia="宋体" w:cs="宋体"/>
          <w:b/>
          <w:bCs/>
          <w:color w:val="auto"/>
          <w:kern w:val="2"/>
          <w:sz w:val="21"/>
          <w:szCs w:val="21"/>
          <w:highlight w:val="none"/>
          <w:u w:val="single"/>
          <w:lang w:val="en-US" w:eastAsia="zh-CN" w:bidi="ar-SA"/>
        </w:rPr>
        <w:t>竣工验收合格办理结算后7个工作日内支付至结算价款的98.5%。余款作为工程质量保证金（无息），</w:t>
      </w:r>
      <w:r>
        <w:rPr>
          <w:rFonts w:hint="eastAsia" w:ascii="宋体" w:hAnsi="宋体" w:cs="宋体"/>
          <w:b/>
          <w:bCs/>
          <w:color w:val="auto"/>
          <w:kern w:val="2"/>
          <w:sz w:val="21"/>
          <w:szCs w:val="21"/>
          <w:highlight w:val="none"/>
          <w:u w:val="single"/>
          <w:lang w:val="en-US" w:eastAsia="zh-CN" w:bidi="ar-SA"/>
        </w:rPr>
        <w:t>两</w:t>
      </w:r>
      <w:r>
        <w:rPr>
          <w:rFonts w:hint="eastAsia" w:ascii="宋体" w:hAnsi="宋体" w:eastAsia="宋体" w:cs="宋体"/>
          <w:b/>
          <w:bCs/>
          <w:color w:val="auto"/>
          <w:kern w:val="2"/>
          <w:sz w:val="21"/>
          <w:szCs w:val="21"/>
          <w:highlight w:val="none"/>
          <w:u w:val="single"/>
          <w:lang w:val="en-US" w:eastAsia="zh-CN" w:bidi="ar-SA"/>
        </w:rPr>
        <w:t>年质量保质期后支付剩余工程款。（工程款支付时间，</w:t>
      </w:r>
      <w:r>
        <w:rPr>
          <w:rFonts w:hint="eastAsia" w:ascii="宋体" w:hAnsi="宋体" w:cs="宋体"/>
          <w:b/>
          <w:bCs/>
          <w:color w:val="auto"/>
          <w:kern w:val="2"/>
          <w:sz w:val="21"/>
          <w:szCs w:val="21"/>
          <w:highlight w:val="none"/>
          <w:u w:val="single"/>
          <w:lang w:val="en-US" w:eastAsia="zh-CN" w:bidi="ar-SA"/>
        </w:rPr>
        <w:t>视</w:t>
      </w:r>
      <w:r>
        <w:rPr>
          <w:rFonts w:hint="eastAsia" w:ascii="宋体" w:hAnsi="宋体" w:eastAsia="宋体" w:cs="宋体"/>
          <w:b/>
          <w:color w:val="auto"/>
          <w:highlight w:val="none"/>
          <w:u w:val="single"/>
          <w:lang w:val="en-US" w:eastAsia="zh-CN"/>
        </w:rPr>
        <w:t>财政资金到位情况为准</w:t>
      </w:r>
      <w:r>
        <w:rPr>
          <w:rFonts w:hint="eastAsia" w:ascii="宋体" w:hAnsi="宋体" w:eastAsia="宋体" w:cs="宋体"/>
          <w:b/>
          <w:bCs/>
          <w:color w:val="auto"/>
          <w:kern w:val="2"/>
          <w:sz w:val="21"/>
          <w:szCs w:val="21"/>
          <w:highlight w:val="none"/>
          <w:u w:val="single"/>
          <w:lang w:val="en-US" w:eastAsia="zh-CN" w:bidi="ar-SA"/>
        </w:rPr>
        <w:t>）</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0" w:leftChars="0" w:firstLine="422" w:firstLineChars="200"/>
        <w:textAlignment w:val="auto"/>
        <w:outlineLvl w:val="9"/>
        <w:rPr>
          <w:rFonts w:hint="eastAsia" w:ascii="宋体" w:hAnsi="宋体" w:eastAsia="宋体" w:cs="宋体"/>
          <w:color w:val="auto"/>
          <w:sz w:val="21"/>
          <w:szCs w:val="21"/>
          <w:highlight w:val="none"/>
          <w:u w:val="single"/>
          <w:lang w:eastAsia="zh-CN"/>
        </w:rPr>
      </w:pPr>
      <w:r>
        <w:rPr>
          <w:rFonts w:hint="eastAsia" w:ascii="宋体" w:hAnsi="宋体" w:eastAsia="宋体" w:cs="宋体"/>
          <w:b/>
          <w:color w:val="auto"/>
          <w:highlight w:val="none"/>
          <w:u w:val="single"/>
          <w:lang w:val="en-US" w:eastAsia="zh-CN"/>
        </w:rPr>
        <w:t>④</w:t>
      </w:r>
      <w:r>
        <w:rPr>
          <w:rFonts w:hint="eastAsia" w:ascii="宋体" w:hAnsi="宋体" w:eastAsia="宋体" w:cs="宋体"/>
          <w:b/>
          <w:color w:val="auto"/>
          <w:highlight w:val="none"/>
          <w:u w:val="single"/>
          <w:lang w:eastAsia="zh-CN"/>
        </w:rPr>
        <w:t>发包人向承包人支付的一切费用，承包人不得移作他用。</w:t>
      </w:r>
    </w:p>
    <w:p>
      <w:pPr>
        <w:keepNext w:val="0"/>
        <w:keepLines w:val="0"/>
        <w:pageBreakBefore w:val="0"/>
        <w:numPr>
          <w:ilvl w:val="0"/>
          <w:numId w:val="0"/>
        </w:numPr>
        <w:kinsoku/>
        <w:wordWrap/>
        <w:overflowPunct/>
        <w:topLinePunct w:val="0"/>
        <w:autoSpaceDE/>
        <w:autoSpaceDN/>
        <w:bidi w:val="0"/>
        <w:adjustRightInd w:val="0"/>
        <w:spacing w:line="336" w:lineRule="auto"/>
        <w:ind w:left="0" w:leftChars="0" w:firstLine="0" w:firstLineChars="0"/>
        <w:textAlignment w:val="auto"/>
        <w:outlineLvl w:val="9"/>
        <w:rPr>
          <w:rFonts w:hint="eastAsia" w:ascii="宋体" w:hAnsi="宋体" w:cs="宋体"/>
          <w:b/>
          <w:color w:val="auto"/>
          <w:szCs w:val="21"/>
          <w:highlight w:val="none"/>
        </w:rPr>
      </w:pPr>
      <w:r>
        <w:rPr>
          <w:rFonts w:hint="eastAsia" w:ascii="宋体" w:hAnsi="宋体" w:cs="宋体"/>
          <w:b/>
          <w:color w:val="auto"/>
          <w:kern w:val="2"/>
          <w:sz w:val="21"/>
          <w:szCs w:val="21"/>
          <w:lang w:val="en-US" w:eastAsia="zh-CN" w:bidi="ar-SA"/>
        </w:rPr>
        <w:t>三</w:t>
      </w:r>
      <w:r>
        <w:rPr>
          <w:rFonts w:hint="eastAsia" w:ascii="宋体" w:hAnsi="宋体" w:eastAsia="宋体" w:cs="宋体"/>
          <w:b/>
          <w:color w:val="auto"/>
          <w:kern w:val="2"/>
          <w:sz w:val="21"/>
          <w:szCs w:val="21"/>
          <w:lang w:val="en-US" w:eastAsia="zh-CN" w:bidi="ar-SA"/>
        </w:rPr>
        <w:t>、</w:t>
      </w:r>
      <w:r>
        <w:rPr>
          <w:rFonts w:hint="eastAsia" w:ascii="宋体" w:hAnsi="宋体" w:cs="宋体"/>
          <w:b/>
          <w:color w:val="auto"/>
          <w:szCs w:val="21"/>
          <w:highlight w:val="none"/>
        </w:rPr>
        <w:t>工程量清单及图纸：另册</w:t>
      </w:r>
    </w:p>
    <w:p>
      <w:pPr>
        <w:keepNext w:val="0"/>
        <w:keepLines w:val="0"/>
        <w:pageBreakBefore w:val="0"/>
        <w:numPr>
          <w:ilvl w:val="0"/>
          <w:numId w:val="0"/>
        </w:numPr>
        <w:kinsoku/>
        <w:wordWrap/>
        <w:overflowPunct/>
        <w:topLinePunct w:val="0"/>
        <w:autoSpaceDE/>
        <w:autoSpaceDN/>
        <w:bidi w:val="0"/>
        <w:adjustRightInd w:val="0"/>
        <w:spacing w:line="336" w:lineRule="auto"/>
        <w:ind w:left="0" w:leftChars="0" w:firstLine="0" w:firstLineChars="0"/>
        <w:textAlignment w:val="auto"/>
        <w:outlineLvl w:val="9"/>
        <w:rPr>
          <w:rFonts w:hint="eastAsia"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四、技术标准和要求：</w:t>
      </w:r>
    </w:p>
    <w:p>
      <w:pPr>
        <w:pStyle w:val="3"/>
        <w:keepNext w:val="0"/>
        <w:keepLines w:val="0"/>
        <w:pageBreakBefore w:val="0"/>
        <w:widowControl w:val="0"/>
        <w:kinsoku/>
        <w:overflowPunct/>
        <w:topLinePunct w:val="0"/>
        <w:autoSpaceDE/>
        <w:autoSpaceDN/>
        <w:bidi w:val="0"/>
        <w:adjustRightInd w:val="0"/>
        <w:snapToGrid/>
        <w:spacing w:line="324" w:lineRule="auto"/>
        <w:jc w:val="center"/>
        <w:rPr>
          <w:rFonts w:hint="eastAsia" w:ascii="宋体" w:hAnsi="宋体" w:eastAsia="宋体"/>
          <w:b/>
          <w:color w:val="000000"/>
          <w:sz w:val="21"/>
          <w:szCs w:val="21"/>
        </w:rPr>
      </w:pPr>
      <w:bookmarkStart w:id="36" w:name="_Toc86238408"/>
      <w:bookmarkStart w:id="37" w:name="_Toc4743"/>
      <w:bookmarkStart w:id="38" w:name="_Toc32073"/>
      <w:bookmarkStart w:id="39" w:name="_Toc434"/>
      <w:r>
        <w:rPr>
          <w:rFonts w:ascii="宋体" w:hAnsi="宋体" w:eastAsia="宋体"/>
          <w:b/>
          <w:color w:val="000000"/>
          <w:sz w:val="21"/>
          <w:szCs w:val="21"/>
        </w:rPr>
        <w:br w:type="page"/>
      </w:r>
      <w:r>
        <w:rPr>
          <w:rFonts w:ascii="宋体" w:hAnsi="宋体" w:eastAsia="宋体"/>
          <w:b/>
          <w:color w:val="000000"/>
          <w:sz w:val="21"/>
          <w:szCs w:val="21"/>
        </w:rPr>
        <w:t>第1节一般规定</w:t>
      </w:r>
      <w:bookmarkEnd w:id="36"/>
      <w:bookmarkEnd w:id="37"/>
      <w:bookmarkEnd w:id="38"/>
      <w:bookmarkEnd w:id="39"/>
    </w:p>
    <w:p>
      <w:pPr>
        <w:pStyle w:val="4"/>
        <w:keepNext w:val="0"/>
        <w:keepLines w:val="0"/>
        <w:pageBreakBefore w:val="0"/>
        <w:widowControl w:val="0"/>
        <w:kinsoku/>
        <w:wordWrap/>
        <w:overflowPunct/>
        <w:topLinePunct w:val="0"/>
        <w:autoSpaceDE/>
        <w:autoSpaceDN/>
        <w:bidi w:val="0"/>
        <w:adjustRightInd w:val="0"/>
        <w:snapToGrid/>
        <w:spacing w:line="312" w:lineRule="auto"/>
        <w:ind w:left="0"/>
        <w:jc w:val="both"/>
        <w:textAlignment w:val="auto"/>
        <w:rPr>
          <w:rFonts w:hint="eastAsia" w:ascii="宋体" w:hAnsi="宋体" w:eastAsia="宋体" w:cs="宋体"/>
          <w:sz w:val="21"/>
          <w:szCs w:val="21"/>
          <w:highlight w:val="none"/>
        </w:rPr>
      </w:pPr>
      <w:bookmarkStart w:id="40" w:name="_Toc117"/>
      <w:r>
        <w:rPr>
          <w:rFonts w:hint="eastAsia" w:ascii="宋体" w:hAnsi="宋体" w:eastAsia="宋体" w:cs="宋体"/>
          <w:sz w:val="21"/>
          <w:szCs w:val="21"/>
          <w:highlight w:val="none"/>
        </w:rPr>
        <w:t>1.1工程说明</w:t>
      </w:r>
      <w:bookmarkEnd w:id="40"/>
    </w:p>
    <w:p>
      <w:pPr>
        <w:keepNext w:val="0"/>
        <w:keepLines w:val="0"/>
        <w:pageBreakBefore w:val="0"/>
        <w:widowControl w:val="0"/>
        <w:kinsoku/>
        <w:wordWrap/>
        <w:overflowPunct/>
        <w:topLinePunct w:val="0"/>
        <w:autoSpaceDE/>
        <w:autoSpaceDN/>
        <w:bidi w:val="0"/>
        <w:adjustRightInd w:val="0"/>
        <w:snapToGrid/>
        <w:spacing w:line="312" w:lineRule="auto"/>
        <w:ind w:left="0" w:firstLine="422" w:firstLineChars="200"/>
        <w:jc w:val="both"/>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1.1.1工程概况</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根据《水利水电工程等级划分及洪水标准》(SL252-2017),本工程等别为V 等，建筑物级别按5级建筑物进行设计。</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瑞安市曹村镇宋岙溪河道治理工程位于瑞安市曹村镇宋岙村。距离瑞安市区约24公里，曹村镇江曹路边，施工用水可直接在河道中汲取，施工用电需架设临时电路，施工用材料在周边乡镇可直接采购。</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工程规模、主要建设内容：治理河道总长382m，新建防洪堤长347.6m，堰坝防渗加固5座。</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1.1.2水文气象和工程地质资料</w:t>
      </w:r>
    </w:p>
    <w:p>
      <w:pPr>
        <w:keepNext w:val="0"/>
        <w:keepLines w:val="0"/>
        <w:pageBreakBefore w:val="0"/>
        <w:widowControl/>
        <w:suppressLineNumbers w:val="0"/>
        <w:kinsoku/>
        <w:wordWrap/>
        <w:overflowPunct/>
        <w:topLinePunct w:val="0"/>
        <w:autoSpaceDE/>
        <w:autoSpaceDN/>
        <w:bidi w:val="0"/>
        <w:adjustRightInd w:val="0"/>
        <w:snapToGrid/>
        <w:spacing w:line="26" w:lineRule="atLeast"/>
        <w:ind w:firstLine="422" w:firstLineChars="200"/>
        <w:jc w:val="both"/>
        <w:textAlignment w:val="auto"/>
        <w:rPr>
          <w:b/>
          <w:bCs/>
          <w:sz w:val="21"/>
          <w:szCs w:val="21"/>
          <w:highlight w:val="none"/>
        </w:rPr>
      </w:pPr>
      <w:r>
        <w:rPr>
          <w:rFonts w:hint="eastAsia" w:ascii="宋体" w:hAnsi="宋体" w:eastAsia="宋体" w:cs="宋体"/>
          <w:b/>
          <w:bCs/>
          <w:color w:val="000000"/>
          <w:kern w:val="0"/>
          <w:sz w:val="21"/>
          <w:szCs w:val="21"/>
          <w:highlight w:val="none"/>
          <w:lang w:val="en-US" w:eastAsia="zh-CN" w:bidi="ar"/>
        </w:rPr>
        <w:t xml:space="preserve">一、流域概况： </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天井羊片三面环山北临飞云江，集雨面积111.80km²,  平原内河网密布，为 较大的河谷平原，共有河道151 条，平原内现状水面率约为4.15%。 一般地面高 程在4.5～10m, 局部低地高程为3.5～4.5m, 尤其是曹村港、天井详河下游的下涂、半涂、三株松、增详以及石牌河沿岸的石详、村口一带均为低洼地带。</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宋岙溪发源于海拔460m 山峰，经宋岙村流入曹村港，江曹线以东为山溪性河道，江曹线以西为平原，江曹线以上集雨面积1.13km²。</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2" w:firstLineChars="200"/>
        <w:jc w:val="both"/>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二、气 象 </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流域属亚热带季风气候区，气候特点是:温暖湿润，雨水充沛，四季分明，光照充足。全年平均气温大部分地区在18℃左右，山区、海岛稍低，海拔400-800m山区约14-16℃。极端最高气温40℃左右，极端最低气温-5℃。无霜期275天。多年平均日照数为1700~2000小时。多年平均相对湿度为82%。</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多年平均降水量为1849mm，多年平均水面蒸发量940mm，年内各月的蒸发量相差较大，5~8月占年总量的55%，当年12~翌年2月占年总量的10~13%，最蒸发量为9.1~12.5mm，最小月蒸发量为35.0mm，多年平均径流深1213.5mm，干旱指数 0.508。流域平均径流系数约0.66。降雨主要是锋面雨、台风雨和热带雨。五至六月份为“梅雨”期。七至十月为台风暴雨期，天气晴热，常出现局部雷雨，同时受台风的边缘影响，产生量大强度高的台风暴雨。汛期五至九月的降水约占全年降水量的65~70%。本流域的特大洪水均系台风暴雨所致，由于流域内山高坡陡，汇流迅速，洪水暴涨暴落，具有明显的山溪性河流特点。</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三、工程地质</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本工程目前还未进行地质勘察工作，根据《瑞安市曹村镇宋吞村道路桥梁建设工程》现场开挖地质情况，对本地勘进行描述。</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3.1地质概况</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3.1.1区域地质构造与地震效应</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1、区域地质构造</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据调查，测区范围地质构造较为简单，主要以断裂、裂隙二种形迹表现，节理裂隙与断裂紧密相关，本区内涉及的区域地质构造见图1。</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工程区所处大地构造为浙东南褶皱系，区域构造以断裂构造为主，发育 NNE 向 、NE 向二组断裂，构成了本区构造的基本格局，并且控制了测区内次一级断裂的发育和地貌形态的形成。对本区影响较大的为镇海—温州大断裂。</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A、镇海—温州大断裂(编号⑬)</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该断裂从本工程西北经过，它是浙东南最醒目的断裂构造，总体走向为北东  25°。该断裂自黄岩长潭水库往北经临海、宁海、镇海而潜没于灰鳖洋水域之下， 这一地段地表断裂十分醒目，南段地表显示较差，长潭水库以南经温州、矾山并伸 入福建境内，全长约320km,  它由一系列北东、北北东向断裂组成宽5～10km 的  断裂带，断面多向北西倾，倾角陡立。该断裂可能形成于燕山中晚期，历史上温州、 临海、镇海曾多次发生地震及南溪附近的温泉及深圳一带的陡崖深谷，表明该断裂于挽近时期尚在活动。</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B、淳安—温州大断裂(编号⑮)</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该断裂斜贯浙江中部，呈310～320°方向延伸，西北起自淳安洪家附近，往  南东经兰溪、金华至温州，全长约300km。航磁异常图上，还大断裂东南段反映为 负异常背景上的正高异常点呈北西向串珠状排列；西北段呈现正负异常截然分界。</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卫星照片显示断续的线形影像。建德县白沙一带和金衢盆地内见一组北西向断裂断续分布，断面常具追踪现象，断裂中有石英脉、花岗斑岩脉充填。该大断裂形成于燕山期，断裂性质曾多次转化。</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C、泰顺一黄岩大断裂(编号⑧)</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该断裂位于浙江东南沿海，呈北东向展布，由泰顺往北东经永嘉、黄岩直抵三 门湾，省内长约260km。 地表为断续出露的北东向断裂， 一般长达20～30km。 断裂多发育在上侏罗统和白垩系中，燕山晚期的岩体常被其切割。</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上述断裂带虽位于工程区附近，但对本工程建设一般无影响。工程区地表均为 第四系冲洪积地层所覆盖，钻探过程亦未发现有全新活动性断裂的迹象，工程区处于区域构造相对稳定地带。</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2、地震效应</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据《中国地震动参数区划图》(GB18306-2015) 及《建筑抗震设计规范》(GB50011-2010)(2016 版)附录A, 瑞安市曹村镇属抗震设防烈度为6度，设计地震分组属第一组。</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根据国标《中国地震动参数区划图》(GB18306-2015) 有关条款场地类别为Ⅱ,地震动峰值加速度值为0.05g,地基本地震动加速度反应谱特征周期值为0.35s。</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场地内无饱和软土、砂土或粉土分布，依据《水利水电工程地质勘察规范》 (GB50487-2008) 和《岩土工程勘察规范》(GB50021-2001)(2009  年版),不必</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考虑砂土液化的问题。但拟建工程位于河道两岸，为临水构造物，属抗震不利地段，应采取相应的抗震设防措施。</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3.1.2地层岩性   </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岩土层特征分述如下：</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1、砂卵石④₃  (al-plQ?²): 全场地均有分布，揭露厚度为15.00～20.60m ( 未揭穿),顶板埋深为0.0m,  顶板标高为9.41～18.56m。呈灰黄色，饱和，呈稍～中密状，卵石成份主要为中～微风化凝灰岩，卵石级粒径一般约20～80mm,  个别大于100mm, 卵石含量约55～60%,圆砾级粒径一般为2～20mm, 含量约15%～20%,砂土含量一般约5～10%,含粘性土约5～10%。磨圆度较好，级配一般，无胶结。中等偏低压缩性，力学强度较高，工程性能较好。</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3.1.3不良物理地质现象</w:t>
      </w:r>
    </w:p>
    <w:p>
      <w:pPr>
        <w:keepNext w:val="0"/>
        <w:keepLines w:val="0"/>
        <w:pageBreakBefore w:val="0"/>
        <w:widowControl/>
        <w:suppressLineNumbers w:val="0"/>
        <w:kinsoku/>
        <w:wordWrap/>
        <w:overflowPunct/>
        <w:topLinePunct w:val="0"/>
        <w:autoSpaceDE/>
        <w:autoSpaceDN/>
        <w:bidi w:val="0"/>
        <w:adjustRightInd w:val="0"/>
        <w:snapToGrid/>
        <w:spacing w:line="312"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场地及其附近无岩溶、滑坡、崩塌、泥石流、采空区等不良物理地质现象，但受洪水冲刷、侵蚀的作用，局部岸坡或堤岸有坍塌破坏的现象。</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3.2堤岸工程地质特征</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3.2.1堤岸地质结构类型</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据勘探揭示，堤基土层主要为卵石④3。防洪堤堤基地质结构类型属单层结构。</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3.2.2岩土体物理力学性质</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各岩土层的承载力特征值的确定方法：卵石④3主要根据地区经验综合考虑获得。</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3.3结论和建议</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3.3.1结论</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1、场地勘探深度以浅划分为一个工程地质亚层，其变化规律详见工程地质剖面图。</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2、本工程区属抗震设防烈度为6度，设计基本地震加速度值为0.05g,  设计地震分组属第一组。地基本地震动加速度反应谱特征周期值为0.35s,   可不考虑砂土液化问题，场地地基土均匀性差，且拟建工程位于河道两岸，为临水构造物，属对建筑抗震不利地段。</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3、场地环境水对混凝土结构无腐蚀性，对混凝土结构中的钢筋具无腐蚀，对钢结构具弱腐蚀。建议依据《工业建筑防腐蚀设计标准》(GB50046-2018) 的有关规定进行防腐蚀处理。</w:t>
      </w:r>
    </w:p>
    <w:p>
      <w:pPr>
        <w:keepNext w:val="0"/>
        <w:keepLines w:val="0"/>
        <w:pageBreakBefore w:val="0"/>
        <w:widowControl/>
        <w:suppressLineNumbers w:val="0"/>
        <w:kinsoku/>
        <w:wordWrap/>
        <w:overflowPunct/>
        <w:topLinePunct w:val="0"/>
        <w:autoSpaceDE/>
        <w:autoSpaceDN/>
        <w:bidi w:val="0"/>
        <w:adjustRightInd w:val="0"/>
        <w:snapToGrid/>
        <w:spacing w:line="324" w:lineRule="auto"/>
        <w:ind w:firstLine="420" w:firstLineChars="200"/>
        <w:jc w:val="both"/>
        <w:textAlignment w:val="auto"/>
        <w:rPr>
          <w:spacing w:val="-6"/>
          <w:position w:val="1"/>
          <w:sz w:val="20"/>
          <w:szCs w:val="20"/>
        </w:rPr>
      </w:pPr>
      <w:r>
        <w:rPr>
          <w:rFonts w:hint="eastAsia" w:ascii="宋体" w:hAnsi="宋体" w:eastAsia="宋体" w:cs="宋体"/>
          <w:color w:val="000000"/>
          <w:kern w:val="0"/>
          <w:sz w:val="21"/>
          <w:szCs w:val="21"/>
          <w:lang w:val="en-US" w:eastAsia="zh-CN" w:bidi="ar"/>
        </w:rPr>
        <w:t>4、结合室外试验成果及地区工程经验，综合确定砂卵石④₃具强透水性。</w:t>
      </w:r>
    </w:p>
    <w:p>
      <w:pPr>
        <w:keepNext w:val="0"/>
        <w:keepLines w:val="0"/>
        <w:pageBreakBefore w:val="0"/>
        <w:widowControl w:val="0"/>
        <w:kinsoku/>
        <w:wordWrap/>
        <w:overflowPunct/>
        <w:topLinePunct w:val="0"/>
        <w:autoSpaceDE/>
        <w:autoSpaceDN/>
        <w:bidi w:val="0"/>
        <w:adjustRightInd w:val="0"/>
        <w:snapToGrid/>
        <w:spacing w:line="324" w:lineRule="auto"/>
        <w:ind w:firstLine="422" w:firstLineChars="200"/>
        <w:jc w:val="lef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1.1.3施工条件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（1）交通条件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工程位于曹村镇曹北村，交通便捷。区域既可以通过五六省道连接温州绕城高 速，又可以通过五六省道到达瑞安市区。本工程工程材料可通过钱马公路直接运送至建设工区。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（2）施工场地条件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区地势平坦，施工场地呈线性分布。现状两岸场地较为平坦、开阔，可利用空地经场地平整后布置施工生产、施工管理设施等，生活区考虑租用曹北村民房，不单独布置；施工时主要以人工为主，仅在建设地点设简易材料仓库。</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（3）通航等要求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无通航要求。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施</w:t>
      </w:r>
      <w:r>
        <w:rPr>
          <w:rFonts w:hint="eastAsia" w:ascii="宋体" w:hAnsi="宋体" w:eastAsia="宋体" w:cs="宋体"/>
          <w:color w:val="auto"/>
          <w:sz w:val="21"/>
          <w:szCs w:val="21"/>
          <w:highlight w:val="none"/>
        </w:rPr>
        <w:t>工用电：河道施工用电接用电网电或者布置柴油发电机发电。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ascii="宋体" w:hAnsi="宋体"/>
          <w:color w:val="auto"/>
          <w:szCs w:val="21"/>
          <w:highlight w:val="none"/>
        </w:rPr>
      </w:pPr>
      <w:r>
        <w:rPr>
          <w:rFonts w:hint="eastAsia" w:ascii="宋体" w:hAnsi="宋体" w:cs="宋体"/>
          <w:color w:val="auto"/>
          <w:sz w:val="21"/>
          <w:szCs w:val="21"/>
          <w:highlight w:val="none"/>
          <w:lang w:val="en-US" w:eastAsia="zh-CN"/>
        </w:rPr>
        <w:t>施工</w:t>
      </w:r>
      <w:r>
        <w:rPr>
          <w:rFonts w:hint="eastAsia" w:ascii="宋体" w:hAnsi="宋体" w:eastAsia="宋体" w:cs="宋体"/>
          <w:color w:val="auto"/>
          <w:sz w:val="21"/>
          <w:szCs w:val="21"/>
          <w:highlight w:val="none"/>
        </w:rPr>
        <w:t>用水：施工生产用水可设泵抽取河水，设一台泵抽河水，水泵流量为20m³/h,电机功率5kW 。生活用水可接用当地自来水。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1" w:name="_Toc14434"/>
      <w:r>
        <w:rPr>
          <w:rFonts w:hint="eastAsia" w:ascii="宋体" w:hAnsi="宋体" w:eastAsia="宋体" w:cs="宋体"/>
          <w:sz w:val="21"/>
          <w:szCs w:val="21"/>
        </w:rPr>
        <w:t>1.2主体工程项目及其工作内容</w:t>
      </w:r>
      <w:bookmarkEnd w:id="41"/>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ascii="宋体" w:hAnsi="宋体"/>
          <w:color w:val="auto"/>
          <w:szCs w:val="21"/>
          <w:highlight w:val="none"/>
          <w:u w:val="single"/>
        </w:rPr>
      </w:pPr>
      <w:r>
        <w:rPr>
          <w:rFonts w:hint="eastAsia" w:ascii="宋体" w:hAnsi="宋体" w:eastAsia="宋体" w:cs="宋体"/>
          <w:color w:val="000000"/>
          <w:szCs w:val="21"/>
          <w:highlight w:val="none"/>
        </w:rPr>
        <w:t>1.2.1本合同承包人承担的主体工程项目及其工作内容：</w:t>
      </w:r>
      <w:r>
        <w:rPr>
          <w:rFonts w:hint="eastAsia" w:ascii="宋体" w:hAnsi="宋体" w:eastAsia="宋体" w:cs="宋体"/>
          <w:b w:val="0"/>
          <w:bCs/>
          <w:color w:val="auto"/>
          <w:highlight w:val="none"/>
          <w:u w:val="single"/>
          <w:lang w:val="en-US" w:eastAsia="zh-CN"/>
        </w:rPr>
        <w:t>河道护岸、排洪渠等，具体以施工图和工程量清单为准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2" w:name="_Toc26557"/>
      <w:r>
        <w:rPr>
          <w:rFonts w:hint="eastAsia" w:ascii="宋体" w:hAnsi="宋体" w:eastAsia="宋体" w:cs="宋体"/>
          <w:sz w:val="21"/>
          <w:szCs w:val="21"/>
        </w:rPr>
        <w:t>1.3发包人提供的施工图纸和文件</w:t>
      </w:r>
      <w:bookmarkEnd w:id="42"/>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1.3.1发包人负责提供的施工图纸和文件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（1）由发包人负责设计的工程项目，应由监理人按本节第1.3.2条签订的供图计划提供施工图纸给承包人。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发包人按合同约定向承包人提供的设计基本资料、材料样品、试验成果，以及根据合同要求提供的录像、照片、会议纪要等所有图纸、文件（包括软件、移动硬盘）和影像资料等，发包人不再另行收取费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1.3.2发包人供图计划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（1）发包人应在发出开工通知后14天内，与承包人共同商签发包人供图计划，经合同双方签订的供图计划作为合同的补充文件。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（2）不论何种原因调整和修订了合同进度计划，监理人应及时与承包人共同修订供图计划，并作为执行合同进度计划的补充文件。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（3）发包人应向承包人提供6份各类施工图纸（包括设计修改图）。承包人可根据施工需要，要求增加提供图纸份数，并为增供的图纸支付费用。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1.3.3发包人提供施工图纸的期限</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（1）用于承包人编制施工进度计划和施工总布置所需的工程枢纽总布置图和主要工程建筑物布置图应在签署合同协议书后14天内提供给承包人。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（2）用于各工程项目施工的工程建筑物结构布置图、体形图等施工图纸，应在该项目工程施工前14天提供给承包人。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（3）用于工程施工的开挖支护图、配筋图、细部设计图和浇筑图等施工图纸，应在该部位施工前14天提供给承包人。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1.3.4施工图纸的修改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收到发包人按上述第1.3.3条的规定提交施工图纸后，应进行详细检查，若发现错误或表达不清楚时，应在收到图纸后的7天内书面通知监理人。若监理人确认需要作出修改或补充时，应在接件后7天内将修改和补充后的施工图纸重新提交给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（2）监理人发出施工图纸后，需要对某些工程设计进行修改和补充时，应在该部位开始施工天前及时签发设计修改图。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（3）若因施工情况紧急，监理人无法在上述规定的时间内签发修改施工图纸，可以临时发出施工图修改通知单，但应在此后的合理时限内补发正式施工图纸。</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3" w:name="_Toc16891"/>
      <w:r>
        <w:rPr>
          <w:rFonts w:hint="eastAsia" w:ascii="宋体" w:hAnsi="宋体" w:eastAsia="宋体" w:cs="宋体"/>
          <w:sz w:val="21"/>
          <w:szCs w:val="21"/>
        </w:rPr>
        <w:t>1.4承包人提交的文件</w:t>
      </w:r>
      <w:bookmarkEnd w:id="43"/>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1.4.1承包人文件的提交计划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承包人应在签署协议书后14天内，根据监理人批准的合同进度计划，编制一份由项目负责人签署的承包人文件提交计划，提交监理人审批，监理人应在收到该提交计划后的 14 天内批复承包人。承包人文件的内容应包括本节第1.4.2~1.4.5款规定的各项提交件，以及按合同约定应由承包人提交的其它图纸和文件。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1.4.2承包人负责设计的临时工程图纸和文件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（1）由承包人负责设计的临时工程项目，应在该项目开工前 14 天，提交该项目的总布置图、结构详图及其设计依据，以及监理人认为需要提交的其它图纸和文件，提交监理人批准。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（2）承包人提交的上述临时工程项目的基本资料、试验成果、施工样品，以及所有图纸、文件和影像资料等，其所需的费用均包括在相关项目的报价中，发包人不另行支付。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1.4.3施工总进度计划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（1）承包人按本合同通用合同条款第10.1款要求提交的施工总进度计划，应采用关键线路法编制网络图、网络图应包括以下各项数据和内容，表述全部工程施工作业间的逻辑关系：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1）作业和相应节点编号；</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2）各项施工作业间的衔接逻辑和协调关系；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3）持续时间；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4）最早开工及最早完工日期；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5）最迟开工及最迟完工日期；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6）总时差和自由时差；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7）主要项目施工强度曲线；</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8）附需要资源和说明。</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（2）承包人编制的施工总进度计划应满足本合同约定的各工程施工控制节点工期要求。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1.4.4施工总布置设计</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（1）承包人应在收到开工通知后的天14内，将本合同工程的施工总布置设计文件，提交监理人批准。监理人应在签收后7天内批复承包人。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提交的施工总布置设计文件，其内容应包括施工总平面布置图、主要剖面图和设计说明书。承包人应按本技术条款第2节所列各项临时设施的设计和使用要求进行总平面布置，施工总布置的占地范围不得超过发包人划定的界线。</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（3）承包人应按本章第3节有关“施工安全文明措施”和第4节“环境保护和水土保持”的要求，保护好临时设施周围的边坡、冲沟、河道、河岸的稳定和安全。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1.4.5主要施工方法和措施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（1）承包人应在每项工程开始施工或安装前14天，编制各工程项目的施工方法和措施，提交监理人批准。监理人应在收到文件后的7 天内批复承包人。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（2）承包人按监理人指示提交的施工方法和措施，应包括施工需要的浇筑图、车间加工图和安装图等施工文件。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1.4.6承包人文件的审批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（1）除合同另有约定外，凡须经监理人审批的承包人文件，应在收到文件后  7  天内批复承包人，逾期不批复，则视为已经监理人批准。监理人的审批意见包括：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1）同意按此执行；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2）按修改意见执行；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3）修改后重新提交；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4）不予批准。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凡标有“按修改意见执行”或“修改后重新提交”的图纸和文件，应由承包人在收到批复件后7天内作出相应修改。所有修改都应由承包人在修改的图纸和文件上标明编号、日期以及说明修改范围和内容，并由承包人项目负责人签字后，重新提交监理人批复，监理人应在图纸的角签部位和文件的签署栏签注处理意见后，发还承包人执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（3）凡合同约定由承包人提交监理人批准的图纸和文件，必须由项目负责人或其授权代表签名，否则均属无效。凡未经监理人按上述第1款规定签署的图纸和文件，均属无效。</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4" w:name="_Toc28989"/>
      <w:r>
        <w:rPr>
          <w:rFonts w:hint="eastAsia" w:ascii="宋体" w:hAnsi="宋体" w:eastAsia="宋体" w:cs="宋体"/>
          <w:sz w:val="21"/>
          <w:szCs w:val="21"/>
        </w:rPr>
        <w:t>1.5发包人提供的材料和工程设备</w:t>
      </w:r>
      <w:bookmarkEnd w:id="44"/>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1.5.1发包人提供的材料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发包人不提供材料。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1.5.2发包人提供的工程设备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发包人不提供工程设备</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5" w:name="_Toc1201"/>
      <w:r>
        <w:rPr>
          <w:rFonts w:hint="eastAsia" w:ascii="宋体" w:hAnsi="宋体" w:eastAsia="宋体" w:cs="宋体"/>
          <w:sz w:val="21"/>
          <w:szCs w:val="21"/>
        </w:rPr>
        <w:t>1.6承包人提供的材料和设备</w:t>
      </w:r>
      <w:bookmarkEnd w:id="45"/>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1.6.1承包人提供的材料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（1）承包人提供的材料应由监理人按以下程序进行检查和验收：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1）查验证件：承包人应按供货合同的要求查验每批材料的发货单、计量单、装箱材料的合格证书、化验单以及其它有关图纸、文件和证件，并应将上述图纸，以及文件、证件的复印件提交监理人；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2）抽样检验：承包人应会同监理人按本合同约定和技术条款各节的有关规定进行材料抽样检验，检验结果应提交监理人。并对每批材料是否合格作出鉴定；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3）材料验收：经鉴定合格的材料方能验收，承包人应与监理人共同核对每批材料的品名、规格、数量，并作好记录，共同验点入库。</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（2）不合格材料的处理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经监理人查库发现的不合格材料，应禁止使用，并清除出场。承包人违约使用了不合格材料，应按本合同约定予以清除或返工至合格为止。</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（3）代用材料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承包人申请代用材料，应将代用材料的技术标准、质量证明书和试验报告提交监理人。经监理人批准后，才能采用代用材料。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1.6.2承包人提供的工程设备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按合同约定由承包人负责采购和安装的工程设备，应由承包人将工程设备的订货清单提交监理人批准。承包人应按监理人批准的工程设备订货清单办理订货，并应将订货协议副本提交监理人。承包人应承担工程设备的采购、验收、运输和保管的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1.6.3承包人施工设备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（1）承包人应在签署合同协议书后14天内，提交一份为完成本合同各项工作所需的施工设备清单，提交监理人批准。施工设备清单的内容应包括：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1）新购设备的生产厂家、品名、型号、规格、主要性能、数量和预计进场时间，承包人应向监理人提交新购置主要施工设备的订货协议复印件；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2）旧施工设备的购置时间、残值、运行和检修记录以及维修保养证书等；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3）租赁设备的购置时间、租赁期限、租赁价格、运行检修记录以及维修保养证书等。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（2）承包人配置的旧施工设备（包括租赁的旧设备），应由监理人进行检查，并须进行试运行，确认其符合使用要求后方可投入使用。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承包人施工设备进场后，监理人应按承包人提供的施工设备清单，仔细核查进场施工设备的数量、规格和性能是否符合施工进度计划和质量控制的要求，监理人有权索取必要的施工设备资料，如发现进场的施工设备不能满足施工要求时，监理人有权责令撤换。</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1.6.4不合格的材料和工程设备的处理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由于承包人使用了不合格材料和工程设备造成了工程损害，监理人可要求承包人立即采取措施进行补救，直至彻底清除工程的不合格部位以及不合格的材料或工程设备，由此增加的费用和工期延误责任由承包人承担。</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6" w:name="_Toc5404"/>
      <w:r>
        <w:rPr>
          <w:rFonts w:hint="eastAsia" w:ascii="宋体" w:hAnsi="宋体" w:eastAsia="宋体" w:cs="宋体"/>
          <w:sz w:val="21"/>
          <w:szCs w:val="21"/>
        </w:rPr>
        <w:t>1.7进度计划的实施</w:t>
      </w:r>
      <w:bookmarkEnd w:id="46"/>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1.7.1施工总进度实施措施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承包人应按监理人根据本节1.4.3款要求批准的施工总进度实施计划，编制详细的施工总进度计划的实施措施，提交监理人批准、实施措施应说明以下内容：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（1）各永久工程和临时工程项目按期完成的年、月工程量计划和各年度形象面貌。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（2）主要物资材料（如钢材、钢筋、木材、水泥、粉煤灰、外加剂、砂石骨料、土料和石料、用水和用电等）使用计划及主要材料订货安排。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（3）施工现场各类人员配备和劳务计划。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（4）其它说明。</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1.7.2年进度计划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承包人应在每年12月，将下年度的进度计划，提交监理人批准，其内容包括：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（1）计划完成的年工程量及其施工面貌。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（2）该年施工所需的机具、设备、材料的数量和需要补充采购的计划。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（3）要求发包人提供的施工图纸计划。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（4）提出发包人和其他承包人提供工程设备预埋件的计划要求。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（5）该年施工工作面移交计划日期和要求其他承包人提供工作面的计划日期。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（6）该年各施工工程项目的试验检验计划。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（7）工程安全措施实施计划等。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1.7.3季、月进度计划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监理人认为有必要时，可要求承包人向监理人提交季、月进度计划，其内容包括：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（1）季、月工程量及其施工面貌。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（2）该季、月所需施工设备数量及材料用量。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（3）该季、月发包人应提供的施工图纸目录等。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1.7.4月、周进度报告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（1）承包人应在每月底按批准的格式，向监理人提交月进度实施报告，其内容包括：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1）月完成工程量和累计完成工程量（包括永久工程和临时工程）；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2）月完成的工程面貌图；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3）材料实际进货、消耗和库存量；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4）现场施工设备的投运数量和运行状况；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5）工程设备的到货情况；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6）劳动力数量（本月及预计未来3个月劳动力的数量）；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7）当前影响施工进度计划的因素和采取的改进措施；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8）质量事故和质量缺陷处理纪录，质量状况评价；</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9）安全施工措施实施情况（包括安全事故处理情况）；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10）环境保护及水土保持措施实施情况。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月进度报告应附有一组充分显示工程施工面貌与实际进度相对应的定点摄影照片。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（2）承包人应在每周进度会议上按批准的格式，向监理人提交周进度报表，其内容包括：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1）上周之前合同进度计划要求和实际完成工程量和累计完成工程量统计；</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2）上周实际完成工程量统计；</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3）下周计划完成的工程量；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4）要求监理人协调解决的主要问题。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1.7.5进度会议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（1）监理人应在每周的某一日和每月末定期召开周、月进度会议，检查承包人合同进度计划的执行情况，协调解决工程施工中发生的工程变更、质量缺陷处理等问题，以及与其它承包人的相互干扰和矛盾。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（2）承包人应在每周、月进度会议上按规定的格式提交周、月进度报表。</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7" w:name="_Toc14393"/>
      <w:r>
        <w:rPr>
          <w:rFonts w:hint="eastAsia" w:ascii="宋体" w:hAnsi="宋体" w:eastAsia="宋体" w:cs="宋体"/>
          <w:sz w:val="21"/>
          <w:szCs w:val="21"/>
        </w:rPr>
        <w:t>1.8工程质量的检查、检验和验收</w:t>
      </w:r>
      <w:bookmarkEnd w:id="47"/>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1.8.1承包人的质量自检</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（1）承包人应在收到开工通知后的</w:t>
      </w:r>
      <w:r>
        <w:rPr>
          <w:rFonts w:hint="eastAsia" w:ascii="宋体" w:hAnsi="宋体" w:eastAsia="宋体" w:cs="宋体"/>
          <w:szCs w:val="21"/>
          <w:u w:val="single"/>
        </w:rPr>
        <w:t>14</w:t>
      </w:r>
      <w:r>
        <w:rPr>
          <w:rFonts w:hint="eastAsia" w:ascii="宋体" w:hAnsi="宋体" w:eastAsia="宋体" w:cs="宋体"/>
          <w:szCs w:val="21"/>
        </w:rPr>
        <w:t>天内，向监理人提交本工程质量保证措施文件，其内容包括：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1）质量检查机构的组织框图；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2）质量检查的岗位设置及检查人员名单；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3）各主要工程建筑物施工，以及各施工工种的质量检查程序；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4）隐蔽工程和工程隐蔽部位的质量检查程序；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5）质量检查记录及验收单格式。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（2）承包人应按监理人指示和批准的格式，编制工程质量报表，定期提交监理人。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（3）工程发生质量事故时，承包人应约请监理人共同对工程质量事故进行检查，做好质量事故检查的同期记录和事故处理的自检报告。自检报告应提交监理人。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1.8.2监理人的质量检查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（1）监理人为检查工程和工程设备质量的需要，可要求承包人提交材料质量和设备出厂合格证、材料试验和设备检测成果、施工和安装记录等，承包人应及时予以提供。</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（2）监理人有权要求承包人按合同约定提供试验用的材料样品或在现场钻取试件，并使用承包人的测试设备进行试验检验；监理人还可要求承包人进行补充的试验检验。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8" w:name="_Toc29620"/>
      <w:r>
        <w:rPr>
          <w:rFonts w:hint="eastAsia" w:ascii="宋体" w:hAnsi="宋体" w:eastAsia="宋体" w:cs="宋体"/>
          <w:sz w:val="21"/>
          <w:szCs w:val="21"/>
        </w:rPr>
        <w:t>1.9验收</w:t>
      </w:r>
      <w:bookmarkEnd w:id="48"/>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1.9.1分部工程验收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（l）分部工程验收应遵守《水利工程建设项目验收管理规定》（水利部第30 号）和《水利水电建设工程验收规程》（SL 223 一2008）的规定。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分部工程验收应根据合同约定由发包人或发包人委托监理人主持。验收工作组由发包人以及合同工程有关勘测、设计、监理、施工、主要设备（供应）商等单位代表组成。可根据情况邀请运行管理单位人员参加。验收工作组成成员应具有相应的专业知识或执业资格。参加分部工程验收的每个单位代表人数不宜超过2名。</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（3）分部工程验收应具备的条件、验收主要内容和验收程序分别按《水利水电建设工程验收规程》（SL 223-2008）第3章3.0.4条、3.0.5条和3.0.6条要求进行。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（4）发包人应在分部工程验收通过之日起10个工作日内，将验收质量结论和相关资料报质量监督机构备案。</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1.9.2单位工程验收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（l）单位工程验收应遵守《水利工程建设项目验收管理规定》（水利部令30号）和《水利水电建设工程验收规程》（SL 223-2008）的规定。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单位工程验收应由发包人主持。验收工作组由发包人以及合同工程有关勘测、设计、监理、施工、主要设备（供应）商运行管理等单位代表组成。必要时，可邀请上述单位以外的相关专家参加。验收工作组成员应具有中级及以上技术职称或相应执业资格，每个单位代表人数不宜超过3名。</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（3）单位工程完工并具备验收条件时，施工单位应向发包人提出验收申请报告，发包人应在收到验收申请报告之日起10个工作日内决定是否同意验收。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（4）单位工程验收应具备的条件、验收主要内容和验收程序分别按《水利水电建设工程验收规程》（SL 223-2008）第4章4.0.5条、4.0.6条和4.0.7条要求进行。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需提前投入使用的单位工程应进行单位工程投入使用验收。单位工程投入使用验收应由发包人主持，根据工程具体情况，经竣工验收主持单位同意，单位工程投入使用验收也可由竣工验收主持单位或其委托的单位主持。</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1.9.3合同工程完工验收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（1）合同工程验收应遵守《水利工程建设项目验收管理规定》（水利部令30号）和《水利水电建设工程验收规程》（SL 223-2008）的规定。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（2）施工合同约定的建设内容全部完成后，应进行合同工程完工验收。当合同仅包含一个单位工程（分部工程）时，宜将单位工程（分部工程）验收与合同完工验收一并进行。，但应同时满足相应的验收条件。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（3）合同工程完工验收由发包人主持。验收工作组由发包人以及合同工程有关勘测、设计、监理、施工、主要设备（供应）商等单位代表组成</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（4）合同工程具备验收条件时，施工单位应向发包人提出验收申请报告，发包人应在收到验收申请报告之日起20个工作日内决定是否同意验收。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（5）合同工程完工验收应具备的条件按《水利水电建设工程验收规程》（SL 223-2008）第5章5.0.5条要求进行。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1.9.4阶段验收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（1）合同工程验收应遵守《水利工程建设项目验收管理规定》（水利部令30号）和《水利水电建设工程验收规程》（SL 223-2008）的规定。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（2）根据国家对工程施工过程中的安全管理需要，水利工程应进行以下项目的阶段验收：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1）枢纽工程导（截）流验收。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2）水库下闸蓄水验收。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3）引（调）排水工程的通水验收。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4）水电站（泵站）机组启动验收。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5）部分工程投入使用验收。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6）工程建设需要增加的其他验收。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（3）阶段验收应由竣工主持单位或其委托的单位主持。阶段验收委员会应由验收主持单位、质量和安全监督机构、运行管理单位的代表和有关专家组成；必要时，可邀请地方人民政府以及有关部门参加。</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1.9.5专项验收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（1）工程竣工验收前应按有关规定进行专项验收。专项验收主持单位应按国家和有关行业的有关规定确定。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（2）专项验收是指与国家和地方的对外永久交通、移民安置、环境保护、水土保持及通航等的专项工程验收。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（3）项目法人应按国家和相关行业主管部门的规定，向有关部门提出专项验收申请报告，并做好准备和配合工作。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（4）专项验收成果性文件应是工程竣工验收成果性文件的组成部分，其工程竣工验收资料的整编内容可参照本章第1.9.6项的要求进行。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1.9.6工程竣工验收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（1）工程竣工验收应遵守《水利工程建设项目验收管理规定》（水利部令30号）和《水利水电建设工程验收规程》（SL 223-2008）的规定。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（2）工程竣工验收前，承包人应整编以下竣工验收资料提交发包人，其内容包括（不限于）: </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l）验收工程的各项施工材料的试验检验成果。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2）监理人对验收工程及其工程设备的质量检查记录。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3）施工过程中，本项工程及其工程设备的变更文件及资料。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4）质量事故记录以及工程及其工程设备的缺陷处理报告。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5）施工过程中，对验收工程质量的专题评定报告。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6）质量监督机构签认的质量鉴定报告和有关文件。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7）验收工程施工期的安全监测成果，以及工程设备的试运行检测成果。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8）监理人指示提交的其它竣工验收资料。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（3）工程竣工验收应在工程建设项目全部完成，各单位工程、分部工程和单项工程的竣工验收全部合格，并已满足一定运行条件后1 年内进行。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（4）工程竣工验收应由发包人向地方行政主管部门提出工程竣工验收申请，并经地方行政主管部门批准后，由地方行政主管部门主持、发包人组织进行。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49" w:name="_Toc11520"/>
      <w:r>
        <w:rPr>
          <w:rFonts w:hint="eastAsia" w:ascii="宋体" w:hAnsi="宋体" w:eastAsia="宋体" w:cs="宋体"/>
          <w:sz w:val="21"/>
          <w:szCs w:val="21"/>
        </w:rPr>
        <w:t>1.10工程量计算</w:t>
      </w:r>
      <w:bookmarkEnd w:id="49"/>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1.10.1说明</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（1）本合同工程项目应按本合同通用和专用合同条款第17条的约定进行计量。计量方法应符合本技术条款各节的有关规定。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（2）承包人应保证自供的一切计量设备和用具符合国家度量衡标准的精度要求。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根据合同完成的有效工程量，由承包人按施工图纸计算，或采用标准的计量设备进行秤量，并经监理人签认后，列入承包人的每月完成工程量报表。当分次结算累计工程量与按完成施工图纸所示及合同文件规定计算的有效工程量不一致时，以按完成施工图纸所示及合同文件规定计算的有效工程量为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（4）分次结算工程量的测量工作，应在监理人在场的情况下，由承包人负责。必要时，监理人有权指示承包人对结算工程量重新进行复核测量，并由监理人核查确认。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1.10.2重量计量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（1）按施工图纸所示计算的有效重量以吨或千克为单位计量。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（2）凡以重量计量并需秤量的材料，由承包人合格的测量人员使用经国家计量监督部门检验合格的秤量设备，根据合同约定，在监理人指定的地点进行秤量。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1.10.3面积计量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按施工图纸所示施工轮廓尺寸或结构物尺寸计算的有效面积以平方米为单位计量。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1.10.4体积计量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按施工图纸所示施工轮廓尺寸或结构物尺寸计算的有效体积以立方米为单位计量。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1.10.5长度计量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按施工图纸所示施工轮廓尺寸或结构物尺寸计算的有效长度以米为单位计量。</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0" w:name="_Toc28499"/>
      <w:r>
        <w:rPr>
          <w:rFonts w:hint="eastAsia" w:ascii="宋体" w:hAnsi="宋体" w:eastAsia="宋体" w:cs="宋体"/>
          <w:sz w:val="21"/>
          <w:szCs w:val="21"/>
        </w:rPr>
        <w:t>1.11引用技术标准和规程规范的规定</w:t>
      </w:r>
      <w:bookmarkEnd w:id="50"/>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1.11.1遵守国家和行业标准的强制性规定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技术条款中有关工程等级、防洪标准和工程安全鉴定标准等涉及工程安全的施工安装技术要求及其验收标准，必须严格遵守国家和行业标准中的强制性规定。遇有矛盾时，应由监理人按国家和行业标准的强制性规定进行修正。</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1.11.2引用标准和规程规范以最新版本为准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新技术条款中引用的标准和规程规范均标有出版年代，引用截止期为2022年4月，应用时执行国家和各行业最新出版的有效版本。</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1" w:name="_Toc2404"/>
      <w:r>
        <w:rPr>
          <w:rFonts w:hint="eastAsia" w:ascii="宋体" w:hAnsi="宋体" w:eastAsia="宋体" w:cs="宋体"/>
          <w:sz w:val="21"/>
          <w:szCs w:val="21"/>
        </w:rPr>
        <w:t>1.12工程保险</w:t>
      </w:r>
      <w:bookmarkEnd w:id="51"/>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1.12.1投保险种</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发包人和承包人应按本合同通用合同条款第20条的约定投保以下险种：</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（1）建筑安装工程一切险（包括材料和工程设备，以发包人和承包人共同名义投保）；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（2）人员工伤事故险（按各自管辖的人员投保）；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（3）人身意外伤害险（按各自管辖的人员投保）；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（4）第三者责任险（按各自管辖区，以发包人和承包人共同名义投保）；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（5）施工设备险（由承包人负责投保）。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1.12.2保险费用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（1）本合同约定由承包人负责投保建筑安装工程一切险，承包人应按本合同通用合同条款第20.1款约定的责任和内容，在本节工程量清单中专项列报。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2）承包人人员的工伤事故险和人身意外伤害险应由承包人按本合同通用合同条款第20.2款、第20.3款约定的责任和内容，为全部现场施工人员办理保险，其费用包含在《工程量清单》项目的工程单价中，发包人不另行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（3）承包人管辖区内的第三者责任险应由承包人，根据本合同通用合同条款第20.4款约定的责任和内容与本节《工程量清单》所列项目专项列报。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 xml:space="preserve"> （4）施工设备险由承包人负责投保，保险费用包括在施工设备运行费内。</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2" w:name="_Toc21763"/>
      <w:r>
        <w:rPr>
          <w:rFonts w:hint="eastAsia" w:ascii="宋体" w:hAnsi="宋体" w:eastAsia="宋体" w:cs="宋体"/>
          <w:sz w:val="21"/>
          <w:szCs w:val="21"/>
        </w:rPr>
        <w:t>1.13工程价款支付方法</w:t>
      </w:r>
      <w:bookmarkEnd w:id="52"/>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1.13.1单价支付项目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除合同另有约定外，承包人在《工程量清单》以单价形式列报的所有工程项目，发包人均按《工程量清单》相应项目的工程单价支付。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1.13.2一般总价支付项目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除合同另有约定外，承包人在《工程量清单》以总价形式列报的所有工程项目，发包人均按《工程量清单》相应项目（不包括以总价形式列报的暂列金额）的总价支付。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1.13.3特殊约定的总价支付项目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（1）进场费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除合同另有约定外，承包人完成合同项目施工所需人员、施工设备和周转性材料的调遣费用等，均应包含在《工程量清单》项目的工程单价中，发包人不另行支付。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（2）退场费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除合同另有约定外，工程完工验收后，承包人完工清场，撤退人员、施工设备和周转性材料等所需费用，均应包含在《工程量清单》项目的工程单价中，发包人不另行支付。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（3）保险费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highlight w:val="none"/>
        </w:rPr>
      </w:pPr>
      <w:r>
        <w:rPr>
          <w:rFonts w:hint="eastAsia" w:ascii="宋体" w:hAnsi="宋体" w:eastAsia="宋体" w:cs="宋体"/>
          <w:szCs w:val="21"/>
          <w:highlight w:val="none"/>
        </w:rPr>
        <w:t>建筑工程一切险、第三者责任险凭保险单及发票支付，但最高不超过承包人投标时列报相应保险费的总额。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 xml:space="preserve"> （4）其它费用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ascii="宋体" w:hAnsi="宋体"/>
          <w:szCs w:val="21"/>
        </w:rPr>
      </w:pPr>
      <w:r>
        <w:rPr>
          <w:rFonts w:hint="eastAsia" w:ascii="宋体" w:hAnsi="宋体" w:eastAsia="宋体" w:cs="宋体"/>
          <w:szCs w:val="21"/>
        </w:rPr>
        <w:t>承包人按本节规定完成各项工作所发生的其它费用，均包含在《工程量清单》有关项目的工程单价或总价中，发包人不另行支付。</w:t>
      </w:r>
    </w:p>
    <w:p>
      <w:pPr>
        <w:pStyle w:val="3"/>
        <w:keepNext w:val="0"/>
        <w:keepLines w:val="0"/>
        <w:pageBreakBefore w:val="0"/>
        <w:widowControl w:val="0"/>
        <w:tabs>
          <w:tab w:val="left" w:pos="840"/>
          <w:tab w:val="clear" w:pos="432"/>
        </w:tabs>
        <w:kinsoku/>
        <w:overflowPunct/>
        <w:topLinePunct w:val="0"/>
        <w:autoSpaceDE/>
        <w:autoSpaceDN/>
        <w:bidi w:val="0"/>
        <w:snapToGrid/>
        <w:spacing w:line="324" w:lineRule="auto"/>
        <w:jc w:val="center"/>
        <w:textAlignment w:val="auto"/>
        <w:rPr>
          <w:rFonts w:ascii="宋体" w:hAnsi="宋体" w:eastAsia="宋体"/>
          <w:b/>
          <w:color w:val="000000"/>
          <w:sz w:val="21"/>
          <w:szCs w:val="21"/>
        </w:rPr>
      </w:pPr>
      <w:bookmarkStart w:id="53" w:name="_Toc7523"/>
      <w:r>
        <w:br w:type="page"/>
      </w:r>
      <w:bookmarkStart w:id="54" w:name="_Toc8255"/>
      <w:bookmarkStart w:id="55" w:name="_Toc20604"/>
      <w:bookmarkStart w:id="56" w:name="_Toc11746"/>
      <w:r>
        <w:rPr>
          <w:rFonts w:ascii="宋体" w:hAnsi="宋体" w:eastAsia="宋体"/>
          <w:b/>
          <w:color w:val="000000"/>
          <w:sz w:val="21"/>
          <w:szCs w:val="21"/>
        </w:rPr>
        <w:t>第2</w:t>
      </w:r>
      <w:r>
        <w:rPr>
          <w:rFonts w:hint="eastAsia" w:ascii="宋体" w:hAnsi="宋体" w:eastAsia="宋体"/>
          <w:b/>
          <w:color w:val="000000"/>
          <w:sz w:val="21"/>
          <w:szCs w:val="21"/>
        </w:rPr>
        <w:t>节</w:t>
      </w:r>
      <w:r>
        <w:rPr>
          <w:rFonts w:hint="eastAsia" w:ascii="宋体" w:hAnsi="宋体" w:eastAsia="宋体"/>
          <w:b/>
          <w:color w:val="000000"/>
          <w:sz w:val="21"/>
          <w:szCs w:val="21"/>
          <w:lang w:val="en-US" w:eastAsia="zh-CN"/>
        </w:rPr>
        <w:t xml:space="preserve">  </w:t>
      </w:r>
      <w:r>
        <w:rPr>
          <w:rFonts w:ascii="宋体" w:hAnsi="宋体" w:eastAsia="宋体"/>
          <w:b/>
          <w:color w:val="000000"/>
          <w:sz w:val="21"/>
          <w:szCs w:val="21"/>
        </w:rPr>
        <w:t>施工临时设施</w:t>
      </w:r>
      <w:bookmarkEnd w:id="53"/>
      <w:bookmarkEnd w:id="54"/>
      <w:bookmarkEnd w:id="55"/>
      <w:bookmarkEnd w:id="56"/>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7" w:name="_Toc5242"/>
      <w:r>
        <w:rPr>
          <w:rFonts w:hint="eastAsia" w:ascii="宋体" w:hAnsi="宋体" w:eastAsia="宋体" w:cs="宋体"/>
          <w:sz w:val="21"/>
          <w:szCs w:val="21"/>
        </w:rPr>
        <w:t>2.1一般规定</w:t>
      </w:r>
      <w:bookmarkEnd w:id="57"/>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2.1.1应用范围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本章规定适用于本合同工程施工临时设施的设计、施工及其附属设备的采 购和配置、安装、运行、维护、管理和拆除等全部工作。其工作项目包括：施 工交通、施工场外供电、施工房屋建筑工程、现场施工测量、现场试验、场内 施工及生活供电、施工照明、施工及生活供水、施工供风、施工通信、砂石料 生产系统、混凝土生产系统、附属加工厂及生产用房、弃渣场以及其他临时设施等。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2.1.2承包人责任</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（1）承包人应负责修建完成本章第2.2〜2.4款、第2.7〜2.14款所列的各项施工临时设施，并在各项永久工程建筑物施工前，完成全部施工临时设施及 其附属设备的安装和试运行。</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（2）承包人应按发包人提供的施工交通规划及本章第2.2款的规定，负责场外公共交通和场内施工临时道路及其交通设施、设备的设计、施工、采购和 配置、安装、运行和维护。</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（3）承包人应按本章第2.3款的规定，负责施工场外供电设施、设备的设 计、施工、采购和配置、安装、运行和维护。</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（4）承包人应按本章第2.4款的规定，负责施工房屋建筑工程的规划、布置、设计、施工和维护，并应对现场办公和生活建筑物的使用安全负责。</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（5）承包人应按本章第2.5款、第2.6款的规定，负责本工程的现场施工测量和现场试验工作。并对其提供的测量和试验成果负全部责任。</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（6）承包人应按本章第2.7〜2.10款的规定，负责设计和配置场内施工及生活供电、施工照明、供水、供风、通信等施工临时设施。</w:t>
      </w:r>
    </w:p>
    <w:p>
      <w:pPr>
        <w:keepNext w:val="0"/>
        <w:keepLines w:val="0"/>
        <w:pageBreakBefore w:val="0"/>
        <w:widowControl w:val="0"/>
        <w:tabs>
          <w:tab w:val="left" w:pos="1060"/>
        </w:tabs>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（7）承包人应按本章第2.11〜2.14款的规定，负责设计、建造、运行和维护砂石料生产系统、混凝土牛产系统、附属加工厂及生产用房、弃渣场以及其它临时设施。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2.1.3主要提交件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承包人应按本章第1 4. 2项以及批准的施工总布置设计和本章第2. 2〜2.4款及第2. 7〜2. 14款的规定，编制各项施工临时设施的设计文件，提交监理人批准。其内容包括：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（1）施工临时设施布置图。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（2）施工工艺流程和（或）施工程序说明。</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（3）安全和环境保护措施。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（4）施工期运行管理方式。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2.1.4引用标准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（1）《生活饮用水卫生标准》（GB 5749—2006）。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（2）《水工建筑物地下开挖工程施工规范》（SL 378—2007）。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（3）《水利水电工程施工组织设计规范》（SL 303—2017）。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eastAsia="宋体" w:cs="宋体"/>
        </w:rPr>
        <w:t>（4）《水利水电工程施工测量规范》（SL 52—2015）。</w:t>
      </w:r>
      <w:r>
        <w:rPr>
          <w:rFonts w:hint="eastAsia" w:ascii="宋体" w:hAnsi="宋体"/>
        </w:rPr>
        <w:t xml:space="preserve"> </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8" w:name="_Toc24516"/>
      <w:r>
        <w:rPr>
          <w:rFonts w:hint="eastAsia" w:ascii="宋体" w:hAnsi="宋体" w:eastAsia="宋体" w:cs="宋体"/>
          <w:sz w:val="21"/>
          <w:szCs w:val="21"/>
        </w:rPr>
        <w:t>2.2施工交通</w:t>
      </w:r>
      <w:bookmarkEnd w:id="58"/>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2.2.1场内施工道路</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除本合同约定由发包人提供的施工道路外，承包人应负责修建本合同施工区内自发包人提供的道路至各施工点的全部施工道路、桥涵、交通隧道和停车场，并在合同实施期间负责管理和维护（包括管理和维护发包人提供的施工道路）。</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2.2.2场外公共交通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承包人应按本合同通用合同条款第7.3〜7.5款的规定执行。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59" w:name="_Toc18594"/>
      <w:r>
        <w:rPr>
          <w:rFonts w:hint="eastAsia" w:ascii="宋体" w:hAnsi="宋体" w:eastAsia="宋体" w:cs="宋体"/>
          <w:sz w:val="21"/>
          <w:szCs w:val="21"/>
        </w:rPr>
        <w:t>2.3施工场外供电</w:t>
      </w:r>
      <w:bookmarkEnd w:id="59"/>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rPr>
      </w:pPr>
      <w:r>
        <w:rPr>
          <w:rFonts w:hint="eastAsia"/>
        </w:rPr>
        <w:t>除合同另有约定外，承包人应负责办理从施工场外现有电网接入的一切手续，包括接入设施、设备的设计、施工、采购和配置、安装、运行和维护，并向接口归属部门缴纳电费。</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0" w:name="_Toc5635"/>
      <w:r>
        <w:rPr>
          <w:rFonts w:hint="eastAsia" w:ascii="宋体" w:hAnsi="宋体" w:eastAsia="宋体" w:cs="宋体"/>
          <w:sz w:val="21"/>
          <w:szCs w:val="21"/>
        </w:rPr>
        <w:t>2.4施工房屋建筑工程</w:t>
      </w:r>
      <w:bookmarkEnd w:id="60"/>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施工房屋建筑工程是指工程在建设过程中建造的临时房屋，包括施工仓库，办公、生活及文化福利建筑及所需的配套设施工程。其中施工仓库，指为施工而临时兴建的设备、材料、工器具等仓库建筑工程；办公、生活及文化福利建筑，指承包人、发包人、监理人及设计代表在工程建设期所需的办公室、宿舍和其他文化福利设施等房屋建筑工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临时房屋建筑工程不包括列人临时设施和其他临时工程项目内的风、水、电、通信系统，砂石料系统，混凝土拌和系统及浇筑系统，木工、钢筋、机修 等辅助工厂，混凝土预制构件厂，混凝土制冷、供热系统，施工排水等生产 用房。</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2.4.1承包人自建施工房屋建筑</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（1）除合同另有约定外，承包人应负责其施工需要的临时房屋建筑工程的 设计、建造及其设备的采购、安装、管理和维护等。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（2）承包人应在收到开工通知后的7天内，按发包人批准的施工总布置规划，编制一份临时房屋建筑工程的布置和房屋建筑物设计的图纸和文件提交监理人批准。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（3）除合同另有约定外，储存炸药、雷管和油料等特殊材料仓库应按监理人批准的地点进行布置和修建，并应严格遵守国家有关安全管理的规定。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2.4.2发包人提供临时房屋建筑</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rPr>
      </w:pPr>
      <w:r>
        <w:rPr>
          <w:rFonts w:hint="eastAsia" w:ascii="宋体" w:hAnsi="宋体" w:eastAsia="宋体" w:cs="宋体"/>
        </w:rPr>
        <w:t>发包人可将已建成的办公管理和生活房屋建筑及其设施提供给承包人使用。具体管理办法由发包人和承包人另行签订协议。</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1" w:name="_Toc7520"/>
      <w:r>
        <w:rPr>
          <w:rFonts w:hint="eastAsia" w:ascii="宋体" w:hAnsi="宋体" w:eastAsia="宋体" w:cs="宋体"/>
          <w:sz w:val="21"/>
          <w:szCs w:val="21"/>
        </w:rPr>
        <w:t>2.5现场施工测量</w:t>
      </w:r>
      <w:bookmarkEnd w:id="61"/>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pPr>
      <w:r>
        <w:rPr>
          <w:rFonts w:hint="eastAsia"/>
        </w:rPr>
        <w:t>承包人应按本合同通用合同条款第</w:t>
      </w:r>
      <w:r>
        <w:t>8. 1</w:t>
      </w:r>
      <w:r>
        <w:rPr>
          <w:rFonts w:hint="eastAsia" w:ascii="MS Mincho" w:hAnsi="MS Mincho" w:eastAsia="MS Mincho" w:cs="MS Mincho"/>
        </w:rPr>
        <w:t>〜</w:t>
      </w:r>
      <w:r>
        <w:t>8. 4</w:t>
      </w:r>
      <w:r>
        <w:rPr>
          <w:rFonts w:hint="eastAsia"/>
        </w:rPr>
        <w:t>款的规定执行。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2" w:name="_Toc25213"/>
      <w:r>
        <w:rPr>
          <w:rFonts w:hint="eastAsia" w:ascii="宋体" w:hAnsi="宋体" w:eastAsia="宋体" w:cs="宋体"/>
          <w:sz w:val="21"/>
          <w:szCs w:val="21"/>
        </w:rPr>
        <w:t>2.6现场试验</w:t>
      </w:r>
      <w:bookmarkEnd w:id="62"/>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rPr>
      </w:pPr>
      <w:r>
        <w:rPr>
          <w:rFonts w:hint="eastAsia"/>
        </w:rPr>
        <w:t>承包人应按本合同通用合同条款第14, 2款、第14. 3款的规定执行。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3" w:name="_Toc17529"/>
      <w:r>
        <w:rPr>
          <w:rFonts w:hint="eastAsia" w:ascii="宋体" w:hAnsi="宋体" w:eastAsia="宋体" w:cs="宋体"/>
          <w:sz w:val="21"/>
          <w:szCs w:val="21"/>
        </w:rPr>
        <w:t>2.7场内施工及生活供电、施工照明</w:t>
      </w:r>
      <w:bookmarkEnd w:id="63"/>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（1）承包人应负责设设计、施工、采购、安装、凋试、管理和维修由发包人施工电源输出端或场外电网的接口处至所有施工区和生活区的输电线路、配电所及其全部配电装置和功率补偿装置。</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2）承包人应负责设计、施工、采购、安装、管理和维修其工程所有施工作业区、办公区和生活区以及相关的逬路、桥涵、交通隧道（包括施工支洞）在内的施工区照明线路和照明设施。各地下洞室施工作业区照明度应符合 《水工建筑物地下开挖工程施工规范》（SL 378—2007）第12. 3. 10条的规定。</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3）承包人应为其出现停电事故后急需恢复用电的重要工程部位（如地下工程照明和排水、基坑抽水、补救中断的混凝土浇筑、混凝土温控冷却水、办公和生活区的安全照明等）配备一定容量的事故备用电源，为紧急供电之用。</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（4）承包人应按监理人指示，为进入现场工作的其他承包人施工和生活用电提供方便。</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4" w:name="_Toc441"/>
      <w:r>
        <w:rPr>
          <w:rFonts w:hint="eastAsia" w:ascii="宋体" w:hAnsi="宋体" w:eastAsia="宋体" w:cs="宋体"/>
          <w:sz w:val="21"/>
          <w:szCs w:val="21"/>
        </w:rPr>
        <w:t>2.8施工供水</w:t>
      </w:r>
      <w:bookmarkEnd w:id="64"/>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（1）承包人应按合同约定，在发包人指定取水点取水，负责提供本合同工程的施工和生活用水，其供水系统的总供水能力应不小于</w:t>
      </w:r>
      <w:r>
        <w:rPr>
          <w:rFonts w:hint="eastAsia" w:ascii="宋体" w:hAnsi="宋体"/>
          <w:u w:val="single"/>
        </w:rPr>
        <w:tab/>
      </w:r>
      <w:r>
        <w:rPr>
          <w:rFonts w:hint="eastAsia" w:ascii="宋体" w:hAnsi="宋体"/>
        </w:rPr>
        <w:t>m3/d，水质应符合《生活饮用水卫生标准》（GB5M9—2006）有关的规定。</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（2）承包人应按本合同施工总布置的要求，负责设计、施工、采购、安 装、管理和维修其施工区和生活区的供水系统，包括修建为保证正常供水的引 水、储水和水处理设施等。</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（3）承包人应负责向发包人和监理人提供现场办公和生活用水，包括引向 发包人和监理人办公地点和生活区的引水、储水和水处理设施及其设备、设施 的施工、安装和日常维修等工作。上述供水设施建设和日常供水费用包括在供 水项目的总价内。</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（4）为进入现场的其他承包人提供施工和生活用水方便，具体提供措施和 收费办法由双方协商确定。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5" w:name="_Toc31439"/>
      <w:r>
        <w:rPr>
          <w:rFonts w:hint="eastAsia" w:ascii="宋体" w:hAnsi="宋体" w:eastAsia="宋体" w:cs="宋体"/>
          <w:sz w:val="21"/>
          <w:szCs w:val="21"/>
        </w:rPr>
        <w:t>2.9施工供风</w:t>
      </w:r>
      <w:bookmarkEnd w:id="65"/>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rPr>
      </w:pPr>
      <w:r>
        <w:rPr>
          <w:rFonts w:hint="eastAsia"/>
        </w:rPr>
        <w:t>承包人应负责提供本合同工程所需的施工供风，包括负责施工供风系统的 设计、建造、运行管理和维护。</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6" w:name="_Toc11711"/>
      <w:r>
        <w:rPr>
          <w:rFonts w:hint="eastAsia" w:ascii="宋体" w:hAnsi="宋体" w:eastAsia="宋体" w:cs="宋体"/>
          <w:sz w:val="21"/>
          <w:szCs w:val="21"/>
        </w:rPr>
        <w:t>2.10施工通信</w:t>
      </w:r>
      <w:bookmarkEnd w:id="66"/>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（1）除合同另有约定外，承包人应自行负责从施工场外现有通信系统接人的一切手续，包括接入设施、设备的设计、施工、采购和配置、安装、运行和维护，并向接入归属部门缴纳通信费用。</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（2）承包人应自行负责设计、施工、采购、安装、管理和维修其施工现场内部的通信服务设施。承包人应为发包人和其他承包人使用其内部通信设施提供方便。</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7" w:name="_Toc26694"/>
      <w:r>
        <w:rPr>
          <w:rFonts w:hint="eastAsia" w:ascii="宋体" w:hAnsi="宋体" w:eastAsia="宋体" w:cs="宋体"/>
          <w:sz w:val="21"/>
          <w:szCs w:val="21"/>
        </w:rPr>
        <w:t>2.11砂石料生产系统</w:t>
      </w:r>
      <w:bookmarkEnd w:id="67"/>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2.11.1承包人自建砂石料生产系统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（1）承包人应负责提供本合同工程施工所需的全部砂石料，并负责砂石料生产系统的设计和施工以及开采加工设备的采购、安装、调试、运行、管理和 维护。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（2）承包人应按批准的施工进度计划和各种砂石料和土料的需用量确定各项加工设备的生产能力和规模，进行加工、储存和供料平衡，并应满足高峰用 量的要求。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2.11.2承包人市场采购砂石料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（1）承包人应负责提供本合同工程施工所需的全部砂石料，并负责砂石料的选择、采购、运输、储存和保管等。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（2）承包人应按批准的施工进度计划和各种砂石料和土料的需用量确定市场采购计划，充分进行市场调查完善采购渠道，满足高峰用量的要求。所购砂 石料质量需满足设计和相关规范的要求。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2.11.3发包人提供砂石料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（1）发包人应按合同约定的质量标准提供砂石料。承包人应按技术条款的规定和施工图纸的要求，对发包人提供的砂石料进行抽样检验，确认合格后，才能使用。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（2）承包人应按施工进度计划，在每年底前</w:t>
      </w:r>
      <w:r>
        <w:rPr>
          <w:rFonts w:hint="eastAsia" w:ascii="宋体" w:hAnsi="宋体" w:eastAsia="宋体" w:cs="宋体"/>
          <w:u w:val="single"/>
        </w:rPr>
        <w:tab/>
      </w:r>
      <w:r>
        <w:rPr>
          <w:rFonts w:hint="eastAsia" w:ascii="宋体" w:hAnsi="宋体" w:eastAsia="宋体" w:cs="宋体"/>
          <w:u w:val="single"/>
        </w:rPr>
        <w:t xml:space="preserve">7 </w:t>
      </w:r>
      <w:r>
        <w:rPr>
          <w:rFonts w:hint="eastAsia" w:ascii="宋体" w:hAnsi="宋体" w:eastAsia="宋体" w:cs="宋体"/>
        </w:rPr>
        <w:t>天和每月底前</w:t>
      </w:r>
      <w:r>
        <w:rPr>
          <w:rFonts w:hint="eastAsia" w:ascii="宋体" w:hAnsi="宋体" w:eastAsia="宋体" w:cs="宋体"/>
          <w:u w:val="single"/>
        </w:rPr>
        <w:tab/>
      </w:r>
      <w:r>
        <w:rPr>
          <w:rFonts w:hint="eastAsia" w:ascii="宋体" w:hAnsi="宋体" w:eastAsia="宋体" w:cs="宋体"/>
          <w:u w:val="single"/>
        </w:rPr>
        <w:t>7</w:t>
      </w:r>
      <w:r>
        <w:rPr>
          <w:rFonts w:hint="eastAsia" w:ascii="宋体" w:hAnsi="宋体" w:eastAsia="宋体" w:cs="宋体"/>
        </w:rPr>
        <w:t>天向监理人提交下一年度和下一月度的砂石料需用计划。经监理人确认后，作为供货人供应砂石料的依据。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eastAsia="宋体" w:cs="宋体"/>
        </w:rPr>
        <w:t>（3）若供货人延误供应砂石料，应由发包人对承包人承担延误供货的责任，承包人有权根据对其工期的影响和工程损失情况向发包人提出索赔。</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8" w:name="_Toc29915"/>
      <w:r>
        <w:rPr>
          <w:rFonts w:hint="eastAsia" w:ascii="宋体" w:hAnsi="宋体" w:eastAsia="宋体" w:cs="宋体"/>
          <w:sz w:val="21"/>
          <w:szCs w:val="21"/>
        </w:rPr>
        <w:t>2.12混凝土生产系统</w:t>
      </w:r>
      <w:bookmarkEnd w:id="68"/>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2.12.1承包人自建混凝土生产系统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（1）若合同约定，由承包人内建混凝土生产系统，则承包人应按批准的施工总布置规划，进行混凝土生产系统（包括混凝土背料储存系统）的设计和施 工（包括场地的开挖、回填与平整）、混凝土浇筑设备和设施的采购、安装、 调试、运行管理和维修，以及混凝土骨料储存和混凝土的拌和、运输等。承包人的混凝土生产系统还应做好场地排水和弃渣处理，以及防止污染环境等措施。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（2）承包人应按施工图纸和本合同技术条款规定的温控要求，负责混凝土制冷（热）系统的设计和施工，并负责制冷（热）设备的采购、安装、调试、运行管理和维修。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2.12.2承包人购买商品混凝土</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若合同约定，由承包人购买商品混凝土，则承包人负责商品混凝土的采购、运输、储存等，以及防止污染环境等措施。所购混凝土质量需满足设计和相关规范的要求，择优选择，并配合监理对混凝土进行相关检验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（2）承包人应按施工图纸和本合同技术条款规定的温控要求，负责混凝土制冷（热）系统的设计和施工，并负责制冷（热）设备的采购、安装、调试、 运行管理和维修等。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2.12.3发包人供应混凝土</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无</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69" w:name="_Toc14353"/>
      <w:r>
        <w:rPr>
          <w:rFonts w:hint="eastAsia" w:ascii="宋体" w:hAnsi="宋体" w:eastAsia="宋体" w:cs="宋体"/>
          <w:sz w:val="21"/>
          <w:szCs w:val="21"/>
        </w:rPr>
        <w:t>2.13附属加工厂及生产用房</w:t>
      </w:r>
      <w:bookmarkEnd w:id="69"/>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承包人应按批准的施工总进度和施工图纸的要求，修建以下附属加工厂及生产用房，并在各工厂设施及生产用房施工前，将附属加工厂设施及生产用房的设计文件提交监理人批准。</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（1）钢筋加工厂。</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（2）木材加工厂。</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（3）混凝土构件预制工厂。</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（4）机械修配工厂。</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（5）汽车保养站。</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（6）压力钢管和钢结构加工厂（包括预装配场地）。</w:t>
      </w:r>
    </w:p>
    <w:p>
      <w:pPr>
        <w:keepNext w:val="0"/>
        <w:keepLines w:val="0"/>
        <w:pageBreakBefore w:val="0"/>
        <w:widowControl w:val="0"/>
        <w:kinsoku/>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rPr>
        <w:t>（7）风、水、电、通信系统，砂石料系统，混凝土拌和系统及浇筑系统，混凝土预制构件厂，混凝土制冷、供热系统，施工排水等生产用房。</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highlight w:val="none"/>
        </w:rPr>
      </w:pPr>
      <w:bookmarkStart w:id="70" w:name="_Toc6974"/>
      <w:r>
        <w:rPr>
          <w:rFonts w:hint="eastAsia" w:ascii="宋体" w:hAnsi="宋体" w:eastAsia="宋体" w:cs="宋体"/>
          <w:sz w:val="21"/>
          <w:szCs w:val="21"/>
          <w:highlight w:val="none"/>
        </w:rPr>
        <w:t>2.14弃渣场</w:t>
      </w:r>
      <w:bookmarkEnd w:id="70"/>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highlight w:val="none"/>
        </w:rPr>
      </w:pPr>
      <w:bookmarkStart w:id="71" w:name="_Toc29758"/>
      <w:r>
        <w:rPr>
          <w:rFonts w:hint="eastAsia"/>
          <w:highlight w:val="none"/>
        </w:rPr>
        <w:t>承包人应按发包人指定的弃渣场堆放</w:t>
      </w:r>
      <w:r>
        <w:rPr>
          <w:rFonts w:hint="eastAsia"/>
          <w:b/>
          <w:highlight w:val="none"/>
        </w:rPr>
        <w:t>（堆放地点由建设单位指定）</w:t>
      </w:r>
      <w:r>
        <w:rPr>
          <w:rFonts w:hint="eastAsia"/>
          <w:highlight w:val="none"/>
        </w:rPr>
        <w:t>。承包人应按监理人批准的环境保护措施计划，在弃渣场周围及场地内设置防洪和排水设施，防止冲刷弃渣，造成水土流失。产生的相关费用由承包人自行承担，今后不再调整。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r>
        <w:rPr>
          <w:rFonts w:hint="eastAsia" w:ascii="宋体" w:hAnsi="宋体" w:eastAsia="宋体" w:cs="宋体"/>
          <w:sz w:val="21"/>
          <w:szCs w:val="21"/>
        </w:rPr>
        <w:t>2.15计量和支付</w:t>
      </w:r>
      <w:bookmarkEnd w:id="71"/>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2.15.1施工交通工程</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（1）除合同另有约定外，承包人根据合同要求完成场内施工道路的建设和施工期的管理维护工作所需的费用，由发包人按《工程量清单》相应项目的工 程单价或总价支付。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（2）场外公共交通的费用，除合同约定由发包人为场外公共交通修建和 （或）维护的临时设施外，承包人在施工场地外的一切交通费用，均由承包人 自行承担，发包人不另行支付。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（3）承包人承担的超大、超重件的运输费用，均由承包人自行负责，发包人不另行支付。超大、超重件的尺寸或重量超出合同约定的限度时，增加的费 用由发包人承担。</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2.15.2施工场外供电工程</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除合同另有约定外，承包人根据合同要求完成施工场外供电设备设施的建设和施工期的管理维护工作所需的费用，由发包人按《工程量清单》相应项目的工程单价或总价支付。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2.15.3施工房屋建筑工程</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除合同另有约定外，承包人根据合同要求或施工需要完成的临时房屋的建设、移设、维护管理和拆除工作所需的费用，由发包人按《工程量清单》相应项目的工程单价或总价支付。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2.15.4其他临时工程</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（1）现场施工测量</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现场施工测量（包括根据合同约定由承包人测设的施工控制网、工程施工阶段的全部施工测量放样工作等）所需费用，包含在《工程量清单》项目的工 程单价中，发包人不另行支付。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（2）现场试验</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1）现场室内试验</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除合同另有约定外，承包人现场试验室的建设费用，均包含在《工程量清单》项目的工程单价中，发包人不另行支付。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2）现场工艺试验</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除合同另有约定外，现场工艺试验所需费用，均包含在《工程量清单》项目的工程单价中，发包人不另行支付。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3）现场生产性试验</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除合同约定的大型现场生产性试验项目由发包人按《工程量清单》所列项目的总价支付外，其他各项生产性试验费用均包含在《工程量清单》相应项目 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（3）场内施工及生活供电设施、施工照明设施</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除合同另有约定外，承包人根据合同要求完成场内施工及生活用电设施、施工照明设施的建设、移设和拆除工作所需的费用，包含在《工程量清单》相 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（4）施工及生活供水设施</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除合同另有约定外，承包人根据合同要求完成施工及生活供水设施的建设、移设和拆除工作所需的费用，包含在《工程景淸单》相应项目的工程单价 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（5）施工供风设施</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除合同另有约定外，承包人根据合同要求完成施工供风设施的建设、移设和拆除工作所需的费用，包含在《工程量清单》相应项目的工程单价或总价中，发包人不另行支付。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（6）施工通信</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除合同另有约定外，承包人根祸合同要求完成现场施工通信设施的建设、 移设、维护管理和拆除工作所需的全部费用，包含在《工程量清单》相应项目的工程单价或总价中，发包人不另行支付。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（7）砂石料生产系统</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除合同另有约定外，承包人根据合同要求完成砂石料生产系统的建设和拆除工作所需的费用，包含在《工程量清单》相应项目的工程单价或总价中，发 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（8）混凝土生产系统</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除合同另有约定外，承包人根据合同要求完成混凝土生产系统的建设和拆除工作所需的费用，包含在《工程量清单》相应项目的工程单价或总价中，发包人不另行支付。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（9）附属加工厂及生产用房</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除合同另有约定外，承包人根据合同要求完成附属加工厂的建设、维护管 理和拆除工作所需的费用，包含在《工程量清单》相应项目的工程单价或总价中，发包人不另行支付。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除合同另有约定外，各生产用房的建设、维护管理和拆除工作所需的费用，包含在各相应项目的工程单价或总价中，发包人不另行支付。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（10）存料场</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除合同另有约定外，承包人根据合同要求完成存料场的建设、维护管理和拆除工作所需的费用，包含在《工程量清单》相应项目的工程单价或总价中，发包人不另行支付。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（11）弃渣场</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除合同另有约定外，承包人根据合同要求完成弃渣场的建设和维护管理等工作所需的费用，由发包人按《工程量清单》相应项目的工程单价或总价支付。</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（12）其他临时设施</w:t>
      </w:r>
    </w:p>
    <w:p>
      <w:pPr>
        <w:pStyle w:val="17"/>
        <w:keepNext w:val="0"/>
        <w:keepLines w:val="0"/>
        <w:pageBreakBefore w:val="0"/>
        <w:widowControl w:val="0"/>
        <w:kinsoku/>
        <w:wordWrap w:val="0"/>
        <w:overflowPunct/>
        <w:topLinePunct w:val="0"/>
        <w:autoSpaceDE/>
        <w:autoSpaceDN/>
        <w:bidi w:val="0"/>
        <w:adjustRightInd w:val="0"/>
        <w:snapToGrid/>
        <w:spacing w:line="324" w:lineRule="auto"/>
        <w:ind w:left="0" w:leftChars="0" w:firstLine="420" w:firstLineChars="200"/>
        <w:textAlignment w:val="auto"/>
        <w:rPr>
          <w:rFonts w:hint="eastAsia" w:ascii="宋体" w:hAnsi="宋体" w:eastAsia="宋体" w:cs="宋体"/>
        </w:rPr>
      </w:pPr>
      <w:r>
        <w:rPr>
          <w:rFonts w:hint="eastAsia" w:ascii="宋体" w:hAnsi="宋体" w:eastAsia="宋体" w:cs="宋体"/>
        </w:rPr>
        <w:t>未列入《工程量清单》的其他临时设施，承包人根据合同要求完成这些设施的建设、移置、维护管理和拆除工作所需的费用，包含在相应永久工程项目 的工程单价或总价中，发包人不另行支付。</w:t>
      </w:r>
    </w:p>
    <w:p>
      <w:pPr>
        <w:pStyle w:val="3"/>
        <w:keepNext w:val="0"/>
        <w:keepLines w:val="0"/>
        <w:pageBreakBefore w:val="0"/>
        <w:widowControl w:val="0"/>
        <w:kinsoku/>
        <w:overflowPunct/>
        <w:topLinePunct w:val="0"/>
        <w:autoSpaceDE/>
        <w:autoSpaceDN/>
        <w:bidi w:val="0"/>
        <w:snapToGrid/>
        <w:spacing w:line="324" w:lineRule="auto"/>
        <w:jc w:val="center"/>
        <w:textAlignment w:val="auto"/>
        <w:rPr>
          <w:rFonts w:ascii="宋体" w:hAnsi="宋体" w:eastAsia="宋体"/>
          <w:b/>
          <w:color w:val="000000"/>
          <w:sz w:val="21"/>
          <w:szCs w:val="21"/>
        </w:rPr>
      </w:pPr>
      <w:bookmarkStart w:id="72" w:name="_Toc11839"/>
      <w:r>
        <w:br w:type="page"/>
      </w:r>
      <w:bookmarkStart w:id="73" w:name="_Toc1701"/>
      <w:bookmarkStart w:id="74" w:name="_Toc1750"/>
      <w:bookmarkStart w:id="75" w:name="_Toc7006"/>
      <w:r>
        <w:rPr>
          <w:rFonts w:ascii="宋体" w:hAnsi="宋体" w:eastAsia="宋体"/>
          <w:b/>
          <w:color w:val="000000"/>
          <w:sz w:val="21"/>
          <w:szCs w:val="21"/>
        </w:rPr>
        <w:t>第3</w:t>
      </w:r>
      <w:r>
        <w:rPr>
          <w:rFonts w:hint="eastAsia" w:ascii="宋体" w:hAnsi="宋体" w:eastAsia="宋体"/>
          <w:b/>
          <w:color w:val="000000"/>
          <w:sz w:val="21"/>
          <w:szCs w:val="21"/>
        </w:rPr>
        <w:t>节</w:t>
      </w:r>
      <w:r>
        <w:rPr>
          <w:rFonts w:ascii="宋体" w:hAnsi="宋体" w:eastAsia="宋体"/>
          <w:b/>
          <w:color w:val="000000"/>
          <w:sz w:val="21"/>
          <w:szCs w:val="21"/>
        </w:rPr>
        <w:t>施工安全措施</w:t>
      </w:r>
      <w:bookmarkEnd w:id="72"/>
      <w:bookmarkEnd w:id="73"/>
      <w:bookmarkEnd w:id="74"/>
      <w:bookmarkEnd w:id="75"/>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76" w:name="_Toc18098"/>
      <w:r>
        <w:rPr>
          <w:rFonts w:hint="eastAsia" w:ascii="宋体" w:hAnsi="宋体" w:eastAsia="宋体" w:cs="宋体"/>
          <w:sz w:val="21"/>
          <w:szCs w:val="21"/>
        </w:rPr>
        <w:t>3.1一般规定</w:t>
      </w:r>
      <w:bookmarkEnd w:id="76"/>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3.1.1应用范围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本章适用于水利工程施工现场的文明施工及施工安全管理工作等，包括创建文明标化工地，作业环境安全保护，施工安全监测、视频监控、施工安全的 防控及应急救援措施等。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3.1.2承包人责任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（1）承包人应按本合同通用合同条款第9.2款的约定和《水利水电工程施工通用安全技术规程》（SL 398—2007）的规定等履行其文明施工和安全施工 职责，对本工程的文明施工和施工安全负责。</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坚持“安全第一，预防为主，综合治理”的方针，建立、健全安全生产责任制度，制定各项安全生产规章制度和操作规程，建立完善的施工安全生产设施，健全安全生产保证体系，加强监督管理，切实保障全体人员 的生命和财产安全。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（3）承包人应加强对职工进行施工安全教育，应按本章第3.2款规定的内容，编印安全保护手册发给全体职工。工人上岗前应进行安全操作的培训和考 核。合格者才准上岗。</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（4）承包人必须遵守国家颁布的有关安全规程。若承包人责任区内发生重大安全事故时，承包人应立即报告发包人，并在事故发生后12〜24小时内提 交事故情况的书面报告。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（5）承包人应为施工作业人员配置必需的劳动保护用品。承包人应对其施工安全措施不到位而发生的安全事故承担责任。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（6）承包人应负责全部施工作业的安全检查，建立专门的安全检查机构，配备专职的安检人员，进行经常性的安全生产检查，并及时做好安全记录。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7）承包人应按相关规定和合同要求积极创建文明施工标准化工地建设，安全文明施工、安全文明标准化工地创建应满足主管部门相关规定及发包人要求，同时接受主管部门日常监督检查和指导，把创建活动贯穿于工程质量、安 全、进度管理等全过程，切实.加强施工现场安全文明标准化创建和管理。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3.1.3主要提交件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（1）承包人应在本工程开工前</w:t>
      </w:r>
      <w:r>
        <w:rPr>
          <w:rFonts w:hint="eastAsia" w:ascii="宋体" w:hAnsi="宋体" w:eastAsia="宋体" w:cs="宋体"/>
          <w:u w:val="single"/>
        </w:rPr>
        <w:t>14</w:t>
      </w:r>
      <w:r>
        <w:rPr>
          <w:rFonts w:hint="eastAsia" w:ascii="宋体" w:hAnsi="宋体" w:eastAsia="宋体" w:cs="宋体"/>
        </w:rPr>
        <w:t>天，编制一份文明施工及创建标化工地措施计划，提交监理人批准。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（2）承包人应在本工程开工前</w:t>
      </w:r>
      <w:r>
        <w:rPr>
          <w:rFonts w:hint="eastAsia" w:ascii="宋体" w:hAnsi="宋体" w:eastAsia="宋体" w:cs="宋体"/>
          <w:u w:val="single"/>
        </w:rPr>
        <w:t>14</w:t>
      </w:r>
      <w:r>
        <w:rPr>
          <w:rFonts w:hint="eastAsia" w:ascii="宋体" w:hAnsi="宋体" w:eastAsia="宋体" w:cs="宋体"/>
        </w:rPr>
        <w:t>天，根据《中华人民共和国安全生产法》、《中华人民共和国消防法》、《中华人民共和闺道路交通安全法》、《中华 人民共和国传染病防治法》、《水利工程建设安全生产管理规定》、《浙江省水利 工程施工安全生产工作导则》、《浙江省水利工程视频监控系统建设技术规程 （试行）》（浙水信〔2016〕2号）等国家行业和地方有关法规，以及本章第3.2.1项规定的内容和要求，编制一份施工安全措施计划，提交监理人批准。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承包人应在每年、每季和每月的进度报告中，按本章规定的各项安全工作内容，详细说明本工程安全措施计划的实施情况，包括对重大危险源和事故隐患分析、评估、监控和整改，以及按规定的格式提交安全检查和事故处理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rPr>
        <w:t>3.1.4</w:t>
      </w:r>
      <w:r>
        <w:rPr>
          <w:rFonts w:hint="eastAsia" w:ascii="宋体" w:hAnsi="宋体" w:eastAsia="宋体" w:cs="宋体"/>
          <w:szCs w:val="21"/>
        </w:rPr>
        <w:t>引用的法律法规</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（1）《水利工程建设安全生产管理规定》。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（2）《安全技术措施计划的项目总名称表》。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（3）《中华人民共和国道路交通安全法》。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（4）华人民共和国安全生产法》。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（5）《中华人民共和国消防法》。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（6）《中华人民共和国传染病防治法实施办法》。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（7）《中华人民共和国食品卫生法》。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（8）《中华人民共和国劳动法》。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（9）《浙江省安全生产条例》。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（10）《浙江省水利工程施工安全生产工作导则》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3.1.5引用标准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（1）《爆破安全规程》（GB 6722—2014）。</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（2）《安全标志及其使用导则》（GB 2894—2008）。</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（3）《水利水电工程施工通用安全技术规程》（SL 398—2007）。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（4）《水利水电工程机电设备安装安全技术规程&gt; （SL 400—2016）。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（5）《水工建筑物地下开挖工程施工规范》（ST..378—2007）。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（6）《水利水电工程施工安全管评导则》（SL 721—2015）。</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（7）《水利水电工程施工安全防护设施技术规范》（SL 714—2015）。</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（8）《水利水电工程土建施工安全技术规程&gt; （SL 399—2007）。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（9）《水利水电工程施工作业人员安全操作规程》（SL 401—2007）。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rPr>
      </w:pPr>
      <w:r>
        <w:rPr>
          <w:rFonts w:hint="eastAsia" w:ascii="宋体" w:hAnsi="宋体" w:eastAsia="宋体" w:cs="宋体"/>
        </w:rPr>
        <w:t>（10） 《浙江省水利工程视频监控系统建设技术规程（试行）》（浙水信 〔2018〕2 号）。</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rPr>
      </w:pPr>
      <w:r>
        <w:rPr>
          <w:rFonts w:hint="eastAsia" w:ascii="宋体" w:hAnsi="宋体" w:eastAsia="宋体" w:cs="宋体"/>
        </w:rPr>
        <w:t>（11） 《职业健康安全管理体系要求及使用指南》（GB/T 45001—2020）。</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77" w:name="_Toc28386"/>
      <w:r>
        <w:rPr>
          <w:rFonts w:hint="eastAsia" w:ascii="宋体" w:hAnsi="宋体" w:eastAsia="宋体" w:cs="宋体"/>
          <w:sz w:val="21"/>
          <w:szCs w:val="21"/>
        </w:rPr>
        <w:t>3.2文明施工措施</w:t>
      </w:r>
      <w:bookmarkEnd w:id="77"/>
    </w:p>
    <w:p>
      <w:pPr>
        <w:keepNext w:val="0"/>
        <w:keepLines w:val="0"/>
        <w:pageBreakBefore w:val="0"/>
        <w:widowControl w:val="0"/>
        <w:kinsoku/>
        <w:wordWrap/>
        <w:overflowPunct/>
        <w:topLinePunct w:val="0"/>
        <w:autoSpaceDE/>
        <w:autoSpaceDN/>
        <w:bidi w:val="0"/>
        <w:adjustRightInd w:val="0"/>
        <w:snapToGrid/>
        <w:spacing w:line="324" w:lineRule="auto"/>
        <w:ind w:left="0" w:firstLine="420" w:firstLineChars="200"/>
        <w:textAlignment w:val="auto"/>
        <w:rPr>
          <w:rFonts w:hint="eastAsia" w:ascii="宋体" w:hAnsi="宋体" w:eastAsia="宋体" w:cs="宋体"/>
        </w:rPr>
      </w:pPr>
      <w:r>
        <w:rPr>
          <w:rFonts w:hint="eastAsia" w:ascii="宋体" w:hAnsi="宋体" w:eastAsia="宋体" w:cs="宋体"/>
        </w:rPr>
        <w:t>3.2.1文明施工措施计划</w:t>
      </w:r>
    </w:p>
    <w:p>
      <w:pPr>
        <w:keepNext w:val="0"/>
        <w:keepLines w:val="0"/>
        <w:pageBreakBefore w:val="0"/>
        <w:widowControl w:val="0"/>
        <w:kinsoku/>
        <w:wordWrap/>
        <w:overflowPunct/>
        <w:topLinePunct w:val="0"/>
        <w:autoSpaceDE/>
        <w:autoSpaceDN/>
        <w:bidi w:val="0"/>
        <w:adjustRightInd w:val="0"/>
        <w:snapToGrid/>
        <w:spacing w:line="324" w:lineRule="auto"/>
        <w:ind w:left="0" w:firstLine="420" w:firstLineChars="200"/>
        <w:textAlignment w:val="auto"/>
        <w:rPr>
          <w:rFonts w:hint="eastAsia" w:ascii="宋体" w:hAnsi="宋体" w:eastAsia="宋体" w:cs="宋体"/>
          <w:b/>
        </w:rPr>
      </w:pPr>
      <w:r>
        <w:rPr>
          <w:rFonts w:hint="eastAsia" w:ascii="宋体" w:hAnsi="宋体" w:eastAsia="宋体" w:cs="宋体"/>
        </w:rPr>
        <w:t>承包人应按本章第3. 1. 3项的规定提交文明施工及标准化工地建设措施计划，主要内容包括“八牌四图”（工程概况牌、管理人员名单及监督电话牌、 消防保卫牌、安全生产牌、文明施工牌、重大危险源公示牌、农民工工资维权 公示牌、质量责任公示牌和施工现场平面图、安全生产管理网络图、工程效果 图、工程区域位置图）、现场标牌（安全警示标志、文明标识、宣传标语 等）设置，围护设施（围墙、围挡、彩条布围栏等）、场容场貌整洁（清扫、 清洗、绿化等），办公、生活区设置、施工生产区布置、现场地面整治及创建 标化工地的措施计划等。</w:t>
      </w:r>
    </w:p>
    <w:p>
      <w:pPr>
        <w:keepNext w:val="0"/>
        <w:keepLines w:val="0"/>
        <w:pageBreakBefore w:val="0"/>
        <w:widowControl w:val="0"/>
        <w:kinsoku/>
        <w:wordWrap/>
        <w:overflowPunct/>
        <w:topLinePunct w:val="0"/>
        <w:autoSpaceDE/>
        <w:autoSpaceDN/>
        <w:bidi w:val="0"/>
        <w:adjustRightInd w:val="0"/>
        <w:snapToGrid/>
        <w:spacing w:line="324" w:lineRule="auto"/>
        <w:ind w:left="0" w:firstLine="420" w:firstLineChars="200"/>
        <w:textAlignment w:val="auto"/>
        <w:rPr>
          <w:rFonts w:hint="eastAsia" w:ascii="宋体" w:hAnsi="宋体" w:eastAsia="宋体" w:cs="宋体"/>
        </w:rPr>
      </w:pPr>
      <w:r>
        <w:rPr>
          <w:rFonts w:hint="eastAsia" w:ascii="宋体" w:hAnsi="宋体" w:eastAsia="宋体" w:cs="宋体"/>
        </w:rPr>
        <w:t>3.2.2八牌四图</w:t>
      </w:r>
    </w:p>
    <w:p>
      <w:pPr>
        <w:keepNext w:val="0"/>
        <w:keepLines w:val="0"/>
        <w:pageBreakBefore w:val="0"/>
        <w:widowControl w:val="0"/>
        <w:kinsoku/>
        <w:wordWrap/>
        <w:overflowPunct/>
        <w:topLinePunct w:val="0"/>
        <w:autoSpaceDE/>
        <w:autoSpaceDN/>
        <w:bidi w:val="0"/>
        <w:adjustRightInd w:val="0"/>
        <w:snapToGrid/>
        <w:spacing w:line="324" w:lineRule="auto"/>
        <w:ind w:left="0" w:firstLine="420" w:firstLineChars="200"/>
        <w:textAlignment w:val="auto"/>
        <w:rPr>
          <w:rFonts w:hint="eastAsia" w:ascii="宋体" w:hAnsi="宋体" w:eastAsia="宋体" w:cs="宋体"/>
          <w:szCs w:val="21"/>
        </w:rPr>
      </w:pPr>
      <w:r>
        <w:rPr>
          <w:rFonts w:hint="eastAsia" w:ascii="宋体" w:hAnsi="宋体" w:eastAsia="宋体" w:cs="宋体"/>
          <w:szCs w:val="21"/>
        </w:rPr>
        <w:t>（1）“八牌四图”</w:t>
      </w:r>
      <w:r>
        <w:rPr>
          <w:rFonts w:hint="eastAsia" w:ascii="宋体" w:hAnsi="宋体" w:eastAsia="宋体" w:cs="宋体"/>
          <w:szCs w:val="21"/>
          <w:lang w:bidi="en-US"/>
        </w:rPr>
        <w:t>（</w:t>
      </w:r>
      <w:r>
        <w:rPr>
          <w:rFonts w:hint="eastAsia" w:ascii="宋体" w:hAnsi="宋体" w:eastAsia="宋体" w:cs="宋体"/>
          <w:szCs w:val="21"/>
        </w:rPr>
        <w:t>工程概况牌、管理人员名单及监督电话牌、消防保卫牌、安全生产牌、文明施工牌、重大危险源公示牌、农民工工资维权公示牌、 质量责任公示牌和施工现场平面图、安全生产管理网络图、工程效果图、工程 区域位置图）应设在项目部主要出人口及其他醒目位置，尺寸不宜过小。</w:t>
      </w:r>
    </w:p>
    <w:p>
      <w:pPr>
        <w:keepNext w:val="0"/>
        <w:keepLines w:val="0"/>
        <w:pageBreakBefore w:val="0"/>
        <w:widowControl w:val="0"/>
        <w:kinsoku/>
        <w:wordWrap/>
        <w:overflowPunct/>
        <w:topLinePunct w:val="0"/>
        <w:autoSpaceDE/>
        <w:autoSpaceDN/>
        <w:bidi w:val="0"/>
        <w:adjustRightInd w:val="0"/>
        <w:snapToGrid/>
        <w:spacing w:line="324" w:lineRule="auto"/>
        <w:ind w:left="0" w:firstLine="420" w:firstLineChars="200"/>
        <w:textAlignment w:val="auto"/>
        <w:rPr>
          <w:rFonts w:hint="eastAsia" w:ascii="宋体" w:hAnsi="宋体" w:eastAsia="宋体" w:cs="宋体"/>
        </w:rPr>
      </w:pPr>
      <w:r>
        <w:rPr>
          <w:rFonts w:hint="eastAsia" w:ascii="宋体" w:hAnsi="宋体" w:eastAsia="宋体" w:cs="宋体"/>
          <w:szCs w:val="21"/>
        </w:rPr>
        <w:t>（2）“八牌四图”应规格统一、集中布置、牢固、位置合理、字迹端正、线条清晰、表示明确。</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Style w:val="63"/>
          <w:rFonts w:hint="eastAsia" w:ascii="宋体" w:hAnsi="宋体" w:eastAsia="宋体" w:cs="宋体"/>
          <w:sz w:val="21"/>
          <w:szCs w:val="21"/>
          <w:lang w:eastAsia="zh-CN"/>
        </w:rPr>
        <w:t>3.2.3</w:t>
      </w:r>
      <w:r>
        <w:rPr>
          <w:rStyle w:val="64"/>
          <w:rFonts w:hint="eastAsia" w:ascii="宋体" w:hAnsi="宋体" w:eastAsia="宋体" w:cs="宋体"/>
          <w:sz w:val="21"/>
          <w:szCs w:val="21"/>
        </w:rPr>
        <w:t>现场标牌</w:t>
      </w:r>
    </w:p>
    <w:p>
      <w:pPr>
        <w:pStyle w:val="65"/>
        <w:keepNext w:val="0"/>
        <w:keepLines w:val="0"/>
        <w:pageBreakBefore w:val="0"/>
        <w:widowControl w:val="0"/>
        <w:shd w:val="clear" w:color="auto" w:fill="auto"/>
        <w:tabs>
          <w:tab w:val="left" w:pos="1067"/>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（1）安全警示标志标牌应设置在施工现场主要施工部位、事故易发地及主要通道口，规格建议宽为</w:t>
      </w:r>
      <w:r>
        <w:rPr>
          <w:rStyle w:val="66"/>
          <w:rFonts w:hint="eastAsia" w:ascii="宋体" w:hAnsi="宋体" w:eastAsia="宋体" w:cs="宋体"/>
          <w:sz w:val="21"/>
          <w:szCs w:val="21"/>
          <w:lang w:val="zh-CN" w:eastAsia="zh-CN" w:bidi="zh-CN"/>
        </w:rPr>
        <w:t>120</w:t>
      </w:r>
      <w:r>
        <w:rPr>
          <w:rFonts w:hint="eastAsia" w:ascii="宋体" w:hAnsi="宋体" w:eastAsia="宋体" w:cs="宋体"/>
          <w:sz w:val="21"/>
          <w:szCs w:val="21"/>
        </w:rPr>
        <w:t>厘米</w:t>
      </w:r>
      <w:r>
        <w:rPr>
          <w:rStyle w:val="69"/>
          <w:rFonts w:hint="eastAsia" w:ascii="宋体" w:hAnsi="宋体" w:eastAsia="宋体" w:cs="宋体"/>
          <w:sz w:val="21"/>
          <w:szCs w:val="21"/>
        </w:rPr>
        <w:t>，高为</w:t>
      </w:r>
      <w:r>
        <w:rPr>
          <w:rStyle w:val="66"/>
          <w:rFonts w:hint="eastAsia" w:ascii="宋体" w:hAnsi="宋体" w:eastAsia="宋体" w:cs="宋体"/>
          <w:sz w:val="21"/>
          <w:szCs w:val="21"/>
          <w:lang w:val="zh-CN" w:eastAsia="zh-CN" w:bidi="zh-CN"/>
        </w:rPr>
        <w:t>90</w:t>
      </w:r>
      <w:r>
        <w:rPr>
          <w:rFonts w:hint="eastAsia" w:ascii="宋体" w:hAnsi="宋体" w:eastAsia="宋体" w:cs="宋体"/>
          <w:sz w:val="21"/>
          <w:szCs w:val="21"/>
        </w:rPr>
        <w:t>厘米。</w:t>
      </w:r>
    </w:p>
    <w:p>
      <w:pPr>
        <w:pStyle w:val="65"/>
        <w:keepNext w:val="0"/>
        <w:keepLines w:val="0"/>
        <w:pageBreakBefore w:val="0"/>
        <w:widowControl w:val="0"/>
        <w:shd w:val="clear" w:color="auto" w:fill="auto"/>
        <w:tabs>
          <w:tab w:val="left" w:pos="1098"/>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（2）安全警示标志应按监理人指示补充或更换失效的标志。</w:t>
      </w:r>
    </w:p>
    <w:p>
      <w:pPr>
        <w:pStyle w:val="65"/>
        <w:keepNext w:val="0"/>
        <w:keepLines w:val="0"/>
        <w:pageBreakBefore w:val="0"/>
        <w:widowControl w:val="0"/>
        <w:shd w:val="clear" w:color="auto" w:fill="auto"/>
        <w:tabs>
          <w:tab w:val="left" w:pos="1059"/>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（3）施工现场应在适当位置设置宣传栏、读报栏、黑板报、违章曝光台等，营造安全氛围，普及安全知识。</w:t>
      </w:r>
    </w:p>
    <w:p>
      <w:pPr>
        <w:pStyle w:val="65"/>
        <w:keepNext w:val="0"/>
        <w:keepLines w:val="0"/>
        <w:pageBreakBefore w:val="0"/>
        <w:widowControl w:val="0"/>
        <w:shd w:val="clear" w:color="auto" w:fill="auto"/>
        <w:tabs>
          <w:tab w:val="left" w:pos="1098"/>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（4）现场标牌中需公布监督电话，主动接受社会各界的监督。</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Style w:val="63"/>
          <w:rFonts w:hint="eastAsia" w:ascii="宋体" w:hAnsi="宋体" w:eastAsia="宋体" w:cs="宋体"/>
          <w:sz w:val="21"/>
          <w:szCs w:val="21"/>
          <w:lang w:eastAsia="zh-CN"/>
        </w:rPr>
        <w:t>3.2.4</w:t>
      </w:r>
      <w:r>
        <w:rPr>
          <w:rStyle w:val="64"/>
          <w:rFonts w:hint="eastAsia" w:ascii="宋体" w:hAnsi="宋体" w:eastAsia="宋体" w:cs="宋体"/>
          <w:sz w:val="21"/>
          <w:szCs w:val="21"/>
        </w:rPr>
        <w:t>围护设施</w:t>
      </w:r>
    </w:p>
    <w:p>
      <w:pPr>
        <w:pStyle w:val="65"/>
        <w:keepNext w:val="0"/>
        <w:keepLines w:val="0"/>
        <w:pageBreakBefore w:val="0"/>
        <w:widowControl w:val="0"/>
        <w:shd w:val="clear" w:color="auto" w:fill="auto"/>
        <w:tabs>
          <w:tab w:val="left" w:pos="1059"/>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（1）根据施工现场情况，需尽量修建维护设施进行封闭施工，减轻对周边环境的影响。</w:t>
      </w:r>
    </w:p>
    <w:p>
      <w:pPr>
        <w:pStyle w:val="65"/>
        <w:keepNext w:val="0"/>
        <w:keepLines w:val="0"/>
        <w:pageBreakBefore w:val="0"/>
        <w:widowControl w:val="0"/>
        <w:shd w:val="clear" w:color="auto" w:fill="auto"/>
        <w:tabs>
          <w:tab w:val="left" w:pos="1098"/>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（2）围护设施需满足安全要求。</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Style w:val="63"/>
          <w:rFonts w:hint="eastAsia" w:ascii="宋体" w:hAnsi="宋体" w:eastAsia="宋体" w:cs="宋体"/>
          <w:sz w:val="21"/>
          <w:szCs w:val="21"/>
          <w:lang w:eastAsia="zh-CN"/>
        </w:rPr>
      </w:pPr>
      <w:r>
        <w:rPr>
          <w:rStyle w:val="63"/>
          <w:rFonts w:hint="eastAsia" w:ascii="宋体" w:hAnsi="宋体" w:eastAsia="宋体" w:cs="宋体"/>
          <w:sz w:val="21"/>
          <w:szCs w:val="21"/>
          <w:lang w:eastAsia="zh-CN"/>
        </w:rPr>
        <w:t>3.2.5办公与生活区</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（1）办公、生活区设置应当遵循“因地制宜、规模适度、管理方便、经济合理、美观大方、体现特色”六大原则。</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（2）办公用房宜采用砌体或结构可靠、可重复使用的钢结构装配式活动房，房屋建筑构件及芯材的燃烧性能等级应满足相关要求；板房搭设应安全牢 固，房屋满足防强风要求。</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（3）消防通道宽度满足相关要求，消防设施及器材品种齐全、数量足够、性能完好，按区域明确安全保卫、卫生、消防及消防器材责任人。</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（4）办公区临时建筑应包括（不限于）：大门、门卫室、旗台、花坛、停车场 （棚）、运动场、宣传栏、办公室、会议室、资料室、卫生间、仓库、试验室等。</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（5）生活区临时建筑应包括（不限于）：大门、宿舍、食堂、餐厅、浴室、盥洗室、卫生间、洗衣台、晾衣间、仓库等。</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（6）配套设施：办公、生活区域场地道路应硬化，合理布置绿化，单独系统设置配电、供水、排水、热水、污水处理、生活垃圾处理、卫生消防等系统。</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Style w:val="63"/>
          <w:rFonts w:hint="eastAsia" w:ascii="宋体" w:hAnsi="宋体" w:eastAsia="宋体" w:cs="宋体"/>
          <w:sz w:val="21"/>
          <w:szCs w:val="21"/>
          <w:lang w:eastAsia="zh-CN"/>
        </w:rPr>
      </w:pPr>
      <w:r>
        <w:rPr>
          <w:rStyle w:val="63"/>
          <w:rFonts w:hint="eastAsia" w:ascii="宋体" w:hAnsi="宋体" w:eastAsia="宋体" w:cs="宋体"/>
          <w:sz w:val="21"/>
          <w:szCs w:val="21"/>
          <w:lang w:eastAsia="zh-CN"/>
        </w:rPr>
        <w:t>3.2.6施工生产区</w:t>
      </w:r>
    </w:p>
    <w:p>
      <w:pPr>
        <w:pStyle w:val="70"/>
        <w:keepNext w:val="0"/>
        <w:keepLines w:val="0"/>
        <w:pageBreakBefore w:val="0"/>
        <w:widowControl w:val="0"/>
        <w:shd w:val="clear" w:color="auto" w:fill="auto"/>
        <w:kinsoku/>
        <w:wordWrap/>
        <w:overflowPunct/>
        <w:topLinePunct w:val="0"/>
        <w:autoSpaceDE/>
        <w:autoSpaceDN/>
        <w:bidi w:val="0"/>
        <w:adjustRightInd w:val="0"/>
        <w:snapToGrid/>
        <w:spacing w:before="0" w:line="324" w:lineRule="auto"/>
        <w:ind w:left="0" w:firstLine="420" w:firstLineChars="200"/>
        <w:jc w:val="both"/>
        <w:textAlignment w:val="auto"/>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（1）施工现场的施工区域、办公区域和生活区域宜分开独立设置。当施工场地受限，施工区域内需设置办公、生活设施时，应采取安全隔离措施，并应 设置导向、警示、定位、宣传等标示。</w:t>
      </w:r>
    </w:p>
    <w:p>
      <w:pPr>
        <w:pStyle w:val="70"/>
        <w:keepNext w:val="0"/>
        <w:keepLines w:val="0"/>
        <w:pageBreakBefore w:val="0"/>
        <w:widowControl w:val="0"/>
        <w:shd w:val="clear" w:color="auto" w:fill="auto"/>
        <w:kinsoku/>
        <w:wordWrap/>
        <w:overflowPunct/>
        <w:topLinePunct w:val="0"/>
        <w:autoSpaceDE/>
        <w:autoSpaceDN/>
        <w:bidi w:val="0"/>
        <w:adjustRightInd w:val="0"/>
        <w:snapToGrid/>
        <w:spacing w:before="0" w:line="324" w:lineRule="auto"/>
        <w:ind w:left="0" w:firstLine="420" w:firstLineChars="200"/>
        <w:jc w:val="both"/>
        <w:textAlignment w:val="auto"/>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（2）施工平面布置应符合消防安全、卫生防疫等相关规定。不得在尚未竣工的建筑物内设置员工宿舍。</w:t>
      </w:r>
    </w:p>
    <w:p>
      <w:pPr>
        <w:pStyle w:val="70"/>
        <w:keepNext w:val="0"/>
        <w:keepLines w:val="0"/>
        <w:pageBreakBefore w:val="0"/>
        <w:widowControl w:val="0"/>
        <w:shd w:val="clear" w:color="auto" w:fill="auto"/>
        <w:kinsoku/>
        <w:wordWrap/>
        <w:overflowPunct/>
        <w:topLinePunct w:val="0"/>
        <w:autoSpaceDE/>
        <w:autoSpaceDN/>
        <w:bidi w:val="0"/>
        <w:adjustRightInd w:val="0"/>
        <w:snapToGrid/>
        <w:spacing w:before="0" w:line="324" w:lineRule="auto"/>
        <w:ind w:left="0" w:firstLine="420" w:firstLineChars="200"/>
        <w:jc w:val="both"/>
        <w:textAlignment w:val="auto"/>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（3）大型机械设备配置除满足吊装能力、覆盖范围等施工需求外，不宜对周边的环境安全带来不利影响；当可能带来不利影响时，应采取安全技术措施 和管理措施。</w:t>
      </w:r>
    </w:p>
    <w:p>
      <w:pPr>
        <w:pStyle w:val="70"/>
        <w:keepNext w:val="0"/>
        <w:keepLines w:val="0"/>
        <w:pageBreakBefore w:val="0"/>
        <w:widowControl w:val="0"/>
        <w:shd w:val="clear" w:color="auto" w:fill="auto"/>
        <w:kinsoku/>
        <w:wordWrap/>
        <w:overflowPunct/>
        <w:topLinePunct w:val="0"/>
        <w:autoSpaceDE/>
        <w:autoSpaceDN/>
        <w:bidi w:val="0"/>
        <w:adjustRightInd w:val="0"/>
        <w:snapToGrid/>
        <w:spacing w:before="0" w:line="324" w:lineRule="auto"/>
        <w:ind w:left="0" w:firstLine="420" w:firstLineChars="200"/>
        <w:jc w:val="both"/>
        <w:textAlignment w:val="auto"/>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（4）施工现场出入口设置应满足交通安全的基本要求。</w:t>
      </w:r>
    </w:p>
    <w:p>
      <w:pPr>
        <w:pStyle w:val="70"/>
        <w:keepNext w:val="0"/>
        <w:keepLines w:val="0"/>
        <w:pageBreakBefore w:val="0"/>
        <w:widowControl w:val="0"/>
        <w:shd w:val="clear" w:color="auto" w:fill="auto"/>
        <w:kinsoku/>
        <w:wordWrap/>
        <w:overflowPunct/>
        <w:topLinePunct w:val="0"/>
        <w:autoSpaceDE/>
        <w:autoSpaceDN/>
        <w:bidi w:val="0"/>
        <w:adjustRightInd w:val="0"/>
        <w:snapToGrid/>
        <w:spacing w:before="0" w:line="324" w:lineRule="auto"/>
        <w:ind w:left="0" w:firstLine="420" w:firstLineChars="200"/>
        <w:jc w:val="both"/>
        <w:textAlignment w:val="auto"/>
        <w:rPr>
          <w:rFonts w:hint="eastAsia"/>
          <w:b w:val="0"/>
          <w:bCs w:val="0"/>
          <w:spacing w:val="0"/>
          <w:sz w:val="21"/>
          <w:szCs w:val="21"/>
        </w:rPr>
      </w:pPr>
      <w:r>
        <w:rPr>
          <w:rFonts w:hint="eastAsia" w:ascii="宋体" w:hAnsi="宋体" w:eastAsia="宋体" w:cs="宋体"/>
          <w:b w:val="0"/>
          <w:bCs w:val="0"/>
          <w:spacing w:val="0"/>
          <w:sz w:val="21"/>
          <w:szCs w:val="21"/>
        </w:rPr>
        <w:t>（5）水库、泵站、水闸等集中施工现场应实行封闭施工，河道、堤防等线性施工现场的主要施工区域应实行封闭施工。</w:t>
      </w:r>
    </w:p>
    <w:p>
      <w:pPr>
        <w:pStyle w:val="4"/>
        <w:keepNext w:val="0"/>
        <w:keepLines w:val="0"/>
        <w:pageBreakBefore w:val="0"/>
        <w:widowControl w:val="0"/>
        <w:kinsoku/>
        <w:overflowPunct/>
        <w:topLinePunct w:val="0"/>
        <w:autoSpaceDE/>
        <w:autoSpaceDN/>
        <w:bidi w:val="0"/>
        <w:snapToGrid/>
        <w:spacing w:line="324" w:lineRule="auto"/>
        <w:textAlignment w:val="auto"/>
        <w:rPr>
          <w:szCs w:val="21"/>
        </w:rPr>
      </w:pPr>
      <w:bookmarkStart w:id="78" w:name="_Toc4855"/>
      <w:r>
        <w:rPr>
          <w:rStyle w:val="72"/>
          <w:rFonts w:hint="eastAsia" w:ascii="宋体" w:hAnsi="宋体" w:eastAsia="宋体"/>
          <w:sz w:val="21"/>
          <w:szCs w:val="21"/>
          <w:lang w:eastAsia="zh-CN"/>
        </w:rPr>
        <w:t>3.3</w:t>
      </w:r>
      <w:r>
        <w:rPr>
          <w:rStyle w:val="75"/>
          <w:b w:val="0"/>
          <w:bCs w:val="0"/>
          <w:sz w:val="21"/>
          <w:szCs w:val="21"/>
        </w:rPr>
        <w:t>施工安全措施</w:t>
      </w:r>
      <w:bookmarkEnd w:id="78"/>
    </w:p>
    <w:p>
      <w:pPr>
        <w:pStyle w:val="61"/>
        <w:keepNext w:val="0"/>
        <w:keepLines w:val="0"/>
        <w:pageBreakBefore w:val="0"/>
        <w:widowControl w:val="0"/>
        <w:shd w:val="clear" w:color="auto" w:fill="auto"/>
        <w:tabs>
          <w:tab w:val="left" w:pos="984"/>
        </w:tabs>
        <w:kinsoku/>
        <w:wordWrap/>
        <w:overflowPunct/>
        <w:topLinePunct w:val="0"/>
        <w:autoSpaceDE/>
        <w:autoSpaceDN/>
        <w:bidi w:val="0"/>
        <w:adjustRightInd w:val="0"/>
        <w:snapToGrid/>
        <w:spacing w:before="0" w:after="0" w:line="324" w:lineRule="auto"/>
        <w:ind w:left="0" w:firstLine="420" w:firstLineChars="200"/>
        <w:jc w:val="both"/>
        <w:textAlignment w:val="auto"/>
        <w:rPr>
          <w:spacing w:val="0"/>
          <w:sz w:val="21"/>
          <w:szCs w:val="21"/>
        </w:rPr>
      </w:pPr>
      <w:r>
        <w:rPr>
          <w:rStyle w:val="76"/>
          <w:rFonts w:hint="eastAsia"/>
          <w:spacing w:val="0"/>
          <w:sz w:val="21"/>
          <w:szCs w:val="21"/>
        </w:rPr>
        <w:t>3.3.1</w:t>
      </w:r>
      <w:r>
        <w:rPr>
          <w:rStyle w:val="76"/>
          <w:spacing w:val="0"/>
          <w:sz w:val="21"/>
          <w:szCs w:val="21"/>
        </w:rPr>
        <w:t>施工安全措施计划</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sz w:val="21"/>
          <w:szCs w:val="21"/>
        </w:rPr>
        <w:t>承包人应按本章第</w:t>
      </w:r>
      <w:r>
        <w:rPr>
          <w:rStyle w:val="77"/>
          <w:sz w:val="21"/>
          <w:szCs w:val="21"/>
          <w:lang w:bidi="en-US"/>
        </w:rPr>
        <w:t>3.</w:t>
      </w:r>
      <w:r>
        <w:rPr>
          <w:sz w:val="21"/>
          <w:szCs w:val="21"/>
          <w:lang w:bidi="en-US"/>
        </w:rPr>
        <w:t>1.</w:t>
      </w:r>
      <w:r>
        <w:rPr>
          <w:rStyle w:val="77"/>
          <w:sz w:val="21"/>
          <w:szCs w:val="21"/>
        </w:rPr>
        <w:t>3</w:t>
      </w:r>
      <w:r>
        <w:rPr>
          <w:sz w:val="21"/>
          <w:szCs w:val="21"/>
        </w:rPr>
        <w:t>项的规定提交施工安全措施计划，其内容应包括施工安全机构的设置、专职安全人员的配备，安全作业环境和安全防护措施及用具、装备，安全设施及特种设备的监测、监控，特殊安全作业防护用品、救生设施、防毒面具、有毒气体检测仪器，安全警示、安全保卫设施，以及防洪、防火、防毒、防噪声、防爆破烟尘、救护、警报、治安和炸药管理等。施工安全措施的项目和范围，还应符合国家颁发的《安全技术措施计划的项目总 名称表》及其附录</w:t>
      </w:r>
      <w:r>
        <w:rPr>
          <w:rStyle w:val="78"/>
          <w:rFonts w:ascii="宋体" w:hAnsi="宋体" w:eastAsia="宋体"/>
          <w:sz w:val="21"/>
          <w:szCs w:val="21"/>
          <w:lang w:eastAsia="zh-CN"/>
        </w:rPr>
        <w:t>H</w:t>
      </w:r>
      <w:r>
        <w:rPr>
          <w:sz w:val="21"/>
          <w:szCs w:val="21"/>
          <w:lang w:bidi="en-US"/>
        </w:rPr>
        <w:t>、</w:t>
      </w:r>
      <w:r>
        <w:rPr>
          <w:sz w:val="21"/>
          <w:szCs w:val="21"/>
        </w:rPr>
        <w:t>附录</w:t>
      </w:r>
      <w:r>
        <w:rPr>
          <w:rStyle w:val="78"/>
          <w:rFonts w:ascii="宋体" w:hAnsi="宋体" w:eastAsia="宋体"/>
          <w:sz w:val="21"/>
          <w:szCs w:val="21"/>
          <w:lang w:val="zh-CN" w:eastAsia="zh-CN" w:bidi="zh-CN"/>
        </w:rPr>
        <w:t>I</w:t>
      </w:r>
      <w:r>
        <w:rPr>
          <w:sz w:val="21"/>
          <w:szCs w:val="21"/>
        </w:rPr>
        <w:t>、附录</w:t>
      </w:r>
      <w:r>
        <w:rPr>
          <w:rStyle w:val="78"/>
          <w:rFonts w:ascii="宋体" w:hAnsi="宋体" w:eastAsia="宋体"/>
          <w:sz w:val="21"/>
          <w:szCs w:val="21"/>
          <w:lang w:eastAsia="zh-CN"/>
        </w:rPr>
        <w:t>J</w:t>
      </w:r>
      <w:r>
        <w:rPr>
          <w:sz w:val="21"/>
          <w:szCs w:val="21"/>
        </w:rPr>
        <w:t>的规定。并对重大危险源和事故隐患进行分析、评估、监控和整改。</w:t>
      </w:r>
    </w:p>
    <w:p>
      <w:pPr>
        <w:pStyle w:val="61"/>
        <w:keepNext w:val="0"/>
        <w:keepLines w:val="0"/>
        <w:pageBreakBefore w:val="0"/>
        <w:widowControl w:val="0"/>
        <w:shd w:val="clear" w:color="auto" w:fill="auto"/>
        <w:tabs>
          <w:tab w:val="left" w:pos="984"/>
        </w:tabs>
        <w:kinsoku/>
        <w:wordWrap/>
        <w:overflowPunct/>
        <w:topLinePunct w:val="0"/>
        <w:autoSpaceDE/>
        <w:autoSpaceDN/>
        <w:bidi w:val="0"/>
        <w:adjustRightInd w:val="0"/>
        <w:snapToGrid/>
        <w:spacing w:before="0" w:after="0" w:line="324" w:lineRule="auto"/>
        <w:ind w:left="0" w:firstLine="420" w:firstLineChars="200"/>
        <w:jc w:val="both"/>
        <w:textAlignment w:val="auto"/>
        <w:rPr>
          <w:spacing w:val="0"/>
          <w:sz w:val="21"/>
          <w:szCs w:val="21"/>
        </w:rPr>
      </w:pPr>
      <w:r>
        <w:rPr>
          <w:rStyle w:val="76"/>
          <w:rFonts w:hint="eastAsia"/>
          <w:spacing w:val="0"/>
          <w:sz w:val="21"/>
          <w:szCs w:val="21"/>
        </w:rPr>
        <w:t>3.3.2</w:t>
      </w:r>
      <w:r>
        <w:rPr>
          <w:rStyle w:val="76"/>
          <w:spacing w:val="0"/>
          <w:sz w:val="21"/>
          <w:szCs w:val="21"/>
        </w:rPr>
        <w:t>劳动保护</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（1）承包人应定期向所有现场施工人员发放安全帽、水鞋、雨衣、手套、手灯、防护面具和安全带等劳动保护用品，以及特殊工种作业人员的劳动保护 津贴和营养补助等。</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（2）《中华人民共和国劳动法》的有关规定安排现场作业人员的劳动和休息时间，加班时间不得超过《中华人民共和国劳动法》第四章的规定。</w:t>
      </w:r>
    </w:p>
    <w:p>
      <w:pPr>
        <w:pStyle w:val="79"/>
        <w:keepNext w:val="0"/>
        <w:keepLines w:val="0"/>
        <w:pageBreakBefore w:val="0"/>
        <w:widowControl w:val="0"/>
        <w:shd w:val="clear" w:color="auto" w:fill="auto"/>
        <w:kinsoku/>
        <w:wordWrap/>
        <w:overflowPunct/>
        <w:topLinePunct w:val="0"/>
        <w:autoSpaceDE/>
        <w:autoSpaceDN/>
        <w:bidi w:val="0"/>
        <w:adjustRightInd w:val="0"/>
        <w:snapToGrid/>
        <w:spacing w:after="0" w:line="324" w:lineRule="auto"/>
        <w:ind w:left="0" w:firstLine="420" w:firstLineChars="200"/>
        <w:jc w:val="both"/>
        <w:textAlignment w:val="auto"/>
        <w:rPr>
          <w:sz w:val="21"/>
          <w:szCs w:val="21"/>
        </w:rPr>
      </w:pPr>
      <w:r>
        <w:rPr>
          <w:rStyle w:val="72"/>
          <w:rFonts w:hint="eastAsia" w:ascii="宋体" w:hAnsi="宋体" w:eastAsia="宋体"/>
          <w:sz w:val="21"/>
          <w:szCs w:val="21"/>
          <w:lang w:eastAsia="zh-CN"/>
        </w:rPr>
        <w:t>3.3.3</w:t>
      </w:r>
      <w:r>
        <w:rPr>
          <w:sz w:val="21"/>
          <w:szCs w:val="21"/>
        </w:rPr>
        <w:t>伤病防治和卫生保健</w:t>
      </w:r>
    </w:p>
    <w:p>
      <w:pPr>
        <w:pStyle w:val="65"/>
        <w:keepNext w:val="0"/>
        <w:keepLines w:val="0"/>
        <w:pageBreakBefore w:val="0"/>
        <w:widowControl w:val="0"/>
        <w:shd w:val="clear" w:color="auto" w:fill="auto"/>
        <w:tabs>
          <w:tab w:val="left" w:pos="1051"/>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（1）承包人应在施工现场设置医疗卫生机构，负责施工人员的伤病防治和卫生保健工作。</w:t>
      </w:r>
    </w:p>
    <w:p>
      <w:pPr>
        <w:pStyle w:val="65"/>
        <w:keepNext w:val="0"/>
        <w:keepLines w:val="0"/>
        <w:pageBreakBefore w:val="0"/>
        <w:widowControl w:val="0"/>
        <w:shd w:val="clear" w:color="auto" w:fill="auto"/>
        <w:tabs>
          <w:tab w:val="left" w:pos="1051"/>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（2）施工人员进入生活区和作业面前，应对环境进行卫生清理，以及采取消毒、杀虫、灭鼠等卫生措施，并对饮用水进行消毒。</w:t>
      </w:r>
    </w:p>
    <w:p>
      <w:pPr>
        <w:pStyle w:val="65"/>
        <w:keepNext w:val="0"/>
        <w:keepLines w:val="0"/>
        <w:pageBreakBefore w:val="0"/>
        <w:widowControl w:val="0"/>
        <w:shd w:val="clear" w:color="auto" w:fill="auto"/>
        <w:tabs>
          <w:tab w:val="left" w:pos="1051"/>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（3）及时做好病源和疫情监测。一旦发现疫情，应立即采取措施控制感染 源和感染者。</w:t>
      </w:r>
    </w:p>
    <w:p>
      <w:pPr>
        <w:pStyle w:val="65"/>
        <w:keepNext w:val="0"/>
        <w:keepLines w:val="0"/>
        <w:pageBreakBefore w:val="0"/>
        <w:widowControl w:val="0"/>
        <w:shd w:val="clear" w:color="auto" w:fill="auto"/>
        <w:tabs>
          <w:tab w:val="left" w:pos="1051"/>
        </w:tabs>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（4）职工食堂应严格执行《中华人民共和国食品卫生法》的有关规定。</w:t>
      </w:r>
    </w:p>
    <w:p>
      <w:pPr>
        <w:pStyle w:val="65"/>
        <w:keepNext w:val="0"/>
        <w:keepLines w:val="0"/>
        <w:pageBreakBefore w:val="0"/>
        <w:widowControl w:val="0"/>
        <w:shd w:val="clear" w:color="auto" w:fill="auto"/>
        <w:tabs>
          <w:tab w:val="left" w:pos="1051"/>
        </w:tabs>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rFonts w:hint="eastAsia"/>
          <w:sz w:val="21"/>
          <w:szCs w:val="21"/>
        </w:rPr>
        <w:t>（5）所有传染病人、病原携带者和疑似病人一律不得从事易于使该病传播的工作。</w:t>
      </w:r>
    </w:p>
    <w:p>
      <w:pPr>
        <w:pStyle w:val="79"/>
        <w:keepNext w:val="0"/>
        <w:keepLines w:val="0"/>
        <w:pageBreakBefore w:val="0"/>
        <w:widowControl w:val="0"/>
        <w:shd w:val="clear" w:color="auto" w:fill="auto"/>
        <w:tabs>
          <w:tab w:val="left" w:pos="971"/>
        </w:tabs>
        <w:kinsoku/>
        <w:wordWrap/>
        <w:overflowPunct/>
        <w:topLinePunct w:val="0"/>
        <w:autoSpaceDE/>
        <w:autoSpaceDN/>
        <w:bidi w:val="0"/>
        <w:adjustRightInd w:val="0"/>
        <w:snapToGrid/>
        <w:spacing w:after="0" w:line="324" w:lineRule="auto"/>
        <w:ind w:left="0" w:firstLine="500" w:firstLineChars="200"/>
        <w:jc w:val="both"/>
        <w:textAlignment w:val="auto"/>
        <w:rPr>
          <w:sz w:val="21"/>
          <w:szCs w:val="21"/>
        </w:rPr>
      </w:pPr>
      <w:r>
        <w:rPr>
          <w:rFonts w:hint="eastAsia"/>
          <w:sz w:val="21"/>
          <w:szCs w:val="21"/>
        </w:rPr>
        <w:t>3.3.4</w:t>
      </w:r>
      <w:r>
        <w:rPr>
          <w:sz w:val="21"/>
          <w:szCs w:val="21"/>
        </w:rPr>
        <w:t>危险物品的安全管理</w:t>
      </w:r>
    </w:p>
    <w:p>
      <w:pPr>
        <w:pStyle w:val="65"/>
        <w:keepNext w:val="0"/>
        <w:keepLines w:val="0"/>
        <w:pageBreakBefore w:val="0"/>
        <w:widowControl w:val="0"/>
        <w:shd w:val="clear" w:color="auto" w:fill="auto"/>
        <w:tabs>
          <w:tab w:val="left" w:pos="6118"/>
        </w:tabs>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sz w:val="21"/>
          <w:szCs w:val="21"/>
        </w:rPr>
        <w:t>承包人运输和存放爆破器材，应遵守《水利水电工程施工通用安全技术规 程》</w:t>
      </w:r>
      <w:r>
        <w:rPr>
          <w:sz w:val="21"/>
          <w:szCs w:val="21"/>
          <w:lang w:bidi="en-US"/>
        </w:rPr>
        <w:t>（</w:t>
      </w:r>
      <w:r>
        <w:rPr>
          <w:rStyle w:val="78"/>
          <w:rFonts w:ascii="宋体" w:hAnsi="宋体" w:eastAsia="宋体"/>
          <w:sz w:val="21"/>
          <w:szCs w:val="21"/>
          <w:lang w:eastAsia="zh-CN"/>
        </w:rPr>
        <w:t>SL</w:t>
      </w:r>
      <w:r>
        <w:rPr>
          <w:sz w:val="21"/>
          <w:szCs w:val="21"/>
          <w:lang w:bidi="en-US"/>
        </w:rPr>
        <w:t xml:space="preserve"> </w:t>
      </w:r>
      <w:r>
        <w:rPr>
          <w:sz w:val="21"/>
          <w:szCs w:val="21"/>
        </w:rPr>
        <w:t>398—</w:t>
      </w:r>
      <w:r>
        <w:rPr>
          <w:sz w:val="21"/>
          <w:szCs w:val="21"/>
          <w:lang w:bidi="en-US"/>
        </w:rPr>
        <w:t>2007</w:t>
      </w:r>
      <w:r>
        <w:rPr>
          <w:rFonts w:hint="eastAsia"/>
          <w:sz w:val="21"/>
          <w:szCs w:val="21"/>
          <w:lang w:bidi="en-US"/>
        </w:rPr>
        <w:t>）</w:t>
      </w:r>
      <w:r>
        <w:rPr>
          <w:sz w:val="21"/>
          <w:szCs w:val="21"/>
        </w:rPr>
        <w:t>第</w:t>
      </w:r>
      <w:r>
        <w:rPr>
          <w:sz w:val="21"/>
          <w:szCs w:val="21"/>
          <w:lang w:bidi="en-US"/>
        </w:rPr>
        <w:t>8</w:t>
      </w:r>
      <w:r>
        <w:rPr>
          <w:rFonts w:hint="eastAsia"/>
          <w:sz w:val="21"/>
          <w:szCs w:val="21"/>
          <w:lang w:bidi="en-US"/>
        </w:rPr>
        <w:t>.</w:t>
      </w:r>
      <w:r>
        <w:rPr>
          <w:sz w:val="21"/>
          <w:szCs w:val="21"/>
        </w:rPr>
        <w:t>3</w:t>
      </w:r>
      <w:r>
        <w:rPr>
          <w:rFonts w:hint="eastAsia"/>
          <w:sz w:val="21"/>
          <w:szCs w:val="21"/>
        </w:rPr>
        <w:t>.</w:t>
      </w:r>
      <w:r>
        <w:rPr>
          <w:sz w:val="21"/>
          <w:szCs w:val="21"/>
        </w:rPr>
        <w:t>3条</w:t>
      </w:r>
      <w:r>
        <w:rPr>
          <w:rStyle w:val="72"/>
          <w:rFonts w:ascii="宋体" w:hAnsi="宋体" w:eastAsia="宋体"/>
          <w:sz w:val="21"/>
          <w:szCs w:val="21"/>
          <w:lang w:eastAsia="zh-CN"/>
        </w:rPr>
        <w:t>、第</w:t>
      </w:r>
      <w:r>
        <w:rPr>
          <w:sz w:val="21"/>
          <w:szCs w:val="21"/>
        </w:rPr>
        <w:t>8</w:t>
      </w:r>
      <w:r>
        <w:rPr>
          <w:rFonts w:hint="eastAsia"/>
          <w:sz w:val="21"/>
          <w:szCs w:val="21"/>
        </w:rPr>
        <w:t>.</w:t>
      </w:r>
      <w:r>
        <w:rPr>
          <w:sz w:val="21"/>
          <w:szCs w:val="21"/>
        </w:rPr>
        <w:t xml:space="preserve"> 3</w:t>
      </w:r>
      <w:r>
        <w:rPr>
          <w:rFonts w:hint="eastAsia"/>
          <w:sz w:val="21"/>
          <w:szCs w:val="21"/>
        </w:rPr>
        <w:t>.</w:t>
      </w:r>
      <w:r>
        <w:rPr>
          <w:sz w:val="21"/>
          <w:szCs w:val="21"/>
        </w:rPr>
        <w:t xml:space="preserve">4条的规定；易燃物品的管理应遵守《水利水电工程施工通用安全技木规程&gt; </w:t>
      </w:r>
      <w:r>
        <w:rPr>
          <w:rFonts w:hint="eastAsia"/>
          <w:sz w:val="21"/>
          <w:szCs w:val="21"/>
        </w:rPr>
        <w:t xml:space="preserve"> </w:t>
      </w:r>
      <w:r>
        <w:rPr>
          <w:rStyle w:val="78"/>
          <w:rFonts w:hint="eastAsia" w:eastAsia="宋体"/>
          <w:sz w:val="21"/>
          <w:szCs w:val="21"/>
          <w:lang w:eastAsia="zh-CN"/>
        </w:rPr>
        <w:t>（</w:t>
      </w:r>
      <w:r>
        <w:rPr>
          <w:rStyle w:val="78"/>
          <w:rFonts w:ascii="宋体" w:hAnsi="宋体" w:eastAsia="宋体"/>
          <w:sz w:val="21"/>
          <w:szCs w:val="21"/>
          <w:lang w:eastAsia="zh-CN"/>
        </w:rPr>
        <w:t>SL</w:t>
      </w:r>
      <w:r>
        <w:rPr>
          <w:rStyle w:val="78"/>
          <w:rFonts w:hint="eastAsia" w:ascii="宋体" w:hAnsi="宋体" w:eastAsia="宋体"/>
          <w:sz w:val="21"/>
          <w:szCs w:val="21"/>
          <w:lang w:eastAsia="zh-CN"/>
        </w:rPr>
        <w:t xml:space="preserve"> </w:t>
      </w:r>
      <w:r>
        <w:rPr>
          <w:sz w:val="21"/>
          <w:szCs w:val="21"/>
        </w:rPr>
        <w:t>398</w:t>
      </w:r>
      <w:r>
        <w:rPr>
          <w:rFonts w:hint="eastAsia"/>
          <w:sz w:val="21"/>
          <w:szCs w:val="21"/>
        </w:rPr>
        <w:t>-</w:t>
      </w:r>
      <w:r>
        <w:rPr>
          <w:sz w:val="21"/>
          <w:szCs w:val="21"/>
          <w:lang w:bidi="en-US"/>
        </w:rPr>
        <w:t>2007</w:t>
      </w:r>
      <w:r>
        <w:rPr>
          <w:rFonts w:hint="eastAsia"/>
          <w:sz w:val="21"/>
          <w:szCs w:val="21"/>
          <w:lang w:bidi="en-US"/>
        </w:rPr>
        <w:t>）</w:t>
      </w:r>
      <w:r>
        <w:rPr>
          <w:sz w:val="21"/>
          <w:szCs w:val="21"/>
        </w:rPr>
        <w:t>第11</w:t>
      </w:r>
      <w:r>
        <w:rPr>
          <w:rFonts w:hint="eastAsia"/>
          <w:sz w:val="21"/>
          <w:szCs w:val="21"/>
        </w:rPr>
        <w:t>.</w:t>
      </w:r>
      <w:r>
        <w:rPr>
          <w:sz w:val="21"/>
          <w:szCs w:val="21"/>
        </w:rPr>
        <w:t>2节的规定；放射性物品的管理及防护应遵守《水利水屯工程施工通用安全技术规程》</w:t>
      </w:r>
      <w:r>
        <w:rPr>
          <w:sz w:val="21"/>
          <w:szCs w:val="21"/>
          <w:lang w:bidi="en-US"/>
        </w:rPr>
        <w:t>（</w:t>
      </w:r>
      <w:r>
        <w:rPr>
          <w:rStyle w:val="78"/>
          <w:rFonts w:ascii="宋体" w:hAnsi="宋体" w:eastAsia="宋体"/>
          <w:sz w:val="21"/>
          <w:szCs w:val="21"/>
          <w:lang w:eastAsia="zh-CN"/>
        </w:rPr>
        <w:t xml:space="preserve">SL </w:t>
      </w:r>
      <w:r>
        <w:rPr>
          <w:sz w:val="21"/>
          <w:szCs w:val="21"/>
        </w:rPr>
        <w:t>398—</w:t>
      </w:r>
      <w:r>
        <w:rPr>
          <w:sz w:val="21"/>
          <w:szCs w:val="21"/>
          <w:lang w:bidi="en-US"/>
        </w:rPr>
        <w:t>2007</w:t>
      </w:r>
      <w:r>
        <w:rPr>
          <w:rFonts w:hint="eastAsia"/>
          <w:sz w:val="21"/>
          <w:szCs w:val="21"/>
          <w:lang w:bidi="en-US"/>
        </w:rPr>
        <w:t>）</w:t>
      </w:r>
      <w:r>
        <w:rPr>
          <w:sz w:val="21"/>
          <w:szCs w:val="21"/>
        </w:rPr>
        <w:t>第</w:t>
      </w:r>
      <w:r>
        <w:rPr>
          <w:sz w:val="21"/>
          <w:szCs w:val="21"/>
          <w:lang w:bidi="en-US"/>
        </w:rPr>
        <w:t>11.</w:t>
      </w:r>
      <w:r>
        <w:rPr>
          <w:sz w:val="21"/>
          <w:szCs w:val="21"/>
        </w:rPr>
        <w:t>4节的规定；油炸</w:t>
      </w:r>
      <w:r>
        <w:rPr>
          <w:rStyle w:val="72"/>
          <w:rFonts w:ascii="宋体" w:hAnsi="宋体" w:eastAsia="宋体"/>
          <w:sz w:val="21"/>
          <w:szCs w:val="21"/>
          <w:lang w:eastAsia="zh-CN"/>
        </w:rPr>
        <w:t>的管理</w:t>
      </w:r>
      <w:r>
        <w:rPr>
          <w:sz w:val="21"/>
          <w:szCs w:val="21"/>
        </w:rPr>
        <w:t>应遵守《水利水电工程施工通用安全技术规程》</w:t>
      </w:r>
      <w:r>
        <w:rPr>
          <w:sz w:val="21"/>
          <w:szCs w:val="21"/>
          <w:lang w:bidi="en-US"/>
        </w:rPr>
        <w:t>（</w:t>
      </w:r>
      <w:r>
        <w:rPr>
          <w:rStyle w:val="78"/>
          <w:rFonts w:ascii="宋体" w:hAnsi="宋体" w:eastAsia="宋体"/>
          <w:sz w:val="21"/>
          <w:szCs w:val="21"/>
          <w:lang w:eastAsia="zh-CN"/>
        </w:rPr>
        <w:t>SL</w:t>
      </w:r>
      <w:r>
        <w:rPr>
          <w:sz w:val="21"/>
          <w:szCs w:val="21"/>
          <w:lang w:bidi="en-US"/>
        </w:rPr>
        <w:t xml:space="preserve"> 398</w:t>
      </w:r>
      <w:r>
        <w:rPr>
          <w:sz w:val="21"/>
          <w:szCs w:val="21"/>
        </w:rPr>
        <w:t>—</w:t>
      </w:r>
      <w:r>
        <w:rPr>
          <w:rFonts w:hint="eastAsia"/>
          <w:sz w:val="21"/>
          <w:szCs w:val="21"/>
        </w:rPr>
        <w:t>2007）</w:t>
      </w:r>
      <w:r>
        <w:rPr>
          <w:sz w:val="21"/>
          <w:szCs w:val="21"/>
        </w:rPr>
        <w:t>第</w:t>
      </w:r>
      <w:r>
        <w:rPr>
          <w:rStyle w:val="78"/>
          <w:rFonts w:hint="eastAsia" w:ascii="宋体" w:hAnsi="宋体" w:eastAsia="宋体"/>
          <w:sz w:val="21"/>
          <w:szCs w:val="21"/>
          <w:lang w:eastAsia="zh-CN"/>
        </w:rPr>
        <w:t>11.5</w:t>
      </w:r>
      <w:r>
        <w:rPr>
          <w:sz w:val="21"/>
          <w:szCs w:val="21"/>
        </w:rPr>
        <w:t>节的规定。</w:t>
      </w:r>
    </w:p>
    <w:p>
      <w:pPr>
        <w:pStyle w:val="79"/>
        <w:keepNext w:val="0"/>
        <w:keepLines w:val="0"/>
        <w:pageBreakBefore w:val="0"/>
        <w:widowControl w:val="0"/>
        <w:shd w:val="clear" w:color="auto" w:fill="auto"/>
        <w:tabs>
          <w:tab w:val="left" w:pos="971"/>
        </w:tabs>
        <w:kinsoku/>
        <w:wordWrap/>
        <w:overflowPunct/>
        <w:topLinePunct w:val="0"/>
        <w:autoSpaceDE/>
        <w:autoSpaceDN/>
        <w:bidi w:val="0"/>
        <w:adjustRightInd w:val="0"/>
        <w:snapToGrid/>
        <w:spacing w:after="0" w:line="324" w:lineRule="auto"/>
        <w:ind w:left="0" w:firstLine="420" w:firstLineChars="200"/>
        <w:jc w:val="both"/>
        <w:textAlignment w:val="auto"/>
        <w:rPr>
          <w:spacing w:val="0"/>
          <w:sz w:val="21"/>
          <w:szCs w:val="21"/>
        </w:rPr>
      </w:pPr>
      <w:r>
        <w:rPr>
          <w:rFonts w:hint="eastAsia"/>
          <w:spacing w:val="0"/>
          <w:sz w:val="21"/>
          <w:szCs w:val="21"/>
        </w:rPr>
        <w:t>3.3.5</w:t>
      </w:r>
      <w:r>
        <w:rPr>
          <w:spacing w:val="0"/>
          <w:sz w:val="21"/>
          <w:szCs w:val="21"/>
        </w:rPr>
        <w:t>照明安全</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sz w:val="21"/>
          <w:szCs w:val="21"/>
        </w:rPr>
        <w:t>承包人应在施工作业区、施工道路、临时设施、办公区和生活区设置足够的照明，地下洞室的施工作业区、运输通道应布置照明设施并符合《水利水电 工程施工通用安全技术规程》</w:t>
      </w:r>
      <w:r>
        <w:rPr>
          <w:sz w:val="21"/>
          <w:szCs w:val="21"/>
          <w:lang w:bidi="en-US"/>
        </w:rPr>
        <w:t>（</w:t>
      </w:r>
      <w:r>
        <w:rPr>
          <w:rStyle w:val="78"/>
          <w:rFonts w:ascii="宋体" w:hAnsi="宋体" w:eastAsia="宋体"/>
          <w:sz w:val="21"/>
          <w:szCs w:val="21"/>
          <w:lang w:eastAsia="zh-CN"/>
        </w:rPr>
        <w:t>SL</w:t>
      </w:r>
      <w:r>
        <w:rPr>
          <w:sz w:val="21"/>
          <w:szCs w:val="21"/>
          <w:lang w:bidi="en-US"/>
        </w:rPr>
        <w:t xml:space="preserve"> </w:t>
      </w:r>
      <w:r>
        <w:rPr>
          <w:sz w:val="21"/>
          <w:szCs w:val="21"/>
        </w:rPr>
        <w:t>398—</w:t>
      </w:r>
      <w:r>
        <w:rPr>
          <w:sz w:val="21"/>
          <w:szCs w:val="21"/>
          <w:lang w:bidi="en-US"/>
        </w:rPr>
        <w:t>2007</w:t>
      </w:r>
      <w:r>
        <w:rPr>
          <w:rFonts w:hint="eastAsia"/>
          <w:sz w:val="21"/>
          <w:szCs w:val="21"/>
          <w:lang w:bidi="en-US"/>
        </w:rPr>
        <w:t>）</w:t>
      </w:r>
      <w:r>
        <w:rPr>
          <w:sz w:val="21"/>
          <w:szCs w:val="21"/>
        </w:rPr>
        <w:t>第</w:t>
      </w:r>
      <w:r>
        <w:rPr>
          <w:sz w:val="21"/>
          <w:szCs w:val="21"/>
          <w:lang w:bidi="en-US"/>
        </w:rPr>
        <w:t>4.5.</w:t>
      </w:r>
      <w:r>
        <w:rPr>
          <w:sz w:val="21"/>
          <w:szCs w:val="21"/>
        </w:rPr>
        <w:t>9〜</w:t>
      </w:r>
      <w:r>
        <w:rPr>
          <w:sz w:val="21"/>
          <w:szCs w:val="21"/>
          <w:lang w:bidi="en-US"/>
        </w:rPr>
        <w:t>4.5.</w:t>
      </w:r>
      <w:r>
        <w:rPr>
          <w:sz w:val="21"/>
          <w:szCs w:val="21"/>
        </w:rPr>
        <w:t>14条的规定。</w:t>
      </w:r>
    </w:p>
    <w:p>
      <w:pPr>
        <w:pStyle w:val="79"/>
        <w:keepNext w:val="0"/>
        <w:keepLines w:val="0"/>
        <w:pageBreakBefore w:val="0"/>
        <w:widowControl w:val="0"/>
        <w:shd w:val="clear" w:color="auto" w:fill="auto"/>
        <w:tabs>
          <w:tab w:val="left" w:pos="971"/>
        </w:tabs>
        <w:kinsoku/>
        <w:wordWrap/>
        <w:overflowPunct/>
        <w:topLinePunct w:val="0"/>
        <w:autoSpaceDE/>
        <w:autoSpaceDN/>
        <w:bidi w:val="0"/>
        <w:adjustRightInd w:val="0"/>
        <w:snapToGrid/>
        <w:spacing w:after="0" w:line="324" w:lineRule="auto"/>
        <w:ind w:left="0" w:firstLine="420" w:firstLineChars="200"/>
        <w:jc w:val="both"/>
        <w:textAlignment w:val="auto"/>
        <w:rPr>
          <w:spacing w:val="0"/>
          <w:sz w:val="21"/>
          <w:szCs w:val="21"/>
        </w:rPr>
      </w:pPr>
      <w:r>
        <w:rPr>
          <w:rFonts w:hint="eastAsia"/>
          <w:spacing w:val="0"/>
          <w:sz w:val="21"/>
          <w:szCs w:val="21"/>
        </w:rPr>
        <w:t>3.3.6</w:t>
      </w:r>
      <w:r>
        <w:rPr>
          <w:spacing w:val="0"/>
          <w:sz w:val="21"/>
          <w:szCs w:val="21"/>
        </w:rPr>
        <w:t>接地及防雷装置</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sz w:val="21"/>
          <w:szCs w:val="21"/>
        </w:rPr>
        <w:t>接地及防雷装置应符合《水利水电工程施工通用安全技术规程》</w:t>
      </w:r>
      <w:r>
        <w:rPr>
          <w:sz w:val="21"/>
          <w:szCs w:val="21"/>
          <w:lang w:bidi="en-US"/>
        </w:rPr>
        <w:t>（</w:t>
      </w:r>
      <w:r>
        <w:rPr>
          <w:rStyle w:val="78"/>
          <w:rFonts w:ascii="宋体" w:hAnsi="宋体" w:eastAsia="宋体"/>
          <w:sz w:val="21"/>
          <w:szCs w:val="21"/>
          <w:lang w:eastAsia="zh-CN"/>
        </w:rPr>
        <w:t xml:space="preserve">SL </w:t>
      </w:r>
      <w:r>
        <w:rPr>
          <w:sz w:val="21"/>
          <w:szCs w:val="21"/>
        </w:rPr>
        <w:t>398—</w:t>
      </w:r>
      <w:r>
        <w:rPr>
          <w:sz w:val="21"/>
          <w:szCs w:val="21"/>
          <w:lang w:bidi="en-US"/>
        </w:rPr>
        <w:t>2007</w:t>
      </w:r>
      <w:r>
        <w:rPr>
          <w:rFonts w:hint="eastAsia"/>
          <w:sz w:val="21"/>
          <w:szCs w:val="21"/>
          <w:lang w:bidi="en-US"/>
        </w:rPr>
        <w:t>）</w:t>
      </w:r>
      <w:r>
        <w:rPr>
          <w:sz w:val="21"/>
          <w:szCs w:val="21"/>
        </w:rPr>
        <w:t>第</w:t>
      </w:r>
      <w:r>
        <w:rPr>
          <w:sz w:val="21"/>
          <w:szCs w:val="21"/>
          <w:lang w:bidi="en-US"/>
        </w:rPr>
        <w:t>4.</w:t>
      </w:r>
      <w:r>
        <w:rPr>
          <w:sz w:val="21"/>
          <w:szCs w:val="21"/>
        </w:rPr>
        <w:t>2节“接地（接零</w:t>
      </w:r>
      <w:r>
        <w:rPr>
          <w:sz w:val="21"/>
          <w:szCs w:val="21"/>
          <w:lang w:bidi="en-US"/>
        </w:rPr>
        <w:t>）</w:t>
      </w:r>
      <w:r>
        <w:rPr>
          <w:sz w:val="21"/>
          <w:szCs w:val="21"/>
        </w:rPr>
        <w:t>与防雷规定”的要求。凡可能漏电伤人 或易受雷击的电器及建筑物均应设置接地或防雷装置。</w:t>
      </w:r>
    </w:p>
    <w:p>
      <w:pPr>
        <w:pStyle w:val="79"/>
        <w:keepNext w:val="0"/>
        <w:keepLines w:val="0"/>
        <w:pageBreakBefore w:val="0"/>
        <w:widowControl w:val="0"/>
        <w:shd w:val="clear" w:color="auto" w:fill="auto"/>
        <w:tabs>
          <w:tab w:val="left" w:pos="971"/>
        </w:tabs>
        <w:kinsoku/>
        <w:wordWrap/>
        <w:overflowPunct/>
        <w:topLinePunct w:val="0"/>
        <w:autoSpaceDE/>
        <w:autoSpaceDN/>
        <w:bidi w:val="0"/>
        <w:adjustRightInd w:val="0"/>
        <w:snapToGrid/>
        <w:spacing w:after="0" w:line="324" w:lineRule="auto"/>
        <w:ind w:left="0" w:firstLine="420" w:firstLineChars="200"/>
        <w:jc w:val="both"/>
        <w:textAlignment w:val="auto"/>
        <w:rPr>
          <w:spacing w:val="0"/>
          <w:sz w:val="21"/>
          <w:szCs w:val="21"/>
        </w:rPr>
      </w:pPr>
      <w:r>
        <w:rPr>
          <w:rFonts w:hint="eastAsia"/>
          <w:spacing w:val="0"/>
          <w:sz w:val="21"/>
          <w:szCs w:val="21"/>
        </w:rPr>
        <w:t>3.3.7</w:t>
      </w:r>
      <w:r>
        <w:rPr>
          <w:spacing w:val="0"/>
          <w:sz w:val="21"/>
          <w:szCs w:val="21"/>
        </w:rPr>
        <w:t>防有毒、有害物品的控制</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sz w:val="21"/>
          <w:szCs w:val="21"/>
        </w:rPr>
        <w:t>承包人应遵守《水工建筑物地下开挖工程施工规范</w:t>
      </w:r>
      <w:r>
        <w:rPr>
          <w:rFonts w:hint="eastAsia"/>
          <w:sz w:val="21"/>
          <w:szCs w:val="21"/>
        </w:rPr>
        <w:t>》</w:t>
      </w:r>
      <w:r>
        <w:rPr>
          <w:rFonts w:hint="eastAsia"/>
          <w:sz w:val="21"/>
          <w:szCs w:val="21"/>
          <w:lang w:bidi="en-US"/>
        </w:rPr>
        <w:t>（</w:t>
      </w:r>
      <w:r>
        <w:rPr>
          <w:rStyle w:val="78"/>
          <w:rFonts w:ascii="宋体" w:hAnsi="宋体" w:eastAsia="宋体"/>
          <w:sz w:val="21"/>
          <w:szCs w:val="21"/>
          <w:lang w:eastAsia="zh-CN"/>
        </w:rPr>
        <w:t>SL</w:t>
      </w:r>
      <w:r>
        <w:rPr>
          <w:sz w:val="21"/>
          <w:szCs w:val="21"/>
          <w:lang w:bidi="en-US"/>
        </w:rPr>
        <w:t xml:space="preserve"> </w:t>
      </w:r>
      <w:r>
        <w:rPr>
          <w:sz w:val="21"/>
          <w:szCs w:val="21"/>
        </w:rPr>
        <w:t>378—</w:t>
      </w:r>
      <w:r>
        <w:rPr>
          <w:sz w:val="21"/>
          <w:szCs w:val="21"/>
          <w:lang w:bidi="en-US"/>
        </w:rPr>
        <w:t>2007</w:t>
      </w:r>
      <w:r>
        <w:rPr>
          <w:rFonts w:hint="eastAsia"/>
          <w:sz w:val="21"/>
          <w:szCs w:val="21"/>
          <w:lang w:bidi="en-US"/>
        </w:rPr>
        <w:t>）</w:t>
      </w:r>
      <w:r>
        <w:rPr>
          <w:sz w:val="21"/>
          <w:szCs w:val="21"/>
        </w:rPr>
        <w:t>第3</w:t>
      </w:r>
      <w:r>
        <w:rPr>
          <w:rFonts w:hint="eastAsia"/>
          <w:sz w:val="21"/>
          <w:szCs w:val="21"/>
        </w:rPr>
        <w:t>节防尘、有害气体的规定。</w:t>
      </w:r>
    </w:p>
    <w:p>
      <w:pPr>
        <w:pStyle w:val="79"/>
        <w:keepNext w:val="0"/>
        <w:keepLines w:val="0"/>
        <w:pageBreakBefore w:val="0"/>
        <w:widowControl w:val="0"/>
        <w:shd w:val="clear" w:color="auto" w:fill="auto"/>
        <w:tabs>
          <w:tab w:val="left" w:pos="971"/>
        </w:tabs>
        <w:kinsoku/>
        <w:wordWrap/>
        <w:overflowPunct/>
        <w:topLinePunct w:val="0"/>
        <w:autoSpaceDE/>
        <w:autoSpaceDN/>
        <w:bidi w:val="0"/>
        <w:adjustRightInd w:val="0"/>
        <w:snapToGrid/>
        <w:spacing w:after="0" w:line="324" w:lineRule="auto"/>
        <w:ind w:left="0" w:firstLine="420" w:firstLineChars="200"/>
        <w:jc w:val="both"/>
        <w:textAlignment w:val="auto"/>
        <w:rPr>
          <w:spacing w:val="0"/>
          <w:sz w:val="21"/>
          <w:szCs w:val="21"/>
        </w:rPr>
      </w:pPr>
      <w:r>
        <w:rPr>
          <w:spacing w:val="0"/>
          <w:sz w:val="21"/>
          <w:szCs w:val="21"/>
          <w:lang w:eastAsia="en-US"/>
        </w:rPr>
        <w:t>3.3.</w:t>
      </w:r>
      <w:r>
        <w:rPr>
          <w:spacing w:val="0"/>
          <w:sz w:val="21"/>
          <w:szCs w:val="21"/>
        </w:rPr>
        <w:t>8</w:t>
      </w:r>
      <w:r>
        <w:rPr>
          <w:rFonts w:hint="eastAsia"/>
          <w:spacing w:val="0"/>
          <w:sz w:val="21"/>
          <w:szCs w:val="21"/>
        </w:rPr>
        <w:t>爆破作业安全</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(1)承包人的施工爆破作业应严格遵照《爆破安全规程》（GB 6722— 2014）及国家有关爆破安全管理的规定。承包人应对爆破造成的工程和人身损 害和财产损失承担责任。</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(2)对实施电引爆的作业区，承包人应采用必要的特殊安全装置，以防止暴风雨时的大气或邻近电气设备放电的影响。特殊安全装置应经过试验证明其 确保安全可靠时方可使用。试验报告应提交监理人。</w:t>
      </w:r>
    </w:p>
    <w:p>
      <w:pPr>
        <w:pStyle w:val="65"/>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rFonts w:hint="eastAsia"/>
          <w:sz w:val="21"/>
          <w:szCs w:val="21"/>
        </w:rPr>
      </w:pPr>
      <w:r>
        <w:rPr>
          <w:rFonts w:hint="eastAsia"/>
          <w:sz w:val="21"/>
          <w:szCs w:val="21"/>
        </w:rPr>
        <w:t>(3)当承包人的现场爆破作业对其他承包人的施工造成干扰及影响临近设施和人员的安全时，应由监理人协调解决。现场爆破时，各方均应服从爆破作 业指挥人员的命令。</w:t>
      </w:r>
    </w:p>
    <w:p>
      <w:pPr>
        <w:pStyle w:val="61"/>
        <w:keepNext w:val="0"/>
        <w:keepLines w:val="0"/>
        <w:pageBreakBefore w:val="0"/>
        <w:widowControl w:val="0"/>
        <w:shd w:val="clear" w:color="auto" w:fill="auto"/>
        <w:tabs>
          <w:tab w:val="left" w:pos="353"/>
        </w:tabs>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rStyle w:val="63"/>
          <w:rFonts w:hint="eastAsia"/>
          <w:sz w:val="21"/>
          <w:szCs w:val="21"/>
          <w:lang w:eastAsia="zh-CN"/>
        </w:rPr>
        <w:t>3.3.9</w:t>
      </w:r>
      <w:r>
        <w:rPr>
          <w:rStyle w:val="63"/>
          <w:sz w:val="21"/>
          <w:szCs w:val="21"/>
          <w:lang w:eastAsia="zh-CN"/>
        </w:rPr>
        <w:t>消防</w:t>
      </w:r>
    </w:p>
    <w:p>
      <w:pPr>
        <w:pStyle w:val="81"/>
        <w:keepNext w:val="0"/>
        <w:keepLines w:val="0"/>
        <w:pageBreakBefore w:val="0"/>
        <w:widowControl w:val="0"/>
        <w:shd w:val="clear" w:color="auto" w:fill="auto"/>
        <w:tabs>
          <w:tab w:val="left" w:pos="1029"/>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（1）</w:t>
      </w:r>
      <w:r>
        <w:rPr>
          <w:sz w:val="21"/>
          <w:szCs w:val="21"/>
        </w:rPr>
        <w:t>承包人应遵守《中哗人</w:t>
      </w:r>
      <w:r>
        <w:rPr>
          <w:rStyle w:val="72"/>
          <w:rFonts w:hint="eastAsia" w:eastAsia="宋体"/>
          <w:sz w:val="21"/>
          <w:szCs w:val="21"/>
          <w:lang w:eastAsia="zh-CN"/>
        </w:rPr>
        <w:t>民</w:t>
      </w:r>
      <w:r>
        <w:rPr>
          <w:sz w:val="21"/>
          <w:szCs w:val="21"/>
        </w:rPr>
        <w:t>共和国消防法》，并负责其自己辖区内的消防工作。承包人应对其辖区内发生的火灾及其造成的人员伤亡和财产损失负责。</w:t>
      </w:r>
    </w:p>
    <w:p>
      <w:pPr>
        <w:pStyle w:val="81"/>
        <w:keepNext w:val="0"/>
        <w:keepLines w:val="0"/>
        <w:pageBreakBefore w:val="0"/>
        <w:widowControl w:val="0"/>
        <w:shd w:val="clear" w:color="auto" w:fill="auto"/>
        <w:tabs>
          <w:tab w:val="left" w:pos="1053"/>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Style w:val="82"/>
          <w:rFonts w:hint="eastAsia"/>
          <w:spacing w:val="0"/>
          <w:sz w:val="21"/>
          <w:szCs w:val="21"/>
        </w:rPr>
        <w:t>（</w:t>
      </w:r>
      <w:r>
        <w:rPr>
          <w:rStyle w:val="82"/>
          <w:rFonts w:hint="eastAsia"/>
          <w:spacing w:val="0"/>
          <w:sz w:val="21"/>
          <w:szCs w:val="21"/>
          <w:lang w:val="en-US"/>
        </w:rPr>
        <w:t>2</w:t>
      </w:r>
      <w:r>
        <w:rPr>
          <w:rStyle w:val="82"/>
          <w:rFonts w:hint="eastAsia"/>
          <w:spacing w:val="0"/>
          <w:sz w:val="21"/>
          <w:szCs w:val="21"/>
        </w:rPr>
        <w:t>）</w:t>
      </w:r>
      <w:r>
        <w:rPr>
          <w:rStyle w:val="82"/>
          <w:spacing w:val="0"/>
          <w:sz w:val="21"/>
          <w:szCs w:val="21"/>
        </w:rPr>
        <w:t>承包人应按《水利水电工程施工通用安全技术规程</w:t>
      </w:r>
      <w:r>
        <w:rPr>
          <w:rStyle w:val="85"/>
          <w:spacing w:val="0"/>
          <w:sz w:val="21"/>
          <w:szCs w:val="21"/>
        </w:rPr>
        <w:t>》</w:t>
      </w:r>
      <w:r>
        <w:rPr>
          <w:rStyle w:val="85"/>
          <w:spacing w:val="0"/>
          <w:sz w:val="21"/>
          <w:szCs w:val="21"/>
          <w:lang w:bidi="en-US"/>
        </w:rPr>
        <w:t>（</w:t>
      </w:r>
      <w:r>
        <w:rPr>
          <w:rStyle w:val="72"/>
          <w:rFonts w:ascii="宋体" w:hAnsi="宋体" w:eastAsia="宋体"/>
          <w:sz w:val="21"/>
          <w:szCs w:val="21"/>
          <w:lang w:eastAsia="zh-CN"/>
        </w:rPr>
        <w:t>SL</w:t>
      </w:r>
      <w:r>
        <w:rPr>
          <w:sz w:val="21"/>
          <w:szCs w:val="21"/>
          <w:lang w:bidi="en-US"/>
        </w:rPr>
        <w:t xml:space="preserve"> </w:t>
      </w:r>
      <w:r>
        <w:rPr>
          <w:sz w:val="21"/>
          <w:szCs w:val="21"/>
        </w:rPr>
        <w:t xml:space="preserve">398— </w:t>
      </w:r>
      <w:r>
        <w:rPr>
          <w:sz w:val="21"/>
          <w:szCs w:val="21"/>
          <w:lang w:bidi="en-US"/>
        </w:rPr>
        <w:t>2007</w:t>
      </w:r>
      <w:r>
        <w:rPr>
          <w:rFonts w:hint="eastAsia"/>
          <w:sz w:val="21"/>
          <w:szCs w:val="21"/>
          <w:lang w:bidi="en-US"/>
        </w:rPr>
        <w:t>）</w:t>
      </w:r>
      <w:r>
        <w:rPr>
          <w:sz w:val="21"/>
          <w:szCs w:val="21"/>
        </w:rPr>
        <w:t>第</w:t>
      </w:r>
      <w:r>
        <w:rPr>
          <w:sz w:val="21"/>
          <w:szCs w:val="21"/>
          <w:lang w:bidi="en-US"/>
        </w:rPr>
        <w:t>3.</w:t>
      </w:r>
      <w:r>
        <w:rPr>
          <w:sz w:val="21"/>
          <w:szCs w:val="21"/>
        </w:rPr>
        <w:t>5节的规定，建立现场消防组织，配置必要的消防专职人员和消防 设备器材。消防设备的型号和功率应满足消防任务的需要。在现场配备必要的 灭火器材、设置防火警示标志，保持畅通的消防通道。</w:t>
      </w:r>
    </w:p>
    <w:p>
      <w:pPr>
        <w:pStyle w:val="81"/>
        <w:keepNext w:val="0"/>
        <w:keepLines w:val="0"/>
        <w:pageBreakBefore w:val="0"/>
        <w:widowControl w:val="0"/>
        <w:shd w:val="clear" w:color="auto" w:fill="auto"/>
        <w:tabs>
          <w:tab w:val="left" w:pos="1053"/>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（3）</w:t>
      </w:r>
      <w:r>
        <w:rPr>
          <w:sz w:val="21"/>
          <w:szCs w:val="21"/>
        </w:rPr>
        <w:t>承包人应对职工迸行经常性的消防知识教育和消防安全训练，消防设备器材应经常检查和保养，使其处于良好的待命状态。</w:t>
      </w:r>
    </w:p>
    <w:p>
      <w:pPr>
        <w:pStyle w:val="81"/>
        <w:keepNext w:val="0"/>
        <w:keepLines w:val="0"/>
        <w:pageBreakBefore w:val="0"/>
        <w:widowControl w:val="0"/>
        <w:shd w:val="clear" w:color="auto" w:fill="auto"/>
        <w:tabs>
          <w:tab w:val="left" w:pos="1053"/>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（4）</w:t>
      </w:r>
      <w:r>
        <w:rPr>
          <w:sz w:val="21"/>
          <w:szCs w:val="21"/>
        </w:rPr>
        <w:t>承包人应制定经常性的消防检查制度，划分施工现场的防火责任区。承包人的消防专职人员应定期检查各施工现场，以及办公与生活区的消防安 全</w:t>
      </w:r>
      <w:r>
        <w:rPr>
          <w:sz w:val="21"/>
          <w:szCs w:val="21"/>
          <w:lang w:val="zh-CN"/>
        </w:rPr>
        <w:t>，特别</w:t>
      </w:r>
      <w:r>
        <w:rPr>
          <w:sz w:val="21"/>
          <w:szCs w:val="21"/>
        </w:rPr>
        <w:t>是用电安全。</w:t>
      </w:r>
    </w:p>
    <w:p>
      <w:pPr>
        <w:pStyle w:val="61"/>
        <w:keepNext w:val="0"/>
        <w:keepLines w:val="0"/>
        <w:pageBreakBefore w:val="0"/>
        <w:widowControl w:val="0"/>
        <w:shd w:val="clear" w:color="auto" w:fill="auto"/>
        <w:tabs>
          <w:tab w:val="left" w:pos="361"/>
        </w:tabs>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rStyle w:val="63"/>
          <w:rFonts w:hint="eastAsia"/>
          <w:sz w:val="21"/>
          <w:szCs w:val="21"/>
          <w:lang w:eastAsia="zh-CN"/>
        </w:rPr>
        <w:t>3.3.10</w:t>
      </w:r>
      <w:r>
        <w:rPr>
          <w:rStyle w:val="63"/>
          <w:sz w:val="21"/>
          <w:szCs w:val="21"/>
          <w:lang w:eastAsia="zh-CN"/>
        </w:rPr>
        <w:t>洪水和气象灾害的防护</w:t>
      </w:r>
    </w:p>
    <w:p>
      <w:pPr>
        <w:pStyle w:val="81"/>
        <w:keepNext w:val="0"/>
        <w:keepLines w:val="0"/>
        <w:pageBreakBefore w:val="0"/>
        <w:widowControl w:val="0"/>
        <w:shd w:val="clear" w:color="auto" w:fill="auto"/>
        <w:tabs>
          <w:tab w:val="left" w:pos="1045"/>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（1）</w:t>
      </w:r>
      <w:r>
        <w:rPr>
          <w:sz w:val="21"/>
          <w:szCs w:val="21"/>
        </w:rPr>
        <w:t>承包人应做好水情和气象预报工作。承包人应向发包人或地方主管水文、气象预报工作的部门获取工程所在区域短、中、长期水文、气象预报资 料。一旦发现有可能危及工程和人身财产安全的灾害预兆时，应立即采取确保 安全的有效措施。</w:t>
      </w:r>
    </w:p>
    <w:p>
      <w:pPr>
        <w:pStyle w:val="81"/>
        <w:keepNext w:val="0"/>
        <w:keepLines w:val="0"/>
        <w:pageBreakBefore w:val="0"/>
        <w:widowControl w:val="0"/>
        <w:shd w:val="clear" w:color="auto" w:fill="auto"/>
        <w:tabs>
          <w:tab w:val="left" w:pos="1029"/>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（2）</w:t>
      </w:r>
      <w:r>
        <w:rPr>
          <w:sz w:val="21"/>
          <w:szCs w:val="21"/>
        </w:rPr>
        <w:t>每年汛前，承包人应编制度汛方案和防洪度汛预案，并按《水利水电工程施工通用安全技术规程</w:t>
      </w:r>
      <w:r>
        <w:rPr>
          <w:rStyle w:val="72"/>
          <w:rFonts w:ascii="宋体" w:hAnsi="宋体" w:eastAsia="宋体"/>
          <w:sz w:val="21"/>
          <w:szCs w:val="21"/>
          <w:lang w:eastAsia="zh-CN"/>
        </w:rPr>
        <w:t>KSL</w:t>
      </w:r>
      <w:r>
        <w:rPr>
          <w:sz w:val="21"/>
          <w:szCs w:val="21"/>
          <w:lang w:bidi="en-US"/>
        </w:rPr>
        <w:t xml:space="preserve"> </w:t>
      </w:r>
      <w:r>
        <w:rPr>
          <w:sz w:val="21"/>
          <w:szCs w:val="21"/>
        </w:rPr>
        <w:t>398—</w:t>
      </w:r>
      <w:r>
        <w:rPr>
          <w:sz w:val="21"/>
          <w:szCs w:val="21"/>
          <w:lang w:bidi="en-US"/>
        </w:rPr>
        <w:t>2007</w:t>
      </w:r>
      <w:r>
        <w:rPr>
          <w:rFonts w:hint="eastAsia"/>
          <w:sz w:val="21"/>
          <w:szCs w:val="21"/>
          <w:lang w:bidi="en-US"/>
        </w:rPr>
        <w:t>）</w:t>
      </w:r>
      <w:r>
        <w:rPr>
          <w:sz w:val="21"/>
          <w:szCs w:val="21"/>
        </w:rPr>
        <w:t>第</w:t>
      </w:r>
      <w:r>
        <w:rPr>
          <w:sz w:val="21"/>
          <w:szCs w:val="21"/>
          <w:lang w:bidi="en-US"/>
        </w:rPr>
        <w:t xml:space="preserve">3. </w:t>
      </w:r>
      <w:r>
        <w:rPr>
          <w:rStyle w:val="82"/>
          <w:spacing w:val="0"/>
          <w:sz w:val="21"/>
          <w:szCs w:val="21"/>
        </w:rPr>
        <w:t>6节、第</w:t>
      </w:r>
      <w:r>
        <w:rPr>
          <w:rStyle w:val="82"/>
          <w:spacing w:val="0"/>
          <w:sz w:val="21"/>
          <w:szCs w:val="21"/>
          <w:lang w:bidi="en-US"/>
        </w:rPr>
        <w:t>3.</w:t>
      </w:r>
      <w:r>
        <w:rPr>
          <w:sz w:val="21"/>
          <w:szCs w:val="21"/>
        </w:rPr>
        <w:t>7节的规定，制定切实可行的预防和减灾措施。</w:t>
      </w:r>
    </w:p>
    <w:p>
      <w:pPr>
        <w:pStyle w:val="61"/>
        <w:keepNext w:val="0"/>
        <w:keepLines w:val="0"/>
        <w:pageBreakBefore w:val="0"/>
        <w:widowControl w:val="0"/>
        <w:shd w:val="clear" w:color="auto" w:fill="auto"/>
        <w:tabs>
          <w:tab w:val="left" w:pos="987"/>
        </w:tabs>
        <w:kinsoku/>
        <w:wordWrap/>
        <w:overflowPunct/>
        <w:topLinePunct w:val="0"/>
        <w:autoSpaceDE/>
        <w:autoSpaceDN/>
        <w:bidi w:val="0"/>
        <w:adjustRightInd w:val="0"/>
        <w:snapToGrid/>
        <w:spacing w:before="0" w:after="0" w:line="324" w:lineRule="auto"/>
        <w:ind w:left="0" w:firstLine="500" w:firstLineChars="200"/>
        <w:jc w:val="both"/>
        <w:textAlignment w:val="auto"/>
        <w:rPr>
          <w:sz w:val="21"/>
          <w:szCs w:val="21"/>
        </w:rPr>
      </w:pPr>
      <w:r>
        <w:rPr>
          <w:rStyle w:val="64"/>
          <w:rFonts w:hint="eastAsia"/>
          <w:sz w:val="21"/>
          <w:szCs w:val="21"/>
        </w:rPr>
        <w:t>3.3.11</w:t>
      </w:r>
      <w:r>
        <w:rPr>
          <w:rStyle w:val="64"/>
          <w:sz w:val="21"/>
          <w:szCs w:val="21"/>
        </w:rPr>
        <w:t>安全标志</w:t>
      </w:r>
    </w:p>
    <w:p>
      <w:pPr>
        <w:pStyle w:val="81"/>
        <w:keepNext w:val="0"/>
        <w:keepLines w:val="0"/>
        <w:pageBreakBefore w:val="0"/>
        <w:widowControl w:val="0"/>
        <w:shd w:val="clear" w:color="auto" w:fill="auto"/>
        <w:tabs>
          <w:tab w:val="left" w:pos="1075"/>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（1）</w:t>
      </w:r>
      <w:r>
        <w:rPr>
          <w:sz w:val="21"/>
          <w:szCs w:val="21"/>
        </w:rPr>
        <w:t>承包人应按《安全标志及其使用导则</w:t>
      </w:r>
      <w:r>
        <w:rPr>
          <w:rStyle w:val="85"/>
          <w:sz w:val="21"/>
          <w:szCs w:val="21"/>
        </w:rPr>
        <w:t>》</w:t>
      </w:r>
      <w:r>
        <w:rPr>
          <w:rStyle w:val="85"/>
          <w:sz w:val="21"/>
          <w:szCs w:val="21"/>
          <w:lang w:bidi="en-US"/>
        </w:rPr>
        <w:t>（</w:t>
      </w:r>
      <w:r>
        <w:rPr>
          <w:rStyle w:val="72"/>
          <w:rFonts w:ascii="宋体" w:hAnsi="宋体" w:eastAsia="宋体"/>
          <w:sz w:val="21"/>
          <w:szCs w:val="21"/>
          <w:lang w:eastAsia="zh-CN"/>
        </w:rPr>
        <w:t>GB</w:t>
      </w:r>
      <w:r>
        <w:rPr>
          <w:sz w:val="21"/>
          <w:szCs w:val="21"/>
          <w:lang w:bidi="en-US"/>
        </w:rPr>
        <w:t xml:space="preserve"> </w:t>
      </w:r>
      <w:r>
        <w:rPr>
          <w:sz w:val="21"/>
          <w:szCs w:val="21"/>
        </w:rPr>
        <w:t>2894—</w:t>
      </w:r>
      <w:r>
        <w:rPr>
          <w:sz w:val="21"/>
          <w:szCs w:val="21"/>
          <w:lang w:bidi="en-US"/>
        </w:rPr>
        <w:t>2008</w:t>
      </w:r>
      <w:r>
        <w:rPr>
          <w:rFonts w:hint="eastAsia"/>
          <w:sz w:val="21"/>
          <w:szCs w:val="21"/>
          <w:lang w:bidi="en-US"/>
        </w:rPr>
        <w:t>）</w:t>
      </w:r>
      <w:r>
        <w:rPr>
          <w:sz w:val="21"/>
          <w:szCs w:val="21"/>
        </w:rPr>
        <w:t>的要求，在施工区内设置一切必需的安全标志，其标志类型包括：</w:t>
      </w:r>
    </w:p>
    <w:p>
      <w:pPr>
        <w:pStyle w:val="81"/>
        <w:keepNext w:val="0"/>
        <w:keepLines w:val="0"/>
        <w:pageBreakBefore w:val="0"/>
        <w:widowControl w:val="0"/>
        <w:shd w:val="clear" w:color="auto" w:fill="auto"/>
        <w:tabs>
          <w:tab w:val="left" w:pos="98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1）</w:t>
      </w:r>
      <w:r>
        <w:rPr>
          <w:sz w:val="21"/>
          <w:szCs w:val="21"/>
        </w:rPr>
        <w:t>禁止标志。</w:t>
      </w:r>
    </w:p>
    <w:p>
      <w:pPr>
        <w:pStyle w:val="81"/>
        <w:keepNext w:val="0"/>
        <w:keepLines w:val="0"/>
        <w:pageBreakBefore w:val="0"/>
        <w:widowControl w:val="0"/>
        <w:shd w:val="clear" w:color="auto" w:fill="auto"/>
        <w:tabs>
          <w:tab w:val="left" w:pos="98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2）</w:t>
      </w:r>
      <w:r>
        <w:rPr>
          <w:sz w:val="21"/>
          <w:szCs w:val="21"/>
        </w:rPr>
        <w:t>警告标志。</w:t>
      </w:r>
    </w:p>
    <w:p>
      <w:pPr>
        <w:pStyle w:val="81"/>
        <w:keepNext w:val="0"/>
        <w:keepLines w:val="0"/>
        <w:pageBreakBefore w:val="0"/>
        <w:widowControl w:val="0"/>
        <w:shd w:val="clear" w:color="auto" w:fill="auto"/>
        <w:tabs>
          <w:tab w:val="left" w:pos="98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3）</w:t>
      </w:r>
      <w:r>
        <w:rPr>
          <w:sz w:val="21"/>
          <w:szCs w:val="21"/>
        </w:rPr>
        <w:t>指令标志。</w:t>
      </w:r>
    </w:p>
    <w:p>
      <w:pPr>
        <w:pStyle w:val="81"/>
        <w:keepNext w:val="0"/>
        <w:keepLines w:val="0"/>
        <w:pageBreakBefore w:val="0"/>
        <w:widowControl w:val="0"/>
        <w:shd w:val="clear" w:color="auto" w:fill="auto"/>
        <w:tabs>
          <w:tab w:val="left" w:pos="98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4）</w:t>
      </w:r>
      <w:r>
        <w:rPr>
          <w:sz w:val="21"/>
          <w:szCs w:val="21"/>
        </w:rPr>
        <w:t>提示标志。</w:t>
      </w:r>
    </w:p>
    <w:p>
      <w:pPr>
        <w:pStyle w:val="81"/>
        <w:keepNext w:val="0"/>
        <w:keepLines w:val="0"/>
        <w:pageBreakBefore w:val="0"/>
        <w:widowControl w:val="0"/>
        <w:shd w:val="clear" w:color="auto" w:fill="auto"/>
        <w:tabs>
          <w:tab w:val="left" w:pos="1059"/>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（2）</w:t>
      </w:r>
      <w:r>
        <w:rPr>
          <w:sz w:val="21"/>
          <w:szCs w:val="21"/>
        </w:rPr>
        <w:t>承包人应负责保护施工区内的所有标志，并按监理人指示补充或更换失效的标志。</w:t>
      </w:r>
    </w:p>
    <w:p>
      <w:pPr>
        <w:pStyle w:val="79"/>
        <w:keepNext w:val="0"/>
        <w:keepLines w:val="0"/>
        <w:pageBreakBefore w:val="0"/>
        <w:widowControl w:val="0"/>
        <w:shd w:val="clear" w:color="auto" w:fill="auto"/>
        <w:tabs>
          <w:tab w:val="left" w:pos="1193"/>
        </w:tabs>
        <w:kinsoku/>
        <w:wordWrap/>
        <w:overflowPunct/>
        <w:topLinePunct w:val="0"/>
        <w:autoSpaceDE/>
        <w:autoSpaceDN/>
        <w:bidi w:val="0"/>
        <w:adjustRightInd w:val="0"/>
        <w:snapToGrid/>
        <w:spacing w:after="0" w:line="324" w:lineRule="auto"/>
        <w:ind w:left="0" w:firstLine="500" w:firstLineChars="200"/>
        <w:jc w:val="both"/>
        <w:textAlignment w:val="auto"/>
        <w:rPr>
          <w:sz w:val="21"/>
          <w:szCs w:val="21"/>
        </w:rPr>
      </w:pPr>
      <w:r>
        <w:rPr>
          <w:rFonts w:hint="eastAsia"/>
          <w:sz w:val="21"/>
          <w:szCs w:val="21"/>
        </w:rPr>
        <w:t>3.3.12</w:t>
      </w:r>
      <w:r>
        <w:rPr>
          <w:sz w:val="21"/>
          <w:szCs w:val="21"/>
        </w:rPr>
        <w:t>“二禁、三宝</w:t>
      </w:r>
      <w:r>
        <w:rPr>
          <w:rStyle w:val="86"/>
          <w:rFonts w:ascii="宋体" w:hAnsi="宋体" w:eastAsia="宋体"/>
          <w:sz w:val="21"/>
          <w:szCs w:val="21"/>
          <w:lang w:eastAsia="zh-CN"/>
        </w:rPr>
        <w:t>、四口</w:t>
      </w:r>
      <w:r>
        <w:rPr>
          <w:sz w:val="21"/>
          <w:szCs w:val="21"/>
        </w:rPr>
        <w:t>、五边、六防”</w:t>
      </w:r>
    </w:p>
    <w:p>
      <w:pPr>
        <w:pStyle w:val="89"/>
        <w:keepNext w:val="0"/>
        <w:keepLines w:val="0"/>
        <w:pageBreakBefore w:val="0"/>
        <w:widowControl w:val="0"/>
        <w:shd w:val="clear" w:color="auto" w:fill="auto"/>
        <w:tabs>
          <w:tab w:val="left" w:pos="1078"/>
        </w:tabs>
        <w:kinsoku/>
        <w:wordWrap/>
        <w:overflowPunct/>
        <w:topLinePunct w:val="0"/>
        <w:autoSpaceDE/>
        <w:autoSpaceDN/>
        <w:bidi w:val="0"/>
        <w:adjustRightInd w:val="0"/>
        <w:snapToGrid/>
        <w:spacing w:before="0" w:after="0" w:line="324" w:lineRule="auto"/>
        <w:ind w:left="0" w:firstLine="420" w:firstLineChars="200"/>
        <w:jc w:val="both"/>
        <w:textAlignment w:val="auto"/>
        <w:rPr>
          <w:b w:val="0"/>
          <w:sz w:val="21"/>
          <w:szCs w:val="21"/>
        </w:rPr>
      </w:pPr>
      <w:r>
        <w:rPr>
          <w:rStyle w:val="91"/>
          <w:rFonts w:hint="eastAsia"/>
          <w:b w:val="0"/>
          <w:bCs w:val="0"/>
          <w:sz w:val="21"/>
          <w:szCs w:val="21"/>
        </w:rPr>
        <w:t>（1）</w:t>
      </w:r>
      <w:r>
        <w:rPr>
          <w:rStyle w:val="91"/>
          <w:b w:val="0"/>
          <w:bCs w:val="0"/>
          <w:sz w:val="21"/>
          <w:szCs w:val="21"/>
        </w:rPr>
        <w:t>二禁：严禁</w:t>
      </w:r>
      <w:r>
        <w:rPr>
          <w:rStyle w:val="72"/>
          <w:rFonts w:ascii="宋体" w:hAnsi="宋体" w:eastAsia="宋体"/>
          <w:b w:val="0"/>
          <w:sz w:val="21"/>
          <w:szCs w:val="21"/>
          <w:lang w:eastAsia="zh-CN"/>
        </w:rPr>
        <w:t>违章作</w:t>
      </w:r>
      <w:r>
        <w:rPr>
          <w:rStyle w:val="91"/>
          <w:b w:val="0"/>
          <w:bCs w:val="0"/>
          <w:sz w:val="21"/>
          <w:szCs w:val="21"/>
        </w:rPr>
        <w:t>、严禁违章指挥</w:t>
      </w:r>
      <w:r>
        <w:rPr>
          <w:rStyle w:val="91"/>
          <w:rFonts w:hint="eastAsia"/>
          <w:b w:val="0"/>
          <w:bCs w:val="0"/>
          <w:sz w:val="21"/>
          <w:szCs w:val="21"/>
        </w:rPr>
        <w:t>。</w:t>
      </w:r>
    </w:p>
    <w:p>
      <w:pPr>
        <w:pStyle w:val="81"/>
        <w:keepNext w:val="0"/>
        <w:keepLines w:val="0"/>
        <w:pageBreakBefore w:val="0"/>
        <w:widowControl w:val="0"/>
        <w:shd w:val="clear" w:color="auto" w:fill="auto"/>
        <w:tabs>
          <w:tab w:val="left" w:pos="1078"/>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（2）</w:t>
      </w:r>
      <w:r>
        <w:rPr>
          <w:sz w:val="21"/>
          <w:szCs w:val="21"/>
        </w:rPr>
        <w:t>三宝：安全帽、安全带、安全网。</w:t>
      </w:r>
    </w:p>
    <w:p>
      <w:pPr>
        <w:pStyle w:val="89"/>
        <w:keepNext w:val="0"/>
        <w:keepLines w:val="0"/>
        <w:pageBreakBefore w:val="0"/>
        <w:widowControl w:val="0"/>
        <w:shd w:val="clear" w:color="auto" w:fill="auto"/>
        <w:tabs>
          <w:tab w:val="left" w:pos="1078"/>
        </w:tabs>
        <w:kinsoku/>
        <w:wordWrap/>
        <w:overflowPunct/>
        <w:topLinePunct w:val="0"/>
        <w:autoSpaceDE/>
        <w:autoSpaceDN/>
        <w:bidi w:val="0"/>
        <w:adjustRightInd w:val="0"/>
        <w:snapToGrid/>
        <w:spacing w:before="0" w:after="0" w:line="324" w:lineRule="auto"/>
        <w:ind w:left="0" w:firstLine="420" w:firstLineChars="200"/>
        <w:jc w:val="both"/>
        <w:textAlignment w:val="auto"/>
        <w:rPr>
          <w:b w:val="0"/>
          <w:sz w:val="21"/>
          <w:szCs w:val="21"/>
        </w:rPr>
      </w:pPr>
      <w:r>
        <w:rPr>
          <w:rStyle w:val="91"/>
          <w:rFonts w:hint="eastAsia"/>
          <w:b w:val="0"/>
          <w:bCs w:val="0"/>
          <w:sz w:val="21"/>
          <w:szCs w:val="21"/>
        </w:rPr>
        <w:t>（3）</w:t>
      </w:r>
      <w:r>
        <w:rPr>
          <w:rStyle w:val="91"/>
          <w:b w:val="0"/>
          <w:bCs w:val="0"/>
          <w:sz w:val="21"/>
          <w:szCs w:val="21"/>
        </w:rPr>
        <w:t>四口：井孔口、通道</w:t>
      </w:r>
      <w:r>
        <w:rPr>
          <w:rStyle w:val="91"/>
          <w:rFonts w:hint="eastAsia"/>
          <w:b w:val="0"/>
          <w:bCs w:val="0"/>
          <w:sz w:val="21"/>
          <w:szCs w:val="21"/>
        </w:rPr>
        <w:t>口</w:t>
      </w:r>
      <w:r>
        <w:rPr>
          <w:rStyle w:val="91"/>
          <w:b w:val="0"/>
          <w:bCs w:val="0"/>
          <w:sz w:val="21"/>
          <w:szCs w:val="21"/>
          <w:lang w:bidi="en-US"/>
        </w:rPr>
        <w:t>、</w:t>
      </w:r>
      <w:r>
        <w:rPr>
          <w:rStyle w:val="91"/>
          <w:b w:val="0"/>
          <w:bCs w:val="0"/>
          <w:sz w:val="21"/>
          <w:szCs w:val="21"/>
        </w:rPr>
        <w:t>隧洞门、预留洞口。</w:t>
      </w:r>
    </w:p>
    <w:p>
      <w:pPr>
        <w:pStyle w:val="81"/>
        <w:keepNext w:val="0"/>
        <w:keepLines w:val="0"/>
        <w:pageBreakBefore w:val="0"/>
        <w:widowControl w:val="0"/>
        <w:shd w:val="clear" w:color="auto" w:fill="auto"/>
        <w:tabs>
          <w:tab w:val="left" w:pos="106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（4）</w:t>
      </w:r>
      <w:r>
        <w:rPr>
          <w:sz w:val="21"/>
          <w:szCs w:val="21"/>
        </w:rPr>
        <w:t>五边：沟、坑、槽、池周边；高边坡周边；建筑物临边；作业平台周边；施工设备周边。</w:t>
      </w:r>
    </w:p>
    <w:p>
      <w:pPr>
        <w:pStyle w:val="81"/>
        <w:keepNext w:val="0"/>
        <w:keepLines w:val="0"/>
        <w:pageBreakBefore w:val="0"/>
        <w:widowControl w:val="0"/>
        <w:shd w:val="clear" w:color="auto" w:fill="auto"/>
        <w:tabs>
          <w:tab w:val="left" w:pos="1067"/>
        </w:tabs>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rFonts w:hint="eastAsia"/>
          <w:sz w:val="21"/>
          <w:szCs w:val="21"/>
        </w:rPr>
        <w:t>（5）</w:t>
      </w:r>
      <w:r>
        <w:rPr>
          <w:sz w:val="21"/>
          <w:szCs w:val="21"/>
        </w:rPr>
        <w:t>六防：防洪水（超</w:t>
      </w:r>
      <w:r>
        <w:rPr>
          <w:rStyle w:val="92"/>
          <w:sz w:val="21"/>
          <w:szCs w:val="21"/>
          <w:lang w:eastAsia="zh-CN"/>
        </w:rPr>
        <w:t>标洪水、隧洞涌水、基坑漫水、泥石流</w:t>
      </w:r>
      <w:r>
        <w:rPr>
          <w:sz w:val="21"/>
          <w:szCs w:val="21"/>
        </w:rPr>
        <w:t>）、</w:t>
      </w:r>
      <w:r>
        <w:rPr>
          <w:rStyle w:val="92"/>
          <w:sz w:val="21"/>
          <w:szCs w:val="21"/>
          <w:lang w:eastAsia="zh-CN"/>
        </w:rPr>
        <w:t xml:space="preserve">防触电 </w:t>
      </w:r>
      <w:r>
        <w:rPr>
          <w:rFonts w:hint="eastAsia"/>
          <w:sz w:val="21"/>
          <w:szCs w:val="21"/>
        </w:rPr>
        <w:t>（</w:t>
      </w:r>
      <w:r>
        <w:rPr>
          <w:sz w:val="21"/>
          <w:szCs w:val="21"/>
        </w:rPr>
        <w:t>漏保未装或失效</w:t>
      </w:r>
      <w:r>
        <w:rPr>
          <w:rStyle w:val="92"/>
          <w:sz w:val="21"/>
          <w:szCs w:val="21"/>
          <w:lang w:eastAsia="zh-CN"/>
        </w:rPr>
        <w:t>、电线老化破损、没备故障漏电、私</w:t>
      </w:r>
      <w:r>
        <w:rPr>
          <w:sz w:val="21"/>
          <w:szCs w:val="21"/>
        </w:rPr>
        <w:t>拉乱接）、防坍塌（边坡 坍塌、支撑坍塌、隧洞坍塌</w:t>
      </w:r>
      <w:r>
        <w:rPr>
          <w:rStyle w:val="92"/>
          <w:sz w:val="21"/>
          <w:szCs w:val="21"/>
          <w:lang w:eastAsia="zh-CN"/>
        </w:rPr>
        <w:t>、围堰坍塌</w:t>
      </w:r>
      <w:r>
        <w:rPr>
          <w:sz w:val="21"/>
          <w:szCs w:val="21"/>
        </w:rPr>
        <w:t>）、</w:t>
      </w:r>
      <w:r>
        <w:rPr>
          <w:rStyle w:val="92"/>
          <w:sz w:val="21"/>
          <w:szCs w:val="21"/>
          <w:lang w:eastAsia="zh-CN"/>
        </w:rPr>
        <w:t>防坠落</w:t>
      </w:r>
      <w:r>
        <w:rPr>
          <w:sz w:val="21"/>
          <w:szCs w:val="21"/>
        </w:rPr>
        <w:t>（高空坠落、人员坠落、车 辆坠落）、防碰撞（车辆碰撞、挖机碰撞、吊车碰撞、滚动碰撞）、防中毒（粉 尘中毒、一氧化碳中毒、缺氧、食物中毒）。</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firstLine="420" w:firstLineChars="200"/>
        <w:jc w:val="both"/>
        <w:textAlignment w:val="auto"/>
        <w:rPr>
          <w:sz w:val="21"/>
          <w:szCs w:val="21"/>
        </w:rPr>
      </w:pPr>
      <w:r>
        <w:rPr>
          <w:rStyle w:val="63"/>
          <w:sz w:val="21"/>
          <w:szCs w:val="21"/>
          <w:lang w:eastAsia="zh-CN"/>
        </w:rPr>
        <w:t>3.3.13</w:t>
      </w:r>
      <w:r>
        <w:rPr>
          <w:rStyle w:val="64"/>
          <w:sz w:val="21"/>
          <w:szCs w:val="21"/>
        </w:rPr>
        <w:t>施工安全监测</w:t>
      </w:r>
    </w:p>
    <w:p>
      <w:pPr>
        <w:pStyle w:val="81"/>
        <w:keepNext w:val="0"/>
        <w:keepLines w:val="0"/>
        <w:pageBreakBefore w:val="0"/>
        <w:widowControl w:val="0"/>
        <w:shd w:val="clear" w:color="auto" w:fill="auto"/>
        <w:kinsoku/>
        <w:wordWrap/>
        <w:overflowPunct/>
        <w:topLinePunct w:val="0"/>
        <w:autoSpaceDE/>
        <w:autoSpaceDN/>
        <w:bidi w:val="0"/>
        <w:adjustRightInd w:val="0"/>
        <w:snapToGrid/>
        <w:spacing w:line="324" w:lineRule="auto"/>
        <w:ind w:left="0" w:firstLine="420" w:firstLineChars="200"/>
        <w:jc w:val="both"/>
        <w:textAlignment w:val="auto"/>
        <w:rPr>
          <w:sz w:val="21"/>
          <w:szCs w:val="21"/>
        </w:rPr>
      </w:pPr>
      <w:r>
        <w:rPr>
          <w:sz w:val="21"/>
          <w:szCs w:val="21"/>
        </w:rPr>
        <w:t>有关施工期的安全监测详见本技术条款第25章。</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79" w:name="_Toc5373"/>
      <w:r>
        <w:rPr>
          <w:rFonts w:hint="eastAsia" w:ascii="宋体" w:hAnsi="宋体" w:eastAsia="宋体" w:cs="宋体"/>
          <w:sz w:val="21"/>
          <w:szCs w:val="21"/>
        </w:rPr>
        <w:t>3.4应急救援措施</w:t>
      </w:r>
      <w:bookmarkEnd w:id="79"/>
    </w:p>
    <w:p>
      <w:pPr>
        <w:pStyle w:val="79"/>
        <w:keepNext w:val="0"/>
        <w:keepLines w:val="0"/>
        <w:pageBreakBefore w:val="0"/>
        <w:widowControl w:val="0"/>
        <w:shd w:val="clear" w:color="auto" w:fill="auto"/>
        <w:kinsoku/>
        <w:wordWrap/>
        <w:overflowPunct/>
        <w:topLinePunct w:val="0"/>
        <w:autoSpaceDE/>
        <w:autoSpaceDN/>
        <w:bidi w:val="0"/>
        <w:adjustRightInd w:val="0"/>
        <w:snapToGrid/>
        <w:spacing w:after="0" w:line="324" w:lineRule="auto"/>
        <w:ind w:firstLine="420" w:firstLineChars="200"/>
        <w:jc w:val="both"/>
        <w:textAlignment w:val="auto"/>
        <w:rPr>
          <w:sz w:val="21"/>
          <w:szCs w:val="21"/>
        </w:rPr>
      </w:pPr>
      <w:r>
        <w:rPr>
          <w:rStyle w:val="72"/>
          <w:rFonts w:ascii="宋体" w:hAnsi="宋体" w:eastAsia="宋体"/>
          <w:sz w:val="21"/>
          <w:szCs w:val="21"/>
          <w:lang w:eastAsia="zh-CN"/>
        </w:rPr>
        <w:t>3.4.1事故</w:t>
      </w:r>
      <w:r>
        <w:rPr>
          <w:sz w:val="21"/>
          <w:szCs w:val="21"/>
        </w:rPr>
        <w:t>应急救援预案</w:t>
      </w:r>
    </w:p>
    <w:p>
      <w:pPr>
        <w:pStyle w:val="81"/>
        <w:keepNext w:val="0"/>
        <w:keepLines w:val="0"/>
        <w:pageBreakBefore w:val="0"/>
        <w:widowControl w:val="0"/>
        <w:numPr>
          <w:ilvl w:val="0"/>
          <w:numId w:val="0"/>
        </w:numPr>
        <w:shd w:val="clear" w:color="auto" w:fill="auto"/>
        <w:tabs>
          <w:tab w:val="left" w:pos="1059"/>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sz w:val="21"/>
          <w:szCs w:val="21"/>
        </w:rPr>
        <w:t>承包人应制定生产安全事故的应急救援预案，应急救援预案应能随时紧急调动救援人员，救援专职人员应定期组织应急预案的演练。</w:t>
      </w:r>
    </w:p>
    <w:p>
      <w:pPr>
        <w:pStyle w:val="81"/>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sz w:val="21"/>
          <w:szCs w:val="21"/>
        </w:rPr>
        <w:t>发生事故后，承包人应按应急救援要求，配备必需的应急救援器材和设备，并及时将应急救援的措施报告提交监理人。</w:t>
      </w:r>
    </w:p>
    <w:p>
      <w:pPr>
        <w:pStyle w:val="81"/>
        <w:keepNext w:val="0"/>
        <w:keepLines w:val="0"/>
        <w:pageBreakBefore w:val="0"/>
        <w:widowControl w:val="0"/>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Style w:val="63"/>
          <w:sz w:val="21"/>
          <w:szCs w:val="21"/>
        </w:rPr>
        <w:t>3.4.2伤亡事故处理</w:t>
      </w:r>
    </w:p>
    <w:p>
      <w:pPr>
        <w:pStyle w:val="81"/>
        <w:keepNext w:val="0"/>
        <w:keepLines w:val="0"/>
        <w:pageBreakBefore w:val="0"/>
        <w:widowControl w:val="0"/>
        <w:numPr>
          <w:ilvl w:val="0"/>
          <w:numId w:val="0"/>
        </w:numPr>
        <w:shd w:val="clear" w:color="auto" w:fill="auto"/>
        <w:tabs>
          <w:tab w:val="left" w:pos="1075"/>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sz w:val="21"/>
          <w:szCs w:val="21"/>
        </w:rPr>
        <w:t>施工过程中，若发生施工生产人员或第三者人员的伤亡事故时，承包人应按本合同通用合同条款第</w:t>
      </w:r>
      <w:r>
        <w:rPr>
          <w:rStyle w:val="93"/>
          <w:sz w:val="21"/>
          <w:szCs w:val="21"/>
          <w:lang w:eastAsia="en-US" w:bidi="en-US"/>
        </w:rPr>
        <w:t>9.</w:t>
      </w:r>
      <w:r>
        <w:rPr>
          <w:rStyle w:val="93"/>
          <w:sz w:val="21"/>
          <w:szCs w:val="21"/>
        </w:rPr>
        <w:t>5</w:t>
      </w:r>
      <w:r>
        <w:rPr>
          <w:sz w:val="21"/>
          <w:szCs w:val="21"/>
        </w:rPr>
        <w:t>款的约定，及时进行处理，并立即报告监理人。</w:t>
      </w:r>
    </w:p>
    <w:p>
      <w:pPr>
        <w:pStyle w:val="81"/>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sz w:val="21"/>
          <w:szCs w:val="21"/>
        </w:rPr>
        <w:t>发生重大伤亡或特大事故时，承包人必须保护事故现场，立即报告发包人和当地政府的安全管理部门，并在当地政府的支持和协助下，按国家有关 规定妥善处理好事故。</w:t>
      </w:r>
    </w:p>
    <w:p>
      <w:pPr>
        <w:pStyle w:val="81"/>
        <w:keepNext w:val="0"/>
        <w:keepLines w:val="0"/>
        <w:pageBreakBefore w:val="0"/>
        <w:widowControl w:val="0"/>
        <w:numPr>
          <w:ilvl w:val="0"/>
          <w:numId w:val="0"/>
        </w:numPr>
        <w:shd w:val="clear" w:color="auto" w:fill="auto"/>
        <w:tabs>
          <w:tab w:val="left" w:pos="1106"/>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sz w:val="21"/>
          <w:szCs w:val="21"/>
        </w:rPr>
        <w:t>事故处理结案后，承包人应向公众张榜告示处理事故结果。</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firstLine="420" w:firstLineChars="200"/>
        <w:jc w:val="both"/>
        <w:textAlignment w:val="auto"/>
        <w:rPr>
          <w:sz w:val="21"/>
          <w:szCs w:val="21"/>
        </w:rPr>
      </w:pPr>
      <w:r>
        <w:rPr>
          <w:rStyle w:val="63"/>
          <w:sz w:val="21"/>
          <w:szCs w:val="21"/>
        </w:rPr>
        <w:t>3.4.3预防自然灾害措施</w:t>
      </w:r>
    </w:p>
    <w:p>
      <w:pPr>
        <w:pStyle w:val="81"/>
        <w:keepNext w:val="0"/>
        <w:keepLines w:val="0"/>
        <w:pageBreakBefore w:val="0"/>
        <w:widowControl w:val="0"/>
        <w:numPr>
          <w:ilvl w:val="0"/>
          <w:numId w:val="6"/>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sz w:val="21"/>
          <w:szCs w:val="21"/>
        </w:rPr>
        <w:t>施工期间一旦发生洪水、或可能危及人身财产安全事故的预兆时，承包人应立即采取有效的防灾措施，确保工程人员和财产的安全。</w:t>
      </w:r>
    </w:p>
    <w:p>
      <w:pPr>
        <w:pStyle w:val="81"/>
        <w:keepNext w:val="0"/>
        <w:keepLines w:val="0"/>
        <w:pageBreakBefore w:val="0"/>
        <w:widowControl w:val="0"/>
        <w:numPr>
          <w:ilvl w:val="0"/>
          <w:numId w:val="6"/>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sz w:val="21"/>
          <w:szCs w:val="21"/>
        </w:rPr>
        <w:t>—旦发生安全事故，承包人应立即按其安全职责分工，组织人员、设 备和物资，尽快制止事故发展，及时消除隐患，划定警戒范围，并在最短时间内组织好人员、车辆和设备的疏散，避免冉次发牛人员伤亡和财产损失。</w:t>
      </w:r>
    </w:p>
    <w:p>
      <w:pPr>
        <w:pStyle w:val="81"/>
        <w:keepNext w:val="0"/>
        <w:keepLines w:val="0"/>
        <w:pageBreakBefore w:val="0"/>
        <w:widowControl w:val="0"/>
        <w:numPr>
          <w:ilvl w:val="0"/>
          <w:numId w:val="6"/>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sz w:val="21"/>
          <w:szCs w:val="21"/>
        </w:rPr>
        <w:t>承包人应保护好事故现场，为事故调査分析提供直接证据，做好现场 标志和书面记录，绘制现场筒图，并妥善保存观场重要痕迹、物证，必要时应对事故现场和伤亡情况进行录像或拍照，待事故调査部门有明确指令后，才能 清除事故现场。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ascii="宋体" w:hAnsi="宋体"/>
          <w:szCs w:val="21"/>
        </w:rPr>
      </w:pPr>
      <w:r>
        <w:rPr>
          <w:rStyle w:val="72"/>
          <w:rFonts w:ascii="宋体" w:hAnsi="宋体" w:eastAsia="宋体"/>
          <w:sz w:val="21"/>
          <w:szCs w:val="21"/>
        </w:rPr>
        <w:t>3.5</w:t>
      </w:r>
      <w:r>
        <w:rPr>
          <w:rStyle w:val="56"/>
          <w:sz w:val="21"/>
          <w:szCs w:val="21"/>
        </w:rPr>
        <w:t>计量和支付</w:t>
      </w:r>
    </w:p>
    <w:p>
      <w:pPr>
        <w:pStyle w:val="81"/>
        <w:keepNext w:val="0"/>
        <w:keepLines w:val="0"/>
        <w:pageBreakBefore w:val="0"/>
        <w:widowControl w:val="0"/>
        <w:numPr>
          <w:ilvl w:val="0"/>
          <w:numId w:val="7"/>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sz w:val="21"/>
          <w:szCs w:val="21"/>
        </w:rPr>
      </w:pPr>
      <w:r>
        <w:rPr>
          <w:sz w:val="21"/>
          <w:szCs w:val="21"/>
        </w:rPr>
        <w:t>安全施工费的使用按</w:t>
      </w:r>
      <w:r>
        <w:rPr>
          <w:rStyle w:val="72"/>
          <w:rFonts w:hint="eastAsia" w:ascii="宋体" w:hAnsi="宋体" w:eastAsia="宋体"/>
          <w:sz w:val="21"/>
          <w:szCs w:val="21"/>
          <w:lang w:eastAsia="zh-CN"/>
        </w:rPr>
        <w:t>国</w:t>
      </w:r>
      <w:r>
        <w:rPr>
          <w:sz w:val="21"/>
          <w:szCs w:val="21"/>
        </w:rPr>
        <w:t>家和浙江省有关规定执行，承包人应提出具体实施方案和预算，经监理审核，发包人批准后按方案实施进度进行支付。</w:t>
      </w:r>
    </w:p>
    <w:p>
      <w:pPr>
        <w:pStyle w:val="81"/>
        <w:keepNext w:val="0"/>
        <w:keepLines w:val="0"/>
        <w:pageBreakBefore w:val="0"/>
        <w:widowControl w:val="0"/>
        <w:numPr>
          <w:ilvl w:val="0"/>
          <w:numId w:val="7"/>
        </w:numPr>
        <w:shd w:val="clear" w:color="auto" w:fill="auto"/>
        <w:tabs>
          <w:tab w:val="left" w:pos="1067"/>
        </w:tabs>
        <w:kinsoku/>
        <w:wordWrap/>
        <w:overflowPunct/>
        <w:topLinePunct w:val="0"/>
        <w:autoSpaceDE/>
        <w:autoSpaceDN/>
        <w:bidi w:val="0"/>
        <w:adjustRightInd w:val="0"/>
        <w:snapToGrid/>
        <w:spacing w:line="324" w:lineRule="auto"/>
        <w:ind w:firstLine="420" w:firstLineChars="200"/>
        <w:jc w:val="both"/>
        <w:textAlignment w:val="auto"/>
        <w:rPr>
          <w:rFonts w:ascii="宋体" w:hAnsi="宋体" w:eastAsia="宋体" w:cs="Times New Roman"/>
          <w:b/>
          <w:bCs/>
          <w:color w:val="000000"/>
          <w:kern w:val="0"/>
          <w:sz w:val="21"/>
          <w:szCs w:val="21"/>
          <w:lang w:val="en-US" w:eastAsia="zh-CN" w:bidi="ar-SA"/>
        </w:rPr>
      </w:pPr>
      <w:r>
        <w:rPr>
          <w:sz w:val="21"/>
          <w:szCs w:val="21"/>
        </w:rPr>
        <w:t>承包人根据合同要求完成文明施工工作所需的费用，包含在《工程量清单》“文明标化工地建设费”项目的单价或总价中，发包人不另行支付。</w:t>
      </w:r>
    </w:p>
    <w:p>
      <w:pPr>
        <w:pStyle w:val="81"/>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jc w:val="center"/>
        <w:textAlignment w:val="auto"/>
        <w:rPr>
          <w:rFonts w:ascii="宋体" w:hAnsi="宋体" w:eastAsia="宋体" w:cs="Times New Roman"/>
          <w:b/>
          <w:bCs/>
          <w:color w:val="000000"/>
          <w:kern w:val="0"/>
          <w:sz w:val="21"/>
          <w:szCs w:val="21"/>
          <w:lang w:val="en-US" w:eastAsia="zh-CN" w:bidi="ar-SA"/>
        </w:rPr>
      </w:pPr>
      <w:r>
        <w:rPr>
          <w:color w:val="0000FF"/>
        </w:rPr>
        <w:br w:type="page"/>
      </w:r>
      <w:bookmarkStart w:id="80" w:name="_Toc32708"/>
      <w:bookmarkStart w:id="81" w:name="_Toc14216"/>
      <w:bookmarkStart w:id="82" w:name="_Toc1012"/>
      <w:r>
        <w:rPr>
          <w:rFonts w:ascii="宋体" w:hAnsi="宋体" w:eastAsia="宋体" w:cs="Times New Roman"/>
          <w:b/>
          <w:bCs/>
          <w:color w:val="000000"/>
          <w:kern w:val="0"/>
          <w:sz w:val="21"/>
          <w:szCs w:val="21"/>
          <w:lang w:val="en-US" w:eastAsia="zh-CN" w:bidi="ar-SA"/>
        </w:rPr>
        <w:t>第4</w:t>
      </w:r>
      <w:r>
        <w:rPr>
          <w:rFonts w:hint="eastAsia" w:ascii="宋体" w:hAnsi="宋体" w:eastAsia="宋体" w:cs="Times New Roman"/>
          <w:b/>
          <w:bCs/>
          <w:color w:val="000000"/>
          <w:kern w:val="0"/>
          <w:sz w:val="21"/>
          <w:szCs w:val="21"/>
          <w:lang w:val="en-US" w:eastAsia="zh-CN" w:bidi="ar-SA"/>
        </w:rPr>
        <w:t>节</w:t>
      </w:r>
      <w:r>
        <w:rPr>
          <w:rFonts w:ascii="宋体" w:hAnsi="宋体" w:eastAsia="宋体" w:cs="Times New Roman"/>
          <w:b/>
          <w:bCs/>
          <w:color w:val="000000"/>
          <w:kern w:val="0"/>
          <w:sz w:val="21"/>
          <w:szCs w:val="21"/>
          <w:lang w:val="en-US" w:eastAsia="zh-CN" w:bidi="ar-SA"/>
        </w:rPr>
        <w:t>环境保护和水土保持</w:t>
      </w:r>
      <w:bookmarkEnd w:id="80"/>
      <w:bookmarkEnd w:id="81"/>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3" w:name="_Toc15295"/>
      <w:r>
        <w:rPr>
          <w:rFonts w:hint="eastAsia" w:ascii="宋体" w:hAnsi="宋体" w:eastAsia="宋体" w:cs="宋体"/>
          <w:sz w:val="21"/>
          <w:szCs w:val="21"/>
        </w:rPr>
        <w:t>4.1一般规定</w:t>
      </w:r>
      <w:bookmarkEnd w:id="83"/>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4.1.1应用范围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本章规定适用于本工程施工期的生产、生活区环境保护和水土保持的有关工作，其主要工作范围和内容包括：生活、生产污水废水处理，大气环境和声 环境保护、固体废弃物处理、疾病预防、疫情控制、环境风险应急措施、水土 保持、完工后的场地清理、农田复耕与植被恢复等。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4.1.2承包人责任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（1）承包人必须遵守有关环境保护和水土保持的法律、法规和规章，并按照本合同技术条款的有关规定，做好施工区及生活区的环境保护与水土保持工作。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对本合同划定的施工场地界线附近的树木和植被必须尽力加以保护。承包人不得让有害物质（如燃料、油料、化学品、酸等，以及超过剂量的有害气体和尘埃、污水、泥土或水、弃渣等），污染施工场地及场地以外的土地和河川。</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承包人应按合同约定和监理人指示，接受国家和地方环境保护与水行政主管部门的监督和检查。承包人应对其违反上述法律、法规和规章以及本合同规定所造成的环境污染、水土流失、人员伤害和财产损失等承担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4.1.3主要提交件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lang w:eastAsia="zh-CN"/>
        </w:rPr>
        <w:t>（</w:t>
      </w:r>
      <w:r>
        <w:rPr>
          <w:rFonts w:hint="eastAsia" w:ascii="宋体" w:hAnsi="宋体" w:eastAsia="宋体" w:cs="宋体"/>
          <w:kern w:val="0"/>
          <w:szCs w:val="20"/>
        </w:rPr>
        <w:t>1）环境保护及水土保持措施计划：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承包人在提交施工总布置设计文件的问时，提交木合同施工期的环境保护和水土保持措施计划，提交监理人批准，其内容包括：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1）承包人生活区的生活废水和生活污水处理措施。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2）承包人对生活垃圾、粪便处理措施。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3）办公、生活场所清洁措施。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4）施工生产废水（如基坑废水、混凝土生产系统废水、砂石料加工系统废水、机修废水等）处理措施。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5）施工区扬尘、粉尘、废气的处理措施。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6）施工区强光、噪声控制措施。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7）固体废弃物处理措施。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8）人群健康保护措施。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9）本工程存料场、弃渣场的挡护工程、坡面保护工程和排水工程。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10）环境风险应急措施。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11）施工辅助生产区（如混凝土系统、砂石加工系统的生产区及加工场等）、工程枢纽施工区、施工生活营地等所有场地周边的截、排水措施，开挖 边坡支护措施、挡护建筑物的排水措施等。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12）施工区边坡工程的水土保护措施。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13）完工后场地清理及农田复耕和植被恢复措施。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lang w:eastAsia="zh-CN"/>
        </w:rPr>
        <w:t>（</w:t>
      </w:r>
      <w:r>
        <w:rPr>
          <w:rFonts w:hint="eastAsia" w:ascii="宋体" w:hAnsi="宋体" w:eastAsia="宋体" w:cs="宋体"/>
          <w:kern w:val="0"/>
          <w:szCs w:val="20"/>
        </w:rPr>
        <w:t>2）承包人应按监理人指示，在工程开工后</w:t>
      </w:r>
      <w:r>
        <w:rPr>
          <w:rFonts w:hint="eastAsia" w:ascii="宋体" w:hAnsi="宋体" w:eastAsia="宋体" w:cs="宋体"/>
          <w:kern w:val="0"/>
          <w:szCs w:val="20"/>
          <w:u w:val="single"/>
          <w:lang w:val="en-US" w:eastAsia="zh-CN"/>
        </w:rPr>
        <w:t xml:space="preserve">   </w:t>
      </w:r>
      <w:r>
        <w:rPr>
          <w:rFonts w:hint="eastAsia" w:ascii="宋体" w:hAnsi="宋体" w:eastAsia="宋体" w:cs="宋体"/>
          <w:kern w:val="0"/>
          <w:szCs w:val="20"/>
        </w:rPr>
        <w:t>天内，将污水、废水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处理系统的设计与施工计划以及维护系统的运行措施等生产废水处理的专项报 告提交监理人批准。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lang w:eastAsia="zh-CN"/>
        </w:rPr>
        <w:t>（</w:t>
      </w:r>
      <w:r>
        <w:rPr>
          <w:rFonts w:hint="eastAsia" w:ascii="宋体" w:hAnsi="宋体" w:eastAsia="宋体" w:cs="宋体"/>
          <w:kern w:val="0"/>
          <w:szCs w:val="20"/>
        </w:rPr>
        <w:t>3）验收报告和资料：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1）环境保护措施质量检查及验收报告。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2）水土保持措施的质量检查及验收报告。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3）监理人要求提供的其他资料。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4.1.4引用的法律法规</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（1）《中华人民共和国水法》；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（2）《中华人民共和国水污染防治法实施细则》；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（3）《中华人民共和国大气污染防治法》；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（4）《建设项目环境保护管理条例》；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（5）《中华人民共和国环境噪声污染防治法》；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（6）《中华人民共和国水污染防治法》；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（7）《中华人民共和国固体废弃物污染环境防治法》；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（8）《中华人民共和国水土保持法》；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（9）《中华人民共和国环境保护法》；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（10）《水利工程建设项目验收管理规定》（水利部第30号令）。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4.1.5引用标准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（1）《生活饮用水卫生标准》（GB 5749—2006）。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（2）《地表水环境质量标准》（GB 3838—2002）。</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（3）《环境空气质量标准》（GB 3095—2012）。</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（4）《污水综合排放标准》（GB 8978—1996）。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（5）《大气污染物综合排放标准》（GB 16297—1996）。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（6）《建筑施工场界环境噪声排放标准》（GB 12523—2011）。</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（7）《水利水电工程施工通用安全技术规程》（SL 398—20</w:t>
      </w:r>
      <w:r>
        <w:rPr>
          <w:rFonts w:hint="eastAsia" w:ascii="宋体" w:hAnsi="宋体" w:eastAsia="宋体" w:cs="宋体"/>
          <w:kern w:val="0"/>
          <w:szCs w:val="20"/>
          <w:lang w:val="en-US" w:eastAsia="zh-CN"/>
        </w:rPr>
        <w:t>0</w:t>
      </w:r>
      <w:r>
        <w:rPr>
          <w:rFonts w:hint="eastAsia" w:ascii="宋体" w:hAnsi="宋体" w:eastAsia="宋体" w:cs="宋体"/>
          <w:kern w:val="0"/>
          <w:szCs w:val="20"/>
        </w:rPr>
        <w:t>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（8）《水土保持监测技术规程》（SL 277—2002）。</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（9）《水环境监测规范》（SL 219—2013）。</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（10）《生活垃圾卫生填埋处理技术规范》（GB 50869—2013）。</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kern w:val="0"/>
          <w:szCs w:val="20"/>
        </w:rPr>
      </w:pPr>
      <w:r>
        <w:rPr>
          <w:rFonts w:hint="eastAsia" w:ascii="宋体" w:hAnsi="宋体" w:eastAsia="宋体" w:cs="宋体"/>
          <w:kern w:val="0"/>
          <w:szCs w:val="20"/>
        </w:rPr>
        <w:t>（11）《水土保持综合治理验收规范》（GB/T 15773—2008）。</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4" w:name="_Toc31365"/>
      <w:r>
        <w:rPr>
          <w:rFonts w:hint="eastAsia" w:ascii="宋体" w:hAnsi="宋体" w:eastAsia="宋体" w:cs="宋体"/>
          <w:sz w:val="21"/>
          <w:szCs w:val="21"/>
        </w:rPr>
        <w:t>4.2施工环境保护</w:t>
      </w:r>
      <w:bookmarkEnd w:id="84"/>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4.2.1生活供水及生活废水处理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（1）饮用水水质应符合《生活饮用水卫生标准》（GB5749-2006）的规定。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（2）处理后的废水水质应符合受纳水体环境功能区规划规定的排放要求，或应遵守《污水综合排放标准》（GB8978-1996）的规定，不得将未处理的生活污水直接或间接排入河流水体中，或造成生活供水系统的污染。</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4.2.2生产废水处理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基坑排水的排放口位置尽可能设置在靠近河流中的流速较大处，以尽量满足水质保护要求。基坑的经常性排水，应在基坑排水末端设沉淀池，排水量视沉淀池水的浑浊程度而定，做到蓄浑排清。尽量控制水体pH值接近中性时排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（2）砂石料开采加工、混凝土生产及其它辅助生产系统等的废水处理应实行雨污分流，建立完善的废水处理系统，将各生产系统经常性排放的废水统一收集处理。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（3）废水处理系统排出的污泥需进行必要的脱水（或沉淀）处理后，运至指定的弃渣场堆存。防止污泥进入排水系统或排入河道。</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（4）机修及汽修系统的废水收集、处理系统应建立专用的废水收集管道，对含油较高的机修废水应选用成套油水分离设备进行油水分离，不得任意设置未经处理的废水排污口。</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（5）混凝土浇筑面的冲洗、冲毛废水，以及灌浆工作面冲洗岩粉的污水和废弃浆液应由专设的沟道集中排放，严禁污水漫流。</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4.2.3施工区粉尘控制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（1）承包人应根据施工设备类型和施工方法制定除尘实施细则，提交监理人批准。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（2）施工过程中，承包人应会同监理人根据批准的除尘实施细则，随时进行除尘措施的检查和检测。检查和检测记录应提交监理人。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（3）施工期间，承包人应根据工程所在区域环境空气功能区划要求，保证施工场界及敏感受体附近空气中允许粉尘浓度限值控制在《水利水电工程施工通用安全技术规程》SL398-2007表3.4.2规定范围内。</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（4）承包人制定的除尘措施，应遵守《水利水电工程施工通用安全技术规程》SL398-2007第3.4.3条的有关规定外，还应做到：</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1）施工期间，除尘设备应与生产设备同时运行，并保持良好运行状态；</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2）选用低尘工艺，钻孔要安装除尘装置；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3）混凝土系统配置除尘装置，及时更换和修理无法运行的除尘设备；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4）承包人不得任意安装和使用对空气可能产生污染的锅炉、炉具，以及使用易产生烟尘或其它空气污染物的燃料；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5）散装水泥、粉煤灰、磷矿渣粉应由封闭系统从罐车卸载到储存罐，所有出口应配有袋式过滤器；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6）承包人应经常清扫施工场地和道路，向多尘工地和路面充分洒水；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7）施工场地内应限制卡车、推土机等的车速以减少扬尘；运输可能产生粉尘物料的敞篷运输车，其车厢两侧及尾部均应配备挡板。运输粉尘物料应用干净的雨布加以遮盖；</w:t>
      </w:r>
    </w:p>
    <w:p>
      <w:pPr>
        <w:pStyle w:val="21"/>
        <w:keepNext w:val="0"/>
        <w:keepLines w:val="0"/>
        <w:pageBreakBefore w:val="0"/>
        <w:widowControl w:val="0"/>
        <w:tabs>
          <w:tab w:val="left" w:pos="482"/>
          <w:tab w:val="left" w:pos="2183"/>
          <w:tab w:val="left" w:pos="3884"/>
          <w:tab w:val="left" w:pos="5585"/>
        </w:tabs>
        <w:kinsoku/>
        <w:wordWrap/>
        <w:overflowPunct/>
        <w:topLinePunct w:val="0"/>
        <w:autoSpaceDE/>
        <w:autoSpaceDN/>
        <w:bidi w:val="0"/>
        <w:adjustRightInd w:val="0"/>
        <w:snapToGrid/>
        <w:spacing w:after="0" w:line="324"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8）洞内施工的液压钻、潜孔钻等应设有收尘装置，钻进不起尘，地下洞 室的钻进工作面应设置有效的通风排烟设施，保证洞内空气流通。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4.2.4施工区噪声污染控制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（1）施工过程中，承包人应会同监理人根据批准的降低噪声的措施，对施工场地进行噪声的检查和监测，检查和监测记录应提交监理人。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（2）施工期间，承包人应按SL398-2007第3.4.4条的规定，控制生产车间和作业场所地点噪声级卫生限值。</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（3）生活区噪声声级的限值应遵守《水利水电工程施工通用安全技术规程》SL398-2007表3.2.8的规定。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4.2.5固体废弃物处理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（1）承包人应负责对其施工场地以及生活区范围内的生产和生活垃圾进行清运填埋，并应设置必要的生活卫生设施，及时清扫生活垃圾，统一运至指定地点。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（2）生产垃圾中的金属类废品，应由承包人负责回收利用。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（3）承包人应按指定的渣场弃渣，弃渣场应采取碾压、挡护或绿化等措施进行处理。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（4）对施工中难以避免滑入河道的渣土、因施工造成的场地塌滑与泥沙漫流等问题，应根据监理人指示和地方环境保护部门要求，采取合理措施进行处理。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（5）废弃混凝土应运至专设的弃料场，不得在施工场地内任意弃置。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4.2.6有毒有害物质和危险品的管理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kern w:val="0"/>
          <w:szCs w:val="20"/>
        </w:rPr>
      </w:pPr>
      <w:r>
        <w:rPr>
          <w:rFonts w:hint="eastAsia" w:ascii="宋体" w:hAnsi="宋体" w:eastAsia="宋体" w:cs="宋体"/>
          <w:kern w:val="0"/>
          <w:szCs w:val="20"/>
        </w:rPr>
        <w:t>有毒有害物质和危险品的管理应遵守《水利水电工程安全施工通用安全技术规程》SL398-2007第11.3.1条、第11.3.2条的规定。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5" w:name="_Toc28449"/>
      <w:r>
        <w:rPr>
          <w:rFonts w:hint="eastAsia" w:ascii="宋体" w:hAnsi="宋体" w:eastAsia="宋体" w:cs="宋体"/>
          <w:sz w:val="21"/>
          <w:szCs w:val="21"/>
        </w:rPr>
        <w:t>4.3生态环境保护</w:t>
      </w:r>
      <w:bookmarkEnd w:id="85"/>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4.3.1陆生动植物及资源保护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（1）承包人因工程施工需要在施工场地范围内进行砍树、清除表土和草皮时，必须按环境保护主管部门和监理人批准的环境保护规划要求进行。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（2）承包人在施工场地内发现国家保护级的鸟巢、受保护动物和巢穴，应按国家的有关规定妥善保护。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（3）承包人在施工区附近的水域，发现受保护的鱼类应立即报告监理人，并按国家有关规定处理。严禁在施工区以外的保护林区捕猎野生动物。</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4.3.2景观与视觉保护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（1）施工期间，承包人应负责保护好施工场地附近的风景区、自然保护区及温泉等的景观免受工程施工的影响。</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（2）承包人应做好生活营地周围的绿化和美化工作，保护生态，改善生活环境。修建的各项临时设施应尽可能与周围环境协调。</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6" w:name="_Toc1265"/>
      <w:r>
        <w:rPr>
          <w:rFonts w:hint="eastAsia" w:ascii="宋体" w:hAnsi="宋体" w:eastAsia="宋体" w:cs="宋体"/>
          <w:sz w:val="21"/>
          <w:szCs w:val="21"/>
        </w:rPr>
        <w:t>4.4水土保持</w:t>
      </w:r>
      <w:bookmarkEnd w:id="86"/>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4.4.1执行水土保持措施计划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承包人应按监理人批准的水土保持措施计划，负责实施本合同责任范围内（包括施工开挖的场地、生活区、施工道路和渣场等）的水土保持措施，并在工程结束后，按合同要求进行场地清理和整治。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4.4.2做好水土保持工程措施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（1）承包人应做好场内道路上下边坡水土流失的防治工程措施；施工场地应设置完善的排水系统，防止降雨径流对施工场地和渣场的冲刷。</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（2）承包人应按监理人批准的水土保持工程措施，做好料场、渣场的挡护、排水等工程措施和植物种植保护措施，并负责料场和渣场施工期的维护管理工作。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（3）承包人应选择不易受径流冲刷侵蚀的场地堆放开挖料和弃渣，并在其堆放场地周边修建临时排水沟引排周边汇水。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（4）承包人应保护施工场地周边的林草和水土保持设施（包括水库、渠、塘坝、梯田和拦渣坝等），避免或减少由于施工造成的水土流失。</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7" w:name="_Toc5447"/>
      <w:r>
        <w:rPr>
          <w:rFonts w:hint="eastAsia" w:ascii="宋体" w:hAnsi="宋体" w:eastAsia="宋体" w:cs="宋体"/>
          <w:sz w:val="21"/>
          <w:szCs w:val="21"/>
        </w:rPr>
        <w:t>4.5环境清理</w:t>
      </w:r>
      <w:bookmarkEnd w:id="87"/>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4.5.1环境清理措施计划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承包人应按监理人指示，在工程基本完工后，制定一份环境清理措施计划，提交监理人批准，其内容应包括：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（1）环境清理范围（包括本合同施工场地及施工场地以外遭受施工损坏的地区）；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（2）环境保护辅助工程设施；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（3）植被种植措施。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4.5.2环境清理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（1）在每一施工作业区施工结束后，承包人应及时拆除各种临时建筑结构和各种临时设施（包括已废弃的沉淀池和临时挡洪设施等）。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（2）完工后，承包人应按计划将所有材料和设备撤离现场，工地范围内废弃的材料、设备及其它生产垃圾应按环境规划要求和（或）监理人指示的方式处理。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（3）对防治范围内的排水沟道、挡护措施等永久性水土保持设施，应在撤离前进行疏通和修整。按合同要求拆除和撤离的其它设施和结构应及时清理出场。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（4）承包人应有责任保证其种植的林草按SL277-2002第7.2.2条第2款规定的“林草恢复期”内成活。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（5）占用耕地的料场，应在开采前将剥离的耕植土妥善堆存保管，完工后将其返还摊铺，还田复耕。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8" w:name="_Toc10468"/>
      <w:r>
        <w:rPr>
          <w:rFonts w:hint="eastAsia" w:ascii="宋体" w:hAnsi="宋体" w:eastAsia="宋体" w:cs="宋体"/>
          <w:sz w:val="21"/>
          <w:szCs w:val="21"/>
        </w:rPr>
        <w:t>4.6环境保护工程的验收</w:t>
      </w:r>
      <w:bookmarkEnd w:id="88"/>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4.6.1施工期环境保护临时设施的检查和验收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各项施工期环境保护临时设施投入使用前，应由监理人会同环保部门代表与承包人共同进行环境保护临时设施的质量检查和验收。承包人应为上述检查和验收提供以下资料：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（1）监理人批准的“环境保护及水土保持工程”的施工措施计划；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（2）各项环境保护临时设施布置图；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（3）施工质量检查记录；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（4）生活和生产供水水质、污水和废水处理水质，以及固体废弃物处理效果等的检验和实测资料。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4.6.2环境保护和水土保持工程的质量检查和验收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本章第4.2~4.5节所涉及的本工程环境保护和水土保持设施，包括为环境清理修建的永久性设施，均应由监理人会同环境保护部门代表与承包人共同按国家的环境保护法规和本合同技术条款的有关规定进行质量检查和验收。承包人应为上述永久性环境保护设施的检查和验收提供以下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（1）永久性环境保护工程和设施的各项工程布置图；</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（2）永久性环境保护工程和设施的工程质量检查验收记录；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（3）植被种植计划的完成情况和检查验收记录；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（4）“林草恢复期”内，各区植被的维护管理措施。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4.6.3永久性环境保护工程的完工验收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上述条款所列的全部永久性环境保护和水土保持设施项目验收合格后，承包人应按监理人的指示，向发包人提交要求对全部永久性环境保护工程和设施进行完工验收的申请报告。经发包人同意后，由监理人会同承包人和环境保护部门代表共同进行完工验收。承包人应为永久性环境保护工程的完工验收提供以下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（1）各项永久性环境保护工程的竣工图及其有关的竣工资料；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（2）各项永久性环境保护工程的质量检查记录和质量鉴定成果；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 xml:space="preserve"> （3）监理人要求提交的其它完工验收资料。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89" w:name="_Toc12898"/>
      <w:r>
        <w:rPr>
          <w:rFonts w:hint="eastAsia" w:ascii="宋体" w:hAnsi="宋体" w:eastAsia="宋体" w:cs="宋体"/>
          <w:sz w:val="21"/>
          <w:szCs w:val="21"/>
        </w:rPr>
        <w:t>4.7计量和支付</w:t>
      </w:r>
      <w:bookmarkEnd w:id="89"/>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（1）承包人按本章要求进行的，施工现场为达到环境保护部门要求的各项施工环境保护费，包含在《工程量清单》相应项目的工程单价或总价中。</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（2）河床基坑的废水处理费用，由发包人按《工程量清单》相应项目的工程单价或总价支付。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列入《工程量清单》的水土保持的其他工程项目（如渣场和场内交通工程防护和水土保持设施、林草植被种植措施等），由发包人按《工程量清单》相应项目工程单价或总价支付。除合同另有约定外，水土保持的其他工程项目的工程单价或总价，应包括承包人完成相应项目的建设、运行、维护管理和有工期监测等工作所需全部费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（4）未列入《工程量清单》的其他水土保持措施，承包人完成这些措施的建设、运行、维护管理和施工期监测等工作所需费用，包含在《工程量清单》所列的水土保持专项措施费仲，发包人不另行支付。</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（5）承包人在《工程量清单》以总价形式专项列报的“水土保持专项措施费”，应按计划实施并经监理人检查确认后，由发包人按项审批支付。</w:t>
      </w:r>
    </w:p>
    <w:p>
      <w:pPr>
        <w:pStyle w:val="3"/>
        <w:keepNext w:val="0"/>
        <w:keepLines w:val="0"/>
        <w:pageBreakBefore w:val="0"/>
        <w:tabs>
          <w:tab w:val="left" w:pos="840"/>
          <w:tab w:val="clear" w:pos="432"/>
        </w:tabs>
        <w:kinsoku/>
        <w:overflowPunct/>
        <w:topLinePunct w:val="0"/>
        <w:autoSpaceDE/>
        <w:autoSpaceDN/>
        <w:bidi w:val="0"/>
        <w:spacing w:line="324" w:lineRule="auto"/>
        <w:jc w:val="center"/>
        <w:rPr>
          <w:rFonts w:ascii="宋体" w:hAnsi="宋体" w:eastAsia="宋体" w:cs="Times New Roman"/>
          <w:b/>
          <w:bCs/>
          <w:color w:val="000000"/>
          <w:kern w:val="0"/>
          <w:sz w:val="21"/>
          <w:szCs w:val="21"/>
          <w:lang w:val="en-US" w:eastAsia="zh-CN" w:bidi="ar-SA"/>
        </w:rPr>
      </w:pPr>
      <w:r>
        <w:rPr>
          <w:color w:val="0000FF"/>
        </w:rPr>
        <w:br w:type="page"/>
      </w:r>
      <w:bookmarkStart w:id="90" w:name="_Toc30725"/>
      <w:bookmarkStart w:id="91" w:name="_Toc21793"/>
      <w:bookmarkStart w:id="92" w:name="_Toc21084"/>
      <w:r>
        <w:rPr>
          <w:rFonts w:ascii="宋体" w:hAnsi="宋体" w:eastAsia="宋体" w:cs="Times New Roman"/>
          <w:b/>
          <w:bCs/>
          <w:color w:val="000000"/>
          <w:kern w:val="0"/>
          <w:sz w:val="21"/>
          <w:szCs w:val="21"/>
          <w:lang w:val="en-US" w:eastAsia="zh-CN" w:bidi="ar-SA"/>
        </w:rPr>
        <w:t>第5</w:t>
      </w:r>
      <w:r>
        <w:rPr>
          <w:rFonts w:hint="eastAsia" w:ascii="宋体" w:hAnsi="宋体" w:eastAsia="宋体" w:cs="Times New Roman"/>
          <w:b/>
          <w:bCs/>
          <w:color w:val="000000"/>
          <w:kern w:val="0"/>
          <w:sz w:val="21"/>
          <w:szCs w:val="21"/>
          <w:lang w:val="en-US" w:eastAsia="zh-CN" w:bidi="ar-SA"/>
        </w:rPr>
        <w:t>节</w:t>
      </w:r>
      <w:r>
        <w:rPr>
          <w:rFonts w:ascii="宋体" w:hAnsi="宋体" w:eastAsia="宋体" w:cs="Times New Roman"/>
          <w:b/>
          <w:bCs/>
          <w:color w:val="000000"/>
          <w:kern w:val="0"/>
          <w:sz w:val="21"/>
          <w:szCs w:val="21"/>
          <w:lang w:val="en-US" w:eastAsia="zh-CN" w:bidi="ar-SA"/>
        </w:rPr>
        <w:t>施工导流工程</w:t>
      </w:r>
      <w:bookmarkEnd w:id="82"/>
      <w:bookmarkEnd w:id="90"/>
      <w:bookmarkEnd w:id="91"/>
      <w:bookmarkEnd w:id="92"/>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3" w:name="_Toc24766"/>
      <w:r>
        <w:rPr>
          <w:rFonts w:hint="eastAsia" w:ascii="宋体" w:hAnsi="宋体" w:eastAsia="宋体" w:cs="宋体"/>
          <w:sz w:val="21"/>
          <w:szCs w:val="21"/>
        </w:rPr>
        <w:t>5.1一般规定</w:t>
      </w:r>
      <w:bookmarkEnd w:id="93"/>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5.1.1应用范围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本章规定适用于本合同施工图纸所示主体工程的施工导流工程，包括施工 导流挡水和泄水建筑物、截流、度汛、基坑排水、通航、下闸及封堵和施工期 下游供水的工程项目及其工作内容。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5.12承包人责任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（1）按本合同确定的施工导流方案、导流洪水标准与施工控制性进度，编制本工程施工导流的措施计划，提交监理人批准。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（2）按批准的施工导流措施计划和本技术条款的规定，负责完成以下各项工作：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 1）完成本节第5.1.1条所规定的施工导流工程项目及其工作内容；</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 2）保证永久建筑物在干地施工的措施；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 xml:space="preserve"> 3）按合同约定，负责提供导流工程的材料和设备，包括材料和设备的试验、检验，以及设备的运行和维护。</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（3）协助发包人安排好施工通航和施工期下游供水。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（4）导流期间，当河道的天然来水流量小于或等于本合同规定的导流工程设计洪水标准时，承包人应对导流工程的施工安全承担责任。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（5）当施工期内，遭遇不可抗力的自然灾害或发生超标准洪水时，承包人应按监理人指示，采取应急措施，进行防洪防灾的抢救工作。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5.1.3主要提交件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（1）导流工程施工措施计划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承包人应在施工导流建筑物开工前14天，按本节第5.1.1条规定的导流工程项目，编制导流工程施工措施计划，提交监理人批准，其内容包括：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1）截流试验报告和截流施工方案；</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2）基坑排水措施。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3）防洪和安全度汛措施。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4）下闸封堵措施。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5）导流工程施工进度计划。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6）监理人要求其它补充措施计划。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（2）导流建筑物施工图纸</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除合同另有约定外，在导流建筑物施工前14天，承包人应将其负责提供的导流建筑物施工图纸，提交监理人批准。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（3）安全度汛措施计划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承包人应在每年汛期前，将该年度的安全度汛措施报告，提交监理人批准，其内容包括：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1）截至度汛前工程应达到的度汛形象面貌；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2）临时和永久工程建筑物的汛期防护措施；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3）防汛器材设备和劳动力配备；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4）施工区和生活区的度汛防护措施；</w:t>
      </w:r>
    </w:p>
    <w:p>
      <w:pPr>
        <w:pStyle w:val="21"/>
        <w:keepNext w:val="0"/>
        <w:keepLines w:val="0"/>
        <w:pageBreakBefore w:val="0"/>
        <w:widowControl w:val="0"/>
        <w:tabs>
          <w:tab w:val="left" w:pos="482"/>
          <w:tab w:val="left" w:pos="2183"/>
          <w:tab w:val="left" w:pos="3884"/>
          <w:tab w:val="left" w:pos="5585"/>
        </w:tabs>
        <w:kinsoku/>
        <w:wordWrap/>
        <w:overflowPunct/>
        <w:topLinePunct w:val="0"/>
        <w:autoSpaceDE/>
        <w:autoSpaceDN/>
        <w:bidi w:val="0"/>
        <w:adjustRightInd w:val="0"/>
        <w:snapToGrid/>
        <w:spacing w:after="0" w:line="32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5）临时通航的安全度汛措施；</w:t>
      </w:r>
    </w:p>
    <w:p>
      <w:pPr>
        <w:pStyle w:val="21"/>
        <w:keepNext w:val="0"/>
        <w:keepLines w:val="0"/>
        <w:pageBreakBefore w:val="0"/>
        <w:widowControl w:val="0"/>
        <w:tabs>
          <w:tab w:val="left" w:pos="482"/>
          <w:tab w:val="left" w:pos="2183"/>
          <w:tab w:val="left" w:pos="3884"/>
          <w:tab w:val="left" w:pos="5585"/>
        </w:tabs>
        <w:kinsoku/>
        <w:wordWrap/>
        <w:overflowPunct/>
        <w:topLinePunct w:val="0"/>
        <w:autoSpaceDE/>
        <w:autoSpaceDN/>
        <w:bidi w:val="0"/>
        <w:adjustRightInd w:val="0"/>
        <w:snapToGrid/>
        <w:spacing w:after="0" w:line="32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6）遭遇超标准洪水时的应急度汛措施；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7）监理人要求提交的其它施工度汛资料。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（4）施工期临时通航措施计划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承包人应在施工期临时通航开始前，将施工期临时通航计划提交监理人批准。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（5）截流措施计划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承包人应在截流前，将截流措施计划提交监理人批准，其内容包括：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1）截流施工进度。</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2）截流时段、截流方式（如立堵、平堵或两者兼有）、截流落差、截流戗堤轴线位置截流水力参数。</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3）供料的料源、备料场地储量，各种截流抛投材料的品种、数量和备料情况。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4）截流材料抛投的运输设备配置和运输道路情况。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5）截流过程水力参数的测试安排。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6）监理人要求提交的其它截流资料。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（6）下闸封堵和水库蓄水措施计划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承包人应在下闸封堵前，将下闸封堵和水库蓄水措施计划提交监理人批准，其内容包括：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1）主体工程应完成的工程形象面貌。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2）封堵闸门和启闭机的试运行计划。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3）下闸封堵前的库区施工场地清理和验收计划。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4）下闸封堵前，观测设备的观测初始值。</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5）下闸封堵施工措施（如导流隧洞、导流底孔等的封堵措施）。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6）下闸封堵后的下游供水措施。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7）水库蓄水（或水库分阶段蓄水）计划。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5.1.4引用规章及标准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（1）《水利工程建设项目验收管理规定》（水利部令第30号）。</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（2）《防洪标准》（GB 50201—2014）。</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（3）《水利水电建设工程验收规程》（SL 223—2008）。</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（4）《水利水电工程施工组织设计规范》（SL 303—2017）。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（5）《水利水电工程天然建筑材料勘察规程》（SL 251—2015）。</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（6）《水利水电工程等级划分及洪水标准》（SL 252—2017）。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（7）《水利水电工程混凝土防渗墙施工技术规范》（SL 174—2014）。</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（8）《水工建筑物水泥灌浆施工技术规范》（SL/T 62—2020）。</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（9）《水利水电工程施工导流设计规范》（SL 623—2013）。</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（10）《水利水电工程围堰设计规范》（SL 645—2013）。</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ascii="宋体" w:hAnsi="宋体"/>
          <w:szCs w:val="21"/>
        </w:rPr>
      </w:pPr>
      <w:r>
        <w:rPr>
          <w:rFonts w:hint="eastAsia" w:ascii="宋体" w:hAnsi="宋体" w:eastAsia="宋体" w:cs="宋体"/>
          <w:szCs w:val="21"/>
        </w:rPr>
        <w:t>（11）导流工程项目的专项技术涉及其他章节引用的标准和规程规范。</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4" w:name="_Toc16278"/>
      <w:r>
        <w:rPr>
          <w:rFonts w:hint="eastAsia" w:ascii="宋体" w:hAnsi="宋体" w:eastAsia="宋体" w:cs="宋体"/>
          <w:sz w:val="21"/>
          <w:szCs w:val="21"/>
        </w:rPr>
        <w:t>5.2施工期导流控制标准</w:t>
      </w:r>
      <w:bookmarkEnd w:id="94"/>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5.2.1导流时段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根据本地区的水文情况，该工程导流及度汛时段可划分为非汛期、汛期。本地区的主要雨季分为梅汛期（</w:t>
      </w:r>
      <w:r>
        <w:rPr>
          <w:rFonts w:hint="eastAsia" w:ascii="宋体" w:hAnsi="宋体" w:eastAsia="宋体" w:cs="宋体"/>
          <w:szCs w:val="21"/>
          <w:lang w:val="en-US" w:eastAsia="zh-CN"/>
        </w:rPr>
        <w:t xml:space="preserve"> </w:t>
      </w:r>
      <w:r>
        <w:rPr>
          <w:rFonts w:hint="eastAsia" w:ascii="宋体" w:hAnsi="宋体" w:eastAsia="宋体" w:cs="宋体"/>
          <w:szCs w:val="21"/>
        </w:rPr>
        <w:t>4 月 16 日至 7 月 15 日）和台汛期（7 月 16 日至 10 月15 日）；10 月 16 日至翌年 4 月 15 日为非汛期。因项目建设的紧迫性，导流时段需安排在汛期进行。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5.2.2导流标准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鉴于本工程施工特点，疏浚工程和护岸工程需在河道开挖段布置临时施工围堰。根据《水利水电工程施工组织设计规范》（SL303-2004）和《堤防工程施工规范》（SL260-2014）等规定，本工程为 V 等工程，导流建筑物等临时建筑为 5 级，相应设计洪水标准土石类建筑物为 5~10 年一遇。由于本工程施工围堰挡水时段较短，且考虑到本地区平原河网水位相差不大的特性，现状两岸地面农田标高 5~7m，围堰顶标高取5m。</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5.2.3导流方式</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现状河道内与石牌河互通，外与岩头水闸交接。施工导流采用一次性拦断河床围堰导流方式。施工在环城河 Ⅱ 与石牌河交汇处修筑拦河围堰断流，水闸放空河道水体后关闸，不再考虑新的导流建筑物。</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5.2.4围堰施工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为满足施工的需要，在现有河道布置三道施工围堰。选择围堰的形式和断面时，应在满足围堰本身安全的前提下，尽量考虑就地取材、结构简单、拆除方便、造价低廉等因素。综合考虑到河道断面、河道内水流流速及围堰所在河道位置状况，本工程围堰推荐采用土袋围堰。</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土袋装土，土质选用粘土或砂粘土，填土的渗透系数≤10-4 cm/s，装袋按70％满控制。河道两端围堰采用位置清基整平后，堆码围堰，要求从下到上，分层斜向，上下层和内外层土袋互相错缝。围堰内外坡比均取 1：1.5，顶高程取2.5m，顶宽取1.5m。围堰顶高程 5m，围堰顶宽 1.5m。</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5" w:name="_Toc17988"/>
      <w:bookmarkStart w:id="96" w:name="_Toc370459139"/>
      <w:r>
        <w:rPr>
          <w:rFonts w:hint="eastAsia" w:ascii="宋体" w:hAnsi="宋体" w:eastAsia="宋体" w:cs="宋体"/>
          <w:sz w:val="21"/>
          <w:szCs w:val="21"/>
        </w:rPr>
        <w:t>5.3截流</w:t>
      </w:r>
      <w:bookmarkEnd w:id="95"/>
      <w:bookmarkEnd w:id="96"/>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snapToGrid w:val="0"/>
          <w:szCs w:val="21"/>
        </w:rPr>
      </w:pPr>
      <w:r>
        <w:rPr>
          <w:rFonts w:hint="eastAsia" w:ascii="宋体" w:hAnsi="宋体" w:eastAsia="宋体" w:cs="宋体"/>
          <w:snapToGrid w:val="0"/>
          <w:szCs w:val="21"/>
        </w:rPr>
        <w:t>5.3.1截流设计</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承包人应根据施工图纸的要求及水文气象资料，并结合模型试验成果，以及现场施工条件进行详细的截流设计。其主要内容应包括：截流时段、截流方式（包括龙口位置选择、断面形式及进占方式）、截流落差、截流戗堤轴线位置、水力参数、截流抛投材料的品种和数量、料源、备料场地、主要施工运输设备和运输道路等。</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5.3.2模型试验论证</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rPr>
      </w:pPr>
      <w:r>
        <w:rPr>
          <w:rFonts w:hint="eastAsia" w:ascii="宋体" w:hAnsi="宋体" w:eastAsia="宋体" w:cs="宋体"/>
        </w:rPr>
        <w:t>对大型或重要工程，承包人应进行截流水工模型试验，提交监理人批准，其试验项目包括截流流量选择、龙口尺寸和截流戗堤位置、落差和流速，护底方式、抛投强度、各品种投料数量和顺序、龙口合龙时间，以及配备的测试仪器设备等。</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snapToGrid w:val="0"/>
          <w:szCs w:val="21"/>
        </w:rPr>
      </w:pPr>
      <w:r>
        <w:rPr>
          <w:rFonts w:hint="eastAsia" w:ascii="宋体" w:hAnsi="宋体" w:eastAsia="宋体" w:cs="宋体"/>
          <w:snapToGrid w:val="0"/>
          <w:szCs w:val="21"/>
        </w:rPr>
        <w:t>5.3.3临时断航</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rPr>
        <w:t>在截流期间，对有通航要求的河段，承包人应协助发包人，并配合地方交通部门和灌溉部门，妥善安排好短期断航事项，尽量缩短临时断航时间。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7" w:name="_Toc17675"/>
      <w:r>
        <w:rPr>
          <w:rFonts w:hint="eastAsia" w:ascii="宋体" w:hAnsi="宋体" w:eastAsia="宋体" w:cs="宋体"/>
          <w:sz w:val="21"/>
          <w:szCs w:val="21"/>
        </w:rPr>
        <w:t>5.4导流建筑物设计与施工</w:t>
      </w:r>
      <w:bookmarkEnd w:id="97"/>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5.4.1导流围堰</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（1）承包人应按施工图纸要求和监理人指示进行导流围堰的施工。各种建筑物的施工技术要求，应按本技术条款各有关章节的规定。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（2）围堰的上升速度应满足安全度汛标准，以及施工进度各时段的挡水要求，并应在各种运行水位工况下保证已施工堰体的稳定和安全。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（3）围堰拆除：承包人应按施工图纸指定的拆除范围和监理人指示及时拆除，并经监理人验收合格。</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5.4.2导流建筑物封堵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（1）导流建筑物的封堵应按批准的施工图纸施工。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（2）施工导流期结束后，承包人应尽早封堵与永久性水工隧洞相连接的导流隧洞部位，并应在导流隧洞结合段的上游侧进行封堵。</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5.4.3导流底孔及未完坝段（或缺口）过水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导流底孔、未完建永久建筑物过水坝段（或缺口）的施工技术要求应遵守本技术条款各专项技术章节的有关规定。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8" w:name="_Toc23279"/>
      <w:r>
        <w:rPr>
          <w:rFonts w:hint="eastAsia" w:ascii="宋体" w:hAnsi="宋体" w:eastAsia="宋体" w:cs="宋体"/>
          <w:sz w:val="21"/>
          <w:szCs w:val="21"/>
        </w:rPr>
        <w:t>5.5基坑排水</w:t>
      </w:r>
      <w:bookmarkEnd w:id="98"/>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5.5.1基坑初期排水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负责围堰截流闭气后的基坑初期排水，初期排水量可根据围堰闭气后的基坑积水、抽水过程中围堰和基础渗水量、堰身和基坑覆盖层含水量及可能降雨量进行估算，初期排水时间应按基坑边坡的水位允许下降速度控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5.5.2基坑经常性排水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承包人应负责排除基坑内施工期的围堰渗水、基础渗水、降水和施工废水，以及不能从施工场地地表排水系统排除而进入基坑的地表汇水，经常性排水措施计划应提交监理人。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5.5.3基坑排水设备</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承包人应负责提供基坑初期排水和经常性排水所需的全部排水设备和设施，并负责设备和设施的安装、运行和维修。承包人应保证基坑排水设备不间断持续运行，配置应急的备用设备和设施（包括备用电源），避免造成基坑积水而延误工期。</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99" w:name="_Toc17036"/>
      <w:bookmarkStart w:id="100" w:name="_Toc370459142"/>
      <w:r>
        <w:rPr>
          <w:rFonts w:hint="eastAsia" w:ascii="宋体" w:hAnsi="宋体" w:eastAsia="宋体" w:cs="宋体"/>
          <w:sz w:val="21"/>
          <w:szCs w:val="21"/>
        </w:rPr>
        <w:t>5.6安全度汛</w:t>
      </w:r>
      <w:bookmarkEnd w:id="99"/>
      <w:bookmarkEnd w:id="100"/>
    </w:p>
    <w:p>
      <w:pPr>
        <w:keepNext w:val="0"/>
        <w:keepLines w:val="0"/>
        <w:pageBreakBefore w:val="0"/>
        <w:widowControl w:val="0"/>
        <w:kinsoku/>
        <w:wordWrap/>
        <w:overflowPunct/>
        <w:topLinePunct w:val="0"/>
        <w:autoSpaceDE/>
        <w:autoSpaceDN/>
        <w:bidi w:val="0"/>
        <w:adjustRightInd w:val="0"/>
        <w:snapToGrid w:val="0"/>
        <w:spacing w:line="324" w:lineRule="auto"/>
        <w:ind w:left="0" w:firstLine="420" w:firstLineChars="200"/>
        <w:textAlignment w:val="auto"/>
        <w:rPr>
          <w:rFonts w:hint="eastAsia" w:ascii="宋体" w:hAnsi="宋体" w:eastAsia="宋体" w:cs="宋体"/>
          <w:snapToGrid w:val="0"/>
        </w:rPr>
      </w:pPr>
      <w:r>
        <w:rPr>
          <w:rFonts w:hint="eastAsia" w:ascii="宋体" w:hAnsi="宋体" w:eastAsia="宋体" w:cs="宋体"/>
          <w:snapToGrid w:val="0"/>
        </w:rPr>
        <w:t>（1）每年汛前，发包人应会同承包人对工程的安全度汛措施和工程应达到的施工面貌进行全面检查，确保度汛安全。</w:t>
      </w:r>
    </w:p>
    <w:p>
      <w:pPr>
        <w:keepNext w:val="0"/>
        <w:keepLines w:val="0"/>
        <w:pageBreakBefore w:val="0"/>
        <w:widowControl w:val="0"/>
        <w:kinsoku/>
        <w:wordWrap/>
        <w:overflowPunct/>
        <w:topLinePunct w:val="0"/>
        <w:autoSpaceDE/>
        <w:autoSpaceDN/>
        <w:bidi w:val="0"/>
        <w:adjustRightInd w:val="0"/>
        <w:snapToGrid w:val="0"/>
        <w:spacing w:line="324" w:lineRule="auto"/>
        <w:ind w:left="0" w:firstLine="420" w:firstLineChars="200"/>
        <w:textAlignment w:val="auto"/>
        <w:rPr>
          <w:rFonts w:hint="eastAsia" w:ascii="宋体" w:hAnsi="宋体" w:eastAsia="宋体" w:cs="宋体"/>
          <w:snapToGrid w:val="0"/>
        </w:rPr>
      </w:pPr>
      <w:r>
        <w:rPr>
          <w:rFonts w:hint="eastAsia" w:ascii="宋体" w:hAnsi="宋体" w:eastAsia="宋体" w:cs="宋体"/>
          <w:snapToGrid w:val="0"/>
        </w:rPr>
        <w:t>（2）每年汛前，承包人应按批准的安全度汛措施，备足防汛所需的材料和设备。</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01" w:name="_Toc12294"/>
      <w:r>
        <w:rPr>
          <w:rFonts w:hint="eastAsia" w:ascii="宋体" w:hAnsi="宋体" w:eastAsia="宋体" w:cs="宋体"/>
          <w:sz w:val="21"/>
          <w:szCs w:val="21"/>
        </w:rPr>
        <w:t>5.7下闸封堵和下游供水</w:t>
      </w:r>
      <w:bookmarkEnd w:id="101"/>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eastAsia="宋体" w:cs="宋体"/>
          <w:szCs w:val="21"/>
        </w:rPr>
      </w:pPr>
      <w:r>
        <w:rPr>
          <w:rFonts w:hint="eastAsia" w:ascii="宋体" w:hAnsi="宋体" w:eastAsia="宋体" w:cs="宋体"/>
          <w:szCs w:val="21"/>
        </w:rPr>
        <w:t>（1）承包人应按监理人批准的下闸封堵措施，在规定期限进行下闸封堵。</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eastAsia="宋体" w:cs="宋体"/>
          <w:szCs w:val="21"/>
        </w:rPr>
      </w:pPr>
      <w:r>
        <w:rPr>
          <w:rFonts w:hint="eastAsia" w:ascii="宋体" w:hAnsi="宋体" w:eastAsia="宋体" w:cs="宋体"/>
          <w:szCs w:val="21"/>
        </w:rPr>
        <w:t>（2）在导流泄水建筑物进口闸门下闸后（或封堵完毕后），承包人应按监 理人批准的下游供水措施向下游供水。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02" w:name="_Toc23063"/>
      <w:r>
        <w:rPr>
          <w:rFonts w:hint="eastAsia" w:ascii="宋体" w:hAnsi="宋体" w:eastAsia="宋体" w:cs="宋体"/>
          <w:sz w:val="21"/>
          <w:szCs w:val="21"/>
        </w:rPr>
        <w:t>5.9质量检查和验收</w:t>
      </w:r>
      <w:bookmarkEnd w:id="102"/>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5.9.1导流建筑物的质量检查</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本工程的围堰、导流明渠等的土石方开挖、支护工程、土石方填筑工程、砌体工程、混凝土工程等，应按本技术条款各专项技术章节的规定进行质量检查和验收。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napToGrid w:val="0"/>
          <w:szCs w:val="21"/>
        </w:rPr>
      </w:pPr>
      <w:r>
        <w:rPr>
          <w:rFonts w:hint="eastAsia" w:ascii="宋体" w:hAnsi="宋体" w:eastAsia="宋体" w:cs="宋体"/>
          <w:snapToGrid w:val="0"/>
          <w:szCs w:val="21"/>
        </w:rPr>
        <w:t>5.9.2主河床截流前验收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Cs w:val="21"/>
        </w:rPr>
      </w:pPr>
      <w:r>
        <w:rPr>
          <w:rFonts w:hint="eastAsia" w:ascii="宋体" w:hAnsi="宋体" w:eastAsia="宋体" w:cs="宋体"/>
        </w:rPr>
        <w:t>主河床截流前，应按《水利水建设工程验收规程》（SL 223-2008）第6.2.2~6.2.4条的规定进行主河床截流的阶段验收。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03" w:name="_Toc9758"/>
      <w:r>
        <w:rPr>
          <w:rFonts w:hint="eastAsia" w:ascii="宋体" w:hAnsi="宋体" w:eastAsia="宋体" w:cs="宋体"/>
          <w:sz w:val="21"/>
          <w:szCs w:val="21"/>
        </w:rPr>
        <w:t>5.10计量和支付</w:t>
      </w:r>
      <w:bookmarkEnd w:id="103"/>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（1）承包人按合同要求完成截流方案设计、材料制备与运输、截流施工和水情观测等工作所需的费用，包含在《工程量清单》“施工导流工程”项目的总价中，发包人不另行支付。</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（2）承包人按合同要求完成截流模型试验所需的费用，由发包人按《工程量清单》相应项目的总价支付。</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（3）承包人按合同要求完成基坑排水工作（含基坑初期排水和经常性排水）所需的费用，由发包人按《工程量清单》相应项目的总价支付。</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（4）承包人按合同要求完成施工期防洪度汛和基坑排水所需的费用，由发包人根据合同具体约定，按《工程量清单》相应项目的总价分年度支付。</w:t>
      </w:r>
    </w:p>
    <w:p>
      <w:pPr>
        <w:keepNext w:val="0"/>
        <w:keepLines w:val="0"/>
        <w:pageBreakBefore w:val="0"/>
        <w:widowControl w:val="0"/>
        <w:kinsoku/>
        <w:wordWrap/>
        <w:overflowPunct/>
        <w:topLinePunct w:val="0"/>
        <w:autoSpaceDE/>
        <w:autoSpaceDN/>
        <w:bidi w:val="0"/>
        <w:adjustRightInd w:val="0"/>
        <w:snapToGri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（5）除合同另有约定外，承包人完成临时导流泄水建筑物的建设和拆除（或封堵）工作所需的费用，由发包人按《工程量清单》相应项目的工程单价 或总价支付；临时导流泄水建筑物的运行维护费用包含在“施工导流工程”项 目总价中，发包人不另行支付。</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snapToGrid w:val="0"/>
        </w:rPr>
      </w:pPr>
      <w:r>
        <w:rPr>
          <w:rFonts w:hint="eastAsia" w:ascii="宋体" w:hAnsi="宋体" w:eastAsia="宋体" w:cs="宋体"/>
          <w:snapToGrid w:val="0"/>
        </w:rPr>
        <w:t>（6）施工期临时通航费用（包括断航期内的补偿费用）和向下游供水的费用由发包人按《工程量清单》相应项目的工程单价或总价支付。</w:t>
      </w:r>
    </w:p>
    <w:p>
      <w:pPr>
        <w:keepNext w:val="0"/>
        <w:keepLines w:val="0"/>
        <w:pageBreakBefore w:val="0"/>
        <w:widowControl w:val="0"/>
        <w:kinsoku/>
        <w:wordWrap/>
        <w:overflowPunct/>
        <w:topLinePunct w:val="0"/>
        <w:autoSpaceDE/>
        <w:autoSpaceDN/>
        <w:bidi w:val="0"/>
        <w:adjustRightInd w:val="0"/>
        <w:spacing w:line="324" w:lineRule="auto"/>
        <w:ind w:firstLine="420" w:firstLineChars="200"/>
        <w:textAlignment w:val="auto"/>
        <w:rPr>
          <w:rFonts w:hint="eastAsia" w:ascii="宋体" w:hAnsi="宋体" w:eastAsia="宋体" w:cs="宋体"/>
          <w:color w:val="0000FF"/>
        </w:rPr>
      </w:pPr>
      <w:r>
        <w:rPr>
          <w:rFonts w:hint="eastAsia" w:ascii="宋体" w:hAnsi="宋体" w:eastAsia="宋体" w:cs="宋体"/>
          <w:snapToGrid w:val="0"/>
        </w:rPr>
        <w:t>（7）除合同另有约定外，导流泄水建筑物的永久或临时闸门及其启闭机的安拆和建设期运行费用，由发包人按《工程量清单》相应项目的工程单价或总 价支付。</w:t>
      </w:r>
    </w:p>
    <w:p>
      <w:pPr>
        <w:pStyle w:val="3"/>
        <w:keepNext w:val="0"/>
        <w:keepLines w:val="0"/>
        <w:pageBreakBefore w:val="0"/>
        <w:tabs>
          <w:tab w:val="left" w:pos="840"/>
          <w:tab w:val="clear" w:pos="432"/>
        </w:tabs>
        <w:kinsoku/>
        <w:overflowPunct/>
        <w:topLinePunct w:val="0"/>
        <w:autoSpaceDE/>
        <w:autoSpaceDN/>
        <w:bidi w:val="0"/>
        <w:spacing w:line="324" w:lineRule="auto"/>
        <w:jc w:val="center"/>
        <w:rPr>
          <w:rFonts w:ascii="宋体" w:hAnsi="宋体" w:eastAsia="宋体" w:cs="Times New Roman"/>
          <w:b/>
          <w:bCs/>
          <w:color w:val="000000"/>
          <w:kern w:val="0"/>
          <w:sz w:val="21"/>
          <w:szCs w:val="21"/>
          <w:highlight w:val="none"/>
          <w:lang w:val="en-US" w:eastAsia="zh-CN" w:bidi="ar-SA"/>
        </w:rPr>
      </w:pPr>
      <w:bookmarkStart w:id="104" w:name="第06章"/>
      <w:bookmarkEnd w:id="104"/>
      <w:r>
        <w:rPr>
          <w:color w:val="0000FF"/>
        </w:rPr>
        <w:br w:type="page"/>
      </w:r>
      <w:bookmarkStart w:id="105" w:name="_Toc277"/>
      <w:bookmarkStart w:id="106" w:name="_Toc7845"/>
      <w:bookmarkStart w:id="107" w:name="_Toc15946"/>
      <w:r>
        <w:rPr>
          <w:rFonts w:ascii="宋体" w:hAnsi="宋体" w:eastAsia="宋体" w:cs="Times New Roman"/>
          <w:b/>
          <w:bCs/>
          <w:color w:val="000000"/>
          <w:kern w:val="0"/>
          <w:sz w:val="21"/>
          <w:szCs w:val="21"/>
          <w:highlight w:val="none"/>
          <w:lang w:val="en-US" w:eastAsia="zh-CN" w:bidi="ar-SA"/>
        </w:rPr>
        <w:t>第6节土方明挖</w:t>
      </w:r>
      <w:bookmarkEnd w:id="105"/>
      <w:bookmarkEnd w:id="106"/>
      <w:bookmarkEnd w:id="107"/>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bookmarkStart w:id="108" w:name="_Toc12335"/>
      <w:r>
        <w:rPr>
          <w:rFonts w:hint="eastAsia" w:ascii="宋体" w:hAnsi="宋体" w:eastAsia="宋体" w:cs="宋体"/>
          <w:sz w:val="21"/>
          <w:szCs w:val="21"/>
        </w:rPr>
        <w:t>6.1一般规定</w:t>
      </w:r>
      <w:bookmarkEnd w:id="108"/>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6.1.1应用范围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（1）本章规定适用于本合同施工图纸所示的永久和临时工程建筑物的基础、边坡、土料场和砂石料场、石料场覆盖层等的明挖工程。</w:t>
      </w:r>
    </w:p>
    <w:p>
      <w:pPr>
        <w:pStyle w:val="21"/>
        <w:keepNext w:val="0"/>
        <w:keepLines w:val="0"/>
        <w:pageBreakBefore w:val="0"/>
        <w:widowControl w:val="0"/>
        <w:tabs>
          <w:tab w:val="left" w:pos="482"/>
          <w:tab w:val="left" w:pos="2183"/>
          <w:tab w:val="left" w:pos="3884"/>
          <w:tab w:val="left" w:pos="5585"/>
        </w:tabs>
        <w:kinsoku/>
        <w:wordWrap/>
        <w:overflowPunct/>
        <w:topLinePunct w:val="0"/>
        <w:autoSpaceDE/>
        <w:autoSpaceDN/>
        <w:bidi w:val="0"/>
        <w:adjustRightInd w:val="0"/>
        <w:snapToGrid/>
        <w:spacing w:after="0" w:line="324" w:lineRule="auto"/>
        <w:ind w:firstLineChars="200"/>
        <w:textAlignment w:val="auto"/>
        <w:rPr>
          <w:rFonts w:hint="eastAsia" w:ascii="宋体" w:hAnsi="宋体" w:eastAsia="宋体" w:cs="宋体"/>
          <w:sz w:val="21"/>
          <w:szCs w:val="21"/>
        </w:rPr>
      </w:pPr>
      <w:r>
        <w:rPr>
          <w:rFonts w:hint="eastAsia" w:ascii="宋体" w:hAnsi="宋体" w:eastAsia="宋体" w:cs="宋体"/>
          <w:sz w:val="21"/>
          <w:szCs w:val="21"/>
        </w:rPr>
        <w:t>（2）本章不包括膨胀性土、多年冻土等特殊地质条件的土方工程。</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6.1.2承包人责任</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（1）承包人应根据本合同施工图纸和监理人的指示，按建筑物土方明挖工程的开挖要求进行开挖施工。</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（2）承包人应对开挖过程中可能引起的滑坡和崩塌体，采取有效的预防性保护措施；在陡坡下施工，应事先做好安全清理和支护。</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（3）在已有建筑物附近进行开挖时，承包人必须采取可靠的施工措施，保证其原有建筑物的稳定和安全，并尽可能做到不影响其正常使用。</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（4）承包人应在开挖的危险作业地带设置安全防护设施和明显的安全警示标志。</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6.1.3主要提交件</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（1）开挖放样资料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每项单位工程开工前</w:t>
      </w:r>
      <w:r>
        <w:rPr>
          <w:rFonts w:hint="eastAsia" w:ascii="宋体" w:hAnsi="宋体" w:eastAsia="宋体" w:cs="宋体"/>
          <w:kern w:val="0"/>
          <w:szCs w:val="20"/>
          <w:u w:val="single"/>
        </w:rPr>
        <w:t xml:space="preserve"> 14 </w:t>
      </w:r>
      <w:r>
        <w:rPr>
          <w:rFonts w:hint="eastAsia" w:ascii="宋体" w:hAnsi="宋体" w:eastAsia="宋体" w:cs="宋体"/>
          <w:kern w:val="0"/>
          <w:szCs w:val="20"/>
        </w:rPr>
        <w:t>天，承包人应将开挖前实测地形和开挖放样剖面图提交监理人批准，批准后方可进行开挖。</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（2）施工措施计划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承包人应在本工程或每项单位工程开工前</w:t>
      </w:r>
      <w:r>
        <w:rPr>
          <w:rFonts w:hint="eastAsia" w:ascii="宋体" w:hAnsi="宋体" w:eastAsia="宋体" w:cs="宋体"/>
          <w:kern w:val="0"/>
          <w:szCs w:val="20"/>
          <w:u w:val="single"/>
        </w:rPr>
        <w:t xml:space="preserve"> 14 </w:t>
      </w:r>
      <w:r>
        <w:rPr>
          <w:rFonts w:hint="eastAsia" w:ascii="宋体" w:hAnsi="宋体" w:eastAsia="宋体" w:cs="宋体"/>
          <w:kern w:val="0"/>
          <w:szCs w:val="20"/>
        </w:rPr>
        <w:t>天，按施工图纸和监理人指示，编制土方明挖工程的施工措施计划，提交监理人批准，其内容包括：</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1）开挖施工平面布置图（含施工交通线路布置图）；</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2）开挖程序与开挖方法；</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3）施工设备的配置和劳动力安排；</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4）开挖边坡的排水和边坡保护措施；</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5）土料利用和弃渣措施；</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6）质量与安全保证措施；</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7）主要开挖工程施工进度计划等。</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6.1.4引用标准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（1）《水利工程工程量清单计价规范》（GI3 50501—2007）。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（2）《建筑地基基础工稆施工质量验收标准》（GB 50202—2018）。</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（3）《水利水电工程施工组织设计规范》（SL 303—2017）。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（4）《浙江省水利水电工程工程量淸单计价办法》。</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bookmarkStart w:id="109" w:name="_Toc370459149"/>
      <w:bookmarkStart w:id="110" w:name="_Toc23988"/>
      <w:bookmarkStart w:id="111" w:name="_Toc381776242"/>
      <w:r>
        <w:rPr>
          <w:rFonts w:hint="eastAsia" w:ascii="宋体" w:hAnsi="宋体" w:eastAsia="宋体" w:cs="宋体"/>
          <w:sz w:val="21"/>
          <w:szCs w:val="21"/>
        </w:rPr>
        <w:t>6.2场地清理</w:t>
      </w:r>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场地清理包括植被清理和表土开挖。其范围包括永久和临时工程、料场、存弃渣场等施工用地需要清理的区域地表。</w:t>
      </w:r>
    </w:p>
    <w:p>
      <w:pPr>
        <w:keepNext w:val="0"/>
        <w:keepLines w:val="0"/>
        <w:pageBreakBefore w:val="0"/>
        <w:widowControl w:val="0"/>
        <w:kinsoku/>
        <w:wordWrap/>
        <w:overflowPunct/>
        <w:topLinePunct w:val="0"/>
        <w:autoSpaceDE/>
        <w:autoSpaceDN/>
        <w:bidi w:val="0"/>
        <w:adjustRightInd/>
        <w:snapToGrid/>
        <w:spacing w:line="324" w:lineRule="auto"/>
        <w:textAlignment w:val="auto"/>
        <w:rPr>
          <w:rFonts w:hint="eastAsia" w:ascii="宋体" w:hAnsi="宋体" w:eastAsia="宋体" w:cs="宋体"/>
          <w:snapToGrid w:val="0"/>
          <w:szCs w:val="21"/>
        </w:rPr>
      </w:pPr>
      <w:r>
        <w:rPr>
          <w:rFonts w:hint="eastAsia" w:ascii="宋体" w:hAnsi="宋体" w:eastAsia="宋体" w:cs="宋体"/>
          <w:snapToGrid w:val="0"/>
          <w:szCs w:val="21"/>
        </w:rPr>
        <w:t>6.2.1植被清理</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（1）在场地开挖前，承包人应清理开挖区域内的树根、杂草、垃圾、废渣及其他有碍物，主体工程植被清理的挖除树根范围应延伸到离施工图纸所示最大开挖边线、填筑线或建筑物基础外侧3m距离。</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（2）除合同另有约定外，主体工程施工场地地表的植被清理，必须延伸至离施工图纸所示最大开挖边线或建筑物基础边线（或填筑坡脚线）外侧至少5m距离。</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（3）承包人应注意保护清理区域附近的天然植被，避免因施工不当造成清理区域附近林业和天然植被资源的毁坏，以及对环境保护工作造成的不良后果。</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（4）场地清理范围内，承包人砍伐的成材或清理获得具有商业价值的材料应归发包人所有，承包人应按监理人指示将其运到指定地点。</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（5）凡属无价值的可燃物，承包人应尽快将其焚毁，并按本技术条款第3章规定确保其周边地区的安全。承包人应按指定的地点掩埋废弃物，掩埋物不得妨碍自然排水或污染河川。</w:t>
      </w:r>
    </w:p>
    <w:p>
      <w:pPr>
        <w:keepNext w:val="0"/>
        <w:keepLines w:val="0"/>
        <w:pageBreakBefore w:val="0"/>
        <w:widowControl w:val="0"/>
        <w:kinsoku/>
        <w:wordWrap/>
        <w:overflowPunct/>
        <w:topLinePunct w:val="0"/>
        <w:autoSpaceDE/>
        <w:autoSpaceDN/>
        <w:bidi w:val="0"/>
        <w:adjustRightInd/>
        <w:snapToGrid/>
        <w:spacing w:line="324" w:lineRule="auto"/>
        <w:ind w:firstLine="420"/>
        <w:textAlignment w:val="auto"/>
        <w:rPr>
          <w:rFonts w:hint="eastAsia" w:ascii="宋体" w:hAnsi="宋体" w:eastAsia="宋体" w:cs="宋体"/>
          <w:snapToGrid w:val="0"/>
          <w:szCs w:val="21"/>
        </w:rPr>
      </w:pPr>
      <w:r>
        <w:rPr>
          <w:rFonts w:hint="eastAsia" w:ascii="宋体" w:hAnsi="宋体" w:eastAsia="宋体" w:cs="宋体"/>
          <w:snapToGrid w:val="0"/>
          <w:szCs w:val="21"/>
        </w:rPr>
        <w:t>（6）场地清理中发现文物古迹，承包人应按本合同通用合同条款第1.10款的约定办理。</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b/>
          <w:snapToGrid w:val="0"/>
          <w:szCs w:val="20"/>
        </w:rPr>
      </w:pPr>
      <w:r>
        <w:rPr>
          <w:rFonts w:hint="eastAsia" w:ascii="宋体" w:hAnsi="宋体" w:eastAsia="宋体" w:cs="宋体"/>
          <w:b/>
          <w:snapToGrid w:val="0"/>
          <w:szCs w:val="20"/>
        </w:rPr>
        <w:t>6.2.2表土的清挖、堆放和有机土壤的使用</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1"/>
        </w:rPr>
      </w:pPr>
      <w:r>
        <w:rPr>
          <w:rFonts w:hint="eastAsia" w:ascii="宋体" w:hAnsi="宋体" w:eastAsia="宋体" w:cs="宋体"/>
          <w:snapToGrid w:val="0"/>
          <w:szCs w:val="21"/>
        </w:rPr>
        <w:t>含细根须、草本植物及覆盖草等植物的表层有机土壤，承包人应按监理人指示和本技术条款第4.5款的合理使用有机土壤，并运到指定地点堆放保存，不得任意处置。</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bookmarkStart w:id="112" w:name="_Toc29757"/>
      <w:r>
        <w:rPr>
          <w:rFonts w:hint="eastAsia" w:ascii="宋体" w:hAnsi="宋体" w:eastAsia="宋体" w:cs="宋体"/>
          <w:sz w:val="21"/>
          <w:szCs w:val="21"/>
        </w:rPr>
        <w:t>6.3土方开挖</w:t>
      </w:r>
      <w:bookmarkEnd w:id="112"/>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6.3.1土方定义</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（1）指黄土、粘土、砂土（包括淤沙、粉砂、河砂等）、淤泥、砾质土、砂砾石、松散坍塌体、石渣混合料、软弱的全风化岩体，无须采用爆破技术，直接用手工工具或土方开挖机械进行开挖的土方工程。</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（2）土类开挖级别划分，应符合《水利水电工程施工组织设计规范》SL 303-2017表D.1.1的规定。</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6.3.2开挖区临时道路</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承包人应按《水利水电工程施工组织设计规范》SL 303-2017第5.3节的规定，以及监理人批准的施工总布置设计进行场内交通道路布置。</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6.3.3校核测量</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承包人应按施工图纸的要求，校核测量开挖区域的平面位置、水平标高、控制桩号、水准点和边坡坡度等。监理人有权随时抽验承包人的校核测量成果，有必要时，监理人可与承包人联合进行校核测量。</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6.3.4临时边坡的稳定</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主体工程的临时开挖边坡，应按施工图纸所示或监理人指示进行开挖。对于承包人自行确定的开挖边坡，或临时边坡保留时间过长，经监理人检查有不安全因素时，承包人应立即进行补充开挖和采取保护措施。</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6.3.5基础和边坡开挖</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基础和边坡开挖的施工方法应符合《水利水电工程施工组织设计规范》SL 303-2017第4. 2节的规定。</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6.3.6边坡的护面和加固</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为防止修整后的开挖边坡遭受雨水冲刷，边坡的护面和加固工作应在雨季前严格按施工图纸要求完成。冬季施工的开挖边坡修整及其护面和加固工作，应在解冻后进行。</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6.3.7开挖线的变更</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在开挖过程中，经监理人批准，承包人可根据土方明挖边坡和基础揭示的地质特性，对施工图纸所示的开挖线作必要修改，涉及合同变更的，应按本合同通用合同条款第15条的约定办理。</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6.3.8边坡安全的应急措施</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若开挖过程中出现裂缝和滑动迹象时，承包人应立即暂停施工，并通知监理人。必要时承包人应按监理人的指示设置观测点，及时观测边坡变化情况，并做好记录。</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bookmarkStart w:id="113" w:name="_Toc6471"/>
      <w:r>
        <w:rPr>
          <w:rFonts w:hint="eastAsia" w:ascii="宋体" w:hAnsi="宋体" w:eastAsia="宋体" w:cs="宋体"/>
          <w:sz w:val="21"/>
          <w:szCs w:val="21"/>
        </w:rPr>
        <w:t>6.4施工期临时排水</w:t>
      </w:r>
      <w:bookmarkEnd w:id="113"/>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6.4.1排水措施</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（1）承包人应在每项开挖工程开始前，结合永久性排水设施的布置，规划好开挖区域内外的临时性排水措施，保证主体工程建筑物的基础开挖在干地施工。</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（2）承包人应在边坡开挖前，按施工图纸要求完成边坡上部永久性山坡截水沟的开挖和衬护。对其上部未设置永久性山坡截水沟的边坡面，应由承包人自行加设临时性山坡截水沟。</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（3）在开挖过程中，承包人应做好地面排水设施，包括保持必要的地面排水坡度、设置临时坑槽、使用机械排除积水，以及开挖排水沟道排走雨水和地面积水等。</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（4）在平地或凹地进行开挖时，承包人应在开挖区周围设置挡水堤和开挖周边排水沟，以及采取集水坑抽水等措施，阻止场外水流进入场地，并有效排除积水。</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6.4.2降低地下水位的排水措施</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（1）对位于地下水位以下的基坑需要进行干地开挖时，可根据基坑的工程地质条件采用降低地下水位的措施。并将降低基坑地下水位的施工措施，提交监理人批准。</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（2）采用挖掘机、铲运机、推土机等机械开挖基坑时，应保证地下水位降低至最低开挖面0.5m以下。</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（3）在基坑开挖期间，承包人应对基坑及其周围受降低水位影响的地区进行地下水位和地面沉降观测。承包人应将观测点布置、观测仪器设置和定期观测记录提交监理人。</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6.4.3保护永久建筑物和永久边坡免受冲刷</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承包人的临时排水措施，应注意保护已开挖的永久边坡面及附近建筑物及其基础免受冲刷和侵蚀破坏。</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bookmarkStart w:id="114" w:name="_Toc24169"/>
      <w:r>
        <w:rPr>
          <w:rFonts w:hint="eastAsia" w:ascii="宋体" w:hAnsi="宋体" w:eastAsia="宋体" w:cs="宋体"/>
          <w:sz w:val="21"/>
          <w:szCs w:val="21"/>
        </w:rPr>
        <w:t>6.6开挖渣料的利用和弃渣处理</w:t>
      </w:r>
      <w:bookmarkEnd w:id="114"/>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r>
        <w:rPr>
          <w:rFonts w:hint="eastAsia" w:ascii="宋体" w:hAnsi="宋体" w:eastAsia="宋体" w:cs="宋体"/>
          <w:sz w:val="21"/>
          <w:szCs w:val="21"/>
        </w:rPr>
        <w:t>6.6.1可利用渣料的利用</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（1）承包人提交的土方开挖施工措施计划中，应对开挖获得的可利用渣料进行统一规划，渣料应首先专用于本工程永久和临时工程的填筑及场地平整等。</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（2）承包人应按批准的堆渣地点和堆渣方式，将可利用渣料运至指定地点分类堆存。渣料堆体应保持边坡稳定，并设有良好的自由排水措施。</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（3）对监理人确认的可用料，承包人应在开挖、装运、堆存和其它作业时，采取有效的保质措施，保护可利用渣料免受污染和侵蚀。</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6.6.2弃渣处理</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弃渣应按批准的土方开挖施工措施计划指定的地点有序堆存，防止雨水冲刷流失，危及施工区及周边地区安全。</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sz w:val="21"/>
          <w:szCs w:val="21"/>
        </w:rPr>
      </w:pPr>
      <w:r>
        <w:rPr>
          <w:rFonts w:hint="eastAsia" w:ascii="宋体" w:hAnsi="宋体" w:eastAsia="宋体" w:cs="宋体"/>
          <w:sz w:val="21"/>
          <w:szCs w:val="21"/>
        </w:rPr>
        <w:t>6.7检查和验收</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6.7.1土方开挖前的检查和验收</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土方开挖前，承包人应会同监理人进行以下各项检查：</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（1）用于开挖工程量计量的原地形测量剖面的复核检查。</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（2）按施工图纸所示的工程建筑物开挖尺寸进行开挖剖面测量放样成果的检查。承包人的开挖剖面放样成果作为工程量计量的原始依据。</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（3）按施工图纸所示进行开挖区周围排水和防洪保护设施的质量检查和验收。</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6.7.2土方明挖工程完成后的质量检查和验收</w:t>
      </w:r>
    </w:p>
    <w:p>
      <w:pPr>
        <w:keepNext w:val="0"/>
        <w:keepLines w:val="0"/>
        <w:pageBreakBefore w:val="0"/>
        <w:widowControl w:val="0"/>
        <w:kinsoku/>
        <w:wordWrap/>
        <w:overflowPunct/>
        <w:topLinePunct w:val="0"/>
        <w:autoSpaceDE/>
        <w:autoSpaceDN/>
        <w:bidi w:val="0"/>
        <w:adjustRightInd/>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（1）土方基础明挖工程完成后，承包人应会同监理人进行以下各项质量检查和验收：</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1）按施工图纸要求检查工程基础开挖面的平面尺寸、标高和场地平整度；</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2）取样检测基础土的物理力学性质指标。</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（2）基础面覆盖前的质量检验和验收：</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1）基础面覆盖前，应复核检查基础面是否满足本节第6.7.3条第1款的规定；</w:t>
      </w:r>
    </w:p>
    <w:p>
      <w:pPr>
        <w:keepNext w:val="0"/>
        <w:keepLines w:val="0"/>
        <w:pageBreakBefore w:val="0"/>
        <w:widowControl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2）对已开挖完成的土基基础开挖面，应在坝体（或砌体）填筑前清除表面的松土层，并按监理人批准的施工方法进行压实，受积水侵蚀软化的土壤应予清除，并应在监理人检验合格后立即进行覆盖；</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上述第（1）项基础面开挖完成后的检查验收，与本项规定的在基础面覆盖前进行的基础清理作业后的检验验收是检查和检验目的和性质不同的两次作业，未经监理人同意，承包人不得将这两次作业合并为一次完成。</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（3）永久边坡的检查和验收：</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1）永久边坡的坡度和平整度的复测检查；</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2）边坡永久性排水沟道的坡度和尺寸的复测检查。</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6.7.3完工验收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hint="eastAsia" w:ascii="宋体" w:hAnsi="宋体" w:eastAsia="宋体" w:cs="宋体"/>
          <w:kern w:val="0"/>
          <w:szCs w:val="20"/>
        </w:rPr>
      </w:pPr>
      <w:r>
        <w:rPr>
          <w:rFonts w:hint="eastAsia" w:ascii="宋体" w:hAnsi="宋体" w:eastAsia="宋体" w:cs="宋体"/>
          <w:kern w:val="0"/>
          <w:szCs w:val="20"/>
        </w:rPr>
        <w:t>各项土方明挖工程完工后，承包人应申请完工验收，并提交以下完工验收资料：</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（1）土方明挖工程竣工平面和剖面图；</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（2）质量检查和验收记录；</w:t>
      </w:r>
    </w:p>
    <w:p>
      <w:pPr>
        <w:keepNext w:val="0"/>
        <w:keepLines w:val="0"/>
        <w:pageBreakBefore w:val="0"/>
        <w:widowControl w:val="0"/>
        <w:kinsoku/>
        <w:wordWrap/>
        <w:overflowPunct/>
        <w:topLinePunct w:val="0"/>
        <w:autoSpaceDE/>
        <w:autoSpaceDN/>
        <w:bidi w:val="0"/>
        <w:snapToGrid/>
        <w:spacing w:line="324" w:lineRule="auto"/>
        <w:jc w:val="left"/>
        <w:textAlignment w:val="auto"/>
        <w:rPr>
          <w:rFonts w:hint="eastAsia" w:ascii="宋体" w:hAnsi="宋体" w:eastAsia="宋体" w:cs="宋体"/>
          <w:kern w:val="0"/>
          <w:szCs w:val="20"/>
        </w:rPr>
      </w:pPr>
      <w:r>
        <w:rPr>
          <w:rFonts w:hint="eastAsia" w:ascii="宋体" w:hAnsi="宋体" w:eastAsia="宋体" w:cs="宋体"/>
          <w:kern w:val="0"/>
          <w:szCs w:val="20"/>
        </w:rPr>
        <w:t xml:space="preserve">    （3）监理人要求提供的其它资料。</w:t>
      </w:r>
    </w:p>
    <w:p>
      <w:pPr>
        <w:pStyle w:val="4"/>
        <w:keepNext w:val="0"/>
        <w:keepLines w:val="0"/>
        <w:pageBreakBefore w:val="0"/>
        <w:widowControl w:val="0"/>
        <w:kinsoku/>
        <w:wordWrap/>
        <w:overflowPunct/>
        <w:topLinePunct w:val="0"/>
        <w:autoSpaceDE/>
        <w:autoSpaceDN/>
        <w:bidi w:val="0"/>
        <w:snapToGrid/>
        <w:spacing w:line="324"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6.8计量和支付</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snapToGrid w:val="0"/>
          <w:color w:val="auto"/>
        </w:rPr>
      </w:pPr>
      <w:r>
        <w:rPr>
          <w:rFonts w:hint="eastAsia" w:ascii="宋体" w:hAnsi="宋体" w:eastAsia="宋体" w:cs="宋体"/>
          <w:snapToGrid w:val="0"/>
          <w:color w:val="auto"/>
        </w:rPr>
        <w:t>（</w:t>
      </w:r>
      <w:r>
        <w:rPr>
          <w:rFonts w:hint="eastAsia" w:ascii="宋体" w:hAnsi="宋体" w:eastAsia="宋体" w:cs="宋体"/>
          <w:snapToGrid w:val="0"/>
          <w:color w:val="auto"/>
          <w:lang w:val="en-US" w:eastAsia="zh-CN"/>
        </w:rPr>
        <w:t>1</w:t>
      </w:r>
      <w:r>
        <w:rPr>
          <w:rFonts w:hint="eastAsia" w:ascii="宋体" w:hAnsi="宋体" w:eastAsia="宋体" w:cs="宋体"/>
          <w:snapToGrid w:val="0"/>
          <w:color w:val="auto"/>
        </w:rPr>
        <w:t>）—般土方开挖、沟（槽）土方开挖按施工图纸所示开挖轮廓尺寸计算的有效自然方体积以立方米为单位计量，由发包人按《工程量清单》相应项目有效工程量的每立方米工程单价支付。</w:t>
      </w:r>
    </w:p>
    <w:p>
      <w:pPr>
        <w:keepNext w:val="0"/>
        <w:keepLines w:val="0"/>
        <w:pageBreakBefore w:val="0"/>
        <w:widowControl w:val="0"/>
        <w:kinsoku/>
        <w:wordWrap/>
        <w:overflowPunct/>
        <w:topLinePunct w:val="0"/>
        <w:autoSpaceDE/>
        <w:autoSpaceDN/>
        <w:bidi w:val="0"/>
        <w:snapToGrid/>
        <w:spacing w:line="324" w:lineRule="auto"/>
        <w:ind w:firstLine="420" w:firstLineChars="200"/>
        <w:jc w:val="left"/>
        <w:textAlignment w:val="auto"/>
        <w:rPr>
          <w:rFonts w:hint="eastAsia" w:ascii="宋体" w:hAnsi="宋体" w:eastAsia="宋体" w:cs="宋体"/>
          <w:snapToGrid w:val="0"/>
          <w:color w:val="auto"/>
        </w:rPr>
      </w:pPr>
      <w:r>
        <w:rPr>
          <w:rFonts w:hint="eastAsia" w:ascii="宋体" w:hAnsi="宋体" w:eastAsia="宋体" w:cs="宋体"/>
          <w:snapToGrid w:val="0"/>
          <w:color w:val="auto"/>
        </w:rPr>
        <w:t>（</w:t>
      </w:r>
      <w:r>
        <w:rPr>
          <w:rFonts w:hint="eastAsia" w:ascii="宋体" w:hAnsi="宋体" w:eastAsia="宋体" w:cs="宋体"/>
          <w:snapToGrid w:val="0"/>
          <w:color w:val="auto"/>
          <w:lang w:val="en-US" w:eastAsia="zh-CN"/>
        </w:rPr>
        <w:t>2</w:t>
      </w:r>
      <w:r>
        <w:rPr>
          <w:rFonts w:hint="eastAsia" w:ascii="宋体" w:hAnsi="宋体" w:eastAsia="宋体" w:cs="宋体"/>
          <w:snapToGrid w:val="0"/>
          <w:color w:val="auto"/>
        </w:rPr>
        <w:t>）土方明挖工程单价包括承包人按合同要求完成场地清理，临时性排水措施（包括排水设备的安拆、运行和维修），将开挖可利用或废弃的土方运至监理人指定的堆放区并加以保护、处理等工作所需的费用。</w:t>
      </w:r>
    </w:p>
    <w:p>
      <w:pPr>
        <w:pStyle w:val="3"/>
        <w:keepNext w:val="0"/>
        <w:keepLines w:val="0"/>
        <w:pageBreakBefore w:val="0"/>
        <w:kinsoku/>
        <w:overflowPunct/>
        <w:topLinePunct w:val="0"/>
        <w:autoSpaceDE/>
        <w:autoSpaceDN/>
        <w:bidi w:val="0"/>
        <w:spacing w:line="324" w:lineRule="auto"/>
        <w:jc w:val="center"/>
        <w:rPr>
          <w:rFonts w:ascii="宋体" w:hAnsi="宋体" w:eastAsia="宋体" w:cs="Times New Roman"/>
          <w:b/>
          <w:bCs/>
          <w:color w:val="000000"/>
          <w:kern w:val="0"/>
          <w:sz w:val="21"/>
          <w:szCs w:val="21"/>
          <w:highlight w:val="none"/>
          <w:lang w:val="en-US" w:eastAsia="zh-CN" w:bidi="ar-SA"/>
        </w:rPr>
      </w:pPr>
      <w:r>
        <w:rPr>
          <w:rFonts w:ascii="Cambria" w:hAnsi="Cambria"/>
          <w:b/>
          <w:bCs w:val="0"/>
          <w:sz w:val="30"/>
        </w:rPr>
        <w:br w:type="page"/>
      </w:r>
      <w:bookmarkStart w:id="115" w:name="_Toc21314"/>
      <w:bookmarkStart w:id="116" w:name="_Toc21086"/>
      <w:bookmarkStart w:id="117" w:name="_Toc340"/>
      <w:r>
        <w:rPr>
          <w:rFonts w:ascii="宋体" w:hAnsi="宋体" w:eastAsia="宋体" w:cs="Times New Roman"/>
          <w:b/>
          <w:bCs/>
          <w:color w:val="000000"/>
          <w:kern w:val="0"/>
          <w:sz w:val="21"/>
          <w:szCs w:val="21"/>
          <w:highlight w:val="none"/>
          <w:lang w:val="en-US" w:eastAsia="zh-CN" w:bidi="ar-SA"/>
        </w:rPr>
        <w:t>第13</w:t>
      </w:r>
      <w:r>
        <w:rPr>
          <w:rFonts w:hint="eastAsia" w:ascii="宋体" w:hAnsi="宋体" w:eastAsia="宋体" w:cs="Times New Roman"/>
          <w:b/>
          <w:bCs/>
          <w:color w:val="000000"/>
          <w:kern w:val="0"/>
          <w:sz w:val="21"/>
          <w:szCs w:val="21"/>
          <w:highlight w:val="none"/>
          <w:lang w:val="en-US" w:eastAsia="zh-CN" w:bidi="ar-SA"/>
        </w:rPr>
        <w:t>节</w:t>
      </w:r>
      <w:r>
        <w:rPr>
          <w:rFonts w:ascii="宋体" w:hAnsi="宋体" w:eastAsia="宋体" w:cs="Times New Roman"/>
          <w:b/>
          <w:bCs/>
          <w:color w:val="000000"/>
          <w:kern w:val="0"/>
          <w:sz w:val="21"/>
          <w:szCs w:val="21"/>
          <w:highlight w:val="none"/>
          <w:lang w:val="en-US" w:eastAsia="zh-CN" w:bidi="ar-SA"/>
        </w:rPr>
        <w:t>土石方填筑工程</w:t>
      </w:r>
      <w:bookmarkEnd w:id="115"/>
      <w:bookmarkEnd w:id="116"/>
      <w:bookmarkEnd w:id="117"/>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18" w:name="第13章01"/>
      <w:bookmarkEnd w:id="118"/>
      <w:bookmarkStart w:id="119" w:name="_Toc21113"/>
      <w:r>
        <w:rPr>
          <w:rFonts w:hint="eastAsia" w:ascii="宋体" w:hAnsi="宋体" w:eastAsia="宋体" w:cs="宋体"/>
          <w:sz w:val="21"/>
          <w:szCs w:val="21"/>
        </w:rPr>
        <w:t>13.1一般规定</w:t>
      </w:r>
      <w:bookmarkEnd w:id="119"/>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13.1.1应用范围</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（1）本章规定适用于本合同施工图纸所示的碾压式土坝和土石坝、各种类型堆石坝、堤防工程和土石围堰等的堰体填筑及其防渗体（包括土工合成材料防渗体）的施工。</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（2）土石方填筑工程的工作内容包括：坝料运输、现场碾压试验、坝料的填筑和碾压、坝体排水和护坡设施，以及混凝土面板堆石坝上游坡面保护措施等。</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13.1.2承包人的责任</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（1）承包人应根据本工程施工总进度的安排，做好建筑物开挖料和填筑料的供求平衡。</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（2）在施工过程中，承包人应做到填筑施工的合理安排，填筑面层次分明，作业面平整。</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（3）在填筑过程中，承包人应采取有效措施，保护已埋设仪器和测量标志。</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13.1.3主要提交件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xml:space="preserve">    （1）土石方填筑施工措施计划</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在土石方填筑工程开工前14天，承包人应按施工图纸要求和监理人指示，编制土石方填筑施工措施计划，提交监理人批准。其内容包括：</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1）土石方填筑程序和方法；</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2）土石方平衡计划；</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3）施工设备、设施配置；</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4）质量控制和安全保证措施；</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5）施工进度计划；</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6）监理人要求提交的其它文件和资料。</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xml:space="preserve">    （2）地形测量资料</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土石方填筑工程开工前 7 天，承包人应将填筑区基础开挖验收后实测的平、剖面地形测量资料提交监理人，经监理人验收的地形测量资料作为填筑工程量计量的原始依据。</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（3）现场试验计划和试验成果报告</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土石方填筑工程开工前14天，承包人应根据从本章第13.2款获得</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的料场复查资料，以及根据料场平衡计划中提供的各种土石方填筑料源，将本章第13.3款所列的现场试验计划，提交监理人批准。试验成果应及时提交监理人。</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（4）土工合成材料选择和施工措施。</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当土石方填筑工程采用土工合成材料作防渗结构或反滤、排水设施时，承包人应将土工合成材料的选择和施工措施报告，提交监理人批准。</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13.1.4引用标准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ascii="宋体" w:hAnsi="宋体"/>
          <w:szCs w:val="21"/>
        </w:rPr>
      </w:pPr>
      <w:r>
        <w:rPr>
          <w:rFonts w:hint="eastAsia" w:ascii="宋体" w:hAnsi="宋体"/>
          <w:szCs w:val="21"/>
          <w:lang w:eastAsia="zh-CN"/>
        </w:rPr>
        <w:t>（</w:t>
      </w:r>
      <w:r>
        <w:rPr>
          <w:rFonts w:hint="eastAsia" w:ascii="宋体" w:hAnsi="宋体"/>
          <w:szCs w:val="21"/>
        </w:rPr>
        <w:t>1）《土工合成材料应用技术规范》（GB 50290-1998）；</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ascii="宋体" w:hAnsi="宋体"/>
          <w:szCs w:val="21"/>
        </w:rPr>
        <w:t>（</w:t>
      </w:r>
      <w:r>
        <w:rPr>
          <w:rFonts w:hint="eastAsia" w:ascii="宋体" w:hAnsi="宋体"/>
          <w:szCs w:val="21"/>
        </w:rPr>
        <w:t>2</w:t>
      </w:r>
      <w:r>
        <w:rPr>
          <w:rFonts w:ascii="宋体" w:hAnsi="宋体"/>
          <w:szCs w:val="21"/>
        </w:rPr>
        <w:t>）《水利水电工程施工组织设计规范》（SL 303—2004）；</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（3）《水利水电工程天然建筑材料勘察规程》（SL 251-2000）；</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（4）</w:t>
      </w:r>
      <w:r>
        <w:rPr>
          <w:rFonts w:ascii="宋体" w:hAnsi="宋体"/>
          <w:szCs w:val="21"/>
        </w:rPr>
        <w:t>《土工试验规程》（SL237—1999）；</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（5）《土工合面材料测试规程》（SL 235-2012）；</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（6）《水利水电工程土工合成材料应用技术规范》（SL/T 225-1998）；</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（7）《堤防工程施工规范》（S</w:t>
      </w:r>
      <w:r>
        <w:rPr>
          <w:rFonts w:ascii="宋体" w:hAnsi="宋体"/>
          <w:szCs w:val="21"/>
        </w:rPr>
        <w:t>L 260—</w:t>
      </w:r>
      <w:r>
        <w:rPr>
          <w:rFonts w:hint="eastAsia" w:ascii="宋体" w:hAnsi="宋体"/>
          <w:szCs w:val="21"/>
        </w:rPr>
        <w:t>2014</w:t>
      </w:r>
      <w:r>
        <w:rPr>
          <w:rFonts w:ascii="宋体" w:hAnsi="宋体"/>
          <w:szCs w:val="21"/>
        </w:rPr>
        <w:t>）</w:t>
      </w:r>
      <w:r>
        <w:rPr>
          <w:rFonts w:hint="eastAsia" w:ascii="宋体" w:hAnsi="宋体"/>
          <w:szCs w:val="21"/>
        </w:rPr>
        <w:t>；</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（8）《土石坝安全监测技术规范》（SL 551-2012）；</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20" w:name="第13章06"/>
      <w:bookmarkEnd w:id="120"/>
      <w:bookmarkStart w:id="121" w:name="第13章02"/>
      <w:bookmarkEnd w:id="121"/>
      <w:bookmarkStart w:id="122" w:name="_Toc16315"/>
      <w:r>
        <w:rPr>
          <w:rFonts w:hint="eastAsia" w:ascii="宋体" w:hAnsi="宋体" w:eastAsia="宋体" w:cs="宋体"/>
          <w:sz w:val="21"/>
          <w:szCs w:val="21"/>
        </w:rPr>
        <w:t>13.2料源要求</w:t>
      </w:r>
      <w:bookmarkEnd w:id="122"/>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13.2.1土料</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（1）防渗土料的填筑含水量应按施工图纸要求或碾压试验确定。料场取料的含水量不合格时，应在料场调整合格后，才能运到坝上。</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（2）砾质土（包括冰积、坡积、洪积和构造残积七）应遵守《碾压式土石坝施工规范》（DL/T 5129—2013）相关规定。</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（3）人工掺和砾石土所用的上料和碎石料特性及其比例，以及含水量均应符合施工图纸要求和《碾压式土石坝施工规范》（DL/T 5129—2013）相关规 定。人工掺合料应均匀，不得有砂砾石集中现象。</w:t>
      </w:r>
    </w:p>
    <w:p>
      <w:pPr>
        <w:keepNext w:val="0"/>
        <w:keepLines w:val="0"/>
        <w:pageBreakBefore w:val="0"/>
        <w:kinsoku/>
        <w:overflowPunct/>
        <w:topLinePunct w:val="0"/>
        <w:autoSpaceDE/>
        <w:autoSpaceDN/>
        <w:bidi w:val="0"/>
        <w:adjustRightInd w:val="0"/>
        <w:spacing w:line="324" w:lineRule="auto"/>
        <w:rPr>
          <w:rFonts w:ascii="宋体" w:hAnsi="宋体"/>
          <w:szCs w:val="21"/>
        </w:rPr>
      </w:pPr>
      <w:r>
        <w:rPr>
          <w:rFonts w:hint="eastAsia" w:ascii="宋体" w:hAnsi="宋体"/>
          <w:szCs w:val="21"/>
        </w:rPr>
        <w:t>13.2.2反滤料和垫层料的料源与要求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（1）土石坝防渗体的反滤料利用天然或经加工的砂砾石料，或用致密坚硬石料轧制，或用天然砂砾石料与轧制料的掺合料。反滤料的级配应符合施工图纸要求。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（2）混凝土面板堆石坝的垫层料采用天然砂砾石料加工或致密坚硬石料轧制，或采用天然砂砾石料与轧制骨料的掺合料。</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（3）垫层料的级配应满足施工图纸要求，压实后应具有低压缩性、高抗剪强度，并具有良好的施工特性。中低坝垫层料可按监理人指示适当降低要求。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（4）土工合成材料防渗体两侧的垫层料，可用天然砂砾石筛分制备，或采用天然风化砂料和河滩砂料；亦可采用建筑物开挖的新鲜石渣料或经砂石加工系统加工筛分的半成品料，级配应满足施工图纸要求。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（5）沥青混凝土坝的垫层料应是致密坚硬碎石料，有良好的级配，沥青混凝土最大骨料与垫层料的最大粒径的比应满足施工图纸要求。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（6）经加工的反滤料和垫层料应分类堆放。不得混杂，并应防止分离。</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23" w:name="第13章03"/>
      <w:bookmarkEnd w:id="123"/>
      <w:bookmarkStart w:id="124" w:name="_Toc21009"/>
      <w:r>
        <w:rPr>
          <w:rFonts w:hint="eastAsia" w:ascii="宋体" w:hAnsi="宋体" w:eastAsia="宋体" w:cs="宋体"/>
          <w:sz w:val="21"/>
          <w:szCs w:val="21"/>
        </w:rPr>
        <w:t>13.3填筑现场试验</w:t>
      </w:r>
      <w:bookmarkEnd w:id="124"/>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13.3.1一般要求</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ascii="宋体" w:hAnsi="宋体"/>
          <w:szCs w:val="21"/>
        </w:rPr>
      </w:pPr>
      <w:r>
        <w:rPr>
          <w:rFonts w:hint="eastAsia" w:ascii="宋体" w:hAnsi="宋体"/>
          <w:szCs w:val="21"/>
        </w:rPr>
        <w:t>（1）土石方填筑工程开始前，承包人应根据建筑物设计要求选定的土石方填筑料，并按本章第13.4.2条规定的试验内容，按施工图纸要求进行与实际施工条件相似的现场工艺试验，以确定填筑施工参数。</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left"/>
        <w:textAlignment w:val="auto"/>
        <w:rPr>
          <w:rFonts w:ascii="宋体" w:hAnsi="宋体"/>
          <w:szCs w:val="21"/>
        </w:rPr>
      </w:pPr>
      <w:r>
        <w:rPr>
          <w:rFonts w:hint="eastAsia" w:ascii="宋体" w:hAnsi="宋体"/>
          <w:szCs w:val="21"/>
        </w:rPr>
        <w:t>（2）每项土石方填筑现场工艺试验或现场生产性试验开始前，承包人应编制现场试验措施计划提交监理人批准。试验完成后，应将试验成果报告和试验记录提交监理人。</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13.3.2土料碾压试验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（1）防渗土料应进行土料铺料方式和碾压试验，必要时进行土料含水量调整试验。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（2）土料和人工掺合料的混合试验，应进行混合方式、混合效果（土石混合的均匀性）以及含水量变化规律等试验。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3）土料碾压试验应按施工图纸规定的碾压机械类型、重量和行车速度，进行铺料厚度、碾压遍数和填筑含水量的比较试验。检测各种参数下压实土的干密度和含水量，砾质土或风化土料碾压前后的砾石含量。并进行现场渗透试验、原状样的室内压缩和抗剪强度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（4）土料碾压试验后，应检查压实土层之间及土层本身的结构状况。如发现疏松土层、结合不良或发生剪切破坏等情况，应分析原因，提出改进措施。</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13.3.3垫层料和堆石料碾压试验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（1）根据施工图纸规定的碾压机械类型、重量和激振力，进行各种堆石料的铺料厚度、碾压遍数和加水量的比较试验；检测振动碾压前后填筑体及选定碾压遍数的填筑体干密度和颗粒级配等试验。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（2）混凝土面板堆石坝应进行垫层料的斜坡碾压试验，必要时应采取保护上游坡面的施工措施，如进行喷混凝土、碾压砂浆或喷乳化沥青等的试验。当上游坡面采用挤压墙时，应通过现场试验确定其施工参数。</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25" w:name="第13章05"/>
      <w:bookmarkEnd w:id="125"/>
      <w:bookmarkStart w:id="126" w:name="第13章04"/>
      <w:bookmarkEnd w:id="126"/>
      <w:bookmarkStart w:id="127" w:name="_Toc22572"/>
      <w:r>
        <w:rPr>
          <w:rFonts w:hint="eastAsia" w:ascii="宋体" w:hAnsi="宋体" w:eastAsia="宋体" w:cs="宋体"/>
          <w:sz w:val="21"/>
          <w:szCs w:val="21"/>
        </w:rPr>
        <w:t>13.6堤防工程施工</w:t>
      </w:r>
      <w:bookmarkEnd w:id="127"/>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13.6.1一般要求</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（1）堤防工程的施工测量、放样应遵守《堤防工程施工规范》（SL 260— 2014）第3.2节的规定。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（2）堤防工程的料场核查应遵守《堤防工程施工规范》（SL 260—2014）第3.3节的规定。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（3）机械、设备及材料准备应遵守《堤防工程施工规范》（SL 260— 2014）第3.4节的规定。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（4）度汛、导流的洪水标准应遵守《堤防工程施工规范》（SL 260— 2014）第4章的规定。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13.6.2筑堤施工</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（1）筑堤材料应遵守《堤防工程施工规范&gt; （SL 260—2014）第5章的规定。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（2）堤防的基础及堤身填筑应遵守《堤防工程施工规范》（SL 260— 2014）第6章、第8章的规定。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（3）堤防的垂直防渗应遵守《堤防工程施工规范》（SL 260—2014）第7章的规定。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13.6.3质量控制和验收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堤防的质量控制和验收应遵守《堤防工程施工规范》（SL 260-2014）第10章、第11章、第12章的有关规定。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28" w:name="第13章07"/>
      <w:bookmarkEnd w:id="128"/>
      <w:bookmarkStart w:id="129" w:name="_Toc27703"/>
      <w:r>
        <w:rPr>
          <w:rFonts w:hint="eastAsia" w:ascii="宋体" w:hAnsi="宋体" w:eastAsia="宋体" w:cs="宋体"/>
          <w:sz w:val="21"/>
          <w:szCs w:val="21"/>
        </w:rPr>
        <w:t>13.7土工合成材料施工</w:t>
      </w:r>
      <w:bookmarkEnd w:id="129"/>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13.7.1材料</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用于土石坝、围堰的防渗结构、反滤和排水设施的土工合成材料包括土工织物、土工膜和土工复合材料。其材料性能应遵守《水利水电工程土工合成材 料应用技术规范》（SL/T 225—98）第3. 2节的有关规定。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13.7.2运输及储存</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（1）土工合成材料的运输及储存应遵守《水利水电工程土工合成材料应用技术规范》（SL/T 225—98）第3.3节的规定。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（2）若采用折叠装箱运输土工合成材料，不得使用带钉子的木箱；若采用卷材运输，应注意防止在装卸过程中造成卷材表面的损害。</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（3）土工合成材料应储存在不受损坏和方便取用的地方，尽量减少装卸次数。</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13.7.3拼接</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w:t>
      </w:r>
      <w:r>
        <w:rPr>
          <w:rFonts w:ascii="宋体" w:hAnsi="宋体"/>
          <w:szCs w:val="21"/>
        </w:rPr>
        <w:t>1</w:t>
      </w:r>
      <w:r>
        <w:rPr>
          <w:rFonts w:hint="eastAsia" w:ascii="宋体" w:hAnsi="宋体"/>
          <w:szCs w:val="21"/>
        </w:rPr>
        <w:t>）土工合成材料的拼接方式及搭接长度应满足施工图纸的要求，并遵守《水利水电工程土工合成材料应用技术规范》（</w:t>
      </w:r>
      <w:r>
        <w:rPr>
          <w:rFonts w:ascii="宋体" w:hAnsi="宋体"/>
          <w:szCs w:val="21"/>
        </w:rPr>
        <w:t>SL/T 225—98</w:t>
      </w:r>
      <w:r>
        <w:rPr>
          <w:rFonts w:hint="eastAsia" w:ascii="宋体" w:hAnsi="宋体"/>
          <w:szCs w:val="21"/>
        </w:rPr>
        <w:t>）第</w:t>
      </w:r>
      <w:r>
        <w:rPr>
          <w:rFonts w:ascii="宋体" w:hAnsi="宋体"/>
          <w:szCs w:val="21"/>
        </w:rPr>
        <w:t>5.6.2</w:t>
      </w:r>
      <w:r>
        <w:rPr>
          <w:rFonts w:hint="eastAsia" w:ascii="宋体" w:hAnsi="宋体" w:eastAsia="MS Mincho" w:cs="MS Mincho"/>
          <w:szCs w:val="21"/>
        </w:rPr>
        <w:t>〜</w:t>
      </w:r>
      <w:r>
        <w:rPr>
          <w:rFonts w:hint="eastAsia" w:ascii="宋体" w:hAnsi="宋体"/>
          <w:szCs w:val="21"/>
        </w:rPr>
        <w:t>5.6.5条的有关规定。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hint="eastAsia" w:ascii="宋体" w:hAnsi="宋体"/>
          <w:szCs w:val="21"/>
        </w:rPr>
      </w:pPr>
      <w:r>
        <w:rPr>
          <w:rFonts w:hint="eastAsia" w:ascii="宋体" w:hAnsi="宋体"/>
          <w:szCs w:val="21"/>
        </w:rPr>
        <w:t>（2）在施工过程中，若气温低于必须对粘结剂和粘结面进行加热处理。粘结强度必须符合施工阁纸的要求。</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采用现场粘结方式拼接土工合成材料应保证有足够的搭接长度，粘结剂应均匀涂满；采用热熔焊接进行拼接时，应保证有足够的焊接宽度，尽量选用宽幅的土工合成材料，芯幅宽较窄，应在观场工作栩内拼接成宽幅，以减少 现场接缝和粘（搭）结工作量。</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bookmarkStart w:id="130" w:name="第13章09"/>
      <w:bookmarkEnd w:id="130"/>
      <w:r>
        <w:rPr>
          <w:rFonts w:hint="eastAsia" w:ascii="宋体" w:hAnsi="宋体"/>
          <w:szCs w:val="21"/>
        </w:rPr>
        <w:t>13.7.4土工合成材料铺设</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（1）采用土工膜或复合土工膜作防渗体时，应规划好跨越土工膜的行驶道路。当车辆、设备等跨越土工膜时，应采取相应的保护措施，防止损伤已铺设的土工合成材料。</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（2）土工合成材料的铺设方法应根据坝高和材料的受力方向、施工过程中的度汛要求以及尽量减少接缝的数量等因素确定。</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（3）为防止大风吹损，在铺设期间应采用沙袋或软性重物将土工合成材料压住。当天铺设的土工合成材料应在当天拼接完成。</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4）对施工过程中遭受损坏的土工合成材料，应及时修理，修理时应将破坏部位不符合要求的料物清除干净，补充填人合格料物后进行平整。对受损的土工合成材料，应外铺一层合格的土工合成材料，其各边长度应大于破损部位1m以上，并将两者进行拼接处理。</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 xml:space="preserve">（5）斜墙上土工合成材料的铺设应遵守以下规定: </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1）土工合成材料铺设前，应按施工图纸要求完成支持层施工，支持层应碾压密实，坡面平整。</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2）开挖基础锚固槽和坡面防滑槽，其断面尺寸应符合施工图纸的规定。</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3）对基础锚固槽、坡面防滑槽和坝坡坡面进行清理和验收后，由上向下滚铺卷材。</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4）铺设过程中，作业人员不得穿硬底皮鞋及带钉鞋。不准在土工合成材料上卸放护坡块体，不准用带尖头的撬动工具，不准进行可能引起土工合成材料损坏的施工作业。</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5）土工合成材料与基础及支持层之间应压平贴紧，避免架空。对易产生 架空现象的坝面马道部位可设置水平槽。</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（6）心墙土工合成材料铺设应遵守以下规定：</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1）中央防渗的土工膜和复合土工膜应和坝体填筑同时进行，按“之”字 形铺设。其具体褶皱高度和褶皱角度应满足施工图纸要求。</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2）若沿坝轴线方向设有伸缩货，并采用单一土工隔膜时，应在隔膜两侧加细颗粒料或加土工织物。</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ascii="宋体" w:hAnsi="宋体"/>
          <w:szCs w:val="21"/>
        </w:rPr>
        <w:t>3</w:t>
      </w:r>
      <w:r>
        <w:rPr>
          <w:rFonts w:hint="eastAsia" w:ascii="宋体" w:hAnsi="宋体"/>
          <w:szCs w:val="21"/>
        </w:rPr>
        <w:t>）回填两侧砂砾石料时，在距土工膜</w:t>
      </w:r>
      <w:r>
        <w:rPr>
          <w:rFonts w:ascii="宋体" w:hAnsi="宋体"/>
          <w:szCs w:val="21"/>
        </w:rPr>
        <w:t>50</w:t>
      </w:r>
      <w:r>
        <w:rPr>
          <w:rFonts w:hint="eastAsia" w:ascii="宋体" w:hAnsi="宋体" w:eastAsia="MS Mincho" w:cs="MS Mincho"/>
          <w:szCs w:val="21"/>
        </w:rPr>
        <w:t>〜</w:t>
      </w:r>
      <w:r>
        <w:rPr>
          <w:rFonts w:ascii="宋体" w:hAnsi="宋体"/>
          <w:szCs w:val="21"/>
        </w:rPr>
        <w:t>100cm</w:t>
      </w:r>
      <w:r>
        <w:rPr>
          <w:rFonts w:hint="eastAsia" w:ascii="宋体" w:hAnsi="宋体"/>
          <w:szCs w:val="21"/>
        </w:rPr>
        <w:t>范围内只能用小型设备压实，不得用振动碾碾压。</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（7）土工膜与周边连接施工。</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1）土工膜应通过锚固槽与河床或岸坡的不透水基岩紧密连接，顶部应锚固于防浪墙的混凝土中，以形成整体防渗^其锚同长度应符合施工图纸的 要求。</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2）土工膜与周边的连接形式应符合施工图纸的要求。土工膜与下部混凝土防渗墙连接时，土工膜应直接埋人防渗墙混凝土内。与岸坡基岩或混凝土建筑物连接时，可直接锚固在基岩或混凝土面上，或埋人混凝土齿墙内，并同时在岸坡附近设伸缩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31" w:name="第13章08"/>
      <w:bookmarkEnd w:id="131"/>
      <w:bookmarkStart w:id="132" w:name="_Toc25585"/>
      <w:r>
        <w:rPr>
          <w:rFonts w:hint="eastAsia" w:ascii="宋体" w:hAnsi="宋体" w:eastAsia="宋体" w:cs="宋体"/>
          <w:sz w:val="21"/>
          <w:szCs w:val="21"/>
        </w:rPr>
        <w:t>13.8质量检查和验收</w:t>
      </w:r>
      <w:bookmarkEnd w:id="132"/>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13.8.1土石方填筑前的质量检查和验收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（1）填筑前的地形平面、剖面测量资料的复核检查；</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（2）填筑前基础面清理的检查和验收；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（3）土石方填筑料的物理力学试验成果抽检；</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（4）施工碾压参数及其试验成果的检查和验收。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13.8.2土石方填筑过程的质量检查和验收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（1）填筑过程的质量检查的内容、方法和程序应遵守《混凝土面板堆石坝施工规范》（SL49-1994）附录A的规定。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（2）坝料填筑质量控制标准应符合本章第13.4条的规定。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（3）在土料场对防渗土料的含水量和颗粒级配进行检验，严格控制上坝土料的含水量。</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（4）在石料场对石料质量和尺寸外形及堆石料的级配进行检验；在反滤料场对成品料的颗粒级配、含水量、软弱颗粒含量和形状等进行检验。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（5）对防渗土料的含水量和干密度、砾质土颗粒级配、反滤料和堆石料的干密度、孔隙率和颗粒级配等碾压参数进行检验。</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（6）对土石方填筑的每一层填筑面，应按本章第13.4条、第13.6条的规定进行工程隐蔽部位的验收。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（7）取样测定堆石料干密度，其平均值不应小于施工图纸规定的设计值。</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　　（8）承包人应按监理人指示，针对本章第13.4条、第13.6条的施工内容，提交各项质量检查报经监理人验收后作为土石方填筑工程完工验收的附件。</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13.8.3堤防工程的施工质量控制和验收</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（1）堤防工程填筑质量标准应符合本章第13.6.2项的规定。</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（2）堤防工程施工质量控制和验收应遵守《堤防工程施工规范》（S260-2014）第11章、第12章的规定。</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13.8.4土工合成材料防渗体的质量检查和验收</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（1）承包人应按本章第13.8. 1项的有关规定，对运到工地的每批土工合成材料进行了检查和验收。</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（2）每层土工合成材料被回填覆盖前，承包人应会同监理人按工程隐蔽部位的验收要求，对土工合成材料防渗体施工质量进行以下项目的检验和验收：</w:t>
      </w:r>
    </w:p>
    <w:p>
      <w:pPr>
        <w:keepNext w:val="0"/>
        <w:keepLines w:val="0"/>
        <w:pageBreakBefore w:val="0"/>
        <w:kinsoku/>
        <w:overflowPunct/>
        <w:topLinePunct w:val="0"/>
        <w:autoSpaceDE/>
        <w:autoSpaceDN/>
        <w:bidi w:val="0"/>
        <w:adjustRightInd w:val="0"/>
        <w:spacing w:line="324" w:lineRule="auto"/>
        <w:ind w:firstLine="420" w:firstLineChars="200"/>
        <w:rPr>
          <w:rFonts w:hint="eastAsia" w:ascii="宋体" w:hAnsi="宋体"/>
          <w:szCs w:val="21"/>
        </w:rPr>
      </w:pPr>
      <w:r>
        <w:rPr>
          <w:rFonts w:hint="eastAsia" w:ascii="宋体" w:hAnsi="宋体"/>
          <w:szCs w:val="21"/>
        </w:rPr>
        <w:t>1）每层土工合成材料被覆盖前，应根据《水利水电工程土工合成材料应用技术规范》（SL/T 225—98）第5.6.9条第1项、第2项的规定，采用目测 或用真空法、充气法检查有无漏接，接缝烫损和褶皱等缺陷。</w:t>
      </w:r>
    </w:p>
    <w:p>
      <w:pPr>
        <w:keepNext w:val="0"/>
        <w:keepLines w:val="0"/>
        <w:pageBreakBefore w:val="0"/>
        <w:kinsoku/>
        <w:overflowPunct/>
        <w:topLinePunct w:val="0"/>
        <w:autoSpaceDE/>
        <w:autoSpaceDN/>
        <w:bidi w:val="0"/>
        <w:adjustRightInd w:val="0"/>
        <w:spacing w:line="324" w:lineRule="auto"/>
        <w:ind w:firstLine="420" w:firstLineChars="200"/>
        <w:rPr>
          <w:rFonts w:ascii="宋体" w:hAnsi="宋体"/>
          <w:szCs w:val="21"/>
        </w:rPr>
      </w:pPr>
      <w:r>
        <w:rPr>
          <w:rFonts w:hint="eastAsia" w:ascii="宋体" w:hAnsi="宋体"/>
          <w:szCs w:val="21"/>
        </w:rPr>
        <w:t>2）承包人应按《水利水电工程土工合成材料应用技术规范》（SL/T 225— 98）第5.6.9条第3项的规定，进行拉伸强度试验，要求接缝处强度不低于母材的80%,且试件断裂不得在接缝处，防止接缝不合格。</w:t>
      </w:r>
    </w:p>
    <w:p>
      <w:pPr>
        <w:keepNext w:val="0"/>
        <w:keepLines w:val="0"/>
        <w:pageBreakBefore w:val="0"/>
        <w:kinsoku/>
        <w:overflowPunct/>
        <w:topLinePunct w:val="0"/>
        <w:autoSpaceDE/>
        <w:autoSpaceDN/>
        <w:bidi w:val="0"/>
        <w:adjustRightInd w:val="0"/>
        <w:spacing w:line="324" w:lineRule="auto"/>
        <w:jc w:val="left"/>
        <w:rPr>
          <w:rFonts w:ascii="宋体" w:hAnsi="宋体"/>
          <w:szCs w:val="21"/>
        </w:rPr>
      </w:pPr>
      <w:r>
        <w:rPr>
          <w:rFonts w:hint="eastAsia" w:ascii="宋体" w:hAnsi="宋体"/>
          <w:szCs w:val="21"/>
        </w:rPr>
        <w:t>13.8.5完工验收</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填筑工程全部完工后，承包人应向监理人申请完工验收，并提交以下完工验收资料：</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（1）坝（堤）体土石方填筑工程（包括填筑体防渗结构及土工布防渗结构）竣工图。</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（2）现场试验成果。</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（3）坝（堤）体填筑质量及土工布施工质量（包括质量事故处理）报告。</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（4）施工期坝（堤）体安全监测的观测成果。</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（5）工程隐蔽部位的检查验收报告。</w:t>
      </w:r>
    </w:p>
    <w:p>
      <w:pPr>
        <w:keepNext w:val="0"/>
        <w:keepLines w:val="0"/>
        <w:pageBreakBefore w:val="0"/>
        <w:kinsoku/>
        <w:overflowPunct/>
        <w:topLinePunct w:val="0"/>
        <w:autoSpaceDE/>
        <w:autoSpaceDN/>
        <w:bidi w:val="0"/>
        <w:adjustRightInd w:val="0"/>
        <w:spacing w:line="324" w:lineRule="auto"/>
        <w:ind w:firstLine="420" w:firstLineChars="200"/>
        <w:jc w:val="left"/>
        <w:rPr>
          <w:rFonts w:ascii="宋体" w:hAnsi="宋体"/>
          <w:szCs w:val="21"/>
        </w:rPr>
      </w:pPr>
      <w:r>
        <w:rPr>
          <w:rFonts w:hint="eastAsia" w:ascii="宋体" w:hAnsi="宋体"/>
          <w:szCs w:val="21"/>
        </w:rPr>
        <w:t>（6）监理人要求提供的其他资料。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highlight w:val="none"/>
        </w:rPr>
      </w:pPr>
      <w:bookmarkStart w:id="133" w:name="_Toc11366"/>
      <w:r>
        <w:rPr>
          <w:rFonts w:hint="eastAsia" w:ascii="宋体" w:hAnsi="宋体" w:eastAsia="宋体" w:cs="宋体"/>
          <w:sz w:val="21"/>
          <w:szCs w:val="21"/>
          <w:highlight w:val="none"/>
        </w:rPr>
        <w:t>13.9计量和支付</w:t>
      </w:r>
      <w:bookmarkEnd w:id="133"/>
    </w:p>
    <w:p>
      <w:pPr>
        <w:keepNext w:val="0"/>
        <w:keepLines w:val="0"/>
        <w:pageBreakBefore w:val="0"/>
        <w:kinsoku/>
        <w:overflowPunct/>
        <w:topLinePunct w:val="0"/>
        <w:autoSpaceDE/>
        <w:autoSpaceDN/>
        <w:bidi w:val="0"/>
        <w:adjustRightInd w:val="0"/>
        <w:spacing w:line="324" w:lineRule="auto"/>
        <w:jc w:val="left"/>
        <w:rPr>
          <w:rFonts w:ascii="宋体" w:hAnsi="宋体"/>
          <w:szCs w:val="21"/>
          <w:highlight w:val="none"/>
        </w:rPr>
      </w:pPr>
      <w:r>
        <w:rPr>
          <w:rFonts w:hint="eastAsia" w:ascii="宋体" w:hAnsi="宋体"/>
          <w:szCs w:val="21"/>
          <w:highlight w:val="none"/>
        </w:rPr>
        <w:t>　　（1）土方填筑按施工图纸所示尺寸计算的有效压实方体积以立方米为单位计量，由发包人按《工程量清单》相应项目有效工程量的每立方米工程单价支付。</w:t>
      </w:r>
    </w:p>
    <w:p>
      <w:pPr>
        <w:keepNext w:val="0"/>
        <w:keepLines w:val="0"/>
        <w:pageBreakBefore w:val="0"/>
        <w:kinsoku/>
        <w:overflowPunct/>
        <w:topLinePunct w:val="0"/>
        <w:autoSpaceDE/>
        <w:autoSpaceDN/>
        <w:bidi w:val="0"/>
        <w:adjustRightInd w:val="0"/>
        <w:spacing w:line="324" w:lineRule="auto"/>
        <w:ind w:firstLine="420"/>
        <w:jc w:val="left"/>
        <w:rPr>
          <w:rFonts w:hint="eastAsia" w:ascii="宋体" w:hAnsi="宋体"/>
          <w:szCs w:val="21"/>
          <w:highlight w:val="none"/>
        </w:rPr>
      </w:pPr>
      <w:r>
        <w:rPr>
          <w:rFonts w:hint="eastAsia" w:ascii="宋体" w:hAnsi="宋体"/>
          <w:szCs w:val="21"/>
          <w:highlight w:val="none"/>
        </w:rPr>
        <w:t>（</w:t>
      </w:r>
      <w:r>
        <w:rPr>
          <w:rFonts w:hint="eastAsia" w:ascii="宋体" w:hAnsi="宋体"/>
          <w:szCs w:val="21"/>
          <w:highlight w:val="none"/>
          <w:lang w:val="en-US" w:eastAsia="zh-CN"/>
        </w:rPr>
        <w:t>2</w:t>
      </w:r>
      <w:r>
        <w:rPr>
          <w:rFonts w:hint="eastAsia" w:ascii="宋体" w:hAnsi="宋体"/>
          <w:szCs w:val="21"/>
          <w:highlight w:val="none"/>
        </w:rPr>
        <w:t>）填筑全部完成后，最终结算的工程量应是经过施工期间压实并经自然沉陷后按施工图纸所示尺寸计算的有效压实方体积。若分次支付的累计工程量超出最终结算的工程量，发包人应扣除超出部分工程量。</w:t>
      </w:r>
    </w:p>
    <w:p>
      <w:pPr>
        <w:keepNext w:val="0"/>
        <w:keepLines w:val="0"/>
        <w:pageBreakBefore w:val="0"/>
        <w:kinsoku/>
        <w:overflowPunct/>
        <w:topLinePunct w:val="0"/>
        <w:autoSpaceDE/>
        <w:autoSpaceDN/>
        <w:bidi w:val="0"/>
        <w:adjustRightInd w:val="0"/>
        <w:spacing w:line="324" w:lineRule="auto"/>
        <w:ind w:firstLine="42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（3）土工合成材料的铺设按施工图纸所示尺寸计算有效面积，以平方米为单位计量，由发包人按《工程量清单》相应项</w:t>
      </w:r>
      <w:r>
        <w:rPr>
          <w:rFonts w:hint="eastAsia" w:ascii="宋体" w:hAnsi="宋体" w:eastAsia="宋体" w:cs="宋体"/>
          <w:sz w:val="21"/>
          <w:szCs w:val="21"/>
          <w:highlight w:val="none"/>
          <w:lang w:eastAsia="zh-CN"/>
        </w:rPr>
        <w:t>目</w:t>
      </w:r>
      <w:r>
        <w:rPr>
          <w:rFonts w:hint="eastAsia" w:ascii="宋体" w:hAnsi="宋体" w:eastAsia="宋体" w:cs="宋体"/>
          <w:sz w:val="21"/>
          <w:szCs w:val="21"/>
          <w:highlight w:val="none"/>
        </w:rPr>
        <w:t>有效工程量的每平方米工程单价支付。</w:t>
      </w:r>
    </w:p>
    <w:p>
      <w:pPr>
        <w:keepNext w:val="0"/>
        <w:keepLines w:val="0"/>
        <w:pageBreakBefore w:val="0"/>
        <w:kinsoku/>
        <w:overflowPunct/>
        <w:topLinePunct w:val="0"/>
        <w:autoSpaceDE/>
        <w:autoSpaceDN/>
        <w:bidi w:val="0"/>
        <w:adjustRightInd w:val="0"/>
        <w:spacing w:line="324" w:lineRule="auto"/>
        <w:ind w:firstLine="42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土工合成材料的接缝搭接面积和褶皱面积、抽样检验等所发生的费用包含在《工程量清单》相应项冃有效工程量的工程单价中，发包人不另行支付。</w:t>
      </w:r>
    </w:p>
    <w:p>
      <w:pPr>
        <w:keepNext w:val="0"/>
        <w:keepLines w:val="0"/>
        <w:pageBreakBefore w:val="0"/>
        <w:kinsoku/>
        <w:overflowPunct/>
        <w:topLinePunct w:val="0"/>
        <w:autoSpaceDE/>
        <w:autoSpaceDN/>
        <w:bidi w:val="0"/>
        <w:adjustRightInd w:val="0"/>
        <w:spacing w:line="324" w:lineRule="auto"/>
        <w:ind w:firstLine="420"/>
        <w:jc w:val="left"/>
        <w:rPr>
          <w:rFonts w:hint="eastAsia" w:ascii="宋体" w:hAnsi="宋体"/>
          <w:szCs w:val="21"/>
          <w:highlight w:val="yellow"/>
        </w:rPr>
      </w:pPr>
    </w:p>
    <w:p>
      <w:pPr>
        <w:keepNext w:val="0"/>
        <w:keepLines w:val="0"/>
        <w:pageBreakBefore w:val="0"/>
        <w:kinsoku/>
        <w:overflowPunct/>
        <w:topLinePunct w:val="0"/>
        <w:autoSpaceDE/>
        <w:autoSpaceDN/>
        <w:bidi w:val="0"/>
        <w:adjustRightInd w:val="0"/>
        <w:snapToGrid w:val="0"/>
        <w:spacing w:line="324" w:lineRule="auto"/>
        <w:rPr>
          <w:rFonts w:hint="eastAsia"/>
        </w:rPr>
      </w:pPr>
    </w:p>
    <w:p>
      <w:pPr>
        <w:pStyle w:val="3"/>
        <w:keepNext w:val="0"/>
        <w:keepLines w:val="0"/>
        <w:pageBreakBefore w:val="0"/>
        <w:kinsoku/>
        <w:overflowPunct/>
        <w:topLinePunct w:val="0"/>
        <w:autoSpaceDE/>
        <w:autoSpaceDN/>
        <w:bidi w:val="0"/>
        <w:spacing w:line="324" w:lineRule="auto"/>
        <w:jc w:val="center"/>
        <w:rPr>
          <w:rFonts w:ascii="宋体" w:hAnsi="宋体" w:eastAsia="宋体" w:cs="Times New Roman"/>
          <w:b/>
          <w:bCs/>
          <w:color w:val="000000"/>
          <w:kern w:val="0"/>
          <w:sz w:val="21"/>
          <w:szCs w:val="21"/>
          <w:lang w:val="en-US" w:eastAsia="zh-CN" w:bidi="ar-SA"/>
        </w:rPr>
      </w:pPr>
      <w:r>
        <w:rPr>
          <w:rFonts w:ascii="Cambria" w:hAnsi="Cambria"/>
          <w:b/>
          <w:sz w:val="30"/>
        </w:rPr>
        <w:br w:type="page"/>
      </w:r>
      <w:bookmarkStart w:id="134" w:name="_Toc27539"/>
      <w:bookmarkStart w:id="135" w:name="_Toc8840"/>
      <w:bookmarkStart w:id="136" w:name="_Toc13258"/>
      <w:r>
        <w:rPr>
          <w:rFonts w:ascii="宋体" w:hAnsi="宋体" w:eastAsia="宋体" w:cs="Times New Roman"/>
          <w:b/>
          <w:bCs/>
          <w:color w:val="000000"/>
          <w:kern w:val="0"/>
          <w:sz w:val="21"/>
          <w:szCs w:val="21"/>
          <w:lang w:val="en-US" w:eastAsia="zh-CN" w:bidi="ar-SA"/>
        </w:rPr>
        <w:t>第14</w:t>
      </w:r>
      <w:r>
        <w:rPr>
          <w:rFonts w:hint="eastAsia" w:ascii="宋体" w:hAnsi="宋体" w:eastAsia="宋体" w:cs="Times New Roman"/>
          <w:b/>
          <w:bCs/>
          <w:color w:val="000000"/>
          <w:kern w:val="0"/>
          <w:sz w:val="21"/>
          <w:szCs w:val="21"/>
          <w:lang w:val="en-US" w:eastAsia="zh-CN" w:bidi="ar-SA"/>
        </w:rPr>
        <w:t>节</w:t>
      </w:r>
      <w:r>
        <w:rPr>
          <w:rFonts w:ascii="宋体" w:hAnsi="宋体" w:eastAsia="宋体" w:cs="Times New Roman"/>
          <w:b/>
          <w:bCs/>
          <w:color w:val="000000"/>
          <w:kern w:val="0"/>
          <w:sz w:val="21"/>
          <w:szCs w:val="21"/>
          <w:lang w:val="en-US" w:eastAsia="zh-CN" w:bidi="ar-SA"/>
        </w:rPr>
        <w:t>混凝土工程</w:t>
      </w:r>
      <w:bookmarkEnd w:id="134"/>
      <w:bookmarkEnd w:id="135"/>
      <w:bookmarkEnd w:id="136"/>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rPr>
      </w:pPr>
      <w:bookmarkStart w:id="137" w:name="_Toc30287"/>
      <w:r>
        <w:rPr>
          <w:rFonts w:hint="eastAsia" w:ascii="宋体" w:hAnsi="宋体" w:eastAsia="宋体" w:cs="宋体"/>
          <w:spacing w:val="0"/>
          <w:sz w:val="21"/>
          <w:szCs w:val="21"/>
        </w:rPr>
        <w:t>14.1一般规定</w:t>
      </w:r>
      <w:bookmarkEnd w:id="137"/>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14.1.1应用范围</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（1）本章规定适用于本合同图纸所示的永久和临时建筑物的各类混凝土（含钢筋混凝土）工程的施工，包括混凝土、预制混凝土、预应力混凝土、水下混凝土、碾压混凝土以及泵送混凝土等。</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本章主要的施工内容包括：混凝土生产（包括混凝土材料、配合比设计、混凝土拌制及混凝土的取样和检验等），管路和预埋件施工，止水、伸缩缝和坝体排水施工，混凝土运输、浇筑以及温度控制和混凝土养护等。</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（3）本章规定还包括混凝土工程各种类型的模板与钢筋的制作和安装，模板中包括钢筋混凝土模板、钢模板、悬臂模板和特种模板等。</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14.1.2承包人责任</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（1）除合同另有约定外，承包人应按本工程图纸的要求，负责砂、石骨料的生产、运输、贮存和使用。</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（2）除合同另有约定外，承包人应负责修建本工程的混凝土拌和厂，包括其生产设备的采购、安装、运行管理、维护和拆除，并使其生产能力满足本合同规定的施工进度要求。</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（3）承包人应负责本工程各种类型模板的制作、安装、拆除和维护，以及钢筋和锚筋的制作和安装。</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（4）承包人应负责进行混凝土的室内试验、现场试验，以选定混凝土的原材料、最优配合比、施工工艺和浇筑程序。</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（5）承包人应根据本合同技术条款和图纸所示的各种强度等级混凝土的质量要求，负责混凝土的拌和、运输、浇筑、温度控制和养护。</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（6）承包人应负责本合同技术条款和图纸所示预制混凝土和预应力混凝土构件的制作、运输和安装以及水下混凝土和碾压混凝土的施工。</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14.1.3主要提交件</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（1）混凝土浇筑施工措施计划：承包人应在混凝土工程开工前，编制混凝土浇筑的施工措施计划，提交监理人批准，其内容包括：</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1）混凝土浇筑所需的砂石料场（仓）、拌和厂、混凝土运输和浇筑设备、温度控制设施，以及混凝土试验等的布置、设备配置计划及其施工安装措施；</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2）各种混凝土配合比设计与室内混凝土试验计划；</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3）混凝土生产、运输、浇筑等的施工工艺和方法；</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4）现场工艺试验的措施计划；</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5）混凝土温度控制的专项技术措施；</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6）施工质量控制措施及其质量检查和检验方法等。</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（2）混凝土质量检查报表</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承包人应按监理人的指示提供混凝土拌和与浇筑质量的施工记录报表，包括混凝土原材料的品质检查报表、强度等级和配合比试验成果、各种混凝土浇筑分块程序、浇筑记录、质量检查、事故处理、混凝土养护和表面保护等作业记录等。</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14.1.4引用标准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（1）《低热微膨胀水泥》（GB 2938—2008）。</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（2）《通用硅酸盐水泥》（GB 175—2007）。</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（3）《混凝土结构工程施工质量验收规范》（GB 50204—2015）。</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（4）《粉煤灰混凝土应用技术规范》（GB/T 50146—2014）。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（5）《预应力混凝土用钢丝》（GB/T 5223—2014）。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（6）《预应力混凝土用钢绞线》（GB/T 5224—2014）。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（7）《预应力筋用锚具、夹具和连接器》（GB/TH370—2015）。</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（8）《水工混凝土试验规程》（SL/T 352—2020）。</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（9）《水工碾压混凝土施工规范》（SL 53—94）。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（10）《混凝土面板堆石坝施工规范》（SL 49—2015）。</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（11）《水工建筑物滑动模板施工技术规范》（SL 32—2014）。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（12）《水工建筑物抗冲磨防空蚀混凝土技术规范》（DL/T 5207—2021）。</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（13）《水工混凝土钢筋施工规范》（DL/T’5169—2013）。</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（14）《水工混凝土施丄规范》（SL 677—2014）。</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（15）《水电水利工程模板施工规范》（DL/T 5110—2013）。</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（16）《混凝土用水标准》（JGJ 63—2006）。</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（17）《轻骨料混凝土应用技术标准》（JGJ/T 12—2019）。</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（18）《混凝土泵送施工技术规程》（JGJ/T 10—2011）。</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（19）《水工混凝土结构设计规范》（SL 191—2008）。</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（20）《混凝土结构耐久性设计标准》（GB/T 50476 —2019）。</w:t>
      </w:r>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rPr>
      </w:pPr>
      <w:bookmarkStart w:id="138" w:name="_Toc10856"/>
      <w:r>
        <w:rPr>
          <w:rFonts w:hint="eastAsia" w:ascii="宋体" w:hAnsi="宋体" w:eastAsia="宋体" w:cs="宋体"/>
          <w:spacing w:val="0"/>
          <w:sz w:val="21"/>
          <w:szCs w:val="21"/>
        </w:rPr>
        <w:t>14.2混凝土生产</w:t>
      </w:r>
      <w:bookmarkEnd w:id="138"/>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14.2.1混凝土材料</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（1）水泥。混凝土的水泥应遵守《通用硅酸盐水泥》（GB 175—2007）的有关规定，泵送混凝土应遵守《混凝土泵送施工技术规程》（JGJ/T 10— 2011）的有关规定。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（2）骨料。混凝土的骨料应遵守《水工混凝土施工规范》（SL 677— 2014）第5.3节规定，泵送混凝土应遵守《混凝土泵送施工技术规程》（JGJ/T 10—2011）的有关规定。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（3）水。混凝土浇筑用水应遵守《混凝土用水标准》（JGJ 63—2006）的有关规定和《水工混凝土施工规范》（SL 677—2014）第5. 6节的规定。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（4）掺合料。混凝土掺合料应遵守《水工混凝土施工规范》（SL 677— 2014）第5.4节规定，泵送混凝土应遵守《混凝土泵送施工技术规程》（JGJ/T 10—2011）的有关规定。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（5）外加剂。混凝土外加剂应遵守《水工混凝土施工规范》（SL 677— 2014）第5.5节的有关规定，泵送混凝土应遵守《混凝土泵送施工技术规程》 （JGJ/T 10—2011）的有关规定。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（6）硅粉。配制水工硅粉混凝土的硅粉质量标准应满足施工图纸的要求。</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14.2.2混凝土配合比选定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混凝土配合比选定应遵守《水工混凝土施工规范》（SL 677—2014）第 6章的有关规定。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14.2.3混凝土拌和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（1）混凝土拌和设备。</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1）拌和厂应选用高效、可靠的同定式拌和设备，并采用自动或半自动控制的计量设备配料，拌和厂设备生产率必须满足本工程高峰浇筑强度的要求。</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2）拌和厂选用的所有称量、指示、记录及控制设备都应有防尘措施，设备称量应满足规定的精度要求，承包人应及时校正称量设备的精度。</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3）施工过程中，承包人若要改变混凝土生产观序或设备，必须将改变后的设备生产能力、技术说明书以及混凝土生产流程等提交监理人批准。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4）承包人应设置排水沉淀池，分离或同时采取其他有效措施，防止污染环境。并应防止污水或含有悬浮质的水流污染施工现场和排人河流。</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（2）混凝土拌和。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混凝土拌和应遵守《水工混凝土施工规范》（SL 677—2014）第7.2节的有关规定。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14.2.4混凝土的取样和检验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（1）混凝土原材料的取样和检验。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混凝土原材料的取样和检验应遵守《水工混凝土施工规范》（SL 677— 2014）第11.2节的有关规定。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（2）混凝土拌和与混凝土拌和物的质量检测。</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1）混凝土拌和与混凝土拌和物的质量检测应遵守《水工混凝土施工规范》（SL 677—2014）第11.3节的规定。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2）混凝土施工配合比必须满足本合同技术条款和施工图纸的要求，施工配料必须严格按监理人批准的混凝土配料单进行配料，严禁擅自更改。</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3）混凝土坍落度及混凝土拌和物的水胶比按《水工混凝土试验规程》（SL/T 352—2020）的规定取样检测。</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4）混凝土拌和温度、气温和原材料温度的检测方法应遵守《水工混凝土试验规程》（SL/T 352—2020）的规定。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5）各级混凝土试件的各项试验和检测均应遵守《水工混凝土试验规程》 （SL/T 352—2020）的规定。</w:t>
      </w:r>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rPr>
      </w:pPr>
      <w:bookmarkStart w:id="139" w:name="_Toc18949"/>
      <w:r>
        <w:rPr>
          <w:rFonts w:hint="eastAsia" w:ascii="宋体" w:hAnsi="宋体" w:eastAsia="宋体" w:cs="宋体"/>
          <w:spacing w:val="0"/>
          <w:sz w:val="21"/>
          <w:szCs w:val="21"/>
        </w:rPr>
        <w:t>14.3模板</w:t>
      </w:r>
      <w:bookmarkEnd w:id="139"/>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14.3.1模板材料</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模板材料应遵守《水电水利工程模板施工规范》（DL/T 5110—2013）第3章的有关规定。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14.3.2模板的设计，制作和安装</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（1）混凝土模板的设计，除应满足木合同施工阁纸的规定外，还应遵守《水电水利工程模板施工规范》（DL/T 5110—2013）第4章的有关规定。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（2）各种混凝土模板制作的允许偏差不应超过《水电水利工程模板施工规范》（DL/T 5110—2013）第5章表5.0.1的有关规定。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（3）承包人应负责异型模板（蜗壳、尾水管等）、特种模板（包括滑动模板、移置模板和永久性模板）的设计、制作和安装，应遵守《水电水利工程模 板施工规范》（DL/T 5110—2013）第8章的有关规定。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（4）曲面模板的设计和制作，除应满足本合同施工图纸所示的混凝土建筑物表面的曲度要求外，其允许偏差应遵守《水电水利工程模板施工规范》 （DL/T 5110—2013）第 5.0.1 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（5）模板之间的接缝必须平整严密，建筑物分层施工时应逐层校正下层偏差，模板下端不应有“错台”。</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（6）模板及支架上严禁堆放超过其设计荷载的材料和设备。</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（7）模板安装应按混凝土结构物的详图测量放样，重要结构多设控制点，以利检查校正。</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（8）建筑结构混凝土与钢筋混凝土模板的安装允许偏差应遵守《混凝土结构工程施工质量验收规范》（GB 50204—2015）第4.2.10条的规定，大体积混凝土模板的安装允许偏差应遵守《水电水利工程模板施工规范》（DL/T 5110—2013）第 6.0.10条的规定。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14.3.3模板的清洗和涂料</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（1）钢模板在每次使用前应清洗干净；为防锈和拆模方便，钢模面板应涂刷防锈保护涂料，不得采用污染混凝土和影响混凝土质量的涂剂。</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（2）木模板面应采用烤石蜡或其它监理人批准的保护性涂料进行保护。</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14.3.4模板的拆除和维修</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（1）现浇混凝土的模板（如侧模、底模）以及钢筋混凝土与混凝土结构的承载模板拆除时的混凝土强度应遵守本合同施工图纸和《水电水利工程模板施 工规范》（DL/T 5110—2013）第7.0.1条的规定。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（2）墩、台、柱部位的混凝十强度必须达到设计要求和《水电水利工程模板施工规范》（DL/T 5110—2013）第7. 0.1条时，方可拆除模板。</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（3）特殊模板的拆除时限应由承包人报经监理人批准。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（4）预制混凝土构件模板拆除的混凝土强度应遵守施工图纸和《水电水利工程模板施工规范》（DL/T 5110—2013）第7.0.3条的规定。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（5）后张法预应力混凝土结构模板的拆除，除应满足本合同技术条款和施工图纸的要求外，其侧面模板应在预应力张拉前拆除，底部模板应在结构构件建立预应力后拆除。</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（6）经计算和试验复核后，混凝土结构实际强度已能承受自重及其他荷载时，经监理人批准后，方可提前拆模。未经监理人批准.模板及其支架和支撑 均不得任意拆除。</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（7）模板的安装及拆除作业必须使用专项设备，并应严格按规定的施工程序进行，以避免施工期发生事故，防止混凝土及其模板的损坏。</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14.3.5模板质量检查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（1）现场安装质量检查：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1）模板及其附件的制作质量应满足本合同技术条款和施工图纸的要求。</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2）模板安装应有足够的密封性能，以防止混凝土浇筑过程中的水泥浆流失。</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 xml:space="preserve">3）重复使用的模板应保持原设计要求的强度、刚度、密实性和模板表面的光滑度，检查发现模板有损坏时，承包人应按监理人指示进行更换或修补。 </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4）模板安装完成后，承包人应会同监理人共同对模板的安装质量进行检查，检查记录应提交监理人。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5）在混凝土浇筑过程中，承包人应随时检查模板的定线和定位，发现偏差和位移，应采取有效措施予以纠正，检查记录应提交监理人。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w:t>
      </w:r>
      <w:r>
        <w:rPr>
          <w:rFonts w:hint="eastAsia" w:ascii="宋体" w:hAnsi="宋体" w:eastAsia="宋体" w:cs="宋体"/>
          <w:spacing w:val="0"/>
          <w:sz w:val="21"/>
        </w:rPr>
        <w:tab/>
      </w:r>
      <w:r>
        <w:rPr>
          <w:rFonts w:hint="eastAsia" w:ascii="宋体" w:hAnsi="宋体" w:eastAsia="宋体" w:cs="宋体"/>
          <w:spacing w:val="0"/>
          <w:sz w:val="21"/>
        </w:rPr>
        <w:t>模板拆除后的检查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拆模时间应经过验算。拆模后，承包人应会同监理人共同检查混凝土结构物及其浇筑面质量是否达到施工图纸要求的混凝土强度和平整度，验算成果和检查记录应提交监理人。</w:t>
      </w:r>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rPr>
      </w:pPr>
      <w:bookmarkStart w:id="140" w:name="_Toc6368"/>
      <w:r>
        <w:rPr>
          <w:rFonts w:hint="eastAsia" w:ascii="宋体" w:hAnsi="宋体" w:eastAsia="宋体" w:cs="宋体"/>
          <w:spacing w:val="0"/>
          <w:sz w:val="21"/>
          <w:szCs w:val="21"/>
        </w:rPr>
        <w:t>14.4钢筋</w:t>
      </w:r>
      <w:bookmarkEnd w:id="140"/>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14.4.1材料</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（1）混凝土结构用的钢筋和锚筋的规格和质量应遵守《水工混凝土钢筋施工规范》（DL/T 5169—2013）的规定。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（2）每批钢筋使用前，应按《水工混凝土钢筋施工规范》（DL/T 5169—2013）第3.2.1条、第3.2.2条的规定，分批进行钢筋的机械性能检测。检测合格者才准使用，检测记录应提交监理人。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（3）对钢号不明的钢筋，承包人应按《水工混凝土钢筋施工规范》（DL/T 5169—2013）第3.2.3条的规定进行钢材化学成分和主要机械性能的检验，经检验合格，并经监理人批准后，方可使用。</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14.4.2钢筋的加工和安装</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（1）钢筋表面应洁净无损伤，使用前应将钢筋表面的油漆污染和铁锈等清除干净，带有颗粒状或片状老锈的钢筋不得使用。</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（2）钢筋的弯折、端头和接头的加工应遵守《水工混凝土钢筋施工规范》 （DL/T 5169—2013）第4.3节、第4. 4节规定。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（3）钢筋的焊接应满足本合同技术条款和施工图纸的要求，并遵守《水工混凝土钢筋施工规范》（DL/T 5169—2013）第5章的规定。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（4）钢筋的气压焊作业应遵守《水工混凝土钢筋施工规范》（DL/T 5169—2013）第5.2.11条的规定。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（5）钢筋的安装和绑扎应遵守《水工混凝土钢筋施工规范》（DL/T 5169—2013）第6章的规定。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14.4.3钢筋的质量检查和检验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（1）钢筋的机械性能检验应遵守《水工混凝土钢筋施工规范》（DL/T 5169—2013）第 3.2.2 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（2）钢筋的接头质量检验应遵守《水工混凝土钢筋施工规范》（DL/T 5169—2013）第5.2节的规定，其中气压焊应遵守《水工混凝土钢筋施工规 范》（DL/T 5169—2013）第5.2.11条的规定；机械连接应遵守《水工混凝土 钢筋施工规范》（DL/T 5169—2013）第6.2.1〜6.2.3条规定。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（3）钢筋架设完成后，应按本合同技术条款和施工图纸的要求进行检查和检验，并做好记录，若安装好的钢筋和锚筋生锈，应进行现场除锈，对于锈蚀严重的钢筋应予更换。</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（4）在混凝土浇筑施工前，应检查现场钢筋的架立位置，如发现钢筋位置变动应及时校正，严禁在混凝土浇筑过程中擅內移动或割除钢筋。</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（5）钢筋的安装和清理完成后，承包人应会同监理人在混凝土浇筑前进行检查和验收，并做好记录，经监理人批准后，才能浇筑混凝土。</w:t>
      </w:r>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rPr>
      </w:pPr>
      <w:bookmarkStart w:id="141" w:name="_Toc16103"/>
      <w:r>
        <w:rPr>
          <w:rFonts w:hint="eastAsia" w:ascii="宋体" w:hAnsi="宋体" w:eastAsia="宋体" w:cs="宋体"/>
          <w:spacing w:val="0"/>
          <w:sz w:val="21"/>
          <w:szCs w:val="21"/>
        </w:rPr>
        <w:t>14.5混凝土（含钢筋混凝土</w:t>
      </w:r>
      <w:bookmarkEnd w:id="141"/>
      <w:r>
        <w:rPr>
          <w:rFonts w:hint="eastAsia" w:ascii="宋体" w:hAnsi="宋体" w:eastAsia="宋体" w:cs="宋体"/>
          <w:spacing w:val="0"/>
          <w:sz w:val="21"/>
          <w:szCs w:val="21"/>
        </w:rPr>
        <w:t>）</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混凝土的材料、配合比设计及拌和应按本章第14.2款的规定执行。</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14.5.1混凝土运输</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混凝土运输应遵守《水工混凝土施工规范》（SL 677—2014）第7.3节的规定。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14.5.2混凝土浇筑</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（1）浇筑前准备应遵守《水工混凝土施工规范》（SL 6W—2014）第 7.4.1〜7.4.4条的规定。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（2）在岩基或软基建基面的混凝土浇筑应遵守《水工混凝土施工规范》 （SL 677—2014）第7.4 节的规定。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（3）混凝土分层浇筑作业应遵守《水工混凝土施工规范》（SL 677—2014）第7.4.6〜7.4.8条的有关规定。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（4）混凝土浇筑的振捣应遵守《水工混凝土施工规范》（SL 677—2014）第7.4.13条的规定。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（5）混凝土浇筑应保持连续性，浇筑混凝土允许间歇时间应通过试验确定，并应遵守《水工混凝土施工规范》（SL 677—2014）第7.4.12条的有关规定。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（6）应在混凝土浇筑工艺设计中，根据搅拌、运输和浇筑的设备能力、振捣性能及气温等因素，详细确定混凝土浇筑层厚度。其浇筑层允许最大厚度应参照《水工混凝土施工规范》（SL 677—2014）第7.4.8条选定。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（7）混凝土浇筑施工缝的处理应按《水工混凝土施工规范》（SL 677—2014）第7.4.19条的规定执行。</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14.5.3混凝土养护</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混凝土养护应遵守《水工混凝土施工规范》（SL 677—2014）第7. 5节的 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14.5.4混凝土温度控制</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（1）一般要求：</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1）本条规定适用于现场浇筑大体积混凝土的温度控制工程，并应遵守《水工混凝土施工规范》（SL 677—20H）第8章的有关规定。其他有温度控制要求的现浇混凝土（如岩壁吊车梁、地下厂房工程）应参照本条有关规定执行。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2）承包人应根据本合同施工图纸所设置的混凝土工程建筑物的浇筑纵横缝、分层厚度、浇筑间歇时间、混凝土允许最高温度及其他温度控制要求，编制温度控制措施专项技术文件，提交监理人批准。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3）承包人应采取有效措施控制混凝土搅拌机出机口温度，以及运输、浇筑过程中的温度回升，混凝土允许浇筑温度应符合本合同技术条款和施工图纸的要求。</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4）混凝土浇筑的纵横缝设置、分层厚度及浇筑间歇时间等，必须符合本合同技术条款和施工图纸的要求。若改变分层厚度时需要专门论证，并提交监理人批准。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5）为提高混凝土抗裂能力，混凝土质量除应满足强度保证率要求外，还至少应达到《水工混凝土施工规范》（SL 677—2014）表11.5.7中混凝土生产质量优良的等级水平。</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（2）降低混凝土浇筑温度</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降低混凝土浇筑温度应遵守《水工混凝土施工规范》（SL 677—2014）第8.2节的有关规定。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（3）降低混凝土水化热温升</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在满足合同技术条款和图纸规定的混凝土各项指标（强度、耐久性、抗裂等）要求的前提下，优化混凝土配合比设计，采取综合措施，减少混凝土单位水泥用量。</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（4）降低坝体内外温差</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在低温季节前将坝体温度降至图纸要求的温度，以降低坝体内外温差，防止或减少表面裂缝。</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（5）控制浇筑层最大高度和浇筑间歇时间</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大体积混凝土浇筑应控制浇筑层最大高度和浇筑间歇时间。除施工图纸另有规定外，大体积混凝土浇筑的最大高度和最小间歇时间应遵守《水工混凝土 施工规范》（SL 677—2014）的有关规定。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（6）通水冷却</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1）初期冷却：初期通水冷却应遵守《水工混凝土施工规范》（SL 677—2014）第8.3节的规定。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2）中、后期冷却：初期冷却结束后，应加强温度检测，控制混凝土温度回升不超过1.5°C，通水冷却的水温、通水流量、最大降温速率以及不同区域坝体混凝土温度控制和温度梯度等要求应按施工图纸要求或监理人指示确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（7）混凝土表面保护措施</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混凝土表面保护应遵守《水工混凝土施工规范》（SL 677—2014）第 8. 4节的规定。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（8）温度测量</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混凝土施工过程中的温度测量应遵守《水工混凝土施工规范》DL/T5144-2001条第8.3节的规定。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（9）低温季节施工</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混凝土低温季节施工应遵守《水工混凝土施工规范》（SL 677—2014）第 9章的有关规定。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14.5.5混凝土防渗面板和趾板施工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（1）面板和趾板混凝土的原材料应遵守《混凝土面板堆石坝施工规范》（SL 49—2015）第6.1.1条的规定。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（2）面板与趾板混凝土配合比应满足本合同施工图纸的要求，并遵守《混 凝土面板堆石坝施工规范》（SL 49—2015）第6.1.4条的规定。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（3）趾板施工应遵守《混凝土面板堆石坝施工规范》（SL 49—2015）第6.2节的有关规定。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（4）面板施工应遵守《混凝土面板堆石坝施工规范》（SL 49—2015）第6.3节的规定。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（5）面板的止水设施施工应遵守《混凝土面板堆石坝施工规范》（SL 49—2015）第7章的有关规定。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14.5.6二期混凝土施工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二期混凝土施工范围包括闸门槽混凝土、钢衬预留槽混凝土、门机大梁轨底预留槽混凝土、电站厂房尾水管锥管和蜗壳周围混凝土、座环及水轮发电机支承混凝土、轨道梁预留槽混凝土，以及预留孔洞、坑、槽、沟等的混凝 土绕筑。</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（2）选用收缩性较小的原材料进行二期混凝土配合比试验，选定的混凝土配合比应满足混凝土强度保证率95%以上，离差系数不大于0.1，原材料和混凝土配合比试验成果应提交监理人批准。</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（3）槽孔二期混凝土浇筑应釆用小型振捣机或用手工棒或钎捣实，避免漏振。</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（4）二期混凝土模板的拆除时间及其养护作业，应按监理人批准的施工措施进行。</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14.5.7抗冲、抗磨蚀部位的混凝土施工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（1）本条规定的应用范围为高速水流过流的溢洪道、底孔与底孔进出口段等泄水建筑物。</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（2）抗冲和抗磨混凝土的材料和配合比应遵守《水工建筑物抗冲磨防空蚀 混凝土技术规范》（DL/T 5207—2021）的规定。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（3）抗冲和抗磨混凝土施工应遵守《水工建筑物抗冲磨防空蚀混凝土技术规范》（DL/T 5207—2021）的有关规定。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14.5.8止水、伸缩缝和排水</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　　止水、伸缩缝和排水施工应遵守《水工混凝土施工规范》（SL 677- 2014）第10. 2节、第10. 3节的有关规定。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14.5.9　埋设管路和埋设件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（1）坝内排水设施施工应遵守《水工混凝土施工规范》（SL 677—2014）第10. 3.5条的规定。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（2）冷却水管与接缝灌浆管路埋设应遵守《水工混凝土施工规范》（SL 677—2014）第10.5节的有关规定。</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（3）金属件埋设应遵守《水工混凝土施工规范》（SL 677—2014）第10. 4节的有关规定。</w:t>
      </w:r>
    </w:p>
    <w:p>
      <w:pPr>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rPr>
      </w:pPr>
      <w:r>
        <w:rPr>
          <w:rFonts w:hint="eastAsia" w:ascii="宋体" w:hAnsi="宋体" w:eastAsia="宋体" w:cs="宋体"/>
          <w:spacing w:val="0"/>
          <w:sz w:val="21"/>
        </w:rPr>
        <w:t>14.5.10　质量检查和验收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（1）混凝土原材料的质量检验和验收。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承包人应会同监理人，按本章第14.2.1项的规定，对本工程混凝土原材料进行现场抽样检验和入库验收，检验成果应提交监理人。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（2）混凝土拌和物的质量检验。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承包人应会同监理人，按本章第14.2.3项的规定进行混凝土拌和物的现场抽样检验，检验成果应提交监理人。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（3）建筑物的混凝土浇筑和成型质量的检査和验收。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1）建基面混凝土浇筑前，应由承包人会同监理人对建基面的测量放样成果和建基面的基础清理质量进行检査与验收。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2）混凝土浇筑过程中，承包人应会同监理人对混凝土建筑物的测量放样成果进行检查和验收。其测量放样成果应提交监理人。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3）承包人应会同监理人按《水工混凝土施工规范》（SL 677—2014）的有关规定，对现场浇筑的混凝土的强度、浇筑温度和坝体内温度进行检验和检测，其检验和检测成果应提交监理人。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4）混凝土浇筑过程中，承包人应会同监理人对各浇筑面的施工浇筑质量和养护质量，以及各种埋设件的埋设质量进行质量检查和验收，检查和验收记录应提交监理人。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5）混凝土工程建筑物浇筑完成后，承包人应会同监理人对混凝土工程建筑物永久结构面的成型质量进行检查和验收。检查和验收记录应提交监理人。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（4）堆石坝面板（趾板）混凝土质量的检验。</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1）面板滑动模板的质量应参照《混凝土面板堆石坝施工规范》（SL 49—2015）附录A. 5的有关数据进行检查。</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2）面板混凝土浇筑质量应参照《混凝土面板堆石坝施工规范》（SL 49—2015）附录A. 5的有关数据进行检查，并按《混凝土面板堆石坝施工规范》 （SL 49—2015）附录A的相关规定进行取样检测。检测成果应提交监理人。</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3）面板、趾板的止水设施质量应参照《混凝土面板堆石坝施工规范》（SL 49一2015）附录A. 6的规定进行检查，止水设施至少每5m检查一点。</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（5）完工验收。</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混凝土工程建筑物全部完工后，承包人应向发包人申请完工验收，并提交以下完工资料。</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1）混凝土工程建筑物竣工图（包括布置图和主要结构图）。</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2）混凝土工程建筑物的隐蔽工程及工程隐蔽部位的质量检查验收报告。</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3）混凝土工程建筑物的永久观测设施的竣工资料及建筑物观测成果。</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4）混凝土建筑物的缺陷修补和质量事故处理报告。</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5）混凝土工程建筑物成型复测成果。</w:t>
      </w:r>
    </w:p>
    <w:p>
      <w:pPr>
        <w:keepNext w:val="0"/>
        <w:keepLines w:val="0"/>
        <w:pageBreakBefore w:val="0"/>
        <w:kinsoku/>
        <w:wordWrap/>
        <w:overflowPunct/>
        <w:topLinePunct w:val="0"/>
        <w:autoSpaceDE/>
        <w:autoSpaceDN/>
        <w:bidi w:val="0"/>
        <w:adjustRightInd w:val="0"/>
        <w:snapToGrid/>
        <w:spacing w:line="324" w:lineRule="auto"/>
        <w:ind w:firstLine="420" w:firstLineChars="200"/>
        <w:rPr>
          <w:rFonts w:hint="eastAsia" w:ascii="宋体" w:hAnsi="宋体" w:eastAsia="宋体" w:cs="宋体"/>
          <w:spacing w:val="0"/>
          <w:sz w:val="21"/>
        </w:rPr>
      </w:pPr>
      <w:r>
        <w:rPr>
          <w:rFonts w:hint="eastAsia" w:ascii="宋体" w:hAnsi="宋体" w:eastAsia="宋体" w:cs="宋体"/>
          <w:spacing w:val="0"/>
          <w:sz w:val="21"/>
        </w:rPr>
        <w:t>6）监理人要求提交的其他完工资料。</w:t>
      </w:r>
    </w:p>
    <w:p>
      <w:pPr>
        <w:pStyle w:val="4"/>
        <w:keepNext w:val="0"/>
        <w:keepLines w:val="0"/>
        <w:pageBreakBefore w:val="0"/>
        <w:widowControl w:val="0"/>
        <w:kinsoku/>
        <w:wordWrap/>
        <w:overflowPunct/>
        <w:topLinePunct w:val="0"/>
        <w:autoSpaceDE/>
        <w:autoSpaceDN/>
        <w:bidi w:val="0"/>
        <w:adjustRightInd w:val="0"/>
        <w:snapToGrid/>
        <w:spacing w:line="324" w:lineRule="auto"/>
        <w:textAlignment w:val="auto"/>
        <w:rPr>
          <w:rFonts w:hint="eastAsia" w:ascii="宋体" w:hAnsi="宋体" w:eastAsia="宋体" w:cs="宋体"/>
          <w:spacing w:val="0"/>
          <w:sz w:val="21"/>
          <w:szCs w:val="21"/>
          <w:lang w:val="zh-CN" w:eastAsia="zh-CN"/>
        </w:rPr>
      </w:pPr>
      <w:bookmarkStart w:id="142" w:name="第14章06"/>
      <w:bookmarkEnd w:id="142"/>
      <w:bookmarkStart w:id="143" w:name="第14章10"/>
      <w:bookmarkEnd w:id="143"/>
      <w:bookmarkStart w:id="144" w:name="_Toc510"/>
      <w:r>
        <w:rPr>
          <w:rFonts w:hint="eastAsia" w:ascii="宋体" w:hAnsi="宋体" w:eastAsia="宋体" w:cs="宋体"/>
          <w:spacing w:val="0"/>
          <w:sz w:val="21"/>
          <w:szCs w:val="21"/>
        </w:rPr>
        <w:t>14.6</w:t>
      </w:r>
      <w:r>
        <w:rPr>
          <w:rFonts w:hint="eastAsia" w:ascii="宋体" w:hAnsi="宋体" w:eastAsia="宋体" w:cs="宋体"/>
          <w:spacing w:val="0"/>
          <w:sz w:val="21"/>
          <w:szCs w:val="21"/>
          <w:lang w:val="zh-CN" w:eastAsia="zh-CN"/>
        </w:rPr>
        <w:t>预制混凝土</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right="0" w:firstLine="420" w:firstLineChars="200"/>
        <w:jc w:val="both"/>
        <w:textAlignment w:val="auto"/>
        <w:rPr>
          <w:rFonts w:hint="eastAsia" w:ascii="宋体" w:hAnsi="宋体" w:eastAsia="宋体" w:cs="宋体"/>
          <w:spacing w:val="0"/>
          <w:sz w:val="21"/>
          <w:szCs w:val="21"/>
        </w:rPr>
      </w:pPr>
      <w:r>
        <w:rPr>
          <w:rStyle w:val="63"/>
          <w:rFonts w:hint="eastAsia" w:ascii="宋体" w:hAnsi="宋体" w:eastAsia="宋体" w:cs="宋体"/>
          <w:spacing w:val="0"/>
          <w:sz w:val="21"/>
          <w:szCs w:val="21"/>
        </w:rPr>
        <w:t>14.6.</w:t>
      </w:r>
      <w:r>
        <w:rPr>
          <w:rStyle w:val="63"/>
          <w:rFonts w:hint="eastAsia" w:ascii="宋体" w:hAnsi="宋体" w:eastAsia="宋体" w:cs="宋体"/>
          <w:spacing w:val="0"/>
          <w:sz w:val="21"/>
          <w:szCs w:val="21"/>
          <w:lang w:val="zh-CN" w:eastAsia="zh-CN" w:bidi="zh-CN"/>
        </w:rPr>
        <w:t>1</w:t>
      </w:r>
      <w:r>
        <w:rPr>
          <w:rStyle w:val="111"/>
          <w:rFonts w:hint="eastAsia" w:ascii="宋体" w:hAnsi="宋体" w:eastAsia="宋体" w:cs="宋体"/>
          <w:spacing w:val="0"/>
          <w:sz w:val="21"/>
          <w:szCs w:val="21"/>
          <w:lang w:val="zh-CN" w:eastAsia="zh-CN" w:bidi="zh-CN"/>
        </w:rPr>
        <w:t>材料</w:t>
      </w:r>
    </w:p>
    <w:p>
      <w:pPr>
        <w:pStyle w:val="84"/>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(1)</w:t>
      </w:r>
      <w:r>
        <w:rPr>
          <w:rStyle w:val="131"/>
          <w:rFonts w:hint="eastAsia" w:ascii="宋体" w:hAnsi="宋体" w:eastAsia="宋体" w:cs="宋体"/>
          <w:spacing w:val="0"/>
          <w:sz w:val="21"/>
          <w:szCs w:val="21"/>
        </w:rPr>
        <w:t>预制混凝土所需原材料的采购、储存、运输、拌和以及配合比试验等均应符合本章第</w:t>
      </w:r>
      <w:r>
        <w:rPr>
          <w:rStyle w:val="131"/>
          <w:rFonts w:hint="eastAsia" w:ascii="宋体" w:hAnsi="宋体" w:eastAsia="宋体" w:cs="宋体"/>
          <w:spacing w:val="0"/>
          <w:sz w:val="21"/>
          <w:szCs w:val="21"/>
          <w:lang w:val="en-US" w:bidi="en-US"/>
        </w:rPr>
        <w:t>14.</w:t>
      </w:r>
      <w:r>
        <w:rPr>
          <w:rStyle w:val="131"/>
          <w:rFonts w:hint="eastAsia" w:ascii="宋体" w:hAnsi="宋体" w:eastAsia="宋体" w:cs="宋体"/>
          <w:spacing w:val="0"/>
          <w:sz w:val="21"/>
          <w:szCs w:val="21"/>
        </w:rPr>
        <w:t>2款、第</w:t>
      </w:r>
      <w:r>
        <w:rPr>
          <w:rStyle w:val="131"/>
          <w:rFonts w:hint="eastAsia" w:ascii="宋体" w:hAnsi="宋体" w:eastAsia="宋体" w:cs="宋体"/>
          <w:spacing w:val="0"/>
          <w:sz w:val="21"/>
          <w:szCs w:val="21"/>
          <w:lang w:val="en-US" w:bidi="en-US"/>
        </w:rPr>
        <w:t>14.</w:t>
      </w:r>
      <w:r>
        <w:rPr>
          <w:rStyle w:val="131"/>
          <w:rFonts w:hint="eastAsia" w:ascii="宋体" w:hAnsi="宋体" w:eastAsia="宋体" w:cs="宋体"/>
          <w:spacing w:val="0"/>
          <w:sz w:val="21"/>
          <w:szCs w:val="21"/>
        </w:rPr>
        <w:t>5款的有关规定。</w:t>
      </w:r>
    </w:p>
    <w:p>
      <w:pPr>
        <w:pStyle w:val="84"/>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(2)</w:t>
      </w:r>
      <w:r>
        <w:rPr>
          <w:rStyle w:val="131"/>
          <w:rFonts w:hint="eastAsia" w:ascii="宋体" w:hAnsi="宋体" w:eastAsia="宋体" w:cs="宋体"/>
          <w:spacing w:val="0"/>
          <w:sz w:val="21"/>
          <w:szCs w:val="21"/>
        </w:rPr>
        <w:t>预制混凝土构件的校板应优先采用钢模，校板的材料及其制作、安装、拆除等工艺应符合本葶第</w:t>
      </w:r>
      <w:r>
        <w:rPr>
          <w:rStyle w:val="131"/>
          <w:rFonts w:hint="eastAsia" w:ascii="宋体" w:hAnsi="宋体" w:eastAsia="宋体" w:cs="宋体"/>
          <w:spacing w:val="0"/>
          <w:sz w:val="21"/>
          <w:szCs w:val="21"/>
          <w:lang w:val="en-US" w:bidi="en-US"/>
        </w:rPr>
        <w:t>14.</w:t>
      </w:r>
      <w:r>
        <w:rPr>
          <w:rStyle w:val="131"/>
          <w:rFonts w:hint="eastAsia" w:ascii="宋体" w:hAnsi="宋体" w:eastAsia="宋体" w:cs="宋体"/>
          <w:spacing w:val="0"/>
          <w:sz w:val="21"/>
          <w:szCs w:val="21"/>
        </w:rPr>
        <w:t>3款的有关规定。各种模板必须有足够的承载力、刚度和稳定性，并应构造简準、支撑拆除力‘便，模板接缝不应漏浆，与混凝土接触面应平整光洁。</w:t>
      </w:r>
    </w:p>
    <w:p>
      <w:pPr>
        <w:pStyle w:val="84"/>
        <w:keepNext w:val="0"/>
        <w:keepLines w:val="0"/>
        <w:pageBreakBefore w:val="0"/>
        <w:widowControl w:val="0"/>
        <w:numPr>
          <w:ilvl w:val="0"/>
          <w:numId w:val="0"/>
        </w:numPr>
        <w:shd w:val="clear" w:color="auto" w:fill="auto"/>
        <w:tabs>
          <w:tab w:val="left" w:pos="1051"/>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(3)</w:t>
      </w:r>
      <w:r>
        <w:rPr>
          <w:rStyle w:val="131"/>
          <w:rFonts w:hint="eastAsia" w:ascii="宋体" w:hAnsi="宋体" w:eastAsia="宋体" w:cs="宋体"/>
          <w:spacing w:val="0"/>
          <w:sz w:val="21"/>
          <w:szCs w:val="21"/>
        </w:rPr>
        <w:t>钢筋的采购、运输、保管、质量检验和验收应符合本技术条款第</w:t>
      </w:r>
      <w:r>
        <w:rPr>
          <w:rStyle w:val="131"/>
          <w:rFonts w:hint="eastAsia" w:ascii="宋体" w:hAnsi="宋体" w:eastAsia="宋体" w:cs="宋体"/>
          <w:spacing w:val="0"/>
          <w:sz w:val="21"/>
          <w:szCs w:val="21"/>
          <w:lang w:val="en-US" w:bidi="en-US"/>
        </w:rPr>
        <w:t>14.</w:t>
      </w:r>
      <w:r>
        <w:rPr>
          <w:rStyle w:val="131"/>
          <w:rFonts w:hint="eastAsia" w:ascii="宋体" w:hAnsi="宋体" w:eastAsia="宋体" w:cs="宋体"/>
          <w:spacing w:val="0"/>
          <w:sz w:val="21"/>
          <w:szCs w:val="21"/>
        </w:rPr>
        <w:t>4款的有关规定。</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right="0" w:firstLine="420" w:firstLineChars="200"/>
        <w:jc w:val="both"/>
        <w:textAlignment w:val="auto"/>
        <w:rPr>
          <w:rFonts w:hint="eastAsia" w:ascii="宋体" w:hAnsi="宋体" w:eastAsia="宋体" w:cs="宋体"/>
          <w:spacing w:val="0"/>
          <w:sz w:val="21"/>
          <w:szCs w:val="21"/>
        </w:rPr>
      </w:pPr>
      <w:r>
        <w:rPr>
          <w:rStyle w:val="63"/>
          <w:rFonts w:hint="eastAsia" w:ascii="宋体" w:hAnsi="宋体" w:eastAsia="宋体" w:cs="宋体"/>
          <w:spacing w:val="0"/>
          <w:sz w:val="21"/>
          <w:szCs w:val="21"/>
        </w:rPr>
        <w:t>14.6.2</w:t>
      </w:r>
      <w:r>
        <w:rPr>
          <w:rStyle w:val="111"/>
          <w:rFonts w:hint="eastAsia" w:ascii="宋体" w:hAnsi="宋体" w:eastAsia="宋体" w:cs="宋体"/>
          <w:spacing w:val="0"/>
          <w:sz w:val="21"/>
          <w:szCs w:val="21"/>
          <w:lang w:val="zh-CN" w:eastAsia="zh-CN" w:bidi="zh-CN"/>
        </w:rPr>
        <w:t>预制构件</w:t>
      </w:r>
    </w:p>
    <w:p>
      <w:pPr>
        <w:pStyle w:val="84"/>
        <w:keepNext w:val="0"/>
        <w:keepLines w:val="0"/>
        <w:pageBreakBefore w:val="0"/>
        <w:widowControl w:val="0"/>
        <w:numPr>
          <w:ilvl w:val="0"/>
          <w:numId w:val="0"/>
        </w:numPr>
        <w:shd w:val="clear" w:color="auto" w:fill="auto"/>
        <w:tabs>
          <w:tab w:val="left" w:pos="1059"/>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(1)</w:t>
      </w:r>
      <w:r>
        <w:rPr>
          <w:rStyle w:val="131"/>
          <w:rFonts w:hint="eastAsia" w:ascii="宋体" w:hAnsi="宋体" w:eastAsia="宋体" w:cs="宋体"/>
          <w:spacing w:val="0"/>
          <w:sz w:val="21"/>
          <w:szCs w:val="21"/>
        </w:rPr>
        <w:t>制作预制混凝土构件的场地应平整坚实，设置必要的排水设施，保证制作构件时不因混凝土浇筑振捣而引起场地的沉陷变形。</w:t>
      </w:r>
    </w:p>
    <w:p>
      <w:pPr>
        <w:pStyle w:val="84"/>
        <w:keepNext w:val="0"/>
        <w:keepLines w:val="0"/>
        <w:pageBreakBefore w:val="0"/>
        <w:widowControl w:val="0"/>
        <w:numPr>
          <w:ilvl w:val="0"/>
          <w:numId w:val="0"/>
        </w:numPr>
        <w:shd w:val="clear" w:color="auto" w:fill="auto"/>
        <w:tabs>
          <w:tab w:val="left" w:pos="1059"/>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(2)</w:t>
      </w:r>
      <w:r>
        <w:rPr>
          <w:rStyle w:val="131"/>
          <w:rFonts w:hint="eastAsia" w:ascii="宋体" w:hAnsi="宋体" w:eastAsia="宋体" w:cs="宋体"/>
          <w:spacing w:val="0"/>
          <w:sz w:val="21"/>
          <w:szCs w:val="21"/>
        </w:rPr>
        <w:t>预制构件的钢筋安装应遵守《水工混凝土钢筋施工规范》</w:t>
      </w:r>
      <w:r>
        <w:rPr>
          <w:rStyle w:val="131"/>
          <w:rFonts w:hint="eastAsia" w:ascii="宋体" w:hAnsi="宋体" w:eastAsia="宋体" w:cs="宋体"/>
          <w:spacing w:val="0"/>
          <w:sz w:val="21"/>
          <w:szCs w:val="21"/>
          <w:lang w:val="en-US" w:bidi="en-US"/>
        </w:rPr>
        <w:t>（</w:t>
      </w:r>
      <w:r>
        <w:rPr>
          <w:rStyle w:val="109"/>
          <w:rFonts w:hint="eastAsia" w:ascii="宋体" w:hAnsi="宋体" w:eastAsia="宋体" w:cs="宋体"/>
          <w:spacing w:val="0"/>
          <w:sz w:val="21"/>
          <w:szCs w:val="21"/>
          <w:lang w:eastAsia="zh-CN"/>
        </w:rPr>
        <w:t>DL/T</w:t>
      </w:r>
      <w:r>
        <w:rPr>
          <w:rStyle w:val="131"/>
          <w:rFonts w:hint="eastAsia" w:ascii="宋体" w:hAnsi="宋体" w:eastAsia="宋体" w:cs="宋体"/>
          <w:spacing w:val="0"/>
          <w:sz w:val="21"/>
          <w:szCs w:val="21"/>
        </w:rPr>
        <w:t>5169—</w:t>
      </w:r>
      <w:r>
        <w:rPr>
          <w:rStyle w:val="131"/>
          <w:rFonts w:hint="eastAsia" w:ascii="宋体" w:hAnsi="宋体" w:eastAsia="宋体" w:cs="宋体"/>
          <w:spacing w:val="0"/>
          <w:sz w:val="21"/>
          <w:szCs w:val="21"/>
          <w:lang w:val="en-US" w:bidi="en-US"/>
        </w:rPr>
        <w:t>2013)</w:t>
      </w:r>
      <w:r>
        <w:rPr>
          <w:rStyle w:val="131"/>
          <w:rFonts w:hint="eastAsia" w:ascii="宋体" w:hAnsi="宋体" w:eastAsia="宋体" w:cs="宋体"/>
          <w:spacing w:val="0"/>
          <w:sz w:val="21"/>
          <w:szCs w:val="21"/>
        </w:rPr>
        <w:t>的有关规定。</w:t>
      </w:r>
    </w:p>
    <w:p>
      <w:pPr>
        <w:pStyle w:val="84"/>
        <w:keepNext w:val="0"/>
        <w:keepLines w:val="0"/>
        <w:pageBreakBefore w:val="0"/>
        <w:widowControl w:val="0"/>
        <w:numPr>
          <w:ilvl w:val="0"/>
          <w:numId w:val="0"/>
        </w:numPr>
        <w:shd w:val="clear" w:color="auto" w:fill="auto"/>
        <w:tabs>
          <w:tab w:val="left" w:pos="1059"/>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(3)</w:t>
      </w:r>
      <w:r>
        <w:rPr>
          <w:rStyle w:val="131"/>
          <w:rFonts w:hint="eastAsia" w:ascii="宋体" w:hAnsi="宋体" w:eastAsia="宋体" w:cs="宋体"/>
          <w:spacing w:val="0"/>
          <w:sz w:val="21"/>
          <w:szCs w:val="21"/>
        </w:rPr>
        <w:t>预制构件使用的钢板、钢筋、吊耳等各种预埋件，其埋设的允许偏差和外观质量应符合有关规定的要求。</w:t>
      </w:r>
    </w:p>
    <w:p>
      <w:pPr>
        <w:pStyle w:val="84"/>
        <w:keepNext w:val="0"/>
        <w:keepLines w:val="0"/>
        <w:pageBreakBefore w:val="0"/>
        <w:widowControl w:val="0"/>
        <w:numPr>
          <w:ilvl w:val="0"/>
          <w:numId w:val="0"/>
        </w:numPr>
        <w:shd w:val="clear" w:color="auto" w:fill="auto"/>
        <w:tabs>
          <w:tab w:val="left" w:pos="1059"/>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(4)</w:t>
      </w:r>
      <w:r>
        <w:rPr>
          <w:rStyle w:val="131"/>
          <w:rFonts w:hint="eastAsia" w:ascii="宋体" w:hAnsi="宋体" w:eastAsia="宋体" w:cs="宋体"/>
          <w:spacing w:val="0"/>
          <w:sz w:val="21"/>
          <w:szCs w:val="21"/>
        </w:rPr>
        <w:t>预制混凝土构件的制作允许偏差应参照《混凝土结构工程施工质量验收规范</w:t>
      </w:r>
      <w:r>
        <w:rPr>
          <w:rFonts w:hint="eastAsia" w:ascii="宋体" w:hAnsi="宋体" w:eastAsia="宋体" w:cs="宋体"/>
          <w:spacing w:val="0"/>
          <w:sz w:val="21"/>
          <w:szCs w:val="21"/>
        </w:rPr>
        <w:t>》</w:t>
      </w:r>
      <w:r>
        <w:rPr>
          <w:rFonts w:hint="eastAsia" w:ascii="宋体" w:hAnsi="宋体" w:eastAsia="宋体" w:cs="宋体"/>
          <w:spacing w:val="0"/>
          <w:sz w:val="21"/>
          <w:szCs w:val="21"/>
          <w:lang w:val="en-US" w:bidi="en-US"/>
        </w:rPr>
        <w:t>（</w:t>
      </w:r>
      <w:r>
        <w:rPr>
          <w:rStyle w:val="109"/>
          <w:rFonts w:hint="eastAsia" w:ascii="宋体" w:hAnsi="宋体" w:eastAsia="宋体" w:cs="宋体"/>
          <w:spacing w:val="0"/>
          <w:sz w:val="21"/>
          <w:szCs w:val="21"/>
          <w:lang w:eastAsia="zh-CN"/>
        </w:rPr>
        <w:t>GB</w:t>
      </w:r>
      <w:r>
        <w:rPr>
          <w:rStyle w:val="131"/>
          <w:rFonts w:hint="eastAsia" w:ascii="宋体" w:hAnsi="宋体" w:eastAsia="宋体" w:cs="宋体"/>
          <w:spacing w:val="0"/>
          <w:sz w:val="21"/>
          <w:szCs w:val="21"/>
          <w:lang w:val="en-US" w:bidi="en-US"/>
        </w:rPr>
        <w:t>502</w:t>
      </w:r>
      <w:r>
        <w:rPr>
          <w:rStyle w:val="109"/>
          <w:rFonts w:hint="eastAsia" w:ascii="宋体" w:hAnsi="宋体" w:eastAsia="宋体" w:cs="宋体"/>
          <w:spacing w:val="0"/>
          <w:sz w:val="21"/>
          <w:szCs w:val="21"/>
          <w:lang w:eastAsia="zh-CN"/>
        </w:rPr>
        <w:t>CH</w:t>
      </w:r>
      <w:r>
        <w:rPr>
          <w:rStyle w:val="131"/>
          <w:rFonts w:hint="eastAsia" w:ascii="宋体" w:hAnsi="宋体" w:eastAsia="宋体" w:cs="宋体"/>
          <w:spacing w:val="0"/>
          <w:sz w:val="21"/>
          <w:szCs w:val="21"/>
        </w:rPr>
        <w:t>—</w:t>
      </w:r>
      <w:r>
        <w:rPr>
          <w:rStyle w:val="131"/>
          <w:rFonts w:hint="eastAsia" w:ascii="宋体" w:hAnsi="宋体" w:eastAsia="宋体" w:cs="宋体"/>
          <w:spacing w:val="0"/>
          <w:sz w:val="21"/>
          <w:szCs w:val="21"/>
          <w:lang w:val="en-US" w:bidi="en-US"/>
        </w:rPr>
        <w:t>2015)</w:t>
      </w:r>
      <w:r>
        <w:rPr>
          <w:rStyle w:val="131"/>
          <w:rFonts w:hint="eastAsia" w:ascii="宋体" w:hAnsi="宋体" w:eastAsia="宋体" w:cs="宋体"/>
          <w:spacing w:val="0"/>
          <w:sz w:val="21"/>
          <w:szCs w:val="21"/>
        </w:rPr>
        <w:t>表</w:t>
      </w:r>
      <w:r>
        <w:rPr>
          <w:rStyle w:val="131"/>
          <w:rFonts w:hint="eastAsia" w:ascii="宋体" w:hAnsi="宋体" w:eastAsia="宋体" w:cs="宋体"/>
          <w:spacing w:val="0"/>
          <w:sz w:val="21"/>
          <w:szCs w:val="21"/>
          <w:lang w:val="en-US" w:bidi="en-US"/>
        </w:rPr>
        <w:t>9.2.</w:t>
      </w:r>
      <w:r>
        <w:rPr>
          <w:rStyle w:val="131"/>
          <w:rFonts w:hint="eastAsia" w:ascii="宋体" w:hAnsi="宋体" w:eastAsia="宋体" w:cs="宋体"/>
          <w:spacing w:val="0"/>
          <w:sz w:val="21"/>
          <w:szCs w:val="21"/>
        </w:rPr>
        <w:t>4的有关数据确定。</w:t>
      </w:r>
    </w:p>
    <w:p>
      <w:pPr>
        <w:pStyle w:val="84"/>
        <w:keepNext w:val="0"/>
        <w:keepLines w:val="0"/>
        <w:pageBreakBefore w:val="0"/>
        <w:widowControl w:val="0"/>
        <w:numPr>
          <w:ilvl w:val="0"/>
          <w:numId w:val="0"/>
        </w:numPr>
        <w:shd w:val="clear" w:color="auto" w:fill="auto"/>
        <w:tabs>
          <w:tab w:val="left" w:pos="518"/>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(5)</w:t>
      </w:r>
      <w:r>
        <w:rPr>
          <w:rStyle w:val="131"/>
          <w:rFonts w:hint="eastAsia" w:ascii="宋体" w:hAnsi="宋体" w:eastAsia="宋体" w:cs="宋体"/>
          <w:spacing w:val="0"/>
          <w:sz w:val="21"/>
          <w:szCs w:val="21"/>
        </w:rPr>
        <w:t>预制混凝土模板的安装和拆除应符合《混凝土结构工程施工质量验收规范</w:t>
      </w:r>
      <w:r>
        <w:rPr>
          <w:rFonts w:hint="eastAsia" w:ascii="宋体" w:hAnsi="宋体" w:eastAsia="宋体" w:cs="宋体"/>
          <w:spacing w:val="0"/>
          <w:sz w:val="21"/>
          <w:szCs w:val="21"/>
        </w:rPr>
        <w:t>》</w:t>
      </w:r>
      <w:r>
        <w:rPr>
          <w:rFonts w:hint="eastAsia" w:ascii="宋体" w:hAnsi="宋体" w:eastAsia="宋体" w:cs="宋体"/>
          <w:spacing w:val="0"/>
          <w:sz w:val="21"/>
          <w:szCs w:val="21"/>
          <w:lang w:val="en-US" w:bidi="en-US"/>
        </w:rPr>
        <w:t>（</w:t>
      </w:r>
      <w:r>
        <w:rPr>
          <w:rStyle w:val="109"/>
          <w:rFonts w:hint="eastAsia" w:ascii="宋体" w:hAnsi="宋体" w:eastAsia="宋体" w:cs="宋体"/>
          <w:spacing w:val="0"/>
          <w:sz w:val="21"/>
          <w:szCs w:val="21"/>
          <w:lang w:eastAsia="zh-CN"/>
        </w:rPr>
        <w:t>GB</w:t>
      </w:r>
      <w:r>
        <w:rPr>
          <w:rStyle w:val="131"/>
          <w:rFonts w:hint="eastAsia" w:ascii="宋体" w:hAnsi="宋体" w:eastAsia="宋体" w:cs="宋体"/>
          <w:spacing w:val="0"/>
          <w:sz w:val="21"/>
          <w:szCs w:val="21"/>
        </w:rPr>
        <w:t>50204—</w:t>
      </w:r>
      <w:r>
        <w:rPr>
          <w:rStyle w:val="131"/>
          <w:rFonts w:hint="eastAsia" w:ascii="宋体" w:hAnsi="宋体" w:eastAsia="宋体" w:cs="宋体"/>
          <w:spacing w:val="0"/>
          <w:sz w:val="21"/>
          <w:szCs w:val="21"/>
          <w:lang w:val="en-US" w:bidi="en-US"/>
        </w:rPr>
        <w:t>2015)</w:t>
      </w:r>
      <w:r>
        <w:rPr>
          <w:rStyle w:val="131"/>
          <w:rFonts w:hint="eastAsia" w:ascii="宋体" w:hAnsi="宋体" w:eastAsia="宋体" w:cs="宋体"/>
          <w:spacing w:val="0"/>
          <w:sz w:val="21"/>
          <w:szCs w:val="21"/>
        </w:rPr>
        <w:t>有关规定，混凝土预制件必须达到规定强度后，方可拆除模板。</w:t>
      </w:r>
    </w:p>
    <w:p>
      <w:pPr>
        <w:pStyle w:val="61"/>
        <w:keepNext w:val="0"/>
        <w:keepLines w:val="0"/>
        <w:pageBreakBefore w:val="0"/>
        <w:widowControl w:val="0"/>
        <w:numPr>
          <w:ilvl w:val="0"/>
          <w:numId w:val="8"/>
        </w:numPr>
        <w:shd w:val="clear" w:color="auto" w:fill="auto"/>
        <w:tabs>
          <w:tab w:val="left" w:pos="1022"/>
        </w:tabs>
        <w:kinsoku/>
        <w:wordWrap/>
        <w:overflowPunct/>
        <w:topLinePunct w:val="0"/>
        <w:autoSpaceDE/>
        <w:autoSpaceDN/>
        <w:bidi w:val="0"/>
        <w:adjustRightInd w:val="0"/>
        <w:snapToGrid/>
        <w:spacing w:before="0" w:after="0" w:line="324" w:lineRule="auto"/>
        <w:ind w:left="0" w:right="0" w:firstLine="420" w:firstLineChars="200"/>
        <w:jc w:val="both"/>
        <w:textAlignment w:val="auto"/>
        <w:rPr>
          <w:rFonts w:hint="eastAsia" w:ascii="宋体" w:hAnsi="宋体" w:eastAsia="宋体" w:cs="宋体"/>
          <w:spacing w:val="0"/>
          <w:sz w:val="21"/>
          <w:szCs w:val="21"/>
        </w:rPr>
      </w:pPr>
      <w:r>
        <w:rPr>
          <w:rStyle w:val="63"/>
          <w:rFonts w:hint="eastAsia" w:ascii="宋体" w:hAnsi="宋体" w:eastAsia="宋体" w:cs="宋体"/>
          <w:spacing w:val="0"/>
          <w:sz w:val="21"/>
          <w:szCs w:val="21"/>
          <w:lang w:val="zh-CN" w:eastAsia="zh-CN" w:bidi="zh-CN"/>
        </w:rPr>
        <w:t>养护、修整和标记</w:t>
      </w:r>
    </w:p>
    <w:p>
      <w:pPr>
        <w:pStyle w:val="84"/>
        <w:keepNext w:val="0"/>
        <w:keepLines w:val="0"/>
        <w:pageBreakBefore w:val="0"/>
        <w:widowControl w:val="0"/>
        <w:numPr>
          <w:ilvl w:val="0"/>
          <w:numId w:val="0"/>
        </w:numPr>
        <w:shd w:val="clear" w:color="auto" w:fill="auto"/>
        <w:tabs>
          <w:tab w:val="left" w:pos="1086"/>
          <w:tab w:val="left" w:leader="underscore" w:pos="5715"/>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(1)</w:t>
      </w:r>
      <w:r>
        <w:rPr>
          <w:rStyle w:val="131"/>
          <w:rFonts w:hint="eastAsia" w:ascii="宋体" w:hAnsi="宋体" w:eastAsia="宋体" w:cs="宋体"/>
          <w:spacing w:val="0"/>
          <w:sz w:val="21"/>
          <w:szCs w:val="21"/>
        </w:rPr>
        <w:t>养护：用水养护混凝土应不少于</w:t>
      </w:r>
      <w:r>
        <w:rPr>
          <w:rStyle w:val="131"/>
          <w:rFonts w:hint="eastAsia" w:ascii="宋体" w:hAnsi="宋体" w:eastAsia="宋体" w:cs="宋体"/>
          <w:spacing w:val="0"/>
          <w:sz w:val="21"/>
          <w:szCs w:val="21"/>
        </w:rPr>
        <w:tab/>
      </w:r>
      <w:r>
        <w:rPr>
          <w:rStyle w:val="131"/>
          <w:rFonts w:hint="eastAsia" w:ascii="宋体" w:hAnsi="宋体" w:eastAsia="宋体" w:cs="宋体"/>
          <w:spacing w:val="0"/>
          <w:sz w:val="21"/>
          <w:szCs w:val="21"/>
        </w:rPr>
        <w:t>天，蒸汽养护应按监理人的</w:t>
      </w:r>
    </w:p>
    <w:p>
      <w:pPr>
        <w:pStyle w:val="84"/>
        <w:keepNext w:val="0"/>
        <w:keepLines w:val="0"/>
        <w:pageBreakBefore w:val="0"/>
        <w:widowControl w:val="0"/>
        <w:shd w:val="clear" w:color="auto" w:fill="auto"/>
        <w:kinsoku/>
        <w:wordWrap/>
        <w:overflowPunct/>
        <w:topLinePunct w:val="0"/>
        <w:autoSpaceDE/>
        <w:autoSpaceDN/>
        <w:bidi w:val="0"/>
        <w:adjustRightInd w:val="0"/>
        <w:snapToGrid/>
        <w:spacing w:line="324" w:lineRule="auto"/>
        <w:ind w:left="0" w:right="0" w:firstLine="420" w:firstLineChars="200"/>
        <w:jc w:val="both"/>
        <w:textAlignment w:val="auto"/>
        <w:rPr>
          <w:rFonts w:hint="eastAsia" w:ascii="宋体" w:hAnsi="宋体" w:eastAsia="宋体" w:cs="宋体"/>
          <w:spacing w:val="0"/>
          <w:sz w:val="21"/>
          <w:szCs w:val="21"/>
        </w:rPr>
      </w:pPr>
      <w:r>
        <w:rPr>
          <w:rStyle w:val="131"/>
          <w:rFonts w:hint="eastAsia" w:ascii="宋体" w:hAnsi="宋体" w:eastAsia="宋体" w:cs="宋体"/>
          <w:spacing w:val="0"/>
          <w:sz w:val="21"/>
          <w:szCs w:val="21"/>
        </w:rPr>
        <w:t>指示或现行规范中的有关规定进行。</w:t>
      </w:r>
    </w:p>
    <w:p>
      <w:pPr>
        <w:pStyle w:val="84"/>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(2)</w:t>
      </w:r>
      <w:r>
        <w:rPr>
          <w:rStyle w:val="131"/>
          <w:rFonts w:hint="eastAsia" w:ascii="宋体" w:hAnsi="宋体" w:eastAsia="宋体" w:cs="宋体"/>
          <w:spacing w:val="0"/>
          <w:sz w:val="21"/>
          <w:szCs w:val="21"/>
        </w:rPr>
        <w:t>表面修整：预制混凝土表面修整应符合《水工混凝土施工规范</w:t>
      </w:r>
      <w:r>
        <w:rPr>
          <w:rFonts w:hint="eastAsia" w:ascii="宋体" w:hAnsi="宋体" w:eastAsia="宋体" w:cs="宋体"/>
          <w:spacing w:val="0"/>
          <w:sz w:val="21"/>
          <w:szCs w:val="21"/>
        </w:rPr>
        <w:t>》</w:t>
      </w:r>
      <w:r>
        <w:rPr>
          <w:rFonts w:hint="eastAsia" w:ascii="宋体" w:hAnsi="宋体" w:eastAsia="宋体" w:cs="宋体"/>
          <w:spacing w:val="0"/>
          <w:sz w:val="21"/>
          <w:szCs w:val="21"/>
          <w:lang w:val="en-US" w:bidi="en-US"/>
        </w:rPr>
        <w:t>（</w:t>
      </w:r>
      <w:r>
        <w:rPr>
          <w:rStyle w:val="109"/>
          <w:rFonts w:hint="eastAsia" w:ascii="宋体" w:hAnsi="宋体" w:eastAsia="宋体" w:cs="宋体"/>
          <w:spacing w:val="0"/>
          <w:sz w:val="21"/>
          <w:szCs w:val="21"/>
          <w:lang w:eastAsia="zh-CN"/>
        </w:rPr>
        <w:t>SL</w:t>
      </w:r>
      <w:r>
        <w:rPr>
          <w:rStyle w:val="131"/>
          <w:rFonts w:hint="eastAsia" w:ascii="宋体" w:hAnsi="宋体" w:eastAsia="宋体" w:cs="宋体"/>
          <w:spacing w:val="0"/>
          <w:sz w:val="21"/>
          <w:szCs w:val="21"/>
        </w:rPr>
        <w:t>677—</w:t>
      </w:r>
      <w:r>
        <w:rPr>
          <w:rStyle w:val="131"/>
          <w:rFonts w:hint="eastAsia" w:ascii="宋体" w:hAnsi="宋体" w:eastAsia="宋体" w:cs="宋体"/>
          <w:spacing w:val="0"/>
          <w:sz w:val="21"/>
          <w:szCs w:val="21"/>
          <w:lang w:val="en-US" w:bidi="en-US"/>
        </w:rPr>
        <w:t>2014)</w:t>
      </w:r>
      <w:r>
        <w:rPr>
          <w:rStyle w:val="131"/>
          <w:rFonts w:hint="eastAsia" w:ascii="宋体" w:hAnsi="宋体" w:eastAsia="宋体" w:cs="宋体"/>
          <w:spacing w:val="0"/>
          <w:sz w:val="21"/>
          <w:szCs w:val="21"/>
        </w:rPr>
        <w:t>有关规定。</w:t>
      </w:r>
    </w:p>
    <w:p>
      <w:pPr>
        <w:pStyle w:val="84"/>
        <w:keepNext w:val="0"/>
        <w:keepLines w:val="0"/>
        <w:pageBreakBefore w:val="0"/>
        <w:widowControl w:val="0"/>
        <w:numPr>
          <w:ilvl w:val="0"/>
          <w:numId w:val="0"/>
        </w:numPr>
        <w:shd w:val="clear" w:color="auto" w:fill="auto"/>
        <w:tabs>
          <w:tab w:val="left" w:pos="1075"/>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(3)</w:t>
      </w:r>
      <w:r>
        <w:rPr>
          <w:rStyle w:val="131"/>
          <w:rFonts w:hint="eastAsia" w:ascii="宋体" w:hAnsi="宋体" w:eastAsia="宋体" w:cs="宋体"/>
          <w:spacing w:val="0"/>
          <w:sz w:val="21"/>
          <w:szCs w:val="21"/>
        </w:rPr>
        <w:t>合格标记：经监理人检查合格的预制混凝土构件应标有合格标志，并标有合格的号、制作日期和安装标记，未标有合格标志或有缺陷的构件不得使用。</w:t>
      </w:r>
    </w:p>
    <w:p>
      <w:pPr>
        <w:pStyle w:val="61"/>
        <w:keepNext w:val="0"/>
        <w:keepLines w:val="0"/>
        <w:pageBreakBefore w:val="0"/>
        <w:widowControl w:val="0"/>
        <w:numPr>
          <w:ilvl w:val="0"/>
          <w:numId w:val="8"/>
        </w:numPr>
        <w:shd w:val="clear" w:color="auto" w:fill="auto"/>
        <w:tabs>
          <w:tab w:val="left" w:pos="1022"/>
        </w:tabs>
        <w:kinsoku/>
        <w:wordWrap/>
        <w:overflowPunct/>
        <w:topLinePunct w:val="0"/>
        <w:autoSpaceDE/>
        <w:autoSpaceDN/>
        <w:bidi w:val="0"/>
        <w:adjustRightInd w:val="0"/>
        <w:snapToGrid/>
        <w:spacing w:before="0" w:after="0" w:line="324" w:lineRule="auto"/>
        <w:ind w:left="0" w:right="0" w:firstLine="420" w:firstLineChars="200"/>
        <w:jc w:val="both"/>
        <w:textAlignment w:val="auto"/>
        <w:rPr>
          <w:rFonts w:hint="eastAsia" w:ascii="宋体" w:hAnsi="宋体" w:eastAsia="宋体" w:cs="宋体"/>
          <w:spacing w:val="0"/>
          <w:sz w:val="21"/>
          <w:szCs w:val="21"/>
        </w:rPr>
      </w:pPr>
      <w:r>
        <w:rPr>
          <w:rStyle w:val="63"/>
          <w:rFonts w:hint="eastAsia" w:ascii="宋体" w:hAnsi="宋体" w:eastAsia="宋体" w:cs="宋体"/>
          <w:spacing w:val="0"/>
          <w:sz w:val="21"/>
          <w:szCs w:val="21"/>
          <w:lang w:val="zh-CN" w:eastAsia="zh-CN" w:bidi="zh-CN"/>
        </w:rPr>
        <w:t>运输、堆放、吊运和安装</w:t>
      </w:r>
    </w:p>
    <w:p>
      <w:pPr>
        <w:pStyle w:val="84"/>
        <w:keepNext w:val="0"/>
        <w:keepLines w:val="0"/>
        <w:pageBreakBefore w:val="0"/>
        <w:widowControl w:val="0"/>
        <w:shd w:val="clear" w:color="auto" w:fill="auto"/>
        <w:kinsoku/>
        <w:wordWrap/>
        <w:overflowPunct/>
        <w:topLinePunct w:val="0"/>
        <w:autoSpaceDE/>
        <w:autoSpaceDN/>
        <w:bidi w:val="0"/>
        <w:adjustRightInd w:val="0"/>
        <w:snapToGrid/>
        <w:spacing w:line="324" w:lineRule="auto"/>
        <w:ind w:left="0" w:right="0" w:firstLine="420" w:firstLineChars="200"/>
        <w:jc w:val="both"/>
        <w:textAlignment w:val="auto"/>
        <w:rPr>
          <w:rFonts w:hint="eastAsia" w:ascii="宋体" w:hAnsi="宋体" w:eastAsia="宋体" w:cs="宋体"/>
          <w:spacing w:val="0"/>
          <w:sz w:val="21"/>
          <w:szCs w:val="21"/>
        </w:rPr>
      </w:pPr>
      <w:r>
        <w:rPr>
          <w:rStyle w:val="131"/>
          <w:rFonts w:hint="eastAsia" w:ascii="宋体" w:hAnsi="宋体" w:eastAsia="宋体" w:cs="宋体"/>
          <w:spacing w:val="0"/>
          <w:sz w:val="21"/>
          <w:szCs w:val="21"/>
        </w:rPr>
        <w:t>运输、堆放、吊运和安装应符合《混凝土结构工程施工质量验收规范》</w:t>
      </w:r>
      <w:r>
        <w:rPr>
          <w:rStyle w:val="109"/>
          <w:rFonts w:hint="eastAsia" w:ascii="宋体" w:hAnsi="宋体" w:eastAsia="宋体" w:cs="宋体"/>
          <w:spacing w:val="0"/>
          <w:sz w:val="21"/>
          <w:szCs w:val="21"/>
          <w:lang w:eastAsia="zh-CN"/>
        </w:rPr>
        <w:t>(GB</w:t>
      </w:r>
      <w:r>
        <w:rPr>
          <w:rStyle w:val="131"/>
          <w:rFonts w:hint="eastAsia" w:ascii="宋体" w:hAnsi="宋体" w:eastAsia="宋体" w:cs="宋体"/>
          <w:spacing w:val="0"/>
          <w:sz w:val="21"/>
          <w:szCs w:val="21"/>
        </w:rPr>
        <w:t>50204—</w:t>
      </w:r>
      <w:r>
        <w:rPr>
          <w:rStyle w:val="131"/>
          <w:rFonts w:hint="eastAsia" w:ascii="宋体" w:hAnsi="宋体" w:eastAsia="宋体" w:cs="宋体"/>
          <w:spacing w:val="0"/>
          <w:sz w:val="21"/>
          <w:szCs w:val="21"/>
          <w:lang w:val="en-US" w:bidi="en-US"/>
        </w:rPr>
        <w:t>2015)</w:t>
      </w:r>
      <w:r>
        <w:rPr>
          <w:rStyle w:val="131"/>
          <w:rFonts w:hint="eastAsia" w:ascii="宋体" w:hAnsi="宋体" w:eastAsia="宋体" w:cs="宋体"/>
          <w:spacing w:val="0"/>
          <w:sz w:val="21"/>
          <w:szCs w:val="21"/>
        </w:rPr>
        <w:t>的有关规定。</w:t>
      </w:r>
    </w:p>
    <w:p>
      <w:pPr>
        <w:pStyle w:val="61"/>
        <w:keepNext w:val="0"/>
        <w:keepLines w:val="0"/>
        <w:pageBreakBefore w:val="0"/>
        <w:widowControl w:val="0"/>
        <w:shd w:val="clear" w:color="auto" w:fill="auto"/>
        <w:kinsoku/>
        <w:wordWrap/>
        <w:overflowPunct/>
        <w:topLinePunct w:val="0"/>
        <w:autoSpaceDE/>
        <w:autoSpaceDN/>
        <w:bidi w:val="0"/>
        <w:adjustRightInd w:val="0"/>
        <w:snapToGrid/>
        <w:spacing w:before="0" w:after="0" w:line="324" w:lineRule="auto"/>
        <w:ind w:left="0" w:right="0" w:firstLine="420" w:firstLineChars="200"/>
        <w:jc w:val="both"/>
        <w:textAlignment w:val="auto"/>
        <w:rPr>
          <w:rFonts w:hint="eastAsia" w:ascii="宋体" w:hAnsi="宋体" w:eastAsia="宋体" w:cs="宋体"/>
          <w:spacing w:val="0"/>
          <w:sz w:val="21"/>
          <w:szCs w:val="21"/>
        </w:rPr>
      </w:pPr>
      <w:r>
        <w:rPr>
          <w:rStyle w:val="63"/>
          <w:rFonts w:hint="eastAsia" w:ascii="宋体" w:hAnsi="宋体" w:eastAsia="宋体" w:cs="宋体"/>
          <w:spacing w:val="0"/>
          <w:sz w:val="21"/>
          <w:szCs w:val="21"/>
          <w:lang w:eastAsia="zh-CN"/>
        </w:rPr>
        <w:t>14.6.</w:t>
      </w:r>
      <w:r>
        <w:rPr>
          <w:rStyle w:val="63"/>
          <w:rFonts w:hint="eastAsia" w:ascii="宋体" w:hAnsi="宋体" w:eastAsia="宋体" w:cs="宋体"/>
          <w:spacing w:val="0"/>
          <w:sz w:val="21"/>
          <w:szCs w:val="21"/>
          <w:lang w:val="zh-CN" w:eastAsia="zh-CN" w:bidi="zh-CN"/>
        </w:rPr>
        <w:t>5质量检查和验收</w:t>
      </w:r>
    </w:p>
    <w:p>
      <w:pPr>
        <w:pStyle w:val="84"/>
        <w:keepNext w:val="0"/>
        <w:keepLines w:val="0"/>
        <w:pageBreakBefore w:val="0"/>
        <w:widowControl w:val="0"/>
        <w:shd w:val="clear" w:color="auto" w:fill="auto"/>
        <w:kinsoku/>
        <w:wordWrap/>
        <w:overflowPunct/>
        <w:topLinePunct w:val="0"/>
        <w:autoSpaceDE/>
        <w:autoSpaceDN/>
        <w:bidi w:val="0"/>
        <w:adjustRightInd w:val="0"/>
        <w:snapToGrid/>
        <w:spacing w:line="324" w:lineRule="auto"/>
        <w:ind w:left="0" w:right="0" w:firstLine="420" w:firstLineChars="200"/>
        <w:jc w:val="both"/>
        <w:textAlignment w:val="auto"/>
        <w:rPr>
          <w:rFonts w:hint="eastAsia" w:ascii="宋体" w:hAnsi="宋体" w:eastAsia="宋体" w:cs="宋体"/>
          <w:spacing w:val="0"/>
          <w:sz w:val="21"/>
          <w:szCs w:val="21"/>
        </w:rPr>
      </w:pPr>
      <w:r>
        <w:rPr>
          <w:rStyle w:val="131"/>
          <w:rFonts w:hint="eastAsia" w:ascii="宋体" w:hAnsi="宋体" w:eastAsia="宋体" w:cs="宋体"/>
          <w:spacing w:val="0"/>
          <w:sz w:val="21"/>
          <w:szCs w:val="21"/>
        </w:rPr>
        <w:t>承包人应会同监理人对预制混凝土构件的制作和安装进行以下项目的检查和验收：</w:t>
      </w:r>
    </w:p>
    <w:p>
      <w:pPr>
        <w:pStyle w:val="84"/>
        <w:keepNext w:val="0"/>
        <w:keepLines w:val="0"/>
        <w:pageBreakBefore w:val="0"/>
        <w:widowControl w:val="0"/>
        <w:numPr>
          <w:ilvl w:val="0"/>
          <w:numId w:val="0"/>
        </w:numPr>
        <w:shd w:val="clear" w:color="auto" w:fill="auto"/>
        <w:tabs>
          <w:tab w:val="left" w:pos="1086"/>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(1)</w:t>
      </w:r>
      <w:r>
        <w:rPr>
          <w:rStyle w:val="131"/>
          <w:rFonts w:hint="eastAsia" w:ascii="宋体" w:hAnsi="宋体" w:eastAsia="宋体" w:cs="宋体"/>
          <w:spacing w:val="0"/>
          <w:sz w:val="21"/>
          <w:szCs w:val="21"/>
        </w:rPr>
        <w:t>预制混凝土原材料的质量检验应按本章第</w:t>
      </w:r>
      <w:r>
        <w:rPr>
          <w:rStyle w:val="109"/>
          <w:rFonts w:hint="eastAsia" w:ascii="宋体" w:hAnsi="宋体" w:eastAsia="宋体" w:cs="宋体"/>
          <w:spacing w:val="0"/>
          <w:sz w:val="21"/>
          <w:szCs w:val="21"/>
          <w:lang w:eastAsia="zh-CN"/>
        </w:rPr>
        <w:t>14</w:t>
      </w:r>
      <w:r>
        <w:rPr>
          <w:rStyle w:val="131"/>
          <w:rFonts w:hint="eastAsia" w:ascii="宋体" w:hAnsi="宋体" w:eastAsia="宋体" w:cs="宋体"/>
          <w:spacing w:val="0"/>
          <w:sz w:val="21"/>
          <w:szCs w:val="21"/>
          <w:lang w:val="en-US" w:bidi="en-US"/>
        </w:rPr>
        <w:t>.</w:t>
      </w:r>
      <w:r>
        <w:rPr>
          <w:rStyle w:val="131"/>
          <w:rFonts w:hint="eastAsia" w:ascii="宋体" w:hAnsi="宋体" w:eastAsia="宋体" w:cs="宋体"/>
          <w:spacing w:val="0"/>
          <w:sz w:val="21"/>
          <w:szCs w:val="21"/>
        </w:rPr>
        <w:t>2款有关规定执行。</w:t>
      </w:r>
    </w:p>
    <w:p>
      <w:pPr>
        <w:pStyle w:val="84"/>
        <w:keepNext w:val="0"/>
        <w:keepLines w:val="0"/>
        <w:pageBreakBefore w:val="0"/>
        <w:widowControl w:val="0"/>
        <w:numPr>
          <w:ilvl w:val="0"/>
          <w:numId w:val="0"/>
        </w:numPr>
        <w:shd w:val="clear" w:color="auto" w:fill="auto"/>
        <w:tabs>
          <w:tab w:val="left" w:pos="1067"/>
        </w:tabs>
        <w:kinsoku/>
        <w:wordWrap/>
        <w:overflowPunct/>
        <w:topLinePunct w:val="0"/>
        <w:autoSpaceDE/>
        <w:autoSpaceDN/>
        <w:bidi w:val="0"/>
        <w:adjustRightInd w:val="0"/>
        <w:snapToGrid/>
        <w:spacing w:line="324" w:lineRule="auto"/>
        <w:ind w:left="0" w:leftChars="0" w:right="0" w:rightChars="0" w:firstLine="420" w:firstLineChars="200"/>
        <w:jc w:val="both"/>
        <w:textAlignment w:val="auto"/>
        <w:rPr>
          <w:rFonts w:hint="eastAsia" w:ascii="宋体" w:hAnsi="宋体" w:eastAsia="宋体" w:cs="宋体"/>
          <w:spacing w:val="0"/>
          <w:sz w:val="21"/>
          <w:szCs w:val="21"/>
        </w:rPr>
      </w:pPr>
      <w:r>
        <w:rPr>
          <w:rFonts w:hint="eastAsia" w:ascii="宋体" w:hAnsi="宋体" w:eastAsia="宋体" w:cs="宋体"/>
          <w:b w:val="0"/>
          <w:bCs w:val="0"/>
          <w:i w:val="0"/>
          <w:iCs w:val="0"/>
          <w:smallCaps w:val="0"/>
          <w:strike w:val="0"/>
          <w:color w:val="000000"/>
          <w:spacing w:val="0"/>
          <w:w w:val="100"/>
          <w:kern w:val="2"/>
          <w:position w:val="0"/>
          <w:sz w:val="21"/>
          <w:szCs w:val="21"/>
          <w:u w:val="none"/>
          <w:lang w:val="en-US" w:eastAsia="en-US" w:bidi="en-US"/>
        </w:rPr>
        <w:t>(2)</w:t>
      </w:r>
      <w:r>
        <w:rPr>
          <w:rStyle w:val="131"/>
          <w:rFonts w:hint="eastAsia" w:ascii="宋体" w:hAnsi="宋体" w:eastAsia="宋体" w:cs="宋体"/>
          <w:spacing w:val="0"/>
          <w:sz w:val="21"/>
          <w:szCs w:val="21"/>
        </w:rPr>
        <w:t>预制混凝土构件应按《混凝土结构工程施工质量验收规范</w:t>
      </w:r>
      <w:r>
        <w:rPr>
          <w:rFonts w:hint="eastAsia" w:ascii="宋体" w:hAnsi="宋体" w:eastAsia="宋体" w:cs="宋体"/>
          <w:spacing w:val="0"/>
          <w:sz w:val="21"/>
          <w:szCs w:val="21"/>
        </w:rPr>
        <w:t>》</w:t>
      </w:r>
      <w:r>
        <w:rPr>
          <w:rFonts w:hint="eastAsia" w:ascii="宋体" w:hAnsi="宋体" w:eastAsia="宋体" w:cs="宋体"/>
          <w:spacing w:val="0"/>
          <w:sz w:val="21"/>
          <w:szCs w:val="21"/>
          <w:lang w:val="en-US" w:bidi="en-US"/>
        </w:rPr>
        <w:t>（</w:t>
      </w:r>
      <w:r>
        <w:rPr>
          <w:rStyle w:val="109"/>
          <w:rFonts w:hint="eastAsia" w:ascii="宋体" w:hAnsi="宋体" w:eastAsia="宋体" w:cs="宋体"/>
          <w:spacing w:val="0"/>
          <w:sz w:val="21"/>
          <w:szCs w:val="21"/>
          <w:lang w:eastAsia="zh-CN"/>
        </w:rPr>
        <w:t>GB</w:t>
      </w:r>
      <w:r>
        <w:rPr>
          <w:rStyle w:val="131"/>
          <w:rFonts w:hint="eastAsia" w:ascii="宋体" w:hAnsi="宋体" w:eastAsia="宋体" w:cs="宋体"/>
          <w:spacing w:val="0"/>
          <w:sz w:val="21"/>
          <w:szCs w:val="21"/>
        </w:rPr>
        <w:t>50204—</w:t>
      </w:r>
      <w:r>
        <w:rPr>
          <w:rStyle w:val="131"/>
          <w:rFonts w:hint="eastAsia" w:ascii="宋体" w:hAnsi="宋体" w:eastAsia="宋体" w:cs="宋体"/>
          <w:spacing w:val="0"/>
          <w:sz w:val="21"/>
          <w:szCs w:val="21"/>
          <w:lang w:val="en-US" w:bidi="en-US"/>
        </w:rPr>
        <w:t>2015)</w:t>
      </w:r>
      <w:r>
        <w:rPr>
          <w:rStyle w:val="131"/>
          <w:rFonts w:hint="eastAsia" w:ascii="宋体" w:hAnsi="宋体" w:eastAsia="宋体" w:cs="宋体"/>
          <w:spacing w:val="0"/>
          <w:sz w:val="21"/>
          <w:szCs w:val="21"/>
        </w:rPr>
        <w:t>第9章的规定进行预制构件性能检验、外观质量检查和构件施工安装质量的检查。</w:t>
      </w:r>
    </w:p>
    <w:bookmarkEnd w:id="144"/>
    <w:p>
      <w:pPr>
        <w:pStyle w:val="4"/>
        <w:keepNext w:val="0"/>
        <w:keepLines w:val="0"/>
        <w:pageBreakBefore w:val="0"/>
        <w:kinsoku/>
        <w:wordWrap/>
        <w:overflowPunct/>
        <w:topLinePunct w:val="0"/>
        <w:autoSpaceDE/>
        <w:autoSpaceDN/>
        <w:bidi w:val="0"/>
        <w:adjustRightInd w:val="0"/>
        <w:snapToGrid/>
        <w:spacing w:line="324" w:lineRule="auto"/>
        <w:rPr>
          <w:rFonts w:hint="eastAsia" w:ascii="宋体" w:hAnsi="宋体" w:eastAsia="宋体" w:cs="宋体"/>
          <w:spacing w:val="0"/>
          <w:sz w:val="21"/>
          <w:szCs w:val="21"/>
        </w:rPr>
      </w:pPr>
      <w:bookmarkStart w:id="145" w:name="_Toc4709"/>
      <w:r>
        <w:rPr>
          <w:rFonts w:hint="eastAsia" w:ascii="宋体" w:hAnsi="宋体" w:eastAsia="宋体" w:cs="宋体"/>
          <w:spacing w:val="0"/>
          <w:sz w:val="21"/>
          <w:szCs w:val="21"/>
        </w:rPr>
        <w:t>14.11计量和支付</w:t>
      </w:r>
      <w:bookmarkEnd w:id="145"/>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14.11.1模板</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（1）除合同另有约定外，现浇混凝土的模板全部费用，已包含在《工程量清单》相应混凝土或钢筋混凝土项目有效工程量的每立方米工程单价中，发包人不另行计量和支付。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 xml:space="preserve">（2）混凝土预制构件模板所需全部费用，已包含在《工程量清单》相应预制混凝土构件项目有效工程量的工程单价中，发包人不另行支付。使用构成永久结构的预制混凝土模板时，由发包人按《工程量清单》相应项目有效工程量的每立方米工程单价支付。 </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14.11.2钢筋及锚筋</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钢筋按施工图纸所示钢筋强度等级、直径和长度计算有效重量，以吨为单位计量，由发包人按《工程量清单》相应项目有效工程量的每吨工程单价支付。施工架立筋、搭接、套筒连接、加工及安装过程中操作损耗等所需费用，均包含在《工程量清单》相应项目有效工程量的每吨工程单价中，发包人不另行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锚筋按施工图纸所示不同直径和长度，以根为单位计量，由发包人按《工程量清单》相应项目有效工程量的每根单价支付。单价中应包含钻孔、锚筋制作加工、水泥砂浆拌和运输（或锚固剂购买和运输）、锚筋安装、埋设等所需费用，制作安装损耗及填塞用的水泥砂浆（或锚固剂）等施工附加量均包含在 《工程量清单》相应项目有效工程量的每根单价中，发包人不另行支付。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0" w:firstLineChars="0"/>
        <w:rPr>
          <w:rFonts w:hint="eastAsia" w:ascii="宋体" w:hAnsi="宋体" w:eastAsia="宋体" w:cs="宋体"/>
          <w:spacing w:val="0"/>
          <w:sz w:val="21"/>
          <w:szCs w:val="21"/>
        </w:rPr>
      </w:pPr>
      <w:r>
        <w:rPr>
          <w:rFonts w:hint="eastAsia" w:ascii="宋体" w:hAnsi="宋体" w:eastAsia="宋体" w:cs="宋体"/>
          <w:spacing w:val="0"/>
          <w:sz w:val="21"/>
          <w:szCs w:val="21"/>
        </w:rPr>
        <w:t>14.11.3 普通混凝土</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（1）普通混凝土按施工图纸所示尺寸计算有效体积，以立方米为单位计量，由发包人按《工程量清单》相应项目有效工程量的每立方米工程单价支付。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（2）混凝土有效工程量不扣除设计单体体积小于0.1m3的圆角或斜角，单体占用的空间体积小于1 m3的钢筋和金属件，单体横截面积小于0.1m2的孔洞、排水管、预埋管和凹槽等所占的体积，按设计要求对上述孔洞回填的混凝土也不予计量。</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（3）不可预见地质原因超挖引起的超填工程量所发生的费用，由发包人按 《工程量清单》相应项目或变更项目的每立方米工程单价支付。除此之外，同一承包人由于其他原因超挖引起的超填工程量和由此增加的其他工作所需的费用，均应包含在《工程量清单》相应项目有效工程量的每立方米工程单价中，发包人不另行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4）混凝土在冲（凿）毛、拌和、运输和浇筑过程中的操作损耗，以及为临时性施工措施增加的附加混凝土量所需的费用，应包含在《工程量清单》相应项目有效工程量的每立方米工程单价中，发包人不另行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 xml:space="preserve">（5）施工过程中，承包人按本合同技术条款规定进行的各项混凝土试验所需的费用（不包括以总价形式支付的混凝土配合比试验费），均包含在《工程量清单》相应项目有效工程量的每立方米工程单价中，发包人不另行支付。 </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420"/>
        <w:rPr>
          <w:rFonts w:hint="eastAsia" w:ascii="宋体" w:hAnsi="宋体" w:eastAsia="宋体" w:cs="宋体"/>
          <w:spacing w:val="0"/>
          <w:sz w:val="21"/>
          <w:szCs w:val="21"/>
        </w:rPr>
      </w:pPr>
      <w:r>
        <w:rPr>
          <w:rFonts w:hint="eastAsia" w:ascii="宋体" w:hAnsi="宋体" w:eastAsia="宋体" w:cs="宋体"/>
          <w:spacing w:val="0"/>
          <w:sz w:val="21"/>
          <w:szCs w:val="21"/>
        </w:rPr>
        <w:t>（6）止水、止浆、伸缩缝等按施工图纸所示各种材料以米（或平方米）为单位计量，由发包人按《工程量清单》相应项目有效工程量的每米（或平方米）工程单价支付。</w:t>
      </w:r>
    </w:p>
    <w:p>
      <w:pPr>
        <w:pStyle w:val="10"/>
        <w:keepNext w:val="0"/>
        <w:keepLines w:val="0"/>
        <w:pageBreakBefore w:val="0"/>
        <w:tabs>
          <w:tab w:val="left" w:pos="482"/>
          <w:tab w:val="left" w:pos="2183"/>
          <w:tab w:val="left" w:pos="3884"/>
          <w:tab w:val="left" w:pos="5585"/>
        </w:tabs>
        <w:kinsoku/>
        <w:wordWrap/>
        <w:overflowPunct/>
        <w:topLinePunct w:val="0"/>
        <w:autoSpaceDE/>
        <w:autoSpaceDN/>
        <w:bidi w:val="0"/>
        <w:adjustRightInd w:val="0"/>
        <w:snapToGrid/>
        <w:spacing w:line="324" w:lineRule="auto"/>
        <w:ind w:left="0" w:leftChars="0" w:firstLine="0" w:firstLineChars="0"/>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rPr>
        <w:t>14.11.</w:t>
      </w:r>
      <w:r>
        <w:rPr>
          <w:rFonts w:hint="eastAsia" w:ascii="宋体" w:hAnsi="宋体" w:eastAsia="宋体" w:cs="宋体"/>
          <w:spacing w:val="0"/>
          <w:sz w:val="21"/>
          <w:szCs w:val="21"/>
          <w:highlight w:val="none"/>
          <w:lang w:val="en-US" w:eastAsia="zh-CN"/>
        </w:rPr>
        <w:t>4</w:t>
      </w:r>
      <w:r>
        <w:rPr>
          <w:rFonts w:hint="eastAsia" w:ascii="宋体" w:hAnsi="宋体" w:eastAsia="宋体" w:cs="宋体"/>
          <w:spacing w:val="0"/>
          <w:sz w:val="21"/>
          <w:szCs w:val="21"/>
          <w:highlight w:val="none"/>
        </w:rPr>
        <w:t xml:space="preserve"> </w:t>
      </w:r>
      <w:r>
        <w:rPr>
          <w:rFonts w:hint="eastAsia" w:ascii="宋体" w:hAnsi="宋体" w:eastAsia="宋体" w:cs="宋体"/>
          <w:spacing w:val="0"/>
          <w:sz w:val="21"/>
          <w:szCs w:val="21"/>
          <w:highlight w:val="none"/>
          <w:lang w:eastAsia="zh-CN"/>
        </w:rPr>
        <w:t>其他</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1</w:t>
      </w: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eastAsia="zh-CN"/>
        </w:rPr>
        <w:t>管理房</w:t>
      </w:r>
      <w:r>
        <w:rPr>
          <w:rFonts w:hint="eastAsia" w:ascii="宋体" w:hAnsi="宋体" w:eastAsia="宋体" w:cs="宋体"/>
          <w:spacing w:val="0"/>
          <w:sz w:val="21"/>
          <w:szCs w:val="21"/>
          <w:highlight w:val="none"/>
        </w:rPr>
        <w:t>按施工图纸所示以座计量，由发包人按《工程量清单》相应项目有效工程量的每座工程单价支付。</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2</w:t>
      </w:r>
      <w:r>
        <w:rPr>
          <w:rFonts w:hint="eastAsia" w:ascii="宋体" w:hAnsi="宋体" w:eastAsia="宋体" w:cs="宋体"/>
          <w:spacing w:val="0"/>
          <w:sz w:val="21"/>
          <w:szCs w:val="21"/>
          <w:highlight w:val="none"/>
        </w:rPr>
        <w:t>）管道铺设按施工图纸所示以米计量，由发包人按《工程量清单》相应项目有效工程量的每米工程单价支付。</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3</w:t>
      </w: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eastAsia="zh-CN"/>
        </w:rPr>
        <w:t>平板铸铁闸门</w:t>
      </w:r>
      <w:r>
        <w:rPr>
          <w:rFonts w:hint="eastAsia" w:ascii="宋体" w:hAnsi="宋体" w:eastAsia="宋体" w:cs="宋体"/>
          <w:spacing w:val="0"/>
          <w:sz w:val="21"/>
          <w:szCs w:val="21"/>
          <w:highlight w:val="none"/>
        </w:rPr>
        <w:t>按施工图纸所示以有效个数计量，由发包人按《工程量清单》相应项目有效工程量的每个工程单价支付。</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4</w:t>
      </w: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eastAsia="zh-CN"/>
        </w:rPr>
        <w:t>启闭机</w:t>
      </w:r>
      <w:r>
        <w:rPr>
          <w:rFonts w:hint="eastAsia" w:ascii="宋体" w:hAnsi="宋体" w:eastAsia="宋体" w:cs="宋体"/>
          <w:spacing w:val="0"/>
          <w:sz w:val="21"/>
          <w:szCs w:val="21"/>
          <w:highlight w:val="none"/>
        </w:rPr>
        <w:t>按施工图纸所示以有效</w:t>
      </w:r>
      <w:r>
        <w:rPr>
          <w:rFonts w:hint="eastAsia" w:ascii="宋体" w:hAnsi="宋体" w:eastAsia="宋体" w:cs="宋体"/>
          <w:spacing w:val="0"/>
          <w:sz w:val="21"/>
          <w:szCs w:val="21"/>
          <w:highlight w:val="none"/>
          <w:lang w:eastAsia="zh-CN"/>
        </w:rPr>
        <w:t>台</w:t>
      </w:r>
      <w:r>
        <w:rPr>
          <w:rFonts w:hint="eastAsia" w:ascii="宋体" w:hAnsi="宋体" w:eastAsia="宋体" w:cs="宋体"/>
          <w:spacing w:val="0"/>
          <w:sz w:val="21"/>
          <w:szCs w:val="21"/>
          <w:highlight w:val="none"/>
        </w:rPr>
        <w:t>数计量，由发包人按《工程量清单》相应项目有效工程量的每</w:t>
      </w:r>
      <w:r>
        <w:rPr>
          <w:rFonts w:hint="eastAsia" w:ascii="宋体" w:hAnsi="宋体" w:eastAsia="宋体" w:cs="宋体"/>
          <w:spacing w:val="0"/>
          <w:sz w:val="21"/>
          <w:szCs w:val="21"/>
          <w:highlight w:val="none"/>
          <w:lang w:eastAsia="zh-CN"/>
        </w:rPr>
        <w:t>台</w:t>
      </w:r>
      <w:r>
        <w:rPr>
          <w:rFonts w:hint="eastAsia" w:ascii="宋体" w:hAnsi="宋体" w:eastAsia="宋体" w:cs="宋体"/>
          <w:spacing w:val="0"/>
          <w:sz w:val="21"/>
          <w:szCs w:val="21"/>
          <w:highlight w:val="none"/>
        </w:rPr>
        <w:t>工程单价支付。</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val="en-US" w:eastAsia="zh-CN"/>
        </w:rPr>
        <w:t>5</w:t>
      </w:r>
      <w:r>
        <w:rPr>
          <w:rFonts w:hint="eastAsia" w:ascii="宋体" w:hAnsi="宋体" w:eastAsia="宋体" w:cs="宋体"/>
          <w:spacing w:val="0"/>
          <w:sz w:val="21"/>
          <w:szCs w:val="21"/>
          <w:highlight w:val="none"/>
        </w:rPr>
        <w:t>）</w:t>
      </w:r>
      <w:r>
        <w:rPr>
          <w:rFonts w:hint="eastAsia" w:ascii="宋体" w:hAnsi="宋体" w:eastAsia="宋体" w:cs="宋体"/>
          <w:spacing w:val="0"/>
          <w:sz w:val="21"/>
          <w:szCs w:val="21"/>
          <w:highlight w:val="none"/>
          <w:lang w:eastAsia="zh-CN"/>
        </w:rPr>
        <w:t>砼侧</w:t>
      </w:r>
      <w:r>
        <w:rPr>
          <w:rFonts w:hint="eastAsia" w:ascii="宋体" w:hAnsi="宋体" w:eastAsia="宋体" w:cs="宋体"/>
          <w:spacing w:val="0"/>
          <w:sz w:val="21"/>
          <w:szCs w:val="21"/>
          <w:highlight w:val="none"/>
        </w:rPr>
        <w:t>石按施工图纸所示以有效m计量，由发包人按《工程量清单》相应项目有效工程量的每米工程单价支付。</w:t>
      </w:r>
    </w:p>
    <w:p>
      <w:pPr>
        <w:pStyle w:val="10"/>
        <w:keepNext w:val="0"/>
        <w:keepLines w:val="0"/>
        <w:pageBreakBefore w:val="0"/>
        <w:widowControl/>
        <w:tabs>
          <w:tab w:val="left" w:pos="482"/>
          <w:tab w:val="left" w:pos="2183"/>
          <w:tab w:val="left" w:pos="3884"/>
          <w:tab w:val="left" w:pos="5585"/>
        </w:tabs>
        <w:kinsoku/>
        <w:wordWrap/>
        <w:overflowPunct/>
        <w:topLinePunct w:val="0"/>
        <w:autoSpaceDE/>
        <w:autoSpaceDN/>
        <w:bidi w:val="0"/>
        <w:adjustRightInd w:val="0"/>
        <w:snapToGrid/>
        <w:spacing w:line="324" w:lineRule="auto"/>
        <w:ind w:firstLine="420" w:firstLineChars="200"/>
        <w:textAlignment w:val="baseline"/>
        <w:rPr>
          <w:rFonts w:hint="eastAsia" w:ascii="宋体" w:hAnsi="宋体" w:eastAsia="宋体" w:cs="宋体"/>
          <w:sz w:val="21"/>
          <w:szCs w:val="21"/>
          <w:highlight w:val="yellow"/>
        </w:rPr>
      </w:pPr>
    </w:p>
    <w:p>
      <w:pPr>
        <w:keepNext w:val="0"/>
        <w:keepLines w:val="0"/>
        <w:pageBreakBefore w:val="0"/>
        <w:kinsoku/>
        <w:overflowPunct/>
        <w:topLinePunct w:val="0"/>
        <w:autoSpaceDE/>
        <w:autoSpaceDN/>
        <w:bidi w:val="0"/>
        <w:spacing w:line="324" w:lineRule="auto"/>
        <w:rPr>
          <w:rFonts w:hint="eastAsia"/>
          <w:highlight w:val="yellow"/>
        </w:rPr>
      </w:pPr>
    </w:p>
    <w:p>
      <w:pPr>
        <w:keepNext w:val="0"/>
        <w:keepLines w:val="0"/>
        <w:pageBreakBefore w:val="0"/>
        <w:kinsoku/>
        <w:overflowPunct/>
        <w:topLinePunct w:val="0"/>
        <w:autoSpaceDE/>
        <w:autoSpaceDN/>
        <w:bidi w:val="0"/>
        <w:spacing w:line="324" w:lineRule="auto"/>
        <w:rPr>
          <w:rFonts w:hint="eastAsia"/>
        </w:rPr>
      </w:pPr>
    </w:p>
    <w:p>
      <w:pPr>
        <w:keepNext w:val="0"/>
        <w:keepLines w:val="0"/>
        <w:pageBreakBefore w:val="0"/>
        <w:kinsoku/>
        <w:overflowPunct/>
        <w:topLinePunct w:val="0"/>
        <w:autoSpaceDE/>
        <w:autoSpaceDN/>
        <w:bidi w:val="0"/>
        <w:spacing w:line="324" w:lineRule="auto"/>
        <w:rPr>
          <w:rFonts w:hint="eastAsia"/>
        </w:rPr>
      </w:pPr>
    </w:p>
    <w:p>
      <w:pPr>
        <w:pStyle w:val="3"/>
        <w:keepNext w:val="0"/>
        <w:keepLines w:val="0"/>
        <w:pageBreakBefore w:val="0"/>
        <w:kinsoku/>
        <w:overflowPunct/>
        <w:topLinePunct w:val="0"/>
        <w:autoSpaceDE/>
        <w:autoSpaceDN/>
        <w:bidi w:val="0"/>
        <w:spacing w:line="324" w:lineRule="auto"/>
        <w:jc w:val="center"/>
        <w:rPr>
          <w:rFonts w:ascii="宋体" w:hAnsi="宋体" w:eastAsia="宋体" w:cs="Times New Roman"/>
          <w:b/>
          <w:bCs/>
          <w:color w:val="000000"/>
          <w:kern w:val="0"/>
          <w:sz w:val="21"/>
          <w:szCs w:val="21"/>
          <w:lang w:val="en-US" w:eastAsia="zh-CN" w:bidi="ar-SA"/>
        </w:rPr>
      </w:pPr>
      <w:bookmarkStart w:id="146" w:name="_Toc24927"/>
      <w:r>
        <w:rPr>
          <w:rFonts w:hint="eastAsia" w:ascii="宋体" w:hAnsi="宋体" w:eastAsia="宋体" w:cs="Times New Roman"/>
          <w:b/>
          <w:bCs/>
          <w:color w:val="000000"/>
          <w:kern w:val="0"/>
          <w:sz w:val="21"/>
          <w:szCs w:val="21"/>
          <w:lang w:val="en-US" w:eastAsia="zh-CN" w:bidi="ar-SA"/>
        </w:rPr>
        <w:br w:type="page"/>
      </w:r>
      <w:r>
        <w:rPr>
          <w:rFonts w:hint="eastAsia" w:ascii="宋体" w:hAnsi="宋体" w:eastAsia="宋体" w:cs="Times New Roman"/>
          <w:b/>
          <w:bCs/>
          <w:color w:val="000000"/>
          <w:kern w:val="0"/>
          <w:sz w:val="21"/>
          <w:szCs w:val="21"/>
          <w:lang w:val="en-US" w:eastAsia="zh-CN" w:bidi="ar-SA"/>
        </w:rPr>
        <w:t xml:space="preserve">第16节 </w:t>
      </w:r>
      <w:r>
        <w:rPr>
          <w:rFonts w:ascii="宋体" w:hAnsi="宋体" w:eastAsia="宋体" w:cs="Times New Roman"/>
          <w:b/>
          <w:bCs/>
          <w:color w:val="000000"/>
          <w:kern w:val="0"/>
          <w:sz w:val="21"/>
          <w:szCs w:val="21"/>
          <w:lang w:val="en-US" w:eastAsia="zh-CN" w:bidi="ar-SA"/>
        </w:rPr>
        <w:t>砌体工程</w:t>
      </w:r>
      <w:bookmarkEnd w:id="146"/>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47" w:name="_Toc21069"/>
      <w:bookmarkStart w:id="148" w:name="_Toc381776341"/>
      <w:bookmarkStart w:id="149" w:name="_Toc370459248"/>
      <w:r>
        <w:rPr>
          <w:rFonts w:hint="eastAsia" w:ascii="宋体" w:hAnsi="宋体" w:eastAsia="宋体" w:cs="宋体"/>
          <w:sz w:val="21"/>
          <w:szCs w:val="21"/>
        </w:rPr>
        <w:t>16.1 一般规定</w:t>
      </w:r>
      <w:bookmarkEnd w:id="147"/>
      <w:bookmarkEnd w:id="148"/>
      <w:bookmarkEnd w:id="149"/>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16.1.1 应用范围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highlight w:val="none"/>
        </w:rPr>
      </w:pPr>
      <w:r>
        <w:rPr>
          <w:rFonts w:hint="eastAsia" w:ascii="宋体" w:hAnsi="宋体" w:eastAsia="宋体" w:cs="宋体"/>
          <w:kern w:val="0"/>
          <w:szCs w:val="20"/>
          <w:highlight w:val="none"/>
        </w:rPr>
        <w:t>本节规定适用于本合同施工图纸所示的各类砲体工程建筑物，其工程项目包括坝、厂房、引水渠道、永久生活建筑、道路、桥涵、挡墙、管道支墩、护坡和排水沟等建筑物的石砌体（包括浆砌石、干砌石、灌砌石砌体）工程，以及混凝土小砌块砌体和砖砌体工程。</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16.1.2 承包人责任</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（1）承包人应按本合同施工图纸、技术条款的规定和监理人的指示，负责砌体工程基础的场地清理、材料的加工制备、砌体工程的施工及质量检查和验收等工作。</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（2）除合同另有约定外，承包人应负责提供本工程砌体工程的各种石材、胶结材料，以及砌体工程施工所需的人工、施工设备和辅助设施。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（3）承包人应负责砌体胶结材料及其配合比的试验和选择，以及砌筑工艺的选择。</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16.1.3 主要提交件</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（1）施工措施计划</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承包人应在砌体工程开工前，将砌体工程施工措施计划提交监理人批准，其内容包括：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1）施工布置图及其说明；</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2）砌体工程施工工艺和方法；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3）主要施工设备的配置；</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4）质量控制和安全保证措施；</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5）施工进度计划等。</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（2）砌体材料试验报告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承包人应在砌体工程施工前，将各项材料试验成果、提交监理人，其内容包括：</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1）砌体材料的强度等级试验；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2）胶结材料的强度及其配合比选择试验。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（3）质量检查记录和报表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砌体工程施工过程中，承包人应按监理人指示，提交以下施工质量检查记录和报表：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1）砌体材料和砌筑胶结材料的取样试验报告；</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2）砌体工程基础的质量检查记录和报表；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3）砌体工程的砌筑质量检查记录和报表；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4）质量事故处理记录。</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16.1.4 引用标准</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（1）《烧结普通砖》（GB/T 5101 — 2017）。</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（2）《砌体结构工程施工质显验收规范》（GB 50203—2011）。</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（3）《烧结多孔砖和多孔碰块》（GB 13544—2011）。</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（4）《破石坝设计规范》（SL 25—2006）。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（5）《水利水电工程天然建筑材料勘察规程》（SL 251—2015）。</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（6）《浆砌石坝施工技术规定》（SD 120—84）。</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（7）《普通混凝土用砂、石质量及检验方法标准》（JGJ 52—2006）。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（8）《混凝土用水标准》（JGJ 63—2006）。</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（9）《混凝土小型空心砌块建筑技术规程》（JGJ/T 14—2011）。</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（10）《砌筑砂浆配合比设计规程》（JGJ/T 98—2010）。</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（11）《堤防工程施工规范》（SL 260—2014）。</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Cs w:val="20"/>
        </w:rPr>
      </w:pPr>
      <w:r>
        <w:rPr>
          <w:rFonts w:hint="eastAsia" w:ascii="宋体" w:hAnsi="宋体" w:eastAsia="宋体" w:cs="宋体"/>
          <w:kern w:val="0"/>
          <w:szCs w:val="20"/>
        </w:rPr>
        <w:t>（12）《浙江省海塘工程技术规定》（浙水管〔1999〕56号）。</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bookmarkStart w:id="150" w:name="第16章04"/>
      <w:bookmarkEnd w:id="150"/>
      <w:bookmarkStart w:id="151" w:name="_Toc381776342"/>
      <w:bookmarkStart w:id="152" w:name="_Toc2077"/>
      <w:bookmarkStart w:id="153" w:name="_Toc370459249"/>
      <w:bookmarkStart w:id="154" w:name="_Toc16628710"/>
      <w:r>
        <w:rPr>
          <w:rFonts w:hint="eastAsia" w:ascii="宋体" w:hAnsi="宋体" w:eastAsia="宋体" w:cs="宋体"/>
          <w:sz w:val="21"/>
          <w:szCs w:val="21"/>
        </w:rPr>
        <w:t>16.2 石砌体工程</w:t>
      </w:r>
      <w:bookmarkEnd w:id="151"/>
      <w:bookmarkEnd w:id="152"/>
      <w:bookmarkEnd w:id="153"/>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16.2.1 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（1）石料：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1）一般石料应遵守《砌体结构工程施工质量验收规范》（GB 50203-2011）第7.1.1条和第7.1.2条的规定。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2）砲石坝石料（包括毛石、块石、粗料石）应遵守《砌石坝设计规范》（SL 25—2006）第3.1.1 条的规定。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3）灌砌块石应新鲜、坚硬，防护墙面石要求基本上有两个平整面，冲洗干净，保持湿润。</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（2）胶凝材料。</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1）砌体采用的水泥品种、强度等级和灌砌石混凝土应遵守本合同技术条款第14.2.项的规定。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2）用于砌筑石砌体工程的砂浆和小骨料混凝土，其配合比应通过试验确定，配合比成果应提交监理人；拌制砂浆和小骨料混凝土的用水应遵守《混凝 土用水标准》（JGJ 63—2006）的有关规定。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3）胶凝材料应采用机械拌制，局部少量的人工拌和料至少干拌三遍，再湿拌至色泽均匀后，方可使用；人工拌和时间应通过试拌确定。拌制过程中应 保持粗、细骨料含水率的稳定性，根捉件料含水最的变化情况，随时调整用水 量，以保证水灰比的准确性。</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4）胶凝材料应随拌随用，胶凝材料的允许问歇时间应通过试验确定，在运输或贮存中发生离析、析水的胶凝材料，砌筑前应重新拌和，已初凝的胶凝 材料不得使用。</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16.2.2浆砌石坝砌筑</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（1）浆砌石坝胶结材料采用的砂和砾石应遵守《浆砌石坝施工技术规定》 （SD 120—84）第2章的规定。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（2）浆砌石坝砌筑体与基岩的连接应遵守《浆砲石坝施工技术规定》（SD 120—84）第4章第1节的规定。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（3）浆砌石坝的砌筑应遵守《浆砌石坝施工技术规定》（SD 120—84）第 4.2.4〜4.2.9条的规定，砌体应密实、无架空和漏浆情况。其砌体容重和空隙率的控制应遵守《浆砌石坝施工技术规定》（SD 120—84）第4.2.21条的规定。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（4）浆砌石坝的混凝土防渗体施工应遵守《浆砲石坝施工技术规定》（SD 120—84）第 5.1.3〜5.1.15 条的规定。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（5）浆砌石坝的水泥砂浆勾缝防渗应遵守《砲体结构工程施工质量验收规范》（GB 50203—2011）第7.2节和第7.3节的规定。</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16.2.3干砌石护坡砌筑</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（1）砌筑护坡的干砌石砌体，应在砂砾石垫层上，以层与层错缝锁结方式铺砌，砂烁垫层料的粒径不应大于50mm,含泥量应小于5%。垫层与干砲 石应随铺随砌。</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（2）护坡表面砌缝的宽度不应大于25mm，砌石边缘应顺直、整齐牢固。</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（3）砲体外露面的坡顶和侧边，应选用较整齐的石块砌筑平整。</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16.2.4干砌石挡土墙砌筑</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（1）挡土墙基础底部应砌成1:5的底坡，形成与受力方向相反的倾斜坡，挡墙的基础或底层应先用较大的精选石块铺垫。</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（2）石料应分层错缝砌筑，砌层应大致水平，但不得用小石块塞垫找平。</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（3）石块应铺砌稳定，相互锁结。</w:t>
      </w:r>
    </w:p>
    <w:p>
      <w:pPr>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（4）当砌体高度超过6m时，应沿砌体高度方向每隔3~4m设置厚度不小于500mm的水平肋带，并用不低于M10的水泥砂浆砌筑固牢。</w:t>
      </w:r>
    </w:p>
    <w:bookmarkEnd w:id="154"/>
    <w:p>
      <w:pPr>
        <w:pStyle w:val="10"/>
        <w:keepNext w:val="0"/>
        <w:keepLines w:val="0"/>
        <w:pageBreakBefore w:val="0"/>
        <w:widowControl w:val="0"/>
        <w:kinsoku/>
        <w:wordWrap/>
        <w:overflowPunct/>
        <w:topLinePunct w:val="0"/>
        <w:autoSpaceDE/>
        <w:autoSpaceDN/>
        <w:bidi w:val="0"/>
        <w:adjustRightInd w:val="0"/>
        <w:snapToGrid/>
        <w:spacing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16.2.5 细骨料混凝土灌砌石防护墙</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（1）先铺混凝土，后摆砌块石，再灌入混凝土振捣。要求分层灌砌，先砌面石，再砌腹石。砌筑面石工艺类似浆砌石，缝距一般4〜5 cm （—级配）， 8〜10 cm （二级配），腹石要求大面朝下，块石之间形成上大下小缝隙，以利混凝土灌注及振捣密实。</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（2）面石与腹石的衔接，应布设丁石，避免面石与腹石间出现纵向通缝，上下层面石和腹石间应错缝砌筑，亦不能形成通缝。直立墙表面应平整顺直。</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（3）—般用面石当模板，面石间可用1 : 3水泥砂浆勾缝，待砂浆初凝后，灌入混凝土振捣密实，再砌筑上一层灌砌石。</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（4）灌砌石与老塘身砌石接触部位，原砌石面层应清除松动勾缝砂浆等废物垃圾并冲洗干净。当分层砌筑，层面间歇时间较长时，应将面层松动混凝土清除并冲洗干净，先铺浆，后摆石，再混凝土灌缝并振实。</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（5）对灌砌石混凝土的振捣、养护及布设排水孔、沉降缝要求应参照《浙江省海塘工程技术规定》（浙水管〔1999〕56号）7. 6节7. 6. 6〜7. 6. 8条 规定。</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（6）灌砌石的密实度，以块石面与混凝土粘结程度为检验依据，其粘结面不小于90%。</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16.2.6 细骨料混凝土灌砌石护坡</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（1）块石铺砌与混凝土灌缝应分别进行。缝宽控制同上条灌砌石防护墙施工。</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（2）灌砲石护坡基底为砂砾碎石垫层时，可不必座浆。</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（3）当块石竖砌时，为保证缝隙需用小石隔开，灌入混凝土前应取掉卡石，清除缝内杂物，混凝土振捣密实后应略低于块石顶面，保证块石露面并清扫干净。</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（4）灌砌石护坡应保证混凝土填灌料质量，填充饱满、插（振）捣密实。对灌砌石混凝土的振捣、养护及布设排水孔、沉降缝要求应参照《浙江省海塘 工程技术规定》（浙水管〔1999〕56号）7.6节7.6.6〜7.6.8条规定。</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（5）灌砌石的密实度，以块石面与混凝土粘结程度为检验依据，其粘结面不小于90%。</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（6）细骨料混凝土灌砌石护坡及防护墙施工应参照《浙江省海塘工程技术 规定》（浙水管〔1999〕56号）7.5.3、7.5.4条有关要点进行。</w:t>
      </w:r>
    </w:p>
    <w:p>
      <w:pPr>
        <w:pStyle w:val="10"/>
        <w:keepNext w:val="0"/>
        <w:keepLines w:val="0"/>
        <w:pageBreakBefore w:val="0"/>
        <w:widowControl w:val="0"/>
        <w:kinsoku/>
        <w:wordWrap/>
        <w:overflowPunct/>
        <w:topLinePunct w:val="0"/>
        <w:autoSpaceDE/>
        <w:autoSpaceDN/>
        <w:bidi w:val="0"/>
        <w:adjustRightInd w:val="0"/>
        <w:snapToGrid/>
        <w:spacing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16.2.7 石砌体工程的质景检杳</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（1）石砌体工程砌筑前，承包人应会同监繩人对砌筑体基础开挖面的测量放样成果和基础清理质量进行检査，检査记录应提交监理人。</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（2）用于石砌体工程的水泥、水、砂、胶凝材料和砌石等材料，应按监理人指示和本章第16.2.1条规定的质量要求进行检査，检查记录应提交监理人。</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（3）浆砲石砌体的容重和空隙率检奄，应遵守《浆砌石坝施工技术规定》（SD 120—84）第4. 2. 21条第3款的规定。</w:t>
      </w:r>
    </w:p>
    <w:p>
      <w:pPr>
        <w:pStyle w:val="10"/>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（4）有抗渗要求的部位应按监理人指示和施工图纸的要求进行钻孔分段压 水试验检查，检查结果应提交监理人。</w:t>
      </w:r>
    </w:p>
    <w:p>
      <w:pPr>
        <w:pStyle w:val="10"/>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（5）浆砌石砲体的质量检查应遵守《砌体结构工程施工质量验收规范》 （GB 50203—2011）第 7 章的规定。</w:t>
      </w:r>
    </w:p>
    <w:p>
      <w:pPr>
        <w:pStyle w:val="10"/>
        <w:keepNext w:val="0"/>
        <w:keepLines w:val="0"/>
        <w:pageBreakBefore w:val="0"/>
        <w:widowControl w:val="0"/>
        <w:kinsoku/>
        <w:wordWrap/>
        <w:overflowPunct/>
        <w:topLinePunct w:val="0"/>
        <w:autoSpaceDE/>
        <w:autoSpaceDN/>
        <w:bidi w:val="0"/>
        <w:adjustRightInd w:val="0"/>
        <w:snapToGrid/>
        <w:spacing w:line="324" w:lineRule="auto"/>
        <w:ind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（6）灌砌石的混凝土拌合物应按本合同技术条款第14. 2. 3项的规定进行现场抽样检验，检验成果应提交监理人。</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16.2.8 石砌体工程的完工验收</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石砌体工程全部完工后，承包人应向监理人申请完工验收，并提交以下完工验收资料。</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（1）石砌体工程各项石材的现场试验和检测记录。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（2）浆砌石砌体胶结材料配合比检查和试验检验记录。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（3）石砌体工程建筑物开挖基面及基础垫层混凝土的质量检查和试验检验记录。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（4）石砌体工程建筑物的结构允许偏差和附属结构物的质量检测和验收记录。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（5）浆砌石坝容重（空隙率）和密实度（单位吸水率）的试验检验记录。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（6）浆砌石坝结构允许偏差和附属结构物的质量检测和验收记录。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（7）监理人要求提交的其他完工验收资料。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r>
        <w:rPr>
          <w:rFonts w:hint="eastAsia" w:ascii="宋体" w:hAnsi="宋体" w:eastAsia="宋体" w:cs="宋体"/>
          <w:sz w:val="21"/>
          <w:szCs w:val="21"/>
        </w:rPr>
        <w:t>16.3 砖和小砌块砌体工程</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textAlignment w:val="auto"/>
        <w:rPr>
          <w:rFonts w:hint="eastAsia"/>
          <w:kern w:val="0"/>
          <w:sz w:val="21"/>
          <w:szCs w:val="21"/>
        </w:rPr>
      </w:pPr>
      <w:r>
        <w:rPr>
          <w:rFonts w:hint="eastAsia"/>
          <w:kern w:val="0"/>
          <w:sz w:val="21"/>
          <w:szCs w:val="21"/>
        </w:rPr>
        <w:t>砖和小砌块砌体工程包括砖实体墙、砖空斗墙及带钢筋混凝土构造柱的配筋砖砲体，以及普通小砌块砲体和带钢筋混凝土芯柱或构造柱的配筋小砌块砌体。</w:t>
      </w:r>
    </w:p>
    <w:p>
      <w:pPr>
        <w:pStyle w:val="10"/>
        <w:keepNext w:val="0"/>
        <w:keepLines w:val="0"/>
        <w:pageBreakBefore w:val="0"/>
        <w:widowControl w:val="0"/>
        <w:kinsoku/>
        <w:wordWrap/>
        <w:overflowPunct/>
        <w:topLinePunct w:val="0"/>
        <w:autoSpaceDE/>
        <w:autoSpaceDN/>
        <w:bidi w:val="0"/>
        <w:adjustRightInd w:val="0"/>
        <w:snapToGrid/>
        <w:spacing w:line="324" w:lineRule="auto"/>
        <w:ind w:left="0" w:leftChars="0" w:firstLine="420" w:firstLineChars="200"/>
        <w:textAlignment w:val="auto"/>
        <w:rPr>
          <w:rFonts w:hint="eastAsia"/>
          <w:kern w:val="0"/>
          <w:sz w:val="21"/>
          <w:szCs w:val="21"/>
        </w:rPr>
      </w:pPr>
      <w:r>
        <w:rPr>
          <w:rFonts w:hint="eastAsia"/>
          <w:kern w:val="0"/>
          <w:sz w:val="21"/>
          <w:szCs w:val="21"/>
        </w:rPr>
        <w:t>16.3.1 材料</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（1）砖：砖砌体工程采用的普通烧结砖分为黏土砖、页岩砖、煤矸石砖和粉煤灰砖。其外形尺寸应按《烧结多孔砖和多孔砌块》（GB 13544—2011）的 规定执行。</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eastAsia="宋体"/>
          <w:kern w:val="0"/>
          <w:sz w:val="21"/>
          <w:szCs w:val="21"/>
          <w:lang w:eastAsia="zh-CN"/>
        </w:rPr>
      </w:pPr>
      <w:r>
        <w:rPr>
          <w:rFonts w:hint="eastAsia"/>
          <w:kern w:val="0"/>
          <w:sz w:val="21"/>
          <w:szCs w:val="21"/>
        </w:rPr>
        <w:t>（2）混凝土小型空心砌块（简称小砌块）：普通混凝土小型空心砌块以碎石或卵石等粗骨料制作；轻骨料混凝土空心砌块以浮石、火山渣、煤渣、自然煤 研石、陶粒等粗骨料制作</w:t>
      </w:r>
      <w:r>
        <w:rPr>
          <w:rFonts w:hint="eastAsia"/>
          <w:kern w:val="0"/>
          <w:sz w:val="21"/>
          <w:szCs w:val="21"/>
          <w:lang w:eastAsia="zh-CN"/>
        </w:rPr>
        <w:t>。</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（3）砌筑砂浆：砌筑砂浆.应遵守《谢体结构工程施工质量验收规范》（GB 50203—2011）第4章的有关规定。</w:t>
      </w:r>
    </w:p>
    <w:p>
      <w:pPr>
        <w:pStyle w:val="10"/>
        <w:keepNext w:val="0"/>
        <w:keepLines w:val="0"/>
        <w:pageBreakBefore w:val="0"/>
        <w:widowControl w:val="0"/>
        <w:kinsoku/>
        <w:wordWrap/>
        <w:overflowPunct/>
        <w:topLinePunct w:val="0"/>
        <w:autoSpaceDE/>
        <w:autoSpaceDN/>
        <w:bidi w:val="0"/>
        <w:adjustRightInd w:val="0"/>
        <w:snapToGrid/>
        <w:spacing w:line="324" w:lineRule="auto"/>
        <w:ind w:left="0" w:leftChars="0" w:firstLine="420" w:firstLineChars="200"/>
        <w:textAlignment w:val="auto"/>
        <w:rPr>
          <w:rFonts w:hint="eastAsia"/>
          <w:kern w:val="0"/>
          <w:sz w:val="21"/>
          <w:szCs w:val="21"/>
        </w:rPr>
      </w:pPr>
      <w:r>
        <w:rPr>
          <w:rFonts w:hint="eastAsia"/>
          <w:kern w:val="0"/>
          <w:sz w:val="21"/>
          <w:szCs w:val="21"/>
        </w:rPr>
        <w:t>16.3.2 砖砌体施工</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砖砌体施工应遵守《砌体结构工程施工质量验收规范》（GB 50203— 2011）第5章的有关规定。</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16.3.3 小砌块砌体施工</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（1）小砌块砌体施工应遵守《混凝土小型空心砌块建筑技术规程》（JGJ/T 14一2011）第8.10节的有关规定。</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（2）钢筋混凝土芯柱施工应遵守《混凝土小型空心砌块建筑技术规程》 （JGJ/T 14—2011）第8.6节的有关规定。</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 xml:space="preserve">（3）钢筋混凝土构造柱施工应遵守《混凝土小型空心砌块建筑技术规程》 （JGJ/T 14—2011）第8.7节的有关规定。 </w:t>
      </w:r>
    </w:p>
    <w:p>
      <w:pPr>
        <w:pStyle w:val="10"/>
        <w:keepNext w:val="0"/>
        <w:keepLines w:val="0"/>
        <w:pageBreakBefore w:val="0"/>
        <w:widowControl w:val="0"/>
        <w:kinsoku/>
        <w:wordWrap/>
        <w:overflowPunct/>
        <w:topLinePunct w:val="0"/>
        <w:autoSpaceDE/>
        <w:autoSpaceDN/>
        <w:bidi w:val="0"/>
        <w:adjustRightInd w:val="0"/>
        <w:snapToGrid/>
        <w:spacing w:line="324" w:lineRule="auto"/>
        <w:ind w:left="0" w:leftChars="0" w:firstLine="420" w:firstLineChars="200"/>
        <w:textAlignment w:val="auto"/>
        <w:rPr>
          <w:rFonts w:hint="eastAsia"/>
          <w:kern w:val="0"/>
          <w:sz w:val="21"/>
          <w:szCs w:val="21"/>
        </w:rPr>
      </w:pPr>
      <w:r>
        <w:rPr>
          <w:rFonts w:hint="eastAsia"/>
          <w:kern w:val="0"/>
          <w:sz w:val="21"/>
          <w:szCs w:val="21"/>
        </w:rPr>
        <w:t>16.3.4 砖和小砌块砌体工程的质量检查和验收</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（1）砖砌体的质量检查应按《砌体结构工程施工质量验收规范》（GB 50203—2011）第5章的规定进行。</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（2）混凝土小型空心砌块的质量检查应按《砌体结构工程施工质量验收规范》（GB 50203—2011）第6章的有关规定进行。</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16.3.5 完工验收</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砖和小砌块砲体工程全部完工后，承包人应向监理人申请完工验收，并提交以下完工验收资料：</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（1）砖和小砌块砌体工程各项材料的质量证明书、试验报告和现场检测报告。</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（2）各项砌筑砂浆和混凝土配合比试验及其试块的检查检验记录。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（3）砌体基础面的检査验收记录。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（4）各项砌体建筑物及其细部结构尺寸和允许偏差以及外观的检查验收记录。</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kern w:val="0"/>
          <w:sz w:val="21"/>
          <w:szCs w:val="21"/>
        </w:rPr>
      </w:pPr>
      <w:r>
        <w:rPr>
          <w:rFonts w:hint="eastAsia"/>
          <w:kern w:val="0"/>
          <w:sz w:val="21"/>
          <w:szCs w:val="21"/>
        </w:rPr>
        <w:t>（5）监理人要求提交的其他完工资料。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sz w:val="21"/>
          <w:szCs w:val="21"/>
        </w:rPr>
      </w:pPr>
      <w:r>
        <w:rPr>
          <w:rFonts w:hint="eastAsia" w:ascii="宋体" w:hAnsi="宋体" w:eastAsia="宋体" w:cs="宋体"/>
          <w:sz w:val="21"/>
          <w:szCs w:val="21"/>
        </w:rPr>
        <w:t>16.4计量和支付</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（1）浆砌石、干砌石（毛石）和砖砌体按施工图纸所示尺寸计算有效砌筑体积，以立方米为单位计量，由发包人按《工程量清单》相应项目有效工程量的每立方米工程单价支付。</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（2）砌筑工程的砂浆、拉结筋等费用，包含在《工程量清单》相应砲筑项目有效工程量的每立方米工程单价中，发包人不另行支付。</w:t>
      </w:r>
    </w:p>
    <w:p>
      <w:pPr>
        <w:pStyle w:val="10"/>
        <w:keepNext w:val="0"/>
        <w:keepLines w:val="0"/>
        <w:pageBreakBefore w:val="0"/>
        <w:widowControl w:val="0"/>
        <w:kinsoku/>
        <w:wordWrap/>
        <w:overflowPunct/>
        <w:topLinePunct w:val="0"/>
        <w:autoSpaceDE/>
        <w:autoSpaceDN/>
        <w:bidi w:val="0"/>
        <w:adjustRightInd w:val="0"/>
        <w:snapToGrid/>
        <w:spacing w:after="0" w:line="324"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cs="宋体"/>
          <w:sz w:val="21"/>
          <w:szCs w:val="21"/>
          <w:highlight w:val="none"/>
          <w:lang w:eastAsia="zh-CN"/>
        </w:rPr>
        <w:t>碎石（砂、黏土）垫层、</w:t>
      </w:r>
      <w:r>
        <w:rPr>
          <w:rFonts w:hint="eastAsia" w:ascii="宋体" w:hAnsi="宋体" w:eastAsia="宋体" w:cs="宋体"/>
          <w:sz w:val="21"/>
          <w:szCs w:val="21"/>
          <w:highlight w:val="none"/>
        </w:rPr>
        <w:t>按施工图纸所示以有效m</w:t>
      </w:r>
      <w:r>
        <w:rPr>
          <w:rFonts w:hint="eastAsia" w:cs="宋体"/>
          <w:sz w:val="21"/>
          <w:szCs w:val="21"/>
          <w:highlight w:val="none"/>
          <w:vertAlign w:val="superscript"/>
          <w:lang w:val="en-US" w:eastAsia="zh-CN"/>
        </w:rPr>
        <w:t>3</w:t>
      </w:r>
      <w:r>
        <w:rPr>
          <w:rFonts w:hint="eastAsia" w:ascii="宋体" w:hAnsi="宋体" w:eastAsia="宋体" w:cs="宋体"/>
          <w:sz w:val="21"/>
          <w:szCs w:val="21"/>
          <w:highlight w:val="none"/>
        </w:rPr>
        <w:t>计量，由发包人按《工程量清单》相应项目有效工程量的每</w:t>
      </w:r>
      <w:r>
        <w:rPr>
          <w:rFonts w:hint="eastAsia" w:cs="宋体"/>
          <w:sz w:val="21"/>
          <w:szCs w:val="21"/>
          <w:highlight w:val="none"/>
          <w:lang w:eastAsia="zh-CN"/>
        </w:rPr>
        <w:t>立</w:t>
      </w:r>
      <w:r>
        <w:rPr>
          <w:rFonts w:hint="eastAsia" w:ascii="宋体" w:hAnsi="宋体" w:eastAsia="宋体" w:cs="宋体"/>
          <w:sz w:val="21"/>
          <w:szCs w:val="21"/>
          <w:highlight w:val="none"/>
        </w:rPr>
        <w:t>米工程单价支付。</w:t>
      </w:r>
    </w:p>
    <w:p>
      <w:pPr>
        <w:pStyle w:val="10"/>
        <w:keepNext w:val="0"/>
        <w:keepLines w:val="0"/>
        <w:pageBreakBefore w:val="0"/>
        <w:widowControl w:val="0"/>
        <w:kinsoku/>
        <w:wordWrap/>
        <w:overflowPunct/>
        <w:topLinePunct w:val="0"/>
        <w:autoSpaceDE/>
        <w:autoSpaceDN/>
        <w:bidi w:val="0"/>
        <w:adjustRightInd w:val="0"/>
        <w:snapToGrid/>
        <w:spacing w:line="324"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cs="宋体"/>
          <w:sz w:val="21"/>
          <w:szCs w:val="21"/>
          <w:highlight w:val="none"/>
          <w:lang w:val="en-US" w:eastAsia="zh-CN"/>
        </w:rPr>
        <w:t>4</w:t>
      </w:r>
      <w:r>
        <w:rPr>
          <w:rFonts w:hint="eastAsia" w:ascii="宋体" w:hAnsi="宋体" w:eastAsia="宋体" w:cs="宋体"/>
          <w:sz w:val="21"/>
          <w:szCs w:val="21"/>
          <w:highlight w:val="none"/>
        </w:rPr>
        <w:t>）铺设草皮按施工图纸所示以平方米计量，由发包人按《工程量清单》相应项目有效工程量的每平方米工程单价支付。</w:t>
      </w:r>
    </w:p>
    <w:p>
      <w:pPr>
        <w:pStyle w:val="3"/>
        <w:spacing w:before="93" w:after="93"/>
        <w:ind w:left="0" w:leftChars="0" w:firstLine="0" w:firstLineChars="0"/>
        <w:jc w:val="center"/>
        <w:rPr>
          <w:rFonts w:hint="eastAsia" w:ascii="宋体" w:hAnsi="宋体" w:eastAsia="宋体" w:cs="宋体"/>
          <w:sz w:val="21"/>
          <w:szCs w:val="21"/>
        </w:rPr>
      </w:pPr>
      <w:bookmarkStart w:id="155" w:name="_Toc426721045"/>
      <w:bookmarkStart w:id="156" w:name="_Toc86238417"/>
      <w:bookmarkStart w:id="157" w:name="_Toc13118"/>
      <w:bookmarkStart w:id="158" w:name="_Toc17632"/>
      <w:bookmarkStart w:id="159" w:name="_Toc24920"/>
      <w:r>
        <w:rPr>
          <w:sz w:val="24"/>
          <w:szCs w:val="24"/>
        </w:rPr>
        <w:t>第18</w:t>
      </w:r>
      <w:r>
        <w:rPr>
          <w:rFonts w:hint="eastAsia"/>
          <w:sz w:val="24"/>
          <w:szCs w:val="24"/>
          <w:lang w:val="en-US" w:eastAsia="zh-CN"/>
        </w:rPr>
        <w:t>节</w:t>
      </w:r>
      <w:r>
        <w:rPr>
          <w:sz w:val="24"/>
          <w:szCs w:val="24"/>
        </w:rPr>
        <w:t>　屋面和地面建筑工程</w:t>
      </w:r>
      <w:bookmarkEnd w:id="155"/>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0" w:name="第18章01"/>
      <w:bookmarkEnd w:id="160"/>
      <w:r>
        <w:rPr>
          <w:rFonts w:hint="eastAsia" w:ascii="宋体" w:hAnsi="宋体" w:eastAsia="宋体" w:cs="宋体"/>
          <w:b w:val="0"/>
          <w:bCs w:val="0"/>
          <w:sz w:val="21"/>
          <w:szCs w:val="21"/>
        </w:rPr>
        <w:t>18.1　一般规定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18.1.1应用范围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本章规定适用于本合同施工图纸所示的屋面建筑工程和地面建筑工程。根据水利水电工程的需要，屋面建筑工程列入了钢筋混凝土屋面的防水和保温、隔热工程。地面建筑工程编入了地基基层铺设和楼层地面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18.1.2　承包人责任</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(1)承包人应按本技术条款第18.1.1条规定的范围，及本章施工技术要求，完成施工图纸所示的屋面建筑工程和地面建筑工程。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(2)除合同另有约定外，承包人应负责提供上述工程所需的全部建筑材料，并按本合同技术条款的规定进行试验、检验和验收。承包人应对其采购的建筑材料质量承担全部责任。</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18.1.3　主要提交件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(1)承包人应在屋面工程(或地面工程)施工前，将屋面工程(或地面工程)的施工措施计划提交监理人批准，其内容包括：</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1)屋面工程或地面工程的施工程序和方法。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2)主要施工设备的配置。</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3)施工质量控制和安全保证措施。</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4)施工进度计划。</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(2)承包人应编制屋面工程的各项现场工艺试验报告，提交监理人批准。其内容包括：</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1)各种防水卷材的铺贴工艺试验和防水涂膜现场施涂工艺试验。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2)防水卷材及其胶粘材料、防水涂膜材料和基层处理剂等的材料相容性试验。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3)接缝密封防水及其背衬材料的性能与施工工艺试验。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4)补偿收缩混凝土屋面的混凝土浇筑工艺及其防水性能试验。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5)钢纤维混凝土屋面的混凝土浇筑工艺及其防水性能试验。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6)屋面保温层现喷硬质聚氨酯泡沫塑料的施工工艺试验。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18.1.4　引用标准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(1)《屋面工程技术规范》(GB50345-2012)。</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(2)《屋面工程质量验收规范》(GB50207-2012)。</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(3)《建筑地面工程施工质量验收规范》(GB50209-2010)。</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(4)《建筑地基基础工程施工质量验收规范》(GB50202-2002)。</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(5)《建筑用卵石、碎石》(GB/T14685-2001)。</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(6)《建筑用砂》(GB/T14684-2011)。</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1" w:name="第18章02"/>
      <w:bookmarkEnd w:id="161"/>
      <w:r>
        <w:rPr>
          <w:rFonts w:hint="eastAsia" w:ascii="宋体" w:hAnsi="宋体" w:eastAsia="宋体" w:cs="宋体"/>
          <w:b w:val="0"/>
          <w:bCs w:val="0"/>
          <w:sz w:val="21"/>
          <w:szCs w:val="21"/>
        </w:rPr>
        <w:t>18.2　屋面建筑工程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18.2.1　一般要求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(1)本工程各类厂房和辅助房屋建筑的屋面防水和保温、隔热工程的类型包括：</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1)卷材和涂膜防水屋面。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2)刚性防水屋面。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3)屋面结构的防水密封。</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4)屋面的保温和隔热。</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(2)屋面建筑工程采用的材料应按施工图纸要求和《屋面工程技术规范》（GB50345-2012）第4.3节的规定选用，进场材料应有质量证明文件及性能检测报告。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(3)屋面建筑工程的施工条件及环境温度控制应符合下列规定。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1)屋面建筑材料采用合成高分子防水卷材时，工程严禁在雨天、雪天，以及五级风及其以上的气候条件下施工；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2)屋面防水卷材、防水涂膜、防水密封材料和保温隔热材料的施工环境气温均应在5~35℃之间，环境气温高出35℃时不应施工；当环境气温度低于5℃时，应严格按产品说明书的要求进行施工。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18.2.2　卷材、涂膜防水屋面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1)防水卷材及其胶粘材料的外观质量和物理性应遵守《屋面工程技术规范》（GB50345-2012）第5.2.1~5.2.3条的规定；其胶粘剂的粘结剥离强度应遵守《屋面工程技术规范》（GB50345-2012）第5.2.5和5.2.9条的规定。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2)防水涂料及胎体增强材料的质量应遵守《屋面工程技术规范》（GB50345-2012）表6.2.1~表6.2.4的规定。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(2)找平层施工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屋面防水层和保温、隔热层的基层应根据施工图纸要求设置找平层，其施工要求应符合施工图纸的要求，并遵守《屋面工程技术规范》（GB50345-2012）第5.1.2条的规定与参照表5.1.3的数据确定。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(3)卷材、涂膜防水层施工。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1)卷材防水层施工应遵守《屋面工程技术规范》（GB50345-2012）第5.1.8~5.1.11条的规定，涂膜防水层施工应遵守《屋面工程技术规范》（GB50345-2012）第6.5~6.7节的规定。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卷材、涂膜防水层应根据施工图纸要求涂刷基层处理剂，基层处理剂应根据本章第18.1.3项第（2）目规定的材料相容性试验选定，试验成果应提交监理人；基层处理剂的涂刷应遵守《屋面工程技术规范》（GB50345-2012）第5.1.4条、第5.1.5条的规定。卷材或涂膜防水层的施工作业应在基层处理剂干燥后立即进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3)承包人应通过现场试验选择防水卷材的施工方法。防水卷材铺贴可比较选用冷粘法、自粘法或热粘法，防水涂膜涂刷可比较选用刮涂法或喷涂法。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4)卷材、涂膜防水层施工前，应按施工图纸要求和监理人指示，完成被覆盖部位的密封材料嵌填和屋面结构缝及细部构造处的卷材或涂膜附加层的铺设。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5)在已完工的卷材、涂膜防水层上面未作保护层前，不得在其上面进行其它施工作业或直接堆放物品。</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(4)屋面保护层施工。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各种防水卷材保护层的施工应符合《屋面工程技术规范》（GB50345-2012）第5.5.6条和第5.6.7条的规定；各种防水涂膜保护层的施工应遵守《屋面工程技术规范》（GB50345-2012）第6.3.5条、第6.5.5条、第6.6.5条和第6.7.5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18.2.3　刚性防水屋面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刚性防水屋面包括普通细石混凝土防水屋面、补偿收缩混凝土防水屋面和钢纤维混凝土防水屋面。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1)刚性防水屋面使用的水泥、钢筋、粗细骨料应遵守《屋面工程技术规范》（GB50345-2012）第7.2节的规定；钢纤维应遵守《屋面工程技术规范》（GB50345-2012）第7.7.3条的规定；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2)补偿收缩混凝土使用的膨胀剂，应按施工图纸的要求通过工艺试验选用。</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(2)刚性防水层施工。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1)刚性混凝土找平层施工应遵守本章第18.2.2条的规定，各种刚性防水屋面的施工应遵守《屋面工程技术规范》（GB50345-2012）第7.5~7.7节的规定。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2)在刚性防水层混凝土浇筑前应完成被浇筑混凝土覆盖部位的密封材料嵌填；在浇筑后应完成刚性防水层分隔缝、屋面与垂直墙体留缝和其它缝隙的密封材料嵌填。防水层分隔缝嵌填密封材料后，应加设保护层。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3)根据施工图纸要求完成屋面结构缝及其它细部构造处的卷材或涂膜保护层的铺设后，按本章第18.2.4条规定做好收头和密封。</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18.2.4屋面结构的防水密封</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本节规定适用于卷材、涂膜防水屋面及刚性防水屋面的结构缝及细部构造处的防水密封处理。其范围包括屋面找平层分格缝、刚性防水层分格缝、屋面结构变形缝等。</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(1)防水密封材料。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1)防水密封材料的物理性能应遵守《屋面工程技术规范》（GB50345-2012）第8.2节的规定；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2)防水密封材料的配比应通过工艺试验选定；工艺试验成果应提交监理人。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(2)防水密封结构的施工。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1)接缝处的密封材料底部应根据施工图纸要求设置背衬材料。承包人应通过工艺试验选择耐热性好、与密封材料不粘结或粘结力弱的背衬材料，工艺试验成果应提交监理人。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2)平接屋面结构变形缝内应按施工图纸要求填充弹性材料，其上部填放衬垫材料后用卷材封盖；刚性防水层和变形缝两侧墙体交接处，应按施工图纸要求嵌填防水密封材料。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3)高低屋面结构变形缝缝内除填充弹性材料外，应按施工图纸要求，在高墙面固定盖缝卷材处用密封材料封严。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4)屋面细部构造的防水密封处理应遵守《屋面工程技术规范》（GB50345-2012）第8.4节的规定。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18.2.5　屋面的保温和隔热</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列入本节的钢筋混凝土屋面保温和隔热层的类型，包括板状材料保温层屋面、整体现喷保温层屋面，以及架空隔热屋面。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1)板状保温材料应参照《屋面工程规范技术》（GB50345-2012）表9.2.1的数据选定。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2)板状保温材料胶粘剂，应按本章第18.1.3项第（2）目的规定进行工艺试验，选择与板状保温材料材质相容、粘结性好的胶粘剂。其工艺试验成果应提交监理人。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3)现喷硬质聚氨酯泡沫塑料的质量应遵守《屋面工程技术规范》（GB50345-2012）第9.2.2的规定。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4)预制钢筋混凝土架空隔热板的强度等级、外观尺寸应符合施工图纸规定；质量要求及抽样检验数量，应遵守《混凝土结构工程质量验收规范》（GB50204-2002）第9章的有关规定。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(2)保温、隔热层施工：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1)保温、隔热层的细部构造应遵守《屋面工程技术规范》（GB50345-2012）第9.4节的规定。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2)板状材料保温层施工应遵守《屋面工程技术规范》（GB50345-2012）第9.5.1条的规定。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3)整体现喷保温层施工应遵守《屋面工程技术规范》（GB50345-2012）第9.5.2条的规定。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4)架空隔热层施工应遵守《屋面工程技术规范》（GB50345-2012）第9.6节的规定。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18.2.6　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(1)材料的质量检查和验收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承包人应按《屋面工程技术规范》（GB50345-2012）的规定，对到货的各类卷材、涂料和防水密封等材料进行抽样检查和检验；每批材料的抽样检验均应由承包人按规定的格式编制材料抽样检验报告，提交监理人。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(2)工程隐蔽部位的检查和验收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每项工程隐蔽部位施工完毕后，应按监理人指示进行检查和验收。承包人应编制的隐蔽工程验收报告，提交监理人。其内容包括：</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1)各工程隐蔽部位的质量检查和验收记录。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2)重大缺陷和质量事故处理报告。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3)监理人要求提交的其它验收资料。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18.2.7　完工验收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屋面建筑工程全部完工后，承包人应向监理人申请对屋面建筑工程完工验收，并提交以下完工验收资料：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(1)屋面工程布置总图、施工图和相关的技术文件。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(2)各项材料的检验和复验报告及其质量合格证件和使用说明书。</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(3)各项施工工艺试验报告及相关的图纸和资料。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(4)各工程隐蔽部位的质量检查和验收报告。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(5)监理人要求提供的其它完工资料。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2" w:name="第18章03"/>
      <w:bookmarkEnd w:id="162"/>
      <w:r>
        <w:rPr>
          <w:rFonts w:hint="eastAsia" w:ascii="宋体" w:hAnsi="宋体" w:eastAsia="宋体" w:cs="宋体"/>
          <w:b w:val="0"/>
          <w:bCs w:val="0"/>
          <w:sz w:val="21"/>
          <w:szCs w:val="21"/>
        </w:rPr>
        <w:t>18.3　地面建筑工程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18.3.1　一般要求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(1)地面建筑工程采用的材料应按施工图纸的要求和《建筑地面工程施工质量验收规范》（GB50209-2010）有关的规定选用，进场材料应有质量合格证明文件及性能检测报告。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(2)地面建筑工程的各层施工环境温度应遵守《建筑地面工程施工质量验收规范》（GB50209-2010）第3.0.9条的规定。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(3)地面建筑工程基层(各构造层)和面层的铺设，均应在其下一层检验合格后进行。建筑地面工程各层铺设前与设备管道安装等工程之间，应进行交接验收。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18.3.2　基层铺设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基层铺设包括基土、垫层、找平层、隔离层和填充层等的基层铺设。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(1)基土铺设：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1)基土铺设前，其下层表面应清理干净；当垫层、找平层内埋设暗管时，管道应按施工图纸要求予以稳固。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2)基土铺设的材料质量、密实度和强度等级(或配合比)等应符合施工图纸要求和《建筑地面工程施工质量验收规范》（GB50209-2010）第4.1.2条的有关规定。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3)承包人应按施工图纸的要求，将其表面的土层置换为填筑和夯实后的均匀基础土层，填土质量要达到以下要求：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①严禁用腐殖土、冻土、耕植土、膨胀土和含有大于8%的有机物质土作为填土；</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②填土应分层压(夯)实，填土质量应遵守《建筑地基基础工程施工质量验收规范》（GB50202-2002）的有关规定；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③填土土料应取最优含水量，对重要工程或大面积的地面填土前，应取土样，并采用土工击实试验确定其最优含水量与相应的最大干密度。</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(2)垫层铺设。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1)灰土垫层应遵守符合《建筑地面工程施工质量验收规范》（GB50209-2010）第4.3.1~4.3.4条的规定。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2)砂垫层和砂石垫层应遵守《建筑地面工程施工质量验收规范》（GB50209-2010）第4.4节的规定，并参照表4.1.5的数据确定。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3)碎石垫层和碎砖垫层应遵守《建筑地面工程施工质量验收规范》（GB50209-2010）第4.5节的规定。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4)三合土垫层应遵守《建筑地面工程施工质量验收规范》（GB50209-2010）第4.6节的规定；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5)水泥混凝土垫层应遵守《建筑地面工程施工质量验收规范》（GB50209-2010）第4.8节的规定。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(3)找平层铺设。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找平层应采用水泥砂浆或水泥混凝土铺设，其采用的石料粒径应遵守《建筑地面工程施工质量验收规范》（GB50209-2010）第4.9.6条的规定；水泥砂浆体积比或水泥混凝土强度等级应遵守《建筑地面工程施工质量验收规范》（GB50209-2010）第4.9.7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2)有防水要求的建筑地面，铺设前必须对立管、套管和地漏与楼板节点之间进行密封处理；排水坡度应符合施工图纸要求。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3)预制钢筋混凝土板上铺设找平层应遵守《建筑地面工程施工质量验收规范》（GB50209-2010）第4.9.4条、第4.9.5条的规定。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(4)隔离层施工应遵守符合《建筑地面工程施工质量验收规范》（GB50209-2010）第4.10节的规定。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(5)填充层施工应遵守《建筑地面工程施工质量验收规范》（GB50209-2010）第4.11节的规定。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18.3.3　整体面层铺设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整体面层铺设包括水泥混凝土(含细石混凝土)面层、水泥砂浆面层、水磨石面层、防油渗面层和不发火(防爆)混凝土面层等的整体面层。其各项施工技术要求如下：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(1)整体面层的水泥类基层抗压强度应遵守《建筑地面工程施工质量验收规范》（GB50209-2010）第5.1.2条的规定。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(2)整体面层施工后的养护时间应遵守《建筑地面工程施工质量验收规范》（GB50209-2010）第5.1.4条的规定。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(3)整体面层的抹平工作应在水泥初凝前完成，压光工作应在水泥终凝前完成。</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(4)水泥混凝土面层的施工应遵守《建筑地面工程施工质量验收规范》（GB50209-2010）第5.2节的规定。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(5)水泥砂浆面层的施工应遵守《建筑地面工程施工质量验收规范》（GB50209-2010）第5.3节的规定。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(6)水磨石面层的施工应遵守《建筑地面工程施工质量验收规范》（GB50209-2010）第5.4节的规定。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(7)防油渗面层的施工应遵守《建筑地面工程施工质量验收规范》（GB50209-2010）第5.6节的规定。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(8)不发火(防爆)混凝土面层应遵守《建筑地面工程施工质量验收规范》（GB50209-2010）第5.7节的规定。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18.3.4　地面工程细部构造</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(1)埋设件。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1)地面工程的埋设件应按施工图纸和本技术条款第22章的规定执行。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2)埋设有管道和地漏的楼面和地面，当其有防水要求时，应在埋设的立管、套管和地漏穿过楼板或地面的节点间，按施工图纸要求进行封堵。</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3)在有强烈机械作用下的面层和面层的分格条、以及面层与管沟、孔洞、检查井和管沟变形缝相邻处均应按施工图纸要求埋设镶边角铁等构件。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(2)变形缝。</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1)地面工程的伸缩缝、沉降缝和防震缝等变形缝应按施工图纸的要求施工。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2)变形缝应贯通各层楼地面，变形缝的填充材料应按施工图纸的要求配置，并应满足防火、防水、防虫害和防油渗的要求。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3)不同垫层厚度的交界处应按施工图纸的要求设置变形缝，缝内应填充弹性材料。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4)防冻胀层地面的混凝土垫层，其纵、横向缩缝均应采用平头缝。</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18.3.5　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(1)材料的质量检查和验收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承包人应会同监理人对地面工程的各项材料进行质量检查、检验和验收，检查和检验成果应提交监理人。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(2)地面工程的质量检查和验收。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1)各层地面和楼面的坡度、厚度、标高、平整度和厚度，以及各填筑层的强度和密实度偏差等应符合施工图纸和本章技术条款的要求。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2)各层地面、楼面及各填筑层的平面偏差应遵守《建筑地面工程施工质量验收规范》（GB50209-2010）的有关规定。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3)楼地面的面层与基层应结合良好，不得有空鼓、裂纹、麻面、起砂等现象。</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4)变形缝的位置、尺寸、缝隙值以及材料的填缝质量均应符合本技术条款第18.3.4条的规定。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(3)工程隐蔽部位的质量检查和验收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每项工程隐蔽部位施工完毕后，应按监理人指示进行检查和验收，承包人应编制隐蔽工程验收报告，经与监理人共同签字后作为隐蔽工程验收资料。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(4)完工验收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地面建筑工程全部完工后，承包人应向监理人申请完工验收，并提交以下完工验收资料：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1)地面建筑工程布置总图和相关的技术文件。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2)各项材料的检验和复验报告及其质量合格证件和使用说明书。</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3)各项施工工艺试验报告。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4)各工程隐蔽部位的质量检查和验收报告。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5)监理人要求提供的其它完工资料。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3" w:name="第18章04"/>
      <w:bookmarkEnd w:id="163"/>
      <w:r>
        <w:rPr>
          <w:rFonts w:hint="eastAsia" w:ascii="宋体" w:hAnsi="宋体" w:eastAsia="宋体" w:cs="宋体"/>
          <w:b w:val="0"/>
          <w:bCs w:val="0"/>
          <w:sz w:val="21"/>
          <w:szCs w:val="21"/>
        </w:rPr>
        <w:t>18.4　计量和支付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18.4.1　屋面建筑工程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(1)屋面建筑工程以施工图纸所示建筑物尺寸计算的有效面积以平方米为单位计量，由发包人按《工程量清单》相应项目有效工程量的每平方米工程单价支付。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(2)完成屋面建筑工程全部施工作业后的质量检查、检验和验收等所需费用，包含在屋面建筑工程的每平方米工程单价中，发包人不另行支付。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18.4.2　地面建筑工程</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(1)地面和楼面工程按施工图纸所示建筑物尺寸计算的有效面积以平方米为单位计量，由发包人按《工程量清单》相应项目有效工程量的每平方米工程单价支付。</w:t>
      </w:r>
    </w:p>
    <w:p>
      <w:pPr>
        <w:pStyle w:val="4"/>
        <w:keepNext w:val="0"/>
        <w:keepLines w:val="0"/>
        <w:pageBreakBefore w:val="0"/>
        <w:widowControl w:val="0"/>
        <w:kinsoku/>
        <w:overflowPunct/>
        <w:topLinePunct w:val="0"/>
        <w:autoSpaceDE/>
        <w:autoSpaceDN/>
        <w:bidi w:val="0"/>
        <w:snapToGrid/>
        <w:spacing w:line="324"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(2)完成地面和楼面建筑工程全部施工作业后的质量检查、检验和验收等所需费用，包含在《工程量清单》相应项目有效工程量的每平方米工程单价中，发包人不另行支付。</w:t>
      </w:r>
      <w:bookmarkEnd w:id="156"/>
      <w:bookmarkEnd w:id="157"/>
      <w:bookmarkEnd w:id="158"/>
      <w:bookmarkEnd w:id="159"/>
      <w:bookmarkStart w:id="164" w:name="_Toc426721050"/>
    </w:p>
    <w:p>
      <w:pPr>
        <w:pStyle w:val="4"/>
        <w:keepNext w:val="0"/>
        <w:keepLines w:val="0"/>
        <w:pageBreakBefore w:val="0"/>
        <w:widowControl w:val="0"/>
        <w:kinsoku/>
        <w:overflowPunct/>
        <w:topLinePunct w:val="0"/>
        <w:autoSpaceDE/>
        <w:autoSpaceDN/>
        <w:bidi w:val="0"/>
        <w:snapToGrid/>
        <w:spacing w:line="324" w:lineRule="auto"/>
        <w:ind w:firstLine="420"/>
        <w:textAlignment w:val="auto"/>
        <w:rPr>
          <w:sz w:val="30"/>
          <w:szCs w:val="30"/>
        </w:rPr>
      </w:pPr>
    </w:p>
    <w:p>
      <w:pPr>
        <w:pStyle w:val="4"/>
        <w:keepNext w:val="0"/>
        <w:keepLines w:val="0"/>
        <w:pageBreakBefore w:val="0"/>
        <w:widowControl w:val="0"/>
        <w:kinsoku/>
        <w:overflowPunct/>
        <w:topLinePunct w:val="0"/>
        <w:autoSpaceDE/>
        <w:autoSpaceDN/>
        <w:bidi w:val="0"/>
        <w:snapToGrid/>
        <w:spacing w:line="324" w:lineRule="auto"/>
        <w:ind w:firstLine="420"/>
        <w:jc w:val="center"/>
        <w:textAlignment w:val="auto"/>
      </w:pPr>
      <w:r>
        <w:rPr>
          <w:sz w:val="30"/>
          <w:szCs w:val="30"/>
        </w:rPr>
        <w:t>第2</w:t>
      </w:r>
      <w:r>
        <w:rPr>
          <w:rFonts w:hint="eastAsia"/>
          <w:sz w:val="30"/>
          <w:szCs w:val="30"/>
        </w:rPr>
        <w:t>3</w:t>
      </w:r>
      <w:r>
        <w:rPr>
          <w:rFonts w:hint="eastAsia"/>
          <w:sz w:val="30"/>
          <w:szCs w:val="30"/>
          <w:lang w:val="en-US" w:eastAsia="zh-CN"/>
        </w:rPr>
        <w:t>节</w:t>
      </w:r>
      <w:r>
        <w:rPr>
          <w:sz w:val="30"/>
          <w:szCs w:val="30"/>
        </w:rPr>
        <w:t>　预埋件埋设</w:t>
      </w:r>
      <w:bookmarkEnd w:id="164"/>
    </w:p>
    <w:p>
      <w:pPr>
        <w:adjustRightInd w:val="0"/>
        <w:snapToGrid w:val="0"/>
        <w:ind w:firstLine="0" w:firstLineChars="0"/>
      </w:pP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5" w:name="第22章01"/>
      <w:bookmarkEnd w:id="165"/>
      <w:r>
        <w:rPr>
          <w:rFonts w:hint="eastAsia" w:ascii="宋体" w:hAnsi="宋体" w:eastAsia="宋体" w:cs="宋体"/>
          <w:b w:val="0"/>
          <w:bCs w:val="0"/>
          <w:sz w:val="21"/>
          <w:szCs w:val="21"/>
        </w:rPr>
        <w:t>23.1　一般规定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23.1.1　应用范围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本章规定适用于本合同的水力机械辅助设备系统、通风与空气调节系统、建筑给排水系统、消防系统、各类电缆和接地装置，以及其它设施和设备的预埋管道和预埋件的埋设。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23.1.2　承包人责任</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(1)承包人应负责预埋件材料的采购、运输、保管、加工、埋设、检查和试验。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(2)承包人应按监理人提供的施工安装图纸和监理人的指示，负责埋设在混凝土、地下、水中、基岩和其他砌体中的上述预埋件，并对其漏埋、错埋或其它原因造成的损坏负责。</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(3)承包人在完成单元工程，或分部位项目的预埋件，并经自检合格后，应由监理人组织进行预埋件的检查验收。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23.1.3　主要提交件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承包人应根据监理人提供的工程布置图、设备安装图及预埋件等施工安装图纸，编制各单元工程或分部位项目的预埋件一览表和材料采购清单，提交监理人。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23.1.4　引用标准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(1)《给水排水管道工程施工及验收规范》(GB50268-2008)；</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(2)《电气装置安装工程接地装置施工验收规范》(GB50169-2006)；</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(3)《电气装置安装工程电缆线路施工及验收规范》(GB50168-2006)；</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(4)《生活饮用水卫生标准》(GB5749-2006)；</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(5)《金属熔化焊焊接接头射线照相》(GB/T3323-2005)；</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(6)《水轮发电机组安装技术规范》(GB/T8564-2003)；</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(7)《建筑给水排水及采暖工程施工质量验收规范》(GB50242-2002)；</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(8)《生活饮用水输配水设备及防护材料的安全性评价标准》(GB/T17219-1998)；</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(9)《钢焊缝和手工超声波探伤方法和探伤结果分级》(GB/T11345-2013)；</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(10)《无损检测焊缝磁粉检测》(JB/T6061-2007)；</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(11)《无损检测焊缝渗透检测》(JB/T6062-2007)。</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6" w:name="第22章02"/>
      <w:bookmarkEnd w:id="166"/>
      <w:r>
        <w:rPr>
          <w:rFonts w:hint="eastAsia" w:ascii="宋体" w:hAnsi="宋体" w:eastAsia="宋体" w:cs="宋体"/>
          <w:b w:val="0"/>
          <w:bCs w:val="0"/>
          <w:sz w:val="21"/>
          <w:szCs w:val="21"/>
        </w:rPr>
        <w:t>23.2　预埋件埋设的一般技术要求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(1)承包人选用的所有预埋件材料及配件，其品种、型号、规格、性能应满足施工安装图纸要求和国家(行业)的现行有关标准。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(2)预埋件埋设前应进行清理，清除其内、外表面被沾染的污物。</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(3)承包人需要局部更改预埋件的埋设位置，应经监理人批准，修改后的预埋件埋设位置应避免与其它埋件干扰，修改后的埋设记录应提交监理人。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7" w:name="第22章03"/>
      <w:bookmarkEnd w:id="167"/>
      <w:r>
        <w:rPr>
          <w:rFonts w:hint="eastAsia" w:ascii="宋体" w:hAnsi="宋体" w:eastAsia="宋体" w:cs="宋体"/>
          <w:b w:val="0"/>
          <w:bCs w:val="0"/>
          <w:sz w:val="21"/>
          <w:szCs w:val="21"/>
        </w:rPr>
        <w:t>23.3　预埋管道的安装和埋设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23.3.1　管道加工和安装</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(1)钢管：</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1)钢管切割和坡口应满足施工安装图纸的要求，并遵守《水轮发电机组安装技术规范》（GB/T8564-2003）第12.1.5条的规定；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2)热弯钢管加工可参照《水轮发电机组安装技术规范》（GB/T8564-2003）第12章表36的规定执行；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3)电缆管道弯曲半径不应小于穿入电缆的最小允许弯曲半径，电缆的最小弯曲半径详见《电气装置安装工程电缆线路施工及验收规范》（GB/50168-2006）表5.1.7的规定；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4)电缆管之间采用套管焊接，连接时两管口对准、点焊连接牢固、密封良好；连接套管长度不小于电缆管外径的2.2倍；</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5)输送介质的管道弯制后的截面最大、最小外径差：当输送压力小于10MPa时，不应超过管道外径的8%；电缆管道弯制后的截面最大与最小外径差不应超过管道外径的10%；</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6)采用钢管加工的风管不应采用焊制和褶皱弯头；</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7)管道任何位置不应有十字形焊缝及在焊缝处开孔；</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8)预埋管道采用焊接连接的管道时，应对焊面及坡口两侧30mm范围内清除油污、铁锈、毛刺等，焊接后清除管道内外壁焊疤，焊缝表面应无裂纹、夹渣、凹陷及过烧等缺陷；</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9)碳素钢管采用电弧焊焊接、不锈钢管采用氩弧焊焊接。机组的油、气系统及有特殊要求的水系统管道及薄壁口径小的测压管道对口焊接，应符合《水轮发电机组安装技术规范》（GB/T8564-2003）第12.2节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(2)铸铁管：</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1)安装铸铁管前，应清除其表面的粘沙、飞刺、沥青块及承插部位的沥青涂层；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2)安装铸铁管接口用的橡胶圈不应有气孔、裂缝、重皮或老化等缺陷；</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3)承插铸铁管的给水与排水管道捻口安装，应遵守《建筑给水排水及采暖工程施工质量验收规范》（GB50242-2002）第9.2.12条、第9.2.13条和第10.2.4条的规定。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(3)塑料管、复合管：</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1)管道切割、加工应使用专用工具；</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2)加工后管道端面应平整垂直于轴线，或按相应管道工程技术规程要求的切割面，并不应有裂纹、毛刺等缺陷，接口内外应清理干净；</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3)冬季安装应采取保温防冻措施，不得使用冻硬的橡胶圈；</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4)塑料管、复合管与金属管件的连接应使用专用连结管件；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5)用硬塑料管作电缆管，在套接或插接时，插入深度为管道内径1.1~1.8倍，在插接面上涂以胶合剂粘牢密封；采用套接时，套管两端应采取密封措施。</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23.3.2　管道埋设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(1)预埋管道通过沉降缝或伸缩缝时，必须按施工安装图纸要求做过缝处理。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(2)预埋管道安装就位后，应采用支撑固定，防止混凝土浇筑或回填过程中发生变形或位移，钢支撑可留在混凝土内，预埋钢管用支撑焊接固定时，不应烧伤管道内壁。</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(3)埋设在沟槽内的管道，沟槽底面应按施工安装图纸要求进行填平夯实后才能铺设。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(4)预埋管道管口伸出墙、柱、梁、板面距离，应按施工安装图纸要求和监理人指示，以及有关规范的规定进行埋设。管道埋设施工间断时，应及时暂封管口。</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(5)电气管道的埋设，还应遵守《电气装置安装工程电缆线路施工及验收规范》（GB50168-2006）第四章的有关规定，当电气管道终端设置在明装的管道盒或设备上，应采用模板固定管道，以保持正确位置。</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(6)机组排水、排油管道坡度，应遵守《水轮发电机组安装技术规范》（GB/T8564-2003）第12.3.3条的规定；生活污水铸铁管、塑料管的坡度，应参照《建筑给水排水及采暖工程施工质量验收规范》（GB50242-2002）表5.2.2、表5.2.3的数据选定；地下埋设雨水管道的最小坡度，应参照《建筑给水排水及采暖工程施工质量验收规范》（GB50242-2002）表5.3.3的数据选定；电缆管道的埋设坡度应不小于0.1%。</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(7)测压管道应考虑排空，测压孔符合施工图纸要求。图纸未表明的预埋管道应减少拐弯，管线最短。</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(8)各类穿越墙壁和梁柱的管道，应加设相应的防护套管；穿过屋面的管道应有污水肩和防雨帽，并根据需要采用防水材料嵌填密实；防爆和防火管道，应采用不燃且对人体无害的柔性材料封堵'风管与混凝土、砖风道的连接口，应顺气流方向插入，并采用密封措施。</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23.3.3　金属管道焊缝检验和缺陷处理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(1)焊缝外观检查：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1)不得有熔化金属流到焊缝处未熔化的母材上；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2)焊缝和热影响区表面不得有裂纹、气孔、孤坑和灰渣等缺陷；</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3)管缝表面光顺、均匀，焊道与母材应平缓过渡，并应焊满。</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(2)焊缝无损检测：管道焊缝进行无损检测的方法，应按施工安装图纸或监理人的指示执行。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(3)不合格焊缝应及时返修，同一部位的返修次数超过二次后，应重新制订返修措施，提交监理人批准。返修后应再次检验至合格。</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23.3.4　管道试验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(1)管道埋设完毕，承包人应在混凝土浇筑、工程回填或砌体砌筑前，按施工安装图纸要求进行管道试验，试验记录应提交监理人。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给水管道的强度耐压试验和严密性耐压试验的试验压力和试验持续时间，应符合《建筑给水排水及采暖工程施工质量验收规范》（GB50242-2002）的规定；机组辅助设备系统管路的试验压力和试验持续时间，应符合《水轮发电机组安装技术规范》（GB/T8564-2003）第12.5节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(3)排水、雨水管道等无压管道应作灌水试验、排水管灌满水持续15分钟后，再灌满水观察5分钟；雨水管灌水持续时间1小时；敞口水箱满水试验静止24小时，均以不渗漏为合格。</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23.3.5　管道的冲洗和防腐</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(1)用水冲洗的管道，应按系统达到的压力和流量进行，直至出口处的水色和透明度与入口处目测一致为合格。输送生活饮用水的管道通水水质应遵守《生活饮用水卫生标准》（GB5749-2006）的规定。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(2)输气管道采用压缩空气吹扫，管内空气流速5~10m/s，在气体排出口的白纸上未发现赃物和水分为合格。</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(3)油系统管道应采用与运行相同牌号的油料，以每8小时为循环周期进行冲洗，在温度40~70℃范围内反复升降油温2~3次；管道经油循环冲洗后，用200目滤网检查，目测每平方厘米内残存的污物不超过3颗粒为合格。</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(4)调速器液压管道的冲洗，应按施工安装图纸、供货商技术文件和《水轮发电机组安装技术规范》（GB/T8564-2003）附录D的要求进行。</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(5)埋地敷设管道的防腐处理应遵守以下规定：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1)钢管的防腐应遵守《给水排水管道工程施工及验收规范》（GB50268-2008）的规定；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2)采用水泥接口的铸铁管，在有侵蚀性地下水时，应在接口处涂沥青防腐层；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3)采用橡胶接口的埋设管道，在土壤或地下水对橡胶圈有腐蚀的地段，应用沥青胶泥、沥青麻丝或沥青锯末等材料做好封闭橡胶接口。</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23.3.6　预埋管道的交付验收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(1)预埋管道的交付验收应在该土建工程项目施工前，由监理人会同承包人，按隐蔽工程验收程序进行检查和验收。检查验收记录应提交监理人。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(2)预埋管道交付验收时，承包人应向监理人提交以下检查验收资料：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1)预埋管道埋设竣工图(含管道实际走线图)；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2)预埋管道材料及配件等的产品合格证、安装使用说明书和材料试验报告；</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3)预埋管道安装埋设的质量检查记录和隐蔽工程验收记录；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4)监理人要求提交的其它检查验收资料。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8" w:name="第22章04"/>
      <w:bookmarkEnd w:id="168"/>
      <w:r>
        <w:rPr>
          <w:rFonts w:hint="eastAsia" w:ascii="宋体" w:hAnsi="宋体" w:eastAsia="宋体" w:cs="宋体"/>
          <w:b w:val="0"/>
          <w:bCs w:val="0"/>
          <w:sz w:val="21"/>
          <w:szCs w:val="21"/>
        </w:rPr>
        <w:t>23.4　固定件埋设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23.4.1　固定件的加工和安装埋设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采用焊接固定时，不得烧伤固定件的工作面，无显著变形和位移；采用支架固定时，支架应有足够的强度和刚度。在浇筑混凝土、砖砌或回填土时，固定件应保持位置正确、牢固可靠。固定件的安装偏差应符合施工安装图纸和供货商技术文件的要求。</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(2)照明设备专用盒的埋设件的四周应无缝隙，并紧贴饰面。</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(3)电气部分的固定件埋设应满足施工安装图纸的要求，并遵守《电气装置安装工程电缆线路施工及验收规范》（GB50168-2006）第4章的有关规定。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(4)固定件不得跨沉降缝和伸缩缝埋设。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23.4.2　预埋固定件的交付验收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(1)预埋固定件埋设完成后，应由监理人会同承包人，按隐蔽工程验收程序进行检查和验收。检查验收记录应提交监理人。</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(2)预埋固定件验收时，承包人应向监理人提交以下验收资料：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1)预埋固定件埋设竣工图；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2)预埋固定件材料产品合格证、安装使用说明书等；</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3)预埋固定件加工和安装的质量检查验收记录。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69" w:name="第22章05"/>
      <w:bookmarkEnd w:id="169"/>
      <w:r>
        <w:rPr>
          <w:rFonts w:hint="eastAsia" w:ascii="宋体" w:hAnsi="宋体" w:eastAsia="宋体" w:cs="宋体"/>
          <w:b w:val="0"/>
          <w:bCs w:val="0"/>
          <w:sz w:val="21"/>
          <w:szCs w:val="21"/>
        </w:rPr>
        <w:t>23.5　接地装置埋设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23.5.1　接地装置的安装与埋设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接地体(线)采用搭接焊接，其焊缝长度和质量要求，应满足施工安装图纸的要求，应遵守《电气装置安装工程电缆线路施工及验收规范》（GB50168-2006）第3.4.1~3.4.4条的规定，焊接后应将焊缝清理干净，并作防腐处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(2)埋设的接地装置应从施工安装图纸规定的地点引出，其引出位置应作明显标记，并采取防腐与保护措施。</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(3)接地线通过建筑物沉降缝和伸缩缝时，应按施工安装图纸要求采取过缝处理。</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(4)所有金属设备和构件，均应按施工安装图纸的要求可靠接地。利用各种金属管道、金属构件等作接地线时，保证有可靠的电气连接。</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(5)承包人在施工期间应妥善保护好已敷设的接地装置。在交付验收前造成接地装置的损坏或丢失，应由承包人负责修复或重置。</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23.5.2　接地装置的交付验收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(1)接地装置的隐蔽部位应在土建工程施工进程中进行安装埋设，并由监理人会同承包人进行检查及验收。隐蔽部位交付验收后，才能进行混凝土浇筑或其它砌筑回填作业。</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(2)接地装置埋设全部完成后，应由监理人会同承包人进行接地装置的检查和验收，承包人应向监理人提交以下验收资料：</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1)接地装置埋设竣工图；</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2)接地装置材料及外购件的产品合格证和使用说明书；</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3)接地装置隐蔽工程质量检查和验收记录。</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70" w:name="第22章06"/>
      <w:bookmarkEnd w:id="170"/>
      <w:r>
        <w:rPr>
          <w:rFonts w:hint="eastAsia" w:ascii="宋体" w:hAnsi="宋体" w:eastAsia="宋体" w:cs="宋体"/>
          <w:b w:val="0"/>
          <w:bCs w:val="0"/>
          <w:sz w:val="21"/>
          <w:szCs w:val="21"/>
        </w:rPr>
        <w:t>23.6　预埋件埋设的验收</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本工程预埋管道、预埋固定件和接地装置等预埋件，应在各相关机电设备安装前，由监理人会同承包人进行分项验收。其验收资料应列入各单项工程的完工验收资料中。</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bookmarkStart w:id="171" w:name="第22章07"/>
      <w:bookmarkEnd w:id="171"/>
      <w:r>
        <w:rPr>
          <w:rFonts w:hint="eastAsia" w:ascii="宋体" w:hAnsi="宋体" w:eastAsia="宋体" w:cs="宋体"/>
          <w:b w:val="0"/>
          <w:bCs w:val="0"/>
          <w:sz w:val="21"/>
          <w:szCs w:val="21"/>
        </w:rPr>
        <w:t>23.7　计量和支付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(1)除合同另有约定外，预埋管道按施工图纸所示尺寸计算有效长度(重量)以米(或吨)为单位计量，由发包人按《工程量清单》相应项目有效工程量的每米(或吨)工程单价支付。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(2)除合同另有约定外，永久设备预埋件的安装费用包含在《工程量清单》相应设备安装项目有效工程量的工程单价中，发包人不另行支付。除此之外，其他预埋件安装按施工图纸所示尺寸计算的预埋件有效重量以吨为单位计量，由发包人按《工程量清单》相应项目有效工程量的每吨工程单价支付。</w:t>
      </w:r>
    </w:p>
    <w:p>
      <w:pPr>
        <w:pStyle w:val="4"/>
        <w:keepNext w:val="0"/>
        <w:keepLines w:val="0"/>
        <w:pageBreakBefore w:val="0"/>
        <w:widowControl w:val="0"/>
        <w:kinsoku/>
        <w:overflowPunct/>
        <w:topLinePunct w:val="0"/>
        <w:autoSpaceDE/>
        <w:autoSpaceDN/>
        <w:bidi w:val="0"/>
        <w:snapToGrid/>
        <w:spacing w:line="324"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　　(3)接地系统的预埋件按施工图纸所示接地装置的尺寸计算有效重量(长度)以吨(或米)为单位计量，由发包人按《工程量清单》相应项目有效工程量的每吨(或米)工程单价支付。</w:t>
      </w:r>
    </w:p>
    <w:p>
      <w:pPr>
        <w:spacing w:line="360" w:lineRule="auto"/>
        <w:jc w:val="center"/>
        <w:outlineLvl w:val="0"/>
        <w:rPr>
          <w:rFonts w:hint="eastAsia" w:ascii="宋体" w:hAnsi="宋体" w:eastAsia="宋体" w:cs="宋体"/>
          <w:b/>
          <w:sz w:val="36"/>
          <w:szCs w:val="36"/>
        </w:rPr>
      </w:pPr>
      <w:r>
        <w:rPr>
          <w:rFonts w:hint="eastAsia" w:ascii="宋体" w:hAnsi="宋体" w:eastAsia="宋体" w:cs="宋体"/>
          <w:b/>
          <w:sz w:val="24"/>
        </w:rPr>
        <w:br w:type="page"/>
      </w:r>
      <w:bookmarkStart w:id="172" w:name="_Toc32559"/>
      <w:r>
        <w:rPr>
          <w:rFonts w:hint="eastAsia" w:ascii="宋体" w:hAnsi="宋体" w:eastAsia="宋体" w:cs="宋体"/>
          <w:b/>
          <w:sz w:val="36"/>
          <w:szCs w:val="36"/>
        </w:rPr>
        <w:t>第</w:t>
      </w:r>
      <w:r>
        <w:rPr>
          <w:rFonts w:hint="eastAsia" w:ascii="宋体" w:hAnsi="宋体" w:cs="宋体"/>
          <w:b/>
          <w:sz w:val="36"/>
          <w:szCs w:val="36"/>
          <w:lang w:val="en-US" w:eastAsia="zh-CN"/>
        </w:rPr>
        <w:t>四</w:t>
      </w:r>
      <w:r>
        <w:rPr>
          <w:rFonts w:hint="eastAsia" w:ascii="宋体" w:hAnsi="宋体" w:eastAsia="宋体" w:cs="宋体"/>
          <w:b/>
          <w:sz w:val="36"/>
          <w:szCs w:val="36"/>
        </w:rPr>
        <w:t xml:space="preserve">部分   </w:t>
      </w:r>
      <w:bookmarkStart w:id="173" w:name="_Toc184310288"/>
      <w:bookmarkEnd w:id="173"/>
      <w:bookmarkStart w:id="174" w:name="_Toc184313252"/>
      <w:bookmarkEnd w:id="174"/>
      <w:bookmarkStart w:id="175" w:name="_Toc184310283"/>
      <w:bookmarkEnd w:id="175"/>
      <w:bookmarkStart w:id="176" w:name="_Toc184310310"/>
      <w:bookmarkEnd w:id="176"/>
      <w:bookmarkStart w:id="177" w:name="_Toc184310305"/>
      <w:bookmarkEnd w:id="177"/>
      <w:bookmarkStart w:id="178" w:name="_Toc184312070"/>
      <w:bookmarkEnd w:id="178"/>
      <w:bookmarkStart w:id="179" w:name="_Toc184314458"/>
      <w:bookmarkEnd w:id="179"/>
      <w:bookmarkStart w:id="180" w:name="_Toc184312109"/>
      <w:bookmarkEnd w:id="180"/>
      <w:bookmarkStart w:id="181" w:name="_Toc184308076"/>
      <w:bookmarkEnd w:id="181"/>
      <w:bookmarkStart w:id="182" w:name="_Toc184308086"/>
      <w:bookmarkEnd w:id="182"/>
      <w:bookmarkStart w:id="183" w:name="_Toc184312105"/>
      <w:bookmarkEnd w:id="183"/>
      <w:bookmarkStart w:id="184" w:name="_Toc184312097"/>
      <w:bookmarkEnd w:id="184"/>
      <w:bookmarkStart w:id="185" w:name="_Toc184313299"/>
      <w:bookmarkEnd w:id="185"/>
      <w:bookmarkStart w:id="186" w:name="_Toc184313254"/>
      <w:bookmarkEnd w:id="186"/>
      <w:bookmarkStart w:id="187" w:name="_Toc184312082"/>
      <w:bookmarkEnd w:id="187"/>
      <w:bookmarkStart w:id="188" w:name="_Toc184312086"/>
      <w:bookmarkEnd w:id="188"/>
      <w:bookmarkStart w:id="189" w:name="_Toc184312096"/>
      <w:bookmarkEnd w:id="189"/>
      <w:bookmarkStart w:id="190" w:name="_Toc184308075"/>
      <w:bookmarkEnd w:id="190"/>
      <w:bookmarkStart w:id="191" w:name="_Toc184314442"/>
      <w:bookmarkEnd w:id="191"/>
      <w:bookmarkStart w:id="192" w:name="_Toc184308081"/>
      <w:bookmarkEnd w:id="192"/>
      <w:bookmarkStart w:id="193" w:name="_Toc184314444"/>
      <w:bookmarkEnd w:id="193"/>
      <w:bookmarkStart w:id="194" w:name="_Toc184312116"/>
      <w:bookmarkEnd w:id="194"/>
      <w:bookmarkStart w:id="195" w:name="_Toc184313263"/>
      <w:bookmarkEnd w:id="195"/>
      <w:bookmarkStart w:id="196" w:name="_Toc184310275"/>
      <w:bookmarkEnd w:id="196"/>
      <w:bookmarkStart w:id="197" w:name="_Toc184312136"/>
      <w:bookmarkEnd w:id="197"/>
      <w:bookmarkStart w:id="198" w:name="_Toc184308089"/>
      <w:bookmarkEnd w:id="198"/>
      <w:bookmarkStart w:id="199" w:name="_Toc184313301"/>
      <w:bookmarkEnd w:id="199"/>
      <w:bookmarkStart w:id="200" w:name="_Toc184314480"/>
      <w:bookmarkEnd w:id="200"/>
      <w:bookmarkStart w:id="201" w:name="_Toc184312123"/>
      <w:bookmarkEnd w:id="201"/>
      <w:bookmarkStart w:id="202" w:name="_Toc184313255"/>
      <w:bookmarkEnd w:id="202"/>
      <w:bookmarkStart w:id="203" w:name="_Toc184314448"/>
      <w:bookmarkEnd w:id="203"/>
      <w:bookmarkStart w:id="204" w:name="_Toc184308038"/>
      <w:bookmarkEnd w:id="204"/>
      <w:bookmarkStart w:id="205" w:name="_Toc184313266"/>
      <w:bookmarkEnd w:id="205"/>
      <w:bookmarkStart w:id="206" w:name="_Toc184312119"/>
      <w:bookmarkEnd w:id="206"/>
      <w:bookmarkStart w:id="207" w:name="_Toc184312072"/>
      <w:bookmarkEnd w:id="207"/>
      <w:bookmarkStart w:id="208" w:name="_Toc184312117"/>
      <w:bookmarkEnd w:id="208"/>
      <w:bookmarkStart w:id="209" w:name="_Toc184314417"/>
      <w:bookmarkEnd w:id="209"/>
      <w:bookmarkStart w:id="210" w:name="_Toc184310327"/>
      <w:bookmarkEnd w:id="210"/>
      <w:bookmarkStart w:id="211" w:name="_Toc184314453"/>
      <w:bookmarkEnd w:id="211"/>
      <w:bookmarkStart w:id="212" w:name="_Toc184313310"/>
      <w:bookmarkEnd w:id="212"/>
      <w:bookmarkStart w:id="213" w:name="_Toc184310292"/>
      <w:bookmarkEnd w:id="213"/>
      <w:bookmarkStart w:id="214" w:name="_Toc184308060"/>
      <w:bookmarkEnd w:id="214"/>
      <w:bookmarkStart w:id="215" w:name="_Toc184312108"/>
      <w:bookmarkEnd w:id="215"/>
      <w:bookmarkStart w:id="216" w:name="_Toc184308082"/>
      <w:bookmarkEnd w:id="216"/>
      <w:bookmarkStart w:id="217" w:name="_Toc184312092"/>
      <w:bookmarkEnd w:id="217"/>
      <w:bookmarkStart w:id="218" w:name="_Toc184308100"/>
      <w:bookmarkEnd w:id="218"/>
      <w:bookmarkStart w:id="219" w:name="_Toc184310289"/>
      <w:bookmarkEnd w:id="219"/>
      <w:bookmarkStart w:id="220" w:name="_Toc184314433"/>
      <w:bookmarkEnd w:id="220"/>
      <w:bookmarkStart w:id="221" w:name="_Toc184312068"/>
      <w:bookmarkEnd w:id="221"/>
      <w:bookmarkStart w:id="222" w:name="_Toc184314418"/>
      <w:bookmarkEnd w:id="222"/>
      <w:bookmarkStart w:id="223" w:name="_Toc184312114"/>
      <w:bookmarkEnd w:id="223"/>
      <w:bookmarkStart w:id="224" w:name="_Toc184314471"/>
      <w:bookmarkEnd w:id="224"/>
      <w:bookmarkStart w:id="225" w:name="_Toc184312126"/>
      <w:bookmarkEnd w:id="225"/>
      <w:bookmarkStart w:id="226" w:name="_Toc184310297"/>
      <w:bookmarkEnd w:id="226"/>
      <w:bookmarkStart w:id="227" w:name="_Toc184310306"/>
      <w:bookmarkEnd w:id="227"/>
      <w:bookmarkStart w:id="228" w:name="_Toc184310301"/>
      <w:bookmarkEnd w:id="228"/>
      <w:bookmarkStart w:id="229" w:name="_Toc184310311"/>
      <w:bookmarkEnd w:id="229"/>
      <w:bookmarkStart w:id="230" w:name="_Toc184312127"/>
      <w:bookmarkEnd w:id="230"/>
      <w:bookmarkStart w:id="231" w:name="_Toc184308073"/>
      <w:bookmarkEnd w:id="231"/>
      <w:bookmarkStart w:id="232" w:name="_Toc184312084"/>
      <w:bookmarkEnd w:id="232"/>
      <w:bookmarkStart w:id="233" w:name="_Toc184312094"/>
      <w:bookmarkEnd w:id="233"/>
      <w:bookmarkStart w:id="234" w:name="_Toc184312131"/>
      <w:bookmarkEnd w:id="234"/>
      <w:bookmarkStart w:id="235" w:name="_Toc184314423"/>
      <w:bookmarkEnd w:id="235"/>
      <w:bookmarkStart w:id="236" w:name="_Toc184313261"/>
      <w:bookmarkEnd w:id="236"/>
      <w:bookmarkStart w:id="237" w:name="_Toc184313258"/>
      <w:bookmarkEnd w:id="237"/>
      <w:bookmarkStart w:id="238" w:name="_Toc184310312"/>
      <w:bookmarkEnd w:id="238"/>
      <w:bookmarkStart w:id="239" w:name="_Toc184313278"/>
      <w:bookmarkEnd w:id="239"/>
      <w:bookmarkStart w:id="240" w:name="_Toc184310344"/>
      <w:bookmarkEnd w:id="240"/>
      <w:bookmarkStart w:id="241" w:name="_Toc184314478"/>
      <w:bookmarkEnd w:id="241"/>
      <w:bookmarkStart w:id="242" w:name="_Toc184314456"/>
      <w:bookmarkEnd w:id="242"/>
      <w:bookmarkStart w:id="243" w:name="_Toc184310333"/>
      <w:bookmarkEnd w:id="243"/>
      <w:bookmarkStart w:id="244" w:name="_Toc184313295"/>
      <w:bookmarkEnd w:id="244"/>
      <w:bookmarkStart w:id="245" w:name="_Toc184310290"/>
      <w:bookmarkEnd w:id="245"/>
      <w:bookmarkStart w:id="246" w:name="_Toc184308063"/>
      <w:bookmarkEnd w:id="246"/>
      <w:bookmarkStart w:id="247" w:name="_Toc184310280"/>
      <w:bookmarkEnd w:id="247"/>
      <w:bookmarkStart w:id="248" w:name="_Toc184310330"/>
      <w:bookmarkEnd w:id="248"/>
      <w:bookmarkStart w:id="249" w:name="_Toc184313239"/>
      <w:bookmarkEnd w:id="249"/>
      <w:bookmarkStart w:id="250" w:name="_Toc184313273"/>
      <w:bookmarkEnd w:id="250"/>
      <w:bookmarkStart w:id="251" w:name="_Toc184312128"/>
      <w:bookmarkEnd w:id="251"/>
      <w:bookmarkStart w:id="252" w:name="_Toc184308052"/>
      <w:bookmarkEnd w:id="252"/>
      <w:bookmarkStart w:id="253" w:name="_Toc184313277"/>
      <w:bookmarkEnd w:id="253"/>
      <w:bookmarkStart w:id="254" w:name="_Toc184313240"/>
      <w:bookmarkEnd w:id="254"/>
      <w:bookmarkStart w:id="255" w:name="_Toc184310313"/>
      <w:bookmarkEnd w:id="255"/>
      <w:bookmarkStart w:id="256" w:name="_Toc184312107"/>
      <w:bookmarkEnd w:id="256"/>
      <w:bookmarkStart w:id="257" w:name="_Toc184312085"/>
      <w:bookmarkEnd w:id="257"/>
      <w:bookmarkStart w:id="258" w:name="_Toc184310315"/>
      <w:bookmarkEnd w:id="258"/>
      <w:bookmarkStart w:id="259" w:name="_Toc184310300"/>
      <w:bookmarkEnd w:id="259"/>
      <w:bookmarkStart w:id="260" w:name="_Toc184312137"/>
      <w:bookmarkEnd w:id="260"/>
      <w:bookmarkStart w:id="261" w:name="_Toc184313241"/>
      <w:bookmarkEnd w:id="261"/>
      <w:bookmarkStart w:id="262" w:name="_Toc184308079"/>
      <w:bookmarkEnd w:id="262"/>
      <w:bookmarkStart w:id="263" w:name="_Toc184313288"/>
      <w:bookmarkEnd w:id="263"/>
      <w:bookmarkStart w:id="264" w:name="_Toc184312122"/>
      <w:bookmarkEnd w:id="264"/>
      <w:bookmarkStart w:id="265" w:name="_Toc184314474"/>
      <w:bookmarkEnd w:id="265"/>
      <w:bookmarkStart w:id="266" w:name="_Toc184312111"/>
      <w:bookmarkEnd w:id="266"/>
      <w:bookmarkStart w:id="267" w:name="_Toc184313302"/>
      <w:bookmarkEnd w:id="267"/>
      <w:bookmarkStart w:id="268" w:name="_Toc184314449"/>
      <w:bookmarkEnd w:id="268"/>
      <w:bookmarkStart w:id="269" w:name="_Toc184312095"/>
      <w:bookmarkEnd w:id="269"/>
      <w:bookmarkStart w:id="270" w:name="_Toc184314428"/>
      <w:bookmarkEnd w:id="270"/>
      <w:bookmarkStart w:id="271" w:name="_Toc184312099"/>
      <w:bookmarkEnd w:id="271"/>
      <w:bookmarkStart w:id="272" w:name="_Toc184310273"/>
      <w:bookmarkEnd w:id="272"/>
      <w:bookmarkStart w:id="273" w:name="_Toc184313257"/>
      <w:bookmarkEnd w:id="273"/>
      <w:bookmarkStart w:id="274" w:name="_Toc184308103"/>
      <w:bookmarkEnd w:id="274"/>
      <w:bookmarkStart w:id="275" w:name="_Toc184312135"/>
      <w:bookmarkEnd w:id="275"/>
      <w:bookmarkStart w:id="276" w:name="_Toc184310328"/>
      <w:bookmarkEnd w:id="276"/>
      <w:bookmarkStart w:id="277" w:name="_Toc184308042"/>
      <w:bookmarkEnd w:id="277"/>
      <w:bookmarkStart w:id="278" w:name="_Toc184314415"/>
      <w:bookmarkEnd w:id="278"/>
      <w:bookmarkStart w:id="279" w:name="_Toc184314434"/>
      <w:bookmarkEnd w:id="279"/>
      <w:bookmarkStart w:id="280" w:name="_Toc184308043"/>
      <w:bookmarkEnd w:id="280"/>
      <w:bookmarkStart w:id="281" w:name="_Toc184314443"/>
      <w:bookmarkEnd w:id="281"/>
      <w:bookmarkStart w:id="282" w:name="_Toc184308105"/>
      <w:bookmarkEnd w:id="282"/>
      <w:bookmarkStart w:id="283" w:name="_Toc184310316"/>
      <w:bookmarkEnd w:id="283"/>
      <w:bookmarkStart w:id="284" w:name="_Toc184310277"/>
      <w:bookmarkEnd w:id="284"/>
      <w:bookmarkStart w:id="285" w:name="_Toc184312120"/>
      <w:bookmarkEnd w:id="285"/>
      <w:bookmarkStart w:id="286" w:name="_Toc184313294"/>
      <w:bookmarkEnd w:id="286"/>
      <w:bookmarkStart w:id="287" w:name="_Toc184313280"/>
      <w:bookmarkEnd w:id="287"/>
      <w:bookmarkStart w:id="288" w:name="_Toc184313250"/>
      <w:bookmarkEnd w:id="288"/>
      <w:bookmarkStart w:id="289" w:name="_Toc184308056"/>
      <w:bookmarkEnd w:id="289"/>
      <w:bookmarkStart w:id="290" w:name="_Toc184310323"/>
      <w:bookmarkEnd w:id="290"/>
      <w:bookmarkStart w:id="291" w:name="_Toc184314465"/>
      <w:bookmarkEnd w:id="291"/>
      <w:bookmarkStart w:id="292" w:name="_Toc184308096"/>
      <w:bookmarkEnd w:id="292"/>
      <w:bookmarkStart w:id="293" w:name="_Toc184312130"/>
      <w:bookmarkEnd w:id="293"/>
      <w:bookmarkStart w:id="294" w:name="_Toc184312100"/>
      <w:bookmarkEnd w:id="294"/>
      <w:bookmarkStart w:id="295" w:name="_Toc184310304"/>
      <w:bookmarkEnd w:id="295"/>
      <w:bookmarkStart w:id="296" w:name="_Toc184308106"/>
      <w:bookmarkEnd w:id="296"/>
      <w:bookmarkStart w:id="297" w:name="_Toc184312106"/>
      <w:bookmarkEnd w:id="297"/>
      <w:bookmarkStart w:id="298" w:name="_Toc184314477"/>
      <w:bookmarkEnd w:id="298"/>
      <w:bookmarkStart w:id="299" w:name="_Toc184312124"/>
      <w:bookmarkEnd w:id="299"/>
      <w:bookmarkStart w:id="300" w:name="_Toc184314413"/>
      <w:bookmarkEnd w:id="300"/>
      <w:bookmarkStart w:id="301" w:name="_Toc184313308"/>
      <w:bookmarkEnd w:id="301"/>
      <w:bookmarkStart w:id="302" w:name="_Toc184312067"/>
      <w:bookmarkEnd w:id="302"/>
      <w:bookmarkStart w:id="303" w:name="_Toc184308078"/>
      <w:bookmarkEnd w:id="303"/>
      <w:bookmarkStart w:id="304" w:name="_Toc184308064"/>
      <w:bookmarkEnd w:id="304"/>
      <w:bookmarkStart w:id="305" w:name="_Toc184313307"/>
      <w:bookmarkEnd w:id="305"/>
      <w:bookmarkStart w:id="306" w:name="_Toc184312076"/>
      <w:bookmarkEnd w:id="306"/>
      <w:bookmarkStart w:id="307" w:name="_Toc184314461"/>
      <w:bookmarkEnd w:id="307"/>
      <w:bookmarkStart w:id="308" w:name="_Toc184312075"/>
      <w:bookmarkEnd w:id="308"/>
      <w:bookmarkStart w:id="309" w:name="_Toc184314421"/>
      <w:bookmarkEnd w:id="309"/>
      <w:bookmarkStart w:id="310" w:name="_Toc184308065"/>
      <w:bookmarkEnd w:id="310"/>
      <w:bookmarkStart w:id="311" w:name="_Toc184310336"/>
      <w:bookmarkEnd w:id="311"/>
      <w:bookmarkStart w:id="312" w:name="_Toc184308071"/>
      <w:bookmarkEnd w:id="312"/>
      <w:bookmarkStart w:id="313" w:name="_Toc184310303"/>
      <w:bookmarkEnd w:id="313"/>
      <w:bookmarkStart w:id="314" w:name="_Toc184314476"/>
      <w:bookmarkEnd w:id="314"/>
      <w:bookmarkStart w:id="315" w:name="_Toc184312115"/>
      <w:bookmarkEnd w:id="315"/>
      <w:bookmarkStart w:id="316" w:name="_Toc184314462"/>
      <w:bookmarkEnd w:id="316"/>
      <w:bookmarkStart w:id="317" w:name="_Toc184308048"/>
      <w:bookmarkEnd w:id="317"/>
      <w:bookmarkStart w:id="318" w:name="_Toc184308091"/>
      <w:bookmarkEnd w:id="318"/>
      <w:bookmarkStart w:id="319" w:name="_Toc184314422"/>
      <w:bookmarkEnd w:id="319"/>
      <w:bookmarkStart w:id="320" w:name="_Toc184308039"/>
      <w:bookmarkEnd w:id="320"/>
      <w:bookmarkStart w:id="321" w:name="_Toc184312133"/>
      <w:bookmarkEnd w:id="321"/>
      <w:bookmarkStart w:id="322" w:name="_Toc184308077"/>
      <w:bookmarkEnd w:id="322"/>
      <w:bookmarkStart w:id="323" w:name="_Toc184313304"/>
      <w:bookmarkEnd w:id="323"/>
      <w:bookmarkStart w:id="324" w:name="_Toc184308093"/>
      <w:bookmarkEnd w:id="324"/>
      <w:bookmarkStart w:id="325" w:name="_Toc184308044"/>
      <w:bookmarkEnd w:id="325"/>
      <w:bookmarkStart w:id="326" w:name="_Toc184314460"/>
      <w:bookmarkEnd w:id="326"/>
      <w:bookmarkStart w:id="327" w:name="_Toc184312132"/>
      <w:bookmarkEnd w:id="327"/>
      <w:bookmarkStart w:id="328" w:name="_Toc184314452"/>
      <w:bookmarkEnd w:id="328"/>
      <w:bookmarkStart w:id="329" w:name="_Toc184313265"/>
      <w:bookmarkEnd w:id="329"/>
      <w:bookmarkStart w:id="330" w:name="_Toc184308058"/>
      <w:bookmarkEnd w:id="330"/>
      <w:bookmarkStart w:id="331" w:name="_Toc184312138"/>
      <w:bookmarkEnd w:id="331"/>
      <w:bookmarkStart w:id="332" w:name="_Toc184310278"/>
      <w:bookmarkEnd w:id="332"/>
      <w:bookmarkStart w:id="333" w:name="_Toc184310342"/>
      <w:bookmarkEnd w:id="333"/>
      <w:bookmarkStart w:id="334" w:name="_Toc184313244"/>
      <w:bookmarkEnd w:id="334"/>
      <w:bookmarkStart w:id="335" w:name="_Toc184313287"/>
      <w:bookmarkEnd w:id="335"/>
      <w:bookmarkStart w:id="336" w:name="_Toc184308036"/>
      <w:bookmarkEnd w:id="336"/>
      <w:bookmarkStart w:id="337" w:name="_Toc184310326"/>
      <w:bookmarkEnd w:id="337"/>
      <w:bookmarkStart w:id="338" w:name="_Toc184308102"/>
      <w:bookmarkEnd w:id="338"/>
      <w:bookmarkStart w:id="339" w:name="_Toc184310314"/>
      <w:bookmarkEnd w:id="339"/>
      <w:bookmarkStart w:id="340" w:name="_Toc184310272"/>
      <w:bookmarkEnd w:id="340"/>
      <w:bookmarkStart w:id="341" w:name="_Toc184308099"/>
      <w:bookmarkEnd w:id="341"/>
      <w:bookmarkStart w:id="342" w:name="_Toc184308047"/>
      <w:bookmarkEnd w:id="342"/>
      <w:bookmarkStart w:id="343" w:name="_Toc184310285"/>
      <w:bookmarkEnd w:id="343"/>
      <w:bookmarkStart w:id="344" w:name="_Toc184310286"/>
      <w:bookmarkEnd w:id="344"/>
      <w:bookmarkStart w:id="345" w:name="_Toc184308090"/>
      <w:bookmarkEnd w:id="345"/>
      <w:bookmarkStart w:id="346" w:name="_Toc184310329"/>
      <w:bookmarkEnd w:id="346"/>
      <w:bookmarkStart w:id="347" w:name="_Toc184313245"/>
      <w:bookmarkEnd w:id="347"/>
      <w:bookmarkStart w:id="348" w:name="_Toc184314411"/>
      <w:bookmarkEnd w:id="348"/>
      <w:bookmarkStart w:id="349" w:name="_Toc184313292"/>
      <w:bookmarkEnd w:id="349"/>
      <w:bookmarkStart w:id="350" w:name="_Toc184312078"/>
      <w:bookmarkEnd w:id="350"/>
      <w:bookmarkStart w:id="351" w:name="_Toc184314416"/>
      <w:bookmarkEnd w:id="351"/>
      <w:bookmarkStart w:id="352" w:name="_Toc184310284"/>
      <w:bookmarkEnd w:id="352"/>
      <w:bookmarkStart w:id="353" w:name="_Toc184312102"/>
      <w:bookmarkEnd w:id="353"/>
      <w:bookmarkStart w:id="354" w:name="_Toc184310291"/>
      <w:bookmarkEnd w:id="354"/>
      <w:bookmarkStart w:id="355" w:name="_Toc184310334"/>
      <w:bookmarkEnd w:id="355"/>
      <w:bookmarkStart w:id="356" w:name="_Toc184314479"/>
      <w:bookmarkEnd w:id="356"/>
      <w:bookmarkStart w:id="357" w:name="_Toc184313264"/>
      <w:bookmarkEnd w:id="357"/>
      <w:bookmarkStart w:id="358" w:name="_Toc184314463"/>
      <w:bookmarkEnd w:id="358"/>
      <w:bookmarkStart w:id="359" w:name="_Toc184313272"/>
      <w:bookmarkEnd w:id="359"/>
      <w:bookmarkStart w:id="360" w:name="_Toc184314468"/>
      <w:bookmarkEnd w:id="360"/>
      <w:bookmarkStart w:id="361" w:name="_Toc184314454"/>
      <w:bookmarkEnd w:id="361"/>
      <w:bookmarkStart w:id="362" w:name="_Toc184308062"/>
      <w:bookmarkEnd w:id="362"/>
      <w:bookmarkStart w:id="363" w:name="_Toc184310343"/>
      <w:bookmarkEnd w:id="363"/>
      <w:bookmarkStart w:id="364" w:name="_Toc184308087"/>
      <w:bookmarkEnd w:id="364"/>
      <w:bookmarkStart w:id="365" w:name="_Toc184312077"/>
      <w:bookmarkEnd w:id="365"/>
      <w:bookmarkStart w:id="366" w:name="_Toc184313247"/>
      <w:bookmarkEnd w:id="366"/>
      <w:bookmarkStart w:id="367" w:name="_Toc184308050"/>
      <w:bookmarkEnd w:id="367"/>
      <w:bookmarkStart w:id="368" w:name="_Toc184313282"/>
      <w:bookmarkEnd w:id="368"/>
      <w:bookmarkStart w:id="369" w:name="_Toc184308101"/>
      <w:bookmarkEnd w:id="369"/>
      <w:bookmarkStart w:id="370" w:name="_Toc184310282"/>
      <w:bookmarkEnd w:id="370"/>
      <w:bookmarkStart w:id="371" w:name="_Toc184310287"/>
      <w:bookmarkEnd w:id="371"/>
      <w:bookmarkStart w:id="372" w:name="_Toc184314431"/>
      <w:bookmarkEnd w:id="372"/>
      <w:bookmarkStart w:id="373" w:name="_Toc184310279"/>
      <w:bookmarkEnd w:id="373"/>
      <w:bookmarkStart w:id="374" w:name="_Toc184313309"/>
      <w:bookmarkEnd w:id="374"/>
      <w:bookmarkStart w:id="375" w:name="_Toc184310331"/>
      <w:bookmarkEnd w:id="375"/>
      <w:bookmarkStart w:id="376" w:name="_Toc184308080"/>
      <w:bookmarkEnd w:id="376"/>
      <w:bookmarkStart w:id="377" w:name="_Toc184313281"/>
      <w:bookmarkEnd w:id="377"/>
      <w:bookmarkStart w:id="378" w:name="_Toc184308040"/>
      <w:bookmarkEnd w:id="378"/>
      <w:bookmarkStart w:id="379" w:name="_Toc184310339"/>
      <w:bookmarkEnd w:id="379"/>
      <w:bookmarkStart w:id="380" w:name="_Toc184308045"/>
      <w:bookmarkEnd w:id="380"/>
      <w:bookmarkStart w:id="381" w:name="_Toc184313286"/>
      <w:bookmarkEnd w:id="381"/>
      <w:bookmarkStart w:id="382" w:name="_Toc184312091"/>
      <w:bookmarkEnd w:id="382"/>
      <w:bookmarkStart w:id="383" w:name="_Toc184312090"/>
      <w:bookmarkEnd w:id="383"/>
      <w:bookmarkStart w:id="384" w:name="_Toc184312098"/>
      <w:bookmarkEnd w:id="384"/>
      <w:bookmarkStart w:id="385" w:name="_Toc184313296"/>
      <w:bookmarkEnd w:id="385"/>
      <w:bookmarkStart w:id="386" w:name="_Toc184313305"/>
      <w:bookmarkEnd w:id="386"/>
      <w:bookmarkStart w:id="387" w:name="_Toc184308098"/>
      <w:bookmarkEnd w:id="387"/>
      <w:bookmarkStart w:id="388" w:name="_Toc184308061"/>
      <w:bookmarkEnd w:id="388"/>
      <w:bookmarkStart w:id="389" w:name="_Toc184312121"/>
      <w:bookmarkEnd w:id="389"/>
      <w:bookmarkStart w:id="390" w:name="_Toc184308092"/>
      <w:bookmarkEnd w:id="390"/>
      <w:bookmarkStart w:id="391" w:name="_Toc184314439"/>
      <w:bookmarkEnd w:id="391"/>
      <w:bookmarkStart w:id="392" w:name="_Toc184312073"/>
      <w:bookmarkEnd w:id="392"/>
      <w:bookmarkStart w:id="393" w:name="_Toc184308085"/>
      <w:bookmarkEnd w:id="393"/>
      <w:bookmarkStart w:id="394" w:name="_Toc184313248"/>
      <w:bookmarkEnd w:id="394"/>
      <w:bookmarkStart w:id="395" w:name="_Toc184308084"/>
      <w:bookmarkEnd w:id="395"/>
      <w:bookmarkStart w:id="396" w:name="_Toc184308067"/>
      <w:bookmarkEnd w:id="396"/>
      <w:bookmarkStart w:id="397" w:name="_Toc184312110"/>
      <w:bookmarkEnd w:id="397"/>
      <w:bookmarkStart w:id="398" w:name="_Toc184310335"/>
      <w:bookmarkEnd w:id="398"/>
      <w:bookmarkStart w:id="399" w:name="_Toc184314435"/>
      <w:bookmarkEnd w:id="399"/>
      <w:bookmarkStart w:id="400" w:name="_Toc184308070"/>
      <w:bookmarkEnd w:id="400"/>
      <w:bookmarkStart w:id="401" w:name="_Toc184313238"/>
      <w:bookmarkEnd w:id="401"/>
      <w:bookmarkStart w:id="402" w:name="_Toc184312079"/>
      <w:bookmarkEnd w:id="402"/>
      <w:bookmarkStart w:id="403" w:name="_Toc184314412"/>
      <w:bookmarkEnd w:id="403"/>
      <w:bookmarkStart w:id="404" w:name="_Toc184310295"/>
      <w:bookmarkEnd w:id="404"/>
      <w:bookmarkStart w:id="405" w:name="_Toc184308104"/>
      <w:bookmarkEnd w:id="405"/>
      <w:bookmarkStart w:id="406" w:name="_Toc184312074"/>
      <w:bookmarkEnd w:id="406"/>
      <w:bookmarkStart w:id="407" w:name="_Toc184310293"/>
      <w:bookmarkEnd w:id="407"/>
      <w:bookmarkStart w:id="408" w:name="_Toc184313300"/>
      <w:bookmarkEnd w:id="408"/>
      <w:bookmarkStart w:id="409" w:name="_Toc184313276"/>
      <w:bookmarkEnd w:id="409"/>
      <w:bookmarkStart w:id="410" w:name="_Toc184312093"/>
      <w:bookmarkEnd w:id="410"/>
      <w:bookmarkStart w:id="411" w:name="_Toc184314440"/>
      <w:bookmarkEnd w:id="411"/>
      <w:bookmarkStart w:id="412" w:name="_Toc184308051"/>
      <w:bookmarkEnd w:id="412"/>
      <w:bookmarkStart w:id="413" w:name="_Toc184310321"/>
      <w:bookmarkEnd w:id="413"/>
      <w:bookmarkStart w:id="414" w:name="_Toc184313279"/>
      <w:bookmarkEnd w:id="414"/>
      <w:bookmarkStart w:id="415" w:name="_Toc184314424"/>
      <w:bookmarkEnd w:id="415"/>
      <w:bookmarkStart w:id="416" w:name="_Toc184308088"/>
      <w:bookmarkEnd w:id="416"/>
      <w:bookmarkStart w:id="417" w:name="_Toc184310325"/>
      <w:bookmarkEnd w:id="417"/>
      <w:bookmarkStart w:id="418" w:name="_Toc184312134"/>
      <w:bookmarkEnd w:id="418"/>
      <w:bookmarkStart w:id="419" w:name="_Toc184314470"/>
      <w:bookmarkEnd w:id="419"/>
      <w:bookmarkStart w:id="420" w:name="_Toc184308059"/>
      <w:bookmarkEnd w:id="420"/>
      <w:bookmarkStart w:id="421" w:name="_Toc184308041"/>
      <w:bookmarkEnd w:id="421"/>
      <w:bookmarkStart w:id="422" w:name="_Toc184313298"/>
      <w:bookmarkEnd w:id="422"/>
      <w:bookmarkStart w:id="423" w:name="_Toc184313256"/>
      <w:bookmarkEnd w:id="423"/>
      <w:bookmarkStart w:id="424" w:name="_Toc184310274"/>
      <w:bookmarkEnd w:id="424"/>
      <w:bookmarkStart w:id="425" w:name="_Toc184310340"/>
      <w:bookmarkEnd w:id="425"/>
      <w:bookmarkStart w:id="426" w:name="_Toc184310341"/>
      <w:bookmarkEnd w:id="426"/>
      <w:bookmarkStart w:id="427" w:name="_Toc184308066"/>
      <w:bookmarkEnd w:id="427"/>
      <w:bookmarkStart w:id="428" w:name="_Toc184310302"/>
      <w:bookmarkEnd w:id="428"/>
      <w:bookmarkStart w:id="429" w:name="_Toc184313270"/>
      <w:bookmarkEnd w:id="429"/>
      <w:bookmarkStart w:id="430" w:name="_Toc184313251"/>
      <w:bookmarkEnd w:id="430"/>
      <w:bookmarkStart w:id="431" w:name="_Toc184310317"/>
      <w:bookmarkEnd w:id="431"/>
      <w:bookmarkStart w:id="432" w:name="_Toc184314467"/>
      <w:bookmarkEnd w:id="432"/>
      <w:bookmarkStart w:id="433" w:name="_Toc184308095"/>
      <w:bookmarkEnd w:id="433"/>
      <w:bookmarkStart w:id="434" w:name="_Toc184314445"/>
      <w:bookmarkEnd w:id="434"/>
      <w:bookmarkStart w:id="435" w:name="_Toc184312129"/>
      <w:bookmarkEnd w:id="435"/>
      <w:bookmarkStart w:id="436" w:name="_Toc184308094"/>
      <w:bookmarkEnd w:id="436"/>
      <w:bookmarkStart w:id="437" w:name="_Toc184308054"/>
      <w:bookmarkEnd w:id="437"/>
      <w:bookmarkStart w:id="438" w:name="_Toc184313290"/>
      <w:bookmarkEnd w:id="438"/>
      <w:bookmarkStart w:id="439" w:name="_Toc184313259"/>
      <w:bookmarkEnd w:id="439"/>
      <w:bookmarkStart w:id="440" w:name="_Toc184310307"/>
      <w:bookmarkEnd w:id="440"/>
      <w:bookmarkStart w:id="441" w:name="_Toc184313249"/>
      <w:bookmarkEnd w:id="441"/>
      <w:bookmarkStart w:id="442" w:name="_Toc184310296"/>
      <w:bookmarkEnd w:id="442"/>
      <w:bookmarkStart w:id="443" w:name="_Toc184308097"/>
      <w:bookmarkEnd w:id="443"/>
      <w:bookmarkStart w:id="444" w:name="_Toc184312069"/>
      <w:bookmarkEnd w:id="444"/>
      <w:bookmarkStart w:id="445" w:name="_Toc184308053"/>
      <w:bookmarkEnd w:id="445"/>
      <w:bookmarkStart w:id="446" w:name="_Toc184312103"/>
      <w:bookmarkEnd w:id="446"/>
      <w:bookmarkStart w:id="447" w:name="_Toc184312083"/>
      <w:bookmarkEnd w:id="447"/>
      <w:bookmarkStart w:id="448" w:name="_Toc184313260"/>
      <w:bookmarkEnd w:id="448"/>
      <w:bookmarkStart w:id="449" w:name="_Toc184313297"/>
      <w:bookmarkEnd w:id="449"/>
      <w:bookmarkStart w:id="450" w:name="_Toc184313284"/>
      <w:bookmarkEnd w:id="450"/>
      <w:bookmarkStart w:id="451" w:name="_Toc184310298"/>
      <w:bookmarkEnd w:id="451"/>
      <w:bookmarkStart w:id="452" w:name="_Toc184314472"/>
      <w:bookmarkEnd w:id="452"/>
      <w:bookmarkStart w:id="453" w:name="_Toc184310319"/>
      <w:bookmarkEnd w:id="453"/>
      <w:bookmarkStart w:id="454" w:name="_Toc184310309"/>
      <w:bookmarkEnd w:id="454"/>
      <w:bookmarkStart w:id="455" w:name="_Toc184314481"/>
      <w:bookmarkEnd w:id="455"/>
      <w:bookmarkStart w:id="456" w:name="_Toc184313289"/>
      <w:bookmarkEnd w:id="456"/>
      <w:bookmarkStart w:id="457" w:name="_Toc184310276"/>
      <w:bookmarkEnd w:id="457"/>
      <w:bookmarkStart w:id="458" w:name="_Toc184308049"/>
      <w:bookmarkEnd w:id="458"/>
      <w:bookmarkStart w:id="459" w:name="_Toc184314464"/>
      <w:bookmarkEnd w:id="459"/>
      <w:bookmarkStart w:id="460" w:name="_Toc184314482"/>
      <w:bookmarkEnd w:id="460"/>
      <w:bookmarkStart w:id="461" w:name="_Toc184313283"/>
      <w:bookmarkEnd w:id="461"/>
      <w:bookmarkStart w:id="462" w:name="_Toc184314419"/>
      <w:bookmarkEnd w:id="462"/>
      <w:bookmarkStart w:id="463" w:name="_Toc184312118"/>
      <w:bookmarkEnd w:id="463"/>
      <w:bookmarkStart w:id="464" w:name="_Toc184312081"/>
      <w:bookmarkEnd w:id="464"/>
      <w:bookmarkStart w:id="465" w:name="_Toc184314420"/>
      <w:bookmarkEnd w:id="465"/>
      <w:bookmarkStart w:id="466" w:name="_Toc184314410"/>
      <w:bookmarkEnd w:id="466"/>
      <w:bookmarkStart w:id="467" w:name="_Toc184308074"/>
      <w:bookmarkEnd w:id="467"/>
      <w:bookmarkStart w:id="468" w:name="_Toc184313274"/>
      <w:bookmarkEnd w:id="468"/>
      <w:bookmarkStart w:id="469" w:name="_Toc184310299"/>
      <w:bookmarkEnd w:id="469"/>
      <w:bookmarkStart w:id="470" w:name="_Toc184314459"/>
      <w:bookmarkEnd w:id="470"/>
      <w:bookmarkStart w:id="471" w:name="_Toc184314425"/>
      <w:bookmarkEnd w:id="471"/>
      <w:bookmarkStart w:id="472" w:name="_Toc184312101"/>
      <w:bookmarkEnd w:id="472"/>
      <w:bookmarkStart w:id="473" w:name="_Toc184308069"/>
      <w:bookmarkEnd w:id="473"/>
      <w:bookmarkStart w:id="474" w:name="_Toc184314457"/>
      <w:bookmarkEnd w:id="474"/>
      <w:bookmarkStart w:id="475" w:name="_Toc184313269"/>
      <w:bookmarkEnd w:id="475"/>
      <w:bookmarkStart w:id="476" w:name="_Toc184310338"/>
      <w:bookmarkEnd w:id="476"/>
      <w:bookmarkStart w:id="477" w:name="_Toc184310337"/>
      <w:bookmarkEnd w:id="477"/>
      <w:bookmarkStart w:id="478" w:name="_Toc184314455"/>
      <w:bookmarkEnd w:id="478"/>
      <w:bookmarkStart w:id="479" w:name="_Toc184314438"/>
      <w:bookmarkEnd w:id="479"/>
      <w:bookmarkStart w:id="480" w:name="_Toc184313242"/>
      <w:bookmarkEnd w:id="480"/>
      <w:bookmarkStart w:id="481" w:name="_Toc184310332"/>
      <w:bookmarkEnd w:id="481"/>
      <w:bookmarkStart w:id="482" w:name="_Toc184314436"/>
      <w:bookmarkEnd w:id="482"/>
      <w:bookmarkStart w:id="483" w:name="_Toc184314437"/>
      <w:bookmarkEnd w:id="483"/>
      <w:bookmarkStart w:id="484" w:name="_Toc184313267"/>
      <w:bookmarkEnd w:id="484"/>
      <w:bookmarkStart w:id="485" w:name="_Toc184310308"/>
      <w:bookmarkEnd w:id="485"/>
      <w:bookmarkStart w:id="486" w:name="_Toc184313306"/>
      <w:bookmarkEnd w:id="486"/>
      <w:bookmarkStart w:id="487" w:name="_Toc184314441"/>
      <w:bookmarkEnd w:id="487"/>
      <w:bookmarkStart w:id="488" w:name="_Toc184314451"/>
      <w:bookmarkEnd w:id="488"/>
      <w:bookmarkStart w:id="489" w:name="_Toc184310318"/>
      <w:bookmarkEnd w:id="489"/>
      <w:bookmarkStart w:id="490" w:name="_Toc184308068"/>
      <w:bookmarkEnd w:id="490"/>
      <w:bookmarkStart w:id="491" w:name="_Toc184312088"/>
      <w:bookmarkEnd w:id="491"/>
      <w:bookmarkStart w:id="492" w:name="_Toc184313303"/>
      <w:bookmarkEnd w:id="492"/>
      <w:bookmarkStart w:id="493" w:name="_Toc184308083"/>
      <w:bookmarkEnd w:id="493"/>
      <w:bookmarkStart w:id="494" w:name="_Toc184312087"/>
      <w:bookmarkEnd w:id="494"/>
      <w:bookmarkStart w:id="495" w:name="_Toc184314450"/>
      <w:bookmarkEnd w:id="495"/>
      <w:bookmarkStart w:id="496" w:name="_Toc184313275"/>
      <w:bookmarkEnd w:id="496"/>
      <w:bookmarkStart w:id="497" w:name="_Toc184308037"/>
      <w:bookmarkEnd w:id="497"/>
      <w:bookmarkStart w:id="498" w:name="_Toc184312104"/>
      <w:bookmarkEnd w:id="498"/>
      <w:bookmarkStart w:id="499" w:name="_Toc184314429"/>
      <w:bookmarkEnd w:id="499"/>
      <w:bookmarkStart w:id="500" w:name="_Toc184312139"/>
      <w:bookmarkEnd w:id="500"/>
      <w:bookmarkStart w:id="501" w:name="_Toc184308055"/>
      <w:bookmarkEnd w:id="501"/>
      <w:bookmarkStart w:id="502" w:name="_Toc184312080"/>
      <w:bookmarkEnd w:id="502"/>
      <w:bookmarkStart w:id="503" w:name="_Toc184314430"/>
      <w:bookmarkEnd w:id="503"/>
      <w:bookmarkStart w:id="504" w:name="_Toc184310322"/>
      <w:bookmarkEnd w:id="504"/>
      <w:bookmarkStart w:id="505" w:name="_Toc184313268"/>
      <w:bookmarkEnd w:id="505"/>
      <w:bookmarkStart w:id="506" w:name="_Toc184312071"/>
      <w:bookmarkEnd w:id="506"/>
      <w:bookmarkStart w:id="507" w:name="_Toc184313243"/>
      <w:bookmarkEnd w:id="507"/>
      <w:bookmarkStart w:id="508" w:name="_Toc184313262"/>
      <w:bookmarkEnd w:id="508"/>
      <w:bookmarkStart w:id="509" w:name="_Toc184314432"/>
      <w:bookmarkEnd w:id="509"/>
      <w:bookmarkStart w:id="510" w:name="_Toc184312113"/>
      <w:bookmarkEnd w:id="510"/>
      <w:bookmarkStart w:id="511" w:name="_Toc184308057"/>
      <w:bookmarkEnd w:id="511"/>
      <w:bookmarkStart w:id="512" w:name="_Toc184314469"/>
      <w:bookmarkEnd w:id="512"/>
      <w:bookmarkStart w:id="513" w:name="_Toc184313285"/>
      <w:bookmarkEnd w:id="513"/>
      <w:bookmarkStart w:id="514" w:name="_Toc184313271"/>
      <w:bookmarkEnd w:id="514"/>
      <w:bookmarkStart w:id="515" w:name="_Toc184314473"/>
      <w:bookmarkEnd w:id="515"/>
      <w:bookmarkStart w:id="516" w:name="_Toc184310324"/>
      <w:bookmarkEnd w:id="516"/>
      <w:bookmarkStart w:id="517" w:name="_Toc184314475"/>
      <w:bookmarkEnd w:id="517"/>
      <w:bookmarkStart w:id="518" w:name="_Toc184312125"/>
      <w:bookmarkEnd w:id="518"/>
      <w:bookmarkStart w:id="519" w:name="_Toc184314414"/>
      <w:bookmarkEnd w:id="519"/>
      <w:bookmarkStart w:id="520" w:name="_Toc184313253"/>
      <w:bookmarkEnd w:id="520"/>
      <w:bookmarkStart w:id="521" w:name="_Toc184314447"/>
      <w:bookmarkEnd w:id="521"/>
      <w:bookmarkStart w:id="522" w:name="_Toc184314466"/>
      <w:bookmarkEnd w:id="522"/>
      <w:bookmarkStart w:id="523" w:name="_Toc184313291"/>
      <w:bookmarkEnd w:id="523"/>
      <w:bookmarkStart w:id="524" w:name="_Toc184314446"/>
      <w:bookmarkEnd w:id="524"/>
      <w:bookmarkStart w:id="525" w:name="_Toc184308072"/>
      <w:bookmarkEnd w:id="525"/>
      <w:bookmarkStart w:id="526" w:name="_Toc184308108"/>
      <w:bookmarkEnd w:id="526"/>
      <w:bookmarkStart w:id="527" w:name="_Toc184308107"/>
      <w:bookmarkEnd w:id="527"/>
      <w:bookmarkStart w:id="528" w:name="_Toc184314427"/>
      <w:bookmarkEnd w:id="528"/>
      <w:bookmarkStart w:id="529" w:name="_Toc184314426"/>
      <w:bookmarkEnd w:id="529"/>
      <w:bookmarkStart w:id="530" w:name="_Toc184310294"/>
      <w:bookmarkEnd w:id="530"/>
      <w:bookmarkStart w:id="531" w:name="_Toc184310281"/>
      <w:bookmarkEnd w:id="531"/>
      <w:bookmarkStart w:id="532" w:name="_Toc184308046"/>
      <w:bookmarkEnd w:id="532"/>
      <w:bookmarkStart w:id="533" w:name="_Toc184313293"/>
      <w:bookmarkEnd w:id="533"/>
      <w:bookmarkStart w:id="534" w:name="_Toc184312112"/>
      <w:bookmarkEnd w:id="534"/>
      <w:bookmarkStart w:id="535" w:name="_Toc184313246"/>
      <w:bookmarkEnd w:id="535"/>
      <w:bookmarkStart w:id="536" w:name="_Toc184312089"/>
      <w:bookmarkEnd w:id="536"/>
      <w:bookmarkStart w:id="537" w:name="_Toc184310320"/>
      <w:bookmarkEnd w:id="537"/>
      <w:r>
        <w:rPr>
          <w:rFonts w:hint="eastAsia" w:ascii="宋体" w:hAnsi="宋体" w:eastAsia="宋体" w:cs="宋体"/>
          <w:b/>
          <w:sz w:val="36"/>
          <w:szCs w:val="36"/>
        </w:rPr>
        <w:t>评标办法</w:t>
      </w:r>
      <w:bookmarkEnd w:id="172"/>
    </w:p>
    <w:p>
      <w:pPr>
        <w:pageBreakBefore w:val="0"/>
        <w:kinsoku/>
        <w:wordWrap/>
        <w:overflowPunct/>
        <w:topLinePunct w:val="0"/>
        <w:autoSpaceDE/>
        <w:autoSpaceDN/>
        <w:bidi w:val="0"/>
        <w:snapToGrid w:val="0"/>
        <w:spacing w:line="400" w:lineRule="exact"/>
        <w:jc w:val="center"/>
        <w:textAlignment w:val="auto"/>
        <w:rPr>
          <w:rFonts w:hint="eastAsia" w:ascii="宋体" w:hAnsi="宋体" w:eastAsia="宋体" w:cs="宋体"/>
          <w:b/>
          <w:sz w:val="32"/>
          <w:szCs w:val="20"/>
        </w:rPr>
      </w:pPr>
      <w:r>
        <w:rPr>
          <w:rFonts w:hint="eastAsia" w:ascii="宋体" w:hAnsi="宋体" w:eastAsia="宋体" w:cs="宋体"/>
          <w:b/>
          <w:sz w:val="32"/>
          <w:szCs w:val="20"/>
        </w:rPr>
        <w:t>评标办法前附表</w:t>
      </w:r>
    </w:p>
    <w:tbl>
      <w:tblPr>
        <w:tblStyle w:val="23"/>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5078"/>
        <w:gridCol w:w="985"/>
        <w:gridCol w:w="815"/>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blHeader/>
          <w:jc w:val="center"/>
        </w:trPr>
        <w:tc>
          <w:tcPr>
            <w:tcW w:w="644" w:type="dxa"/>
            <w:noWrap w:val="0"/>
            <w:vAlign w:val="center"/>
          </w:tcPr>
          <w:p>
            <w:pPr>
              <w:keepNext w:val="0"/>
              <w:keepLines w:val="0"/>
              <w:pageBreakBefore w:val="0"/>
              <w:kinsoku/>
              <w:wordWrap/>
              <w:overflowPunct/>
              <w:topLinePunct w:val="0"/>
              <w:autoSpaceDE/>
              <w:autoSpaceDN/>
              <w:bidi w:val="0"/>
              <w:snapToGrid/>
              <w:spacing w:line="240" w:lineRule="auto"/>
              <w:ind w:left="0" w:right="0"/>
              <w:jc w:val="both"/>
              <w:textAlignment w:val="auto"/>
              <w:outlineLvl w:val="0"/>
              <w:rPr>
                <w:rFonts w:hint="eastAsia" w:ascii="宋体" w:hAnsi="宋体" w:eastAsia="宋体" w:cs="宋体"/>
                <w:b/>
                <w:bCs w:val="0"/>
                <w:sz w:val="21"/>
                <w:szCs w:val="21"/>
              </w:rPr>
            </w:pPr>
            <w:bookmarkStart w:id="538" w:name="_Toc22412"/>
            <w:bookmarkStart w:id="539" w:name="_Toc25451"/>
            <w:bookmarkStart w:id="540" w:name="_Toc22895"/>
            <w:r>
              <w:rPr>
                <w:rFonts w:hint="eastAsia" w:ascii="宋体" w:hAnsi="宋体" w:eastAsia="宋体" w:cs="宋体"/>
                <w:b/>
                <w:bCs w:val="0"/>
                <w:sz w:val="21"/>
                <w:szCs w:val="21"/>
              </w:rPr>
              <w:t>序号</w:t>
            </w:r>
            <w:bookmarkEnd w:id="538"/>
            <w:bookmarkEnd w:id="539"/>
            <w:bookmarkEnd w:id="540"/>
          </w:p>
        </w:tc>
        <w:tc>
          <w:tcPr>
            <w:tcW w:w="5078"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b/>
                <w:bCs w:val="0"/>
                <w:sz w:val="21"/>
                <w:szCs w:val="21"/>
              </w:rPr>
            </w:pPr>
            <w:bookmarkStart w:id="541" w:name="_Toc8524"/>
            <w:bookmarkStart w:id="542" w:name="_Toc9984"/>
            <w:bookmarkStart w:id="543" w:name="_Toc29006"/>
            <w:r>
              <w:rPr>
                <w:rFonts w:hint="eastAsia" w:ascii="宋体" w:hAnsi="宋体" w:eastAsia="宋体" w:cs="宋体"/>
                <w:b/>
                <w:bCs w:val="0"/>
                <w:sz w:val="21"/>
                <w:szCs w:val="21"/>
              </w:rPr>
              <w:t>评标标准</w:t>
            </w:r>
            <w:bookmarkEnd w:id="541"/>
            <w:bookmarkEnd w:id="542"/>
            <w:bookmarkEnd w:id="543"/>
          </w:p>
        </w:tc>
        <w:tc>
          <w:tcPr>
            <w:tcW w:w="985" w:type="dxa"/>
            <w:noWrap w:val="0"/>
            <w:vAlign w:val="center"/>
          </w:tcPr>
          <w:p>
            <w:pPr>
              <w:keepNext w:val="0"/>
              <w:keepLines w:val="0"/>
              <w:pageBreakBefore w:val="0"/>
              <w:kinsoku/>
              <w:wordWrap/>
              <w:overflowPunct/>
              <w:topLinePunct w:val="0"/>
              <w:autoSpaceDE/>
              <w:autoSpaceDN/>
              <w:bidi w:val="0"/>
              <w:snapToGrid/>
              <w:spacing w:line="240" w:lineRule="auto"/>
              <w:ind w:left="0" w:right="0" w:firstLine="0"/>
              <w:jc w:val="center"/>
              <w:textAlignment w:val="auto"/>
              <w:rPr>
                <w:rFonts w:hint="eastAsia" w:ascii="宋体" w:hAnsi="宋体" w:eastAsia="宋体" w:cs="宋体"/>
                <w:b/>
                <w:bCs w:val="0"/>
                <w:kern w:val="2"/>
                <w:sz w:val="21"/>
                <w:szCs w:val="21"/>
                <w:lang w:val="en-US" w:eastAsia="zh-CN" w:bidi="ar-SA"/>
              </w:rPr>
            </w:pPr>
            <w:r>
              <w:rPr>
                <w:rFonts w:hint="eastAsia" w:ascii="宋体" w:hAnsi="宋体" w:eastAsia="宋体" w:cs="宋体"/>
                <w:b/>
                <w:bCs w:val="0"/>
                <w:kern w:val="2"/>
                <w:sz w:val="21"/>
                <w:szCs w:val="21"/>
                <w:lang w:val="en-US" w:eastAsia="zh-CN" w:bidi="ar-SA"/>
              </w:rPr>
              <w:t>主观分/客观分</w:t>
            </w:r>
          </w:p>
        </w:tc>
        <w:tc>
          <w:tcPr>
            <w:tcW w:w="815" w:type="dxa"/>
            <w:noWrap w:val="0"/>
            <w:vAlign w:val="center"/>
          </w:tcPr>
          <w:p>
            <w:pPr>
              <w:keepNext w:val="0"/>
              <w:keepLines w:val="0"/>
              <w:pageBreakBefore w:val="0"/>
              <w:kinsoku/>
              <w:wordWrap/>
              <w:overflowPunct/>
              <w:topLinePunct w:val="0"/>
              <w:autoSpaceDE/>
              <w:autoSpaceDN/>
              <w:bidi w:val="0"/>
              <w:snapToGrid/>
              <w:spacing w:line="240" w:lineRule="auto"/>
              <w:ind w:left="0" w:right="0"/>
              <w:textAlignment w:val="auto"/>
              <w:outlineLvl w:val="0"/>
              <w:rPr>
                <w:rFonts w:hint="eastAsia" w:ascii="宋体" w:hAnsi="宋体" w:eastAsia="宋体" w:cs="宋体"/>
                <w:b/>
                <w:bCs w:val="0"/>
                <w:sz w:val="21"/>
                <w:szCs w:val="21"/>
              </w:rPr>
            </w:pPr>
            <w:bookmarkStart w:id="544" w:name="_Toc4954"/>
            <w:bookmarkStart w:id="545" w:name="_Toc32053"/>
            <w:bookmarkStart w:id="546" w:name="_Toc8469"/>
            <w:r>
              <w:rPr>
                <w:rFonts w:hint="eastAsia" w:ascii="宋体" w:hAnsi="宋体" w:eastAsia="宋体" w:cs="宋体"/>
                <w:b/>
                <w:bCs w:val="0"/>
                <w:sz w:val="21"/>
                <w:szCs w:val="21"/>
              </w:rPr>
              <w:t>权重</w:t>
            </w:r>
            <w:bookmarkEnd w:id="544"/>
            <w:bookmarkEnd w:id="545"/>
            <w:bookmarkEnd w:id="546"/>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b/>
                <w:bCs w:val="0"/>
                <w:sz w:val="21"/>
                <w:szCs w:val="21"/>
              </w:rPr>
            </w:pPr>
            <w:bookmarkStart w:id="547" w:name="_Toc25421"/>
            <w:bookmarkStart w:id="548" w:name="_Toc3500"/>
            <w:bookmarkStart w:id="549" w:name="_Toc18736"/>
            <w:r>
              <w:rPr>
                <w:rFonts w:hint="eastAsia" w:ascii="宋体" w:hAnsi="宋体" w:eastAsia="宋体" w:cs="宋体"/>
                <w:b/>
                <w:bCs w:val="0"/>
                <w:w w:val="95"/>
                <w:sz w:val="21"/>
                <w:szCs w:val="21"/>
                <w:lang w:eastAsia="zh-CN"/>
              </w:rPr>
              <w:t>磋商响应文件</w:t>
            </w:r>
            <w:r>
              <w:rPr>
                <w:rFonts w:hint="eastAsia" w:ascii="宋体" w:hAnsi="宋体" w:eastAsia="宋体" w:cs="宋体"/>
                <w:b/>
                <w:bCs w:val="0"/>
                <w:w w:val="95"/>
                <w:sz w:val="21"/>
                <w:szCs w:val="21"/>
              </w:rPr>
              <w:t>中评标标准相应的商务技术资料目录</w:t>
            </w:r>
            <w:r>
              <w:rPr>
                <w:rFonts w:hint="eastAsia" w:ascii="宋体" w:hAnsi="宋体" w:eastAsia="宋体" w:cs="宋体"/>
                <w:b/>
                <w:bCs w:val="0"/>
                <w:w w:val="95"/>
                <w:sz w:val="21"/>
                <w:szCs w:val="21"/>
                <w:shd w:val="clear" w:color="auto" w:fill="FFFFFF"/>
              </w:rPr>
              <w:t>*</w:t>
            </w:r>
            <w:bookmarkEnd w:id="547"/>
            <w:bookmarkEnd w:id="548"/>
            <w:bookmarkEnd w:id="5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644"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highlight w:val="none"/>
                <w:lang w:val="en-US" w:eastAsia="zh-CN"/>
              </w:rPr>
              <w:t>1</w:t>
            </w:r>
          </w:p>
        </w:tc>
        <w:tc>
          <w:tcPr>
            <w:tcW w:w="5078" w:type="dxa"/>
            <w:noWrap w:val="0"/>
            <w:vAlign w:val="center"/>
          </w:tcPr>
          <w:p>
            <w:pPr>
              <w:adjustRightInd/>
              <w:ind w:right="3"/>
              <w:rPr>
                <w:rFonts w:hint="eastAsia" w:ascii="宋体" w:hAnsi="宋体" w:cs="宋体"/>
                <w:szCs w:val="21"/>
                <w:highlight w:val="none"/>
              </w:rPr>
            </w:pPr>
            <w:r>
              <w:rPr>
                <w:rFonts w:hint="eastAsia" w:ascii="宋体" w:hAnsi="宋体" w:cs="宋体"/>
                <w:szCs w:val="21"/>
                <w:highlight w:val="none"/>
              </w:rPr>
              <w:t>类似业绩：</w:t>
            </w:r>
          </w:p>
          <w:p>
            <w:pPr>
              <w:adjustRightInd/>
              <w:ind w:right="3"/>
              <w:rPr>
                <w:rFonts w:hint="eastAsia" w:ascii="宋体" w:hAnsi="宋体" w:cs="宋体"/>
                <w:szCs w:val="21"/>
                <w:highlight w:val="none"/>
              </w:rPr>
            </w:pPr>
            <w:r>
              <w:rPr>
                <w:rFonts w:hint="eastAsia" w:ascii="宋体" w:hAnsi="宋体" w:cs="宋体"/>
                <w:szCs w:val="21"/>
                <w:highlight w:val="none"/>
              </w:rPr>
              <w:t>2019年1月1日以来完成过同类工程业绩（同类工程指水利工程）得0.5分；最多得</w:t>
            </w:r>
            <w:r>
              <w:rPr>
                <w:rFonts w:hint="eastAsia" w:ascii="宋体" w:hAnsi="宋体" w:cs="宋体"/>
                <w:szCs w:val="21"/>
                <w:highlight w:val="none"/>
                <w:lang w:val="en-US" w:eastAsia="zh-CN"/>
              </w:rPr>
              <w:t>1.5</w:t>
            </w:r>
            <w:r>
              <w:rPr>
                <w:rFonts w:hint="eastAsia" w:ascii="宋体" w:hAnsi="宋体" w:cs="宋体"/>
                <w:szCs w:val="21"/>
                <w:highlight w:val="none"/>
              </w:rPr>
              <w:t>分。</w:t>
            </w:r>
          </w:p>
          <w:p>
            <w:pPr>
              <w:adjustRightInd/>
              <w:ind w:right="3" w:rightChars="0"/>
              <w:rPr>
                <w:rFonts w:hint="eastAsia" w:ascii="宋体" w:hAnsi="宋体" w:eastAsia="宋体" w:cs="宋体"/>
                <w:color w:val="auto"/>
                <w:sz w:val="21"/>
                <w:szCs w:val="21"/>
                <w:highlight w:val="none"/>
                <w:lang w:val="en-US" w:eastAsia="zh-CN"/>
              </w:rPr>
            </w:pPr>
            <w:r>
              <w:rPr>
                <w:rFonts w:hint="eastAsia" w:ascii="宋体" w:hAnsi="宋体" w:cs="宋体"/>
                <w:szCs w:val="21"/>
                <w:highlight w:val="none"/>
              </w:rPr>
              <w:t>注：业绩证明材料：①施工合同或中标通知书；②由项目法人出具的完工（竣工）验收鉴定书〔或质量监督机构出具对应的完工（竣工）质量（安全）监督报告〕；①、②证明材料缺一不可，业绩认定时间以②时间为准。</w:t>
            </w:r>
          </w:p>
        </w:tc>
        <w:tc>
          <w:tcPr>
            <w:tcW w:w="985" w:type="dxa"/>
            <w:noWrap w:val="0"/>
            <w:vAlign w:val="center"/>
          </w:tcPr>
          <w:p>
            <w:pPr>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客观分</w:t>
            </w:r>
          </w:p>
        </w:tc>
        <w:tc>
          <w:tcPr>
            <w:tcW w:w="815" w:type="dxa"/>
            <w:noWrap w:val="0"/>
            <w:vAlign w:val="center"/>
          </w:tcPr>
          <w:p>
            <w:pPr>
              <w:adjustRightInd/>
              <w:ind w:right="3" w:rightChars="0"/>
              <w:jc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1.5</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cs="宋体"/>
                <w:szCs w:val="21"/>
                <w:highlight w:val="none"/>
              </w:rPr>
              <w:t>类似业绩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644" w:type="dxa"/>
            <w:noWrap w:val="0"/>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highlight w:val="none"/>
                <w:lang w:val="en-US" w:eastAsia="zh-CN"/>
              </w:rPr>
              <w:t>2</w:t>
            </w:r>
          </w:p>
        </w:tc>
        <w:tc>
          <w:tcPr>
            <w:tcW w:w="5078" w:type="dxa"/>
            <w:noWrap w:val="0"/>
            <w:vAlign w:val="center"/>
          </w:tcPr>
          <w:p>
            <w:pPr>
              <w:ind w:right="3"/>
              <w:rPr>
                <w:rFonts w:hint="eastAsia" w:ascii="宋体" w:hAnsi="宋体" w:cs="宋体"/>
                <w:bCs/>
                <w:szCs w:val="21"/>
                <w:highlight w:val="none"/>
              </w:rPr>
            </w:pPr>
            <w:r>
              <w:rPr>
                <w:rFonts w:hint="eastAsia" w:ascii="宋体" w:hAnsi="宋体" w:cs="宋体"/>
                <w:bCs/>
                <w:szCs w:val="21"/>
                <w:highlight w:val="none"/>
              </w:rPr>
              <w:t>项目负责人：</w:t>
            </w:r>
          </w:p>
          <w:p>
            <w:pPr>
              <w:ind w:right="3"/>
              <w:rPr>
                <w:rFonts w:hint="eastAsia" w:ascii="宋体" w:hAnsi="宋体" w:cs="宋体"/>
                <w:bCs/>
                <w:szCs w:val="21"/>
                <w:highlight w:val="none"/>
              </w:rPr>
            </w:pPr>
            <w:r>
              <w:rPr>
                <w:rFonts w:hint="eastAsia" w:ascii="宋体" w:hAnsi="宋体" w:cs="宋体"/>
                <w:bCs/>
                <w:szCs w:val="21"/>
                <w:highlight w:val="none"/>
              </w:rPr>
              <w:t>项目负责人具有高级职称的得</w:t>
            </w:r>
            <w:r>
              <w:rPr>
                <w:rFonts w:hint="eastAsia" w:ascii="宋体" w:hAnsi="宋体" w:cs="宋体"/>
                <w:bCs/>
                <w:szCs w:val="21"/>
                <w:highlight w:val="none"/>
                <w:lang w:val="en-US" w:eastAsia="zh-CN"/>
              </w:rPr>
              <w:t>1.5</w:t>
            </w:r>
            <w:r>
              <w:rPr>
                <w:rFonts w:hint="eastAsia" w:ascii="宋体" w:hAnsi="宋体" w:cs="宋体"/>
                <w:bCs/>
                <w:szCs w:val="21"/>
                <w:highlight w:val="none"/>
              </w:rPr>
              <w:t>分；</w:t>
            </w:r>
          </w:p>
          <w:p>
            <w:pPr>
              <w:pStyle w:val="37"/>
              <w:spacing w:line="240" w:lineRule="auto"/>
              <w:rPr>
                <w:rFonts w:hint="eastAsia" w:ascii="宋体" w:hAnsi="宋体" w:eastAsia="宋体" w:cs="宋体"/>
                <w:color w:val="auto"/>
                <w:sz w:val="21"/>
                <w:szCs w:val="21"/>
                <w:highlight w:val="none"/>
                <w:lang w:val="en-US" w:eastAsia="zh-CN"/>
              </w:rPr>
            </w:pPr>
            <w:r>
              <w:rPr>
                <w:rFonts w:hint="eastAsia" w:hAnsi="宋体" w:cs="宋体"/>
                <w:bCs/>
                <w:szCs w:val="21"/>
                <w:highlight w:val="none"/>
              </w:rPr>
              <w:t>注：需提供有效的职称证书及磋商截止时间前6个月社保证明，供应商成立不足6个月的，提供成立之初至磋商截止时间前的社保证明。</w:t>
            </w:r>
          </w:p>
        </w:tc>
        <w:tc>
          <w:tcPr>
            <w:tcW w:w="985" w:type="dxa"/>
            <w:noWrap w:val="0"/>
            <w:vAlign w:val="center"/>
          </w:tcPr>
          <w:p>
            <w:pPr>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客观分</w:t>
            </w:r>
          </w:p>
        </w:tc>
        <w:tc>
          <w:tcPr>
            <w:tcW w:w="815" w:type="dxa"/>
            <w:noWrap w:val="0"/>
            <w:vAlign w:val="center"/>
          </w:tcPr>
          <w:p>
            <w:pPr>
              <w:jc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1.5</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cs="宋体"/>
                <w:bCs/>
                <w:szCs w:val="21"/>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eastAsia" w:ascii="宋体" w:hAnsi="宋体" w:eastAsia="宋体" w:cs="宋体"/>
                <w:color w:val="auto"/>
                <w:sz w:val="21"/>
                <w:szCs w:val="21"/>
                <w:highlight w:val="none"/>
              </w:rPr>
            </w:pPr>
            <w:bookmarkStart w:id="550" w:name="_Toc20078"/>
            <w:bookmarkEnd w:id="550"/>
            <w:bookmarkStart w:id="551" w:name="_Toc29606"/>
            <w:bookmarkEnd w:id="551"/>
            <w:bookmarkStart w:id="552" w:name="_Toc21998"/>
            <w:bookmarkEnd w:id="552"/>
            <w:r>
              <w:rPr>
                <w:rFonts w:hint="eastAsia" w:ascii="宋体" w:hAnsi="宋体" w:cs="宋体"/>
                <w:color w:val="auto"/>
                <w:kern w:val="2"/>
                <w:sz w:val="21"/>
                <w:szCs w:val="21"/>
                <w:lang w:val="en-US" w:eastAsia="zh-CN" w:bidi="ar-SA"/>
              </w:rPr>
              <w:t>3</w:t>
            </w:r>
          </w:p>
        </w:tc>
        <w:tc>
          <w:tcPr>
            <w:tcW w:w="5078" w:type="dxa"/>
            <w:noWrap w:val="0"/>
            <w:vAlign w:val="center"/>
          </w:tcPr>
          <w:p>
            <w:pPr>
              <w:keepNext w:val="0"/>
              <w:keepLines w:val="0"/>
              <w:pageBreakBefore w:val="0"/>
              <w:tabs>
                <w:tab w:val="left" w:pos="840"/>
              </w:tabs>
              <w:kinsoku/>
              <w:wordWrap/>
              <w:overflowPunct/>
              <w:topLinePunct w:val="0"/>
              <w:bidi w:val="0"/>
              <w:snapToGrid w:val="0"/>
              <w:spacing w:line="240" w:lineRule="auto"/>
              <w:jc w:val="both"/>
              <w:rPr>
                <w:rFonts w:ascii="宋体" w:hAnsi="宋体" w:cs="宋体"/>
                <w:b/>
                <w:color w:val="auto"/>
                <w:szCs w:val="21"/>
              </w:rPr>
            </w:pPr>
            <w:r>
              <w:rPr>
                <w:rFonts w:hint="eastAsia" w:ascii="宋体" w:hAnsi="宋体" w:eastAsia="宋体" w:cs="宋体"/>
                <w:color w:val="auto"/>
                <w:sz w:val="21"/>
                <w:szCs w:val="21"/>
                <w:highlight w:val="none"/>
              </w:rPr>
              <w:t>存在的问题和施工的难点、要点等问题进行调查剖析，针对性的提出克服难点和要点技术措施，进行评分</w:t>
            </w:r>
            <w:r>
              <w:rPr>
                <w:rFonts w:hint="eastAsia" w:ascii="宋体" w:hAnsi="宋体" w:cs="宋体"/>
                <w:b/>
                <w:color w:val="auto"/>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1）描述全面、合理，具有针对性的，得</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2）描述一般，针对性一般的，得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3）描述简单，针对性较弱的，得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4）未提供的，得0分。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outlineLvl w:val="0"/>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both"/>
              <w:textAlignment w:val="auto"/>
              <w:outlineLvl w:val="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0</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施工的难点、要点调查剖析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w:t>
            </w:r>
          </w:p>
        </w:tc>
        <w:tc>
          <w:tcPr>
            <w:tcW w:w="5078" w:type="dxa"/>
            <w:noWrap w:val="0"/>
            <w:vAlign w:val="center"/>
          </w:tcPr>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根据磋商供应商提供的对项目情况的现状分析进行打分：</w:t>
            </w:r>
          </w:p>
          <w:p>
            <w:pPr>
              <w:keepNext w:val="0"/>
              <w:keepLines w:val="0"/>
              <w:pageBreakBefore w:val="0"/>
              <w:numPr>
                <w:ilvl w:val="0"/>
                <w:numId w:val="0"/>
              </w:numPr>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val="en-US" w:eastAsia="zh-CN"/>
              </w:rPr>
              <w:t>对工程现场以及现场安防设施和隐患描述全面、准确</w:t>
            </w:r>
            <w:r>
              <w:rPr>
                <w:rFonts w:hint="eastAsia" w:ascii="宋体" w:hAnsi="宋体" w:cs="宋体"/>
                <w:color w:val="auto"/>
                <w:sz w:val="21"/>
                <w:szCs w:val="21"/>
                <w:highlight w:val="none"/>
                <w:lang w:val="en-US" w:eastAsia="zh-CN"/>
              </w:rPr>
              <w:t>，并提供隐患的解决方案</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p>
            <w:pPr>
              <w:keepNext w:val="0"/>
              <w:keepLines w:val="0"/>
              <w:pageBreakBefore w:val="0"/>
              <w:numPr>
                <w:ilvl w:val="0"/>
                <w:numId w:val="0"/>
              </w:numPr>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lang w:val="en-US" w:eastAsia="zh-CN"/>
              </w:rPr>
              <w:t>对工程现场以及现场安防设施和隐患描述较全面、较准确</w:t>
            </w:r>
            <w:r>
              <w:rPr>
                <w:rFonts w:hint="eastAsia" w:ascii="宋体" w:hAnsi="宋体" w:cs="宋体"/>
                <w:color w:val="auto"/>
                <w:sz w:val="21"/>
                <w:szCs w:val="21"/>
                <w:highlight w:val="none"/>
                <w:lang w:val="en-US" w:eastAsia="zh-CN"/>
              </w:rPr>
              <w:t>，并提供解决隐患的可行方案</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3）对工程现场以及现状隐患有所了解，但不是很全面的，得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highlight w:val="none"/>
                <w:lang w:val="en-US" w:eastAsia="zh-CN"/>
              </w:rPr>
              <w:t>4）无具体现场描述的或描述完全错误的，得0分。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8</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项目情况的现状分析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5"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color w:val="auto"/>
                <w:kern w:val="2"/>
                <w:sz w:val="21"/>
                <w:szCs w:val="21"/>
                <w:lang w:val="en-US" w:eastAsia="zh-CN" w:bidi="ar-SA"/>
              </w:rPr>
            </w:pPr>
            <w:bookmarkStart w:id="553" w:name="_Toc32375"/>
            <w:bookmarkEnd w:id="553"/>
            <w:bookmarkStart w:id="554" w:name="_Toc13936"/>
            <w:bookmarkEnd w:id="554"/>
            <w:bookmarkStart w:id="555" w:name="_Toc27778"/>
            <w:bookmarkEnd w:id="555"/>
            <w:r>
              <w:rPr>
                <w:rFonts w:hint="eastAsia" w:ascii="宋体" w:hAnsi="宋体" w:cs="宋体"/>
                <w:color w:val="auto"/>
                <w:kern w:val="2"/>
                <w:sz w:val="21"/>
                <w:szCs w:val="21"/>
                <w:lang w:val="en-US" w:eastAsia="zh-CN" w:bidi="ar-SA"/>
              </w:rPr>
              <w:t>5</w:t>
            </w:r>
          </w:p>
        </w:tc>
        <w:tc>
          <w:tcPr>
            <w:tcW w:w="5078" w:type="dxa"/>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整体施工方案的完整性、详细程度、合理性，进行评分</w:t>
            </w:r>
            <w:r>
              <w:rPr>
                <w:rFonts w:hint="eastAsia" w:ascii="宋体" w:hAnsi="宋体" w:eastAsia="宋体" w:cs="宋体"/>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描述全面、合理，针对性强的，得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21"/>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bCs/>
                <w:color w:val="auto"/>
                <w:spacing w:val="-6"/>
                <w:kern w:val="28"/>
                <w:sz w:val="21"/>
                <w:szCs w:val="21"/>
                <w:highlight w:val="none"/>
                <w:lang w:val="en-US" w:eastAsia="zh-CN" w:bidi="ar-SA"/>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8</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整体施工方案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w:t>
            </w:r>
          </w:p>
        </w:tc>
        <w:tc>
          <w:tcPr>
            <w:tcW w:w="507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根据施工进度表或工期网络计划（总进度计划编制是否合理，是否符合工程实际）进行评分：</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描述全面、合理，针对性强的，得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21"/>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bCs/>
                <w:color w:val="auto"/>
                <w:spacing w:val="-6"/>
                <w:kern w:val="28"/>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8</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施工进度表或工期网络计划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9"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w:t>
            </w:r>
          </w:p>
        </w:tc>
        <w:tc>
          <w:tcPr>
            <w:tcW w:w="507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提供的施工质量保证措施的完整性、详细程度、合理性进行评分：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1）描述全面、合理，针对性强的，得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10"/>
              <w:keepNext w:val="0"/>
              <w:keepLines w:val="0"/>
              <w:pageBreakBefore w:val="0"/>
              <w:kinsoku/>
              <w:wordWrap/>
              <w:overflowPunct/>
              <w:topLinePunct w:val="0"/>
              <w:bidi w:val="0"/>
              <w:spacing w:line="240" w:lineRule="auto"/>
              <w:ind w:left="0" w:leftChars="0" w:firstLine="0" w:firstLineChars="0"/>
              <w:rPr>
                <w:rFonts w:hint="eastAsi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bCs/>
                <w:color w:val="auto"/>
                <w:spacing w:val="-6"/>
                <w:kern w:val="28"/>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施工质量保证措施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5"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w:t>
            </w:r>
          </w:p>
        </w:tc>
        <w:tc>
          <w:tcPr>
            <w:tcW w:w="507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提供的安全文明生产施工保证体系措施的完整性、详细程度、合理性进行评分：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1）描述全面、合理，针对性强的，得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bCs/>
                <w:color w:val="auto"/>
                <w:spacing w:val="-6"/>
                <w:kern w:val="28"/>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安全文明生产施工保证体系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5"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eastAsia" w:ascii="宋体" w:hAnsi="宋体" w:eastAsia="宋体" w:cs="宋体"/>
                <w:color w:val="auto"/>
                <w:sz w:val="21"/>
                <w:szCs w:val="21"/>
                <w:highlight w:val="none"/>
                <w:lang w:val="en-US" w:eastAsia="zh-CN"/>
              </w:rPr>
            </w:pPr>
            <w:bookmarkStart w:id="556" w:name="_Toc22260"/>
            <w:bookmarkEnd w:id="556"/>
            <w:bookmarkStart w:id="557" w:name="_Toc18829"/>
            <w:bookmarkEnd w:id="557"/>
            <w:bookmarkStart w:id="558" w:name="_Toc11315"/>
            <w:bookmarkEnd w:id="558"/>
            <w:r>
              <w:rPr>
                <w:rFonts w:hint="eastAsia" w:ascii="宋体" w:hAnsi="宋体" w:cs="宋体"/>
                <w:color w:val="auto"/>
                <w:sz w:val="21"/>
                <w:szCs w:val="21"/>
                <w:highlight w:val="none"/>
                <w:lang w:val="en-US" w:eastAsia="zh-CN"/>
              </w:rPr>
              <w:t>9</w:t>
            </w:r>
          </w:p>
        </w:tc>
        <w:tc>
          <w:tcPr>
            <w:tcW w:w="5078" w:type="dxa"/>
            <w:noWrap w:val="0"/>
            <w:vAlign w:val="center"/>
          </w:tcPr>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lang w:eastAsia="zh-CN"/>
              </w:rPr>
            </w:pPr>
            <w:r>
              <w:rPr>
                <w:rFonts w:hint="eastAsia"/>
                <w:lang w:eastAsia="zh-CN"/>
              </w:rPr>
              <w:t>根据磋商供应商</w:t>
            </w:r>
            <w:r>
              <w:rPr>
                <w:rFonts w:hint="eastAsia"/>
                <w:lang w:val="en-US" w:eastAsia="zh-CN"/>
              </w:rPr>
              <w:t>针对本工程编制的验收细则及验收流程的准确性</w:t>
            </w:r>
            <w:r>
              <w:rPr>
                <w:rFonts w:hint="eastAsia"/>
              </w:rPr>
              <w:t>进行评分</w:t>
            </w:r>
            <w:r>
              <w:rPr>
                <w:rFonts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描述全面、合理，针对性强的，得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pStyle w:val="21"/>
              <w:keepNext w:val="0"/>
              <w:keepLines w:val="0"/>
              <w:pageBreakBefore w:val="0"/>
              <w:kinsoku/>
              <w:wordWrap/>
              <w:overflowPunct/>
              <w:topLinePunct w:val="0"/>
              <w:bidi w:val="0"/>
              <w:snapToGrid/>
              <w:spacing w:line="24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highlight w:val="none"/>
              </w:rPr>
              <w:t>描述基本全面、合理，针对性</w:t>
            </w:r>
            <w:r>
              <w:rPr>
                <w:rFonts w:hint="eastAsia" w:ascii="宋体" w:hAnsi="宋体" w:eastAsia="宋体" w:cs="宋体"/>
                <w:color w:val="auto"/>
                <w:sz w:val="21"/>
                <w:szCs w:val="21"/>
                <w:highlight w:val="none"/>
                <w:lang w:eastAsia="zh-CN"/>
              </w:rPr>
              <w:t>较弱</w:t>
            </w:r>
            <w:r>
              <w:rPr>
                <w:rFonts w:hint="eastAsia" w:ascii="宋体" w:hAnsi="宋体" w:eastAsia="宋体" w:cs="宋体"/>
                <w:color w:val="auto"/>
                <w:sz w:val="21"/>
                <w:szCs w:val="21"/>
                <w:highlight w:val="none"/>
              </w:rPr>
              <w:t>的，得</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47"/>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bCs/>
                <w:color w:val="auto"/>
                <w:spacing w:val="-6"/>
                <w:kern w:val="28"/>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8</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lang w:val="en-US" w:eastAsia="zh-CN"/>
              </w:rPr>
              <w:t>验收细则及验收流程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9"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5078" w:type="dxa"/>
            <w:noWrap w:val="0"/>
            <w:vAlign w:val="center"/>
          </w:tcPr>
          <w:p>
            <w:pPr>
              <w:pStyle w:val="30"/>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根据</w:t>
            </w:r>
            <w:r>
              <w:rPr>
                <w:rFonts w:hint="eastAsia" w:eastAsia="宋体" w:cs="宋体"/>
                <w:color w:val="auto"/>
                <w:sz w:val="21"/>
                <w:szCs w:val="21"/>
                <w:highlight w:val="none"/>
                <w:lang w:eastAsia="zh-CN"/>
              </w:rPr>
              <w:t>磋商供应商</w:t>
            </w:r>
            <w:r>
              <w:rPr>
                <w:rFonts w:hint="eastAsia" w:ascii="宋体" w:hAnsi="宋体" w:eastAsia="宋体" w:cs="宋体"/>
                <w:color w:val="auto"/>
                <w:sz w:val="21"/>
                <w:szCs w:val="21"/>
                <w:highlight w:val="none"/>
                <w:lang w:eastAsia="zh-CN"/>
              </w:rPr>
              <w:t>提供售后服务承诺的范围和完善程度（包括保修部件范围，保修服务标准，故障响应修复时间方式等售后</w:t>
            </w:r>
            <w:r>
              <w:rPr>
                <w:rFonts w:hint="eastAsia" w:cs="宋体"/>
                <w:color w:val="auto"/>
                <w:sz w:val="21"/>
                <w:szCs w:val="21"/>
                <w:highlight w:val="none"/>
                <w:lang w:val="en-US" w:eastAsia="zh-CN"/>
              </w:rPr>
              <w:t>服务情况</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1）描述全面、合理，针对性强的，得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right="3" w:rightChars="0"/>
              <w:textAlignment w:val="auto"/>
              <w:rPr>
                <w:rFonts w:hint="eastAsia" w:ascii="宋体" w:hAnsi="宋体" w:eastAsia="宋体" w:cs="宋体"/>
                <w:bCs/>
                <w:color w:val="auto"/>
                <w:spacing w:val="-6"/>
                <w:kern w:val="28"/>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highlight w:val="none"/>
                <w:lang w:eastAsia="zh-CN"/>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right="0" w:firstLine="0" w:firstLineChars="0"/>
              <w:jc w:val="center"/>
              <w:textAlignment w:val="auto"/>
              <w:outlineLvl w:val="0"/>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5078"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right="0"/>
              <w:textAlignment w:val="auto"/>
              <w:rPr>
                <w:rFonts w:hint="eastAsia" w:ascii="宋体" w:hAnsi="宋体" w:eastAsia="宋体" w:cs="宋体"/>
                <w:w w:val="100"/>
                <w:sz w:val="21"/>
                <w:szCs w:val="21"/>
              </w:rPr>
            </w:pPr>
            <w:r>
              <w:rPr>
                <w:rFonts w:hint="eastAsia" w:ascii="宋体" w:hAnsi="宋体" w:eastAsia="宋体" w:cs="宋体"/>
                <w:w w:val="100"/>
                <w:sz w:val="21"/>
                <w:szCs w:val="21"/>
              </w:rPr>
              <w:t>合理化建议及优化措施：</w:t>
            </w:r>
          </w:p>
          <w:p>
            <w:pPr>
              <w:keepNext w:val="0"/>
              <w:keepLines w:val="0"/>
              <w:pageBreakBefore w:val="0"/>
              <w:kinsoku/>
              <w:wordWrap/>
              <w:overflowPunct/>
              <w:topLinePunct w:val="0"/>
              <w:autoSpaceDE/>
              <w:autoSpaceDN/>
              <w:bidi w:val="0"/>
              <w:adjustRightInd/>
              <w:snapToGrid w:val="0"/>
              <w:spacing w:line="240" w:lineRule="auto"/>
              <w:ind w:left="0" w:right="0" w:rightChars="0"/>
              <w:textAlignment w:val="auto"/>
              <w:rPr>
                <w:rFonts w:hint="eastAsia" w:ascii="宋体" w:hAnsi="宋体" w:eastAsia="宋体" w:cs="宋体"/>
                <w:w w:val="100"/>
                <w:sz w:val="21"/>
                <w:szCs w:val="21"/>
              </w:rPr>
            </w:pPr>
            <w:r>
              <w:rPr>
                <w:rFonts w:hint="eastAsia" w:ascii="宋体" w:hAnsi="宋体" w:eastAsia="宋体" w:cs="宋体"/>
                <w:w w:val="100"/>
                <w:sz w:val="21"/>
                <w:szCs w:val="21"/>
              </w:rPr>
              <w:t>根据本项目提出合理化建议及优化措施是否合理充分</w:t>
            </w:r>
          </w:p>
          <w:p>
            <w:pPr>
              <w:keepNext w:val="0"/>
              <w:keepLines w:val="0"/>
              <w:pageBreakBefore w:val="0"/>
              <w:kinsoku/>
              <w:wordWrap/>
              <w:overflowPunct/>
              <w:topLinePunct w:val="0"/>
              <w:autoSpaceDE/>
              <w:autoSpaceDN/>
              <w:bidi w:val="0"/>
              <w:adjustRightInd/>
              <w:snapToGrid w:val="0"/>
              <w:spacing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1）描述全面、合理，针对性强的，得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val="0"/>
              <w:spacing w:line="24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）描述基本全面、合理，针对性一般的，得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kinsoku/>
              <w:wordWrap/>
              <w:overflowPunct/>
              <w:topLinePunct w:val="0"/>
              <w:autoSpaceDE/>
              <w:autoSpaceDN/>
              <w:bidi w:val="0"/>
              <w:adjustRightInd/>
              <w:snapToGrid w:val="0"/>
              <w:spacing w:line="240" w:lineRule="auto"/>
              <w:ind w:left="0" w:right="0" w:rightChars="0"/>
              <w:textAlignment w:val="auto"/>
              <w:rPr>
                <w:rFonts w:hint="eastAsia" w:ascii="宋体" w:hAnsi="宋体" w:eastAsia="宋体" w:cs="宋体"/>
                <w:w w:val="100"/>
                <w:sz w:val="21"/>
                <w:szCs w:val="21"/>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）描述简单或存在缺漏的，得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985"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rPr>
                <w:rFonts w:hint="eastAsia"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主观分</w:t>
            </w:r>
          </w:p>
        </w:tc>
        <w:tc>
          <w:tcPr>
            <w:tcW w:w="815"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sz w:val="21"/>
                <w:szCs w:val="21"/>
                <w:lang w:val="en-US" w:eastAsia="zh-CN"/>
              </w:rPr>
            </w:pPr>
            <w:r>
              <w:rPr>
                <w:rFonts w:hint="eastAsia" w:ascii="宋体" w:hAnsi="宋体" w:eastAsia="宋体" w:cs="宋体"/>
                <w:w w:val="100"/>
                <w:sz w:val="21"/>
                <w:szCs w:val="21"/>
              </w:rPr>
              <w:t>合理化建议及优化措施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9" w:hRule="atLeast"/>
          <w:jc w:val="center"/>
        </w:trPr>
        <w:tc>
          <w:tcPr>
            <w:tcW w:w="644" w:type="dxa"/>
            <w:noWrap w:val="0"/>
            <w:vAlign w:val="center"/>
          </w:tcPr>
          <w:p>
            <w:pPr>
              <w:keepNext w:val="0"/>
              <w:keepLines w:val="0"/>
              <w:pageBreakBefore w:val="0"/>
              <w:numPr>
                <w:ilvl w:val="0"/>
                <w:numId w:val="0"/>
              </w:numPr>
              <w:kinsoku/>
              <w:wordWrap/>
              <w:overflowPunct/>
              <w:topLinePunct w:val="0"/>
              <w:autoSpaceDE/>
              <w:autoSpaceDN/>
              <w:bidi w:val="0"/>
              <w:snapToGrid/>
              <w:spacing w:line="240" w:lineRule="auto"/>
              <w:ind w:left="0" w:leftChars="0" w:right="0"/>
              <w:jc w:val="both"/>
              <w:textAlignment w:val="auto"/>
              <w:outlineLvl w:val="0"/>
              <w:rPr>
                <w:rFonts w:hint="eastAsia" w:ascii="宋体" w:hAnsi="宋体" w:eastAsia="宋体" w:cs="宋体"/>
                <w:b/>
                <w:bCs/>
                <w:sz w:val="21"/>
                <w:szCs w:val="21"/>
              </w:rPr>
            </w:pPr>
            <w:bookmarkStart w:id="559" w:name="_Toc1366"/>
            <w:bookmarkEnd w:id="559"/>
            <w:bookmarkStart w:id="560" w:name="_Toc10506"/>
            <w:bookmarkEnd w:id="560"/>
            <w:bookmarkStart w:id="561" w:name="_Toc26375"/>
            <w:bookmarkEnd w:id="561"/>
          </w:p>
        </w:tc>
        <w:tc>
          <w:tcPr>
            <w:tcW w:w="5078" w:type="dxa"/>
            <w:noWrap w:val="0"/>
            <w:vAlign w:val="top"/>
          </w:tcPr>
          <w:p>
            <w:pPr>
              <w:keepNext w:val="0"/>
              <w:keepLines w:val="0"/>
              <w:pageBreakBefore w:val="0"/>
              <w:kinsoku/>
              <w:wordWrap/>
              <w:overflowPunct/>
              <w:topLinePunct w:val="0"/>
              <w:autoSpaceDE/>
              <w:autoSpaceDN/>
              <w:bidi w:val="0"/>
              <w:adjustRightInd/>
              <w:snapToGrid w:val="0"/>
              <w:spacing w:line="240" w:lineRule="auto"/>
              <w:ind w:left="0" w:right="0"/>
              <w:textAlignment w:val="auto"/>
              <w:outlineLvl w:val="0"/>
              <w:rPr>
                <w:rFonts w:hint="eastAsia" w:ascii="宋体" w:hAnsi="宋体" w:eastAsia="宋体" w:cs="宋体"/>
                <w:b/>
                <w:bCs/>
                <w:sz w:val="21"/>
                <w:szCs w:val="21"/>
              </w:rPr>
            </w:pPr>
            <w:bookmarkStart w:id="562" w:name="_Toc6682"/>
            <w:bookmarkStart w:id="563" w:name="_Toc4998"/>
            <w:bookmarkStart w:id="564" w:name="_Toc23084"/>
            <w:r>
              <w:rPr>
                <w:rFonts w:hint="eastAsia" w:ascii="宋体" w:hAnsi="宋体" w:eastAsia="宋体" w:cs="宋体"/>
                <w:b/>
                <w:bCs/>
                <w:sz w:val="21"/>
                <w:szCs w:val="21"/>
              </w:rPr>
              <w:t>有效投标报价的最低价作为评标基准价，其最低报价为满分；按［投标报价得分=（评标基准价/投标报价）*</w:t>
            </w:r>
            <w:r>
              <w:rPr>
                <w:rFonts w:hint="eastAsia" w:ascii="宋体" w:hAnsi="宋体" w:eastAsia="宋体" w:cs="宋体"/>
                <w:b/>
                <w:bCs/>
                <w:sz w:val="21"/>
                <w:szCs w:val="21"/>
                <w:lang w:eastAsia="zh-CN"/>
              </w:rPr>
              <w:t>权重</w:t>
            </w:r>
            <w:r>
              <w:rPr>
                <w:rFonts w:hint="eastAsia" w:ascii="宋体" w:hAnsi="宋体" w:eastAsia="宋体" w:cs="宋体"/>
                <w:b/>
                <w:bCs/>
                <w:sz w:val="21"/>
                <w:szCs w:val="21"/>
              </w:rPr>
              <w:t>］的计算公式计算。</w:t>
            </w:r>
            <w:bookmarkEnd w:id="562"/>
            <w:bookmarkEnd w:id="563"/>
            <w:bookmarkEnd w:id="564"/>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right="0" w:firstLine="42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评标过程中，不得去掉报价中的最高报价和最低报价。</w:t>
            </w:r>
          </w:p>
        </w:tc>
        <w:tc>
          <w:tcPr>
            <w:tcW w:w="985" w:type="dxa"/>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b/>
                <w:bCs/>
                <w:i/>
                <w:iCs/>
                <w:color w:val="FF0000"/>
                <w:sz w:val="21"/>
                <w:szCs w:val="21"/>
                <w:lang w:eastAsia="zh-CN"/>
              </w:rPr>
            </w:pPr>
          </w:p>
        </w:tc>
        <w:tc>
          <w:tcPr>
            <w:tcW w:w="815" w:type="dxa"/>
            <w:noWrap w:val="0"/>
            <w:vAlign w:val="center"/>
          </w:tcPr>
          <w:p>
            <w:pPr>
              <w:keepNext w:val="0"/>
              <w:keepLines w:val="0"/>
              <w:pageBreakBefore w:val="0"/>
              <w:kinsoku/>
              <w:wordWrap/>
              <w:overflowPunct/>
              <w:topLinePunct w:val="0"/>
              <w:autoSpaceDE/>
              <w:autoSpaceDN/>
              <w:bidi w:val="0"/>
              <w:snapToGrid/>
              <w:spacing w:line="240" w:lineRule="auto"/>
              <w:ind w:left="0" w:right="0" w:firstLine="105" w:firstLineChars="50"/>
              <w:jc w:val="both"/>
              <w:textAlignment w:val="auto"/>
              <w:outlineLvl w:val="0"/>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30</w:t>
            </w:r>
            <w:r>
              <w:rPr>
                <w:rFonts w:hint="eastAsia" w:ascii="宋体" w:hAnsi="宋体" w:eastAsia="宋体" w:cs="宋体"/>
                <w:kern w:val="2"/>
                <w:sz w:val="21"/>
                <w:szCs w:val="21"/>
                <w:highlight w:val="none"/>
                <w:lang w:val="en-US" w:eastAsia="zh-CN" w:bidi="ar-SA"/>
              </w:rPr>
              <w:t>分</w:t>
            </w:r>
          </w:p>
        </w:tc>
        <w:tc>
          <w:tcPr>
            <w:tcW w:w="1864" w:type="dxa"/>
            <w:noWrap w:val="0"/>
            <w:vAlign w:val="center"/>
          </w:tcPr>
          <w:p>
            <w:pPr>
              <w:keepNext w:val="0"/>
              <w:keepLines w:val="0"/>
              <w:pageBreakBefore w:val="0"/>
              <w:kinsoku/>
              <w:wordWrap/>
              <w:overflowPunct/>
              <w:topLinePunct w:val="0"/>
              <w:autoSpaceDE/>
              <w:autoSpaceDN/>
              <w:bidi w:val="0"/>
              <w:snapToGrid/>
              <w:spacing w:line="240" w:lineRule="auto"/>
              <w:ind w:left="0" w:right="0"/>
              <w:jc w:val="center"/>
              <w:textAlignment w:val="auto"/>
              <w:outlineLvl w:val="0"/>
              <w:rPr>
                <w:rFonts w:hint="eastAsia" w:ascii="宋体" w:hAnsi="宋体" w:eastAsia="宋体" w:cs="宋体"/>
                <w:b/>
                <w:bCs/>
                <w:sz w:val="21"/>
                <w:szCs w:val="21"/>
                <w:lang w:val="en-US" w:eastAsia="zh-CN"/>
              </w:rPr>
            </w:pPr>
            <w:bookmarkStart w:id="565" w:name="_Toc4660"/>
            <w:bookmarkStart w:id="566" w:name="_Toc22933"/>
            <w:bookmarkStart w:id="567" w:name="_Toc12130"/>
            <w:r>
              <w:rPr>
                <w:rFonts w:hint="eastAsia" w:ascii="宋体" w:hAnsi="宋体" w:eastAsia="宋体" w:cs="宋体"/>
                <w:b/>
                <w:bCs/>
                <w:sz w:val="21"/>
                <w:szCs w:val="21"/>
                <w:lang w:val="en-US" w:eastAsia="zh-CN"/>
              </w:rPr>
              <w:t>/</w:t>
            </w:r>
            <w:bookmarkEnd w:id="565"/>
            <w:bookmarkEnd w:id="566"/>
            <w:bookmarkEnd w:id="567"/>
          </w:p>
        </w:tc>
      </w:tr>
    </w:tbl>
    <w:p>
      <w:pPr>
        <w:pStyle w:val="21"/>
        <w:ind w:left="0" w:leftChars="0" w:firstLine="0" w:firstLineChars="0"/>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bCs w:val="0"/>
          <w:sz w:val="21"/>
          <w:szCs w:val="21"/>
        </w:rPr>
      </w:pPr>
      <w:r>
        <w:rPr>
          <w:rFonts w:hint="eastAsia" w:ascii="宋体" w:hAnsi="宋体" w:eastAsia="宋体" w:cs="宋体"/>
          <w:sz w:val="21"/>
          <w:szCs w:val="21"/>
          <w:shd w:val="clear" w:color="auto" w:fill="FFFFFF"/>
        </w:rPr>
        <w:t> *</w:t>
      </w:r>
      <w:r>
        <w:rPr>
          <w:rFonts w:hint="eastAsia" w:ascii="宋体" w:hAnsi="宋体" w:eastAsia="宋体" w:cs="宋体"/>
          <w:b/>
          <w:sz w:val="21"/>
          <w:szCs w:val="21"/>
        </w:rPr>
        <w:t>备注：</w:t>
      </w:r>
      <w:r>
        <w:rPr>
          <w:rFonts w:hint="eastAsia" w:ascii="宋体" w:hAnsi="宋体" w:eastAsia="宋体" w:cs="宋体"/>
          <w:sz w:val="21"/>
          <w:szCs w:val="21"/>
          <w:lang w:eastAsia="zh-CN"/>
        </w:rPr>
        <w:t>磋商供应商</w:t>
      </w:r>
      <w:r>
        <w:rPr>
          <w:rFonts w:hint="eastAsia" w:ascii="宋体" w:hAnsi="宋体" w:eastAsia="宋体" w:cs="宋体"/>
          <w:sz w:val="21"/>
          <w:szCs w:val="21"/>
        </w:rPr>
        <w:t>编制</w:t>
      </w:r>
      <w:r>
        <w:rPr>
          <w:rFonts w:hint="eastAsia" w:ascii="宋体" w:hAnsi="宋体" w:eastAsia="宋体" w:cs="宋体"/>
          <w:sz w:val="21"/>
          <w:szCs w:val="21"/>
          <w:lang w:eastAsia="zh-CN"/>
        </w:rPr>
        <w:t>磋商响应文件</w:t>
      </w:r>
      <w:r>
        <w:rPr>
          <w:rFonts w:hint="eastAsia" w:ascii="宋体" w:hAnsi="宋体" w:eastAsia="宋体" w:cs="宋体"/>
          <w:sz w:val="21"/>
          <w:szCs w:val="21"/>
        </w:rPr>
        <w:t>（商务技术文件部分）时，建议按此目录（序号和内容）提供评标标准相应的商务技术资料。</w:t>
      </w:r>
      <w:r>
        <w:rPr>
          <w:rFonts w:hint="eastAsia" w:ascii="宋体" w:hAnsi="宋体" w:eastAsia="宋体" w:cs="宋体"/>
          <w:b/>
          <w:bCs w:val="0"/>
          <w:sz w:val="32"/>
        </w:rPr>
        <w:br w:type="page"/>
      </w:r>
      <w:r>
        <w:rPr>
          <w:rFonts w:hint="eastAsia" w:ascii="宋体" w:hAnsi="宋体" w:eastAsia="宋体" w:cs="宋体"/>
          <w:b/>
          <w:bCs w:val="0"/>
          <w:sz w:val="21"/>
          <w:szCs w:val="21"/>
          <w:lang w:eastAsia="zh-CN"/>
        </w:rPr>
        <w:t>一、</w:t>
      </w:r>
      <w:r>
        <w:rPr>
          <w:rFonts w:hint="eastAsia" w:ascii="宋体" w:hAnsi="宋体" w:eastAsia="宋体" w:cs="宋体"/>
          <w:b/>
          <w:bCs w:val="0"/>
          <w:sz w:val="21"/>
          <w:szCs w:val="21"/>
        </w:rPr>
        <w:t>评标方法</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b/>
          <w:kern w:val="0"/>
          <w:sz w:val="21"/>
          <w:szCs w:val="21"/>
        </w:rPr>
        <w:t>1.本项目采用综合评分法。</w:t>
      </w:r>
      <w:r>
        <w:rPr>
          <w:rFonts w:hint="eastAsia" w:ascii="宋体" w:hAnsi="宋体" w:eastAsia="宋体" w:cs="宋体"/>
          <w:kern w:val="0"/>
          <w:sz w:val="21"/>
          <w:szCs w:val="21"/>
        </w:rPr>
        <w:t>综合评分法，是指</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满足</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全部实质性要求，且按照评审因素的量化指标评审得分最高的</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为</w:t>
      </w:r>
      <w:r>
        <w:rPr>
          <w:rFonts w:hint="eastAsia" w:ascii="宋体" w:hAnsi="宋体" w:eastAsia="宋体" w:cs="宋体"/>
          <w:kern w:val="0"/>
          <w:sz w:val="21"/>
          <w:szCs w:val="21"/>
          <w:lang w:eastAsia="zh-CN"/>
        </w:rPr>
        <w:t>成交候选人</w:t>
      </w:r>
      <w:r>
        <w:rPr>
          <w:rFonts w:hint="eastAsia" w:ascii="宋体" w:hAnsi="宋体" w:eastAsia="宋体" w:cs="宋体"/>
          <w:kern w:val="0"/>
          <w:sz w:val="21"/>
          <w:szCs w:val="21"/>
        </w:rPr>
        <w:t>的评标方法。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val="0"/>
          <w:sz w:val="21"/>
          <w:szCs w:val="21"/>
        </w:rPr>
      </w:pPr>
      <w:r>
        <w:rPr>
          <w:rFonts w:hint="eastAsia" w:ascii="宋体" w:hAnsi="宋体" w:eastAsia="宋体" w:cs="宋体"/>
          <w:b/>
          <w:bCs w:val="0"/>
          <w:kern w:val="2"/>
          <w:sz w:val="21"/>
          <w:szCs w:val="21"/>
          <w:lang w:val="en-US" w:eastAsia="zh-CN" w:bidi="ar-SA"/>
        </w:rPr>
        <w:t>二、</w:t>
      </w:r>
      <w:r>
        <w:rPr>
          <w:rFonts w:hint="eastAsia" w:ascii="宋体" w:hAnsi="宋体" w:eastAsia="宋体" w:cs="宋体"/>
          <w:b/>
          <w:bCs w:val="0"/>
          <w:sz w:val="21"/>
          <w:szCs w:val="21"/>
        </w:rPr>
        <w:t>评标标准</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rPr>
          <w:rFonts w:hint="eastAsia" w:ascii="宋体" w:hAnsi="宋体" w:eastAsia="宋体" w:cs="宋体"/>
          <w:b/>
          <w:sz w:val="21"/>
          <w:szCs w:val="21"/>
        </w:rPr>
      </w:pPr>
      <w:r>
        <w:rPr>
          <w:rFonts w:hint="eastAsia" w:ascii="宋体" w:hAnsi="宋体" w:eastAsia="宋体" w:cs="宋体"/>
          <w:b/>
          <w:sz w:val="21"/>
          <w:szCs w:val="21"/>
        </w:rPr>
        <w:t>2.</w:t>
      </w:r>
      <w:r>
        <w:rPr>
          <w:rFonts w:hint="eastAsia" w:ascii="宋体" w:hAnsi="宋体" w:eastAsia="宋体" w:cs="宋体"/>
          <w:sz w:val="21"/>
          <w:szCs w:val="21"/>
        </w:rPr>
        <w:t xml:space="preserve"> </w:t>
      </w:r>
      <w:r>
        <w:rPr>
          <w:rFonts w:hint="eastAsia" w:ascii="宋体" w:hAnsi="宋体" w:eastAsia="宋体" w:cs="宋体"/>
          <w:b/>
          <w:sz w:val="21"/>
          <w:szCs w:val="21"/>
        </w:rPr>
        <w:t>评标标准：</w:t>
      </w:r>
      <w:r>
        <w:rPr>
          <w:rFonts w:hint="eastAsia" w:ascii="宋体" w:hAnsi="宋体" w:eastAsia="宋体" w:cs="宋体"/>
          <w:kern w:val="0"/>
          <w:sz w:val="21"/>
          <w:szCs w:val="21"/>
        </w:rPr>
        <w:t>见评标办法前附表。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val="0"/>
          <w:sz w:val="21"/>
          <w:szCs w:val="21"/>
        </w:rPr>
      </w:pPr>
      <w:bookmarkStart w:id="568" w:name="_Toc14338"/>
      <w:bookmarkStart w:id="569" w:name="_Toc4466"/>
      <w:bookmarkStart w:id="570" w:name="_Toc10091"/>
      <w:r>
        <w:rPr>
          <w:rFonts w:hint="eastAsia" w:ascii="宋体" w:hAnsi="宋体" w:eastAsia="宋体" w:cs="宋体"/>
          <w:b/>
          <w:bCs w:val="0"/>
          <w:kern w:val="2"/>
          <w:sz w:val="21"/>
          <w:szCs w:val="21"/>
          <w:lang w:val="en-US" w:eastAsia="zh-CN" w:bidi="ar-SA"/>
        </w:rPr>
        <w:t>三、</w:t>
      </w:r>
      <w:r>
        <w:rPr>
          <w:rFonts w:hint="eastAsia" w:ascii="宋体" w:hAnsi="宋体" w:eastAsia="宋体" w:cs="宋体"/>
          <w:b/>
          <w:bCs w:val="0"/>
          <w:sz w:val="21"/>
          <w:szCs w:val="21"/>
        </w:rPr>
        <w:t>评标程序</w:t>
      </w:r>
      <w:bookmarkEnd w:id="568"/>
      <w:bookmarkEnd w:id="569"/>
      <w:bookmarkEnd w:id="570"/>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符合性审查。</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eastAsia" w:ascii="宋体" w:hAnsi="宋体" w:eastAsia="宋体" w:cs="宋体"/>
          <w:b/>
          <w:bCs/>
          <w:kern w:val="0"/>
          <w:sz w:val="21"/>
          <w:szCs w:val="21"/>
        </w:rPr>
      </w:pP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应当对符合资格的</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进行符合性审查，以确定其是否满足</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的实质性要求。</w:t>
      </w:r>
      <w:r>
        <w:rPr>
          <w:rFonts w:hint="eastAsia" w:ascii="宋体" w:hAnsi="宋体" w:eastAsia="宋体" w:cs="宋体"/>
          <w:b/>
          <w:bCs/>
          <w:kern w:val="0"/>
          <w:sz w:val="21"/>
          <w:szCs w:val="21"/>
        </w:rPr>
        <w:t>不满足</w:t>
      </w:r>
      <w:r>
        <w:rPr>
          <w:rFonts w:hint="eastAsia" w:ascii="宋体" w:hAnsi="宋体" w:eastAsia="宋体" w:cs="宋体"/>
          <w:b/>
          <w:bCs/>
          <w:kern w:val="0"/>
          <w:sz w:val="21"/>
          <w:szCs w:val="21"/>
          <w:lang w:eastAsia="zh-CN"/>
        </w:rPr>
        <w:t>磋商文件</w:t>
      </w:r>
      <w:r>
        <w:rPr>
          <w:rFonts w:hint="eastAsia" w:ascii="宋体" w:hAnsi="宋体" w:eastAsia="宋体" w:cs="宋体"/>
          <w:b/>
          <w:bCs/>
          <w:kern w:val="0"/>
          <w:sz w:val="21"/>
          <w:szCs w:val="21"/>
        </w:rPr>
        <w:t>的实质性要求的，投标无效。</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lang w:val="en-US" w:eastAsia="zh-CN"/>
        </w:rPr>
        <w:t>磋商评审</w:t>
      </w:r>
      <w:r>
        <w:rPr>
          <w:rFonts w:hint="eastAsia" w:ascii="宋体" w:hAnsi="宋体" w:eastAsia="宋体" w:cs="宋体"/>
          <w:b/>
          <w:kern w:val="0"/>
          <w:sz w:val="21"/>
          <w:szCs w:val="21"/>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SA"/>
        </w:rPr>
        <w:t>3.2.1</w:t>
      </w:r>
      <w:r>
        <w:rPr>
          <w:rFonts w:hint="eastAsia" w:ascii="宋体" w:hAnsi="宋体" w:eastAsia="宋体" w:cs="宋体"/>
          <w:b w:val="0"/>
          <w:bCs/>
          <w:color w:val="auto"/>
          <w:kern w:val="0"/>
          <w:sz w:val="21"/>
          <w:szCs w:val="21"/>
        </w:rPr>
        <w:t>磋商小组所有成员集中与单一磋商供应商分别进行磋商。磋商的顺序，按供应商解密响应文件时间的先后顺序进行在线磋商。在磋商中，磋商的任何一方不得透露与磋商有关的其他磋商供应商的技术资料、价格和其他信息。</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SA"/>
        </w:rPr>
        <w:t>3.2.2</w:t>
      </w:r>
      <w:r>
        <w:rPr>
          <w:rFonts w:hint="eastAsia" w:ascii="宋体" w:hAnsi="宋体" w:eastAsia="宋体" w:cs="宋体"/>
          <w:b w:val="0"/>
          <w:bCs/>
          <w:color w:val="auto"/>
          <w:kern w:val="0"/>
          <w:sz w:val="21"/>
          <w:szCs w:val="21"/>
        </w:rPr>
        <w:t>在磋商过程中，磋商小组可以根据磋商文件和磋商情况实质性变动采购需求中的技术、服务要求以及合同草案条款。对磋商文件作出的实质性变动是磋商文件的有效组成部分，供应商应当按照磋商文件的变动情况和磋商小组的要求重新提交响应文件，并由其法定代表人或授权代表签字或者加盖电子签章。由授权代表签字的，应当附法定代表人授权书。供应商为自然人的，应当由本人签字并附身份证明。</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SA"/>
        </w:rPr>
        <w:t>3.2.3</w:t>
      </w:r>
      <w:r>
        <w:rPr>
          <w:rFonts w:hint="eastAsia" w:ascii="宋体" w:hAnsi="宋体" w:eastAsia="宋体" w:cs="宋体"/>
          <w:b w:val="0"/>
          <w:bCs/>
          <w:color w:val="auto"/>
          <w:kern w:val="0"/>
          <w:sz w:val="21"/>
          <w:szCs w:val="21"/>
        </w:rPr>
        <w:t>磋商结束后，磋商小组要求所有实质性响应的供应商在规定时间内在线提交最后报价。最后报价是供应商响应文件的有效组成部分。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SA"/>
        </w:rPr>
        <w:t>3.2.4</w:t>
      </w:r>
      <w:r>
        <w:rPr>
          <w:rFonts w:hint="eastAsia" w:ascii="宋体" w:hAnsi="宋体" w:eastAsia="宋体" w:cs="宋体"/>
          <w:b w:val="0"/>
          <w:bCs/>
          <w:color w:val="auto"/>
          <w:kern w:val="0"/>
          <w:sz w:val="21"/>
          <w:szCs w:val="21"/>
        </w:rPr>
        <w:t>如磋商小组一致认为某个磋商供应商的报价明显不合理，有降低服务质量、不能诚信履行及不正当竞争的可能时，磋商小组有权通知磋商供应商限期进行解释。若该磋商供应商未在规定期限内做出解释，或做出的解释不合理并拒绝改变，经磋商小组取得一致意见后，可确定拒绝该报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val="0"/>
          <w:bCs/>
          <w:color w:val="auto"/>
          <w:kern w:val="0"/>
          <w:sz w:val="21"/>
          <w:szCs w:val="21"/>
        </w:rPr>
      </w:pPr>
      <w:r>
        <w:rPr>
          <w:rFonts w:hint="eastAsia" w:ascii="宋体" w:hAnsi="宋体" w:eastAsia="宋体" w:cs="宋体"/>
          <w:b w:val="0"/>
          <w:bCs/>
          <w:color w:val="auto"/>
          <w:kern w:val="0"/>
          <w:sz w:val="21"/>
          <w:szCs w:val="21"/>
          <w:lang w:val="en-US" w:eastAsia="zh-CN" w:bidi="ar-SA"/>
        </w:rPr>
        <w:t>3.2.5</w:t>
      </w:r>
      <w:r>
        <w:rPr>
          <w:rFonts w:hint="eastAsia" w:ascii="宋体" w:hAnsi="宋体" w:eastAsia="宋体" w:cs="宋体"/>
          <w:b w:val="0"/>
          <w:bCs/>
          <w:color w:val="auto"/>
          <w:kern w:val="0"/>
          <w:sz w:val="21"/>
          <w:szCs w:val="21"/>
        </w:rPr>
        <w:t>经磋商确定最终采购需求和提交最后报价的供应商后，由磋商小组采用综合评分法对提交最后报价的供应商的响应文件和最后报价进行综合评分。</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比较与评价。</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应当按照</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中规定的评标方法和标准，对符合性审查合格的</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进行商务和技术评估，综合比较与评价。</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汇总商务技术得分。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各成员应当独立对每个</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的商务和技术文件进行评价，并汇总商务技术得分情况。</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2" w:firstLineChars="200"/>
        <w:jc w:val="both"/>
        <w:textAlignment w:val="auto"/>
        <w:outlineLvl w:val="9"/>
        <w:rPr>
          <w:rFonts w:hint="eastAsia" w:ascii="宋体" w:hAnsi="宋体" w:eastAsia="宋体" w:cs="宋体"/>
          <w:b/>
          <w:kern w:val="0"/>
          <w:sz w:val="21"/>
          <w:szCs w:val="21"/>
        </w:rPr>
      </w:pPr>
      <w:r>
        <w:rPr>
          <w:rFonts w:hint="eastAsia" w:ascii="宋体" w:hAnsi="宋体" w:eastAsia="宋体" w:cs="宋体"/>
          <w:b/>
          <w:kern w:val="0"/>
          <w:sz w:val="21"/>
          <w:szCs w:val="21"/>
        </w:rPr>
        <w:t>报价评审。</w:t>
      </w:r>
    </w:p>
    <w:p>
      <w:pPr>
        <w:pStyle w:val="39"/>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3.5.1</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报价出现前后不一致的，按照下列规定修正：</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3.5.1.1</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中开标一览表(报价表)内容与</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中相应内容不一致的，以开标一览表(报价表)为准</w:t>
      </w:r>
      <w:r>
        <w:rPr>
          <w:rFonts w:hint="eastAsia" w:ascii="宋体" w:hAnsi="宋体" w:eastAsia="宋体" w:cs="宋体"/>
          <w:kern w:val="0"/>
          <w:sz w:val="21"/>
          <w:szCs w:val="21"/>
          <w:lang w:eastAsia="zh-CN"/>
        </w:rPr>
        <w:t>；</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3.5.1.2</w:t>
      </w:r>
      <w:r>
        <w:rPr>
          <w:rFonts w:hint="eastAsia" w:ascii="宋体" w:hAnsi="宋体" w:eastAsia="宋体" w:cs="宋体"/>
          <w:kern w:val="0"/>
          <w:sz w:val="21"/>
          <w:szCs w:val="21"/>
        </w:rPr>
        <w:t>大写金额和小写金额不一致的，以大写金额为准</w:t>
      </w:r>
      <w:r>
        <w:rPr>
          <w:rFonts w:hint="eastAsia" w:ascii="宋体" w:hAnsi="宋体" w:eastAsia="宋体" w:cs="宋体"/>
          <w:kern w:val="0"/>
          <w:sz w:val="21"/>
          <w:szCs w:val="21"/>
          <w:lang w:eastAsia="zh-CN"/>
        </w:rPr>
        <w:t>；</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3.5.1.3</w:t>
      </w:r>
      <w:r>
        <w:rPr>
          <w:rFonts w:hint="eastAsia" w:ascii="宋体" w:hAnsi="宋体" w:eastAsia="宋体" w:cs="宋体"/>
          <w:kern w:val="0"/>
          <w:sz w:val="21"/>
          <w:szCs w:val="21"/>
        </w:rPr>
        <w:t>单价金额小数点或者百分比有明显错位的，以开标一览表的总价为准，并修改单价</w:t>
      </w:r>
      <w:r>
        <w:rPr>
          <w:rFonts w:hint="eastAsia" w:ascii="宋体" w:hAnsi="宋体" w:eastAsia="宋体" w:cs="宋体"/>
          <w:kern w:val="0"/>
          <w:sz w:val="21"/>
          <w:szCs w:val="21"/>
          <w:lang w:eastAsia="zh-CN"/>
        </w:rPr>
        <w:t>；</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rPr>
      </w:pPr>
      <w:r>
        <w:rPr>
          <w:rFonts w:hint="default" w:ascii="宋体" w:hAnsi="宋体" w:eastAsia="宋体" w:cs="宋体"/>
          <w:kern w:val="0"/>
          <w:sz w:val="21"/>
          <w:szCs w:val="21"/>
          <w:lang w:val="en-US" w:eastAsia="zh-CN" w:bidi="ar-SA"/>
        </w:rPr>
        <w:t>3.5.1.4</w:t>
      </w:r>
      <w:r>
        <w:rPr>
          <w:rFonts w:hint="eastAsia" w:ascii="宋体" w:hAnsi="宋体" w:eastAsia="宋体" w:cs="宋体"/>
          <w:kern w:val="0"/>
          <w:sz w:val="21"/>
          <w:szCs w:val="21"/>
        </w:rPr>
        <w:t>总价金额与按单价汇总金额不一致的，以单价金额计算结果为准。</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lang w:eastAsia="zh-CN"/>
        </w:rPr>
      </w:pPr>
      <w:r>
        <w:rPr>
          <w:rFonts w:hint="default" w:ascii="宋体" w:hAnsi="宋体" w:eastAsia="宋体" w:cs="宋体"/>
          <w:kern w:val="0"/>
          <w:sz w:val="21"/>
          <w:szCs w:val="21"/>
          <w:lang w:val="en-US" w:eastAsia="zh-CN" w:bidi="ar-SA"/>
        </w:rPr>
        <w:t>3.5.1.5</w:t>
      </w:r>
      <w:r>
        <w:rPr>
          <w:rFonts w:hint="eastAsia" w:ascii="宋体" w:hAnsi="宋体" w:eastAsia="宋体" w:cs="宋体"/>
          <w:kern w:val="0"/>
          <w:sz w:val="21"/>
          <w:szCs w:val="21"/>
        </w:rPr>
        <w:t>同时出现两种以上不一致的，按照3.</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.1规定的顺序修正。修正后的报价按照财政部第87号令《政府采购货物和服务招标投标管理办法》第五十一条第二款的规定经</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确认后产生约束力。</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3.5.2</w:t>
      </w:r>
      <w:r>
        <w:rPr>
          <w:rFonts w:hint="eastAsia" w:ascii="宋体" w:hAnsi="宋体" w:eastAsia="宋体" w:cs="宋体"/>
          <w:kern w:val="0"/>
          <w:sz w:val="21"/>
          <w:szCs w:val="21"/>
          <w:lang w:eastAsia="zh-CN"/>
        </w:rPr>
        <w:t>磋商响应文件出现不是唯一的、有选择性投标报价的，投标无效。</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3.5.3</w:t>
      </w:r>
      <w:r>
        <w:rPr>
          <w:rFonts w:hint="eastAsia" w:ascii="宋体" w:hAnsi="宋体" w:eastAsia="宋体" w:cs="宋体"/>
          <w:kern w:val="0"/>
          <w:sz w:val="21"/>
          <w:szCs w:val="21"/>
          <w:lang w:eastAsia="zh-CN"/>
        </w:rPr>
        <w:t>投标报价超过磋商文件中规定的预算金额或者最高限价的，投标无效。</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3.5.4</w:t>
      </w:r>
      <w:r>
        <w:rPr>
          <w:rFonts w:hint="eastAsia" w:ascii="宋体" w:hAnsi="宋体" w:eastAsia="宋体" w:cs="宋体"/>
          <w:kern w:val="0"/>
          <w:sz w:val="21"/>
          <w:szCs w:val="21"/>
          <w:lang w:eastAsia="zh-CN"/>
        </w:rPr>
        <w:t>磋商小组认为磋商供应商的报价明显低于其他通过符合性审查磋商供应商的报价，有可能影响产品质量或者不能诚信履约的，应当要求其在合理的时间内提供书面说明，必要时提交相关证明材料</w:t>
      </w:r>
      <w:r>
        <w:rPr>
          <w:rFonts w:hint="eastAsia" w:ascii="宋体" w:hAnsi="宋体" w:cs="宋体"/>
          <w:kern w:val="0"/>
          <w:sz w:val="21"/>
          <w:szCs w:val="21"/>
          <w:lang w:eastAsia="zh-CN"/>
        </w:rPr>
        <w:t>；</w:t>
      </w:r>
      <w:r>
        <w:rPr>
          <w:rFonts w:hint="eastAsia" w:ascii="宋体" w:hAnsi="宋体" w:eastAsia="宋体" w:cs="宋体"/>
          <w:kern w:val="0"/>
          <w:sz w:val="21"/>
          <w:szCs w:val="21"/>
          <w:lang w:eastAsia="zh-CN"/>
        </w:rPr>
        <w:t>磋商供应商不能证明其报价合理性的，磋商小组应当将其作为无效投标处理。</w:t>
      </w:r>
    </w:p>
    <w:p>
      <w:pPr>
        <w:pStyle w:val="39"/>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0" w:line="360" w:lineRule="auto"/>
        <w:ind w:left="0" w:leftChars="0" w:firstLine="420" w:firstLineChars="200"/>
        <w:jc w:val="both"/>
        <w:textAlignment w:val="auto"/>
        <w:outlineLvl w:val="9"/>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3.5.5</w:t>
      </w:r>
      <w:r>
        <w:rPr>
          <w:rFonts w:hint="eastAsia" w:ascii="宋体" w:hAnsi="宋体" w:eastAsia="宋体" w:cs="宋体"/>
          <w:kern w:val="0"/>
          <w:sz w:val="21"/>
          <w:szCs w:val="21"/>
          <w:lang w:eastAsia="zh-CN"/>
        </w:rPr>
        <w:t>对于未预留份额专门面向中小企业的政府采购货物或服务项目，以及预留份额政府采购货物或服务项目中的非预留部分标项，对小型和微型企业的投标报价给予10%</w:t>
      </w:r>
      <w:r>
        <w:rPr>
          <w:rFonts w:hint="eastAsia" w:ascii="宋体" w:hAnsi="宋体" w:eastAsia="宋体" w:cs="宋体"/>
          <w:kern w:val="0"/>
          <w:sz w:val="21"/>
          <w:szCs w:val="21"/>
          <w:lang w:val="en-US" w:eastAsia="zh-CN"/>
        </w:rPr>
        <w:t>-20%</w:t>
      </w:r>
      <w:r>
        <w:rPr>
          <w:rFonts w:hint="eastAsia" w:ascii="宋体" w:hAnsi="宋体" w:eastAsia="宋体" w:cs="宋体"/>
          <w:kern w:val="0"/>
          <w:sz w:val="21"/>
          <w:szCs w:val="21"/>
          <w:lang w:eastAsia="zh-CN"/>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宋体"/>
          <w:kern w:val="0"/>
          <w:sz w:val="21"/>
          <w:szCs w:val="21"/>
          <w:lang w:val="en-US" w:eastAsia="zh-CN"/>
        </w:rPr>
        <w:t>4%-6%</w:t>
      </w:r>
      <w:r>
        <w:rPr>
          <w:rFonts w:hint="eastAsia" w:ascii="宋体" w:hAnsi="宋体" w:eastAsia="宋体" w:cs="宋体"/>
          <w:kern w:val="0"/>
          <w:sz w:val="21"/>
          <w:szCs w:val="21"/>
          <w:lang w:eastAsia="zh-CN"/>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eastAsia" w:ascii="宋体" w:hAnsi="宋体" w:eastAsia="宋体" w:cs="宋体"/>
          <w:kern w:val="0"/>
          <w:sz w:val="21"/>
          <w:szCs w:val="21"/>
          <w:highlight w:val="none"/>
        </w:rPr>
      </w:pPr>
      <w:r>
        <w:rPr>
          <w:rFonts w:hint="eastAsia" w:ascii="宋体" w:hAnsi="宋体" w:eastAsia="宋体" w:cs="宋体"/>
          <w:b/>
          <w:kern w:val="0"/>
          <w:sz w:val="21"/>
          <w:szCs w:val="21"/>
          <w:highlight w:val="none"/>
        </w:rPr>
        <w:t>3.</w:t>
      </w:r>
      <w:r>
        <w:rPr>
          <w:rFonts w:hint="eastAsia" w:ascii="宋体" w:hAnsi="宋体" w:eastAsia="宋体" w:cs="宋体"/>
          <w:b/>
          <w:kern w:val="0"/>
          <w:sz w:val="21"/>
          <w:szCs w:val="21"/>
          <w:highlight w:val="none"/>
          <w:lang w:val="en-US" w:eastAsia="zh-CN"/>
        </w:rPr>
        <w:t xml:space="preserve">6 </w:t>
      </w:r>
      <w:r>
        <w:rPr>
          <w:rFonts w:hint="eastAsia" w:ascii="宋体" w:hAnsi="宋体" w:eastAsia="宋体" w:cs="宋体"/>
          <w:b/>
          <w:kern w:val="0"/>
          <w:sz w:val="21"/>
          <w:szCs w:val="21"/>
          <w:highlight w:val="none"/>
        </w:rPr>
        <w:t>排序与推荐。</w:t>
      </w:r>
      <w:r>
        <w:rPr>
          <w:rFonts w:hint="eastAsia" w:ascii="宋体" w:hAnsi="宋体" w:eastAsia="宋体" w:cs="宋体"/>
          <w:kern w:val="0"/>
          <w:sz w:val="21"/>
          <w:szCs w:val="21"/>
          <w:highlight w:val="none"/>
        </w:rPr>
        <w:t>采用综合评分法的，评标结果按评审后得分由高到低顺序排列。得分相同的，按投标报价由低到高顺序排列。得分且投标报价相同的并列。</w:t>
      </w:r>
      <w:r>
        <w:rPr>
          <w:rFonts w:hint="eastAsia" w:ascii="宋体" w:hAnsi="宋体" w:eastAsia="宋体" w:cs="宋体"/>
          <w:kern w:val="0"/>
          <w:sz w:val="21"/>
          <w:szCs w:val="21"/>
          <w:highlight w:val="none"/>
          <w:lang w:eastAsia="zh-CN"/>
        </w:rPr>
        <w:t>磋商响应文件</w:t>
      </w:r>
      <w:r>
        <w:rPr>
          <w:rFonts w:hint="eastAsia" w:ascii="宋体" w:hAnsi="宋体" w:eastAsia="宋体" w:cs="宋体"/>
          <w:kern w:val="0"/>
          <w:sz w:val="21"/>
          <w:szCs w:val="21"/>
          <w:highlight w:val="none"/>
        </w:rPr>
        <w:t>满足</w:t>
      </w:r>
      <w:r>
        <w:rPr>
          <w:rFonts w:hint="eastAsia" w:ascii="宋体" w:hAnsi="宋体" w:eastAsia="宋体" w:cs="宋体"/>
          <w:kern w:val="0"/>
          <w:sz w:val="21"/>
          <w:szCs w:val="21"/>
          <w:highlight w:val="none"/>
          <w:lang w:eastAsia="zh-CN"/>
        </w:rPr>
        <w:t>磋商文件</w:t>
      </w:r>
      <w:r>
        <w:rPr>
          <w:rFonts w:hint="eastAsia" w:ascii="宋体" w:hAnsi="宋体" w:eastAsia="宋体" w:cs="宋体"/>
          <w:kern w:val="0"/>
          <w:sz w:val="21"/>
          <w:szCs w:val="21"/>
          <w:highlight w:val="none"/>
        </w:rPr>
        <w:t>全部实质性要求，且按照评审因素的量化指标评审得分最高的</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为排名第一的</w:t>
      </w:r>
      <w:r>
        <w:rPr>
          <w:rFonts w:hint="eastAsia" w:ascii="宋体" w:hAnsi="宋体" w:eastAsia="宋体" w:cs="宋体"/>
          <w:kern w:val="0"/>
          <w:sz w:val="21"/>
          <w:szCs w:val="21"/>
          <w:highlight w:val="none"/>
          <w:lang w:eastAsia="zh-CN"/>
        </w:rPr>
        <w:t>成交候选人</w:t>
      </w:r>
      <w:r>
        <w:rPr>
          <w:rFonts w:hint="eastAsia" w:ascii="宋体" w:hAnsi="宋体" w:eastAsia="宋体" w:cs="宋体"/>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多家</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提供相同品牌产品（单一产品采购项目中的该产品或者非单一产品采购项目的核心产品）且通过资格审查、符合性审查的不同</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参加同一合同项下投标的，按一家</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计算，评审后得分最高的同品牌</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获得</w:t>
      </w:r>
      <w:r>
        <w:rPr>
          <w:rFonts w:hint="eastAsia" w:ascii="宋体" w:hAnsi="宋体" w:eastAsia="宋体" w:cs="宋体"/>
          <w:kern w:val="0"/>
          <w:sz w:val="21"/>
          <w:szCs w:val="21"/>
          <w:highlight w:val="none"/>
          <w:lang w:eastAsia="zh-CN"/>
        </w:rPr>
        <w:t>成交供应商</w:t>
      </w:r>
      <w:r>
        <w:rPr>
          <w:rFonts w:hint="eastAsia" w:ascii="宋体" w:hAnsi="宋体" w:eastAsia="宋体" w:cs="宋体"/>
          <w:kern w:val="0"/>
          <w:sz w:val="21"/>
          <w:szCs w:val="21"/>
          <w:highlight w:val="none"/>
        </w:rPr>
        <w:t>推荐资格；评审得分相同的，采取随机抽取方式确定，其他同品牌</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不作为</w:t>
      </w:r>
      <w:r>
        <w:rPr>
          <w:rFonts w:hint="eastAsia" w:ascii="宋体" w:hAnsi="宋体" w:eastAsia="宋体" w:cs="宋体"/>
          <w:kern w:val="0"/>
          <w:sz w:val="21"/>
          <w:szCs w:val="21"/>
          <w:highlight w:val="none"/>
          <w:lang w:eastAsia="zh-CN"/>
        </w:rPr>
        <w:t>成交候选人</w:t>
      </w:r>
      <w:r>
        <w:rPr>
          <w:rFonts w:hint="eastAsia" w:ascii="宋体" w:hAnsi="宋体" w:eastAsia="宋体" w:cs="宋体"/>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jc w:val="both"/>
        <w:textAlignment w:val="auto"/>
        <w:outlineLvl w:val="9"/>
        <w:rPr>
          <w:rFonts w:hint="eastAsia" w:ascii="宋体" w:hAnsi="宋体" w:eastAsia="宋体" w:cs="宋体"/>
          <w:kern w:val="0"/>
          <w:sz w:val="21"/>
          <w:szCs w:val="21"/>
        </w:rPr>
      </w:pPr>
      <w:r>
        <w:rPr>
          <w:rFonts w:hint="eastAsia" w:ascii="宋体" w:hAnsi="宋体" w:eastAsia="宋体" w:cs="宋体"/>
          <w:b/>
          <w:kern w:val="0"/>
          <w:sz w:val="21"/>
          <w:szCs w:val="21"/>
        </w:rPr>
        <w:t>3.</w:t>
      </w:r>
      <w:r>
        <w:rPr>
          <w:rFonts w:hint="eastAsia" w:ascii="宋体" w:hAnsi="宋体" w:eastAsia="宋体" w:cs="宋体"/>
          <w:b/>
          <w:kern w:val="0"/>
          <w:sz w:val="21"/>
          <w:szCs w:val="21"/>
          <w:lang w:val="en-US" w:eastAsia="zh-CN"/>
        </w:rPr>
        <w:t xml:space="preserve">7 </w:t>
      </w:r>
      <w:r>
        <w:rPr>
          <w:rFonts w:hint="eastAsia" w:ascii="宋体" w:hAnsi="宋体" w:eastAsia="宋体" w:cs="宋体"/>
          <w:b/>
          <w:kern w:val="0"/>
          <w:sz w:val="21"/>
          <w:szCs w:val="21"/>
        </w:rPr>
        <w:t>编写评标报告。</w:t>
      </w: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根据全体评标成员签字的原始评标记录和评标结果</w:t>
      </w:r>
      <w:r>
        <w:rPr>
          <w:rFonts w:hint="eastAsia" w:ascii="宋体" w:hAnsi="宋体" w:eastAsia="宋体" w:cs="宋体"/>
          <w:kern w:val="0"/>
          <w:sz w:val="21"/>
          <w:szCs w:val="21"/>
          <w:lang w:eastAsia="zh-CN"/>
        </w:rPr>
        <w:t>，</w:t>
      </w:r>
      <w:r>
        <w:rPr>
          <w:rFonts w:hint="eastAsia" w:ascii="宋体" w:hAnsi="宋体" w:eastAsia="宋体" w:cs="宋体"/>
          <w:b/>
          <w:bCs/>
          <w:kern w:val="0"/>
          <w:sz w:val="21"/>
          <w:szCs w:val="21"/>
          <w:lang w:val="en-US" w:eastAsia="zh-CN"/>
        </w:rPr>
        <w:t>按照评审得分由高到低推荐中标候选供应商，</w:t>
      </w:r>
      <w:r>
        <w:rPr>
          <w:rFonts w:hint="eastAsia" w:ascii="宋体" w:hAnsi="宋体" w:eastAsia="宋体" w:cs="宋体"/>
          <w:kern w:val="0"/>
          <w:sz w:val="21"/>
          <w:szCs w:val="21"/>
          <w:lang w:val="en-US" w:eastAsia="zh-CN"/>
        </w:rPr>
        <w:t>并</w:t>
      </w:r>
      <w:r>
        <w:rPr>
          <w:rFonts w:hint="eastAsia" w:ascii="宋体" w:hAnsi="宋体" w:eastAsia="宋体" w:cs="宋体"/>
          <w:kern w:val="0"/>
          <w:sz w:val="21"/>
          <w:szCs w:val="21"/>
        </w:rPr>
        <w:t>编写评标报告。</w:t>
      </w: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成员对需要共同认定的事项存在争议的，应当按照少数服从多数的原则作出结论。持不同意见的</w:t>
      </w: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成员应当在评标报告上签署不同意见及理由，否则视为同意评标报告。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val="0"/>
          <w:sz w:val="21"/>
          <w:szCs w:val="21"/>
        </w:rPr>
      </w:pPr>
      <w:r>
        <w:rPr>
          <w:rFonts w:hint="eastAsia" w:ascii="宋体" w:hAnsi="宋体" w:eastAsia="宋体" w:cs="宋体"/>
          <w:b/>
          <w:bCs w:val="0"/>
          <w:kern w:val="2"/>
          <w:sz w:val="21"/>
          <w:szCs w:val="21"/>
          <w:lang w:val="en-US" w:eastAsia="zh-CN" w:bidi="ar-SA"/>
        </w:rPr>
        <w:t>四、</w:t>
      </w:r>
      <w:r>
        <w:rPr>
          <w:rFonts w:hint="eastAsia" w:ascii="宋体" w:hAnsi="宋体" w:eastAsia="宋体" w:cs="宋体"/>
          <w:b/>
          <w:bCs w:val="0"/>
          <w:sz w:val="21"/>
          <w:szCs w:val="21"/>
        </w:rPr>
        <w:t>评标中的其他事项</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rPr>
      </w:pPr>
      <w:r>
        <w:rPr>
          <w:rFonts w:hint="default" w:ascii="宋体" w:hAnsi="宋体" w:eastAsia="宋体" w:cs="宋体"/>
          <w:b/>
          <w:kern w:val="0"/>
          <w:sz w:val="21"/>
          <w:szCs w:val="21"/>
          <w:lang w:val="en-US" w:eastAsia="zh-CN" w:bidi="ar-SA"/>
        </w:rPr>
        <w:t>4.1</w:t>
      </w:r>
      <w:r>
        <w:rPr>
          <w:rFonts w:hint="eastAsia" w:ascii="宋体" w:hAnsi="宋体" w:eastAsia="宋体" w:cs="宋体"/>
          <w:b/>
          <w:kern w:val="0"/>
          <w:sz w:val="21"/>
          <w:szCs w:val="21"/>
          <w:lang w:eastAsia="zh-CN"/>
        </w:rPr>
        <w:t>磋商供应商</w:t>
      </w:r>
      <w:r>
        <w:rPr>
          <w:rFonts w:hint="eastAsia" w:ascii="宋体" w:hAnsi="宋体" w:eastAsia="宋体" w:cs="宋体"/>
          <w:b/>
          <w:kern w:val="0"/>
          <w:sz w:val="21"/>
          <w:szCs w:val="21"/>
        </w:rPr>
        <w:t>澄清、说明或者补正。</w:t>
      </w:r>
    </w:p>
    <w:p>
      <w:pPr>
        <w:pStyle w:val="39"/>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SA"/>
        </w:rPr>
        <w:t>4.1.1</w:t>
      </w:r>
      <w:r>
        <w:rPr>
          <w:rFonts w:hint="eastAsia" w:ascii="宋体" w:hAnsi="宋体" w:eastAsia="宋体" w:cs="宋体"/>
          <w:kern w:val="0"/>
          <w:sz w:val="21"/>
          <w:szCs w:val="21"/>
        </w:rPr>
        <w:t>对于</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中含义不明确、同类问题表述不一致或者有明显文字和计算错误的内容需要</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作出必要的澄清、说明或者补正的，</w:t>
      </w:r>
      <w:r>
        <w:rPr>
          <w:rFonts w:hint="eastAsia" w:ascii="宋体" w:hAnsi="宋体" w:eastAsia="宋体" w:cs="宋体"/>
          <w:kern w:val="0"/>
          <w:sz w:val="21"/>
          <w:szCs w:val="21"/>
          <w:lang w:eastAsia="zh-CN"/>
        </w:rPr>
        <w:t>磋商小组</w:t>
      </w:r>
      <w:r>
        <w:rPr>
          <w:rFonts w:hint="eastAsia" w:ascii="宋体" w:hAnsi="宋体" w:eastAsia="宋体" w:cs="宋体"/>
          <w:kern w:val="0"/>
          <w:sz w:val="21"/>
          <w:szCs w:val="21"/>
        </w:rPr>
        <w:t>和</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通过电子交易平台交换数据电文，</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提交使用电子签名的相关数据电文或通过平台上传加盖公章的扫描件。</w:t>
      </w:r>
      <w:r>
        <w:rPr>
          <w:rFonts w:hint="eastAsia" w:ascii="宋体" w:hAnsi="宋体" w:eastAsia="宋体" w:cs="宋体"/>
          <w:kern w:val="0"/>
          <w:sz w:val="21"/>
          <w:szCs w:val="21"/>
          <w:highlight w:val="none"/>
        </w:rPr>
        <w:t>给予</w:t>
      </w:r>
      <w:r>
        <w:rPr>
          <w:rFonts w:hint="eastAsia" w:ascii="宋体" w:hAnsi="宋体" w:eastAsia="宋体" w:cs="宋体"/>
          <w:kern w:val="0"/>
          <w:sz w:val="21"/>
          <w:szCs w:val="21"/>
          <w:highlight w:val="none"/>
          <w:lang w:eastAsia="zh-CN"/>
        </w:rPr>
        <w:t>磋商供应商</w:t>
      </w:r>
      <w:r>
        <w:rPr>
          <w:rFonts w:hint="eastAsia" w:ascii="宋体" w:hAnsi="宋体" w:eastAsia="宋体" w:cs="宋体"/>
          <w:kern w:val="0"/>
          <w:sz w:val="21"/>
          <w:szCs w:val="21"/>
          <w:highlight w:val="none"/>
        </w:rPr>
        <w:t>提交澄清、说明或补正的时间不得少于半小时，</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已经明确表示澄清说明或补正完毕的除外。</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的澄清、说明或者补正不得超出</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的范围或者改变</w:t>
      </w:r>
      <w:r>
        <w:rPr>
          <w:rFonts w:hint="eastAsia" w:ascii="宋体" w:hAnsi="宋体" w:eastAsia="宋体" w:cs="宋体"/>
          <w:kern w:val="0"/>
          <w:sz w:val="21"/>
          <w:szCs w:val="21"/>
          <w:lang w:eastAsia="zh-CN"/>
        </w:rPr>
        <w:t>磋商</w:t>
      </w:r>
      <w:r>
        <w:rPr>
          <w:rFonts w:hint="eastAsia" w:ascii="宋体" w:hAnsi="宋体" w:eastAsia="宋体" w:cs="宋体"/>
          <w:color w:val="auto"/>
          <w:kern w:val="0"/>
          <w:sz w:val="21"/>
          <w:szCs w:val="21"/>
          <w:lang w:eastAsia="zh-CN"/>
        </w:rPr>
        <w:t>响应文件</w:t>
      </w:r>
      <w:r>
        <w:rPr>
          <w:rFonts w:hint="eastAsia" w:ascii="宋体" w:hAnsi="宋体" w:eastAsia="宋体" w:cs="宋体"/>
          <w:color w:val="auto"/>
          <w:kern w:val="0"/>
          <w:sz w:val="21"/>
          <w:szCs w:val="21"/>
        </w:rPr>
        <w:t>的实质性内容。</w:t>
      </w:r>
    </w:p>
    <w:p>
      <w:pPr>
        <w:pStyle w:val="39"/>
        <w:pageBreakBefore w:val="0"/>
        <w:widowControl w:val="0"/>
        <w:numPr>
          <w:ilvl w:val="0"/>
          <w:numId w:val="0"/>
        </w:numPr>
        <w:tabs>
          <w:tab w:val="left" w:pos="0"/>
        </w:tabs>
        <w:kinsoku/>
        <w:wordWrap/>
        <w:overflowPunct/>
        <w:topLinePunct w:val="0"/>
        <w:autoSpaceDE/>
        <w:autoSpaceDN/>
        <w:bidi w:val="0"/>
        <w:adjustRightInd/>
        <w:spacing w:before="0" w:line="360" w:lineRule="auto"/>
        <w:ind w:left="0" w:leftChars="0" w:firstLine="420" w:firstLineChars="200"/>
        <w:jc w:val="both"/>
        <w:textAlignment w:val="auto"/>
        <w:rPr>
          <w:rFonts w:hint="eastAsia" w:ascii="宋体" w:hAnsi="宋体" w:eastAsia="宋体" w:cs="宋体"/>
          <w:color w:val="auto"/>
          <w:kern w:val="0"/>
          <w:sz w:val="21"/>
          <w:szCs w:val="21"/>
          <w:u w:val="wave"/>
        </w:rPr>
      </w:pPr>
      <w:r>
        <w:rPr>
          <w:rFonts w:hint="eastAsia" w:ascii="宋体" w:hAnsi="宋体" w:eastAsia="宋体" w:cs="宋体"/>
          <w:color w:val="auto"/>
          <w:kern w:val="0"/>
          <w:sz w:val="21"/>
          <w:szCs w:val="21"/>
          <w:lang w:val="en-US" w:eastAsia="zh-CN" w:bidi="ar-SA"/>
        </w:rPr>
        <w:t>4.1.2</w:t>
      </w:r>
      <w:r>
        <w:rPr>
          <w:rFonts w:hint="eastAsia" w:ascii="宋体" w:hAnsi="宋体" w:eastAsia="宋体" w:cs="宋体"/>
          <w:color w:val="auto"/>
          <w:kern w:val="0"/>
          <w:sz w:val="21"/>
          <w:szCs w:val="21"/>
          <w:u w:val="wave"/>
        </w:rPr>
        <w:t>磋商小组在详细评审时，发现因磋商供应商原因造成投标报价及其综合单价遗漏工程内容、工程数量、费用或发生算术错误、漏算、冒算、多报费用等，累计投标报价错误绝对值总额（冒算、多报费用不得抵消缺漏费用）占投标报价3%（含3%）以上者，作为重大偏差判定作无效标处理，错误绝对值累计占投标报价3%以内则视为该项费用已分配到其它工程量报价中，评标时对投标报价不作调整。</w:t>
      </w:r>
      <w:r>
        <w:rPr>
          <w:rFonts w:hint="eastAsia" w:ascii="宋体" w:hAnsi="宋体" w:eastAsia="宋体" w:cs="宋体"/>
          <w:color w:val="auto"/>
          <w:kern w:val="0"/>
          <w:sz w:val="21"/>
          <w:szCs w:val="21"/>
          <w:u w:val="wave"/>
        </w:rPr>
        <w:cr/>
      </w:r>
      <w:r>
        <w:rPr>
          <w:rFonts w:hint="eastAsia" w:ascii="宋体" w:hAnsi="宋体" w:eastAsia="宋体" w:cs="宋体"/>
          <w:color w:val="auto"/>
          <w:kern w:val="0"/>
          <w:sz w:val="21"/>
          <w:szCs w:val="21"/>
          <w:u w:val="wave"/>
        </w:rPr>
        <w:t>凡磋商文件要求或工程造价组成应计算的费用而磋商供应商未报，且响应文件中未阐明充分理由并提供足够证据者，均视为缺漏费用。</w:t>
      </w:r>
      <w:r>
        <w:rPr>
          <w:rFonts w:hint="eastAsia" w:ascii="宋体" w:hAnsi="宋体" w:eastAsia="宋体" w:cs="宋体"/>
          <w:color w:val="auto"/>
          <w:kern w:val="0"/>
          <w:sz w:val="21"/>
          <w:szCs w:val="21"/>
          <w:u w:val="wave"/>
        </w:rPr>
        <w:cr/>
      </w:r>
      <w:r>
        <w:rPr>
          <w:rFonts w:hint="eastAsia" w:ascii="宋体" w:hAnsi="宋体" w:eastAsia="宋体" w:cs="宋体"/>
          <w:color w:val="auto"/>
          <w:kern w:val="0"/>
          <w:sz w:val="21"/>
          <w:szCs w:val="21"/>
          <w:u w:val="wave"/>
        </w:rPr>
        <w:t>对工程量清单漏算的造价计算原则是：漏项的工程量×评审范围内有效磋商供应商中该项最高综合单价后计算税金；对工程量变动的造价计算原则是：增加或减少的数量×该项综合单价后计算税金。</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lang w:eastAsia="zh-CN"/>
        </w:rPr>
      </w:pPr>
      <w:r>
        <w:rPr>
          <w:rFonts w:hint="default" w:ascii="宋体" w:hAnsi="宋体" w:eastAsia="宋体" w:cs="宋体"/>
          <w:b/>
          <w:kern w:val="0"/>
          <w:sz w:val="21"/>
          <w:szCs w:val="21"/>
          <w:lang w:val="en-US" w:eastAsia="zh-CN" w:bidi="ar-SA"/>
        </w:rPr>
        <w:t>4.2</w:t>
      </w:r>
      <w:r>
        <w:rPr>
          <w:rFonts w:hint="eastAsia" w:ascii="宋体" w:hAnsi="宋体" w:eastAsia="宋体" w:cs="宋体"/>
          <w:b/>
          <w:kern w:val="0"/>
          <w:sz w:val="21"/>
          <w:szCs w:val="21"/>
          <w:lang w:eastAsia="zh-CN"/>
        </w:rPr>
        <w:t>投标无效。▲有下列情况之一的，投标无效：</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4.2.1</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不具备</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中规定的资格要求的（</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未提供有效的资格文件的，视为</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不具备</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中规定的资格要求）；</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4.2.2</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未按照</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要求签署、盖章的；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4.2.3</w:t>
      </w:r>
      <w:r>
        <w:rPr>
          <w:rFonts w:hint="eastAsia" w:ascii="宋体" w:hAnsi="宋体" w:eastAsia="宋体" w:cs="宋体"/>
          <w:kern w:val="0"/>
          <w:sz w:val="21"/>
          <w:szCs w:val="21"/>
        </w:rPr>
        <w:t>采购人拟采购的产品属于政府强制采购的节能产品品目清单范围的，</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未按</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要求提供国家确定的认证机构出具的、处于有效期之内的节能产品认证证书的；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4.2.4</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含有采购人不能接受的附加条件的；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4.2.5</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中承诺的投标有效期少于</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中载明的投标有效期的；</w:t>
      </w:r>
    </w:p>
    <w:p>
      <w:pPr>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4.2.6</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出现不是唯一的、有选择性投标报价的</w:t>
      </w:r>
      <w:r>
        <w:rPr>
          <w:rFonts w:hint="eastAsia" w:ascii="宋体" w:hAnsi="宋体" w:eastAsia="宋体" w:cs="宋体"/>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4.2.7</w:t>
      </w:r>
      <w:r>
        <w:rPr>
          <w:rFonts w:hint="eastAsia" w:ascii="宋体" w:hAnsi="宋体" w:eastAsia="宋体" w:cs="宋体"/>
          <w:kern w:val="0"/>
          <w:sz w:val="21"/>
          <w:szCs w:val="21"/>
        </w:rPr>
        <w:t>投标报价超过</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中规定的预算金额或者最高限价的</w:t>
      </w:r>
      <w:r>
        <w:rPr>
          <w:rFonts w:hint="eastAsia" w:ascii="宋体" w:hAnsi="宋体" w:eastAsia="宋体" w:cs="宋体"/>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bidi="ar-SA"/>
        </w:rPr>
        <w:t>4.2.8</w:t>
      </w:r>
      <w:r>
        <w:rPr>
          <w:rFonts w:hint="eastAsia" w:ascii="宋体" w:hAnsi="宋体" w:eastAsia="宋体" w:cs="宋体"/>
          <w:kern w:val="0"/>
          <w:sz w:val="21"/>
          <w:szCs w:val="21"/>
        </w:rPr>
        <w:t>报价明显低于其他通过符合性审查</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的报价，有可能影响产品质量或者不能诚信履约的，未能按要求提供书面说明或者提交相关证明材料，不能证明其报价合理性的</w:t>
      </w:r>
      <w:r>
        <w:rPr>
          <w:rFonts w:hint="eastAsia" w:ascii="宋体" w:hAnsi="宋体" w:eastAsia="宋体" w:cs="宋体"/>
          <w:kern w:val="0"/>
          <w:sz w:val="21"/>
          <w:szCs w:val="21"/>
          <w:lang w:eastAsia="zh-CN"/>
        </w:rPr>
        <w:t>；</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4.2.9</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对根据修正原则修正后的报价不确认的；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4.2.10</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提供虚假材料投标的；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4.2.11</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有恶意串通、妨碍其他</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的竞争行为、损害采购人或者其他</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的合法权益情形的；</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bidi="ar-SA"/>
        </w:rPr>
        <w:t>4.2.12</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仅提交备份</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，没有在电子交易平台传输递交</w:t>
      </w:r>
      <w:r>
        <w:rPr>
          <w:rFonts w:hint="eastAsia" w:ascii="宋体" w:hAnsi="宋体" w:eastAsia="宋体" w:cs="宋体"/>
          <w:kern w:val="0"/>
          <w:sz w:val="21"/>
          <w:szCs w:val="21"/>
          <w:lang w:eastAsia="zh-CN"/>
        </w:rPr>
        <w:t>磋商响应文件</w:t>
      </w:r>
      <w:r>
        <w:rPr>
          <w:rFonts w:hint="eastAsia" w:ascii="宋体" w:hAnsi="宋体" w:eastAsia="宋体" w:cs="宋体"/>
          <w:kern w:val="0"/>
          <w:sz w:val="21"/>
          <w:szCs w:val="21"/>
        </w:rPr>
        <w:t>的，投标无效；</w:t>
      </w:r>
    </w:p>
    <w:p>
      <w:pPr>
        <w:pStyle w:val="3"/>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val="0"/>
          <w:bCs w:val="0"/>
          <w:kern w:val="0"/>
          <w:sz w:val="21"/>
          <w:szCs w:val="21"/>
          <w:lang w:val="en-US"/>
        </w:rPr>
      </w:pPr>
      <w:bookmarkStart w:id="571" w:name="_Toc30981"/>
      <w:r>
        <w:rPr>
          <w:rFonts w:hint="eastAsia" w:ascii="宋体" w:hAnsi="宋体" w:eastAsia="宋体" w:cs="宋体"/>
          <w:b w:val="0"/>
          <w:bCs w:val="0"/>
          <w:kern w:val="0"/>
          <w:sz w:val="21"/>
          <w:szCs w:val="21"/>
          <w:lang w:val="en-US" w:eastAsia="zh-CN" w:bidi="ar-SA"/>
        </w:rPr>
        <w:t>4.2.13</w:t>
      </w:r>
      <w:r>
        <w:rPr>
          <w:rFonts w:hint="eastAsia" w:ascii="宋体" w:hAnsi="宋体" w:eastAsia="宋体" w:cs="宋体"/>
          <w:b w:val="0"/>
          <w:bCs w:val="0"/>
          <w:kern w:val="0"/>
          <w:sz w:val="21"/>
          <w:szCs w:val="21"/>
          <w:lang w:val="en-US" w:eastAsia="zh-CN"/>
        </w:rPr>
        <w:t>磋商响应文件</w:t>
      </w:r>
      <w:r>
        <w:rPr>
          <w:rFonts w:hint="eastAsia" w:ascii="宋体" w:hAnsi="宋体" w:eastAsia="宋体" w:cs="宋体"/>
          <w:b w:val="0"/>
          <w:bCs w:val="0"/>
          <w:kern w:val="0"/>
          <w:sz w:val="21"/>
          <w:szCs w:val="21"/>
          <w:lang w:val="en-US"/>
        </w:rPr>
        <w:t>不满足</w:t>
      </w:r>
      <w:r>
        <w:rPr>
          <w:rFonts w:hint="eastAsia" w:ascii="宋体" w:hAnsi="宋体" w:eastAsia="宋体" w:cs="宋体"/>
          <w:b w:val="0"/>
          <w:bCs w:val="0"/>
          <w:kern w:val="0"/>
          <w:sz w:val="21"/>
          <w:szCs w:val="21"/>
          <w:lang w:val="en-US" w:eastAsia="zh-CN"/>
        </w:rPr>
        <w:t>磋商文件</w:t>
      </w:r>
      <w:r>
        <w:rPr>
          <w:rFonts w:hint="eastAsia" w:ascii="宋体" w:hAnsi="宋体" w:eastAsia="宋体" w:cs="宋体"/>
          <w:b w:val="0"/>
          <w:bCs w:val="0"/>
          <w:kern w:val="0"/>
          <w:sz w:val="21"/>
          <w:szCs w:val="21"/>
          <w:lang w:val="en-US"/>
        </w:rPr>
        <w:t>的其它实质性要求的；</w:t>
      </w:r>
      <w:bookmarkEnd w:id="571"/>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4.2.14</w:t>
      </w:r>
      <w:r>
        <w:rPr>
          <w:rFonts w:hint="eastAsia" w:ascii="宋体" w:hAnsi="宋体" w:eastAsia="宋体" w:cs="宋体"/>
          <w:kern w:val="0"/>
          <w:sz w:val="21"/>
          <w:szCs w:val="21"/>
        </w:rPr>
        <w:t>法律、法规、规章（适用本市的）及省级以上规范性文件（适用本市的）规定的其他无效情形。</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lang w:val="en-US" w:eastAsia="zh-CN"/>
        </w:rPr>
      </w:pPr>
      <w:r>
        <w:rPr>
          <w:rFonts w:hint="default" w:ascii="宋体" w:hAnsi="宋体" w:eastAsia="宋体" w:cs="宋体"/>
          <w:b/>
          <w:kern w:val="0"/>
          <w:sz w:val="21"/>
          <w:szCs w:val="21"/>
          <w:lang w:val="en-US" w:eastAsia="zh-CN" w:bidi="ar-SA"/>
        </w:rPr>
        <w:t>4.3</w:t>
      </w:r>
      <w:r>
        <w:rPr>
          <w:rFonts w:hint="eastAsia" w:ascii="宋体" w:hAnsi="宋体" w:eastAsia="宋体" w:cs="宋体"/>
          <w:b/>
          <w:kern w:val="0"/>
          <w:sz w:val="21"/>
          <w:szCs w:val="21"/>
          <w:lang w:eastAsia="zh-CN"/>
        </w:rPr>
        <w:t>▲</w:t>
      </w:r>
      <w:r>
        <w:rPr>
          <w:rFonts w:hint="eastAsia" w:ascii="宋体" w:hAnsi="宋体" w:eastAsia="宋体" w:cs="宋体"/>
          <w:b/>
          <w:kern w:val="0"/>
          <w:sz w:val="21"/>
          <w:szCs w:val="21"/>
          <w:lang w:val="en-US" w:eastAsia="zh-CN"/>
        </w:rPr>
        <w:t>有下列情形之一的，视为磋商供应商串通投标，其投标无效：</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bidi="ar-SA"/>
        </w:rPr>
        <w:t>4.3.1</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的</w:t>
      </w:r>
      <w:r>
        <w:rPr>
          <w:rFonts w:hint="eastAsia" w:ascii="宋体" w:hAnsi="宋体" w:eastAsia="宋体" w:cs="宋体"/>
          <w:kern w:val="0"/>
          <w:sz w:val="21"/>
          <w:szCs w:val="21"/>
          <w:lang w:val="en-US" w:eastAsia="zh-CN"/>
        </w:rPr>
        <w:t>磋商响应文件</w:t>
      </w:r>
      <w:r>
        <w:rPr>
          <w:rFonts w:hint="eastAsia" w:ascii="宋体" w:hAnsi="宋体" w:eastAsia="宋体" w:cs="宋体"/>
          <w:kern w:val="0"/>
          <w:sz w:val="21"/>
          <w:szCs w:val="21"/>
          <w:lang w:val="en-US"/>
        </w:rPr>
        <w:t>由同一单位或者个人编制；</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bidi="ar-SA"/>
        </w:rPr>
        <w:t>4.3.2</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委托同一单位或者个人办理投标事宜；</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bidi="ar-SA"/>
        </w:rPr>
        <w:t>4.3.3</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的</w:t>
      </w:r>
      <w:r>
        <w:rPr>
          <w:rFonts w:hint="eastAsia" w:ascii="宋体" w:hAnsi="宋体" w:eastAsia="宋体" w:cs="宋体"/>
          <w:kern w:val="0"/>
          <w:sz w:val="21"/>
          <w:szCs w:val="21"/>
          <w:lang w:val="en-US" w:eastAsia="zh-CN"/>
        </w:rPr>
        <w:t>磋商响应文件</w:t>
      </w:r>
      <w:r>
        <w:rPr>
          <w:rFonts w:hint="eastAsia" w:ascii="宋体" w:hAnsi="宋体" w:eastAsia="宋体" w:cs="宋体"/>
          <w:kern w:val="0"/>
          <w:sz w:val="21"/>
          <w:szCs w:val="21"/>
          <w:lang w:val="en-US"/>
        </w:rPr>
        <w:t>载明的项目管理成员或者联系人员为同一人；</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bidi="ar-SA"/>
        </w:rPr>
        <w:t>4.3.4</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的</w:t>
      </w:r>
      <w:r>
        <w:rPr>
          <w:rFonts w:hint="eastAsia" w:ascii="宋体" w:hAnsi="宋体" w:eastAsia="宋体" w:cs="宋体"/>
          <w:kern w:val="0"/>
          <w:sz w:val="21"/>
          <w:szCs w:val="21"/>
          <w:lang w:val="en-US" w:eastAsia="zh-CN"/>
        </w:rPr>
        <w:t>磋商响应文件</w:t>
      </w:r>
      <w:r>
        <w:rPr>
          <w:rFonts w:hint="eastAsia" w:ascii="宋体" w:hAnsi="宋体" w:eastAsia="宋体" w:cs="宋体"/>
          <w:kern w:val="0"/>
          <w:sz w:val="21"/>
          <w:szCs w:val="21"/>
          <w:lang w:val="en-US"/>
        </w:rPr>
        <w:t>异常一致或者投标报价呈规律性差异；</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bidi="ar-SA"/>
        </w:rPr>
        <w:t>4.3.5</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的</w:t>
      </w:r>
      <w:r>
        <w:rPr>
          <w:rFonts w:hint="eastAsia" w:ascii="宋体" w:hAnsi="宋体" w:eastAsia="宋体" w:cs="宋体"/>
          <w:kern w:val="0"/>
          <w:sz w:val="21"/>
          <w:szCs w:val="21"/>
          <w:lang w:val="en-US" w:eastAsia="zh-CN"/>
        </w:rPr>
        <w:t>磋商响应文件</w:t>
      </w:r>
      <w:r>
        <w:rPr>
          <w:rFonts w:hint="eastAsia" w:ascii="宋体" w:hAnsi="宋体" w:eastAsia="宋体" w:cs="宋体"/>
          <w:kern w:val="0"/>
          <w:sz w:val="21"/>
          <w:szCs w:val="21"/>
          <w:lang w:val="en-US"/>
        </w:rPr>
        <w:t>相互混装；</w:t>
      </w:r>
    </w:p>
    <w:p>
      <w:pPr>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4.3.6</w:t>
      </w:r>
      <w:r>
        <w:rPr>
          <w:rFonts w:hint="eastAsia" w:ascii="宋体" w:hAnsi="宋体" w:eastAsia="宋体" w:cs="宋体"/>
          <w:kern w:val="0"/>
          <w:sz w:val="21"/>
          <w:szCs w:val="21"/>
          <w:lang w:val="en-US"/>
        </w:rPr>
        <w:t>不同</w:t>
      </w:r>
      <w:r>
        <w:rPr>
          <w:rFonts w:hint="eastAsia" w:ascii="宋体" w:hAnsi="宋体" w:eastAsia="宋体" w:cs="宋体"/>
          <w:kern w:val="0"/>
          <w:sz w:val="21"/>
          <w:szCs w:val="21"/>
          <w:lang w:val="en-US" w:eastAsia="zh-CN"/>
        </w:rPr>
        <w:t>磋商供应商</w:t>
      </w:r>
      <w:r>
        <w:rPr>
          <w:rFonts w:hint="eastAsia" w:ascii="宋体" w:hAnsi="宋体" w:eastAsia="宋体" w:cs="宋体"/>
          <w:kern w:val="0"/>
          <w:sz w:val="21"/>
          <w:szCs w:val="21"/>
          <w:lang w:val="en-US"/>
        </w:rPr>
        <w:t>的投标保证金从同一单位或者个人的账户转出。</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lang w:eastAsia="zh-CN"/>
        </w:rPr>
      </w:pPr>
      <w:r>
        <w:rPr>
          <w:rFonts w:hint="default" w:ascii="宋体" w:hAnsi="宋体" w:eastAsia="宋体" w:cs="宋体"/>
          <w:b/>
          <w:kern w:val="0"/>
          <w:sz w:val="21"/>
          <w:szCs w:val="21"/>
          <w:lang w:val="en-US" w:eastAsia="zh-CN" w:bidi="ar-SA"/>
        </w:rPr>
        <w:t>4.4</w:t>
      </w:r>
      <w:r>
        <w:rPr>
          <w:rFonts w:hint="eastAsia" w:ascii="宋体" w:hAnsi="宋体" w:eastAsia="宋体" w:cs="宋体"/>
          <w:b/>
          <w:kern w:val="0"/>
          <w:sz w:val="21"/>
          <w:szCs w:val="21"/>
          <w:lang w:eastAsia="zh-CN"/>
        </w:rPr>
        <w:t>废标。</w:t>
      </w:r>
      <w:r>
        <w:rPr>
          <w:rFonts w:hint="eastAsia" w:ascii="宋体" w:hAnsi="宋体" w:eastAsia="宋体" w:cs="宋体"/>
          <w:b w:val="0"/>
          <w:bCs/>
          <w:kern w:val="0"/>
          <w:sz w:val="21"/>
          <w:szCs w:val="21"/>
          <w:lang w:eastAsia="zh-CN"/>
        </w:rPr>
        <w:t>根据《中华人民共和国政府采购法》第三十六条之规定，在采购中，出现下列情形之一的，应予废标：</w:t>
      </w:r>
    </w:p>
    <w:p>
      <w:pPr>
        <w:pStyle w:val="10"/>
        <w:snapToGrid w:val="0"/>
        <w:spacing w:line="360" w:lineRule="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4.4.1</w:t>
      </w:r>
      <w:r>
        <w:rPr>
          <w:rFonts w:hint="eastAsia" w:ascii="宋体" w:hAnsi="宋体" w:eastAsia="宋体" w:cs="宋体"/>
          <w:sz w:val="21"/>
          <w:szCs w:val="21"/>
        </w:rPr>
        <w:t>符合</w:t>
      </w:r>
      <w:r>
        <w:rPr>
          <w:rFonts w:hint="eastAsia" w:ascii="宋体" w:hAnsi="宋体" w:eastAsia="宋体" w:cs="宋体"/>
          <w:sz w:val="21"/>
          <w:szCs w:val="21"/>
          <w:highlight w:val="none"/>
        </w:rPr>
        <w:t>专业</w:t>
      </w:r>
      <w:r>
        <w:rPr>
          <w:rFonts w:hint="eastAsia" w:ascii="宋体" w:hAnsi="宋体" w:eastAsia="宋体" w:cs="宋体"/>
          <w:sz w:val="21"/>
          <w:szCs w:val="21"/>
        </w:rPr>
        <w:t>条件的供应商或者对</w:t>
      </w:r>
      <w:r>
        <w:rPr>
          <w:rFonts w:hint="eastAsia" w:ascii="宋体" w:hAnsi="宋体" w:eastAsia="宋体" w:cs="宋体"/>
          <w:sz w:val="21"/>
          <w:szCs w:val="21"/>
          <w:lang w:eastAsia="zh-CN"/>
        </w:rPr>
        <w:t>磋商文件</w:t>
      </w:r>
      <w:r>
        <w:rPr>
          <w:rFonts w:hint="eastAsia" w:ascii="宋体" w:hAnsi="宋体" w:eastAsia="宋体" w:cs="宋体"/>
          <w:sz w:val="21"/>
          <w:szCs w:val="21"/>
        </w:rPr>
        <w:t>作实质响应的供应商不足3家的；</w:t>
      </w:r>
      <w:r>
        <w:rPr>
          <w:rFonts w:hint="eastAsia" w:ascii="宋体" w:hAnsi="宋体" w:eastAsia="宋体" w:cs="宋体"/>
          <w:color w:val="auto"/>
          <w:sz w:val="21"/>
          <w:szCs w:val="21"/>
          <w:highlight w:val="none"/>
        </w:rPr>
        <w:t>如符合《财政部关于政府采购竞争性磋商采购方式管理暂行办法有关问题的补充通知》财库(2015)124号中规定情形的，本条可不执行。</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4.4.2</w:t>
      </w:r>
      <w:r>
        <w:rPr>
          <w:rFonts w:hint="eastAsia" w:ascii="宋体" w:hAnsi="宋体" w:eastAsia="宋体" w:cs="宋体"/>
          <w:sz w:val="21"/>
          <w:szCs w:val="21"/>
        </w:rPr>
        <w:t>出现影响采购公正的违法、违规行为的；</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4.4.3</w:t>
      </w:r>
      <w:r>
        <w:rPr>
          <w:rFonts w:hint="eastAsia" w:ascii="宋体" w:hAnsi="宋体" w:eastAsia="宋体" w:cs="宋体"/>
          <w:sz w:val="21"/>
          <w:szCs w:val="21"/>
          <w:lang w:eastAsia="zh-CN"/>
        </w:rPr>
        <w:t>磋商供应商</w:t>
      </w:r>
      <w:r>
        <w:rPr>
          <w:rFonts w:hint="eastAsia" w:ascii="宋体" w:hAnsi="宋体" w:eastAsia="宋体" w:cs="宋体"/>
          <w:sz w:val="21"/>
          <w:szCs w:val="21"/>
        </w:rPr>
        <w:t>的报价均超过了采购预算，采购人不能支付的；</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4.4.4</w:t>
      </w:r>
      <w:r>
        <w:rPr>
          <w:rFonts w:hint="eastAsia" w:ascii="宋体" w:hAnsi="宋体" w:eastAsia="宋体" w:cs="宋体"/>
          <w:sz w:val="21"/>
          <w:szCs w:val="21"/>
        </w:rPr>
        <w:t>因重大变故，采购任务取消的。</w:t>
      </w:r>
    </w:p>
    <w:p>
      <w:pPr>
        <w:pStyle w:val="10"/>
        <w:pageBreakBefore w:val="0"/>
        <w:widowControl w:val="0"/>
        <w:kinsoku/>
        <w:wordWrap/>
        <w:overflowPunct/>
        <w:topLinePunct w:val="0"/>
        <w:autoSpaceDE/>
        <w:autoSpaceDN/>
        <w:bidi w:val="0"/>
        <w:adjustRightInd/>
        <w:snapToGri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废标后，</w:t>
      </w:r>
      <w:r>
        <w:rPr>
          <w:rFonts w:hint="eastAsia" w:ascii="宋体" w:hAnsi="宋体" w:eastAsia="宋体" w:cs="宋体"/>
          <w:sz w:val="21"/>
          <w:szCs w:val="21"/>
          <w:lang w:eastAsia="zh-CN"/>
        </w:rPr>
        <w:t>采购代理机构</w:t>
      </w:r>
      <w:r>
        <w:rPr>
          <w:rFonts w:hint="eastAsia" w:ascii="宋体" w:hAnsi="宋体" w:eastAsia="宋体" w:cs="宋体"/>
          <w:sz w:val="21"/>
          <w:szCs w:val="21"/>
        </w:rPr>
        <w:t>应当将废标理由通知所有</w:t>
      </w:r>
      <w:r>
        <w:rPr>
          <w:rFonts w:hint="eastAsia" w:ascii="宋体" w:hAnsi="宋体" w:eastAsia="宋体" w:cs="宋体"/>
          <w:sz w:val="21"/>
          <w:szCs w:val="21"/>
          <w:lang w:eastAsia="zh-CN"/>
        </w:rPr>
        <w:t>磋商供应商</w:t>
      </w:r>
      <w:r>
        <w:rPr>
          <w:rFonts w:hint="eastAsia" w:ascii="宋体" w:hAnsi="宋体" w:eastAsia="宋体" w:cs="宋体"/>
          <w:sz w:val="21"/>
          <w:szCs w:val="21"/>
        </w:rPr>
        <w:t>。</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lang w:eastAsia="zh-CN"/>
        </w:rPr>
      </w:pPr>
      <w:r>
        <w:rPr>
          <w:rFonts w:hint="default" w:ascii="宋体" w:hAnsi="宋体" w:eastAsia="宋体" w:cs="宋体"/>
          <w:b/>
          <w:kern w:val="0"/>
          <w:sz w:val="21"/>
          <w:szCs w:val="21"/>
          <w:lang w:val="en-US" w:eastAsia="zh-CN" w:bidi="ar-SA"/>
        </w:rPr>
        <w:t>4.5</w:t>
      </w:r>
      <w:r>
        <w:rPr>
          <w:rFonts w:hint="eastAsia" w:ascii="宋体" w:hAnsi="宋体" w:eastAsia="宋体" w:cs="宋体"/>
          <w:b/>
          <w:kern w:val="0"/>
          <w:sz w:val="21"/>
          <w:szCs w:val="21"/>
          <w:lang w:eastAsia="zh-CN"/>
        </w:rPr>
        <w:t>修改磋商文件，重新组织采购活动。</w:t>
      </w:r>
      <w:r>
        <w:rPr>
          <w:rFonts w:hint="eastAsia" w:ascii="宋体" w:hAnsi="宋体" w:eastAsia="宋体" w:cs="宋体"/>
          <w:b w:val="0"/>
          <w:bCs/>
          <w:kern w:val="0"/>
          <w:sz w:val="21"/>
          <w:szCs w:val="21"/>
          <w:lang w:eastAsia="zh-CN"/>
        </w:rPr>
        <w:t>磋商小组发现磋商文件存在歧义、重大缺陷导致评标工作无法进行，或者磋商文件内容违反国家有关强制性规定的，将停止评标工作，并与采购人、采购代理机构沟通并作书面记录。采购人、采购代理机构确认后，将修改磋商文件，重新组织采购活动。</w:t>
      </w:r>
    </w:p>
    <w:p>
      <w:pPr>
        <w:pStyle w:val="39"/>
        <w:pageBreakBefore w:val="0"/>
        <w:widowControl w:val="0"/>
        <w:numPr>
          <w:ilvl w:val="0"/>
          <w:numId w:val="0"/>
        </w:numPr>
        <w:kinsoku/>
        <w:wordWrap/>
        <w:overflowPunct/>
        <w:topLinePunct w:val="0"/>
        <w:autoSpaceDE/>
        <w:autoSpaceDN/>
        <w:bidi w:val="0"/>
        <w:adjustRightInd/>
        <w:spacing w:before="0" w:line="360" w:lineRule="auto"/>
        <w:ind w:left="0" w:leftChars="0" w:firstLine="422" w:firstLineChars="200"/>
        <w:jc w:val="both"/>
        <w:textAlignment w:val="auto"/>
        <w:rPr>
          <w:rFonts w:hint="eastAsia" w:ascii="宋体" w:hAnsi="宋体" w:eastAsia="宋体" w:cs="宋体"/>
          <w:b/>
          <w:kern w:val="0"/>
          <w:sz w:val="21"/>
          <w:szCs w:val="21"/>
          <w:lang w:eastAsia="zh-CN"/>
        </w:rPr>
      </w:pPr>
      <w:r>
        <w:rPr>
          <w:rFonts w:hint="default" w:ascii="宋体" w:hAnsi="宋体" w:eastAsia="宋体" w:cs="宋体"/>
          <w:b/>
          <w:kern w:val="0"/>
          <w:sz w:val="21"/>
          <w:szCs w:val="21"/>
          <w:lang w:val="en-US" w:eastAsia="zh-CN" w:bidi="ar-SA"/>
        </w:rPr>
        <w:t>4.6</w:t>
      </w:r>
      <w:r>
        <w:rPr>
          <w:rFonts w:hint="eastAsia" w:ascii="宋体" w:hAnsi="宋体" w:eastAsia="宋体" w:cs="宋体"/>
          <w:b/>
          <w:kern w:val="0"/>
          <w:sz w:val="21"/>
          <w:szCs w:val="21"/>
          <w:lang w:eastAsia="zh-CN"/>
        </w:rPr>
        <w:t>重新开展采购。</w:t>
      </w:r>
      <w:r>
        <w:rPr>
          <w:rFonts w:hint="eastAsia" w:ascii="宋体" w:hAnsi="宋体" w:eastAsia="宋体" w:cs="宋体"/>
          <w:b w:val="0"/>
          <w:bCs/>
          <w:kern w:val="0"/>
          <w:sz w:val="21"/>
          <w:szCs w:val="21"/>
          <w:lang w:eastAsia="zh-CN"/>
        </w:rPr>
        <w:t>有政府采购法第七十一条、第七十二条规定的违法行为之一，影响或者可能影响中标、成交结果的，依照下列规定处理：</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4.6.1</w:t>
      </w:r>
      <w:r>
        <w:rPr>
          <w:rFonts w:hint="eastAsia" w:ascii="宋体" w:hAnsi="宋体" w:eastAsia="宋体" w:cs="宋体"/>
          <w:sz w:val="21"/>
          <w:szCs w:val="21"/>
        </w:rPr>
        <w:t>未确定中标或者</w:t>
      </w:r>
      <w:r>
        <w:rPr>
          <w:rFonts w:hint="eastAsia" w:ascii="宋体" w:hAnsi="宋体" w:eastAsia="宋体" w:cs="宋体"/>
          <w:sz w:val="21"/>
          <w:szCs w:val="21"/>
          <w:lang w:eastAsia="zh-CN"/>
        </w:rPr>
        <w:t>成交供应商</w:t>
      </w:r>
      <w:r>
        <w:rPr>
          <w:rFonts w:hint="eastAsia" w:ascii="宋体" w:hAnsi="宋体" w:eastAsia="宋体" w:cs="宋体"/>
          <w:sz w:val="21"/>
          <w:szCs w:val="21"/>
        </w:rPr>
        <w:t>的，终止本次政府采购活动，重新开展政府采购活动。</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4.6.2</w:t>
      </w:r>
      <w:r>
        <w:rPr>
          <w:rFonts w:hint="eastAsia" w:ascii="宋体" w:hAnsi="宋体" w:eastAsia="宋体" w:cs="宋体"/>
          <w:sz w:val="21"/>
          <w:szCs w:val="21"/>
        </w:rPr>
        <w:t>已确定中标或者</w:t>
      </w:r>
      <w:r>
        <w:rPr>
          <w:rFonts w:hint="eastAsia" w:ascii="宋体" w:hAnsi="宋体" w:eastAsia="宋体" w:cs="宋体"/>
          <w:sz w:val="21"/>
          <w:szCs w:val="21"/>
          <w:lang w:eastAsia="zh-CN"/>
        </w:rPr>
        <w:t>成交供应商</w:t>
      </w:r>
      <w:r>
        <w:rPr>
          <w:rFonts w:hint="eastAsia" w:ascii="宋体" w:hAnsi="宋体" w:eastAsia="宋体" w:cs="宋体"/>
          <w:sz w:val="21"/>
          <w:szCs w:val="21"/>
        </w:rPr>
        <w:t>但尚未签订政府采购合同的，中标或者成交结果无效，从合格的中标或者成交候选人中另行确定中标或者</w:t>
      </w:r>
      <w:r>
        <w:rPr>
          <w:rFonts w:hint="eastAsia" w:ascii="宋体" w:hAnsi="宋体" w:eastAsia="宋体" w:cs="宋体"/>
          <w:sz w:val="21"/>
          <w:szCs w:val="21"/>
          <w:lang w:eastAsia="zh-CN"/>
        </w:rPr>
        <w:t>成交供应商</w:t>
      </w:r>
      <w:r>
        <w:rPr>
          <w:rFonts w:hint="eastAsia" w:ascii="宋体" w:hAnsi="宋体" w:eastAsia="宋体" w:cs="宋体"/>
          <w:sz w:val="21"/>
          <w:szCs w:val="21"/>
        </w:rPr>
        <w:t>；没有合格的中标或者成交候选人的，重新开展政府采购活动。</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4.6.3</w:t>
      </w:r>
      <w:r>
        <w:rPr>
          <w:rFonts w:hint="eastAsia" w:ascii="宋体" w:hAnsi="宋体" w:eastAsia="宋体" w:cs="宋体"/>
          <w:sz w:val="21"/>
          <w:szCs w:val="21"/>
        </w:rPr>
        <w:t>政府采购合同已签订但尚未履行的，撤销合同，从合格的中标或者成交候选人中另行确定中标或者</w:t>
      </w:r>
      <w:r>
        <w:rPr>
          <w:rFonts w:hint="eastAsia" w:ascii="宋体" w:hAnsi="宋体" w:eastAsia="宋体" w:cs="宋体"/>
          <w:sz w:val="21"/>
          <w:szCs w:val="21"/>
          <w:lang w:eastAsia="zh-CN"/>
        </w:rPr>
        <w:t>成交供应商</w:t>
      </w:r>
      <w:r>
        <w:rPr>
          <w:rFonts w:hint="eastAsia" w:ascii="宋体" w:hAnsi="宋体" w:eastAsia="宋体" w:cs="宋体"/>
          <w:sz w:val="21"/>
          <w:szCs w:val="21"/>
        </w:rPr>
        <w:t>；没有合格的中标或者成交候选人的，重新开展政府采购活动。</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4.6.4</w:t>
      </w:r>
      <w:r>
        <w:rPr>
          <w:rFonts w:hint="eastAsia" w:ascii="宋体" w:hAnsi="宋体" w:eastAsia="宋体" w:cs="宋体"/>
          <w:sz w:val="21"/>
          <w:szCs w:val="21"/>
        </w:rPr>
        <w:t>政府采购合同已经履行，给采购人、供应商造成损失的，由责任人承担赔偿责任。</w:t>
      </w:r>
    </w:p>
    <w:p>
      <w:pPr>
        <w:pStyle w:val="1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4.6.5</w:t>
      </w:r>
      <w:r>
        <w:rPr>
          <w:rFonts w:hint="eastAsia" w:ascii="宋体" w:hAnsi="宋体" w:eastAsia="宋体" w:cs="宋体"/>
          <w:sz w:val="21"/>
          <w:szCs w:val="21"/>
        </w:rPr>
        <w:t>政府采购当事人有其他违反政府采购法</w:t>
      </w:r>
      <w:r>
        <w:rPr>
          <w:rFonts w:hint="eastAsia" w:ascii="宋体" w:hAnsi="宋体" w:eastAsia="宋体" w:cs="宋体"/>
          <w:kern w:val="0"/>
          <w:sz w:val="21"/>
          <w:szCs w:val="21"/>
        </w:rPr>
        <w:t>或者政府采购法实施条例等法律法规规定</w:t>
      </w:r>
      <w:r>
        <w:rPr>
          <w:rFonts w:hint="eastAsia" w:ascii="宋体" w:hAnsi="宋体" w:eastAsia="宋体" w:cs="宋体"/>
          <w:sz w:val="21"/>
          <w:szCs w:val="21"/>
        </w:rPr>
        <w:t>的行为，经改正后仍然影响或者可能影响中标、成交结果或者依法被认定为中标、成交无效的，依照</w:t>
      </w:r>
      <w:r>
        <w:rPr>
          <w:rFonts w:hint="eastAsia" w:ascii="宋体" w:hAnsi="宋体" w:eastAsia="宋体" w:cs="宋体"/>
          <w:sz w:val="21"/>
          <w:szCs w:val="21"/>
          <w:lang w:val="en-US" w:eastAsia="zh-CN"/>
        </w:rPr>
        <w:t>4.6.</w:t>
      </w:r>
      <w:r>
        <w:rPr>
          <w:rFonts w:hint="eastAsia" w:ascii="宋体" w:hAnsi="宋体" w:eastAsia="宋体" w:cs="宋体"/>
          <w:sz w:val="21"/>
          <w:szCs w:val="21"/>
        </w:rPr>
        <w:t>1-</w:t>
      </w:r>
      <w:r>
        <w:rPr>
          <w:rFonts w:hint="eastAsia" w:ascii="宋体" w:hAnsi="宋体" w:eastAsia="宋体" w:cs="宋体"/>
          <w:sz w:val="21"/>
          <w:szCs w:val="21"/>
          <w:lang w:val="en-US" w:eastAsia="zh-CN"/>
        </w:rPr>
        <w:t>4.6.</w:t>
      </w:r>
      <w:r>
        <w:rPr>
          <w:rFonts w:hint="eastAsia" w:ascii="宋体" w:hAnsi="宋体" w:eastAsia="宋体" w:cs="宋体"/>
          <w:sz w:val="21"/>
          <w:szCs w:val="21"/>
        </w:rPr>
        <w:t>4规定处理。</w:t>
      </w:r>
    </w:p>
    <w:bookmarkEnd w:id="33"/>
    <w:p>
      <w:pPr>
        <w:spacing w:line="360" w:lineRule="auto"/>
        <w:ind w:left="720" w:leftChars="343" w:firstLine="1084" w:firstLineChars="300"/>
        <w:outlineLvl w:val="0"/>
        <w:rPr>
          <w:rFonts w:hint="eastAsia" w:ascii="宋体" w:hAnsi="宋体" w:eastAsia="宋体" w:cs="宋体"/>
          <w:b/>
          <w:sz w:val="36"/>
          <w:szCs w:val="36"/>
        </w:rPr>
      </w:pPr>
      <w:bookmarkStart w:id="572" w:name="第五部分"/>
      <w:bookmarkStart w:id="573" w:name="_Toc86217003"/>
    </w:p>
    <w:p>
      <w:pPr>
        <w:pStyle w:val="21"/>
        <w:rPr>
          <w:rFonts w:hint="eastAsia" w:ascii="宋体" w:hAnsi="宋体" w:eastAsia="宋体" w:cs="宋体"/>
          <w:b/>
          <w:sz w:val="36"/>
          <w:szCs w:val="36"/>
        </w:rPr>
      </w:pPr>
    </w:p>
    <w:p>
      <w:pPr>
        <w:pStyle w:val="17"/>
        <w:rPr>
          <w:rFonts w:hint="eastAsia" w:ascii="宋体" w:hAnsi="宋体" w:eastAsia="宋体" w:cs="宋体"/>
          <w:b/>
          <w:sz w:val="36"/>
          <w:szCs w:val="36"/>
        </w:rPr>
      </w:pPr>
    </w:p>
    <w:p>
      <w:pPr>
        <w:rPr>
          <w:rFonts w:hint="eastAsia" w:ascii="宋体" w:hAnsi="宋体" w:eastAsia="宋体" w:cs="宋体"/>
          <w:b/>
          <w:sz w:val="36"/>
          <w:szCs w:val="36"/>
        </w:rPr>
      </w:pPr>
    </w:p>
    <w:p>
      <w:pPr>
        <w:pStyle w:val="21"/>
        <w:rPr>
          <w:rFonts w:hint="eastAsia" w:ascii="宋体" w:hAnsi="宋体" w:eastAsia="宋体" w:cs="宋体"/>
          <w:b/>
          <w:sz w:val="36"/>
          <w:szCs w:val="36"/>
        </w:rPr>
      </w:pPr>
    </w:p>
    <w:p>
      <w:pPr>
        <w:pStyle w:val="17"/>
        <w:rPr>
          <w:rFonts w:hint="eastAsia" w:ascii="宋体" w:hAnsi="宋体" w:eastAsia="宋体" w:cs="宋体"/>
          <w:b/>
          <w:sz w:val="36"/>
          <w:szCs w:val="36"/>
        </w:rPr>
      </w:pPr>
    </w:p>
    <w:p>
      <w:pPr>
        <w:rPr>
          <w:rFonts w:hint="eastAsia" w:ascii="宋体" w:hAnsi="宋体" w:eastAsia="宋体" w:cs="宋体"/>
          <w:b/>
          <w:sz w:val="36"/>
          <w:szCs w:val="36"/>
        </w:rPr>
      </w:pPr>
    </w:p>
    <w:p>
      <w:pPr>
        <w:pStyle w:val="21"/>
        <w:rPr>
          <w:rFonts w:hint="eastAsia"/>
        </w:rPr>
      </w:pPr>
    </w:p>
    <w:p>
      <w:pPr>
        <w:pStyle w:val="21"/>
        <w:rPr>
          <w:rFonts w:hint="eastAsia" w:ascii="宋体" w:hAnsi="宋体" w:eastAsia="宋体" w:cs="宋体"/>
          <w:b/>
          <w:sz w:val="36"/>
          <w:szCs w:val="36"/>
        </w:rPr>
      </w:pPr>
    </w:p>
    <w:p>
      <w:pPr>
        <w:pStyle w:val="17"/>
        <w:rPr>
          <w:rFonts w:hint="eastAsia"/>
        </w:rPr>
      </w:pPr>
    </w:p>
    <w:p>
      <w:pPr>
        <w:spacing w:line="360" w:lineRule="auto"/>
        <w:jc w:val="center"/>
        <w:outlineLvl w:val="0"/>
        <w:rPr>
          <w:rFonts w:hint="eastAsia" w:ascii="宋体" w:hAnsi="宋体" w:eastAsia="宋体" w:cs="宋体"/>
          <w:b/>
          <w:sz w:val="36"/>
          <w:szCs w:val="36"/>
        </w:rPr>
      </w:pPr>
      <w:bookmarkStart w:id="574" w:name="_Toc9891"/>
      <w:bookmarkStart w:id="575" w:name="_Toc20837"/>
      <w:r>
        <w:rPr>
          <w:rFonts w:hint="eastAsia" w:ascii="宋体" w:hAnsi="宋体" w:eastAsia="宋体" w:cs="宋体"/>
          <w:b/>
          <w:sz w:val="36"/>
          <w:szCs w:val="36"/>
        </w:rPr>
        <w:br w:type="page"/>
      </w:r>
      <w:r>
        <w:rPr>
          <w:rFonts w:hint="eastAsia" w:ascii="宋体" w:hAnsi="宋体" w:eastAsia="宋体" w:cs="宋体"/>
          <w:b/>
          <w:sz w:val="36"/>
          <w:szCs w:val="36"/>
        </w:rPr>
        <w:t>第五部分 拟签订的合同文本</w:t>
      </w:r>
      <w:bookmarkEnd w:id="574"/>
      <w:bookmarkEnd w:id="575"/>
    </w:p>
    <w:p>
      <w:pPr>
        <w:pStyle w:val="3"/>
        <w:spacing w:before="72" w:after="72"/>
        <w:jc w:val="center"/>
        <w:rPr>
          <w:rFonts w:hint="eastAsia" w:ascii="宋体" w:hAnsi="宋体" w:eastAsia="宋体" w:cs="宋体"/>
          <w:color w:val="auto"/>
          <w:sz w:val="24"/>
          <w:szCs w:val="24"/>
        </w:rPr>
      </w:pPr>
      <w:bookmarkStart w:id="576" w:name="_Toc421260787"/>
      <w:bookmarkStart w:id="577" w:name="_Toc519510645"/>
      <w:bookmarkStart w:id="578" w:name="_Toc514329390"/>
      <w:r>
        <w:rPr>
          <w:rFonts w:hint="eastAsia" w:ascii="宋体" w:hAnsi="宋体" w:eastAsia="宋体" w:cs="宋体"/>
          <w:color w:val="auto"/>
          <w:sz w:val="24"/>
          <w:szCs w:val="24"/>
        </w:rPr>
        <w:t>使用202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版《浙江省水利水电工程施工招标文件示范文本》第4章</w:t>
      </w:r>
    </w:p>
    <w:bookmarkEnd w:id="576"/>
    <w:bookmarkEnd w:id="577"/>
    <w:bookmarkEnd w:id="578"/>
    <w:p>
      <w:pPr>
        <w:spacing w:line="360" w:lineRule="auto"/>
        <w:jc w:val="center"/>
        <w:rPr>
          <w:rFonts w:hint="eastAsia" w:ascii="宋体" w:hAnsi="宋体" w:cs="宋体"/>
          <w:color w:val="auto"/>
          <w:sz w:val="24"/>
          <w:szCs w:val="24"/>
        </w:rPr>
      </w:pPr>
      <w:r>
        <w:rPr>
          <w:rFonts w:hint="eastAsia" w:ascii="宋体" w:hAnsi="宋体" w:cs="宋体"/>
          <w:color w:val="auto"/>
          <w:sz w:val="24"/>
          <w:szCs w:val="24"/>
        </w:rPr>
        <w:t xml:space="preserve">   </w:t>
      </w:r>
      <w:bookmarkStart w:id="579" w:name="_Toc379980789"/>
      <w:bookmarkStart w:id="580" w:name="_Toc1130955"/>
      <w:bookmarkStart w:id="581" w:name="_Toc379721035"/>
      <w:bookmarkStart w:id="582" w:name="_Toc17493"/>
      <w:bookmarkStart w:id="583" w:name="_Toc885476"/>
      <w:bookmarkStart w:id="584" w:name="_Toc522549743"/>
    </w:p>
    <w:p>
      <w:pPr>
        <w:pStyle w:val="3"/>
        <w:jc w:val="center"/>
      </w:pPr>
      <w:r>
        <w:rPr>
          <w:rFonts w:hint="eastAsia" w:ascii="宋体" w:hAnsi="宋体" w:cs="宋体"/>
          <w:color w:val="auto"/>
          <w:sz w:val="24"/>
          <w:szCs w:val="24"/>
        </w:rPr>
        <w:br w:type="page"/>
      </w:r>
      <w:bookmarkEnd w:id="579"/>
      <w:bookmarkEnd w:id="580"/>
      <w:bookmarkEnd w:id="581"/>
      <w:bookmarkEnd w:id="582"/>
      <w:bookmarkEnd w:id="583"/>
      <w:bookmarkEnd w:id="584"/>
      <w:bookmarkStart w:id="585" w:name="_Toc53158953"/>
      <w:bookmarkStart w:id="586" w:name="_Toc2414"/>
      <w:bookmarkStart w:id="587" w:name="_Toc53158885"/>
      <w:bookmarkStart w:id="588" w:name="_Toc74142175"/>
      <w:r>
        <w:rPr>
          <w:rFonts w:hint="eastAsia"/>
        </w:rPr>
        <w:t>第一节合同协议书</w:t>
      </w:r>
      <w:bookmarkEnd w:id="585"/>
      <w:bookmarkEnd w:id="586"/>
      <w:bookmarkEnd w:id="587"/>
      <w:bookmarkEnd w:id="588"/>
    </w:p>
    <w:p>
      <w:pPr>
        <w:keepNext w:val="0"/>
        <w:keepLines w:val="0"/>
        <w:pageBreakBefore w:val="0"/>
        <w:widowControl w:val="0"/>
        <w:kinsoku/>
        <w:wordWrap/>
        <w:overflowPunct/>
        <w:topLinePunct w:val="0"/>
        <w:autoSpaceDE/>
        <w:autoSpaceDN/>
        <w:bidi w:val="0"/>
        <w:adjustRightInd w:val="0"/>
        <w:snapToGrid/>
        <w:spacing w:line="360" w:lineRule="auto"/>
        <w:ind w:left="0" w:firstLine="735" w:firstLineChars="350"/>
        <w:textAlignment w:val="auto"/>
        <w:rPr>
          <w:rFonts w:hint="eastAsia" w:ascii="宋体" w:hAnsi="宋体" w:eastAsia="宋体" w:cs="宋体"/>
          <w:szCs w:val="21"/>
        </w:rPr>
      </w:pPr>
      <w:r>
        <w:rPr>
          <w:rFonts w:hint="eastAsia" w:ascii="宋体" w:hAnsi="宋体" w:eastAsia="宋体" w:cs="宋体"/>
          <w:szCs w:val="21"/>
          <w:u w:val="single"/>
        </w:rPr>
        <w:t xml:space="preserve">（发包人名称，以下简称“发包人”）    </w:t>
      </w:r>
      <w:r>
        <w:rPr>
          <w:rFonts w:hint="eastAsia" w:ascii="宋体" w:hAnsi="宋体" w:eastAsia="宋体" w:cs="宋体"/>
          <w:szCs w:val="21"/>
        </w:rPr>
        <w:t>为实施</w:t>
      </w:r>
      <w:r>
        <w:rPr>
          <w:rFonts w:hint="eastAsia" w:ascii="宋体" w:hAnsi="宋体" w:eastAsia="宋体" w:cs="宋体"/>
          <w:szCs w:val="21"/>
          <w:u w:val="single"/>
        </w:rPr>
        <w:t xml:space="preserve">         （项目名称）            </w:t>
      </w:r>
      <w:r>
        <w:rPr>
          <w:rFonts w:hint="eastAsia" w:ascii="宋体" w:hAnsi="宋体" w:eastAsia="宋体" w:cs="宋体"/>
          <w:szCs w:val="21"/>
        </w:rPr>
        <w:t>,已接受</w:t>
      </w:r>
      <w:r>
        <w:rPr>
          <w:rFonts w:hint="eastAsia" w:ascii="宋体" w:hAnsi="宋体" w:eastAsia="宋体" w:cs="宋体"/>
          <w:szCs w:val="21"/>
          <w:u w:val="single"/>
        </w:rPr>
        <w:t>（承包人名称，以下简称“承包人”）</w:t>
      </w:r>
      <w:r>
        <w:rPr>
          <w:rFonts w:hint="eastAsia" w:ascii="宋体" w:hAnsi="宋体" w:eastAsia="宋体" w:cs="宋体"/>
          <w:szCs w:val="21"/>
        </w:rPr>
        <w:t>对</w:t>
      </w:r>
      <w:r>
        <w:rPr>
          <w:rFonts w:hint="eastAsia" w:ascii="宋体" w:hAnsi="宋体" w:eastAsia="宋体" w:cs="宋体"/>
          <w:szCs w:val="21"/>
          <w:u w:val="single"/>
        </w:rPr>
        <w:t xml:space="preserve">   （项目名称）（标段名称）</w:t>
      </w:r>
      <w:r>
        <w:rPr>
          <w:rFonts w:hint="eastAsia" w:ascii="宋体" w:hAnsi="宋体" w:eastAsia="宋体" w:cs="宋体"/>
          <w:szCs w:val="21"/>
        </w:rPr>
        <w:t>的投标。发包人和承包人共同达成如下协议。</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1.本协议书与下列文件一起构成合同文件：</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（1）成交通知书。</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（2）投标函及投标函附录。</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（3）专用合同条款。</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（4）通用合同条款。</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（5）技术标准和要求（合同技术条款）。</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（6）图纸。</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（7）已标价工程量清单。</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（8）其他合同文件。</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2.上述文件互相补充和解释，如有不明确或不一致之处，以合同约定次序在先者为准。</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3.签约合同价：人民币（大写</w:t>
      </w:r>
      <w:r>
        <w:rPr>
          <w:rFonts w:hint="eastAsia" w:ascii="宋体" w:hAnsi="宋体" w:eastAsia="宋体" w:cs="宋体"/>
          <w:szCs w:val="21"/>
          <w:u w:val="single"/>
        </w:rPr>
        <w:t xml:space="preserve">            </w:t>
      </w:r>
      <w:r>
        <w:rPr>
          <w:rFonts w:hint="eastAsia" w:ascii="宋体" w:hAnsi="宋体" w:eastAsia="宋体" w:cs="宋体"/>
          <w:szCs w:val="21"/>
        </w:rPr>
        <w:t xml:space="preserve">）元（￥ </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4.承包人项目负责人：</w:t>
      </w:r>
      <w:r>
        <w:rPr>
          <w:rFonts w:hint="eastAsia" w:ascii="宋体" w:hAnsi="宋体" w:eastAsia="宋体" w:cs="宋体"/>
          <w:szCs w:val="21"/>
          <w:u w:val="single"/>
        </w:rPr>
        <w:t xml:space="preserve">             </w:t>
      </w:r>
      <w:r>
        <w:rPr>
          <w:rFonts w:hint="eastAsia" w:ascii="宋体" w:hAnsi="宋体" w:eastAsia="宋体" w:cs="宋体"/>
          <w:szCs w:val="21"/>
        </w:rPr>
        <w:t>，项目技术负责人：</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5.工程质量符合标准。</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6.承包人承诺按合同约定承担工程的实施、完成及缺陷修复。</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7.发包人承诺按合同约定的文件、时间和方式向承包人支付合同价款。</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rPr>
      </w:pPr>
      <w:r>
        <w:rPr>
          <w:rFonts w:hint="eastAsia" w:ascii="宋体" w:hAnsi="宋体" w:eastAsia="宋体" w:cs="宋体"/>
          <w:szCs w:val="21"/>
        </w:rPr>
        <w:t>8.承包人承诺执行</w:t>
      </w:r>
      <w:r>
        <w:rPr>
          <w:rFonts w:hint="eastAsia" w:ascii="宋体" w:hAnsi="宋体" w:eastAsia="宋体" w:cs="宋体"/>
          <w:b/>
          <w:szCs w:val="21"/>
        </w:rPr>
        <w:t>监理人开工通知</w:t>
      </w:r>
      <w:r>
        <w:rPr>
          <w:rFonts w:hint="eastAsia" w:ascii="宋体" w:hAnsi="宋体" w:eastAsia="宋体" w:cs="宋体"/>
          <w:color w:val="000000"/>
          <w:szCs w:val="21"/>
        </w:rPr>
        <w:t>，计划工期为</w:t>
      </w:r>
      <w:r>
        <w:rPr>
          <w:rFonts w:hint="eastAsia" w:ascii="宋体" w:hAnsi="宋体" w:eastAsia="宋体" w:cs="宋体"/>
          <w:color w:val="000000"/>
          <w:szCs w:val="21"/>
          <w:u w:val="single"/>
          <w:lang w:val="en-US" w:eastAsia="zh-CN"/>
        </w:rPr>
        <w:t xml:space="preserve">             </w:t>
      </w:r>
      <w:r>
        <w:rPr>
          <w:rFonts w:hint="eastAsia" w:ascii="宋体" w:hAnsi="宋体" w:eastAsia="宋体" w:cs="宋体"/>
          <w:b/>
          <w:color w:val="000000"/>
          <w:szCs w:val="21"/>
        </w:rPr>
        <w:t>日历天</w:t>
      </w:r>
      <w:r>
        <w:rPr>
          <w:rFonts w:hint="eastAsia" w:ascii="宋体" w:hAnsi="宋体" w:eastAsia="宋体" w:cs="宋体"/>
          <w:color w:val="000000"/>
          <w:szCs w:val="21"/>
        </w:rPr>
        <w:t>。</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u w:val="single"/>
        </w:rPr>
      </w:pPr>
      <w:r>
        <w:rPr>
          <w:rFonts w:hint="eastAsia" w:ascii="宋体" w:hAnsi="宋体" w:eastAsia="宋体" w:cs="宋体"/>
          <w:szCs w:val="21"/>
        </w:rPr>
        <w:t>9.本协议书正本一式</w:t>
      </w:r>
      <w:r>
        <w:rPr>
          <w:rFonts w:hint="eastAsia" w:ascii="宋体" w:hAnsi="宋体" w:eastAsia="宋体" w:cs="宋体"/>
          <w:szCs w:val="21"/>
          <w:u w:val="single"/>
        </w:rPr>
        <w:t>贰</w:t>
      </w:r>
      <w:r>
        <w:rPr>
          <w:rFonts w:hint="eastAsia" w:ascii="宋体" w:hAnsi="宋体" w:eastAsia="宋体" w:cs="宋体"/>
          <w:szCs w:val="21"/>
        </w:rPr>
        <w:t>份，合同双方各执</w:t>
      </w:r>
      <w:r>
        <w:rPr>
          <w:rFonts w:hint="eastAsia" w:ascii="宋体" w:hAnsi="宋体" w:eastAsia="宋体" w:cs="宋体"/>
          <w:szCs w:val="21"/>
          <w:u w:val="single"/>
        </w:rPr>
        <w:t xml:space="preserve">  壹 </w:t>
      </w:r>
      <w:r>
        <w:rPr>
          <w:rFonts w:hint="eastAsia" w:ascii="宋体" w:hAnsi="宋体" w:eastAsia="宋体" w:cs="宋体"/>
          <w:szCs w:val="21"/>
        </w:rPr>
        <w:t>份，副本份，双方各执份。</w:t>
      </w:r>
    </w:p>
    <w:p>
      <w:pPr>
        <w:keepNext w:val="0"/>
        <w:keepLines w:val="0"/>
        <w:pageBreakBefore w:val="0"/>
        <w:widowControl w:val="0"/>
        <w:kinsoku/>
        <w:wordWrap/>
        <w:overflowPunct/>
        <w:topLinePunct w:val="0"/>
        <w:autoSpaceDE/>
        <w:autoSpaceDN/>
        <w:bidi w:val="0"/>
        <w:adjustRightInd w:val="0"/>
        <w:snapToGrid/>
        <w:spacing w:line="360" w:lineRule="auto"/>
        <w:ind w:left="0"/>
        <w:textAlignment w:val="auto"/>
        <w:rPr>
          <w:rFonts w:hint="eastAsia" w:ascii="宋体" w:hAnsi="宋体" w:eastAsia="宋体" w:cs="宋体"/>
          <w:szCs w:val="21"/>
          <w:u w:val="single"/>
        </w:rPr>
      </w:pPr>
      <w:r>
        <w:rPr>
          <w:rFonts w:hint="eastAsia" w:ascii="宋体" w:hAnsi="宋体" w:eastAsia="宋体" w:cs="宋体"/>
          <w:szCs w:val="21"/>
        </w:rPr>
        <w:t>10.合同未尽事宜，双方另行签订补充协议。补充协议是合同的组成部分。</w:t>
      </w: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u w:val="single"/>
        </w:rPr>
      </w:pPr>
      <w:r>
        <w:rPr>
          <w:rFonts w:hint="eastAsia" w:ascii="宋体" w:hAnsi="宋体" w:eastAsia="宋体" w:cs="宋体"/>
          <w:szCs w:val="21"/>
        </w:rPr>
        <w:t>发包人：</w:t>
      </w:r>
      <w:r>
        <w:rPr>
          <w:rFonts w:hint="eastAsia" w:ascii="宋体" w:hAnsi="宋体" w:eastAsia="宋体" w:cs="宋体"/>
          <w:szCs w:val="21"/>
          <w:u w:val="single"/>
        </w:rPr>
        <w:t xml:space="preserve">（加盖公章）                </w:t>
      </w:r>
      <w:r>
        <w:rPr>
          <w:rFonts w:hint="eastAsia" w:ascii="宋体" w:hAnsi="宋体" w:eastAsia="宋体" w:cs="宋体"/>
          <w:szCs w:val="21"/>
        </w:rPr>
        <w:t xml:space="preserve">      </w:t>
      </w:r>
      <w:r>
        <w:rPr>
          <w:rFonts w:hint="eastAsia" w:ascii="宋体" w:hAnsi="宋体" w:eastAsia="宋体" w:cs="宋体"/>
          <w:szCs w:val="21"/>
          <w:lang w:eastAsia="zh-CN"/>
        </w:rPr>
        <w:t>承</w:t>
      </w:r>
      <w:r>
        <w:rPr>
          <w:rFonts w:hint="eastAsia" w:ascii="宋体" w:hAnsi="宋体" w:eastAsia="宋体" w:cs="宋体"/>
          <w:szCs w:val="21"/>
        </w:rPr>
        <w:t>包人：</w:t>
      </w:r>
      <w:r>
        <w:rPr>
          <w:rFonts w:hint="eastAsia" w:ascii="宋体" w:hAnsi="宋体" w:eastAsia="宋体" w:cs="宋体"/>
          <w:szCs w:val="21"/>
          <w:u w:val="single"/>
        </w:rPr>
        <w:t xml:space="preserve">（加盖公章）                </w:t>
      </w: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u w:val="single"/>
        </w:rPr>
      </w:pP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rPr>
      </w:pPr>
      <w:r>
        <w:rPr>
          <w:rFonts w:hint="eastAsia" w:ascii="宋体" w:hAnsi="宋体" w:eastAsia="宋体" w:cs="宋体"/>
          <w:szCs w:val="21"/>
        </w:rPr>
        <w:t>法定代表人或其委托代理人：</w:t>
      </w:r>
      <w:r>
        <w:rPr>
          <w:rFonts w:hint="eastAsia" w:ascii="宋体" w:hAnsi="宋体" w:eastAsia="宋体" w:cs="宋体"/>
          <w:szCs w:val="21"/>
          <w:u w:val="single"/>
        </w:rPr>
        <w:t xml:space="preserve">（签字）  </w:t>
      </w:r>
      <w:r>
        <w:rPr>
          <w:rFonts w:hint="eastAsia" w:ascii="宋体" w:hAnsi="宋体" w:eastAsia="宋体" w:cs="宋体"/>
          <w:szCs w:val="21"/>
        </w:rPr>
        <w:t xml:space="preserve">     法定代表人或其委托代理人：</w:t>
      </w:r>
      <w:r>
        <w:rPr>
          <w:rFonts w:hint="eastAsia" w:ascii="宋体" w:hAnsi="宋体" w:eastAsia="宋体" w:cs="宋体"/>
          <w:szCs w:val="21"/>
          <w:u w:val="single"/>
        </w:rPr>
        <w:t xml:space="preserve">（签字）    </w:t>
      </w: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val="0"/>
        <w:snapToGrid/>
        <w:spacing w:line="360" w:lineRule="auto"/>
        <w:ind w:left="0" w:firstLine="420"/>
        <w:textAlignment w:val="auto"/>
        <w:rPr>
          <w:rFonts w:hint="eastAsia" w:ascii="宋体" w:hAnsi="宋体" w:eastAsia="宋体" w:cs="宋体"/>
          <w:szCs w:val="21"/>
          <w:u w:val="single"/>
        </w:rPr>
      </w:pPr>
      <w:r>
        <w:rPr>
          <w:rFonts w:hint="eastAsia" w:ascii="宋体" w:hAnsi="宋体" w:eastAsia="宋体" w:cs="宋体"/>
          <w:szCs w:val="21"/>
        </w:rPr>
        <w:t>日  期：  年  月   日                    日  期：  年  月  日</w:t>
      </w:r>
    </w:p>
    <w:p>
      <w:pPr>
        <w:pStyle w:val="3"/>
        <w:jc w:val="center"/>
      </w:pPr>
      <w:r>
        <w:rPr>
          <w:rFonts w:hint="eastAsia" w:ascii="微软雅黑" w:hAnsi="微软雅黑" w:cs="微软雅黑"/>
          <w:szCs w:val="21"/>
          <w:u w:val="single"/>
        </w:rPr>
        <w:br w:type="page"/>
      </w:r>
      <w:bookmarkStart w:id="589" w:name="_Toc53158886"/>
      <w:bookmarkStart w:id="590" w:name="_Toc74142176"/>
      <w:bookmarkStart w:id="591" w:name="_Toc53158954"/>
      <w:bookmarkStart w:id="592" w:name="_Toc9931"/>
      <w:r>
        <w:rPr>
          <w:rFonts w:hint="eastAsia"/>
        </w:rPr>
        <w:t>第二节通用合同条款</w:t>
      </w:r>
      <w:bookmarkEnd w:id="589"/>
      <w:bookmarkEnd w:id="590"/>
      <w:bookmarkEnd w:id="591"/>
      <w:bookmarkEnd w:id="592"/>
    </w:p>
    <w:p>
      <w:pPr>
        <w:ind w:firstLine="420"/>
        <w:rPr>
          <w:rFonts w:ascii="微软雅黑" w:hAnsi="微软雅黑" w:cs="微软雅黑"/>
          <w:color w:val="000000"/>
          <w:szCs w:val="21"/>
        </w:rPr>
      </w:pPr>
      <w:r>
        <w:rPr>
          <w:rFonts w:hint="eastAsia"/>
          <w:color w:val="000000"/>
          <w:szCs w:val="21"/>
        </w:rPr>
        <w:t>使用2022版《浙江省水利水电工程施工招标文件示范文本》第4章第1节通用合同条款</w:t>
      </w:r>
      <w:r>
        <w:rPr>
          <w:rFonts w:hint="eastAsia" w:ascii="微软雅黑" w:hAnsi="微软雅黑" w:cs="微软雅黑"/>
          <w:color w:val="000000"/>
          <w:szCs w:val="21"/>
        </w:rPr>
        <w:t>。</w:t>
      </w:r>
    </w:p>
    <w:p>
      <w:pPr>
        <w:autoSpaceDE w:val="0"/>
        <w:autoSpaceDN w:val="0"/>
        <w:adjustRightInd w:val="0"/>
        <w:spacing w:line="390" w:lineRule="exact"/>
        <w:jc w:val="center"/>
        <w:rPr>
          <w:rFonts w:ascii="黑体" w:eastAsia="黑体"/>
          <w:sz w:val="32"/>
          <w:szCs w:val="32"/>
        </w:rPr>
      </w:pPr>
    </w:p>
    <w:p>
      <w:pPr>
        <w:pStyle w:val="3"/>
        <w:jc w:val="center"/>
      </w:pPr>
      <w:bookmarkStart w:id="593" w:name="_Toc53158887"/>
      <w:bookmarkStart w:id="594" w:name="_Toc18611"/>
      <w:bookmarkStart w:id="595" w:name="_Toc74142177"/>
      <w:bookmarkStart w:id="596" w:name="_Toc53158955"/>
      <w:r>
        <w:rPr>
          <w:rFonts w:hint="eastAsia"/>
        </w:rPr>
        <w:t>第三节专用合同条款</w:t>
      </w:r>
      <w:bookmarkEnd w:id="593"/>
      <w:bookmarkEnd w:id="594"/>
      <w:bookmarkEnd w:id="595"/>
      <w:bookmarkEnd w:id="596"/>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597" w:name="_Toc527796527"/>
      <w:bookmarkStart w:id="598" w:name="_Toc527806765"/>
      <w:bookmarkStart w:id="599" w:name="_Toc421260788"/>
      <w:bookmarkStart w:id="600" w:name="_Toc527796321"/>
      <w:bookmarkStart w:id="601" w:name="_Toc529533168"/>
      <w:bookmarkStart w:id="602" w:name="_Toc527796411"/>
      <w:bookmarkStart w:id="603" w:name="_Toc529533019"/>
      <w:bookmarkStart w:id="604" w:name="_Toc14490"/>
      <w:r>
        <w:rPr>
          <w:rFonts w:hint="eastAsia" w:ascii="宋体" w:hAnsi="宋体" w:eastAsia="宋体" w:cs="宋体"/>
          <w:sz w:val="21"/>
          <w:szCs w:val="21"/>
        </w:rPr>
        <w:t>1 一般约定</w:t>
      </w:r>
      <w:bookmarkEnd w:id="597"/>
      <w:bookmarkEnd w:id="598"/>
      <w:bookmarkEnd w:id="599"/>
      <w:bookmarkEnd w:id="600"/>
      <w:bookmarkEnd w:id="601"/>
      <w:bookmarkEnd w:id="602"/>
      <w:bookmarkEnd w:id="603"/>
      <w:bookmarkEnd w:id="604"/>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05" w:name="_Toc527796412"/>
      <w:bookmarkStart w:id="606" w:name="_Toc527806766"/>
      <w:r>
        <w:rPr>
          <w:rFonts w:hint="eastAsia" w:ascii="宋体" w:hAnsi="宋体" w:eastAsia="宋体" w:cs="宋体"/>
          <w:sz w:val="21"/>
          <w:szCs w:val="21"/>
        </w:rPr>
        <w:t>1.1 词语定义</w:t>
      </w:r>
      <w:bookmarkEnd w:id="605"/>
      <w:bookmarkEnd w:id="606"/>
    </w:p>
    <w:p>
      <w:pPr>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bCs/>
          <w:sz w:val="21"/>
          <w:szCs w:val="21"/>
        </w:rPr>
        <w:t>1.1.2 合同当事人和人员</w:t>
      </w:r>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1.1.2.2 发包人：</w:t>
      </w:r>
      <w:r>
        <w:rPr>
          <w:rFonts w:hint="eastAsia" w:ascii="宋体" w:hAnsi="宋体" w:eastAsia="宋体" w:cs="宋体"/>
          <w:sz w:val="21"/>
          <w:szCs w:val="21"/>
          <w:u w:val="single"/>
        </w:rPr>
        <w:t xml:space="preserve">   </w:t>
      </w:r>
      <w:r>
        <w:rPr>
          <w:rFonts w:hint="eastAsia" w:ascii="宋体" w:hAnsi="宋体" w:cs="宋体"/>
          <w:sz w:val="21"/>
          <w:szCs w:val="21"/>
          <w:u w:val="single"/>
          <w:lang w:eastAsia="zh-CN"/>
        </w:rPr>
        <w:t>瑞安市曹村镇人民政府</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1.1.2.3 承包人：</w:t>
      </w:r>
      <w:r>
        <w:rPr>
          <w:rFonts w:hint="eastAsia" w:ascii="宋体" w:hAnsi="宋体" w:eastAsia="宋体" w:cs="宋体"/>
          <w:sz w:val="21"/>
          <w:szCs w:val="21"/>
          <w:u w:val="single"/>
        </w:rPr>
        <w:t xml:space="preserve">   （签约后填入承包人的名称）   </w:t>
      </w:r>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1.1.2.5 分包人：</w:t>
      </w:r>
      <w:r>
        <w:rPr>
          <w:rFonts w:hint="eastAsia" w:ascii="宋体" w:hAnsi="宋体" w:eastAsia="宋体" w:cs="宋体"/>
          <w:sz w:val="21"/>
          <w:szCs w:val="21"/>
          <w:u w:val="single"/>
        </w:rPr>
        <w:t xml:space="preserve">   （签约后填入分包人的名称）   </w:t>
      </w:r>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1.1.2.6 监理人：</w:t>
      </w:r>
      <w:r>
        <w:rPr>
          <w:rFonts w:hint="eastAsia" w:ascii="宋体" w:hAnsi="宋体" w:eastAsia="宋体" w:cs="宋体"/>
          <w:sz w:val="21"/>
          <w:szCs w:val="21"/>
          <w:u w:val="single"/>
        </w:rPr>
        <w:t xml:space="preserve">   （填入监理人名称）   </w:t>
      </w:r>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b/>
          <w:sz w:val="21"/>
          <w:szCs w:val="21"/>
        </w:rPr>
      </w:pPr>
      <w:r>
        <w:rPr>
          <w:rFonts w:hint="eastAsia" w:ascii="宋体" w:hAnsi="宋体" w:eastAsia="宋体" w:cs="宋体"/>
          <w:b/>
          <w:sz w:val="21"/>
          <w:szCs w:val="21"/>
        </w:rPr>
        <w:t xml:space="preserve">1.1.3 工程和设备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1.1.3.4 单位工程：指经工程质量监督机构确认的工程项目划分表中确定的具有独立发挥作用或独立施工条件的永久建筑物</w:t>
      </w:r>
      <w:r>
        <w:rPr>
          <w:rFonts w:hint="eastAsia" w:ascii="宋体" w:hAnsi="宋体" w:cs="宋体"/>
          <w:sz w:val="21"/>
          <w:szCs w:val="21"/>
          <w:lang w:eastAsia="zh-CN"/>
        </w:rPr>
        <w:t>。</w:t>
      </w:r>
    </w:p>
    <w:p>
      <w:pPr>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b/>
          <w:sz w:val="21"/>
          <w:szCs w:val="21"/>
        </w:rPr>
      </w:pPr>
      <w:r>
        <w:rPr>
          <w:rFonts w:hint="eastAsia" w:ascii="宋体" w:hAnsi="宋体" w:eastAsia="宋体" w:cs="宋体"/>
          <w:b/>
          <w:sz w:val="21"/>
          <w:szCs w:val="21"/>
        </w:rPr>
        <w:t>1.1.4 日期</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0000FF"/>
          <w:sz w:val="21"/>
          <w:szCs w:val="21"/>
          <w:highlight w:val="yellow"/>
        </w:rPr>
      </w:pPr>
      <w:r>
        <w:rPr>
          <w:rFonts w:hint="eastAsia" w:ascii="宋体" w:hAnsi="宋体" w:eastAsia="宋体" w:cs="宋体"/>
          <w:sz w:val="21"/>
          <w:szCs w:val="21"/>
        </w:rPr>
        <w:t>1.1.4.5 缺陷责任期（工程质量保修期</w:t>
      </w:r>
      <w:r>
        <w:rPr>
          <w:rFonts w:hint="eastAsia" w:ascii="宋体" w:hAnsi="宋体" w:eastAsia="宋体" w:cs="宋体"/>
          <w:sz w:val="21"/>
          <w:szCs w:val="21"/>
          <w:highlight w:val="none"/>
        </w:rPr>
        <w:t>）为：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 xml:space="preserve"> 年</w:t>
      </w:r>
      <w:r>
        <w:rPr>
          <w:rFonts w:hint="eastAsia" w:ascii="宋体" w:hAnsi="宋体" w:eastAsia="宋体" w:cs="宋体"/>
          <w:color w:val="auto"/>
          <w:sz w:val="21"/>
          <w:szCs w:val="21"/>
          <w:highlight w:val="none"/>
        </w:rPr>
        <w:t>。</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07" w:name="_Toc527796413"/>
      <w:bookmarkStart w:id="608" w:name="_Toc527806767"/>
      <w:r>
        <w:rPr>
          <w:rFonts w:hint="eastAsia" w:ascii="宋体" w:hAnsi="宋体" w:eastAsia="宋体" w:cs="宋体"/>
          <w:sz w:val="21"/>
          <w:szCs w:val="21"/>
        </w:rPr>
        <w:t>1.4合同文件的优先顺序</w:t>
      </w:r>
      <w:bookmarkEnd w:id="607"/>
      <w:bookmarkEnd w:id="608"/>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除合同另有规定外，解释合同文件的优先顺序如下：</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（1） 合同协议书（包括补充协议书）。</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（2）中标通知书。</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（3）投标函及投标函附录。</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（4）招投标文件澄清问题的复函、补充通知等相关资料。</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（5）专用合同条款。</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（6）通用合同条款。</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（7）技术标准和要求。</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（8）图纸。</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（9）已标价的工程量清单。</w:t>
      </w:r>
    </w:p>
    <w:p>
      <w:pPr>
        <w:keepNext w:val="0"/>
        <w:keepLines w:val="0"/>
        <w:pageBreakBefore w:val="0"/>
        <w:widowControl w:val="0"/>
        <w:tabs>
          <w:tab w:val="left" w:pos="0"/>
        </w:tabs>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（10）经双方确认进入合同的其他文件。</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09" w:name="_Toc527806768"/>
      <w:bookmarkStart w:id="610" w:name="_Toc527796414"/>
      <w:r>
        <w:rPr>
          <w:rFonts w:hint="eastAsia" w:ascii="宋体" w:hAnsi="宋体" w:eastAsia="宋体" w:cs="宋体"/>
          <w:sz w:val="21"/>
          <w:szCs w:val="21"/>
        </w:rPr>
        <w:t>1.7 联络</w:t>
      </w:r>
      <w:bookmarkEnd w:id="609"/>
      <w:bookmarkEnd w:id="610"/>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1.7.2</w:t>
      </w:r>
      <w:r>
        <w:rPr>
          <w:rFonts w:hint="eastAsia" w:ascii="宋体" w:hAnsi="宋体" w:eastAsia="宋体" w:cs="宋体"/>
          <w:sz w:val="21"/>
          <w:szCs w:val="21"/>
        </w:rPr>
        <w:t xml:space="preserve"> 来往函件均应按技术标准和要求（合同技术条款）约定的期限送达</w:t>
      </w:r>
      <w:r>
        <w:rPr>
          <w:rFonts w:hint="eastAsia" w:ascii="宋体" w:hAnsi="宋体" w:eastAsia="宋体" w:cs="宋体"/>
          <w:sz w:val="21"/>
          <w:szCs w:val="21"/>
          <w:u w:val="single"/>
        </w:rPr>
        <w:t xml:space="preserve"> （填写文件送达地点）</w:t>
      </w:r>
      <w:r>
        <w:rPr>
          <w:rFonts w:hint="eastAsia" w:ascii="宋体" w:hAnsi="宋体" w:eastAsia="宋体" w:cs="宋体"/>
          <w:sz w:val="21"/>
          <w:szCs w:val="21"/>
        </w:rPr>
        <w:t xml:space="preserve"> 。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11" w:name="_Toc527796415"/>
      <w:bookmarkStart w:id="612" w:name="_Toc527806769"/>
      <w:bookmarkStart w:id="613" w:name="_Toc27492"/>
      <w:bookmarkStart w:id="614" w:name="_Toc529533020"/>
      <w:bookmarkStart w:id="615" w:name="_Toc529533169"/>
      <w:bookmarkStart w:id="616" w:name="_Toc527796322"/>
      <w:bookmarkStart w:id="617" w:name="_Toc527796528"/>
      <w:r>
        <w:rPr>
          <w:rFonts w:hint="eastAsia" w:ascii="宋体" w:hAnsi="宋体" w:eastAsia="宋体" w:cs="宋体"/>
          <w:sz w:val="21"/>
          <w:szCs w:val="21"/>
        </w:rPr>
        <w:t>2 发包人义务</w:t>
      </w:r>
      <w:bookmarkEnd w:id="611"/>
      <w:bookmarkEnd w:id="612"/>
      <w:bookmarkEnd w:id="613"/>
      <w:bookmarkEnd w:id="614"/>
      <w:bookmarkEnd w:id="615"/>
      <w:bookmarkEnd w:id="616"/>
      <w:bookmarkEnd w:id="617"/>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18" w:name="_Toc527806770"/>
      <w:bookmarkStart w:id="619" w:name="_Toc527796416"/>
      <w:r>
        <w:rPr>
          <w:rFonts w:hint="eastAsia" w:ascii="宋体" w:hAnsi="宋体" w:eastAsia="宋体" w:cs="宋体"/>
          <w:sz w:val="21"/>
          <w:szCs w:val="21"/>
        </w:rPr>
        <w:t>2.3 提供施工场地</w:t>
      </w:r>
      <w:bookmarkEnd w:id="618"/>
      <w:bookmarkEnd w:id="619"/>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2.3.2 发包人提供的</w:t>
      </w:r>
      <w:r>
        <w:rPr>
          <w:rFonts w:hint="eastAsia" w:ascii="宋体" w:hAnsi="宋体" w:cs="宋体"/>
          <w:sz w:val="21"/>
          <w:szCs w:val="21"/>
          <w:lang w:eastAsia="zh-CN"/>
        </w:rPr>
        <w:t>用地</w:t>
      </w:r>
      <w:r>
        <w:rPr>
          <w:rFonts w:hint="eastAsia" w:ascii="宋体" w:hAnsi="宋体" w:eastAsia="宋体" w:cs="宋体"/>
          <w:sz w:val="21"/>
          <w:szCs w:val="21"/>
        </w:rPr>
        <w:t>范围为：</w:t>
      </w:r>
      <w:r>
        <w:rPr>
          <w:rFonts w:hint="eastAsia" w:ascii="宋体" w:hAnsi="宋体" w:eastAsia="宋体" w:cs="宋体"/>
          <w:sz w:val="21"/>
          <w:szCs w:val="21"/>
          <w:u w:val="single"/>
        </w:rPr>
        <w:t>工程建设用地及土方堆放场地。</w:t>
      </w:r>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945" w:firstLineChars="450"/>
        <w:jc w:val="both"/>
        <w:textAlignment w:val="auto"/>
        <w:rPr>
          <w:rFonts w:hint="eastAsia" w:ascii="宋体" w:hAnsi="宋体" w:eastAsia="宋体" w:cs="宋体"/>
          <w:sz w:val="21"/>
          <w:szCs w:val="21"/>
        </w:rPr>
      </w:pPr>
      <w:r>
        <w:rPr>
          <w:rFonts w:hint="eastAsia" w:ascii="宋体" w:hAnsi="宋体" w:eastAsia="宋体" w:cs="宋体"/>
          <w:sz w:val="21"/>
          <w:szCs w:val="21"/>
        </w:rPr>
        <w:t>承包人自行勘察的施工场地范围为：</w:t>
      </w:r>
      <w:r>
        <w:rPr>
          <w:rFonts w:hint="eastAsia" w:ascii="宋体" w:hAnsi="宋体" w:eastAsia="宋体" w:cs="宋体"/>
          <w:snapToGrid w:val="0"/>
          <w:sz w:val="21"/>
          <w:szCs w:val="21"/>
          <w:u w:val="single"/>
        </w:rPr>
        <w:t>承包人认为满足自身施工所需的全部场地</w:t>
      </w:r>
      <w:r>
        <w:rPr>
          <w:rFonts w:hint="eastAsia" w:ascii="宋体" w:hAnsi="宋体" w:eastAsia="宋体" w:cs="宋体"/>
          <w:sz w:val="21"/>
          <w:szCs w:val="21"/>
          <w:u w:val="single"/>
        </w:rPr>
        <w:t>。</w:t>
      </w:r>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20" w:name="_Toc527806771"/>
      <w:bookmarkStart w:id="621" w:name="_Toc527796417"/>
      <w:r>
        <w:rPr>
          <w:rFonts w:hint="eastAsia" w:ascii="宋体" w:hAnsi="宋体" w:eastAsia="宋体" w:cs="宋体"/>
          <w:sz w:val="21"/>
          <w:szCs w:val="21"/>
        </w:rPr>
        <w:t>2.8 其它义务</w:t>
      </w:r>
      <w:bookmarkEnd w:id="620"/>
      <w:bookmarkEnd w:id="621"/>
      <w:r>
        <w:rPr>
          <w:rFonts w:hint="eastAsia" w:ascii="宋体" w:hAnsi="宋体" w:eastAsia="宋体" w:cs="宋体"/>
          <w:sz w:val="21"/>
          <w:szCs w:val="21"/>
        </w:rPr>
        <w:t xml:space="preserve"> ：无</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22" w:name="_Toc529533021"/>
      <w:bookmarkStart w:id="623" w:name="_Toc527796418"/>
      <w:bookmarkStart w:id="624" w:name="_Toc527806772"/>
      <w:bookmarkStart w:id="625" w:name="_Toc527796529"/>
      <w:bookmarkStart w:id="626" w:name="_Toc529533170"/>
      <w:bookmarkStart w:id="627" w:name="_Toc24501"/>
      <w:bookmarkStart w:id="628" w:name="_Toc527796323"/>
      <w:r>
        <w:rPr>
          <w:rFonts w:hint="eastAsia" w:ascii="宋体" w:hAnsi="宋体" w:eastAsia="宋体" w:cs="宋体"/>
          <w:sz w:val="21"/>
          <w:szCs w:val="21"/>
        </w:rPr>
        <w:t>3 监理人</w:t>
      </w:r>
      <w:bookmarkEnd w:id="622"/>
      <w:bookmarkEnd w:id="623"/>
      <w:bookmarkEnd w:id="624"/>
      <w:bookmarkEnd w:id="625"/>
      <w:bookmarkEnd w:id="626"/>
      <w:bookmarkEnd w:id="627"/>
      <w:bookmarkEnd w:id="628"/>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29" w:name="_Toc527806773"/>
      <w:bookmarkStart w:id="630" w:name="_Toc527796419"/>
      <w:r>
        <w:rPr>
          <w:rFonts w:hint="eastAsia" w:ascii="宋体" w:hAnsi="宋体" w:eastAsia="宋体" w:cs="宋体"/>
          <w:sz w:val="21"/>
          <w:szCs w:val="21"/>
        </w:rPr>
        <w:t>3.1 监理人的职责和权力</w:t>
      </w:r>
      <w:bookmarkEnd w:id="629"/>
      <w:bookmarkEnd w:id="630"/>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u w:val="single"/>
        </w:rPr>
      </w:pPr>
      <w:r>
        <w:rPr>
          <w:rFonts w:hint="eastAsia" w:ascii="宋体" w:hAnsi="宋体" w:eastAsia="宋体" w:cs="宋体"/>
          <w:sz w:val="21"/>
          <w:szCs w:val="21"/>
        </w:rPr>
        <w:t>3.1.1 监理人须根据发包人事先批准的权力范围行使权力，发包人批准的权力范围：</w:t>
      </w:r>
      <w:r>
        <w:rPr>
          <w:rFonts w:hint="eastAsia" w:ascii="宋体" w:hAnsi="宋体" w:eastAsia="宋体" w:cs="宋体"/>
          <w:sz w:val="21"/>
          <w:szCs w:val="21"/>
          <w:u w:val="single"/>
        </w:rPr>
        <w:t xml:space="preserve">（填写监理人须经发包人批准才能行使的权力，以下示例供参考）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（1） 按第4.3款约定，批准工程的分包；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 按第11.3款约定，确定延长完工期限；</w:t>
      </w:r>
      <w:bookmarkStart w:id="631" w:name="_Toc527796420"/>
      <w:bookmarkStart w:id="632" w:name="_Toc527796324"/>
      <w:bookmarkStart w:id="633" w:name="_Toc527796530"/>
      <w:bookmarkStart w:id="634" w:name="_Toc527806774"/>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按第15.6款约定，批准预留金的使用。</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35" w:name="_Toc529533022"/>
      <w:bookmarkStart w:id="636" w:name="_Toc32040"/>
      <w:bookmarkStart w:id="637" w:name="_Toc529533171"/>
      <w:r>
        <w:rPr>
          <w:rFonts w:hint="eastAsia" w:ascii="宋体" w:hAnsi="宋体" w:eastAsia="宋体" w:cs="宋体"/>
          <w:sz w:val="21"/>
          <w:szCs w:val="21"/>
        </w:rPr>
        <w:t>4 承包人</w:t>
      </w:r>
      <w:bookmarkEnd w:id="631"/>
      <w:bookmarkEnd w:id="632"/>
      <w:bookmarkEnd w:id="633"/>
      <w:bookmarkEnd w:id="634"/>
      <w:bookmarkEnd w:id="635"/>
      <w:bookmarkEnd w:id="636"/>
      <w:bookmarkEnd w:id="637"/>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38" w:name="_Toc527806775"/>
      <w:bookmarkStart w:id="639" w:name="_Toc527796421"/>
      <w:r>
        <w:rPr>
          <w:rFonts w:hint="eastAsia" w:ascii="宋体" w:hAnsi="宋体" w:eastAsia="宋体" w:cs="宋体"/>
          <w:sz w:val="21"/>
          <w:szCs w:val="21"/>
        </w:rPr>
        <w:t>4.1承包人的一般义务</w:t>
      </w:r>
      <w:bookmarkEnd w:id="638"/>
      <w:bookmarkEnd w:id="639"/>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4.1.11</w:t>
      </w:r>
      <w:r>
        <w:rPr>
          <w:rFonts w:hint="eastAsia" w:ascii="宋体" w:hAnsi="宋体" w:eastAsia="宋体" w:cs="宋体"/>
          <w:sz w:val="21"/>
          <w:szCs w:val="21"/>
        </w:rPr>
        <w:t xml:space="preserve">其它义务 </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（1）承担施工安全保卫工作及施工照明的责任和要求：根据工程需要，提供和维修施工使用的照明、围栏设施，并负责安全保卫。</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承包人在使用地方道路过程中，必须采取一切措施保证路面整洁，确保车辆正常通行，做到施工、通车两不误。承包人应针对通车路段的施工特点，提出通车路段的施工维护方案，报监理人批准，并认真组织实施。</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承包人办理有关施工场地交通、环卫和施工噪音管理等手续：遵守政府有关主管部门对施工场地交通、施工噪音以及环境保护和安全生产等的管理规定，办理相关手续、并以书面形式通知发包人；施工过程中由承包人负责处理自身原因涉及市政、环保、卫生、交通、污水处理和自身原因引起的一切纠纷、事故赔偿责任和社会治安等关系。其中施工期间生产的泥浆等废排水，承包人应根据施工组织设计并结合现场情况考虑制定处理措施方案。</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（4）承包人应自行负责开挖河道的基坑排水，并保护开挖边坡免受雨水冲刷，所需费用包含在总价中。</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完工工程成品保护的特殊要求及费用承担：已完工工程未交付发包人之前，由承包人负责已完工程的保护工作，保护期间发生损坏，承包人自费予以修复。发包人要求承包人采取特殊措施保护的工程部位，承包人必须按照发包人的要求完成。</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施工现场清洁卫生的要求：保证施工场地清洁符合环境卫生管理的有关规定，完工验收通过后15日内，承包人应自行拆除施工临时设施，撤退施工机械设备并清理场地，修复场内的交通道路，撤离所有施工人员。承包人应在30日内负责做好临时用地复耕并承担相应费用。承包人承担因自身原因违反有关规定造成的损失和罚款。</w:t>
      </w:r>
    </w:p>
    <w:p>
      <w:pPr>
        <w:keepNext w:val="0"/>
        <w:keepLines w:val="0"/>
        <w:pageBreakBefore w:val="0"/>
        <w:widowControl w:val="0"/>
        <w:kinsoku/>
        <w:overflowPunct/>
        <w:topLinePunct w:val="0"/>
        <w:autoSpaceDE/>
        <w:autoSpaceDN/>
        <w:bidi w:val="0"/>
        <w:adjustRightInd w:val="0"/>
        <w:spacing w:line="360" w:lineRule="auto"/>
        <w:ind w:left="0" w:firstLine="200"/>
        <w:jc w:val="both"/>
        <w:textAlignment w:val="auto"/>
        <w:rPr>
          <w:rFonts w:hint="eastAsia" w:ascii="宋体" w:hAnsi="宋体" w:eastAsia="宋体" w:cs="宋体"/>
          <w:sz w:val="21"/>
          <w:szCs w:val="21"/>
        </w:rPr>
      </w:pPr>
      <w:r>
        <w:rPr>
          <w:rFonts w:hint="eastAsia" w:ascii="宋体" w:hAnsi="宋体" w:eastAsia="宋体" w:cs="宋体"/>
          <w:sz w:val="21"/>
          <w:szCs w:val="21"/>
        </w:rPr>
        <w:t>（8）承包人应妥善处理好与工程其他承包人的配合关系。发生交叉施工时，承包人和工程其他承包人应相互配合，友好协作，并服从监理人的统一协调。</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4.2履约担保</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承包人是否提供履约担保：</w:t>
      </w:r>
      <w:r>
        <w:rPr>
          <w:rFonts w:hint="eastAsia" w:ascii="宋体" w:hAnsi="宋体" w:eastAsia="宋体" w:cs="宋体"/>
          <w:sz w:val="21"/>
          <w:szCs w:val="21"/>
          <w:u w:val="single"/>
        </w:rPr>
        <w:t>提供</w:t>
      </w:r>
      <w:r>
        <w:rPr>
          <w:rFonts w:hint="eastAsia" w:ascii="宋体" w:hAnsi="宋体" w:eastAsia="宋体" w:cs="宋体"/>
          <w:sz w:val="21"/>
          <w:szCs w:val="21"/>
          <w:u w:val="single"/>
          <w:lang w:eastAsia="zh-CN"/>
        </w:rPr>
        <w:t>；</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承包人提供履约担保的形式、金额及期限的：</w:t>
      </w:r>
      <w:r>
        <w:rPr>
          <w:rFonts w:hint="eastAsia" w:ascii="宋体" w:hAnsi="宋体" w:eastAsia="宋体" w:cs="宋体"/>
          <w:sz w:val="21"/>
          <w:szCs w:val="21"/>
          <w:u w:val="single"/>
        </w:rPr>
        <w:t>承包人应以合同总价款的</w:t>
      </w:r>
      <w:r>
        <w:rPr>
          <w:rFonts w:hint="eastAsia" w:ascii="宋体" w:hAnsi="宋体" w:eastAsia="宋体" w:cs="宋体"/>
          <w:sz w:val="21"/>
          <w:szCs w:val="21"/>
          <w:u w:val="single"/>
          <w:lang w:val="en-US" w:eastAsia="zh-CN"/>
        </w:rPr>
        <w:t>1</w:t>
      </w:r>
      <w:r>
        <w:rPr>
          <w:rFonts w:hint="eastAsia" w:ascii="宋体" w:hAnsi="宋体" w:eastAsia="宋体" w:cs="宋体"/>
          <w:sz w:val="21"/>
          <w:szCs w:val="21"/>
          <w:u w:val="single"/>
        </w:rPr>
        <w:t>%作为履约担保，以银行转账、转帐支票、银行汇票或工程保函等形式提交交纳至发包人指定帐户。待工程</w:t>
      </w:r>
      <w:r>
        <w:rPr>
          <w:rFonts w:hint="eastAsia" w:ascii="宋体" w:hAnsi="宋体" w:cs="宋体"/>
          <w:sz w:val="21"/>
          <w:szCs w:val="21"/>
          <w:u w:val="single"/>
          <w:lang w:eastAsia="zh-CN"/>
        </w:rPr>
        <w:t>完</w:t>
      </w:r>
      <w:r>
        <w:rPr>
          <w:rFonts w:hint="eastAsia" w:ascii="宋体" w:hAnsi="宋体" w:eastAsia="宋体" w:cs="宋体"/>
          <w:sz w:val="21"/>
          <w:szCs w:val="21"/>
          <w:u w:val="single"/>
        </w:rPr>
        <w:t>工验收合格后</w:t>
      </w:r>
      <w:r>
        <w:rPr>
          <w:rFonts w:hint="eastAsia" w:ascii="宋体" w:hAnsi="宋体" w:cs="宋体"/>
          <w:sz w:val="21"/>
          <w:szCs w:val="21"/>
          <w:u w:val="single"/>
          <w:lang w:val="en-US" w:eastAsia="zh-CN"/>
        </w:rPr>
        <w:t>10天内</w:t>
      </w:r>
      <w:r>
        <w:rPr>
          <w:rFonts w:hint="eastAsia" w:ascii="宋体" w:hAnsi="宋体" w:eastAsia="宋体" w:cs="宋体"/>
          <w:sz w:val="21"/>
          <w:szCs w:val="21"/>
          <w:u w:val="single"/>
        </w:rPr>
        <w:t>，予以全部退还（无息）</w:t>
      </w:r>
      <w:r>
        <w:rPr>
          <w:rFonts w:hint="eastAsia" w:ascii="宋体" w:hAnsi="宋体" w:eastAsia="宋体" w:cs="宋体"/>
          <w:sz w:val="21"/>
          <w:szCs w:val="21"/>
        </w:rPr>
        <w:t>。</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b/>
          <w:sz w:val="21"/>
          <w:szCs w:val="21"/>
        </w:rPr>
      </w:pPr>
      <w:r>
        <w:rPr>
          <w:rFonts w:hint="eastAsia" w:ascii="宋体" w:hAnsi="宋体" w:eastAsia="宋体" w:cs="宋体"/>
          <w:b/>
          <w:sz w:val="21"/>
          <w:szCs w:val="21"/>
        </w:rPr>
        <w:t>（1）以银行转账、转帐支票、银行汇票等形式提交的：</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1）从投标人基本账户转出；</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b/>
          <w:sz w:val="21"/>
          <w:szCs w:val="21"/>
        </w:rPr>
      </w:pPr>
      <w:r>
        <w:rPr>
          <w:rFonts w:hint="eastAsia" w:ascii="宋体" w:hAnsi="宋体" w:eastAsia="宋体" w:cs="宋体"/>
          <w:b/>
          <w:sz w:val="21"/>
          <w:szCs w:val="21"/>
        </w:rPr>
        <w:t>（2）若采用工程保函形式的，应满足以下几个条件：</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1）工程保函包括银行保函、保险机构保证保险保单和融资担保公司保函。</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2）为见索即付保函：即在承包人没有实施合同或者未履行合同义务时，发包人不需要出具任何证明和理由，只要看到承包人违约，就可对工程保函进行收兑。</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3）保函期限：发包人与承包人签订的合同生效之日起至工程</w:t>
      </w:r>
      <w:r>
        <w:rPr>
          <w:rFonts w:hint="eastAsia" w:ascii="宋体" w:hAnsi="宋体" w:eastAsia="宋体" w:cs="宋体"/>
          <w:sz w:val="21"/>
          <w:szCs w:val="21"/>
          <w:lang w:eastAsia="zh-CN"/>
        </w:rPr>
        <w:t>完</w:t>
      </w:r>
      <w:r>
        <w:rPr>
          <w:rFonts w:hint="eastAsia" w:ascii="宋体" w:hAnsi="宋体" w:eastAsia="宋体" w:cs="宋体"/>
          <w:sz w:val="21"/>
          <w:szCs w:val="21"/>
        </w:rPr>
        <w:t>工验收合格之日止。（如承包人发生违约行为，工程通过</w:t>
      </w:r>
      <w:r>
        <w:rPr>
          <w:rFonts w:hint="eastAsia" w:ascii="宋体" w:hAnsi="宋体" w:cs="宋体"/>
          <w:sz w:val="21"/>
          <w:szCs w:val="21"/>
          <w:lang w:eastAsia="zh-CN"/>
        </w:rPr>
        <w:t>完</w:t>
      </w:r>
      <w:r>
        <w:rPr>
          <w:rFonts w:hint="eastAsia" w:ascii="宋体" w:hAnsi="宋体" w:eastAsia="宋体" w:cs="宋体"/>
          <w:sz w:val="21"/>
          <w:szCs w:val="21"/>
        </w:rPr>
        <w:t>工验收时，有违约事项未处理，则保函期限至违约事项处理为止。）</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4）如果由于工期延误或工程保函出具机构要求分期出具保函的，则在前一份保函有效期满之日</w:t>
      </w:r>
      <w:r>
        <w:rPr>
          <w:rFonts w:hint="eastAsia" w:ascii="宋体" w:hAnsi="宋体" w:cs="宋体"/>
          <w:sz w:val="21"/>
          <w:szCs w:val="21"/>
          <w:lang w:val="en-US" w:eastAsia="zh-CN"/>
        </w:rPr>
        <w:t>1</w:t>
      </w:r>
      <w:r>
        <w:rPr>
          <w:rFonts w:hint="eastAsia" w:ascii="宋体" w:hAnsi="宋体" w:eastAsia="宋体" w:cs="宋体"/>
          <w:sz w:val="21"/>
          <w:szCs w:val="21"/>
        </w:rPr>
        <w:t>个月前必须重新出具相同内容的保函；若不出具，发包人有权对工程保函进行收兑。</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40" w:name="_Toc527806776"/>
      <w:bookmarkStart w:id="641" w:name="_Toc527796422"/>
      <w:r>
        <w:rPr>
          <w:rFonts w:hint="eastAsia" w:ascii="宋体" w:hAnsi="宋体" w:eastAsia="宋体" w:cs="宋体"/>
          <w:sz w:val="21"/>
          <w:szCs w:val="21"/>
        </w:rPr>
        <w:t>4.3分包</w:t>
      </w:r>
      <w:bookmarkEnd w:id="640"/>
      <w:bookmarkEnd w:id="64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 xml:space="preserve">4.3.2 </w:t>
      </w:r>
      <w:r>
        <w:rPr>
          <w:rFonts w:hint="eastAsia" w:ascii="宋体" w:hAnsi="宋体" w:eastAsia="宋体" w:cs="宋体"/>
          <w:sz w:val="21"/>
          <w:szCs w:val="21"/>
        </w:rPr>
        <w:t xml:space="preserve">允许承包人分包的工程项目、工作内容与分包金额限额为：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（1）工程项目：</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（2）工作内容：</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（3）分包金额限额：</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4.3.10</w:t>
      </w:r>
      <w:r>
        <w:rPr>
          <w:rFonts w:hint="eastAsia" w:ascii="宋体" w:hAnsi="宋体" w:eastAsia="宋体" w:cs="宋体"/>
          <w:sz w:val="21"/>
          <w:szCs w:val="21"/>
        </w:rPr>
        <w:t xml:space="preserve">  分包人项目管理机构的设立：</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42" w:name="_Toc527796423"/>
      <w:bookmarkStart w:id="643" w:name="_Toc527806777"/>
      <w:r>
        <w:rPr>
          <w:rFonts w:hint="eastAsia" w:ascii="宋体" w:hAnsi="宋体" w:eastAsia="宋体" w:cs="宋体"/>
          <w:sz w:val="21"/>
          <w:szCs w:val="21"/>
        </w:rPr>
        <w:t>4.5 承包人项目负责人</w:t>
      </w:r>
      <w:bookmarkEnd w:id="642"/>
      <w:bookmarkEnd w:id="643"/>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本章4.5.5款补充：</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u w:val="single"/>
        </w:rPr>
      </w:pPr>
      <w:r>
        <w:rPr>
          <w:rFonts w:hint="eastAsia" w:ascii="宋体" w:hAnsi="宋体" w:eastAsia="宋体" w:cs="宋体"/>
          <w:b/>
          <w:bCs/>
          <w:sz w:val="21"/>
          <w:szCs w:val="21"/>
        </w:rPr>
        <w:t>项目负责人</w:t>
      </w:r>
      <w:r>
        <w:rPr>
          <w:rFonts w:hint="eastAsia" w:ascii="宋体" w:hAnsi="宋体" w:eastAsia="宋体" w:cs="宋体"/>
          <w:sz w:val="21"/>
          <w:szCs w:val="21"/>
        </w:rPr>
        <w:t>每月驻工地的天数不少于</w:t>
      </w:r>
      <w:r>
        <w:rPr>
          <w:rFonts w:hint="eastAsia" w:ascii="宋体" w:hAnsi="宋体" w:eastAsia="宋体" w:cs="宋体"/>
          <w:b/>
          <w:sz w:val="21"/>
          <w:szCs w:val="21"/>
          <w:u w:val="single"/>
        </w:rPr>
        <w:t xml:space="preserve"> </w:t>
      </w:r>
      <w:r>
        <w:rPr>
          <w:rFonts w:hint="eastAsia" w:ascii="宋体" w:hAnsi="宋体" w:cs="宋体"/>
          <w:b/>
          <w:sz w:val="21"/>
          <w:szCs w:val="21"/>
          <w:u w:val="single"/>
          <w:lang w:val="en-US" w:eastAsia="zh-CN"/>
        </w:rPr>
        <w:t>22</w:t>
      </w:r>
      <w:r>
        <w:rPr>
          <w:rFonts w:hint="eastAsia" w:ascii="宋体" w:hAnsi="宋体" w:eastAsia="宋体" w:cs="宋体"/>
          <w:b/>
          <w:sz w:val="21"/>
          <w:szCs w:val="21"/>
          <w:u w:val="single"/>
        </w:rPr>
        <w:t xml:space="preserve"> </w:t>
      </w:r>
      <w:r>
        <w:rPr>
          <w:rFonts w:hint="eastAsia" w:ascii="宋体" w:hAnsi="宋体" w:eastAsia="宋体" w:cs="宋体"/>
          <w:sz w:val="21"/>
          <w:szCs w:val="21"/>
        </w:rPr>
        <w:t>天，每少一天支付违约金</w:t>
      </w:r>
      <w:r>
        <w:rPr>
          <w:rFonts w:hint="eastAsia" w:ascii="宋体" w:hAnsi="宋体" w:eastAsia="宋体" w:cs="宋体"/>
          <w:b/>
          <w:sz w:val="21"/>
          <w:szCs w:val="21"/>
          <w:u w:val="single"/>
        </w:rPr>
        <w:t xml:space="preserve"> 500 </w:t>
      </w:r>
      <w:r>
        <w:rPr>
          <w:rFonts w:hint="eastAsia" w:ascii="宋体" w:hAnsi="宋体" w:eastAsia="宋体" w:cs="宋体"/>
          <w:b/>
          <w:sz w:val="21"/>
          <w:szCs w:val="21"/>
        </w:rPr>
        <w:t>元，</w:t>
      </w:r>
      <w:r>
        <w:rPr>
          <w:rFonts w:hint="eastAsia" w:ascii="宋体" w:hAnsi="宋体" w:eastAsia="宋体" w:cs="宋体"/>
          <w:snapToGrid w:val="0"/>
          <w:sz w:val="21"/>
          <w:szCs w:val="21"/>
        </w:rPr>
        <w:t>但扣款最终的累计总金额不应超过</w:t>
      </w:r>
      <w:r>
        <w:rPr>
          <w:rFonts w:hint="eastAsia" w:ascii="宋体" w:hAnsi="宋体" w:eastAsia="宋体" w:cs="宋体"/>
          <w:sz w:val="21"/>
          <w:szCs w:val="21"/>
          <w:u w:val="single"/>
        </w:rPr>
        <w:t>签约合同价的3%</w:t>
      </w:r>
      <w:r>
        <w:rPr>
          <w:rFonts w:hint="eastAsia" w:ascii="宋体" w:hAnsi="宋体" w:eastAsia="宋体" w:cs="宋体"/>
          <w:sz w:val="21"/>
          <w:szCs w:val="21"/>
        </w:rPr>
        <w:t>。</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上述违约金在当月工程进度款中直接扣除，在工地工作天数按监理人实际考勤记录为准。</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u w:val="single"/>
        </w:rPr>
      </w:pPr>
      <w:r>
        <w:rPr>
          <w:rFonts w:hint="eastAsia" w:ascii="宋体" w:hAnsi="宋体" w:eastAsia="宋体" w:cs="宋体"/>
          <w:sz w:val="21"/>
          <w:szCs w:val="21"/>
        </w:rPr>
        <w:t>承包人的项目负责人连续</w:t>
      </w:r>
      <w:r>
        <w:rPr>
          <w:rFonts w:hint="eastAsia" w:ascii="宋体" w:hAnsi="宋体" w:eastAsia="宋体" w:cs="宋体"/>
          <w:sz w:val="21"/>
          <w:szCs w:val="21"/>
          <w:u w:val="single"/>
        </w:rPr>
        <w:t xml:space="preserve"> </w:t>
      </w:r>
      <w:r>
        <w:rPr>
          <w:rFonts w:hint="eastAsia" w:ascii="宋体" w:hAnsi="宋体" w:eastAsia="宋体" w:cs="宋体"/>
          <w:b/>
          <w:sz w:val="21"/>
          <w:szCs w:val="21"/>
          <w:u w:val="single"/>
        </w:rPr>
        <w:t>2</w:t>
      </w:r>
      <w:r>
        <w:rPr>
          <w:rFonts w:hint="eastAsia" w:ascii="宋体" w:hAnsi="宋体" w:eastAsia="宋体" w:cs="宋体"/>
          <w:sz w:val="21"/>
          <w:szCs w:val="21"/>
          <w:u w:val="single"/>
        </w:rPr>
        <w:t xml:space="preserve"> </w:t>
      </w:r>
      <w:r>
        <w:rPr>
          <w:rFonts w:hint="eastAsia" w:ascii="宋体" w:hAnsi="宋体" w:eastAsia="宋体" w:cs="宋体"/>
          <w:sz w:val="21"/>
          <w:szCs w:val="21"/>
        </w:rPr>
        <w:t>个月及以上每月驻工地的天数少于</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22</w:t>
      </w:r>
      <w:r>
        <w:rPr>
          <w:rFonts w:hint="eastAsia" w:ascii="宋体" w:hAnsi="宋体" w:eastAsia="宋体" w:cs="宋体"/>
          <w:sz w:val="21"/>
          <w:szCs w:val="21"/>
          <w:u w:val="single"/>
        </w:rPr>
        <w:t xml:space="preserve"> </w:t>
      </w:r>
      <w:r>
        <w:rPr>
          <w:rFonts w:hint="eastAsia" w:ascii="宋体" w:hAnsi="宋体" w:eastAsia="宋体" w:cs="宋体"/>
          <w:sz w:val="21"/>
          <w:szCs w:val="21"/>
        </w:rPr>
        <w:t>天，发包人有权解除合同。</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4.6 承包人人员的管理</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本章4.6.3款补充：</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b/>
          <w:bCs/>
          <w:color w:val="auto"/>
          <w:sz w:val="21"/>
          <w:szCs w:val="21"/>
        </w:rPr>
        <w:t>项目技术负责人</w:t>
      </w:r>
      <w:r>
        <w:rPr>
          <w:rFonts w:hint="eastAsia" w:ascii="宋体" w:hAnsi="宋体" w:eastAsia="宋体" w:cs="宋体"/>
          <w:color w:val="auto"/>
          <w:sz w:val="21"/>
          <w:szCs w:val="21"/>
        </w:rPr>
        <w:t>每月驻工地时间不得少于</w:t>
      </w:r>
      <w:r>
        <w:rPr>
          <w:rFonts w:hint="eastAsia" w:ascii="宋体" w:hAnsi="宋体" w:cs="宋体"/>
          <w:color w:val="auto"/>
          <w:sz w:val="21"/>
          <w:szCs w:val="21"/>
          <w:u w:val="single"/>
          <w:lang w:val="en-US" w:eastAsia="zh-CN"/>
        </w:rPr>
        <w:t>22</w:t>
      </w:r>
      <w:r>
        <w:rPr>
          <w:rFonts w:hint="eastAsia" w:ascii="宋体" w:hAnsi="宋体" w:eastAsia="宋体" w:cs="宋体"/>
          <w:color w:val="auto"/>
          <w:sz w:val="21"/>
          <w:szCs w:val="21"/>
        </w:rPr>
        <w:t>天，每少一天支付违约金</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rPr>
        <w:t>00</w:t>
      </w:r>
      <w:r>
        <w:rPr>
          <w:rFonts w:hint="eastAsia" w:ascii="宋体" w:hAnsi="宋体" w:eastAsia="宋体" w:cs="宋体"/>
          <w:color w:val="auto"/>
          <w:sz w:val="21"/>
          <w:szCs w:val="21"/>
        </w:rPr>
        <w:t>元，但扣款最终的累计总金额不应超过</w:t>
      </w:r>
      <w:r>
        <w:rPr>
          <w:rFonts w:hint="eastAsia" w:ascii="宋体" w:hAnsi="宋体" w:eastAsia="宋体" w:cs="宋体"/>
          <w:color w:val="auto"/>
          <w:sz w:val="21"/>
          <w:szCs w:val="21"/>
          <w:u w:val="single"/>
        </w:rPr>
        <w:t>签约合同价的3%</w:t>
      </w:r>
      <w:r>
        <w:rPr>
          <w:rFonts w:hint="eastAsia" w:ascii="宋体" w:hAnsi="宋体" w:eastAsia="宋体" w:cs="宋体"/>
          <w:color w:val="auto"/>
          <w:sz w:val="21"/>
          <w:szCs w:val="21"/>
        </w:rPr>
        <w:t>。</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承包人的项目技术负责人连续</w:t>
      </w:r>
      <w:r>
        <w:rPr>
          <w:rFonts w:hint="eastAsia" w:ascii="宋体" w:hAnsi="宋体" w:eastAsia="宋体" w:cs="宋体"/>
          <w:color w:val="auto"/>
          <w:sz w:val="21"/>
          <w:szCs w:val="21"/>
          <w:u w:val="single"/>
        </w:rPr>
        <w:t xml:space="preserve"> </w:t>
      </w:r>
      <w:r>
        <w:rPr>
          <w:rFonts w:hint="eastAsia" w:ascii="宋体" w:hAnsi="宋体" w:eastAsia="宋体" w:cs="宋体"/>
          <w:b/>
          <w:color w:val="auto"/>
          <w:sz w:val="21"/>
          <w:szCs w:val="21"/>
          <w:u w:val="single"/>
        </w:rPr>
        <w:t>2</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个月及以上每月驻工地的天数少于</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val="en-US" w:eastAsia="zh-CN"/>
        </w:rPr>
        <w:t>22</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天，发包人有权解除合同。</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b/>
          <w:bCs/>
          <w:color w:val="auto"/>
          <w:sz w:val="21"/>
          <w:szCs w:val="21"/>
        </w:rPr>
        <w:t>专职安全生产管理人员</w:t>
      </w:r>
      <w:r>
        <w:rPr>
          <w:rFonts w:hint="eastAsia" w:ascii="宋体" w:hAnsi="宋体" w:eastAsia="宋体" w:cs="宋体"/>
          <w:color w:val="auto"/>
          <w:sz w:val="21"/>
          <w:szCs w:val="21"/>
        </w:rPr>
        <w:t>每月驻工地时间不得少于</w:t>
      </w:r>
      <w:r>
        <w:rPr>
          <w:rFonts w:hint="eastAsia" w:ascii="宋体" w:hAnsi="宋体" w:cs="宋体"/>
          <w:color w:val="auto"/>
          <w:sz w:val="21"/>
          <w:szCs w:val="21"/>
          <w:u w:val="single"/>
          <w:lang w:val="en-US" w:eastAsia="zh-CN"/>
        </w:rPr>
        <w:t>22</w:t>
      </w:r>
      <w:r>
        <w:rPr>
          <w:rFonts w:hint="eastAsia" w:ascii="宋体" w:hAnsi="宋体" w:eastAsia="宋体" w:cs="宋体"/>
          <w:color w:val="auto"/>
          <w:sz w:val="21"/>
          <w:szCs w:val="21"/>
        </w:rPr>
        <w:t>天，每少一天支付违约金</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rPr>
        <w:t>00</w:t>
      </w:r>
      <w:r>
        <w:rPr>
          <w:rFonts w:hint="eastAsia" w:ascii="宋体" w:hAnsi="宋体" w:eastAsia="宋体" w:cs="宋体"/>
          <w:color w:val="auto"/>
          <w:sz w:val="21"/>
          <w:szCs w:val="21"/>
        </w:rPr>
        <w:t>元，但扣款最终的累计总金额不应超过</w:t>
      </w:r>
      <w:r>
        <w:rPr>
          <w:rFonts w:hint="eastAsia" w:ascii="宋体" w:hAnsi="宋体" w:eastAsia="宋体" w:cs="宋体"/>
          <w:color w:val="auto"/>
          <w:sz w:val="21"/>
          <w:szCs w:val="21"/>
          <w:u w:val="single"/>
        </w:rPr>
        <w:t>签约合同价的3%</w:t>
      </w:r>
      <w:r>
        <w:rPr>
          <w:rFonts w:hint="eastAsia" w:ascii="宋体" w:hAnsi="宋体" w:eastAsia="宋体" w:cs="宋体"/>
          <w:color w:val="auto"/>
          <w:sz w:val="21"/>
          <w:szCs w:val="21"/>
        </w:rPr>
        <w:t>。</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承包人的专职安全生产管理人员连续2个月及以上每月驻工地的天数少于</w:t>
      </w:r>
      <w:r>
        <w:rPr>
          <w:rFonts w:hint="eastAsia" w:ascii="宋体" w:hAnsi="宋体" w:eastAsia="宋体" w:cs="宋体"/>
          <w:color w:val="auto"/>
          <w:sz w:val="21"/>
          <w:szCs w:val="21"/>
          <w:u w:val="single"/>
        </w:rPr>
        <w:t xml:space="preserve"> </w:t>
      </w:r>
      <w:r>
        <w:rPr>
          <w:rFonts w:hint="eastAsia" w:ascii="宋体" w:hAnsi="宋体" w:cs="宋体"/>
          <w:color w:val="auto"/>
          <w:sz w:val="21"/>
          <w:szCs w:val="21"/>
          <w:u w:val="single"/>
          <w:lang w:val="en-US" w:eastAsia="zh-CN"/>
        </w:rPr>
        <w:t>22</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天，发包人有权解除合同。</w:t>
      </w:r>
    </w:p>
    <w:p>
      <w:pPr>
        <w:pStyle w:val="59"/>
        <w:keepNext w:val="0"/>
        <w:keepLines w:val="0"/>
        <w:pageBreakBefore w:val="0"/>
        <w:widowControl w:val="0"/>
        <w:kinsoku/>
        <w:overflowPunct/>
        <w:topLinePunct w:val="0"/>
        <w:autoSpaceDE/>
        <w:autoSpaceDN/>
        <w:bidi w:val="0"/>
        <w:adjustRightInd w:val="0"/>
        <w:spacing w:line="360" w:lineRule="auto"/>
        <w:ind w:left="0"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注：上述违约金在当月工程进度款中直接扣除，在工地工作天数按监理人实际考勤记录为准。</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44" w:name="_Toc527806779"/>
      <w:bookmarkStart w:id="645" w:name="_Toc527796425"/>
      <w:r>
        <w:rPr>
          <w:rFonts w:hint="eastAsia" w:ascii="宋体" w:hAnsi="宋体" w:eastAsia="宋体" w:cs="宋体"/>
          <w:sz w:val="21"/>
          <w:szCs w:val="21"/>
        </w:rPr>
        <w:t>4.7撤换承包人项目负责人和其他人员</w:t>
      </w:r>
      <w:bookmarkEnd w:id="644"/>
      <w:bookmarkEnd w:id="645"/>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sz w:val="21"/>
          <w:szCs w:val="21"/>
        </w:rPr>
        <w:t>本款补充：</w:t>
      </w:r>
    </w:p>
    <w:p>
      <w:pPr>
        <w:keepNext w:val="0"/>
        <w:keepLines w:val="0"/>
        <w:pageBreakBefore w:val="0"/>
        <w:widowControl w:val="0"/>
        <w:kinsoku/>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项目负责人，技术负责人不得擅自更换。若承包人擅自更换的，除每人次需支付</w:t>
      </w:r>
      <w:r>
        <w:rPr>
          <w:rFonts w:hint="eastAsia" w:ascii="宋体" w:hAnsi="宋体" w:cs="宋体"/>
          <w:b/>
          <w:color w:val="auto"/>
          <w:sz w:val="21"/>
          <w:szCs w:val="21"/>
          <w:u w:val="single"/>
          <w:lang w:val="en-US" w:eastAsia="zh-CN"/>
        </w:rPr>
        <w:t>1</w:t>
      </w:r>
      <w:r>
        <w:rPr>
          <w:rFonts w:hint="eastAsia" w:ascii="宋体" w:hAnsi="宋体" w:eastAsia="宋体" w:cs="宋体"/>
          <w:b/>
          <w:color w:val="auto"/>
          <w:sz w:val="21"/>
          <w:szCs w:val="21"/>
          <w:u w:val="single"/>
          <w:lang w:val="en-US" w:eastAsia="zh-CN"/>
        </w:rPr>
        <w:t>万</w:t>
      </w:r>
      <w:r>
        <w:rPr>
          <w:rFonts w:hint="eastAsia" w:ascii="宋体" w:hAnsi="宋体" w:eastAsia="宋体" w:cs="宋体"/>
          <w:color w:val="auto"/>
          <w:sz w:val="21"/>
          <w:szCs w:val="21"/>
        </w:rPr>
        <w:t>元</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违约金外，发包人有权将其作为不良行为记录上报水行政主管部门；情节特别严重的，发包人有权中止合同。在合同工程未通过完工验收或合同解除前，项目负责人、技术负责人确需更换的，应征得发包人同意。并经原项目负责人备案主管部门同意，且更换后的人员不得低于原投标承诺人员所具有的资格和业绩条件。</w:t>
      </w:r>
      <w:r>
        <w:rPr>
          <w:rFonts w:hint="eastAsia" w:ascii="宋体" w:hAnsi="宋体" w:eastAsia="宋体" w:cs="宋体"/>
          <w:color w:val="auto"/>
          <w:sz w:val="21"/>
          <w:szCs w:val="21"/>
          <w:lang w:eastAsia="zh-CN"/>
        </w:rPr>
        <w:t>承包人需向发包人支付每人次</w:t>
      </w:r>
      <w:r>
        <w:rPr>
          <w:rFonts w:hint="eastAsia" w:ascii="宋体" w:hAnsi="宋体" w:cs="宋体"/>
          <w:b/>
          <w:bCs/>
          <w:color w:val="auto"/>
          <w:sz w:val="21"/>
          <w:szCs w:val="21"/>
          <w:u w:val="single"/>
          <w:lang w:val="en-US" w:eastAsia="zh-CN"/>
        </w:rPr>
        <w:t>5000</w:t>
      </w:r>
      <w:r>
        <w:rPr>
          <w:rFonts w:hint="eastAsia" w:ascii="宋体" w:hAnsi="宋体" w:eastAsia="宋体" w:cs="宋体"/>
          <w:b/>
          <w:bCs/>
          <w:color w:val="auto"/>
          <w:sz w:val="21"/>
          <w:szCs w:val="21"/>
          <w:u w:val="single"/>
          <w:lang w:val="en-US" w:eastAsia="zh-CN"/>
        </w:rPr>
        <w:t>元</w:t>
      </w:r>
      <w:r>
        <w:rPr>
          <w:rFonts w:hint="eastAsia" w:ascii="宋体" w:hAnsi="宋体" w:eastAsia="宋体" w:cs="宋体"/>
          <w:color w:val="auto"/>
          <w:sz w:val="21"/>
          <w:szCs w:val="21"/>
          <w:lang w:val="en-US" w:eastAsia="zh-CN"/>
        </w:rPr>
        <w:t>的违约金。</w:t>
      </w:r>
      <w:r>
        <w:rPr>
          <w:rFonts w:hint="eastAsia" w:ascii="宋体" w:hAnsi="宋体" w:eastAsia="宋体" w:cs="宋体"/>
          <w:color w:val="auto"/>
          <w:sz w:val="21"/>
          <w:szCs w:val="21"/>
        </w:rPr>
        <w:t>违约金在工程进度付款中扣除。</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color w:val="auto"/>
          <w:sz w:val="21"/>
          <w:szCs w:val="21"/>
        </w:rPr>
        <w:t>承包人的安全员、质量员、施工员、专职安全生产管理人员等人员擅自调换每人次需支付违约金</w:t>
      </w:r>
      <w:r>
        <w:rPr>
          <w:rFonts w:hint="eastAsia" w:ascii="宋体" w:hAnsi="宋体" w:cs="宋体"/>
          <w:b/>
          <w:color w:val="auto"/>
          <w:sz w:val="21"/>
          <w:szCs w:val="21"/>
          <w:u w:val="single"/>
          <w:lang w:val="en-US" w:eastAsia="zh-CN"/>
        </w:rPr>
        <w:t>5000</w:t>
      </w:r>
      <w:r>
        <w:rPr>
          <w:rFonts w:hint="eastAsia" w:ascii="宋体" w:hAnsi="宋体" w:eastAsia="宋体" w:cs="宋体"/>
          <w:color w:val="auto"/>
          <w:sz w:val="21"/>
          <w:szCs w:val="21"/>
        </w:rPr>
        <w:t>元。承包人的安全员、质量员、施工员、专职安全生产管理人员等人员确需更换的，应征得发包人同意。并经原项目负责人备案主管部门同意，且更换后的人员不得低于原投标承诺人员所具有的资格和业绩条件。</w:t>
      </w:r>
      <w:r>
        <w:rPr>
          <w:rFonts w:hint="eastAsia" w:ascii="宋体" w:hAnsi="宋体" w:eastAsia="宋体" w:cs="宋体"/>
          <w:color w:val="auto"/>
          <w:sz w:val="21"/>
          <w:szCs w:val="21"/>
          <w:lang w:eastAsia="zh-CN"/>
        </w:rPr>
        <w:t>承包人需向发包人支付每人次</w:t>
      </w:r>
      <w:r>
        <w:rPr>
          <w:rFonts w:hint="eastAsia" w:ascii="宋体" w:hAnsi="宋体" w:cs="宋体"/>
          <w:b/>
          <w:bCs/>
          <w:color w:val="auto"/>
          <w:sz w:val="21"/>
          <w:szCs w:val="21"/>
          <w:u w:val="single"/>
          <w:lang w:val="en-US" w:eastAsia="zh-CN"/>
        </w:rPr>
        <w:t>2000</w:t>
      </w:r>
      <w:r>
        <w:rPr>
          <w:rFonts w:hint="eastAsia" w:ascii="宋体" w:hAnsi="宋体" w:eastAsia="宋体" w:cs="宋体"/>
          <w:b/>
          <w:bCs/>
          <w:color w:val="auto"/>
          <w:sz w:val="21"/>
          <w:szCs w:val="21"/>
          <w:u w:val="single"/>
          <w:lang w:val="en-US" w:eastAsia="zh-CN"/>
        </w:rPr>
        <w:t>元</w:t>
      </w:r>
      <w:r>
        <w:rPr>
          <w:rFonts w:hint="eastAsia" w:ascii="宋体" w:hAnsi="宋体" w:eastAsia="宋体" w:cs="宋体"/>
          <w:color w:val="auto"/>
          <w:sz w:val="21"/>
          <w:szCs w:val="21"/>
          <w:lang w:val="en-US" w:eastAsia="zh-CN"/>
        </w:rPr>
        <w:t>的违约金。</w:t>
      </w:r>
      <w:r>
        <w:rPr>
          <w:rFonts w:hint="eastAsia" w:ascii="宋体" w:hAnsi="宋体" w:eastAsia="宋体" w:cs="宋体"/>
          <w:color w:val="auto"/>
          <w:sz w:val="21"/>
          <w:szCs w:val="21"/>
        </w:rPr>
        <w:t>违约</w:t>
      </w:r>
      <w:r>
        <w:rPr>
          <w:rFonts w:hint="eastAsia" w:ascii="宋体" w:hAnsi="宋体" w:eastAsia="宋体" w:cs="宋体"/>
          <w:color w:val="000000"/>
          <w:sz w:val="21"/>
          <w:szCs w:val="21"/>
        </w:rPr>
        <w:t>金在工程进度付款中扣除。</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46" w:name="_Toc527806780"/>
      <w:bookmarkStart w:id="647" w:name="_Toc527796426"/>
      <w:r>
        <w:rPr>
          <w:rFonts w:hint="eastAsia" w:ascii="宋体" w:hAnsi="宋体" w:eastAsia="宋体" w:cs="宋体"/>
          <w:sz w:val="21"/>
          <w:szCs w:val="21"/>
        </w:rPr>
        <w:t>4.11 不利物质条件</w:t>
      </w:r>
      <w:bookmarkEnd w:id="646"/>
      <w:bookmarkEnd w:id="647"/>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0000FF"/>
          <w:sz w:val="21"/>
          <w:szCs w:val="21"/>
        </w:rPr>
      </w:pPr>
      <w:r>
        <w:rPr>
          <w:rFonts w:hint="eastAsia" w:ascii="宋体" w:hAnsi="宋体" w:eastAsia="宋体" w:cs="宋体"/>
          <w:sz w:val="21"/>
          <w:szCs w:val="21"/>
        </w:rPr>
        <w:t>4.11.1 不利</w:t>
      </w:r>
      <w:r>
        <w:rPr>
          <w:rFonts w:hint="eastAsia" w:ascii="宋体" w:hAnsi="宋体" w:eastAsia="宋体" w:cs="宋体"/>
          <w:color w:val="auto"/>
          <w:sz w:val="21"/>
          <w:szCs w:val="21"/>
        </w:rPr>
        <w:t>物质条件的范围：</w:t>
      </w:r>
      <w:r>
        <w:rPr>
          <w:rFonts w:hint="eastAsia" w:ascii="宋体" w:hAnsi="宋体" w:eastAsia="宋体" w:cs="宋体"/>
          <w:color w:val="auto"/>
          <w:sz w:val="21"/>
          <w:szCs w:val="21"/>
          <w:u w:val="single"/>
        </w:rPr>
        <w:t>施工中可能遇到文物或古迹或老管道等。</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48" w:name="_Toc527796427"/>
      <w:bookmarkStart w:id="649" w:name="_Toc527806781"/>
      <w:bookmarkStart w:id="650" w:name="_Toc527796531"/>
      <w:bookmarkStart w:id="651" w:name="_Toc5192"/>
      <w:bookmarkStart w:id="652" w:name="_Toc529533172"/>
      <w:bookmarkStart w:id="653" w:name="_Toc527796325"/>
      <w:bookmarkStart w:id="654" w:name="_Toc529533023"/>
      <w:r>
        <w:rPr>
          <w:rFonts w:hint="eastAsia" w:ascii="宋体" w:hAnsi="宋体" w:eastAsia="宋体" w:cs="宋体"/>
          <w:sz w:val="21"/>
          <w:szCs w:val="21"/>
        </w:rPr>
        <w:t>5 材料和工程设备</w:t>
      </w:r>
      <w:bookmarkEnd w:id="648"/>
      <w:bookmarkEnd w:id="649"/>
      <w:bookmarkEnd w:id="650"/>
      <w:bookmarkEnd w:id="651"/>
      <w:bookmarkEnd w:id="652"/>
      <w:bookmarkEnd w:id="653"/>
      <w:bookmarkEnd w:id="654"/>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55" w:name="_Toc527806782"/>
      <w:bookmarkStart w:id="656" w:name="_Toc527796428"/>
      <w:r>
        <w:rPr>
          <w:rFonts w:hint="eastAsia" w:ascii="宋体" w:hAnsi="宋体" w:eastAsia="宋体" w:cs="宋体"/>
          <w:sz w:val="21"/>
          <w:szCs w:val="21"/>
        </w:rPr>
        <w:t>5.2 发包人提供的材料和工程设备</w:t>
      </w:r>
      <w:bookmarkEnd w:id="655"/>
      <w:bookmarkEnd w:id="656"/>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删除本款全文，代之以：发包人不提供材料和工程设备。</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57" w:name="_Toc529533173"/>
      <w:bookmarkStart w:id="658" w:name="_Toc9327"/>
      <w:bookmarkStart w:id="659" w:name="_Toc527796532"/>
      <w:bookmarkStart w:id="660" w:name="_Toc529533024"/>
      <w:bookmarkStart w:id="661" w:name="_Toc527796429"/>
      <w:bookmarkStart w:id="662" w:name="_Toc527806783"/>
      <w:bookmarkStart w:id="663" w:name="_Toc527796326"/>
      <w:r>
        <w:rPr>
          <w:rFonts w:hint="eastAsia" w:ascii="宋体" w:hAnsi="宋体" w:eastAsia="宋体" w:cs="宋体"/>
          <w:sz w:val="21"/>
          <w:szCs w:val="21"/>
        </w:rPr>
        <w:t>6 施工设备和临时设施</w:t>
      </w:r>
      <w:bookmarkEnd w:id="657"/>
      <w:bookmarkEnd w:id="658"/>
      <w:bookmarkEnd w:id="659"/>
      <w:bookmarkEnd w:id="660"/>
      <w:bookmarkEnd w:id="661"/>
      <w:bookmarkEnd w:id="662"/>
      <w:bookmarkEnd w:id="663"/>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64" w:name="_Toc527806784"/>
      <w:bookmarkStart w:id="665" w:name="_Toc527796430"/>
      <w:r>
        <w:rPr>
          <w:rFonts w:hint="eastAsia" w:ascii="宋体" w:hAnsi="宋体" w:eastAsia="宋体" w:cs="宋体"/>
          <w:sz w:val="21"/>
          <w:szCs w:val="21"/>
        </w:rPr>
        <w:t>6.2 发包人提供的施工设备和临时设施</w:t>
      </w:r>
      <w:bookmarkEnd w:id="664"/>
      <w:bookmarkEnd w:id="665"/>
      <w:bookmarkStart w:id="666" w:name="_Toc527796533"/>
      <w:bookmarkStart w:id="667" w:name="_Toc527796327"/>
      <w:bookmarkStart w:id="668" w:name="_Toc527806785"/>
      <w:bookmarkStart w:id="669" w:name="_Toc527796431"/>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发包人不提供施工设备和临时设施。</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70" w:name="_Toc529533025"/>
      <w:bookmarkStart w:id="671" w:name="_Toc18325"/>
      <w:bookmarkStart w:id="672" w:name="_Toc529533174"/>
      <w:r>
        <w:rPr>
          <w:rFonts w:hint="eastAsia" w:ascii="宋体" w:hAnsi="宋体" w:eastAsia="宋体" w:cs="宋体"/>
          <w:sz w:val="21"/>
          <w:szCs w:val="21"/>
        </w:rPr>
        <w:t>7 交通运输</w:t>
      </w:r>
      <w:bookmarkEnd w:id="666"/>
      <w:bookmarkEnd w:id="667"/>
      <w:bookmarkEnd w:id="668"/>
      <w:bookmarkEnd w:id="669"/>
      <w:bookmarkEnd w:id="670"/>
      <w:bookmarkEnd w:id="671"/>
      <w:bookmarkEnd w:id="672"/>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73" w:name="_Toc527806786"/>
      <w:bookmarkStart w:id="674" w:name="_Toc527796432"/>
      <w:r>
        <w:rPr>
          <w:rFonts w:hint="eastAsia" w:ascii="宋体" w:hAnsi="宋体" w:eastAsia="宋体" w:cs="宋体"/>
          <w:sz w:val="21"/>
          <w:szCs w:val="21"/>
        </w:rPr>
        <w:t>7.1 道路通行权和场外设施</w:t>
      </w:r>
      <w:bookmarkEnd w:id="673"/>
      <w:bookmarkEnd w:id="674"/>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道路通行权和场外设施的约定：</w:t>
      </w:r>
      <w:r>
        <w:rPr>
          <w:rFonts w:hint="eastAsia" w:ascii="宋体" w:hAnsi="宋体" w:eastAsia="宋体" w:cs="宋体"/>
          <w:sz w:val="21"/>
          <w:szCs w:val="21"/>
          <w:u w:val="single"/>
        </w:rPr>
        <w:t>另行约定</w:t>
      </w:r>
      <w:r>
        <w:rPr>
          <w:rFonts w:hint="eastAsia" w:ascii="宋体" w:hAnsi="宋体" w:eastAsia="宋体" w:cs="宋体"/>
          <w:color w:val="000000"/>
          <w:sz w:val="21"/>
          <w:szCs w:val="21"/>
          <w:u w:val="single"/>
        </w:rPr>
        <w:t>。</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75" w:name="_Toc529533175"/>
      <w:bookmarkStart w:id="676" w:name="_Toc527796433"/>
      <w:bookmarkStart w:id="677" w:name="_Toc527796328"/>
      <w:bookmarkStart w:id="678" w:name="_Toc529533026"/>
      <w:bookmarkStart w:id="679" w:name="_Toc527806787"/>
      <w:bookmarkStart w:id="680" w:name="_Toc9923"/>
      <w:bookmarkStart w:id="681" w:name="_Toc527796534"/>
      <w:r>
        <w:rPr>
          <w:rFonts w:hint="eastAsia" w:ascii="宋体" w:hAnsi="宋体" w:eastAsia="宋体" w:cs="宋体"/>
          <w:sz w:val="21"/>
          <w:szCs w:val="21"/>
        </w:rPr>
        <w:t>8 测量放线</w:t>
      </w:r>
      <w:bookmarkEnd w:id="675"/>
      <w:bookmarkEnd w:id="676"/>
      <w:bookmarkEnd w:id="677"/>
      <w:bookmarkEnd w:id="678"/>
      <w:bookmarkEnd w:id="679"/>
      <w:bookmarkEnd w:id="680"/>
      <w:bookmarkEnd w:id="681"/>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82" w:name="_Toc527796434"/>
      <w:bookmarkStart w:id="683" w:name="_Toc527806788"/>
      <w:r>
        <w:rPr>
          <w:rFonts w:hint="eastAsia" w:ascii="宋体" w:hAnsi="宋体" w:eastAsia="宋体" w:cs="宋体"/>
          <w:sz w:val="21"/>
          <w:szCs w:val="21"/>
        </w:rPr>
        <w:t>8.1 施工控制网</w:t>
      </w:r>
      <w:bookmarkEnd w:id="682"/>
      <w:bookmarkEnd w:id="683"/>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8.1.1 施工控制网的约定：</w:t>
      </w:r>
      <w:r>
        <w:rPr>
          <w:rFonts w:hint="eastAsia" w:ascii="宋体" w:hAnsi="宋体" w:eastAsia="宋体" w:cs="宋体"/>
          <w:sz w:val="21"/>
          <w:szCs w:val="21"/>
          <w:u w:val="single"/>
        </w:rPr>
        <w:t>发包人应在本合同协议书签订后的14天内，通过监理人向承包人提供测量基准点布置图、基准线和水准点及其书面资料。承包人在接到测量基准点布置图后14天内完成施工控制网布设，并将施工控制网资料报送监理人审批。监理人应在收到报批件后14天内批复承包人。</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84" w:name="_Toc529533176"/>
      <w:bookmarkStart w:id="685" w:name="_Toc527796329"/>
      <w:bookmarkStart w:id="686" w:name="_Toc9476"/>
      <w:bookmarkStart w:id="687" w:name="_Toc529533027"/>
      <w:bookmarkStart w:id="688" w:name="_Toc527806789"/>
      <w:bookmarkStart w:id="689" w:name="_Toc527796535"/>
      <w:bookmarkStart w:id="690" w:name="_Toc527796435"/>
      <w:r>
        <w:rPr>
          <w:rFonts w:hint="eastAsia" w:ascii="宋体" w:hAnsi="宋体" w:eastAsia="宋体" w:cs="宋体"/>
          <w:sz w:val="21"/>
          <w:szCs w:val="21"/>
        </w:rPr>
        <w:t>9 施工安全、治安保卫和环境保护</w:t>
      </w:r>
      <w:bookmarkEnd w:id="684"/>
      <w:bookmarkEnd w:id="685"/>
      <w:bookmarkEnd w:id="686"/>
      <w:bookmarkEnd w:id="687"/>
      <w:bookmarkEnd w:id="688"/>
      <w:bookmarkEnd w:id="689"/>
      <w:bookmarkEnd w:id="690"/>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9.1发包人的施工安全责任</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9.1.4 发包人提供</w:t>
      </w:r>
      <w:r>
        <w:rPr>
          <w:rFonts w:hint="eastAsia" w:ascii="宋体" w:hAnsi="宋体" w:eastAsia="宋体" w:cs="宋体"/>
          <w:sz w:val="21"/>
          <w:szCs w:val="21"/>
          <w:u w:val="single"/>
        </w:rPr>
        <w:t xml:space="preserve">  /  </w:t>
      </w:r>
      <w:r>
        <w:rPr>
          <w:rFonts w:hint="eastAsia" w:ascii="宋体" w:hAnsi="宋体" w:eastAsia="宋体" w:cs="宋体"/>
          <w:sz w:val="21"/>
          <w:szCs w:val="21"/>
        </w:rPr>
        <w:t>资料，其余资料由承包人负责收集。</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9.2 承包人的施工安全责任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color w:val="000000"/>
          <w:sz w:val="21"/>
          <w:szCs w:val="21"/>
        </w:rPr>
      </w:pPr>
      <w:r>
        <w:rPr>
          <w:rFonts w:hint="eastAsia" w:ascii="宋体" w:hAnsi="宋体" w:eastAsia="宋体" w:cs="宋体"/>
          <w:snapToGrid w:val="0"/>
          <w:color w:val="000000"/>
          <w:sz w:val="21"/>
          <w:szCs w:val="21"/>
        </w:rPr>
        <w:t>9.2.12 下列工程应编制专项施工方案：</w:t>
      </w:r>
      <w:r>
        <w:rPr>
          <w:rFonts w:hint="eastAsia" w:ascii="宋体" w:hAnsi="宋体" w:eastAsia="宋体" w:cs="宋体"/>
          <w:snapToGrid w:val="0"/>
          <w:color w:val="000000"/>
          <w:sz w:val="21"/>
          <w:szCs w:val="21"/>
          <w:u w:val="single"/>
        </w:rPr>
        <w:t xml:space="preserve">             </w:t>
      </w:r>
      <w:r>
        <w:rPr>
          <w:rFonts w:hint="eastAsia" w:ascii="宋体" w:hAnsi="宋体" w:eastAsia="宋体" w:cs="宋体"/>
          <w:snapToGrid w:val="0"/>
          <w:color w:val="000000"/>
          <w:sz w:val="21"/>
          <w:szCs w:val="21"/>
        </w:rPr>
        <w:t>，其中</w:t>
      </w:r>
      <w:r>
        <w:rPr>
          <w:rFonts w:hint="eastAsia" w:ascii="宋体" w:hAnsi="宋体" w:eastAsia="宋体" w:cs="宋体"/>
          <w:snapToGrid w:val="0"/>
          <w:color w:val="000000"/>
          <w:sz w:val="21"/>
          <w:szCs w:val="21"/>
          <w:u w:val="single"/>
        </w:rPr>
        <w:t xml:space="preserve">       </w:t>
      </w:r>
      <w:r>
        <w:rPr>
          <w:rFonts w:hint="eastAsia" w:ascii="宋体" w:hAnsi="宋体" w:eastAsia="宋体" w:cs="宋体"/>
          <w:snapToGrid w:val="0"/>
          <w:color w:val="000000"/>
          <w:sz w:val="21"/>
          <w:szCs w:val="21"/>
        </w:rPr>
        <w:t>应组织专家论证和审查。</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9.7 文明工地 </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本合同文明工地的约定：</w:t>
      </w:r>
      <w:r>
        <w:rPr>
          <w:rFonts w:hint="eastAsia" w:ascii="宋体" w:hAnsi="宋体" w:eastAsia="宋体" w:cs="宋体"/>
          <w:snapToGrid w:val="0"/>
          <w:sz w:val="21"/>
          <w:szCs w:val="21"/>
          <w:u w:val="single"/>
        </w:rPr>
        <w:t>按文明标化工地施工，执行温州相关文明标化工地文件</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91" w:name="_Toc527796439"/>
      <w:bookmarkStart w:id="692" w:name="_Toc529533177"/>
      <w:bookmarkStart w:id="693" w:name="_Toc527806793"/>
      <w:bookmarkStart w:id="694" w:name="_Toc13777"/>
      <w:bookmarkStart w:id="695" w:name="_Toc527796330"/>
      <w:bookmarkStart w:id="696" w:name="_Toc527796536"/>
      <w:bookmarkStart w:id="697" w:name="_Toc529533028"/>
      <w:r>
        <w:rPr>
          <w:rFonts w:hint="eastAsia" w:ascii="宋体" w:hAnsi="宋体" w:eastAsia="宋体" w:cs="宋体"/>
          <w:sz w:val="21"/>
          <w:szCs w:val="21"/>
        </w:rPr>
        <w:t>11 开工和完工</w:t>
      </w:r>
      <w:bookmarkEnd w:id="691"/>
      <w:bookmarkEnd w:id="692"/>
      <w:bookmarkEnd w:id="693"/>
      <w:bookmarkEnd w:id="694"/>
      <w:bookmarkEnd w:id="695"/>
      <w:bookmarkEnd w:id="696"/>
      <w:bookmarkEnd w:id="697"/>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698" w:name="_Toc527806794"/>
      <w:bookmarkStart w:id="699" w:name="_Toc527796440"/>
      <w:r>
        <w:rPr>
          <w:rFonts w:hint="eastAsia" w:ascii="宋体" w:hAnsi="宋体" w:eastAsia="宋体" w:cs="宋体"/>
          <w:sz w:val="21"/>
          <w:szCs w:val="21"/>
        </w:rPr>
        <w:t>11.4异常恶劣的气候条件</w:t>
      </w:r>
      <w:bookmarkEnd w:id="698"/>
      <w:bookmarkEnd w:id="699"/>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0" w:firstLineChars="0"/>
        <w:jc w:val="both"/>
        <w:textAlignment w:val="auto"/>
        <w:rPr>
          <w:rFonts w:hint="eastAsia" w:ascii="宋体" w:hAnsi="宋体" w:eastAsia="宋体" w:cs="宋体"/>
          <w:sz w:val="21"/>
          <w:szCs w:val="21"/>
        </w:rPr>
      </w:pPr>
      <w:r>
        <w:rPr>
          <w:rFonts w:hint="eastAsia" w:ascii="宋体" w:hAnsi="宋体" w:eastAsia="宋体" w:cs="宋体"/>
          <w:b/>
          <w:sz w:val="21"/>
          <w:szCs w:val="21"/>
        </w:rPr>
        <w:t>11.4.3</w:t>
      </w:r>
      <w:r>
        <w:rPr>
          <w:rFonts w:hint="eastAsia" w:ascii="宋体" w:hAnsi="宋体" w:eastAsia="宋体" w:cs="宋体"/>
          <w:sz w:val="21"/>
          <w:szCs w:val="21"/>
        </w:rPr>
        <w:t xml:space="preserve"> 本合同工程界定异常恶劣气候条件的范围为： </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（1）日降雨量大于50mm的雨天连续超过 7 天（含）；</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napToGrid w:val="0"/>
          <w:sz w:val="21"/>
          <w:szCs w:val="21"/>
        </w:rPr>
        <w:t>当地防汛指挥部门因抗台而启动的二级及以上台风灾害</w:t>
      </w:r>
      <w:r>
        <w:rPr>
          <w:rFonts w:hint="eastAsia" w:ascii="宋体" w:hAnsi="宋体" w:eastAsia="宋体" w:cs="宋体"/>
          <w:sz w:val="21"/>
          <w:szCs w:val="21"/>
        </w:rPr>
        <w:t>；</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（3）日最高气温超过 40 ℃的高温连续大于 3 天；</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（4）日最低气温低于 -5 ℃的严寒连续大于 3 天；</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napToGrid w:val="0"/>
          <w:sz w:val="21"/>
          <w:szCs w:val="21"/>
        </w:rPr>
      </w:pPr>
      <w:r>
        <w:rPr>
          <w:rFonts w:hint="eastAsia" w:ascii="宋体" w:hAnsi="宋体" w:eastAsia="宋体" w:cs="宋体"/>
          <w:sz w:val="21"/>
          <w:szCs w:val="21"/>
        </w:rPr>
        <w:t>（5）造成工程损失的冰雹和大雪灾害</w:t>
      </w:r>
      <w:r>
        <w:rPr>
          <w:rFonts w:hint="eastAsia" w:ascii="宋体" w:hAnsi="宋体" w:eastAsia="宋体" w:cs="宋体"/>
          <w:snapToGrid w:val="0"/>
          <w:sz w:val="21"/>
          <w:szCs w:val="21"/>
        </w:rPr>
        <w:t>：</w:t>
      </w:r>
      <w:r>
        <w:rPr>
          <w:rFonts w:hint="eastAsia" w:ascii="宋体" w:hAnsi="宋体" w:eastAsia="宋体" w:cs="宋体"/>
          <w:snapToGrid w:val="0"/>
          <w:sz w:val="21"/>
          <w:szCs w:val="21"/>
          <w:u w:val="single"/>
        </w:rPr>
        <w:t xml:space="preserve"> 日降雪量10mm及以上 </w:t>
      </w:r>
      <w:r>
        <w:rPr>
          <w:rFonts w:hint="eastAsia" w:ascii="宋体" w:hAnsi="宋体" w:eastAsia="宋体" w:cs="宋体"/>
          <w:snapToGrid w:val="0"/>
          <w:sz w:val="21"/>
          <w:szCs w:val="21"/>
        </w:rPr>
        <w:t>；</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napToGrid w:val="0"/>
          <w:sz w:val="21"/>
          <w:szCs w:val="21"/>
        </w:rPr>
        <w:t>（6）</w:t>
      </w:r>
      <w:r>
        <w:rPr>
          <w:rFonts w:hint="eastAsia" w:ascii="宋体" w:hAnsi="宋体" w:eastAsia="宋体" w:cs="宋体"/>
          <w:sz w:val="21"/>
          <w:szCs w:val="21"/>
        </w:rPr>
        <w:t>其它法律法规规定的异常恶劣气候灾害。</w:t>
      </w:r>
    </w:p>
    <w:p>
      <w:pPr>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注：</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1）异常恶劣气候的时间，监理人将根据承包人的申请和提交的证明予以评定。恶劣气候在每个月对工程进度影响的评定，应在整个合同期内予以累计。</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2）若恶劣气候只是对局部工程有影响，承包人应采取合同措施予以弥补，而不能推迟工程的总工期。</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3）受本款所述的恶劣气候影响的分项工程，必须在工程施工进度网络计划的关键线路上，监理人方能考虑延长工程总工期。</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4）以上气象条件指当地气象防汛部门。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00" w:name="_Toc527806795"/>
      <w:bookmarkStart w:id="701" w:name="_Toc527796441"/>
      <w:r>
        <w:rPr>
          <w:rFonts w:hint="eastAsia" w:ascii="宋体" w:hAnsi="宋体" w:eastAsia="宋体" w:cs="宋体"/>
          <w:sz w:val="21"/>
          <w:szCs w:val="21"/>
        </w:rPr>
        <w:t>11.5 承包人工期延误</w:t>
      </w:r>
      <w:bookmarkEnd w:id="700"/>
      <w:bookmarkEnd w:id="70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（1）逾期完工违约金表。 </w:t>
      </w:r>
    </w:p>
    <w:tbl>
      <w:tblPr>
        <w:tblStyle w:val="23"/>
        <w:tblW w:w="9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3061"/>
        <w:gridCol w:w="2460"/>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61"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序号</w:t>
            </w:r>
          </w:p>
        </w:tc>
        <w:tc>
          <w:tcPr>
            <w:tcW w:w="3061"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项目及其说明</w:t>
            </w:r>
          </w:p>
        </w:tc>
        <w:tc>
          <w:tcPr>
            <w:tcW w:w="2460"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要求完工日期</w:t>
            </w:r>
          </w:p>
        </w:tc>
        <w:tc>
          <w:tcPr>
            <w:tcW w:w="3143"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违约金（元／天）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61"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3061" w:type="dxa"/>
            <w:noWrap w:val="0"/>
            <w:vAlign w:val="center"/>
          </w:tcPr>
          <w:p>
            <w:pPr>
              <w:pStyle w:val="60"/>
              <w:keepNext w:val="0"/>
              <w:keepLines w:val="0"/>
              <w:pageBreakBefore w:val="0"/>
              <w:widowControl w:val="0"/>
              <w:kinsoku/>
              <w:wordWrap/>
              <w:overflowPunct/>
              <w:topLinePunct w:val="0"/>
              <w:autoSpaceDE/>
              <w:autoSpaceDN/>
              <w:bidi w:val="0"/>
              <w:adjustRightInd w:val="0"/>
              <w:snapToGrid/>
              <w:spacing w:line="240" w:lineRule="auto"/>
              <w:ind w:left="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瑞安市曹村镇宋岙溪河道治理工程</w:t>
            </w:r>
          </w:p>
        </w:tc>
        <w:tc>
          <w:tcPr>
            <w:tcW w:w="2460"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contextualSpacing/>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施工工期：</w:t>
            </w:r>
            <w:r>
              <w:rPr>
                <w:rFonts w:hint="eastAsia" w:ascii="宋体" w:hAnsi="宋体" w:cs="宋体"/>
                <w:color w:val="auto"/>
                <w:kern w:val="0"/>
                <w:sz w:val="21"/>
                <w:szCs w:val="21"/>
                <w:highlight w:val="none"/>
                <w:lang w:val="en-US" w:eastAsia="zh-CN"/>
              </w:rPr>
              <w:t>180</w:t>
            </w:r>
            <w:r>
              <w:rPr>
                <w:rFonts w:hint="eastAsia" w:ascii="宋体" w:hAnsi="宋体" w:eastAsia="宋体" w:cs="宋体"/>
                <w:color w:val="auto"/>
                <w:kern w:val="0"/>
                <w:sz w:val="21"/>
                <w:szCs w:val="21"/>
                <w:highlight w:val="none"/>
              </w:rPr>
              <w:t>日历天</w:t>
            </w:r>
          </w:p>
        </w:tc>
        <w:tc>
          <w:tcPr>
            <w:tcW w:w="3143"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按合同施工工期每延误一天，</w:t>
            </w:r>
          </w:p>
          <w:p>
            <w:pPr>
              <w:keepNext w:val="0"/>
              <w:keepLines w:val="0"/>
              <w:pageBreakBefore w:val="0"/>
              <w:widowControl w:val="0"/>
              <w:kinsoku/>
              <w:wordWrap/>
              <w:overflowPunct/>
              <w:topLinePunct w:val="0"/>
              <w:autoSpaceDE/>
              <w:autoSpaceDN/>
              <w:bidi w:val="0"/>
              <w:adjustRightInd w:val="0"/>
              <w:snapToGrid/>
              <w:spacing w:line="240" w:lineRule="auto"/>
              <w:ind w:left="0"/>
              <w:contextualSpacing/>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支付违约金</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00元。</w:t>
            </w:r>
          </w:p>
        </w:tc>
      </w:tr>
    </w:tbl>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全部逾期完工违约金的总限额不超过签约合同价的</w:t>
      </w:r>
      <w:r>
        <w:rPr>
          <w:rFonts w:hint="eastAsia" w:ascii="宋体" w:hAnsi="宋体" w:cs="宋体"/>
          <w:color w:val="auto"/>
          <w:sz w:val="21"/>
          <w:szCs w:val="21"/>
          <w:u w:val="single"/>
          <w:lang w:val="en-US" w:eastAsia="zh-CN"/>
        </w:rPr>
        <w:t xml:space="preserve"> 3 </w:t>
      </w:r>
      <w:r>
        <w:rPr>
          <w:rFonts w:hint="eastAsia" w:ascii="宋体" w:hAnsi="宋体" w:eastAsia="宋体" w:cs="宋体"/>
          <w:color w:val="auto"/>
          <w:sz w:val="21"/>
          <w:szCs w:val="21"/>
          <w:u w:val="single"/>
          <w:lang w:val="en-US" w:eastAsia="zh-CN"/>
        </w:rPr>
        <w:t>%</w:t>
      </w:r>
      <w:r>
        <w:rPr>
          <w:rFonts w:hint="eastAsia" w:ascii="宋体" w:hAnsi="宋体" w:eastAsia="宋体" w:cs="宋体"/>
          <w:color w:val="auto"/>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02" w:name="_Toc527796442"/>
      <w:bookmarkStart w:id="703" w:name="_Toc527806796"/>
      <w:r>
        <w:rPr>
          <w:rFonts w:hint="eastAsia" w:ascii="宋体" w:hAnsi="宋体" w:eastAsia="宋体" w:cs="宋体"/>
          <w:sz w:val="21"/>
          <w:szCs w:val="21"/>
        </w:rPr>
        <w:t>11.6 工期提前</w:t>
      </w:r>
      <w:bookmarkEnd w:id="702"/>
      <w:bookmarkEnd w:id="703"/>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工期提前的奖金约定：</w:t>
      </w:r>
      <w:r>
        <w:rPr>
          <w:rFonts w:hint="eastAsia" w:ascii="宋体" w:hAnsi="宋体" w:eastAsia="宋体" w:cs="宋体"/>
          <w:sz w:val="21"/>
          <w:szCs w:val="21"/>
          <w:u w:val="single"/>
        </w:rPr>
        <w:t>工期提前不奖</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04" w:name="_Toc527796537"/>
      <w:bookmarkStart w:id="705" w:name="_Toc529533029"/>
      <w:bookmarkStart w:id="706" w:name="_Toc527796443"/>
      <w:bookmarkStart w:id="707" w:name="_Toc529533178"/>
      <w:bookmarkStart w:id="708" w:name="_Toc527806797"/>
      <w:bookmarkStart w:id="709" w:name="_Toc1005"/>
      <w:bookmarkStart w:id="710" w:name="_Toc527796331"/>
      <w:r>
        <w:rPr>
          <w:rFonts w:hint="eastAsia" w:ascii="宋体" w:hAnsi="宋体" w:eastAsia="宋体" w:cs="宋体"/>
          <w:sz w:val="21"/>
          <w:szCs w:val="21"/>
        </w:rPr>
        <w:t>12 暂停施工</w:t>
      </w:r>
      <w:bookmarkEnd w:id="704"/>
      <w:bookmarkEnd w:id="705"/>
      <w:bookmarkEnd w:id="706"/>
      <w:bookmarkEnd w:id="707"/>
      <w:bookmarkEnd w:id="708"/>
      <w:bookmarkEnd w:id="709"/>
      <w:bookmarkEnd w:id="710"/>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11" w:name="_Toc527806798"/>
      <w:bookmarkStart w:id="712" w:name="_Toc527796444"/>
      <w:r>
        <w:rPr>
          <w:rFonts w:hint="eastAsia" w:ascii="宋体" w:hAnsi="宋体" w:eastAsia="宋体" w:cs="宋体"/>
          <w:sz w:val="21"/>
          <w:szCs w:val="21"/>
        </w:rPr>
        <w:t>12.1 承包人暂停施工的责任</w:t>
      </w:r>
      <w:bookmarkEnd w:id="711"/>
      <w:bookmarkEnd w:id="712"/>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（5）承包人承担暂停施工责任的其它情形：</w:t>
      </w:r>
      <w:r>
        <w:rPr>
          <w:rFonts w:hint="eastAsia" w:ascii="宋体" w:hAnsi="宋体" w:eastAsia="宋体" w:cs="宋体"/>
          <w:snapToGrid w:val="0"/>
          <w:sz w:val="21"/>
          <w:szCs w:val="21"/>
          <w:u w:val="single"/>
        </w:rPr>
        <w:t>现场气象、水文、地质条件导致的必要停工（第11.4.3项规定的异常恶劣的气候条件除外）</w:t>
      </w:r>
      <w:r>
        <w:rPr>
          <w:rFonts w:hint="eastAsia" w:ascii="宋体" w:hAnsi="宋体" w:eastAsia="宋体" w:cs="宋体"/>
          <w:color w:val="000000"/>
          <w:sz w:val="21"/>
          <w:szCs w:val="21"/>
        </w:rPr>
        <w:t>。</w:t>
      </w:r>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13" w:name="_Toc527796445"/>
      <w:bookmarkStart w:id="714" w:name="_Toc527806799"/>
      <w:r>
        <w:rPr>
          <w:rFonts w:hint="eastAsia" w:ascii="宋体" w:hAnsi="宋体" w:eastAsia="宋体" w:cs="宋体"/>
          <w:sz w:val="21"/>
          <w:szCs w:val="21"/>
        </w:rPr>
        <w:t>12.2 发包人暂停施工的责任</w:t>
      </w:r>
      <w:bookmarkEnd w:id="713"/>
      <w:bookmarkEnd w:id="714"/>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（3）发包人承担暂停施工责任的其它情形：</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15" w:name="_Toc28290"/>
      <w:bookmarkStart w:id="716" w:name="_Toc527796538"/>
      <w:bookmarkStart w:id="717" w:name="_Toc529533030"/>
      <w:bookmarkStart w:id="718" w:name="_Toc527796446"/>
      <w:bookmarkStart w:id="719" w:name="_Toc527796332"/>
      <w:bookmarkStart w:id="720" w:name="_Toc529533179"/>
      <w:bookmarkStart w:id="721" w:name="_Toc527806800"/>
      <w:r>
        <w:rPr>
          <w:rFonts w:hint="eastAsia" w:ascii="宋体" w:hAnsi="宋体" w:eastAsia="宋体" w:cs="宋体"/>
          <w:sz w:val="21"/>
          <w:szCs w:val="21"/>
        </w:rPr>
        <w:t>13 工程质量</w:t>
      </w:r>
      <w:bookmarkEnd w:id="715"/>
      <w:bookmarkEnd w:id="716"/>
      <w:bookmarkEnd w:id="717"/>
      <w:bookmarkEnd w:id="718"/>
      <w:bookmarkEnd w:id="719"/>
      <w:bookmarkEnd w:id="720"/>
      <w:bookmarkEnd w:id="721"/>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22" w:name="_Toc527796447"/>
      <w:bookmarkStart w:id="723" w:name="_Toc527806801"/>
      <w:r>
        <w:rPr>
          <w:rFonts w:hint="eastAsia" w:ascii="宋体" w:hAnsi="宋体" w:eastAsia="宋体" w:cs="宋体"/>
          <w:sz w:val="21"/>
          <w:szCs w:val="21"/>
        </w:rPr>
        <w:t>13.7  质量评定</w:t>
      </w:r>
      <w:bookmarkEnd w:id="722"/>
      <w:bookmarkEnd w:id="723"/>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13.7.7</w:t>
      </w:r>
      <w:r>
        <w:rPr>
          <w:rFonts w:hint="eastAsia" w:ascii="宋体" w:hAnsi="宋体" w:eastAsia="宋体" w:cs="宋体"/>
          <w:sz w:val="21"/>
          <w:szCs w:val="21"/>
        </w:rPr>
        <w:t xml:space="preserve"> 工程合格标准为</w:t>
      </w:r>
      <w:r>
        <w:rPr>
          <w:rFonts w:hint="eastAsia" w:ascii="宋体" w:hAnsi="宋体" w:eastAsia="宋体" w:cs="宋体"/>
          <w:sz w:val="21"/>
          <w:szCs w:val="21"/>
          <w:u w:val="single"/>
        </w:rPr>
        <w:t xml:space="preserve">     合格    </w:t>
      </w:r>
      <w:r>
        <w:rPr>
          <w:rFonts w:hint="eastAsia" w:ascii="宋体" w:hAnsi="宋体" w:eastAsia="宋体" w:cs="宋体"/>
          <w:sz w:val="21"/>
          <w:szCs w:val="21"/>
        </w:rPr>
        <w:t>（合格或优良）。达到优良的奖金为：</w:t>
      </w:r>
      <w:r>
        <w:rPr>
          <w:rFonts w:hint="eastAsia" w:ascii="宋体" w:hAnsi="宋体" w:eastAsia="宋体" w:cs="宋体"/>
          <w:sz w:val="21"/>
          <w:szCs w:val="21"/>
          <w:u w:val="single"/>
        </w:rPr>
        <w:t xml:space="preserve"> </w:t>
      </w:r>
      <w:r>
        <w:rPr>
          <w:rFonts w:hint="eastAsia" w:ascii="宋体" w:hAnsi="宋体" w:eastAsia="宋体" w:cs="宋体"/>
          <w:b/>
          <w:sz w:val="21"/>
          <w:szCs w:val="21"/>
          <w:u w:val="single"/>
        </w:rPr>
        <w:t xml:space="preserve"> 无 </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24" w:name="_Toc529533031"/>
      <w:bookmarkStart w:id="725" w:name="_Toc527796539"/>
      <w:bookmarkStart w:id="726" w:name="_Toc27836"/>
      <w:bookmarkStart w:id="727" w:name="_Toc527806802"/>
      <w:bookmarkStart w:id="728" w:name="_Toc527796448"/>
      <w:bookmarkStart w:id="729" w:name="_Toc527796333"/>
      <w:bookmarkStart w:id="730" w:name="_Toc529533180"/>
      <w:r>
        <w:rPr>
          <w:rFonts w:hint="eastAsia" w:ascii="宋体" w:hAnsi="宋体" w:eastAsia="宋体" w:cs="宋体"/>
          <w:sz w:val="21"/>
          <w:szCs w:val="21"/>
        </w:rPr>
        <w:t>14 试验和检验</w:t>
      </w:r>
      <w:bookmarkEnd w:id="724"/>
      <w:bookmarkEnd w:id="725"/>
      <w:bookmarkEnd w:id="726"/>
      <w:bookmarkEnd w:id="727"/>
      <w:bookmarkEnd w:id="728"/>
      <w:bookmarkEnd w:id="729"/>
      <w:bookmarkEnd w:id="730"/>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31" w:name="_Toc527806803"/>
      <w:bookmarkStart w:id="732" w:name="_Toc527796449"/>
      <w:r>
        <w:rPr>
          <w:rFonts w:hint="eastAsia" w:ascii="宋体" w:hAnsi="宋体" w:eastAsia="宋体" w:cs="宋体"/>
          <w:sz w:val="21"/>
          <w:szCs w:val="21"/>
        </w:rPr>
        <w:t>14.1 材料、工程设备和工程的试验和检验</w:t>
      </w:r>
      <w:bookmarkEnd w:id="731"/>
      <w:bookmarkEnd w:id="732"/>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14.1.5</w:t>
      </w:r>
      <w:r>
        <w:rPr>
          <w:rFonts w:hint="eastAsia" w:ascii="宋体" w:hAnsi="宋体" w:eastAsia="宋体" w:cs="宋体"/>
          <w:sz w:val="21"/>
          <w:szCs w:val="21"/>
        </w:rPr>
        <w:t xml:space="preserve"> 水工金属结构、启闭机及机电产品进场后的交货检查和验收中，承包人负责</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 xml:space="preserve">14.1.6 </w:t>
      </w:r>
      <w:r>
        <w:rPr>
          <w:rFonts w:hint="eastAsia" w:ascii="宋体" w:hAnsi="宋体" w:eastAsia="宋体" w:cs="宋体"/>
          <w:sz w:val="21"/>
          <w:szCs w:val="21"/>
        </w:rPr>
        <w:t>本工程实行见证取样的试块、试件及有关材料：</w:t>
      </w:r>
      <w:r>
        <w:rPr>
          <w:rFonts w:hint="eastAsia" w:ascii="宋体" w:hAnsi="宋体" w:eastAsia="宋体" w:cs="宋体"/>
          <w:snapToGrid w:val="0"/>
          <w:sz w:val="21"/>
          <w:szCs w:val="21"/>
          <w:u w:val="single"/>
        </w:rPr>
        <w:t>砼、钢筋、水泥、骨料、土工材料、</w:t>
      </w:r>
      <w:r>
        <w:rPr>
          <w:rFonts w:hint="eastAsia" w:ascii="宋体" w:hAnsi="宋体" w:eastAsia="宋体" w:cs="宋体"/>
          <w:sz w:val="21"/>
          <w:szCs w:val="21"/>
          <w:u w:val="single"/>
        </w:rPr>
        <w:t>回填料压实度等，具体按监理人的要求</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33" w:name="_Toc527796334"/>
      <w:bookmarkStart w:id="734" w:name="_Toc16913"/>
      <w:bookmarkStart w:id="735" w:name="_Toc529533181"/>
      <w:bookmarkStart w:id="736" w:name="_Toc527806804"/>
      <w:bookmarkStart w:id="737" w:name="_Toc529533032"/>
      <w:bookmarkStart w:id="738" w:name="_Toc527796450"/>
      <w:bookmarkStart w:id="739" w:name="_Toc527796540"/>
      <w:r>
        <w:rPr>
          <w:rFonts w:hint="eastAsia" w:ascii="宋体" w:hAnsi="宋体" w:eastAsia="宋体" w:cs="宋体"/>
          <w:sz w:val="21"/>
          <w:szCs w:val="21"/>
        </w:rPr>
        <w:t>15 变更</w:t>
      </w:r>
      <w:bookmarkEnd w:id="733"/>
      <w:bookmarkEnd w:id="734"/>
      <w:bookmarkEnd w:id="735"/>
      <w:bookmarkEnd w:id="736"/>
      <w:bookmarkEnd w:id="737"/>
      <w:bookmarkEnd w:id="738"/>
      <w:bookmarkEnd w:id="739"/>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40" w:name="_Toc527806805"/>
      <w:bookmarkStart w:id="741" w:name="_Toc527796451"/>
      <w:r>
        <w:rPr>
          <w:rFonts w:hint="eastAsia" w:ascii="宋体" w:hAnsi="宋体" w:eastAsia="宋体" w:cs="宋体"/>
          <w:sz w:val="21"/>
          <w:szCs w:val="21"/>
        </w:rPr>
        <w:t>15.1 变更的范围和内容</w:t>
      </w:r>
      <w:bookmarkEnd w:id="740"/>
      <w:bookmarkEnd w:id="74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原条款改为：</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（6）分类分项清单项目工程量增加的，凡合价金额占签约合同总价2%以上的分类分项清单项目</w:t>
      </w:r>
      <w:r>
        <w:rPr>
          <w:rFonts w:hint="eastAsia" w:ascii="宋体" w:hAnsi="宋体" w:cs="宋体"/>
          <w:sz w:val="21"/>
          <w:szCs w:val="21"/>
          <w:lang w:eastAsia="zh-CN"/>
        </w:rPr>
        <w:t>，</w:t>
      </w:r>
      <w:r>
        <w:rPr>
          <w:rFonts w:hint="eastAsia" w:ascii="宋体" w:hAnsi="宋体" w:eastAsia="宋体" w:cs="宋体"/>
          <w:sz w:val="21"/>
          <w:szCs w:val="21"/>
        </w:rPr>
        <w:t>其工程量增加超过本项目工程数量15%以上，或合价金额占签约合同总价不到2%的分类分项清单项目，但其工程量增加超过本项目工程数量25%以上，超过上述15%或25%以外增加部分的工程量，由承包人按15.4.3款的原则提出合适的变更单价，并需经监理人审核。变更单价与合同单价相比，上下浮动超过10%时，发包人同意后，按变更单价进入工程结算</w:t>
      </w:r>
      <w:r>
        <w:rPr>
          <w:rFonts w:hint="eastAsia" w:ascii="宋体" w:hAnsi="宋体" w:cs="宋体"/>
          <w:sz w:val="21"/>
          <w:szCs w:val="21"/>
          <w:lang w:eastAsia="zh-CN"/>
        </w:rPr>
        <w:t>；</w:t>
      </w:r>
      <w:r>
        <w:rPr>
          <w:rFonts w:hint="eastAsia" w:ascii="宋体" w:hAnsi="宋体" w:eastAsia="宋体" w:cs="宋体"/>
          <w:sz w:val="21"/>
          <w:szCs w:val="21"/>
        </w:rPr>
        <w:t>上述15%或25%以内增加部分工程量，按合同单价结算。</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因分类分项清单项目工程量减少的，采用以下第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种方式对合同价格进行调整：</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第1种方式：分类分项清单项目工程量减少的，合同单价不变。</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第2种方式：分类分项清单项目工程量减少的，凡合价金额占签约合同总价2%以上的分类分项清单项目，其工程量减少超过本项目工程数量15%以上，或合价金额占签约合同总价不到2%的分类分项清单项目，但其工程量减少超过本项目工程数量25%以上，超过上述15%或25%以外的减少部分工程量，由承包人按15.4.3款的原则提出合适的变更单价，并需经监理人审核。变更单价与合同单价相比，上下浮动超过20%时，发包人同意后，按变更单价计算合价后，在该项目合价中扣除；工程量减少在15%或25%以内的减少部分工程量，按合同单价计算合价后，在该项目合价中扣除。</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42" w:name="_Toc527796452"/>
      <w:bookmarkStart w:id="743" w:name="_Toc527806806"/>
      <w:r>
        <w:rPr>
          <w:rFonts w:hint="eastAsia" w:ascii="宋体" w:hAnsi="宋体" w:eastAsia="宋体" w:cs="宋体"/>
          <w:sz w:val="21"/>
          <w:szCs w:val="21"/>
        </w:rPr>
        <w:t>15.4 变更的估价原则</w:t>
      </w:r>
      <w:bookmarkEnd w:id="742"/>
      <w:bookmarkEnd w:id="743"/>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15.4.3</w:t>
      </w:r>
      <w:r>
        <w:rPr>
          <w:rFonts w:hint="eastAsia" w:ascii="宋体" w:hAnsi="宋体" w:eastAsia="宋体" w:cs="宋体"/>
          <w:sz w:val="21"/>
          <w:szCs w:val="21"/>
        </w:rPr>
        <w:t>细化为：本合同在实施过程中，如遇到设计变更出现新增或变更项目时，则该新增或变更项目的单价由承包人按以下原则提出变更单价，监理人审核，发包人同意后进入工程结算，支付方式执行合同约定的支付条款。</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（1）人工预算单价采用投标期浙江省现行水利行业人工预算单价。</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（2）材料预算价格采用投标期基价（投标截止日前1个月项目所在地造价管理部门发布的信息价），如无信息价，则根据项目实施时的材料市场价由相关规定计算。</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（3）机械台班单价按投标期浙江省现行水利水电工程施工机械台班定额和有关规定计算。</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（4）定额采用投标期浙江省现行水利水电工程定额和有关规定，如浙江省水利水电工程定额不能满足计价，可采用水利部颁布水利定额及其他相关行业定额的定额含量计价。</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bCs/>
          <w:sz w:val="21"/>
          <w:szCs w:val="21"/>
        </w:rPr>
      </w:pPr>
      <w:r>
        <w:rPr>
          <w:rFonts w:hint="eastAsia" w:ascii="宋体" w:hAnsi="宋体" w:eastAsia="宋体" w:cs="宋体"/>
          <w:sz w:val="21"/>
          <w:szCs w:val="21"/>
        </w:rPr>
        <w:t>（5）取费费率采用投标期浙江省现行水利行业</w:t>
      </w:r>
      <w:r>
        <w:rPr>
          <w:rFonts w:hint="eastAsia" w:ascii="宋体" w:hAnsi="宋体" w:eastAsia="宋体" w:cs="宋体"/>
          <w:bCs/>
          <w:sz w:val="21"/>
          <w:szCs w:val="21"/>
        </w:rPr>
        <w:t>取费标准，按工程类别选取费率，对各项弹性区间费率取中间值。</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bCs/>
          <w:sz w:val="21"/>
          <w:szCs w:val="21"/>
        </w:rPr>
      </w:pPr>
      <w:r>
        <w:rPr>
          <w:rFonts w:hint="eastAsia" w:ascii="宋体" w:hAnsi="宋体" w:eastAsia="宋体" w:cs="宋体"/>
          <w:bCs/>
          <w:sz w:val="21"/>
          <w:szCs w:val="21"/>
        </w:rPr>
        <w:t>（6）上述单价按以下计算的综合优惠率进行优惠。</w:t>
      </w:r>
    </w:p>
    <w:p>
      <w:pPr>
        <w:pStyle w:val="59"/>
        <w:keepNext w:val="0"/>
        <w:keepLines w:val="0"/>
        <w:pageBreakBefore w:val="0"/>
        <w:widowControl w:val="0"/>
        <w:kinsoku/>
        <w:overflowPunct/>
        <w:topLinePunct w:val="0"/>
        <w:autoSpaceDE/>
        <w:autoSpaceDN/>
        <w:bidi w:val="0"/>
        <w:adjustRightInd w:val="0"/>
        <w:spacing w:line="360" w:lineRule="auto"/>
        <w:ind w:left="0" w:firstLine="396"/>
        <w:jc w:val="both"/>
        <w:textAlignment w:val="auto"/>
        <w:rPr>
          <w:rFonts w:hint="eastAsia" w:ascii="宋体" w:hAnsi="宋体" w:eastAsia="宋体" w:cs="宋体"/>
          <w:bCs/>
          <w:spacing w:val="-6"/>
          <w:sz w:val="21"/>
          <w:szCs w:val="21"/>
        </w:rPr>
      </w:pPr>
      <w:r>
        <w:rPr>
          <w:rFonts w:hint="eastAsia" w:ascii="宋体" w:hAnsi="宋体" w:eastAsia="宋体" w:cs="宋体"/>
          <w:bCs/>
          <w:spacing w:val="-6"/>
          <w:sz w:val="21"/>
          <w:szCs w:val="21"/>
        </w:rPr>
        <w:t>综合优惠率＝［1-（投标人投标价-预留金-暂估价）÷（最高投标限价-预留金-暂估价）］×100%。</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bCs/>
          <w:sz w:val="21"/>
          <w:szCs w:val="21"/>
        </w:rPr>
      </w:pPr>
      <w:r>
        <w:rPr>
          <w:rFonts w:hint="eastAsia" w:ascii="宋体" w:hAnsi="宋体" w:eastAsia="宋体" w:cs="宋体"/>
          <w:bCs/>
          <w:sz w:val="21"/>
          <w:szCs w:val="21"/>
        </w:rPr>
        <w:t xml:space="preserve">（7）按照上述仍无法组价的，根据市场招标或询价确定。    </w:t>
      </w:r>
    </w:p>
    <w:p>
      <w:pPr>
        <w:pStyle w:val="59"/>
        <w:keepNext w:val="0"/>
        <w:keepLines w:val="0"/>
        <w:pageBreakBefore w:val="0"/>
        <w:widowControl w:val="0"/>
        <w:kinsoku/>
        <w:overflowPunct/>
        <w:topLinePunct w:val="0"/>
        <w:autoSpaceDE/>
        <w:autoSpaceDN/>
        <w:bidi w:val="0"/>
        <w:adjustRightInd w:val="0"/>
        <w:spacing w:line="360" w:lineRule="auto"/>
        <w:ind w:left="0" w:firstLine="0" w:firstLineChars="0"/>
        <w:jc w:val="both"/>
        <w:textAlignment w:val="auto"/>
        <w:rPr>
          <w:rFonts w:hint="eastAsia" w:ascii="宋体" w:hAnsi="宋体" w:eastAsia="宋体" w:cs="宋体"/>
          <w:b/>
          <w:sz w:val="21"/>
          <w:szCs w:val="21"/>
        </w:rPr>
      </w:pPr>
      <w:bookmarkStart w:id="744" w:name="_Toc527796453"/>
      <w:bookmarkStart w:id="745" w:name="_Toc527806807"/>
      <w:r>
        <w:rPr>
          <w:rFonts w:hint="eastAsia" w:ascii="宋体" w:hAnsi="宋体" w:eastAsia="宋体" w:cs="宋体"/>
          <w:b/>
          <w:sz w:val="21"/>
          <w:szCs w:val="21"/>
        </w:rPr>
        <w:t>15.5 承包人的合理化建议</w:t>
      </w:r>
      <w:bookmarkEnd w:id="744"/>
      <w:bookmarkEnd w:id="745"/>
      <w:r>
        <w:rPr>
          <w:rFonts w:hint="eastAsia" w:ascii="宋体" w:hAnsi="宋体" w:eastAsia="宋体" w:cs="宋体"/>
          <w:b/>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0" w:firstLineChars="0"/>
        <w:jc w:val="both"/>
        <w:textAlignment w:val="auto"/>
        <w:rPr>
          <w:rFonts w:hint="eastAsia" w:ascii="宋体" w:hAnsi="宋体" w:eastAsia="宋体" w:cs="宋体"/>
          <w:sz w:val="21"/>
          <w:szCs w:val="21"/>
        </w:rPr>
      </w:pPr>
      <w:r>
        <w:rPr>
          <w:rFonts w:hint="eastAsia" w:ascii="宋体" w:hAnsi="宋体" w:eastAsia="宋体" w:cs="宋体"/>
          <w:b/>
          <w:sz w:val="21"/>
          <w:szCs w:val="21"/>
        </w:rPr>
        <w:t>15.5.2</w:t>
      </w:r>
      <w:r>
        <w:rPr>
          <w:rFonts w:hint="eastAsia" w:ascii="宋体" w:hAnsi="宋体" w:eastAsia="宋体" w:cs="宋体"/>
          <w:sz w:val="21"/>
          <w:szCs w:val="21"/>
        </w:rPr>
        <w:t xml:space="preserve"> 承包人实现合理化建议的奖励金额为：</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46" w:name="_Toc527806808"/>
      <w:bookmarkStart w:id="747" w:name="_Toc527796454"/>
      <w:r>
        <w:rPr>
          <w:rFonts w:hint="eastAsia" w:ascii="宋体" w:hAnsi="宋体" w:eastAsia="宋体" w:cs="宋体"/>
          <w:sz w:val="21"/>
          <w:szCs w:val="21"/>
        </w:rPr>
        <w:t>15.8 暂估价</w:t>
      </w:r>
      <w:bookmarkEnd w:id="746"/>
      <w:bookmarkEnd w:id="747"/>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15.8.1</w:t>
      </w:r>
      <w:r>
        <w:rPr>
          <w:rFonts w:hint="eastAsia" w:ascii="宋体" w:hAnsi="宋体" w:eastAsia="宋体" w:cs="宋体"/>
          <w:sz w:val="21"/>
          <w:szCs w:val="21"/>
        </w:rPr>
        <w:t xml:space="preserve"> （1）发包人和承包人组织招标的暂估价项目：</w:t>
      </w:r>
      <w:r>
        <w:rPr>
          <w:rFonts w:hint="eastAsia" w:ascii="宋体" w:hAnsi="宋体" w:eastAsia="宋体" w:cs="宋体"/>
          <w:sz w:val="21"/>
          <w:szCs w:val="21"/>
          <w:u w:val="single"/>
        </w:rPr>
        <w:t xml:space="preserve"> /  </w:t>
      </w:r>
      <w:r>
        <w:rPr>
          <w:rFonts w:hint="eastAsia" w:ascii="宋体" w:hAnsi="宋体" w:eastAsia="宋体" w:cs="宋体"/>
          <w:sz w:val="21"/>
          <w:szCs w:val="21"/>
        </w:rPr>
        <w:t>；发包人 组织招标的暂估价项目：</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（2）发包人和承包人以招标方式选择暂估价项目供应商或分包人时，双方的权利义务关系：</w:t>
      </w:r>
      <w:r>
        <w:rPr>
          <w:rFonts w:hint="eastAsia" w:ascii="宋体" w:hAnsi="宋体" w:eastAsia="宋体" w:cs="宋体"/>
          <w:sz w:val="21"/>
          <w:szCs w:val="21"/>
          <w:u w:val="single"/>
        </w:rPr>
        <w:t xml:space="preserve">  </w:t>
      </w:r>
      <w:r>
        <w:rPr>
          <w:rFonts w:hint="eastAsia" w:ascii="宋体" w:hAnsi="宋体" w:eastAsia="宋体" w:cs="宋体"/>
          <w:b/>
          <w:sz w:val="21"/>
          <w:szCs w:val="21"/>
          <w:u w:val="single"/>
        </w:rPr>
        <w:t>/</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48" w:name="_Toc529533033"/>
      <w:bookmarkStart w:id="749" w:name="_Toc529533182"/>
      <w:bookmarkStart w:id="750" w:name="_Toc527796455"/>
      <w:bookmarkStart w:id="751" w:name="_Toc527796541"/>
      <w:bookmarkStart w:id="752" w:name="_Toc29752"/>
      <w:bookmarkStart w:id="753" w:name="_Toc527796335"/>
      <w:bookmarkStart w:id="754" w:name="_Toc527806809"/>
      <w:r>
        <w:rPr>
          <w:rFonts w:hint="eastAsia" w:ascii="宋体" w:hAnsi="宋体" w:eastAsia="宋体" w:cs="宋体"/>
          <w:sz w:val="21"/>
          <w:szCs w:val="21"/>
        </w:rPr>
        <w:t>16 价格调整</w:t>
      </w:r>
      <w:bookmarkEnd w:id="748"/>
      <w:bookmarkEnd w:id="749"/>
      <w:bookmarkEnd w:id="750"/>
      <w:bookmarkEnd w:id="751"/>
      <w:bookmarkEnd w:id="752"/>
      <w:bookmarkEnd w:id="753"/>
      <w:bookmarkEnd w:id="754"/>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55" w:name="_Toc527806810"/>
      <w:bookmarkStart w:id="756" w:name="_Toc527796456"/>
      <w:r>
        <w:rPr>
          <w:rFonts w:hint="eastAsia" w:ascii="宋体" w:hAnsi="宋体" w:eastAsia="宋体" w:cs="宋体"/>
          <w:sz w:val="21"/>
          <w:szCs w:val="21"/>
        </w:rPr>
        <w:t>16.1 物价波动引起的价格调整</w:t>
      </w:r>
      <w:bookmarkEnd w:id="755"/>
      <w:bookmarkEnd w:id="756"/>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物价波动引起的价格调整方式：</w:t>
      </w:r>
      <w:r>
        <w:rPr>
          <w:rFonts w:hint="eastAsia" w:ascii="宋体" w:hAnsi="宋体" w:eastAsia="宋体" w:cs="宋体"/>
          <w:sz w:val="21"/>
          <w:szCs w:val="21"/>
          <w:u w:val="single"/>
        </w:rPr>
        <w:t xml:space="preserve">不予调整  </w:t>
      </w:r>
      <w:r>
        <w:rPr>
          <w:rFonts w:hint="eastAsia" w:ascii="宋体" w:hAnsi="宋体" w:eastAsia="宋体" w:cs="宋体"/>
          <w:sz w:val="21"/>
          <w:szCs w:val="21"/>
        </w:rPr>
        <w:t xml:space="preserve">。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57" w:name="_Toc527796457"/>
      <w:bookmarkStart w:id="758" w:name="_Toc8382"/>
      <w:bookmarkStart w:id="759" w:name="_Toc529533034"/>
      <w:bookmarkStart w:id="760" w:name="_Toc527796336"/>
      <w:bookmarkStart w:id="761" w:name="_Toc527796542"/>
      <w:bookmarkStart w:id="762" w:name="_Toc527806811"/>
      <w:bookmarkStart w:id="763" w:name="_Toc529533183"/>
      <w:r>
        <w:rPr>
          <w:rFonts w:hint="eastAsia" w:ascii="宋体" w:hAnsi="宋体" w:eastAsia="宋体" w:cs="宋体"/>
          <w:sz w:val="21"/>
          <w:szCs w:val="21"/>
        </w:rPr>
        <w:t>17 计量与支付</w:t>
      </w:r>
      <w:bookmarkEnd w:id="757"/>
      <w:bookmarkEnd w:id="758"/>
      <w:bookmarkEnd w:id="759"/>
      <w:bookmarkEnd w:id="760"/>
      <w:bookmarkEnd w:id="761"/>
      <w:bookmarkEnd w:id="762"/>
      <w:bookmarkEnd w:id="763"/>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64" w:name="_Toc527796458"/>
      <w:bookmarkStart w:id="765" w:name="_Toc527806812"/>
      <w:r>
        <w:rPr>
          <w:rFonts w:hint="eastAsia" w:ascii="宋体" w:hAnsi="宋体" w:eastAsia="宋体" w:cs="宋体"/>
          <w:sz w:val="21"/>
          <w:szCs w:val="21"/>
        </w:rPr>
        <w:t>17.1</w:t>
      </w:r>
      <w:bookmarkEnd w:id="764"/>
      <w:bookmarkEnd w:id="765"/>
      <w:r>
        <w:rPr>
          <w:rFonts w:hint="eastAsia" w:ascii="宋体" w:hAnsi="宋体" w:eastAsia="宋体" w:cs="宋体"/>
          <w:sz w:val="21"/>
          <w:szCs w:val="21"/>
        </w:rPr>
        <w:t xml:space="preserve"> 预付款</w:t>
      </w:r>
    </w:p>
    <w:p>
      <w:pPr>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17.2.1预付款</w:t>
      </w:r>
    </w:p>
    <w:p>
      <w:pPr>
        <w:keepNext w:val="0"/>
        <w:keepLines w:val="0"/>
        <w:pageBreakBefore w:val="0"/>
        <w:widowControl w:val="0"/>
        <w:numPr>
          <w:ilvl w:val="0"/>
          <w:numId w:val="10"/>
        </w:numPr>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工程预付款的总金额为签约合同价（扣除预留金后）的</w:t>
      </w:r>
      <w:r>
        <w:rPr>
          <w:rFonts w:hint="eastAsia" w:ascii="宋体" w:hAnsi="宋体" w:eastAsia="宋体" w:cs="宋体"/>
          <w:b/>
          <w:sz w:val="21"/>
          <w:szCs w:val="21"/>
          <w:u w:val="single"/>
        </w:rPr>
        <w:t xml:space="preserve">  </w:t>
      </w:r>
      <w:r>
        <w:rPr>
          <w:rFonts w:hint="eastAsia" w:ascii="宋体" w:hAnsi="宋体" w:eastAsia="宋体" w:cs="宋体"/>
          <w:b/>
          <w:sz w:val="21"/>
          <w:szCs w:val="21"/>
          <w:u w:val="single"/>
          <w:lang w:val="en-US" w:eastAsia="zh-CN"/>
        </w:rPr>
        <w:t>40</w:t>
      </w:r>
      <w:r>
        <w:rPr>
          <w:rFonts w:hint="eastAsia" w:ascii="宋体" w:hAnsi="宋体" w:eastAsia="宋体" w:cs="宋体"/>
          <w:b/>
          <w:sz w:val="21"/>
          <w:szCs w:val="21"/>
          <w:u w:val="single"/>
        </w:rPr>
        <w:t xml:space="preserve">  </w:t>
      </w:r>
      <w:r>
        <w:rPr>
          <w:rFonts w:hint="eastAsia" w:ascii="宋体" w:hAnsi="宋体" w:eastAsia="宋体" w:cs="宋体"/>
          <w:b/>
          <w:sz w:val="21"/>
          <w:szCs w:val="21"/>
        </w:rPr>
        <w:t>%</w:t>
      </w:r>
      <w:r>
        <w:rPr>
          <w:rFonts w:hint="eastAsia" w:ascii="宋体" w:hAnsi="宋体" w:eastAsia="宋体" w:cs="宋体"/>
          <w:sz w:val="21"/>
          <w:szCs w:val="21"/>
        </w:rPr>
        <w:t>。</w:t>
      </w:r>
    </w:p>
    <w:p>
      <w:pPr>
        <w:keepNext w:val="0"/>
        <w:keepLines w:val="0"/>
        <w:pageBreakBefore w:val="0"/>
        <w:widowControl w:val="0"/>
        <w:numPr>
          <w:ilvl w:val="0"/>
          <w:numId w:val="10"/>
        </w:numPr>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Times New Roman"/>
          <w:b/>
          <w:color w:val="auto"/>
          <w:kern w:val="2"/>
          <w:sz w:val="21"/>
          <w:szCs w:val="21"/>
          <w:highlight w:val="none"/>
          <w:u w:val="single"/>
          <w:lang w:val="en-US" w:eastAsia="zh-CN" w:bidi="ar-SA"/>
        </w:rPr>
      </w:pPr>
      <w:r>
        <w:rPr>
          <w:rFonts w:hint="eastAsia" w:ascii="宋体" w:hAnsi="宋体" w:eastAsia="宋体" w:cs="宋体"/>
          <w:sz w:val="21"/>
          <w:szCs w:val="21"/>
        </w:rPr>
        <w:t>预付款</w:t>
      </w:r>
      <w:r>
        <w:rPr>
          <w:rFonts w:hint="eastAsia" w:ascii="宋体" w:hAnsi="宋体" w:eastAsia="宋体" w:cs="宋体"/>
          <w:sz w:val="21"/>
          <w:szCs w:val="21"/>
          <w:lang w:eastAsia="zh-CN"/>
        </w:rPr>
        <w:t>支付时间</w:t>
      </w:r>
      <w:r>
        <w:rPr>
          <w:rFonts w:hint="eastAsia" w:ascii="宋体" w:hAnsi="宋体" w:eastAsia="宋体" w:cs="宋体"/>
          <w:sz w:val="21"/>
          <w:szCs w:val="21"/>
        </w:rPr>
        <w:t>：</w:t>
      </w:r>
      <w:r>
        <w:rPr>
          <w:rFonts w:hint="eastAsia" w:ascii="宋体" w:hAnsi="宋体" w:eastAsia="宋体" w:cs="Times New Roman"/>
          <w:b/>
          <w:color w:val="auto"/>
          <w:kern w:val="2"/>
          <w:sz w:val="21"/>
          <w:szCs w:val="21"/>
          <w:highlight w:val="none"/>
          <w:u w:val="single"/>
          <w:lang w:val="en-US" w:eastAsia="zh-CN" w:bidi="ar-SA"/>
        </w:rPr>
        <w:t>合同签订以及具备实施条件后7个工作日内支付合同价款的40%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具体拨付时间视财政资金到位情况为准）。</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color w:val="auto"/>
          <w:sz w:val="21"/>
          <w:szCs w:val="21"/>
        </w:rPr>
      </w:pPr>
      <w:bookmarkStart w:id="766" w:name="_Toc527806813"/>
      <w:bookmarkStart w:id="767" w:name="_Toc527796459"/>
      <w:r>
        <w:rPr>
          <w:rFonts w:hint="eastAsia" w:ascii="宋体" w:hAnsi="宋体" w:eastAsia="宋体" w:cs="宋体"/>
          <w:color w:val="auto"/>
          <w:sz w:val="21"/>
          <w:szCs w:val="21"/>
        </w:rPr>
        <w:t xml:space="preserve">17.2.2 预付款保函（担保） </w:t>
      </w:r>
    </w:p>
    <w:p>
      <w:pPr>
        <w:pStyle w:val="59"/>
        <w:keepNext w:val="0"/>
        <w:keepLines w:val="0"/>
        <w:pageBreakBefore w:val="0"/>
        <w:widowControl w:val="0"/>
        <w:kinsoku/>
        <w:wordWrap/>
        <w:overflowPunct/>
        <w:topLinePunct w:val="0"/>
        <w:autoSpaceDE/>
        <w:autoSpaceDN/>
        <w:bidi w:val="0"/>
        <w:adjustRightInd w:val="0"/>
        <w:snapToGrid/>
        <w:spacing w:line="360" w:lineRule="auto"/>
        <w:ind w:left="0" w:firstLine="42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（2）工程预付款的担保约定为：</w:t>
      </w:r>
      <w:r>
        <w:rPr>
          <w:rFonts w:hint="eastAsia" w:ascii="宋体" w:hAnsi="宋体"/>
          <w:b/>
          <w:color w:val="auto"/>
          <w:sz w:val="21"/>
          <w:szCs w:val="21"/>
          <w:u w:val="single"/>
        </w:rPr>
        <w:t>需要，发包人支付预付款前提供预付款担保</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20" w:firstLineChars="200"/>
        <w:jc w:val="both"/>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预付款担保的形式为：</w:t>
      </w:r>
      <w:r>
        <w:rPr>
          <w:rFonts w:hint="eastAsia" w:ascii="宋体" w:hAnsi="宋体" w:eastAsia="宋体" w:cs="Times New Roman"/>
          <w:b/>
          <w:color w:val="auto"/>
          <w:sz w:val="21"/>
          <w:szCs w:val="21"/>
          <w:u w:val="single"/>
          <w:lang w:val="zh-CN"/>
        </w:rPr>
        <w:t>承包人</w:t>
      </w:r>
      <w:r>
        <w:rPr>
          <w:rFonts w:hint="eastAsia" w:ascii="宋体" w:hAnsi="宋体" w:eastAsia="宋体" w:cs="Times New Roman"/>
          <w:b/>
          <w:color w:val="auto"/>
          <w:sz w:val="21"/>
          <w:szCs w:val="21"/>
          <w:u w:val="single"/>
          <w:lang w:val="en-US" w:eastAsia="zh-CN"/>
        </w:rPr>
        <w:t>需提交银行、保险公司等金融机构出具的预付款保函或其他担保措施（根据《浙江省财政厅关于进一步发挥政府采购政策功能全力推动经济稳进提升的通知》浙财采监[2022]3号文件）（具体拨付时间视财政资金到位情况为准）</w:t>
      </w:r>
      <w:r>
        <w:rPr>
          <w:rFonts w:hint="eastAsia" w:ascii="宋体" w:hAnsi="宋体" w:eastAsia="宋体" w:cs="宋体"/>
          <w:b/>
          <w:color w:val="auto"/>
          <w:sz w:val="21"/>
          <w:szCs w:val="21"/>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22" w:firstLineChars="200"/>
        <w:jc w:val="both"/>
        <w:textAlignment w:val="auto"/>
        <w:rPr>
          <w:rFonts w:hint="eastAsia" w:ascii="宋体" w:hAnsi="宋体" w:eastAsia="宋体" w:cs="宋体"/>
          <w:b/>
          <w:bCs/>
          <w:color w:val="auto"/>
          <w:sz w:val="21"/>
          <w:szCs w:val="21"/>
          <w:u w:val="single"/>
        </w:rPr>
      </w:pPr>
      <w:r>
        <w:rPr>
          <w:rFonts w:hint="eastAsia" w:ascii="宋体" w:hAnsi="宋体" w:eastAsia="宋体" w:cs="宋体"/>
          <w:b/>
          <w:bCs/>
          <w:color w:val="auto"/>
          <w:sz w:val="21"/>
          <w:szCs w:val="21"/>
          <w:u w:val="single"/>
        </w:rPr>
        <w:t>应满足以下几个条件：</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1）为无条件保函：即在承包人没有实施合同或者未履行合同义务时，发包人不需要出具任何证明和理由，只要看到承包人违约，就可对银行保函进行收兑。</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2）为见索即付保函：即在承包人没有实施合同或者未履行合同义务时，发包人不需要出具任何证明和理由，只要看到承包人违约，就可对银行保函进行收兑。</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b/>
          <w:bCs/>
          <w:sz w:val="21"/>
          <w:szCs w:val="21"/>
          <w:u w:val="single"/>
        </w:rPr>
      </w:pPr>
      <w:r>
        <w:rPr>
          <w:rFonts w:hint="eastAsia" w:ascii="宋体" w:hAnsi="宋体" w:eastAsia="宋体" w:cs="宋体"/>
          <w:b/>
          <w:bCs/>
          <w:sz w:val="21"/>
          <w:szCs w:val="21"/>
          <w:u w:val="single"/>
        </w:rPr>
        <w:t>3）保函期限：在预付款完全扣回之前，应保证预付款担保持续有效。</w:t>
      </w:r>
    </w:p>
    <w:p>
      <w:pPr>
        <w:keepNext w:val="0"/>
        <w:keepLines w:val="0"/>
        <w:pageBreakBefore w:val="0"/>
        <w:widowControl w:val="0"/>
        <w:kinsoku/>
        <w:overflowPunct/>
        <w:topLinePunct w:val="0"/>
        <w:autoSpaceDE/>
        <w:autoSpaceDN/>
        <w:bidi w:val="0"/>
        <w:adjustRightInd w:val="0"/>
        <w:spacing w:line="360" w:lineRule="auto"/>
        <w:ind w:left="0" w:firstLine="422" w:firstLineChars="200"/>
        <w:jc w:val="both"/>
        <w:textAlignment w:val="auto"/>
        <w:rPr>
          <w:rFonts w:hint="eastAsia" w:ascii="宋体" w:hAnsi="宋体" w:eastAsia="宋体" w:cs="宋体"/>
          <w:sz w:val="21"/>
          <w:szCs w:val="21"/>
        </w:rPr>
      </w:pPr>
      <w:r>
        <w:rPr>
          <w:rFonts w:hint="eastAsia" w:ascii="宋体" w:hAnsi="宋体" w:eastAsia="宋体" w:cs="宋体"/>
          <w:b/>
          <w:bCs/>
          <w:sz w:val="21"/>
          <w:szCs w:val="21"/>
          <w:u w:val="single"/>
        </w:rPr>
        <w:t>4）出具保函的机构：需经发包人确认。</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17.2.3预付款的扣回与还清</w:t>
      </w:r>
    </w:p>
    <w:p>
      <w:pPr>
        <w:pStyle w:val="5"/>
        <w:keepNext w:val="0"/>
        <w:keepLines w:val="0"/>
        <w:pageBreakBefore w:val="0"/>
        <w:widowControl w:val="0"/>
        <w:kinsoku/>
        <w:wordWrap w:val="0"/>
        <w:overflowPunct/>
        <w:topLinePunct w:val="0"/>
        <w:autoSpaceDE/>
        <w:autoSpaceDN/>
        <w:bidi w:val="0"/>
        <w:adjustRightInd w:val="0"/>
        <w:snapToGrid/>
        <w:spacing w:line="360" w:lineRule="auto"/>
        <w:ind w:left="0" w:firstLine="422"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(1) 预付款扣回的方式:</w:t>
      </w:r>
      <w:r>
        <w:rPr>
          <w:rFonts w:hint="eastAsia" w:ascii="宋体" w:hAnsi="宋体" w:eastAsia="宋体" w:cs="宋体"/>
          <w:b/>
          <w:sz w:val="21"/>
          <w:szCs w:val="21"/>
          <w:u w:val="single"/>
        </w:rPr>
        <w:t>在支付第一期工程进度款时一次性扣回，如不足抵扣，则在支付下一期工程进度款时扣回。</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17.3 工程进度款</w:t>
      </w:r>
      <w:bookmarkEnd w:id="766"/>
      <w:bookmarkEnd w:id="767"/>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bCs/>
          <w:sz w:val="21"/>
          <w:szCs w:val="21"/>
        </w:rPr>
      </w:pPr>
      <w:r>
        <w:rPr>
          <w:rFonts w:hint="eastAsia" w:ascii="宋体" w:hAnsi="宋体" w:eastAsia="宋体" w:cs="宋体"/>
          <w:b/>
          <w:bCs/>
          <w:sz w:val="21"/>
          <w:szCs w:val="21"/>
        </w:rPr>
        <w:t>17.3.2</w:t>
      </w:r>
      <w:r>
        <w:rPr>
          <w:rFonts w:hint="eastAsia" w:ascii="宋体" w:hAnsi="宋体" w:eastAsia="宋体" w:cs="宋体"/>
          <w:bCs/>
          <w:sz w:val="21"/>
          <w:szCs w:val="21"/>
        </w:rPr>
        <w:t xml:space="preserve"> 承包人在每个付款周期末向监理人提交进度付款申请单的份数：</w:t>
      </w:r>
      <w:r>
        <w:rPr>
          <w:rFonts w:hint="eastAsia" w:ascii="宋体" w:hAnsi="宋体" w:eastAsia="宋体" w:cs="宋体"/>
          <w:bCs/>
          <w:sz w:val="21"/>
          <w:szCs w:val="21"/>
          <w:u w:val="single"/>
        </w:rPr>
        <w:t xml:space="preserve"> 四</w:t>
      </w:r>
      <w:r>
        <w:rPr>
          <w:rFonts w:hint="eastAsia" w:ascii="宋体" w:hAnsi="宋体" w:eastAsia="宋体" w:cs="宋体"/>
          <w:b/>
          <w:bCs/>
          <w:sz w:val="21"/>
          <w:szCs w:val="21"/>
          <w:u w:val="single"/>
        </w:rPr>
        <w:t xml:space="preserve"> </w:t>
      </w:r>
      <w:r>
        <w:rPr>
          <w:rFonts w:hint="eastAsia" w:ascii="宋体" w:hAnsi="宋体" w:eastAsia="宋体" w:cs="宋体"/>
          <w:bCs/>
          <w:sz w:val="21"/>
          <w:szCs w:val="21"/>
        </w:rPr>
        <w:t>份。</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bCs/>
          <w:sz w:val="21"/>
          <w:szCs w:val="21"/>
        </w:rPr>
      </w:pPr>
      <w:r>
        <w:rPr>
          <w:rFonts w:hint="eastAsia" w:ascii="宋体" w:hAnsi="宋体" w:eastAsia="宋体" w:cs="宋体"/>
          <w:b/>
          <w:bCs/>
          <w:sz w:val="21"/>
          <w:szCs w:val="21"/>
        </w:rPr>
        <w:t>17.3.3</w:t>
      </w:r>
      <w:r>
        <w:rPr>
          <w:rFonts w:hint="eastAsia" w:ascii="宋体" w:hAnsi="宋体" w:eastAsia="宋体" w:cs="宋体"/>
          <w:bCs/>
          <w:sz w:val="21"/>
          <w:szCs w:val="21"/>
        </w:rPr>
        <w:t xml:space="preserve"> 进度付款证书和支付时间。</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textAlignment w:val="auto"/>
        <w:outlineLvl w:val="9"/>
        <w:rPr>
          <w:rFonts w:hint="eastAsia" w:ascii="宋体" w:hAnsi="宋体" w:eastAsia="宋体" w:cs="宋体"/>
          <w:b/>
          <w:bCs/>
          <w:color w:val="auto"/>
          <w:kern w:val="2"/>
          <w:sz w:val="21"/>
          <w:szCs w:val="21"/>
          <w:u w:val="single"/>
          <w:lang w:val="en-US" w:eastAsia="zh-CN" w:bidi="ar-SA"/>
        </w:rPr>
      </w:pPr>
      <w:r>
        <w:rPr>
          <w:rFonts w:hint="eastAsia" w:ascii="宋体" w:hAnsi="宋体" w:eastAsia="宋体" w:cs="宋体"/>
          <w:bCs/>
          <w:color w:val="000000"/>
          <w:sz w:val="21"/>
          <w:szCs w:val="21"/>
        </w:rPr>
        <w:t>（1）细化为</w:t>
      </w:r>
      <w:r>
        <w:rPr>
          <w:rFonts w:hint="eastAsia" w:ascii="宋体" w:hAnsi="宋体" w:eastAsia="宋体" w:cs="宋体"/>
          <w:bCs/>
          <w:color w:val="auto"/>
          <w:sz w:val="21"/>
          <w:szCs w:val="21"/>
        </w:rPr>
        <w:t>：</w:t>
      </w:r>
      <w:r>
        <w:rPr>
          <w:rFonts w:hint="eastAsia" w:ascii="宋体" w:hAnsi="宋体" w:eastAsia="宋体" w:cs="宋体"/>
          <w:b/>
          <w:bCs/>
          <w:color w:val="auto"/>
          <w:kern w:val="2"/>
          <w:sz w:val="21"/>
          <w:szCs w:val="21"/>
          <w:highlight w:val="none"/>
          <w:u w:val="single"/>
          <w:lang w:val="en-US" w:eastAsia="zh-CN" w:bidi="ar-SA"/>
        </w:rPr>
        <w:t>①合同签订以及具备实施条件后7个工作日内支付合同价款的40%（含安全文明施工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②每月15日承包人上报实际完成工程量，经监理人和发包人签认确定并收到发票后（满足合同约定支付条件的），28天内支付至已完成工程价款的85%，工程款累计支付至合同价款的85%后暂停支付。③竣工验收合格办理结算后7个工作日内支付至结算价款的98.5%。余款作为工程质量保证金（无息），</w:t>
      </w:r>
      <w:r>
        <w:rPr>
          <w:rFonts w:hint="eastAsia" w:ascii="宋体" w:hAnsi="宋体" w:cs="宋体"/>
          <w:b/>
          <w:bCs/>
          <w:color w:val="auto"/>
          <w:kern w:val="2"/>
          <w:sz w:val="21"/>
          <w:szCs w:val="21"/>
          <w:highlight w:val="none"/>
          <w:u w:val="single"/>
          <w:lang w:val="en-US" w:eastAsia="zh-CN" w:bidi="ar-SA"/>
        </w:rPr>
        <w:t>两</w:t>
      </w:r>
      <w:r>
        <w:rPr>
          <w:rFonts w:hint="eastAsia" w:ascii="宋体" w:hAnsi="宋体" w:eastAsia="宋体" w:cs="宋体"/>
          <w:b/>
          <w:bCs/>
          <w:color w:val="auto"/>
          <w:kern w:val="2"/>
          <w:sz w:val="21"/>
          <w:szCs w:val="21"/>
          <w:highlight w:val="none"/>
          <w:u w:val="single"/>
          <w:lang w:val="en-US" w:eastAsia="zh-CN" w:bidi="ar-SA"/>
        </w:rPr>
        <w:t>年质量保质期后支付剩余工程款。（工程款支付时间，</w:t>
      </w:r>
      <w:r>
        <w:rPr>
          <w:rFonts w:hint="eastAsia" w:ascii="宋体" w:hAnsi="宋体" w:cs="宋体"/>
          <w:b/>
          <w:bCs/>
          <w:color w:val="auto"/>
          <w:kern w:val="2"/>
          <w:sz w:val="21"/>
          <w:szCs w:val="21"/>
          <w:highlight w:val="none"/>
          <w:u w:val="single"/>
          <w:lang w:val="en-US" w:eastAsia="zh-CN" w:bidi="ar-SA"/>
        </w:rPr>
        <w:t>视</w:t>
      </w:r>
      <w:r>
        <w:rPr>
          <w:rFonts w:hint="eastAsia" w:ascii="宋体" w:hAnsi="宋体" w:eastAsia="宋体" w:cs="宋体"/>
          <w:b/>
          <w:color w:val="auto"/>
          <w:highlight w:val="none"/>
          <w:u w:val="single"/>
          <w:lang w:val="en-US" w:eastAsia="zh-CN"/>
        </w:rPr>
        <w:t>财政资金到位情况为准</w:t>
      </w:r>
      <w:r>
        <w:rPr>
          <w:rFonts w:hint="eastAsia" w:ascii="宋体" w:hAnsi="宋体" w:eastAsia="宋体" w:cs="宋体"/>
          <w:b/>
          <w:bCs/>
          <w:color w:val="auto"/>
          <w:kern w:val="2"/>
          <w:sz w:val="21"/>
          <w:szCs w:val="21"/>
          <w:highlight w:val="none"/>
          <w:u w:val="single"/>
          <w:lang w:val="en-US" w:eastAsia="zh-CN" w:bidi="ar-SA"/>
        </w:rPr>
        <w:t>）④发包人向承包人支付的一切费用，承包人不得移作他用。</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bCs/>
          <w:sz w:val="21"/>
          <w:szCs w:val="21"/>
        </w:rPr>
      </w:pPr>
      <w:r>
        <w:rPr>
          <w:rFonts w:hint="eastAsia" w:ascii="宋体" w:hAnsi="宋体" w:eastAsia="宋体" w:cs="宋体"/>
          <w:bCs/>
          <w:color w:val="auto"/>
          <w:sz w:val="21"/>
          <w:szCs w:val="21"/>
        </w:rPr>
        <w:t>（2）本款中不考虑逾</w:t>
      </w:r>
      <w:r>
        <w:rPr>
          <w:rFonts w:hint="eastAsia" w:ascii="宋体" w:hAnsi="宋体" w:eastAsia="宋体" w:cs="宋体"/>
          <w:bCs/>
          <w:sz w:val="21"/>
          <w:szCs w:val="21"/>
        </w:rPr>
        <w:t>期付款违约金及利息，风险由投标人自行承担</w:t>
      </w:r>
      <w:r>
        <w:rPr>
          <w:rFonts w:hint="eastAsia" w:ascii="宋体" w:hAnsi="宋体" w:eastAsia="宋体" w:cs="宋体"/>
          <w:bCs/>
          <w:color w:val="000000"/>
          <w:sz w:val="21"/>
          <w:szCs w:val="21"/>
        </w:rPr>
        <w:t>。</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68" w:name="_Toc527796460"/>
      <w:bookmarkStart w:id="769" w:name="_Toc527806814"/>
      <w:r>
        <w:rPr>
          <w:rFonts w:hint="eastAsia" w:ascii="宋体" w:hAnsi="宋体" w:eastAsia="宋体" w:cs="宋体"/>
          <w:sz w:val="21"/>
          <w:szCs w:val="21"/>
        </w:rPr>
        <w:t>17.4 质量保证金</w:t>
      </w:r>
      <w:bookmarkEnd w:id="768"/>
      <w:bookmarkEnd w:id="769"/>
      <w:r>
        <w:rPr>
          <w:rFonts w:hint="eastAsia" w:ascii="宋体" w:hAnsi="宋体" w:eastAsia="宋体" w:cs="宋体"/>
          <w:sz w:val="21"/>
          <w:szCs w:val="21"/>
        </w:rPr>
        <w:t xml:space="preserve"> </w:t>
      </w:r>
    </w:p>
    <w:p>
      <w:pPr>
        <w:keepNext w:val="0"/>
        <w:keepLines w:val="0"/>
        <w:pageBreakBefore w:val="0"/>
        <w:widowControl w:val="0"/>
        <w:kinsoku/>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000000"/>
          <w:sz w:val="21"/>
          <w:szCs w:val="21"/>
        </w:rPr>
      </w:pPr>
      <w:r>
        <w:rPr>
          <w:rFonts w:hint="eastAsia" w:ascii="宋体" w:hAnsi="宋体" w:eastAsia="宋体" w:cs="宋体"/>
          <w:bCs/>
          <w:sz w:val="21"/>
          <w:szCs w:val="21"/>
        </w:rPr>
        <w:t>17.4.1</w:t>
      </w:r>
      <w:r>
        <w:rPr>
          <w:rFonts w:hint="eastAsia" w:ascii="宋体" w:hAnsi="宋体" w:eastAsia="宋体" w:cs="宋体"/>
          <w:bCs/>
          <w:sz w:val="21"/>
          <w:szCs w:val="21"/>
          <w:highlight w:val="none"/>
        </w:rPr>
        <w:t>本项目质量保证金</w:t>
      </w:r>
      <w:r>
        <w:rPr>
          <w:rFonts w:hint="eastAsia" w:ascii="宋体" w:hAnsi="宋体" w:cs="宋体"/>
          <w:bCs/>
          <w:sz w:val="21"/>
          <w:szCs w:val="21"/>
          <w:highlight w:val="none"/>
          <w:u w:val="single"/>
          <w:lang w:val="en-US" w:eastAsia="zh-CN"/>
        </w:rPr>
        <w:t xml:space="preserve"> 1.5% </w:t>
      </w:r>
      <w:r>
        <w:rPr>
          <w:rFonts w:hint="eastAsia" w:ascii="宋体" w:hAnsi="宋体" w:eastAsia="宋体" w:cs="宋体"/>
          <w:bCs/>
          <w:sz w:val="21"/>
          <w:szCs w:val="21"/>
        </w:rPr>
        <w:t>。</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70" w:name="_Toc527796461"/>
      <w:bookmarkStart w:id="771" w:name="_Toc527806815"/>
      <w:r>
        <w:rPr>
          <w:rFonts w:hint="eastAsia" w:ascii="宋体" w:hAnsi="宋体" w:eastAsia="宋体" w:cs="宋体"/>
          <w:sz w:val="21"/>
          <w:szCs w:val="21"/>
        </w:rPr>
        <w:t>17.5完工结算</w:t>
      </w:r>
      <w:bookmarkEnd w:id="770"/>
      <w:bookmarkEnd w:id="77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完工（竣工）付款申请单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承包人应提交完工付款申请单一式</w:t>
      </w:r>
      <w:r>
        <w:rPr>
          <w:rFonts w:hint="eastAsia" w:ascii="宋体" w:hAnsi="宋体" w:eastAsia="宋体" w:cs="宋体"/>
          <w:sz w:val="21"/>
          <w:szCs w:val="21"/>
          <w:u w:val="single"/>
        </w:rPr>
        <w:t xml:space="preserve">  </w:t>
      </w:r>
      <w:r>
        <w:rPr>
          <w:rFonts w:hint="eastAsia" w:ascii="宋体" w:hAnsi="宋体" w:eastAsia="宋体" w:cs="宋体"/>
          <w:b/>
          <w:sz w:val="21"/>
          <w:szCs w:val="21"/>
          <w:u w:val="single"/>
        </w:rPr>
        <w:t xml:space="preserve">四 </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72" w:name="_Toc527796462"/>
      <w:bookmarkStart w:id="773" w:name="_Toc527806816"/>
      <w:r>
        <w:rPr>
          <w:rFonts w:hint="eastAsia" w:ascii="宋体" w:hAnsi="宋体" w:eastAsia="宋体" w:cs="宋体"/>
          <w:sz w:val="21"/>
          <w:szCs w:val="21"/>
        </w:rPr>
        <w:t>17.6 最终结清</w:t>
      </w:r>
      <w:bookmarkEnd w:id="772"/>
      <w:bookmarkEnd w:id="773"/>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17.6.1</w:t>
      </w:r>
      <w:r>
        <w:rPr>
          <w:rFonts w:hint="eastAsia" w:ascii="宋体" w:hAnsi="宋体" w:eastAsia="宋体" w:cs="宋体"/>
          <w:sz w:val="21"/>
          <w:szCs w:val="21"/>
        </w:rPr>
        <w:t xml:space="preserve">最终结清申请单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承包人应提交最终结清申请单一式</w:t>
      </w:r>
      <w:r>
        <w:rPr>
          <w:rFonts w:hint="eastAsia" w:ascii="宋体" w:hAnsi="宋体" w:eastAsia="宋体" w:cs="宋体"/>
          <w:sz w:val="21"/>
          <w:szCs w:val="21"/>
          <w:u w:val="single"/>
        </w:rPr>
        <w:t xml:space="preserve">  四   </w:t>
      </w:r>
      <w:r>
        <w:rPr>
          <w:rFonts w:hint="eastAsia" w:ascii="宋体" w:hAnsi="宋体" w:eastAsia="宋体" w:cs="宋体"/>
          <w:sz w:val="21"/>
          <w:szCs w:val="21"/>
        </w:rPr>
        <w:t>份。</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74" w:name="_Toc527796463"/>
      <w:bookmarkStart w:id="775" w:name="_Toc527806817"/>
      <w:r>
        <w:rPr>
          <w:rFonts w:hint="eastAsia" w:ascii="宋体" w:hAnsi="宋体" w:eastAsia="宋体" w:cs="宋体"/>
          <w:sz w:val="21"/>
          <w:szCs w:val="21"/>
        </w:rPr>
        <w:t>17.7 竣工财务决算</w:t>
      </w:r>
      <w:bookmarkEnd w:id="774"/>
      <w:bookmarkEnd w:id="775"/>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承包人应为竣工财务决算编制提供的资料：</w:t>
      </w:r>
      <w:r>
        <w:rPr>
          <w:rFonts w:hint="eastAsia" w:ascii="宋体" w:hAnsi="宋体" w:eastAsia="宋体" w:cs="宋体"/>
          <w:sz w:val="21"/>
          <w:szCs w:val="21"/>
          <w:u w:val="single"/>
        </w:rPr>
        <w:t xml:space="preserve">  </w:t>
      </w:r>
      <w:r>
        <w:rPr>
          <w:rFonts w:hint="eastAsia" w:ascii="宋体" w:hAnsi="宋体" w:eastAsia="宋体" w:cs="宋体"/>
          <w:snapToGrid w:val="0"/>
          <w:sz w:val="21"/>
          <w:szCs w:val="21"/>
          <w:u w:val="single"/>
        </w:rPr>
        <w:t>财务决算所需的一切资料</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76" w:name="_Toc1519"/>
      <w:bookmarkStart w:id="777" w:name="_Toc527806818"/>
      <w:bookmarkStart w:id="778" w:name="_Toc527796464"/>
      <w:bookmarkStart w:id="779" w:name="_Toc527796337"/>
      <w:bookmarkStart w:id="780" w:name="_Toc529533035"/>
      <w:bookmarkStart w:id="781" w:name="_Toc527796543"/>
      <w:bookmarkStart w:id="782" w:name="_Toc529533184"/>
      <w:r>
        <w:rPr>
          <w:rFonts w:hint="eastAsia" w:ascii="宋体" w:hAnsi="宋体" w:eastAsia="宋体" w:cs="宋体"/>
          <w:sz w:val="21"/>
          <w:szCs w:val="21"/>
        </w:rPr>
        <w:t>18 工程验收</w:t>
      </w:r>
      <w:bookmarkEnd w:id="776"/>
      <w:bookmarkEnd w:id="777"/>
      <w:bookmarkEnd w:id="778"/>
      <w:bookmarkEnd w:id="779"/>
      <w:bookmarkEnd w:id="780"/>
      <w:bookmarkEnd w:id="781"/>
      <w:bookmarkEnd w:id="782"/>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18.4.1合同工程具备验收条件时，承包人应向发包人提交验收申请报告，发包人应在收到验收申请报告之日起20个工作日内决定是否同意进行验收。</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18.4.2发包人主持合同工程完工验收，承包人应派代表参加验收工作组。</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18.4.3合同工程完工验收通过后，发包人向承包人发送合同工程完工验收鉴定书。承包人应及时完成合同工程完工验收鉴定书载明应由承包人处理的遗留问题。</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18.4.4合同工程完工验收通过后，发包人与承包人应在30个工作日内组织专人负责工程交接，双方交接负责人应在交接记录上签字。承包人应按验收鉴定书约定的时间及时移交工程及档案资料。工程移交时，承包人应向发包人递交工程质量保修书。在承包人递交了工程质量保修书、完成施工场地清理以及提交有关资料后，发包人应在30个工作日内向承包人颁发合同工程完工证书。</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83" w:name="_Toc529533036"/>
      <w:bookmarkStart w:id="784" w:name="_Toc527796473"/>
      <w:bookmarkStart w:id="785" w:name="_Toc527796338"/>
      <w:bookmarkStart w:id="786" w:name="_Toc527806827"/>
      <w:bookmarkStart w:id="787" w:name="_Toc529533185"/>
      <w:bookmarkStart w:id="788" w:name="_Toc15103"/>
      <w:bookmarkStart w:id="789" w:name="_Toc527796544"/>
      <w:r>
        <w:rPr>
          <w:rFonts w:hint="eastAsia" w:ascii="宋体" w:hAnsi="宋体" w:eastAsia="宋体" w:cs="宋体"/>
          <w:sz w:val="21"/>
          <w:szCs w:val="21"/>
        </w:rPr>
        <w:t>19 缺陷责任与保修责任</w:t>
      </w:r>
      <w:bookmarkEnd w:id="783"/>
      <w:bookmarkEnd w:id="784"/>
      <w:bookmarkEnd w:id="785"/>
      <w:bookmarkEnd w:id="786"/>
      <w:bookmarkEnd w:id="787"/>
      <w:bookmarkEnd w:id="788"/>
      <w:bookmarkEnd w:id="789"/>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90" w:name="_Toc527806828"/>
      <w:bookmarkStart w:id="791" w:name="_Toc527796474"/>
      <w:r>
        <w:rPr>
          <w:rFonts w:hint="eastAsia" w:ascii="宋体" w:hAnsi="宋体" w:eastAsia="宋体" w:cs="宋体"/>
          <w:sz w:val="21"/>
          <w:szCs w:val="21"/>
        </w:rPr>
        <w:t>19.1 缺陷责任期（工程质量保修期）的起算时间</w:t>
      </w:r>
      <w:bookmarkEnd w:id="790"/>
      <w:bookmarkEnd w:id="79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本工程缺陷责任期（工程质量保修期）为</w:t>
      </w:r>
      <w:r>
        <w:rPr>
          <w:rFonts w:hint="eastAsia" w:ascii="宋体" w:hAnsi="宋体" w:eastAsia="宋体" w:cs="宋体"/>
          <w:color w:val="auto"/>
          <w:sz w:val="21"/>
          <w:szCs w:val="21"/>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2</w:t>
      </w:r>
      <w:r>
        <w:rPr>
          <w:rFonts w:hint="eastAsia" w:ascii="宋体" w:hAnsi="宋体" w:eastAsia="宋体" w:cs="宋体"/>
          <w:b/>
          <w:color w:val="auto"/>
          <w:sz w:val="21"/>
          <w:szCs w:val="21"/>
          <w:highlight w:val="none"/>
          <w:u w:val="single"/>
        </w:rPr>
        <w:t xml:space="preserve">  年</w:t>
      </w:r>
      <w:r>
        <w:rPr>
          <w:rFonts w:hint="eastAsia" w:ascii="宋体" w:hAnsi="宋体" w:eastAsia="宋体" w:cs="宋体"/>
          <w:sz w:val="21"/>
          <w:szCs w:val="21"/>
          <w:highlight w:val="none"/>
          <w:u w:val="none"/>
        </w:rPr>
        <w:t>。</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92" w:name="_Toc529533037"/>
      <w:bookmarkStart w:id="793" w:name="_Toc527796339"/>
      <w:bookmarkStart w:id="794" w:name="_Toc16151"/>
      <w:bookmarkStart w:id="795" w:name="_Toc527796545"/>
      <w:bookmarkStart w:id="796" w:name="_Toc527806829"/>
      <w:bookmarkStart w:id="797" w:name="_Toc529533186"/>
      <w:bookmarkStart w:id="798" w:name="_Toc527796475"/>
      <w:r>
        <w:rPr>
          <w:rFonts w:hint="eastAsia" w:ascii="宋体" w:hAnsi="宋体" w:eastAsia="宋体" w:cs="宋体"/>
          <w:sz w:val="21"/>
          <w:szCs w:val="21"/>
        </w:rPr>
        <w:t>20 保险</w:t>
      </w:r>
      <w:bookmarkEnd w:id="792"/>
      <w:bookmarkEnd w:id="793"/>
      <w:bookmarkEnd w:id="794"/>
      <w:bookmarkEnd w:id="795"/>
      <w:bookmarkEnd w:id="796"/>
      <w:bookmarkEnd w:id="797"/>
      <w:bookmarkEnd w:id="798"/>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799" w:name="_Toc527796476"/>
      <w:bookmarkStart w:id="800" w:name="_Toc527806830"/>
      <w:r>
        <w:rPr>
          <w:rFonts w:hint="eastAsia" w:ascii="宋体" w:hAnsi="宋体" w:eastAsia="宋体" w:cs="宋体"/>
          <w:sz w:val="21"/>
          <w:szCs w:val="21"/>
        </w:rPr>
        <w:t>20.1 建筑安装工程保险</w:t>
      </w:r>
      <w:bookmarkEnd w:id="799"/>
      <w:bookmarkEnd w:id="800"/>
      <w:r>
        <w:rPr>
          <w:rFonts w:hint="eastAsia" w:ascii="宋体" w:hAnsi="宋体" w:eastAsia="宋体" w:cs="宋体"/>
          <w:sz w:val="21"/>
          <w:szCs w:val="21"/>
        </w:rPr>
        <w:t xml:space="preserve"> </w:t>
      </w:r>
      <w:bookmarkStart w:id="899" w:name="_GoBack"/>
      <w:bookmarkEnd w:id="899"/>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建筑工程一切险和（或）安装工程一切险投保人：</w:t>
      </w:r>
      <w:r>
        <w:rPr>
          <w:rFonts w:hint="eastAsia" w:ascii="宋体" w:hAnsi="宋体" w:eastAsia="宋体" w:cs="宋体"/>
          <w:b/>
          <w:sz w:val="21"/>
          <w:szCs w:val="21"/>
          <w:u w:val="single"/>
        </w:rPr>
        <w:t>由承包人以发包人和承包人的名义投保</w:t>
      </w:r>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投保内容：</w:t>
      </w:r>
      <w:r>
        <w:rPr>
          <w:rFonts w:hint="eastAsia" w:ascii="宋体" w:hAnsi="宋体" w:eastAsia="宋体" w:cs="宋体"/>
          <w:snapToGrid w:val="0"/>
          <w:sz w:val="21"/>
          <w:szCs w:val="21"/>
          <w:u w:val="single"/>
        </w:rPr>
        <w:t>为本合同工程的永久工程、临时工程和设备及已运至施工工地用于永久工程的材料和设备所投的保险</w:t>
      </w:r>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保险金额、保险费率和保险期限：</w:t>
      </w:r>
      <w:r>
        <w:rPr>
          <w:rFonts w:hint="eastAsia" w:ascii="宋体" w:hAnsi="宋体" w:eastAsia="宋体" w:cs="宋体"/>
          <w:sz w:val="21"/>
          <w:szCs w:val="21"/>
          <w:u w:val="single"/>
        </w:rPr>
        <w:t>保险费不超过投标报价，发包人按监理人签认的保险凭证进行支付。保险期限自开工即日算起至颁发工程移交证书。</w:t>
      </w:r>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01" w:name="_Toc527796477"/>
      <w:bookmarkStart w:id="802" w:name="_Toc527806831"/>
      <w:r>
        <w:rPr>
          <w:rFonts w:hint="eastAsia" w:ascii="宋体" w:hAnsi="宋体" w:eastAsia="宋体" w:cs="宋体"/>
          <w:sz w:val="21"/>
          <w:szCs w:val="21"/>
        </w:rPr>
        <w:t>20.4 第三者责任险</w:t>
      </w:r>
      <w:bookmarkEnd w:id="801"/>
      <w:bookmarkEnd w:id="802"/>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20.4.2 第三者责任险保险费率：</w:t>
      </w:r>
      <w:r>
        <w:rPr>
          <w:rFonts w:hint="eastAsia" w:ascii="宋体" w:hAnsi="宋体" w:eastAsia="宋体" w:cs="宋体"/>
          <w:sz w:val="21"/>
          <w:szCs w:val="21"/>
          <w:highlight w:val="none"/>
          <w:u w:val="single"/>
        </w:rPr>
        <w:t>建筑安装工程一切险保险费和第三者责任险合计的取费费率按0.</w:t>
      </w:r>
      <w:r>
        <w:rPr>
          <w:rFonts w:hint="eastAsia" w:ascii="宋体" w:hAnsi="宋体" w:eastAsia="宋体" w:cs="宋体"/>
          <w:sz w:val="21"/>
          <w:szCs w:val="21"/>
          <w:highlight w:val="none"/>
          <w:u w:val="single"/>
          <w:lang w:val="en-US" w:eastAsia="zh-CN"/>
        </w:rPr>
        <w:t>4</w:t>
      </w:r>
      <w:r>
        <w:rPr>
          <w:rFonts w:hint="eastAsia" w:ascii="宋体" w:hAnsi="宋体" w:eastAsia="宋体" w:cs="宋体"/>
          <w:sz w:val="21"/>
          <w:szCs w:val="21"/>
          <w:highlight w:val="none"/>
          <w:u w:val="single"/>
        </w:rPr>
        <w:t>5%计取</w:t>
      </w:r>
      <w:r>
        <w:rPr>
          <w:rFonts w:hint="eastAsia" w:ascii="宋体" w:hAnsi="宋体" w:eastAsia="宋体" w:cs="宋体"/>
          <w:sz w:val="21"/>
          <w:szCs w:val="21"/>
          <w:highlight w:val="none"/>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第三者责任险保险金额：</w:t>
      </w:r>
      <w:r>
        <w:rPr>
          <w:rFonts w:hint="eastAsia" w:ascii="宋体" w:hAnsi="宋体" w:eastAsia="宋体" w:cs="宋体"/>
          <w:sz w:val="21"/>
          <w:szCs w:val="21"/>
          <w:highlight w:val="none"/>
          <w:u w:val="single"/>
        </w:rPr>
        <w:t>保险费不超过投标报价，发包人按监理人签认的保险凭证进行支付，</w:t>
      </w:r>
      <w:r>
        <w:rPr>
          <w:rFonts w:hint="eastAsia" w:ascii="宋体" w:hAnsi="宋体" w:eastAsia="宋体" w:cs="宋体"/>
          <w:snapToGrid w:val="0"/>
          <w:sz w:val="21"/>
          <w:szCs w:val="21"/>
          <w:highlight w:val="none"/>
          <w:u w:val="single"/>
        </w:rPr>
        <w:t>凭有效发票支付。</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highlight w:val="none"/>
        </w:rPr>
      </w:pPr>
      <w:bookmarkStart w:id="803" w:name="_Toc527806832"/>
      <w:bookmarkStart w:id="804" w:name="_Toc527796478"/>
      <w:r>
        <w:rPr>
          <w:rFonts w:hint="eastAsia" w:ascii="宋体" w:hAnsi="宋体" w:eastAsia="宋体" w:cs="宋体"/>
          <w:sz w:val="21"/>
          <w:szCs w:val="21"/>
          <w:highlight w:val="none"/>
        </w:rPr>
        <w:t>20.5 其它保险</w:t>
      </w:r>
      <w:bookmarkEnd w:id="803"/>
      <w:bookmarkEnd w:id="804"/>
      <w:r>
        <w:rPr>
          <w:rFonts w:hint="eastAsia" w:ascii="宋体" w:hAnsi="宋体" w:eastAsia="宋体" w:cs="宋体"/>
          <w:sz w:val="21"/>
          <w:szCs w:val="21"/>
          <w:highlight w:val="none"/>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需要投保的其它内容：</w:t>
      </w:r>
      <w:r>
        <w:rPr>
          <w:rFonts w:hint="eastAsia" w:ascii="宋体" w:hAnsi="宋体" w:eastAsia="宋体" w:cs="宋体"/>
          <w:sz w:val="21"/>
          <w:szCs w:val="21"/>
          <w:highlight w:val="none"/>
          <w:u w:val="single"/>
        </w:rPr>
        <w:t xml:space="preserve">   /  </w:t>
      </w:r>
      <w:r>
        <w:rPr>
          <w:rFonts w:hint="eastAsia" w:ascii="宋体" w:hAnsi="宋体" w:eastAsia="宋体" w:cs="宋体"/>
          <w:sz w:val="21"/>
          <w:szCs w:val="21"/>
          <w:highlight w:val="none"/>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保险金额、保险费率和保险期限：</w:t>
      </w:r>
      <w:r>
        <w:rPr>
          <w:rFonts w:hint="eastAsia" w:ascii="宋体" w:hAnsi="宋体" w:eastAsia="宋体" w:cs="宋体"/>
          <w:sz w:val="21"/>
          <w:szCs w:val="21"/>
          <w:highlight w:val="none"/>
          <w:u w:val="single"/>
        </w:rPr>
        <w:t xml:space="preserve">    /    </w:t>
      </w:r>
      <w:r>
        <w:rPr>
          <w:rFonts w:hint="eastAsia" w:ascii="宋体" w:hAnsi="宋体" w:eastAsia="宋体" w:cs="宋体"/>
          <w:sz w:val="21"/>
          <w:szCs w:val="21"/>
          <w:highlight w:val="none"/>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05" w:name="_Toc527796479"/>
      <w:bookmarkStart w:id="806" w:name="_Toc527806833"/>
      <w:r>
        <w:rPr>
          <w:rFonts w:hint="eastAsia" w:ascii="宋体" w:hAnsi="宋体" w:eastAsia="宋体" w:cs="宋体"/>
          <w:sz w:val="21"/>
          <w:szCs w:val="21"/>
        </w:rPr>
        <w:t>20.6 对各项保险的一般要求</w:t>
      </w:r>
      <w:bookmarkEnd w:id="805"/>
      <w:bookmarkEnd w:id="806"/>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20.6.1</w:t>
      </w:r>
      <w:r>
        <w:rPr>
          <w:rFonts w:hint="eastAsia" w:ascii="宋体" w:hAnsi="宋体" w:eastAsia="宋体" w:cs="宋体"/>
          <w:sz w:val="21"/>
          <w:szCs w:val="21"/>
        </w:rPr>
        <w:t xml:space="preserve"> 保险凭证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承包人提交保险凭证的期限：</w:t>
      </w:r>
      <w:r>
        <w:rPr>
          <w:rFonts w:hint="eastAsia" w:ascii="宋体" w:hAnsi="宋体" w:eastAsia="宋体" w:cs="宋体"/>
          <w:b/>
          <w:sz w:val="21"/>
          <w:szCs w:val="21"/>
          <w:u w:val="single"/>
        </w:rPr>
        <w:t xml:space="preserve">      /     </w:t>
      </w:r>
      <w:r>
        <w:rPr>
          <w:rFonts w:hint="eastAsia" w:ascii="宋体" w:hAnsi="宋体" w:eastAsia="宋体" w:cs="宋体"/>
          <w:b/>
          <w:sz w:val="21"/>
          <w:szCs w:val="21"/>
        </w:rPr>
        <w:t>天</w:t>
      </w:r>
      <w:r>
        <w:rPr>
          <w:rFonts w:hint="eastAsia" w:ascii="宋体" w:hAnsi="宋体" w:eastAsia="宋体" w:cs="宋体"/>
          <w:sz w:val="21"/>
          <w:szCs w:val="21"/>
        </w:rPr>
        <w:t xml:space="preserve">内提交。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保险条件：</w:t>
      </w:r>
      <w:r>
        <w:rPr>
          <w:rFonts w:hint="eastAsia" w:ascii="宋体" w:hAnsi="宋体" w:eastAsia="宋体" w:cs="宋体"/>
          <w:sz w:val="21"/>
          <w:szCs w:val="21"/>
          <w:u w:val="single"/>
        </w:rPr>
        <w:t xml:space="preserve">     /         </w:t>
      </w:r>
      <w:r>
        <w:rPr>
          <w:rFonts w:hint="eastAsia" w:ascii="宋体" w:hAnsi="宋体" w:eastAsia="宋体" w:cs="宋体"/>
          <w:sz w:val="21"/>
          <w:szCs w:val="21"/>
        </w:rPr>
        <w:t xml:space="preserve"> ； </w:t>
      </w:r>
    </w:p>
    <w:p>
      <w:pPr>
        <w:pStyle w:val="59"/>
        <w:keepNext w:val="0"/>
        <w:keepLines w:val="0"/>
        <w:pageBreakBefore w:val="0"/>
        <w:widowControl w:val="0"/>
        <w:kinsoku/>
        <w:overflowPunct/>
        <w:topLinePunct w:val="0"/>
        <w:autoSpaceDE/>
        <w:autoSpaceDN/>
        <w:bidi w:val="0"/>
        <w:adjustRightInd w:val="0"/>
        <w:spacing w:line="360" w:lineRule="auto"/>
        <w:ind w:left="0" w:firstLine="422"/>
        <w:jc w:val="both"/>
        <w:textAlignment w:val="auto"/>
        <w:rPr>
          <w:rFonts w:hint="eastAsia" w:ascii="宋体" w:hAnsi="宋体" w:eastAsia="宋体" w:cs="宋体"/>
          <w:sz w:val="21"/>
          <w:szCs w:val="21"/>
        </w:rPr>
      </w:pPr>
      <w:r>
        <w:rPr>
          <w:rFonts w:hint="eastAsia" w:ascii="宋体" w:hAnsi="宋体" w:eastAsia="宋体" w:cs="宋体"/>
          <w:b/>
          <w:sz w:val="21"/>
          <w:szCs w:val="21"/>
        </w:rPr>
        <w:t>20.6.4</w:t>
      </w:r>
      <w:r>
        <w:rPr>
          <w:rFonts w:hint="eastAsia" w:ascii="宋体" w:hAnsi="宋体" w:eastAsia="宋体" w:cs="宋体"/>
          <w:sz w:val="21"/>
          <w:szCs w:val="21"/>
        </w:rPr>
        <w:t xml:space="preserve"> 保险金不足的补偿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承包人负责补偿的范围与金额：</w:t>
      </w:r>
      <w:r>
        <w:rPr>
          <w:rFonts w:hint="eastAsia" w:ascii="宋体" w:hAnsi="宋体" w:eastAsia="宋体" w:cs="宋体"/>
          <w:b/>
          <w:color w:val="000000"/>
          <w:sz w:val="21"/>
          <w:szCs w:val="21"/>
          <w:u w:val="single"/>
        </w:rPr>
        <w:t>保险金不足的补偿均由承包人负责</w:t>
      </w:r>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发包人负责补偿的范围与金额：</w:t>
      </w:r>
      <w:r>
        <w:rPr>
          <w:rFonts w:hint="eastAsia" w:ascii="宋体" w:hAnsi="宋体" w:eastAsia="宋体" w:cs="宋体"/>
          <w:b/>
          <w:color w:val="000000"/>
          <w:sz w:val="21"/>
          <w:szCs w:val="21"/>
          <w:u w:val="single"/>
        </w:rPr>
        <w:t>无。</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07" w:name="_Toc406508908"/>
      <w:bookmarkStart w:id="808" w:name="_Toc529533038"/>
      <w:bookmarkStart w:id="809" w:name="_Toc5478"/>
      <w:bookmarkStart w:id="810" w:name="_Toc529533187"/>
      <w:r>
        <w:rPr>
          <w:rFonts w:hint="eastAsia" w:ascii="宋体" w:hAnsi="宋体" w:eastAsia="宋体" w:cs="宋体"/>
          <w:sz w:val="21"/>
          <w:szCs w:val="21"/>
        </w:rPr>
        <w:t>22违约</w:t>
      </w:r>
      <w:bookmarkEnd w:id="807"/>
      <w:r>
        <w:rPr>
          <w:rFonts w:hint="eastAsia" w:ascii="宋体" w:hAnsi="宋体" w:eastAsia="宋体" w:cs="宋体"/>
          <w:sz w:val="21"/>
          <w:szCs w:val="21"/>
        </w:rPr>
        <w:t>：           /</w:t>
      </w:r>
      <w:bookmarkEnd w:id="808"/>
      <w:bookmarkEnd w:id="809"/>
      <w:bookmarkEnd w:id="810"/>
      <w:r>
        <w:rPr>
          <w:rFonts w:hint="eastAsia" w:ascii="宋体" w:hAnsi="宋体" w:eastAsia="宋体" w:cs="宋体"/>
          <w:sz w:val="21"/>
          <w:szCs w:val="21"/>
        </w:rPr>
        <w:t xml:space="preserve">       </w:t>
      </w:r>
      <w:bookmarkStart w:id="811" w:name="_Toc527796480"/>
      <w:bookmarkStart w:id="812" w:name="_Toc527806834"/>
      <w:bookmarkStart w:id="813" w:name="_Toc527796340"/>
      <w:bookmarkStart w:id="814" w:name="_Toc527796546"/>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15" w:name="_Toc17764"/>
      <w:bookmarkStart w:id="816" w:name="_Toc529533039"/>
      <w:bookmarkStart w:id="817" w:name="_Toc529533188"/>
      <w:r>
        <w:rPr>
          <w:rFonts w:hint="eastAsia" w:ascii="宋体" w:hAnsi="宋体" w:eastAsia="宋体" w:cs="宋体"/>
          <w:sz w:val="21"/>
          <w:szCs w:val="21"/>
        </w:rPr>
        <w:t>24 争议的解决</w:t>
      </w:r>
      <w:bookmarkEnd w:id="811"/>
      <w:bookmarkEnd w:id="812"/>
      <w:bookmarkEnd w:id="813"/>
      <w:bookmarkEnd w:id="814"/>
      <w:bookmarkEnd w:id="815"/>
      <w:bookmarkEnd w:id="816"/>
      <w:bookmarkEnd w:id="817"/>
      <w:r>
        <w:rPr>
          <w:rFonts w:hint="eastAsia" w:ascii="宋体" w:hAnsi="宋体" w:eastAsia="宋体" w:cs="宋体"/>
          <w:sz w:val="21"/>
          <w:szCs w:val="21"/>
        </w:rPr>
        <w:t xml:space="preserve"> </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18" w:name="_Toc529533040"/>
      <w:bookmarkStart w:id="819" w:name="_Toc527796481"/>
      <w:bookmarkStart w:id="820" w:name="_Toc529533189"/>
      <w:bookmarkStart w:id="821" w:name="_Toc527806835"/>
      <w:r>
        <w:rPr>
          <w:rFonts w:hint="eastAsia" w:ascii="宋体" w:hAnsi="宋体" w:eastAsia="宋体" w:cs="宋体"/>
          <w:sz w:val="21"/>
          <w:szCs w:val="21"/>
        </w:rPr>
        <w:t>24.1 争议的解决方式</w:t>
      </w:r>
      <w:bookmarkEnd w:id="818"/>
      <w:bookmarkEnd w:id="819"/>
      <w:bookmarkEnd w:id="820"/>
      <w:bookmarkEnd w:id="821"/>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合同当事人友好协商解决不成、不愿提请争议评审或不接受争议评审组意见的，约定的合同争议解决方式：</w:t>
      </w:r>
      <w:r>
        <w:rPr>
          <w:rFonts w:hint="eastAsia" w:ascii="宋体" w:hAnsi="宋体" w:eastAsia="宋体" w:cs="宋体"/>
          <w:b/>
          <w:color w:val="000000"/>
          <w:sz w:val="21"/>
          <w:szCs w:val="21"/>
          <w:u w:val="single"/>
        </w:rPr>
        <w:t>提交仲裁或提起诉讼，提交仲裁或提起诉讼机构为本工程所在地仲裁委员会或人民法院。</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22" w:name="_Toc527796482"/>
      <w:bookmarkStart w:id="823" w:name="_Toc527806836"/>
      <w:r>
        <w:rPr>
          <w:rFonts w:hint="eastAsia" w:ascii="宋体" w:hAnsi="宋体" w:eastAsia="宋体" w:cs="宋体"/>
          <w:sz w:val="21"/>
          <w:szCs w:val="21"/>
        </w:rPr>
        <w:t>24.2 友好解决</w:t>
      </w:r>
      <w:bookmarkEnd w:id="822"/>
      <w:bookmarkEnd w:id="823"/>
      <w:r>
        <w:rPr>
          <w:rFonts w:hint="eastAsia" w:ascii="宋体" w:hAnsi="宋体" w:eastAsia="宋体" w:cs="宋体"/>
          <w:sz w:val="21"/>
          <w:szCs w:val="21"/>
        </w:rPr>
        <w:t xml:space="preserve">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补充：合同当事人可以就争议请第三方或省水行政主管部门进行调解，调解达成协议的，经双方签字并盖章后作为合同补充文件，双方均应遵照执行。</w:t>
      </w:r>
    </w:p>
    <w:p>
      <w:pPr>
        <w:pStyle w:val="5"/>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24.3 争议评审 </w:t>
      </w:r>
    </w:p>
    <w:p>
      <w:pPr>
        <w:pStyle w:val="59"/>
        <w:keepNext w:val="0"/>
        <w:keepLines w:val="0"/>
        <w:pageBreakBefore w:val="0"/>
        <w:widowControl w:val="0"/>
        <w:kinsoku/>
        <w:overflowPunct/>
        <w:topLinePunct w:val="0"/>
        <w:autoSpaceDE/>
        <w:autoSpaceDN/>
        <w:bidi w:val="0"/>
        <w:adjustRightInd w:val="0"/>
        <w:spacing w:line="360" w:lineRule="auto"/>
        <w:ind w:lef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24.3.7补充：发包人或承包人不接受评审意见，可请省水行政主管部门进行调解。</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24" w:name="_Toc406508910"/>
      <w:bookmarkStart w:id="825" w:name="_Toc529533190"/>
      <w:bookmarkStart w:id="826" w:name="_Toc529533041"/>
      <w:bookmarkStart w:id="827" w:name="_Toc19607"/>
      <w:r>
        <w:rPr>
          <w:rFonts w:hint="eastAsia" w:ascii="宋体" w:hAnsi="宋体" w:eastAsia="宋体" w:cs="宋体"/>
          <w:sz w:val="21"/>
          <w:szCs w:val="21"/>
        </w:rPr>
        <w:t>25  合同类型</w:t>
      </w:r>
      <w:bookmarkEnd w:id="824"/>
      <w:bookmarkEnd w:id="825"/>
      <w:bookmarkEnd w:id="826"/>
      <w:bookmarkEnd w:id="827"/>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u w:val="single"/>
        </w:rPr>
        <w:t xml:space="preserve">  单价合同     </w:t>
      </w:r>
    </w:p>
    <w:p>
      <w:pPr>
        <w:pStyle w:val="4"/>
        <w:keepNext w:val="0"/>
        <w:keepLines w:val="0"/>
        <w:pageBreakBefore w:val="0"/>
        <w:widowControl w:val="0"/>
        <w:kinsoku/>
        <w:overflowPunct/>
        <w:topLinePunct w:val="0"/>
        <w:autoSpaceDE/>
        <w:autoSpaceDN/>
        <w:bidi w:val="0"/>
        <w:adjustRightInd w:val="0"/>
        <w:spacing w:line="360" w:lineRule="auto"/>
        <w:ind w:left="0"/>
        <w:jc w:val="both"/>
        <w:textAlignment w:val="auto"/>
        <w:rPr>
          <w:rFonts w:hint="eastAsia" w:ascii="宋体" w:hAnsi="宋体" w:eastAsia="宋体" w:cs="宋体"/>
          <w:sz w:val="21"/>
          <w:szCs w:val="21"/>
        </w:rPr>
      </w:pPr>
      <w:bookmarkStart w:id="828" w:name="_Toc8612"/>
      <w:bookmarkStart w:id="829" w:name="_Toc529533042"/>
      <w:bookmarkStart w:id="830" w:name="_Toc529533191"/>
      <w:bookmarkStart w:id="831" w:name="_Toc406508911"/>
      <w:r>
        <w:rPr>
          <w:rFonts w:hint="eastAsia" w:ascii="宋体" w:hAnsi="宋体" w:eastAsia="宋体" w:cs="宋体"/>
          <w:sz w:val="21"/>
          <w:szCs w:val="21"/>
        </w:rPr>
        <w:t>26  双方约定的其他条款</w:t>
      </w:r>
      <w:bookmarkEnd w:id="828"/>
      <w:bookmarkEnd w:id="829"/>
      <w:bookmarkEnd w:id="830"/>
      <w:bookmarkEnd w:id="831"/>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26.1 工程工资款支付应按温州市水利局《关于印发“温州无欠薪”行动水利工程建设领域专项治理实施方案的通知》执行。</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26.2 承包人进场施工前，根据瑞安市水利局发布的“关于做好水利建设项目工伤保险工作的通知（瑞水[2023]127号）”规定，完成工伤保险事项。</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26.3 合同签订后7天内，承包人须进场施工，否则发包人有权解除合同。</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26.4 具备进场施工条件后，承包人需首先完成监控系统工作。</w:t>
      </w:r>
    </w:p>
    <w:p>
      <w:pPr>
        <w:keepNext w:val="0"/>
        <w:keepLines w:val="0"/>
        <w:pageBreakBefore w:val="0"/>
        <w:widowControl w:val="0"/>
        <w:kinsoku/>
        <w:overflowPunct/>
        <w:topLinePunct w:val="0"/>
        <w:autoSpaceDE/>
        <w:autoSpaceDN/>
        <w:bidi w:val="0"/>
        <w:adjustRightInd w:val="0"/>
        <w:spacing w:line="360" w:lineRule="auto"/>
        <w:ind w:left="0" w:firstLine="420" w:firstLineChars="200"/>
        <w:jc w:val="both"/>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26.5 现场电线杆迁移，承包人施工前需经电力局确认迁移方案后，方可施工。</w:t>
      </w:r>
    </w:p>
    <w:p>
      <w:pPr>
        <w:keepNext w:val="0"/>
        <w:keepLines w:val="0"/>
        <w:pageBreakBefore w:val="0"/>
        <w:widowControl w:val="0"/>
        <w:kinsoku/>
        <w:overflowPunct/>
        <w:topLinePunct w:val="0"/>
        <w:autoSpaceDE/>
        <w:autoSpaceDN/>
        <w:bidi w:val="0"/>
        <w:adjustRightInd w:val="0"/>
        <w:snapToGrid w:val="0"/>
        <w:spacing w:line="360" w:lineRule="auto"/>
        <w:ind w:left="0" w:firstLine="420" w:firstLineChars="200"/>
        <w:contextualSpacing/>
        <w:jc w:val="both"/>
        <w:textAlignment w:val="auto"/>
        <w:rPr>
          <w:rFonts w:hint="eastAsia" w:ascii="宋体" w:hAnsi="宋体"/>
          <w:color w:val="000000"/>
          <w:szCs w:val="21"/>
        </w:rPr>
      </w:pPr>
      <w:r>
        <w:rPr>
          <w:rFonts w:hint="eastAsia" w:ascii="宋体" w:hAnsi="宋体" w:eastAsia="宋体" w:cs="宋体"/>
          <w:kern w:val="2"/>
          <w:sz w:val="21"/>
          <w:szCs w:val="21"/>
          <w:lang w:val="en-US" w:eastAsia="zh-CN" w:bidi="ar-SA"/>
        </w:rPr>
        <w:t xml:space="preserve">26.6 </w:t>
      </w:r>
      <w:r>
        <w:rPr>
          <w:rFonts w:hint="eastAsia" w:ascii="宋体" w:hAnsi="宋体" w:eastAsia="宋体" w:cs="宋体"/>
          <w:sz w:val="21"/>
          <w:szCs w:val="21"/>
        </w:rPr>
        <w:t>未尽事宜，双方协商解决。</w:t>
      </w:r>
    </w:p>
    <w:p>
      <w:pPr>
        <w:tabs>
          <w:tab w:val="left" w:pos="4395"/>
        </w:tabs>
        <w:adjustRightInd w:val="0"/>
        <w:spacing w:line="480" w:lineRule="auto"/>
        <w:rPr>
          <w:rFonts w:hint="eastAsia" w:ascii="宋体" w:hAnsi="宋体"/>
        </w:rPr>
      </w:pPr>
      <w:r>
        <w:rPr>
          <w:rFonts w:hint="eastAsia" w:ascii="宋体" w:hAnsi="宋体"/>
        </w:rPr>
        <w:t xml:space="preserve">发包人（公章）：        </w:t>
      </w:r>
      <w:r>
        <w:rPr>
          <w:rFonts w:hint="eastAsia" w:ascii="宋体" w:hAnsi="宋体"/>
        </w:rPr>
        <w:tab/>
      </w:r>
      <w:r>
        <w:rPr>
          <w:rFonts w:hint="eastAsia" w:ascii="宋体" w:hAnsi="宋体"/>
        </w:rPr>
        <w:t xml:space="preserve">承包人（公章）：                  </w:t>
      </w:r>
    </w:p>
    <w:p>
      <w:pPr>
        <w:tabs>
          <w:tab w:val="left" w:pos="4395"/>
        </w:tabs>
        <w:adjustRightInd w:val="0"/>
        <w:spacing w:line="480" w:lineRule="auto"/>
        <w:rPr>
          <w:rFonts w:hint="eastAsia" w:ascii="宋体" w:hAnsi="宋体"/>
        </w:rPr>
      </w:pPr>
      <w:r>
        <w:rPr>
          <w:rFonts w:hint="eastAsia" w:ascii="宋体" w:hAnsi="宋体"/>
        </w:rPr>
        <w:t xml:space="preserve">地址：                  </w:t>
      </w:r>
      <w:r>
        <w:rPr>
          <w:rFonts w:hint="eastAsia" w:ascii="宋体" w:hAnsi="宋体"/>
        </w:rPr>
        <w:tab/>
      </w:r>
      <w:r>
        <w:rPr>
          <w:rFonts w:hint="eastAsia" w:ascii="宋体" w:hAnsi="宋体"/>
        </w:rPr>
        <w:t xml:space="preserve">地址：                          </w:t>
      </w:r>
    </w:p>
    <w:p>
      <w:pPr>
        <w:tabs>
          <w:tab w:val="left" w:pos="4395"/>
        </w:tabs>
        <w:adjustRightInd w:val="0"/>
        <w:spacing w:line="480" w:lineRule="auto"/>
        <w:rPr>
          <w:rFonts w:hint="eastAsia" w:ascii="宋体" w:hAnsi="宋体"/>
        </w:rPr>
      </w:pPr>
      <w:r>
        <w:rPr>
          <w:rFonts w:hint="eastAsia" w:ascii="宋体" w:hAnsi="宋体"/>
        </w:rPr>
        <w:t xml:space="preserve">法定代表人（签字）：      </w:t>
      </w:r>
      <w:r>
        <w:rPr>
          <w:rFonts w:hint="eastAsia" w:ascii="宋体" w:hAnsi="宋体"/>
        </w:rPr>
        <w:tab/>
      </w:r>
      <w:r>
        <w:rPr>
          <w:rFonts w:hint="eastAsia" w:ascii="宋体" w:hAnsi="宋体"/>
        </w:rPr>
        <w:t xml:space="preserve">法定代表人（签字）：              </w:t>
      </w:r>
    </w:p>
    <w:p>
      <w:pPr>
        <w:tabs>
          <w:tab w:val="left" w:pos="4395"/>
        </w:tabs>
        <w:adjustRightInd w:val="0"/>
        <w:spacing w:line="480" w:lineRule="auto"/>
        <w:rPr>
          <w:rFonts w:hint="eastAsia" w:ascii="宋体" w:hAnsi="宋体"/>
        </w:rPr>
      </w:pPr>
      <w:r>
        <w:rPr>
          <w:rFonts w:hint="eastAsia" w:ascii="宋体" w:hAnsi="宋体"/>
        </w:rPr>
        <w:t xml:space="preserve">委托代理人（签字）：    </w:t>
      </w:r>
      <w:r>
        <w:rPr>
          <w:rFonts w:hint="eastAsia" w:ascii="宋体" w:hAnsi="宋体"/>
        </w:rPr>
        <w:tab/>
      </w:r>
      <w:r>
        <w:rPr>
          <w:rFonts w:hint="eastAsia" w:ascii="宋体" w:hAnsi="宋体"/>
        </w:rPr>
        <w:t xml:space="preserve">委托代理人（签字）：              </w:t>
      </w:r>
    </w:p>
    <w:p>
      <w:pPr>
        <w:tabs>
          <w:tab w:val="left" w:pos="4395"/>
        </w:tabs>
        <w:adjustRightInd w:val="0"/>
        <w:spacing w:line="480" w:lineRule="auto"/>
        <w:rPr>
          <w:rFonts w:hint="eastAsia" w:ascii="宋体" w:hAnsi="宋体"/>
        </w:rPr>
      </w:pPr>
      <w:r>
        <w:rPr>
          <w:rFonts w:hint="eastAsia" w:ascii="宋体" w:hAnsi="宋体"/>
        </w:rPr>
        <w:t xml:space="preserve">电话：                 </w:t>
      </w:r>
      <w:r>
        <w:rPr>
          <w:rFonts w:hint="eastAsia" w:ascii="宋体" w:hAnsi="宋体"/>
        </w:rPr>
        <w:tab/>
      </w:r>
      <w:r>
        <w:rPr>
          <w:rFonts w:hint="eastAsia" w:ascii="宋体" w:hAnsi="宋体"/>
        </w:rPr>
        <w:t xml:space="preserve">电话：                          </w:t>
      </w:r>
    </w:p>
    <w:p>
      <w:pPr>
        <w:tabs>
          <w:tab w:val="left" w:pos="4395"/>
        </w:tabs>
        <w:adjustRightInd w:val="0"/>
        <w:spacing w:line="480" w:lineRule="auto"/>
        <w:rPr>
          <w:rFonts w:hint="eastAsia" w:ascii="宋体" w:hAnsi="宋体"/>
        </w:rPr>
      </w:pPr>
      <w:r>
        <w:rPr>
          <w:rFonts w:hint="eastAsia" w:ascii="宋体" w:hAnsi="宋体"/>
        </w:rPr>
        <w:t xml:space="preserve">传真：                   </w:t>
      </w:r>
      <w:r>
        <w:rPr>
          <w:rFonts w:hint="eastAsia" w:ascii="宋体" w:hAnsi="宋体"/>
        </w:rPr>
        <w:tab/>
      </w:r>
      <w:r>
        <w:rPr>
          <w:rFonts w:hint="eastAsia" w:ascii="宋体" w:hAnsi="宋体"/>
        </w:rPr>
        <w:t xml:space="preserve">传真：                          </w:t>
      </w:r>
    </w:p>
    <w:p>
      <w:pPr>
        <w:tabs>
          <w:tab w:val="left" w:pos="4395"/>
        </w:tabs>
        <w:adjustRightInd w:val="0"/>
        <w:spacing w:line="480" w:lineRule="auto"/>
        <w:rPr>
          <w:rFonts w:hint="eastAsia" w:ascii="宋体" w:hAnsi="宋体"/>
        </w:rPr>
      </w:pPr>
      <w:r>
        <w:rPr>
          <w:rFonts w:hint="eastAsia" w:ascii="宋体" w:hAnsi="宋体"/>
        </w:rPr>
        <w:t xml:space="preserve">开户银行：              </w:t>
      </w:r>
      <w:r>
        <w:rPr>
          <w:rFonts w:hint="eastAsia" w:ascii="宋体" w:hAnsi="宋体"/>
        </w:rPr>
        <w:tab/>
      </w:r>
      <w:r>
        <w:rPr>
          <w:rFonts w:hint="eastAsia" w:ascii="宋体" w:hAnsi="宋体"/>
        </w:rPr>
        <w:t xml:space="preserve">开户银行：                      </w:t>
      </w:r>
    </w:p>
    <w:p>
      <w:pPr>
        <w:tabs>
          <w:tab w:val="left" w:pos="4395"/>
        </w:tabs>
        <w:adjustRightInd w:val="0"/>
        <w:spacing w:line="480" w:lineRule="auto"/>
        <w:rPr>
          <w:rFonts w:hint="eastAsia" w:ascii="宋体" w:hAnsi="宋体"/>
        </w:rPr>
      </w:pPr>
      <w:r>
        <w:rPr>
          <w:rFonts w:hint="eastAsia" w:ascii="宋体" w:hAnsi="宋体"/>
        </w:rPr>
        <w:t xml:space="preserve">帐号：                </w:t>
      </w:r>
      <w:r>
        <w:rPr>
          <w:rFonts w:hint="eastAsia" w:ascii="宋体" w:hAnsi="宋体"/>
        </w:rPr>
        <w:tab/>
      </w:r>
      <w:r>
        <w:rPr>
          <w:rFonts w:hint="eastAsia" w:ascii="宋体" w:hAnsi="宋体"/>
        </w:rPr>
        <w:t xml:space="preserve">帐号：                          </w:t>
      </w:r>
    </w:p>
    <w:p>
      <w:pPr>
        <w:tabs>
          <w:tab w:val="left" w:pos="4395"/>
        </w:tabs>
        <w:adjustRightInd w:val="0"/>
        <w:spacing w:line="480" w:lineRule="auto"/>
        <w:rPr>
          <w:rFonts w:ascii="宋体" w:hAnsi="宋体"/>
        </w:rPr>
      </w:pPr>
      <w:r>
        <w:rPr>
          <w:rFonts w:hint="eastAsia" w:ascii="宋体" w:hAnsi="宋体"/>
        </w:rPr>
        <w:t xml:space="preserve">邮政编码：       </w:t>
      </w:r>
      <w:r>
        <w:rPr>
          <w:rFonts w:hint="eastAsia" w:ascii="宋体" w:hAnsi="宋体"/>
        </w:rPr>
        <w:tab/>
      </w:r>
      <w:r>
        <w:rPr>
          <w:rFonts w:hint="eastAsia" w:ascii="宋体" w:hAnsi="宋体"/>
        </w:rPr>
        <w:t xml:space="preserve">邮政编码：                      </w:t>
      </w:r>
    </w:p>
    <w:p>
      <w:pPr>
        <w:jc w:val="center"/>
        <w:rPr>
          <w:rFonts w:ascii="黑体" w:hAnsi="黑体" w:eastAsia="黑体" w:cs="黑体"/>
          <w:sz w:val="28"/>
          <w:szCs w:val="28"/>
        </w:rPr>
      </w:pPr>
      <w:r>
        <w:rPr>
          <w:rFonts w:hint="eastAsia" w:ascii="宋体" w:hAnsi="宋体" w:cs="黑体"/>
        </w:rPr>
        <w:t>日  期：      年    月    日             日  期：      年    月   日</w:t>
      </w:r>
      <w:r>
        <w:rPr>
          <w:rFonts w:ascii="宋体" w:hAnsi="宋体"/>
          <w:szCs w:val="21"/>
        </w:rPr>
        <w:br w:type="page"/>
      </w:r>
      <w:r>
        <w:rPr>
          <w:rFonts w:hint="eastAsia" w:ascii="黑体" w:hAnsi="黑体" w:eastAsia="黑体" w:cs="黑体"/>
          <w:sz w:val="28"/>
          <w:szCs w:val="28"/>
        </w:rPr>
        <w:t>专用合同条款附件：</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ascii="微软雅黑" w:hAnsi="微软雅黑" w:cs="微软雅黑"/>
          <w:szCs w:val="21"/>
        </w:rPr>
      </w:pPr>
      <w:r>
        <w:rPr>
          <w:rFonts w:hint="eastAsia" w:ascii="微软雅黑" w:hAnsi="微软雅黑" w:cs="微软雅黑"/>
          <w:szCs w:val="21"/>
        </w:rPr>
        <w:t>附件一：履约担保</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ascii="微软雅黑" w:hAnsi="微软雅黑" w:cs="微软雅黑"/>
          <w:szCs w:val="21"/>
        </w:rPr>
      </w:pPr>
      <w:r>
        <w:rPr>
          <w:rFonts w:hint="eastAsia" w:ascii="微软雅黑" w:hAnsi="微软雅黑" w:cs="微软雅黑"/>
          <w:szCs w:val="21"/>
        </w:rPr>
        <w:t>附件二：工程廉政责任书</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ascii="微软雅黑" w:hAnsi="微软雅黑" w:cs="微软雅黑"/>
          <w:szCs w:val="21"/>
        </w:rPr>
      </w:pPr>
      <w:r>
        <w:rPr>
          <w:rFonts w:hint="eastAsia" w:ascii="微软雅黑" w:hAnsi="微软雅黑" w:cs="微软雅黑"/>
          <w:szCs w:val="21"/>
        </w:rPr>
        <w:t>附件三：安全生产协议书</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ascii="微软雅黑" w:hAnsi="微软雅黑" w:cs="微软雅黑"/>
          <w:szCs w:val="21"/>
        </w:rPr>
      </w:pPr>
      <w:r>
        <w:rPr>
          <w:rFonts w:hint="eastAsia" w:ascii="微软雅黑" w:hAnsi="微软雅黑" w:cs="微软雅黑"/>
          <w:szCs w:val="21"/>
        </w:rPr>
        <w:t>附件四：农民工工资承诺书</w:t>
      </w:r>
    </w:p>
    <w:p>
      <w:pPr>
        <w:rPr>
          <w:rFonts w:ascii="黑体" w:hAnsi="黑体" w:eastAsia="黑体" w:cs="黑体"/>
          <w:sz w:val="24"/>
        </w:rPr>
      </w:pPr>
      <w:bookmarkStart w:id="832" w:name="_Toc527965780"/>
      <w:r>
        <w:rPr>
          <w:rFonts w:eastAsia="仿宋_GB2312"/>
          <w:sz w:val="30"/>
          <w:szCs w:val="30"/>
        </w:rPr>
        <w:br w:type="page"/>
      </w:r>
      <w:r>
        <w:rPr>
          <w:rFonts w:hint="eastAsia" w:ascii="黑体" w:hAnsi="黑体" w:eastAsia="黑体" w:cs="黑体"/>
          <w:sz w:val="24"/>
        </w:rPr>
        <w:t>附件一：履约担保</w:t>
      </w:r>
      <w:bookmarkEnd w:id="832"/>
    </w:p>
    <w:p>
      <w:pPr>
        <w:jc w:val="center"/>
        <w:rPr>
          <w:rFonts w:ascii="宋体" w:hAnsi="宋体" w:cs="宋体"/>
          <w:sz w:val="24"/>
        </w:rPr>
      </w:pPr>
      <w:bookmarkStart w:id="833" w:name="_Toc529533194"/>
      <w:bookmarkStart w:id="834" w:name="_Toc529533045"/>
      <w:r>
        <w:rPr>
          <w:rFonts w:hint="eastAsia" w:ascii="黑体" w:hAnsi="黑体" w:eastAsia="黑体" w:cs="黑体"/>
          <w:b/>
          <w:bCs/>
          <w:sz w:val="28"/>
          <w:szCs w:val="28"/>
        </w:rPr>
        <w:t>履 约 担 保</w:t>
      </w:r>
      <w:bookmarkEnd w:id="833"/>
      <w:bookmarkEnd w:id="834"/>
    </w:p>
    <w:p>
      <w:pPr>
        <w:pStyle w:val="12"/>
        <w:keepNext w:val="0"/>
        <w:keepLines w:val="0"/>
        <w:pageBreakBefore w:val="0"/>
        <w:widowControl w:val="0"/>
        <w:kinsoku/>
        <w:wordWrap/>
        <w:overflowPunct/>
        <w:topLinePunct w:val="0"/>
        <w:bidi w:val="0"/>
        <w:adjustRightInd w:val="0"/>
        <w:snapToGrid/>
        <w:spacing w:line="360" w:lineRule="auto"/>
        <w:ind w:right="0" w:firstLine="315" w:firstLineChars="150"/>
        <w:jc w:val="both"/>
        <w:textAlignment w:val="auto"/>
        <w:rPr>
          <w:rFonts w:hint="eastAsia" w:ascii="宋体" w:hAnsi="宋体" w:eastAsia="宋体" w:cs="宋体"/>
          <w:sz w:val="21"/>
          <w:szCs w:val="21"/>
        </w:rPr>
      </w:pPr>
      <w:r>
        <w:rPr>
          <w:rFonts w:hint="eastAsia" w:ascii="宋体" w:hAnsi="宋体" w:eastAsia="宋体" w:cs="宋体"/>
          <w:sz w:val="21"/>
          <w:szCs w:val="21"/>
        </w:rPr>
        <w:t>(发包人名称) ：</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u w:val="single"/>
        </w:rPr>
      </w:pPr>
      <w:r>
        <w:rPr>
          <w:rFonts w:hint="eastAsia" w:ascii="宋体" w:hAnsi="宋体" w:eastAsia="宋体" w:cs="宋体"/>
          <w:sz w:val="21"/>
          <w:szCs w:val="21"/>
        </w:rPr>
        <w:t>鉴于</w:t>
      </w:r>
      <w:r>
        <w:rPr>
          <w:rFonts w:hint="eastAsia" w:ascii="宋体" w:hAnsi="宋体" w:eastAsia="宋体" w:cs="宋体"/>
          <w:sz w:val="21"/>
          <w:szCs w:val="21"/>
          <w:u w:val="single"/>
        </w:rPr>
        <w:t xml:space="preserve">（发包人名称，以下简称“发包人”）           </w:t>
      </w:r>
      <w:r>
        <w:rPr>
          <w:rFonts w:hint="eastAsia" w:ascii="宋体" w:hAnsi="宋体" w:eastAsia="宋体" w:cs="宋体"/>
          <w:sz w:val="21"/>
          <w:szCs w:val="21"/>
        </w:rPr>
        <w:t>接受</w:t>
      </w:r>
      <w:r>
        <w:rPr>
          <w:rFonts w:hint="eastAsia" w:ascii="宋体" w:hAnsi="宋体" w:eastAsia="宋体" w:cs="宋体"/>
          <w:sz w:val="21"/>
          <w:szCs w:val="21"/>
          <w:u w:val="single"/>
        </w:rPr>
        <w:t xml:space="preserve">（承包人名称，以下称“承包人”）  </w:t>
      </w:r>
      <w:r>
        <w:rPr>
          <w:rFonts w:hint="eastAsia" w:ascii="宋体" w:hAnsi="宋体" w:eastAsia="宋体" w:cs="宋体"/>
          <w:sz w:val="21"/>
          <w:szCs w:val="21"/>
        </w:rPr>
        <w:t>于年月日 递交的</w:t>
      </w:r>
      <w:r>
        <w:rPr>
          <w:rFonts w:hint="eastAsia" w:ascii="宋体" w:hAnsi="宋体" w:eastAsia="宋体" w:cs="宋体"/>
          <w:sz w:val="21"/>
          <w:szCs w:val="21"/>
          <w:u w:val="single"/>
        </w:rPr>
        <w:t>（项目名称）（标段名称）</w:t>
      </w:r>
      <w:r>
        <w:rPr>
          <w:rFonts w:hint="eastAsia" w:ascii="宋体" w:hAnsi="宋体" w:eastAsia="宋体" w:cs="宋体"/>
          <w:sz w:val="21"/>
          <w:szCs w:val="21"/>
        </w:rPr>
        <w:t>的投标文件。我方愿意无条件地、不可撤销地就承包人履行与你方订立的合同，向你方提供担保。</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1．本保函担保的范围（担保金额）为人民币</w:t>
      </w:r>
      <w:r>
        <w:rPr>
          <w:rFonts w:hint="eastAsia" w:ascii="宋体" w:hAnsi="宋体" w:eastAsia="宋体" w:cs="宋体"/>
          <w:sz w:val="21"/>
          <w:szCs w:val="21"/>
          <w:u w:val="single"/>
        </w:rPr>
        <w:t xml:space="preserve">（大写）       元（¥          ） </w:t>
      </w:r>
      <w:r>
        <w:rPr>
          <w:rFonts w:hint="eastAsia" w:ascii="宋体" w:hAnsi="宋体" w:eastAsia="宋体" w:cs="宋体"/>
          <w:sz w:val="21"/>
          <w:szCs w:val="21"/>
        </w:rPr>
        <w:t>。</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2．本保函的有效期自发包人与承包人签订的合同生效之日起至发包人签发合同工程完工证书之日止。</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3．在本保函有效期内，因承包人违反合同约定的义务给你方造成经济损失时，我方在收到你方以书面形式提出的在担保金额内的赔偿要求后，无条件地在7天内予以支付。</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4．发包人和承包人按《通用合同条款》第15条变更合同时，我方承担本保函规定的义务不变。</w:t>
      </w: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p>
    <w:p>
      <w:pPr>
        <w:pStyle w:val="12"/>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                              投标人: </w:t>
      </w:r>
      <w:r>
        <w:rPr>
          <w:rFonts w:hint="eastAsia" w:ascii="宋体" w:hAnsi="宋体" w:eastAsia="宋体" w:cs="宋体"/>
          <w:sz w:val="21"/>
          <w:szCs w:val="21"/>
          <w:u w:val="single"/>
        </w:rPr>
        <w:t xml:space="preserve">    （盖单位章）                 </w:t>
      </w:r>
    </w:p>
    <w:p>
      <w:pPr>
        <w:pStyle w:val="12"/>
        <w:keepNext w:val="0"/>
        <w:keepLines w:val="0"/>
        <w:pageBreakBefore w:val="0"/>
        <w:widowControl w:val="0"/>
        <w:kinsoku/>
        <w:wordWrap/>
        <w:overflowPunct/>
        <w:topLinePunct w:val="0"/>
        <w:bidi w:val="0"/>
        <w:adjustRightInd w:val="0"/>
        <w:snapToGrid/>
        <w:spacing w:line="360" w:lineRule="auto"/>
        <w:ind w:right="0" w:firstLine="3534" w:firstLineChars="1683"/>
        <w:jc w:val="both"/>
        <w:textAlignment w:val="auto"/>
        <w:rPr>
          <w:rFonts w:hint="eastAsia" w:ascii="宋体" w:hAnsi="宋体" w:eastAsia="宋体" w:cs="宋体"/>
          <w:sz w:val="21"/>
          <w:szCs w:val="21"/>
        </w:rPr>
      </w:pPr>
      <w:r>
        <w:rPr>
          <w:rFonts w:hint="eastAsia" w:ascii="宋体" w:hAnsi="宋体" w:eastAsia="宋体" w:cs="宋体"/>
          <w:sz w:val="21"/>
          <w:szCs w:val="21"/>
        </w:rPr>
        <w:t>法定代表人（或委托代理人）：</w:t>
      </w:r>
      <w:r>
        <w:rPr>
          <w:rFonts w:hint="eastAsia" w:ascii="宋体" w:hAnsi="宋体" w:eastAsia="宋体" w:cs="宋体"/>
          <w:sz w:val="21"/>
          <w:szCs w:val="21"/>
          <w:u w:val="single"/>
        </w:rPr>
        <w:t xml:space="preserve">（签名 ）      </w:t>
      </w:r>
    </w:p>
    <w:p>
      <w:pPr>
        <w:pStyle w:val="12"/>
        <w:keepNext w:val="0"/>
        <w:keepLines w:val="0"/>
        <w:pageBreakBefore w:val="0"/>
        <w:widowControl w:val="0"/>
        <w:kinsoku/>
        <w:wordWrap/>
        <w:overflowPunct/>
        <w:topLinePunct w:val="0"/>
        <w:bidi w:val="0"/>
        <w:adjustRightInd w:val="0"/>
        <w:snapToGrid/>
        <w:spacing w:line="360" w:lineRule="auto"/>
        <w:ind w:right="0" w:firstLine="3465" w:firstLineChars="1650"/>
        <w:jc w:val="both"/>
        <w:textAlignment w:val="auto"/>
        <w:rPr>
          <w:rFonts w:hint="eastAsia" w:ascii="宋体" w:hAnsi="宋体" w:eastAsia="宋体" w:cs="宋体"/>
          <w:sz w:val="21"/>
          <w:szCs w:val="21"/>
          <w:u w:val="single"/>
        </w:rPr>
      </w:pPr>
      <w:r>
        <w:rPr>
          <w:rFonts w:hint="eastAsia" w:ascii="宋体" w:hAnsi="宋体" w:eastAsia="宋体" w:cs="宋体"/>
          <w:sz w:val="21"/>
          <w:szCs w:val="21"/>
        </w:rPr>
        <w:t xml:space="preserve"> 地址：</w:t>
      </w:r>
    </w:p>
    <w:p>
      <w:pPr>
        <w:pStyle w:val="12"/>
        <w:keepNext w:val="0"/>
        <w:keepLines w:val="0"/>
        <w:pageBreakBefore w:val="0"/>
        <w:widowControl w:val="0"/>
        <w:kinsoku/>
        <w:wordWrap/>
        <w:overflowPunct/>
        <w:topLinePunct w:val="0"/>
        <w:bidi w:val="0"/>
        <w:adjustRightInd w:val="0"/>
        <w:snapToGrid/>
        <w:spacing w:line="360" w:lineRule="auto"/>
        <w:ind w:right="0" w:firstLine="3548" w:firstLineChars="1690"/>
        <w:jc w:val="both"/>
        <w:textAlignment w:val="auto"/>
        <w:rPr>
          <w:rFonts w:hint="eastAsia" w:ascii="宋体" w:hAnsi="宋体" w:eastAsia="宋体" w:cs="宋体"/>
          <w:sz w:val="21"/>
          <w:szCs w:val="21"/>
          <w:u w:val="single"/>
        </w:rPr>
      </w:pPr>
      <w:r>
        <w:rPr>
          <w:rFonts w:hint="eastAsia" w:ascii="宋体" w:hAnsi="宋体" w:eastAsia="宋体" w:cs="宋体"/>
          <w:sz w:val="21"/>
          <w:szCs w:val="21"/>
        </w:rPr>
        <w:t>邮政编码：</w:t>
      </w:r>
    </w:p>
    <w:p>
      <w:pPr>
        <w:pStyle w:val="12"/>
        <w:keepNext w:val="0"/>
        <w:keepLines w:val="0"/>
        <w:pageBreakBefore w:val="0"/>
        <w:widowControl w:val="0"/>
        <w:kinsoku/>
        <w:wordWrap/>
        <w:overflowPunct/>
        <w:topLinePunct w:val="0"/>
        <w:bidi w:val="0"/>
        <w:adjustRightInd w:val="0"/>
        <w:snapToGrid/>
        <w:spacing w:line="360" w:lineRule="auto"/>
        <w:ind w:right="0" w:firstLine="3570" w:firstLineChars="1700"/>
        <w:jc w:val="both"/>
        <w:textAlignment w:val="auto"/>
        <w:rPr>
          <w:rFonts w:hint="eastAsia" w:ascii="宋体" w:hAnsi="宋体" w:eastAsia="宋体" w:cs="宋体"/>
          <w:sz w:val="21"/>
          <w:szCs w:val="21"/>
          <w:u w:val="single"/>
        </w:rPr>
      </w:pPr>
      <w:r>
        <w:rPr>
          <w:rFonts w:hint="eastAsia" w:ascii="宋体" w:hAnsi="宋体" w:eastAsia="宋体" w:cs="宋体"/>
          <w:sz w:val="21"/>
          <w:szCs w:val="21"/>
        </w:rPr>
        <w:t>电话：</w:t>
      </w:r>
    </w:p>
    <w:p>
      <w:pPr>
        <w:pStyle w:val="12"/>
        <w:keepNext w:val="0"/>
        <w:keepLines w:val="0"/>
        <w:pageBreakBefore w:val="0"/>
        <w:widowControl w:val="0"/>
        <w:kinsoku/>
        <w:wordWrap/>
        <w:overflowPunct/>
        <w:topLinePunct w:val="0"/>
        <w:bidi w:val="0"/>
        <w:adjustRightInd w:val="0"/>
        <w:snapToGrid/>
        <w:spacing w:line="360" w:lineRule="auto"/>
        <w:ind w:right="0" w:firstLine="3570" w:firstLineChars="1700"/>
        <w:jc w:val="both"/>
        <w:textAlignment w:val="auto"/>
        <w:rPr>
          <w:rFonts w:hint="eastAsia" w:ascii="宋体" w:hAnsi="宋体" w:eastAsia="宋体" w:cs="宋体"/>
          <w:sz w:val="21"/>
          <w:szCs w:val="21"/>
        </w:rPr>
      </w:pPr>
      <w:r>
        <w:rPr>
          <w:rFonts w:hint="eastAsia" w:ascii="宋体" w:hAnsi="宋体" w:eastAsia="宋体" w:cs="宋体"/>
          <w:sz w:val="21"/>
          <w:szCs w:val="21"/>
        </w:rPr>
        <w:t>传真：</w:t>
      </w:r>
    </w:p>
    <w:p>
      <w:pPr>
        <w:keepNext w:val="0"/>
        <w:keepLines w:val="0"/>
        <w:pageBreakBefore w:val="0"/>
        <w:widowControl w:val="0"/>
        <w:kinsoku/>
        <w:wordWrap/>
        <w:overflowPunct/>
        <w:topLinePunct w:val="0"/>
        <w:autoSpaceDE w:val="0"/>
        <w:autoSpaceDN w:val="0"/>
        <w:bidi w:val="0"/>
        <w:adjustRightInd w:val="0"/>
        <w:snapToGrid/>
        <w:spacing w:line="360" w:lineRule="auto"/>
        <w:ind w:right="0" w:firstLine="420"/>
        <w:jc w:val="both"/>
        <w:textAlignment w:val="auto"/>
        <w:rPr>
          <w:rFonts w:hint="eastAsia" w:ascii="宋体" w:hAnsi="宋体" w:eastAsia="宋体" w:cs="宋体"/>
          <w:b/>
          <w:szCs w:val="21"/>
        </w:rPr>
      </w:pPr>
      <w:r>
        <w:rPr>
          <w:rFonts w:hint="eastAsia" w:ascii="宋体" w:hAnsi="宋体" w:eastAsia="宋体" w:cs="宋体"/>
          <w:szCs w:val="21"/>
        </w:rPr>
        <w:t xml:space="preserve"> 年  月  日</w:t>
      </w:r>
    </w:p>
    <w:p>
      <w:pPr>
        <w:keepNext w:val="0"/>
        <w:keepLines w:val="0"/>
        <w:pageBreakBefore w:val="0"/>
        <w:widowControl w:val="0"/>
        <w:kinsoku/>
        <w:wordWrap/>
        <w:overflowPunct/>
        <w:topLinePunct w:val="0"/>
        <w:bidi w:val="0"/>
        <w:adjustRightInd w:val="0"/>
        <w:snapToGrid/>
        <w:spacing w:line="360" w:lineRule="auto"/>
        <w:ind w:right="0" w:firstLine="420"/>
        <w:jc w:val="both"/>
        <w:textAlignment w:val="auto"/>
        <w:rPr>
          <w:rFonts w:hint="eastAsia" w:ascii="宋体" w:hAnsi="宋体" w:eastAsia="宋体" w:cs="宋体"/>
          <w:szCs w:val="21"/>
        </w:rPr>
      </w:pPr>
      <w:r>
        <w:rPr>
          <w:rFonts w:hint="eastAsia" w:ascii="宋体" w:hAnsi="宋体" w:eastAsia="宋体" w:cs="宋体"/>
          <w:szCs w:val="21"/>
        </w:rPr>
        <w:t>注：委托代理人应附授权委托书</w:t>
      </w:r>
    </w:p>
    <w:p>
      <w:pPr>
        <w:rPr>
          <w:szCs w:val="21"/>
        </w:rPr>
      </w:pPr>
      <w:r>
        <w:rPr>
          <w:rFonts w:eastAsia="仿宋_GB2312"/>
          <w:sz w:val="30"/>
          <w:szCs w:val="30"/>
        </w:rPr>
        <w:br w:type="page"/>
      </w:r>
      <w:bookmarkStart w:id="835" w:name="_Toc527965781"/>
      <w:r>
        <w:rPr>
          <w:rFonts w:hint="eastAsia" w:ascii="黑体" w:hAnsi="黑体" w:eastAsia="黑体" w:cs="黑体"/>
          <w:sz w:val="24"/>
        </w:rPr>
        <w:t>附件二：工程廉政责任书（格式）</w:t>
      </w:r>
      <w:bookmarkEnd w:id="835"/>
    </w:p>
    <w:p>
      <w:pPr>
        <w:pStyle w:val="59"/>
        <w:ind w:firstLine="420"/>
      </w:pPr>
      <w:r>
        <w:rPr>
          <w:rFonts w:hint="eastAsia"/>
        </w:rPr>
        <w:t>（本格式为工程廉政责任书标准格式，投标人不需填写）</w:t>
      </w:r>
    </w:p>
    <w:p>
      <w:pPr>
        <w:jc w:val="center"/>
        <w:rPr>
          <w:rFonts w:ascii="黑体" w:hAnsi="黑体" w:eastAsia="黑体"/>
          <w:b/>
          <w:bCs/>
          <w:sz w:val="28"/>
          <w:szCs w:val="28"/>
        </w:rPr>
      </w:pPr>
      <w:bookmarkStart w:id="836" w:name="_Toc529533046"/>
      <w:bookmarkStart w:id="837" w:name="_Toc529533195"/>
      <w:r>
        <w:rPr>
          <w:rFonts w:hint="eastAsia" w:ascii="黑体" w:hAnsi="黑体" w:eastAsia="黑体"/>
          <w:b/>
          <w:bCs/>
          <w:sz w:val="28"/>
          <w:szCs w:val="28"/>
        </w:rPr>
        <w:t>工程廉政责任书</w:t>
      </w:r>
      <w:bookmarkEnd w:id="836"/>
      <w:bookmarkEnd w:id="837"/>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为加强工程建设中的廉政建设，保证工程建设高效优质完成，保证建设资金的安全和有效使用，</w:t>
      </w:r>
      <w:r>
        <w:rPr>
          <w:rFonts w:hint="eastAsia" w:ascii="宋体" w:hAnsi="宋体" w:eastAsia="宋体" w:cs="宋体"/>
          <w:color w:val="000000"/>
          <w:kern w:val="0"/>
          <w:sz w:val="21"/>
          <w:szCs w:val="21"/>
          <w:u w:val="single"/>
          <w:lang w:val="en-US" w:eastAsia="zh-CN" w:bidi="ar"/>
        </w:rPr>
        <w:t xml:space="preserve"> （项目名称）</w:t>
      </w:r>
      <w:r>
        <w:rPr>
          <w:rFonts w:hint="eastAsia" w:ascii="宋体" w:hAnsi="宋体" w:eastAsia="宋体" w:cs="宋体"/>
          <w:color w:val="000000"/>
          <w:kern w:val="0"/>
          <w:sz w:val="21"/>
          <w:szCs w:val="21"/>
          <w:lang w:val="en-US" w:eastAsia="zh-CN" w:bidi="ar"/>
        </w:rPr>
        <w:t>的发包人</w:t>
      </w:r>
      <w:r>
        <w:rPr>
          <w:rFonts w:hint="eastAsia" w:ascii="宋体" w:hAnsi="宋体" w:eastAsia="宋体" w:cs="宋体"/>
          <w:color w:val="000000"/>
          <w:kern w:val="0"/>
          <w:sz w:val="21"/>
          <w:szCs w:val="21"/>
          <w:u w:val="single"/>
          <w:lang w:val="en-US" w:eastAsia="zh-CN" w:bidi="ar"/>
        </w:rPr>
        <w:t xml:space="preserve"> （以下称甲方）</w:t>
      </w:r>
      <w:r>
        <w:rPr>
          <w:rFonts w:hint="eastAsia" w:ascii="宋体" w:hAnsi="宋体" w:eastAsia="宋体" w:cs="宋体"/>
          <w:color w:val="000000"/>
          <w:kern w:val="0"/>
          <w:sz w:val="21"/>
          <w:szCs w:val="21"/>
          <w:lang w:val="en-US" w:eastAsia="zh-CN" w:bidi="ar"/>
        </w:rPr>
        <w:t>与承包人</w:t>
      </w:r>
      <w:r>
        <w:rPr>
          <w:rFonts w:hint="eastAsia" w:ascii="宋体" w:hAnsi="宋体" w:eastAsia="宋体" w:cs="宋体"/>
          <w:color w:val="000000"/>
          <w:kern w:val="0"/>
          <w:sz w:val="21"/>
          <w:szCs w:val="21"/>
          <w:u w:val="single"/>
          <w:lang w:val="en-US" w:eastAsia="zh-CN" w:bidi="ar"/>
        </w:rPr>
        <w:t xml:space="preserve"> （以下称乙方）</w:t>
      </w:r>
      <w:r>
        <w:rPr>
          <w:rFonts w:hint="eastAsia" w:ascii="宋体" w:hAnsi="宋体" w:eastAsia="宋体" w:cs="宋体"/>
          <w:color w:val="000000"/>
          <w:kern w:val="0"/>
          <w:sz w:val="21"/>
          <w:szCs w:val="21"/>
          <w:lang w:val="en-US" w:eastAsia="zh-CN" w:bidi="ar"/>
        </w:rPr>
        <w:t xml:space="preserve">，特订立如下责任书。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第一条 甲乙双方的权利和义务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（一）严格遵守党和国家工程建设的有关法律法规及水利部门的有关规定。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（二）严格执行 的合同文件，自觉按合同办事。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（三）双方的业务活动坚持公开、公平、公正、诚信、透明的原则（除法律认定的商业秘密和合同文件另有规定之外），不得损害国家和集体利益，违反工程建设管理规定。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（四）建立健全廉政制度、监督制度和处罚制度，开展廉政教育，设立廉政告示牌，公布举报电话。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（五）发现对方在业务活动中有违反廉政规定的行为，有及时提醒对方纠正的权利和义务。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（六）发现对方严重违反本责任书义务条款的行为，有向其上级有关部门举报、建议给予处理并要求告知处理结果的权利。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第二条 甲方的义务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（一）甲方及其工作人员不得索要或接受乙方的礼金、礼券、有价证券和物品，不得到乙方报销任何由甲方或个人支付的费用等。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（二）甲方不得有意刁难、拖延承包商工程款，不得违反规定批拨工程建设费用等。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（三）甲方工作人员不得参加乙方安排的宴请和娱乐活动；不得接受乙方提供的通讯工具、交通工具和高档办公用品等。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（四）甲方及其工作人员不得要求或者接受乙方为其住房装修、操办婚丧嫁娶、安排配偶子女的工作以及出国出境、旅游等。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（五）甲方工作人员的配偶、子女及下属单位不得从事与甲方工程有关的材料设备供应、工程分包、劳务等经济活动。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（六）甲方及其工作人员不得以任何理由向乙方推荐分包单位，不得要求乙方购买合同规定外的材料和设备。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第三条 乙方义务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（一）乙方不得以任何理由向甲方及其工作人员行贿或馈赠礼金、礼券、有价证券、礼品。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（二）乙方不得以任何名义为甲方及其工作人员报销应由甲方单位或个人支付的任何费用。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（三）乙方不得要求甲方违反规定，批拨、追加工程建设费用等。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（四）乙方不得以任何理由安排甲方工作人员参加宴请及娱乐活动。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（五）乙方不得为甲方单位和个人购置或提供通讯工具、交通工具和高档办公室用品等。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第四条 违约责任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（一）甲方及其工作人员违反本责任书第一、二条，按管理权限，依据有关规定给予党纪、政纪或组织处理；涉嫌犯罪的，移送司法机关追究刑事责任；给乙方单位造成经济损失的，应予以赔偿。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乙方及其工作人员违反本责任书第一、三条，按管理权限，依据有关规定，给予党纪、政纪、组织处理或停止承接业务处理；给甲方单位造成经济损失的，应予以赔偿；情节严重的，甲方建议有关工程建设主管部门给予乙方1～3年内不得参与工程建设项目投标的处罚。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第五条 双方约定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本责任书由纪检监察机关负责监督执行。纪检监察机关对本责任书执行情况进行抽查。提出属于本责任书规定范围的处理意见。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第六条 本责任书有效期同甲乙双方签署之日起至该工程项目工程款支付完结时止。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第七条 本责任书作为本工程施工承包合同的附件，与工程施工合同具有同等的法律效力，经甲、乙双方签署后生效。 </w:t>
      </w:r>
    </w:p>
    <w:p>
      <w:pPr>
        <w:keepNext w:val="0"/>
        <w:keepLines w:val="0"/>
        <w:pageBreakBefore w:val="0"/>
        <w:widowControl/>
        <w:suppressLineNumbers w:val="0"/>
        <w:kinsoku/>
        <w:wordWrap/>
        <w:overflowPunct/>
        <w:topLinePunct w:val="0"/>
        <w:autoSpaceDE/>
        <w:autoSpaceDN/>
        <w:bidi w:val="0"/>
        <w:adjustRightInd w:val="0"/>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第八条 本责任书甲、乙双方各执一份，送交监督单位一份。</w:t>
      </w:r>
    </w:p>
    <w:p>
      <w:pPr>
        <w:adjustRightInd w:val="0"/>
        <w:spacing w:line="360" w:lineRule="auto"/>
        <w:ind w:firstLine="420" w:firstLineChars="200"/>
        <w:rPr>
          <w:rFonts w:hint="eastAsia" w:ascii="宋体" w:hAnsi="宋体"/>
          <w:color w:val="000000"/>
          <w:szCs w:val="21"/>
        </w:rPr>
      </w:pPr>
    </w:p>
    <w:p>
      <w:pPr>
        <w:adjustRightInd w:val="0"/>
        <w:spacing w:line="360" w:lineRule="auto"/>
        <w:ind w:firstLine="420" w:firstLineChars="200"/>
        <w:rPr>
          <w:rFonts w:hint="eastAsia" w:ascii="宋体" w:hAnsi="宋体"/>
          <w:color w:val="000000"/>
          <w:szCs w:val="21"/>
        </w:rPr>
      </w:pPr>
    </w:p>
    <w:p>
      <w:pPr>
        <w:adjustRightInd w:val="0"/>
        <w:spacing w:line="360" w:lineRule="auto"/>
        <w:ind w:firstLine="420" w:firstLineChars="200"/>
        <w:rPr>
          <w:rFonts w:hint="eastAsia" w:ascii="宋体" w:hAnsi="宋体"/>
          <w:color w:val="000000"/>
          <w:szCs w:val="21"/>
        </w:rPr>
      </w:pPr>
    </w:p>
    <w:p>
      <w:pPr>
        <w:adjustRightInd w:val="0"/>
        <w:spacing w:line="360" w:lineRule="auto"/>
        <w:ind w:firstLine="420" w:firstLineChars="200"/>
        <w:rPr>
          <w:rFonts w:hint="eastAsia" w:ascii="宋体" w:hAnsi="宋体"/>
          <w:color w:val="000000"/>
          <w:szCs w:val="21"/>
        </w:rPr>
      </w:pPr>
    </w:p>
    <w:p>
      <w:pPr>
        <w:tabs>
          <w:tab w:val="left" w:pos="4420"/>
        </w:tabs>
        <w:adjustRightInd w:val="0"/>
        <w:spacing w:line="360" w:lineRule="auto"/>
        <w:rPr>
          <w:rFonts w:hint="eastAsia" w:ascii="宋体" w:hAnsi="宋体"/>
          <w:color w:val="000000"/>
          <w:szCs w:val="21"/>
        </w:rPr>
      </w:pPr>
      <w:r>
        <w:rPr>
          <w:rFonts w:hint="eastAsia" w:ascii="宋体" w:hAnsi="宋体"/>
          <w:color w:val="000000"/>
          <w:szCs w:val="21"/>
        </w:rPr>
        <w:t>甲方：</w:t>
      </w:r>
      <w:r>
        <w:rPr>
          <w:rFonts w:hint="eastAsia" w:ascii="宋体" w:hAnsi="宋体"/>
          <w:color w:val="000000"/>
          <w:szCs w:val="21"/>
          <w:u w:val="single"/>
        </w:rPr>
        <w:t xml:space="preserve">                     </w:t>
      </w:r>
      <w:r>
        <w:rPr>
          <w:rFonts w:hint="eastAsia" w:ascii="宋体" w:hAnsi="宋体"/>
          <w:color w:val="000000"/>
          <w:szCs w:val="21"/>
        </w:rPr>
        <w:t xml:space="preserve">（盖章）    </w:t>
      </w:r>
      <w:r>
        <w:rPr>
          <w:rFonts w:hint="eastAsia" w:ascii="宋体" w:hAnsi="宋体"/>
          <w:color w:val="000000"/>
          <w:szCs w:val="21"/>
        </w:rPr>
        <w:tab/>
      </w:r>
      <w:r>
        <w:rPr>
          <w:rFonts w:hint="eastAsia" w:ascii="宋体" w:hAnsi="宋体"/>
          <w:color w:val="000000"/>
          <w:szCs w:val="21"/>
        </w:rPr>
        <w:t>乙方：</w:t>
      </w:r>
      <w:r>
        <w:rPr>
          <w:rFonts w:hint="eastAsia" w:ascii="宋体" w:hAnsi="宋体"/>
          <w:color w:val="000000"/>
          <w:szCs w:val="21"/>
          <w:u w:val="single"/>
        </w:rPr>
        <w:t xml:space="preserve">                     </w:t>
      </w:r>
      <w:r>
        <w:rPr>
          <w:rFonts w:hint="eastAsia" w:ascii="宋体" w:hAnsi="宋体"/>
          <w:color w:val="000000"/>
          <w:szCs w:val="21"/>
        </w:rPr>
        <w:t xml:space="preserve"> （盖章）</w:t>
      </w:r>
    </w:p>
    <w:p>
      <w:pPr>
        <w:tabs>
          <w:tab w:val="left" w:pos="4420"/>
        </w:tabs>
        <w:adjustRightInd w:val="0"/>
        <w:spacing w:line="360" w:lineRule="auto"/>
        <w:rPr>
          <w:rFonts w:hint="eastAsia" w:ascii="宋体" w:hAnsi="宋体"/>
          <w:color w:val="000000"/>
          <w:szCs w:val="21"/>
        </w:rPr>
      </w:pPr>
      <w:r>
        <w:rPr>
          <w:rFonts w:hint="eastAsia" w:ascii="宋体" w:hAnsi="宋体"/>
          <w:color w:val="000000"/>
          <w:szCs w:val="21"/>
        </w:rPr>
        <w:t>法定代表人：</w:t>
      </w:r>
      <w:r>
        <w:rPr>
          <w:rFonts w:hint="eastAsia" w:ascii="宋体" w:hAnsi="宋体"/>
          <w:color w:val="000000"/>
          <w:szCs w:val="21"/>
          <w:u w:val="single"/>
        </w:rPr>
        <w:t xml:space="preserve">                 </w:t>
      </w:r>
      <w:r>
        <w:rPr>
          <w:rFonts w:hint="eastAsia" w:ascii="宋体" w:hAnsi="宋体"/>
          <w:color w:val="000000"/>
          <w:szCs w:val="21"/>
        </w:rPr>
        <w:t>（签字）       法定代表人：</w:t>
      </w:r>
      <w:r>
        <w:rPr>
          <w:rFonts w:hint="eastAsia" w:ascii="宋体" w:hAnsi="宋体"/>
          <w:color w:val="000000"/>
          <w:szCs w:val="21"/>
          <w:u w:val="single"/>
        </w:rPr>
        <w:t xml:space="preserve">                 </w:t>
      </w:r>
      <w:r>
        <w:rPr>
          <w:rFonts w:hint="eastAsia" w:ascii="宋体" w:hAnsi="宋体"/>
          <w:color w:val="000000"/>
          <w:szCs w:val="21"/>
        </w:rPr>
        <w:t xml:space="preserve"> （签字）</w:t>
      </w:r>
    </w:p>
    <w:p>
      <w:pPr>
        <w:tabs>
          <w:tab w:val="left" w:pos="4420"/>
        </w:tabs>
        <w:adjustRightInd w:val="0"/>
        <w:spacing w:line="360" w:lineRule="auto"/>
        <w:rPr>
          <w:rFonts w:hint="eastAsia" w:ascii="宋体" w:hAnsi="宋体"/>
          <w:color w:val="000000"/>
          <w:szCs w:val="21"/>
        </w:rPr>
      </w:pPr>
      <w:r>
        <w:rPr>
          <w:rFonts w:hint="eastAsia" w:ascii="宋体" w:hAnsi="宋体"/>
          <w:color w:val="000000"/>
          <w:szCs w:val="21"/>
        </w:rPr>
        <w:t>地址：</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rPr>
        <w:tab/>
      </w:r>
      <w:r>
        <w:rPr>
          <w:rFonts w:hint="eastAsia" w:ascii="宋体" w:hAnsi="宋体"/>
          <w:color w:val="000000"/>
          <w:szCs w:val="21"/>
        </w:rPr>
        <w:t>法定地址：</w:t>
      </w:r>
      <w:r>
        <w:rPr>
          <w:rFonts w:hint="eastAsia" w:ascii="宋体" w:hAnsi="宋体"/>
          <w:color w:val="000000"/>
          <w:szCs w:val="21"/>
          <w:u w:val="single"/>
        </w:rPr>
        <w:t xml:space="preserve">                   </w:t>
      </w:r>
    </w:p>
    <w:p>
      <w:pPr>
        <w:tabs>
          <w:tab w:val="left" w:pos="4420"/>
        </w:tabs>
        <w:adjustRightInd w:val="0"/>
        <w:spacing w:line="360" w:lineRule="auto"/>
        <w:rPr>
          <w:rFonts w:hint="eastAsia" w:ascii="宋体" w:hAnsi="宋体"/>
          <w:color w:val="000000"/>
          <w:szCs w:val="21"/>
        </w:rPr>
      </w:pPr>
      <w:r>
        <w:rPr>
          <w:rFonts w:hint="eastAsia" w:ascii="宋体" w:hAnsi="宋体"/>
          <w:color w:val="000000"/>
          <w:szCs w:val="21"/>
        </w:rPr>
        <w:t>电话：</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rPr>
        <w:tab/>
      </w:r>
      <w:r>
        <w:rPr>
          <w:rFonts w:hint="eastAsia" w:ascii="宋体" w:hAnsi="宋体"/>
          <w:color w:val="000000"/>
          <w:szCs w:val="21"/>
        </w:rPr>
        <w:t>电话：</w:t>
      </w:r>
      <w:r>
        <w:rPr>
          <w:rFonts w:hint="eastAsia" w:ascii="宋体" w:hAnsi="宋体"/>
          <w:color w:val="000000"/>
          <w:szCs w:val="21"/>
          <w:u w:val="single"/>
        </w:rPr>
        <w:t xml:space="preserve">                       </w:t>
      </w:r>
    </w:p>
    <w:p>
      <w:pPr>
        <w:tabs>
          <w:tab w:val="left" w:pos="4253"/>
        </w:tabs>
        <w:autoSpaceDE w:val="0"/>
        <w:autoSpaceDN w:val="0"/>
        <w:adjustRightInd w:val="0"/>
        <w:rPr>
          <w:rFonts w:ascii="微软雅黑" w:hAnsi="微软雅黑" w:cs="微软雅黑"/>
          <w:szCs w:val="21"/>
        </w:rPr>
      </w:pPr>
      <w:r>
        <w:rPr>
          <w:rFonts w:hint="eastAsia" w:ascii="宋体" w:hAnsi="宋体"/>
          <w:color w:val="000000"/>
          <w:szCs w:val="21"/>
          <w:u w:val="single"/>
        </w:rPr>
        <w:t xml:space="preserve">          </w:t>
      </w:r>
      <w:r>
        <w:rPr>
          <w:rFonts w:hint="eastAsia" w:ascii="宋体" w:hAnsi="宋体"/>
          <w:color w:val="000000"/>
          <w:szCs w:val="21"/>
        </w:rPr>
        <w:t xml:space="preserve"> 年 </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          </w:t>
      </w:r>
      <w:r>
        <w:rPr>
          <w:rFonts w:hint="eastAsia" w:ascii="宋体" w:hAnsi="宋体"/>
          <w:color w:val="000000"/>
          <w:szCs w:val="21"/>
          <w:lang w:val="en-US" w:eastAsia="zh-CN"/>
        </w:rPr>
        <w:t xml:space="preserve"> </w:t>
      </w:r>
      <w:r>
        <w:rPr>
          <w:rFonts w:hint="eastAsia" w:ascii="宋体" w:hAnsi="宋体"/>
          <w:color w:val="000000"/>
          <w:szCs w:val="21"/>
        </w:rPr>
        <w:tab/>
      </w:r>
      <w:r>
        <w:rPr>
          <w:rFonts w:hint="eastAsia" w:ascii="宋体" w:hAnsi="宋体"/>
          <w:color w:val="000000"/>
          <w:szCs w:val="21"/>
          <w:u w:val="single"/>
        </w:rPr>
        <w:t xml:space="preserve">          </w:t>
      </w:r>
      <w:r>
        <w:rPr>
          <w:rFonts w:hint="eastAsia" w:ascii="宋体" w:hAnsi="宋体"/>
          <w:color w:val="000000"/>
          <w:szCs w:val="21"/>
        </w:rPr>
        <w:t xml:space="preserve"> 年 </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pPr>
        <w:spacing w:afterLines="50" w:line="400" w:lineRule="exact"/>
        <w:rPr>
          <w:rFonts w:eastAsia="仿宋_GB2312"/>
          <w:sz w:val="30"/>
          <w:szCs w:val="30"/>
        </w:rPr>
      </w:pPr>
    </w:p>
    <w:p>
      <w:pPr>
        <w:spacing w:afterLines="50" w:line="400" w:lineRule="exact"/>
        <w:rPr>
          <w:rFonts w:eastAsia="仿宋_GB2312"/>
          <w:sz w:val="30"/>
          <w:szCs w:val="30"/>
        </w:rPr>
      </w:pPr>
    </w:p>
    <w:p>
      <w:pPr>
        <w:widowControl/>
        <w:rPr>
          <w:rFonts w:ascii="黑体" w:hAnsi="黑体" w:eastAsia="黑体" w:cs="黑体"/>
          <w:sz w:val="24"/>
        </w:rPr>
      </w:pPr>
      <w:r>
        <w:rPr>
          <w:rFonts w:ascii="宋体" w:hAnsi="宋体"/>
          <w:szCs w:val="21"/>
          <w:u w:val="single"/>
        </w:rPr>
        <w:br w:type="page"/>
      </w:r>
      <w:bookmarkStart w:id="838" w:name="_Toc527965782"/>
      <w:r>
        <w:rPr>
          <w:rFonts w:hint="eastAsia" w:ascii="黑体" w:hAnsi="黑体" w:eastAsia="黑体" w:cs="黑体"/>
          <w:sz w:val="24"/>
        </w:rPr>
        <w:t>附件三：</w:t>
      </w:r>
      <w:bookmarkEnd w:id="838"/>
      <w:r>
        <w:rPr>
          <w:rFonts w:hint="eastAsia" w:ascii="黑体" w:hAnsi="黑体" w:eastAsia="黑体" w:cs="黑体"/>
          <w:sz w:val="24"/>
        </w:rPr>
        <w:t>（本格式为安全生产协议书标准格式，投标人不需填写）</w:t>
      </w:r>
    </w:p>
    <w:p>
      <w:pPr>
        <w:spacing w:after="100" w:afterAutospacing="1"/>
        <w:ind w:firstLine="560"/>
        <w:jc w:val="center"/>
        <w:rPr>
          <w:rFonts w:hint="eastAsia" w:ascii="黑体" w:hAnsi="黑体" w:eastAsia="黑体" w:cs="黑体"/>
          <w:bCs/>
          <w:color w:val="000000"/>
          <w:sz w:val="28"/>
          <w:szCs w:val="28"/>
        </w:rPr>
      </w:pPr>
      <w:r>
        <w:rPr>
          <w:rFonts w:hint="eastAsia" w:ascii="黑体" w:hAnsi="黑体" w:eastAsia="黑体" w:cs="黑体"/>
          <w:bCs/>
          <w:color w:val="000000"/>
          <w:sz w:val="28"/>
          <w:szCs w:val="28"/>
        </w:rPr>
        <w:t>安全生产协议书</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为在</w:t>
      </w:r>
      <w:r>
        <w:rPr>
          <w:rFonts w:hint="eastAsia" w:ascii="宋体" w:hAnsi="宋体"/>
          <w:color w:val="000000"/>
          <w:szCs w:val="21"/>
          <w:u w:val="single"/>
        </w:rPr>
        <w:t xml:space="preserve">           </w:t>
      </w:r>
      <w:r>
        <w:rPr>
          <w:rFonts w:hint="eastAsia" w:ascii="宋体" w:hAnsi="宋体"/>
          <w:color w:val="000000"/>
          <w:szCs w:val="21"/>
        </w:rPr>
        <w:t>（项目名称）</w:t>
      </w:r>
      <w:r>
        <w:rPr>
          <w:rFonts w:hint="eastAsia" w:ascii="宋体" w:hAnsi="宋体"/>
          <w:color w:val="000000"/>
          <w:szCs w:val="21"/>
          <w:u w:val="single"/>
        </w:rPr>
        <w:t xml:space="preserve">                   </w:t>
      </w:r>
      <w:r>
        <w:rPr>
          <w:rFonts w:hint="eastAsia" w:ascii="宋体" w:hAnsi="宋体"/>
          <w:color w:val="000000"/>
          <w:szCs w:val="21"/>
        </w:rPr>
        <w:t>（标段名称）施工合同的实施过程中创造安全、高效的施工环境，切实做好本项目的安全管理工作，本项目的发包人</w:t>
      </w:r>
      <w:r>
        <w:rPr>
          <w:rFonts w:hint="eastAsia" w:ascii="宋体" w:hAnsi="宋体"/>
          <w:color w:val="000000"/>
          <w:szCs w:val="21"/>
          <w:u w:val="single"/>
        </w:rPr>
        <w:t xml:space="preserve">          </w:t>
      </w:r>
      <w:r>
        <w:rPr>
          <w:rFonts w:hint="eastAsia" w:ascii="宋体" w:hAnsi="宋体"/>
          <w:color w:val="000000"/>
          <w:szCs w:val="21"/>
        </w:rPr>
        <w:t>（以下简称“甲方”）与承包人</w:t>
      </w:r>
      <w:r>
        <w:rPr>
          <w:rFonts w:hint="eastAsia" w:ascii="宋体" w:hAnsi="宋体"/>
          <w:color w:val="000000"/>
          <w:szCs w:val="21"/>
          <w:u w:val="single"/>
        </w:rPr>
        <w:t xml:space="preserve">                           </w:t>
      </w:r>
      <w:r>
        <w:rPr>
          <w:rFonts w:hint="eastAsia" w:ascii="宋体" w:hAnsi="宋体"/>
          <w:color w:val="000000"/>
          <w:szCs w:val="21"/>
        </w:rPr>
        <w:t xml:space="preserve"> （以下简称“乙方”），特此签订安全生产协议书：</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第一条 甲方职责</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（一）遵守国家有关安全生产的法律法规，认真执行工程承包合同中的有关安全要求。</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（二）按照“安全第一、预防为主、综合治理”和坚持“管生产必须管安全”的原则进行安全生产管评，做到</w:t>
      </w:r>
      <w:r>
        <w:rPr>
          <w:rFonts w:hint="eastAsia" w:ascii="宋体" w:hAnsi="宋体"/>
          <w:color w:val="000000"/>
          <w:szCs w:val="21"/>
          <w:lang w:eastAsia="zh-CN"/>
        </w:rPr>
        <w:t>生</w:t>
      </w:r>
      <w:r>
        <w:rPr>
          <w:rFonts w:hint="eastAsia" w:ascii="宋体" w:hAnsi="宋体"/>
          <w:color w:val="000000"/>
          <w:szCs w:val="21"/>
        </w:rPr>
        <w:t>产与安全工作同时计划、布置、检查、总结和评比。</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（三）重要的安全设施必须坚持与土体工程“三同时”的原则，即：同时设计、审批，同时施工，同时验收、投入使用。</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（四）定期召开安全生产调度会，及时传达中央及地方有关安全生产的精神。</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（五）组织对乙方施工现场安全生产检査，监督乙方及时处理发现的各种安全隐患。</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第二条 乙方职责</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（一）严格遵守国家有关安全生产的法律法规、水利部颁发的有关工程施工安全技术规程的安全生产规定，认真执行工程承包合同中的有关安全要求。</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二）坚持“安全第一、预防为主、综合治理”和坚持“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w:t>
      </w:r>
      <w:r>
        <w:rPr>
          <w:rFonts w:hint="eastAsia" w:ascii="宋体" w:hAnsi="宋体"/>
          <w:color w:val="000000"/>
          <w:szCs w:val="21"/>
          <w:lang w:eastAsia="zh-CN"/>
        </w:rPr>
        <w:t>布置</w:t>
      </w:r>
      <w:r>
        <w:rPr>
          <w:rFonts w:hint="eastAsia" w:ascii="宋体" w:hAnsi="宋体"/>
          <w:color w:val="000000"/>
          <w:szCs w:val="21"/>
        </w:rPr>
        <w:t>、检查、总结和评比。</w:t>
      </w:r>
    </w:p>
    <w:p>
      <w:pPr>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三）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w:t>
      </w:r>
      <w:r>
        <w:rPr>
          <w:rFonts w:ascii="宋体" w:hAnsi="宋体"/>
          <w:color w:val="000000"/>
          <w:szCs w:val="21"/>
        </w:rPr>
        <w:t>1%</w:t>
      </w:r>
      <w:r>
        <w:rPr>
          <w:rFonts w:hint="eastAsia" w:ascii="宋体" w:hAnsi="宋体" w:eastAsia="MS Mincho" w:cs="MS Mincho"/>
          <w:color w:val="000000"/>
          <w:szCs w:val="21"/>
        </w:rPr>
        <w:t>〜</w:t>
      </w:r>
      <w:r>
        <w:rPr>
          <w:rFonts w:ascii="宋体" w:hAnsi="宋体"/>
          <w:color w:val="000000"/>
          <w:szCs w:val="21"/>
        </w:rPr>
        <w:t xml:space="preserve">3% </w:t>
      </w:r>
      <w:r>
        <w:rPr>
          <w:rFonts w:hint="eastAsia" w:ascii="宋体" w:hAnsi="宋体"/>
          <w:color w:val="000000"/>
          <w:szCs w:val="21"/>
        </w:rPr>
        <w:t>配备安全员，专职负责所有员工的安全和治安保卫工作及预防事故的发生。安全机构人员，有权按有关规定发布指令，并采取保护性措施防止事故发生。</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（四）乙方在任何时候都应采取各种合理的预防措施，防止其员工发生任何违法、违禁、暴力或妨碍治安的行为。</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五）乙方必须具有劳动安全管理部门颁发的安全生产证书，参加施工的人员，必须接受安全技术教育，熟知和遵守本工种的各项安全技术操作规程，定期进行安全技术考核，合格者方准上岗操作。对于从事电气、起重、建筑登 高架设作业、锅炉、压力容器、焊接、机动车驾驶、爆破等特殊工种的人员， 需经过专业培训，获得《安全操作合格证》后，方准持证上岗。施工现场如出 现特种作业无证操作现象时，项目负责人必须承担管理责任。</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六）对于易燃易爆的材料除应专门妥善保管之外，还应配备有足够的消防设施，所有施工人员都应熟悉消防设备的性能和使用方法；乙方不得将任何种类的给予、易货或以其他方式转让给任何人，或允许、容忍上述同样行为。</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（七）操作人员上岗，必须按规定穿戴防护用品。施工负责人和安全检查员应随时检查劳动防护用品的穿戴惜况，不按规定穿戴防护用品的人员不得上岗。</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（八）所有施工机具设备和高空作业的设备均应定期检查，并有安全员的签字记录，保证其经常处于完好状态；不合格的机具、设备和劳动保护用品严禁使用。</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（九）所有施工中采用新技术，新工艺、新设备、新材料时，必须制定相应的安全技术措施，施工现场必须具有相关的安全标志牌。</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十）乙方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第三条 违约责任</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如因甲方或乙方违约造成安全事故，将依法追究责任，并视事故轻重承担相应的经济赔偿责任。</w:t>
      </w:r>
    </w:p>
    <w:p>
      <w:pPr>
        <w:adjustRightInd w:val="0"/>
        <w:spacing w:line="360" w:lineRule="auto"/>
        <w:ind w:firstLine="420" w:firstLineChars="200"/>
        <w:jc w:val="left"/>
        <w:rPr>
          <w:rFonts w:hint="eastAsia" w:ascii="宋体" w:hAnsi="宋体"/>
          <w:color w:val="000000"/>
          <w:szCs w:val="21"/>
        </w:rPr>
      </w:pPr>
      <w:r>
        <w:rPr>
          <w:rFonts w:hint="eastAsia" w:ascii="宋体" w:hAnsi="宋体"/>
          <w:color w:val="000000"/>
          <w:szCs w:val="21"/>
        </w:rPr>
        <w:t>本合同正本一式两份，副本八份，合同双方各执正本一份，副本四份。由双方法定代表人或其授权的代理人签署与加盖公章后生效，全部工程竣工验收后失效。</w:t>
      </w:r>
    </w:p>
    <w:p>
      <w:pPr>
        <w:pStyle w:val="19"/>
        <w:adjustRightInd w:val="0"/>
        <w:spacing w:before="0" w:beforeAutospacing="0" w:after="0" w:afterAutospacing="0" w:line="360" w:lineRule="auto"/>
        <w:ind w:firstLine="0" w:firstLineChars="0"/>
        <w:rPr>
          <w:color w:val="000000"/>
          <w:sz w:val="21"/>
          <w:szCs w:val="21"/>
        </w:rPr>
      </w:pPr>
    </w:p>
    <w:p>
      <w:pPr>
        <w:tabs>
          <w:tab w:val="left" w:pos="4200"/>
        </w:tabs>
        <w:adjustRightInd w:val="0"/>
        <w:spacing w:line="360" w:lineRule="auto"/>
        <w:jc w:val="left"/>
        <w:rPr>
          <w:rFonts w:hint="eastAsia"/>
          <w:color w:val="000000"/>
          <w:szCs w:val="21"/>
        </w:rPr>
      </w:pPr>
      <w:r>
        <w:rPr>
          <w:rFonts w:hint="eastAsia"/>
          <w:color w:val="000000"/>
          <w:szCs w:val="21"/>
        </w:rPr>
        <w:t>甲方：</w:t>
      </w:r>
      <w:r>
        <w:rPr>
          <w:rFonts w:hint="eastAsia"/>
          <w:color w:val="000000"/>
          <w:szCs w:val="21"/>
          <w:u w:val="single"/>
        </w:rPr>
        <w:t xml:space="preserve">                  </w:t>
      </w:r>
      <w:r>
        <w:rPr>
          <w:rFonts w:hint="eastAsia"/>
          <w:color w:val="000000"/>
          <w:szCs w:val="21"/>
        </w:rPr>
        <w:t xml:space="preserve">（单位盖章）    </w:t>
      </w:r>
      <w:r>
        <w:rPr>
          <w:rFonts w:hint="eastAsia"/>
          <w:color w:val="000000"/>
          <w:szCs w:val="21"/>
        </w:rPr>
        <w:tab/>
      </w:r>
      <w:r>
        <w:rPr>
          <w:rFonts w:hint="eastAsia"/>
          <w:color w:val="000000"/>
          <w:szCs w:val="21"/>
        </w:rPr>
        <w:t>乙方：</w:t>
      </w:r>
      <w:r>
        <w:rPr>
          <w:rFonts w:hint="eastAsia"/>
          <w:color w:val="000000"/>
          <w:szCs w:val="21"/>
          <w:u w:val="single"/>
        </w:rPr>
        <w:t xml:space="preserve">                     </w:t>
      </w:r>
      <w:r>
        <w:rPr>
          <w:rFonts w:hint="eastAsia"/>
          <w:color w:val="000000"/>
          <w:szCs w:val="21"/>
        </w:rPr>
        <w:t xml:space="preserve"> （单位盖章）</w:t>
      </w:r>
    </w:p>
    <w:p>
      <w:pPr>
        <w:tabs>
          <w:tab w:val="left" w:pos="4200"/>
        </w:tabs>
        <w:adjustRightInd w:val="0"/>
        <w:spacing w:line="360" w:lineRule="auto"/>
        <w:jc w:val="left"/>
        <w:rPr>
          <w:rFonts w:hint="eastAsia"/>
          <w:color w:val="000000"/>
          <w:szCs w:val="21"/>
        </w:rPr>
      </w:pPr>
      <w:r>
        <w:rPr>
          <w:rFonts w:hint="eastAsia"/>
          <w:color w:val="000000"/>
          <w:szCs w:val="21"/>
        </w:rPr>
        <w:t xml:space="preserve">法定代表人或其                         </w:t>
      </w:r>
      <w:r>
        <w:rPr>
          <w:rFonts w:hint="eastAsia"/>
          <w:color w:val="000000"/>
          <w:szCs w:val="21"/>
        </w:rPr>
        <w:tab/>
      </w:r>
      <w:r>
        <w:rPr>
          <w:rFonts w:hint="eastAsia"/>
          <w:color w:val="000000"/>
          <w:szCs w:val="21"/>
        </w:rPr>
        <w:t>法定代表人或其</w:t>
      </w:r>
    </w:p>
    <w:p>
      <w:pPr>
        <w:tabs>
          <w:tab w:val="left" w:pos="4200"/>
        </w:tabs>
        <w:adjustRightInd w:val="0"/>
        <w:spacing w:line="360" w:lineRule="auto"/>
        <w:jc w:val="left"/>
        <w:rPr>
          <w:rFonts w:hint="eastAsia"/>
          <w:color w:val="000000"/>
          <w:szCs w:val="21"/>
        </w:rPr>
      </w:pPr>
      <w:r>
        <w:rPr>
          <w:rFonts w:hint="eastAsia"/>
          <w:color w:val="000000"/>
          <w:szCs w:val="21"/>
        </w:rPr>
        <w:t>委托代理人：</w:t>
      </w:r>
      <w:r>
        <w:rPr>
          <w:rFonts w:hint="eastAsia"/>
          <w:color w:val="000000"/>
          <w:szCs w:val="21"/>
          <w:u w:val="single"/>
        </w:rPr>
        <w:t xml:space="preserve">                 </w:t>
      </w:r>
      <w:r>
        <w:rPr>
          <w:rFonts w:hint="eastAsia"/>
          <w:color w:val="000000"/>
          <w:szCs w:val="21"/>
        </w:rPr>
        <w:t xml:space="preserve">（签字）    </w:t>
      </w:r>
      <w:r>
        <w:rPr>
          <w:rFonts w:hint="eastAsia"/>
          <w:color w:val="000000"/>
          <w:szCs w:val="21"/>
        </w:rPr>
        <w:tab/>
      </w:r>
      <w:r>
        <w:rPr>
          <w:rFonts w:hint="eastAsia"/>
          <w:color w:val="000000"/>
          <w:szCs w:val="21"/>
        </w:rPr>
        <w:t>委托代理人：</w:t>
      </w:r>
      <w:r>
        <w:rPr>
          <w:rFonts w:hint="eastAsia"/>
          <w:color w:val="000000"/>
          <w:szCs w:val="21"/>
          <w:u w:val="single"/>
        </w:rPr>
        <w:t xml:space="preserve">                 </w:t>
      </w:r>
      <w:r>
        <w:rPr>
          <w:rFonts w:hint="eastAsia"/>
          <w:color w:val="000000"/>
          <w:szCs w:val="21"/>
        </w:rPr>
        <w:t xml:space="preserve"> （签字）</w:t>
      </w:r>
    </w:p>
    <w:p>
      <w:pPr>
        <w:tabs>
          <w:tab w:val="left" w:pos="4200"/>
        </w:tabs>
        <w:autoSpaceDE w:val="0"/>
        <w:autoSpaceDN w:val="0"/>
        <w:adjustRightInd w:val="0"/>
        <w:spacing w:line="360" w:lineRule="auto"/>
        <w:jc w:val="left"/>
        <w:rPr>
          <w:rFonts w:cs="黑体"/>
          <w:color w:val="000000"/>
          <w:kern w:val="0"/>
          <w:sz w:val="24"/>
          <w:szCs w:val="24"/>
        </w:rPr>
      </w:pPr>
      <w:r>
        <w:rPr>
          <w:rFonts w:hint="eastAsia"/>
          <w:color w:val="000000"/>
          <w:szCs w:val="21"/>
          <w:u w:val="single"/>
        </w:rPr>
        <w:t xml:space="preserve">          </w:t>
      </w:r>
      <w:r>
        <w:rPr>
          <w:rFonts w:hint="eastAsia"/>
          <w:color w:val="000000"/>
          <w:szCs w:val="21"/>
        </w:rPr>
        <w:t xml:space="preserve"> 年 </w:t>
      </w:r>
      <w:r>
        <w:rPr>
          <w:rFonts w:hint="eastAsia"/>
          <w:color w:val="000000"/>
          <w:szCs w:val="21"/>
          <w:u w:val="single"/>
        </w:rPr>
        <w:t xml:space="preserve">     </w:t>
      </w:r>
      <w:r>
        <w:rPr>
          <w:rFonts w:hint="eastAsia"/>
          <w:color w:val="000000"/>
          <w:szCs w:val="21"/>
        </w:rPr>
        <w:t xml:space="preserve"> 月</w:t>
      </w:r>
      <w:r>
        <w:rPr>
          <w:rFonts w:hint="eastAsia"/>
          <w:color w:val="000000"/>
          <w:szCs w:val="21"/>
          <w:u w:val="single"/>
        </w:rPr>
        <w:t xml:space="preserve">    </w:t>
      </w:r>
      <w:r>
        <w:rPr>
          <w:rFonts w:hint="eastAsia"/>
          <w:color w:val="000000"/>
          <w:szCs w:val="21"/>
        </w:rPr>
        <w:t xml:space="preserve"> 日         </w:t>
      </w:r>
      <w:r>
        <w:rPr>
          <w:rFonts w:hint="eastAsia"/>
          <w:color w:val="000000"/>
          <w:szCs w:val="21"/>
        </w:rPr>
        <w:tab/>
      </w:r>
      <w:r>
        <w:rPr>
          <w:rFonts w:hint="eastAsia"/>
          <w:color w:val="000000"/>
          <w:szCs w:val="21"/>
        </w:rPr>
        <w:t xml:space="preserve"> </w:t>
      </w:r>
      <w:r>
        <w:rPr>
          <w:rFonts w:hint="eastAsia"/>
          <w:color w:val="000000"/>
          <w:szCs w:val="21"/>
          <w:u w:val="single"/>
        </w:rPr>
        <w:t xml:space="preserve">          </w:t>
      </w:r>
      <w:r>
        <w:rPr>
          <w:rFonts w:hint="eastAsia"/>
          <w:color w:val="000000"/>
          <w:szCs w:val="21"/>
        </w:rPr>
        <w:t xml:space="preserve"> 年 </w:t>
      </w:r>
      <w:r>
        <w:rPr>
          <w:rFonts w:hint="eastAsia"/>
          <w:color w:val="000000"/>
          <w:szCs w:val="21"/>
          <w:u w:val="single"/>
        </w:rPr>
        <w:t xml:space="preserve">     </w:t>
      </w:r>
      <w:r>
        <w:rPr>
          <w:rFonts w:hint="eastAsia"/>
          <w:color w:val="000000"/>
          <w:szCs w:val="21"/>
        </w:rPr>
        <w:t xml:space="preserve"> 月</w:t>
      </w:r>
      <w:r>
        <w:rPr>
          <w:rFonts w:hint="eastAsia"/>
          <w:color w:val="000000"/>
          <w:szCs w:val="21"/>
          <w:u w:val="single"/>
        </w:rPr>
        <w:t xml:space="preserve">    </w:t>
      </w:r>
      <w:r>
        <w:rPr>
          <w:rFonts w:hint="eastAsia"/>
          <w:color w:val="000000"/>
          <w:szCs w:val="21"/>
        </w:rPr>
        <w:t xml:space="preserve"> 日</w:t>
      </w:r>
    </w:p>
    <w:p>
      <w:pPr>
        <w:widowControl/>
        <w:tabs>
          <w:tab w:val="left" w:pos="4253"/>
        </w:tabs>
        <w:autoSpaceDE w:val="0"/>
        <w:autoSpaceDN w:val="0"/>
        <w:adjustRightInd w:val="0"/>
        <w:rPr>
          <w:rFonts w:ascii="微软雅黑" w:hAnsi="微软雅黑" w:cs="微软雅黑"/>
          <w:szCs w:val="21"/>
        </w:rPr>
      </w:pPr>
    </w:p>
    <w:p>
      <w:pPr>
        <w:widowControl/>
        <w:rPr>
          <w:szCs w:val="21"/>
        </w:rPr>
      </w:pPr>
      <w:r>
        <w:rPr>
          <w:rFonts w:ascii="黑体" w:eastAsia="黑体"/>
          <w:sz w:val="24"/>
        </w:rPr>
        <w:br w:type="page"/>
      </w:r>
      <w:bookmarkStart w:id="839" w:name="_Toc527806837"/>
      <w:bookmarkStart w:id="840" w:name="_Toc527965783"/>
      <w:bookmarkStart w:id="841" w:name="_Toc527796483"/>
      <w:r>
        <w:rPr>
          <w:rFonts w:hint="eastAsia" w:ascii="黑体" w:hAnsi="黑体" w:eastAsia="黑体" w:cs="黑体"/>
          <w:sz w:val="24"/>
        </w:rPr>
        <w:t>附件四：农民工工资承诺书</w:t>
      </w:r>
      <w:bookmarkEnd w:id="839"/>
      <w:bookmarkEnd w:id="840"/>
      <w:bookmarkEnd w:id="841"/>
    </w:p>
    <w:p>
      <w:pPr>
        <w:widowControl/>
        <w:jc w:val="center"/>
        <w:rPr>
          <w:rFonts w:ascii="黑体" w:hAnsi="黑体" w:eastAsia="黑体"/>
          <w:sz w:val="36"/>
          <w:szCs w:val="36"/>
        </w:rPr>
      </w:pPr>
      <w:bookmarkStart w:id="842" w:name="_Toc529533197"/>
      <w:bookmarkStart w:id="843" w:name="_Toc529533048"/>
      <w:r>
        <w:rPr>
          <w:rFonts w:hint="eastAsia" w:ascii="黑体" w:hAnsi="黑体" w:eastAsia="黑体"/>
          <w:bCs/>
          <w:sz w:val="28"/>
          <w:szCs w:val="28"/>
        </w:rPr>
        <w:t>农民工工资承诺书</w:t>
      </w:r>
      <w:bookmarkEnd w:id="842"/>
      <w:bookmarkEnd w:id="843"/>
    </w:p>
    <w:p>
      <w:pPr>
        <w:keepNext w:val="0"/>
        <w:keepLines w:val="0"/>
        <w:pageBreakBefore w:val="0"/>
        <w:widowControl/>
        <w:kinsoku/>
        <w:wordWrap/>
        <w:overflowPunct/>
        <w:topLinePunct w:val="0"/>
        <w:autoSpaceDE/>
        <w:autoSpaceDN/>
        <w:bidi w:val="0"/>
        <w:adjustRightInd w:val="0"/>
        <w:snapToGrid/>
        <w:spacing w:line="360" w:lineRule="auto"/>
        <w:textAlignment w:val="auto"/>
        <w:rPr>
          <w:rFonts w:ascii="宋体" w:hAnsi="宋体" w:cs="微软雅黑"/>
          <w:szCs w:val="21"/>
          <w:u w:val="single"/>
        </w:rPr>
      </w:pPr>
      <w:r>
        <w:rPr>
          <w:rFonts w:hint="eastAsia" w:ascii="宋体" w:hAnsi="宋体" w:cs="微软雅黑"/>
          <w:szCs w:val="21"/>
          <w:u w:val="single"/>
        </w:rPr>
        <w:t>（业主名称）        ：</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为了切实维护建筑农民工的合法权益，确保社会和企业稳定，根据各级政府和相关主管部门的相关要求，结合我公司承包工程的劳务施工实际情况，特作如下慎重承诺：</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1、我公司将严格按照温州市水利局《关于印发“温州无欠薪”行动水利工程建设领域专项治理实施方案的通知》的相关要求，切实做好农民工工资发放工作;</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2、我公司一定按照文件规定实行银行卡足额支付农民工工资，按月考核农民工工作量并如实编制工资支付表，经农民工签字确认后，将工资通过银行卡转账方式支付给农民工本人;保证将每月发放的农民工工资表(表格形式、现场负责人和班组长签字认可、农民工本人签字)于每月</w:t>
      </w:r>
      <w:r>
        <w:rPr>
          <w:rFonts w:hint="eastAsia" w:ascii="宋体" w:hAnsi="宋体" w:cs="微软雅黑"/>
          <w:szCs w:val="21"/>
          <w:u w:val="single"/>
        </w:rPr>
        <w:t xml:space="preserve">     </w:t>
      </w:r>
      <w:r>
        <w:rPr>
          <w:rFonts w:hint="eastAsia" w:ascii="宋体" w:hAnsi="宋体" w:cs="微软雅黑"/>
          <w:szCs w:val="21"/>
        </w:rPr>
        <w:t>日前将上月农民工工资如实、及时上报给贵司项目部，否则我司(或个人)愿意接受贵司的处理;</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3、如因农民工工资发放、处置不力，导致农民工有不同形式的上访、闹访、集访等事件发生，项目部将立即停止对我公司(或个人)劳务工程款的支付，我公司(或个人)愿意将剩余工程款用作民工工资保证金。</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由此造成的一切不良后果和损失由我公司(或个人)承担。特此承诺!</w:t>
      </w:r>
    </w:p>
    <w:p>
      <w:pPr>
        <w:pStyle w:val="59"/>
        <w:keepNext w:val="0"/>
        <w:keepLines w:val="0"/>
        <w:pageBreakBefore w:val="0"/>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p>
    <w:p>
      <w:pPr>
        <w:pStyle w:val="59"/>
        <w:keepNext w:val="0"/>
        <w:keepLines w:val="0"/>
        <w:pageBreakBefore w:val="0"/>
        <w:tabs>
          <w:tab w:val="left" w:pos="4395"/>
        </w:tabs>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ab/>
      </w:r>
      <w:r>
        <w:rPr>
          <w:rFonts w:hint="eastAsia" w:ascii="宋体" w:hAnsi="宋体" w:cs="微软雅黑"/>
          <w:szCs w:val="21"/>
        </w:rPr>
        <w:t>承诺单位：(盖章)</w:t>
      </w:r>
    </w:p>
    <w:p>
      <w:pPr>
        <w:pStyle w:val="59"/>
        <w:keepNext w:val="0"/>
        <w:keepLines w:val="0"/>
        <w:pageBreakBefore w:val="0"/>
        <w:tabs>
          <w:tab w:val="left" w:pos="4395"/>
        </w:tabs>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ab/>
      </w:r>
      <w:r>
        <w:rPr>
          <w:rFonts w:hint="eastAsia" w:ascii="宋体" w:hAnsi="宋体" w:cs="微软雅黑"/>
          <w:szCs w:val="21"/>
        </w:rPr>
        <w:t>法人代表：(签字)</w:t>
      </w:r>
    </w:p>
    <w:p>
      <w:pPr>
        <w:pStyle w:val="59"/>
        <w:keepNext w:val="0"/>
        <w:keepLines w:val="0"/>
        <w:pageBreakBefore w:val="0"/>
        <w:tabs>
          <w:tab w:val="left" w:pos="4395"/>
        </w:tabs>
        <w:kinsoku/>
        <w:wordWrap/>
        <w:overflowPunct/>
        <w:topLinePunct w:val="0"/>
        <w:autoSpaceDE/>
        <w:autoSpaceDN/>
        <w:bidi w:val="0"/>
        <w:adjustRightInd w:val="0"/>
        <w:snapToGrid/>
        <w:spacing w:line="360" w:lineRule="auto"/>
        <w:ind w:firstLine="420"/>
        <w:textAlignment w:val="auto"/>
        <w:rPr>
          <w:rFonts w:ascii="宋体" w:hAnsi="宋体" w:cs="微软雅黑"/>
          <w:szCs w:val="21"/>
        </w:rPr>
      </w:pPr>
      <w:r>
        <w:rPr>
          <w:rFonts w:hint="eastAsia" w:ascii="宋体" w:hAnsi="宋体" w:cs="微软雅黑"/>
          <w:szCs w:val="21"/>
        </w:rPr>
        <w:tab/>
      </w:r>
      <w:r>
        <w:rPr>
          <w:rFonts w:hint="eastAsia" w:ascii="宋体" w:hAnsi="宋体" w:cs="微软雅黑"/>
          <w:szCs w:val="21"/>
        </w:rPr>
        <w:t>日期：      年    月    日</w:t>
      </w:r>
    </w:p>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楷体_GB2312" w:hAnsi="宋体" w:eastAsia="楷体_GB2312"/>
          <w:b/>
          <w:color w:val="auto"/>
          <w:highlight w:val="none"/>
        </w:rPr>
      </w:pPr>
    </w:p>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highlight w:val="none"/>
        </w:rPr>
      </w:pPr>
    </w:p>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highlight w:val="none"/>
        </w:rPr>
      </w:pPr>
    </w:p>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highlight w:val="none"/>
        </w:rPr>
      </w:pPr>
    </w:p>
    <w:p>
      <w:pPr>
        <w:keepNext w:val="0"/>
        <w:keepLines w:val="0"/>
        <w:pageBreakBefore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highlight w:val="none"/>
          <w:lang w:eastAsia="zh-CN"/>
        </w:rPr>
      </w:pPr>
      <w:r>
        <w:rPr>
          <w:rFonts w:hint="eastAsia" w:ascii="宋体" w:hAnsi="宋体" w:eastAsia="宋体" w:cs="宋体"/>
          <w:b/>
          <w:color w:val="auto"/>
          <w:highlight w:val="none"/>
        </w:rPr>
        <w:t>注：本合同作为示范文本，具体以</w:t>
      </w:r>
      <w:r>
        <w:rPr>
          <w:rFonts w:hint="eastAsia" w:ascii="宋体" w:hAnsi="宋体" w:eastAsia="宋体" w:cs="宋体"/>
          <w:b/>
          <w:color w:val="auto"/>
          <w:highlight w:val="none"/>
          <w:lang w:eastAsia="zh-CN"/>
        </w:rPr>
        <w:t>成交</w:t>
      </w:r>
      <w:r>
        <w:rPr>
          <w:rFonts w:hint="eastAsia" w:ascii="宋体" w:hAnsi="宋体" w:eastAsia="宋体" w:cs="宋体"/>
          <w:b/>
          <w:color w:val="auto"/>
          <w:highlight w:val="none"/>
        </w:rPr>
        <w:t>供应商与采购人所签定正式合同为准</w:t>
      </w:r>
      <w:r>
        <w:rPr>
          <w:rFonts w:hint="eastAsia" w:ascii="宋体" w:hAnsi="宋体" w:eastAsia="宋体" w:cs="宋体"/>
          <w:b/>
          <w:color w:val="auto"/>
          <w:highlight w:val="none"/>
          <w:lang w:eastAsia="zh-CN"/>
        </w:rPr>
        <w:t>。</w:t>
      </w:r>
    </w:p>
    <w:p>
      <w:pPr>
        <w:keepNext w:val="0"/>
        <w:keepLines w:val="0"/>
        <w:pageBreakBefore w:val="0"/>
        <w:kinsoku/>
        <w:wordWrap/>
        <w:overflowPunct/>
        <w:topLinePunct w:val="0"/>
        <w:autoSpaceDE/>
        <w:autoSpaceDN/>
        <w:bidi w:val="0"/>
        <w:adjustRightInd w:val="0"/>
        <w:snapToGrid/>
        <w:spacing w:line="360" w:lineRule="auto"/>
        <w:textAlignment w:val="auto"/>
        <w:rPr>
          <w:color w:val="auto"/>
          <w:highlight w:val="none"/>
        </w:rPr>
        <w:sectPr>
          <w:headerReference r:id="rId6" w:type="default"/>
          <w:footerReference r:id="rId7" w:type="default"/>
          <w:pgSz w:w="11906" w:h="16838"/>
          <w:pgMar w:top="1417" w:right="1417" w:bottom="1417" w:left="1417" w:header="850" w:footer="737" w:gutter="0"/>
          <w:pgNumType w:fmt="decimal"/>
          <w:cols w:space="720" w:num="1"/>
          <w:docGrid w:type="lines" w:linePitch="291" w:charSpace="0"/>
        </w:sectPr>
      </w:pPr>
    </w:p>
    <w:p>
      <w:pPr>
        <w:pStyle w:val="21"/>
        <w:rPr>
          <w:rFonts w:hint="eastAsia" w:ascii="宋体" w:hAnsi="宋体" w:eastAsia="宋体" w:cs="宋体"/>
          <w:sz w:val="24"/>
        </w:rPr>
      </w:pPr>
    </w:p>
    <w:p>
      <w:pPr>
        <w:pStyle w:val="17"/>
        <w:rPr>
          <w:rFonts w:hint="eastAsia" w:ascii="宋体" w:hAnsi="宋体" w:eastAsia="宋体" w:cs="宋体"/>
          <w:sz w:val="24"/>
        </w:rPr>
      </w:pPr>
    </w:p>
    <w:p>
      <w:pPr>
        <w:rPr>
          <w:rFonts w:hint="eastAsia" w:ascii="宋体" w:hAnsi="宋体" w:eastAsia="宋体" w:cs="宋体"/>
          <w:sz w:val="24"/>
        </w:rPr>
      </w:pPr>
    </w:p>
    <w:p>
      <w:pPr>
        <w:pStyle w:val="21"/>
        <w:rPr>
          <w:rFonts w:hint="eastAsia" w:ascii="宋体" w:hAnsi="宋体" w:eastAsia="宋体" w:cs="宋体"/>
          <w:sz w:val="24"/>
        </w:rPr>
      </w:pPr>
    </w:p>
    <w:p>
      <w:pPr>
        <w:pStyle w:val="17"/>
        <w:rPr>
          <w:rFonts w:hint="eastAsia" w:ascii="宋体" w:hAnsi="宋体" w:eastAsia="宋体" w:cs="宋体"/>
          <w:sz w:val="24"/>
        </w:rPr>
      </w:pPr>
    </w:p>
    <w:p>
      <w:pPr>
        <w:rPr>
          <w:rFonts w:hint="eastAsia"/>
        </w:rPr>
      </w:pPr>
    </w:p>
    <w:p>
      <w:pPr>
        <w:spacing w:line="360" w:lineRule="auto"/>
        <w:ind w:left="-420" w:leftChars="-200" w:right="-420" w:rightChars="-200" w:firstLine="480" w:firstLineChars="200"/>
        <w:jc w:val="center"/>
        <w:outlineLvl w:val="0"/>
        <w:rPr>
          <w:rFonts w:hint="eastAsia" w:ascii="宋体" w:hAnsi="宋体" w:eastAsia="宋体" w:cs="宋体"/>
          <w:sz w:val="24"/>
        </w:rPr>
      </w:pPr>
    </w:p>
    <w:p>
      <w:pPr>
        <w:spacing w:line="360" w:lineRule="auto"/>
        <w:ind w:left="-420" w:leftChars="-200" w:right="-420" w:rightChars="-200" w:firstLine="480" w:firstLineChars="200"/>
        <w:jc w:val="center"/>
        <w:outlineLvl w:val="0"/>
        <w:rPr>
          <w:rFonts w:hint="eastAsia" w:ascii="宋体" w:hAnsi="宋体" w:eastAsia="宋体" w:cs="宋体"/>
          <w:sz w:val="24"/>
        </w:rPr>
      </w:pPr>
    </w:p>
    <w:p>
      <w:pPr>
        <w:spacing w:line="360" w:lineRule="auto"/>
        <w:jc w:val="center"/>
        <w:outlineLvl w:val="0"/>
        <w:rPr>
          <w:rFonts w:hint="eastAsia" w:ascii="宋体" w:hAnsi="宋体" w:eastAsia="宋体" w:cs="宋体"/>
          <w:b/>
          <w:sz w:val="36"/>
          <w:szCs w:val="20"/>
        </w:rPr>
      </w:pPr>
      <w:bookmarkStart w:id="844" w:name="_Toc32594"/>
      <w:bookmarkStart w:id="845" w:name="_Toc17588"/>
      <w:r>
        <w:rPr>
          <w:rFonts w:hint="eastAsia" w:ascii="宋体" w:hAnsi="宋体" w:eastAsia="宋体" w:cs="宋体"/>
          <w:b/>
          <w:sz w:val="36"/>
          <w:szCs w:val="20"/>
        </w:rPr>
        <w:t>第六部分</w:t>
      </w:r>
      <w:bookmarkEnd w:id="572"/>
      <w:r>
        <w:rPr>
          <w:rFonts w:hint="eastAsia" w:ascii="宋体" w:hAnsi="宋体" w:eastAsia="宋体" w:cs="宋体"/>
          <w:b/>
          <w:sz w:val="36"/>
          <w:szCs w:val="20"/>
        </w:rPr>
        <w:t xml:space="preserve"> </w:t>
      </w:r>
      <w:bookmarkEnd w:id="573"/>
      <w:r>
        <w:rPr>
          <w:rFonts w:hint="eastAsia" w:ascii="宋体" w:hAnsi="宋体" w:eastAsia="宋体" w:cs="宋体"/>
          <w:b/>
          <w:sz w:val="36"/>
          <w:szCs w:val="20"/>
        </w:rPr>
        <w:t>应提交的有关格式范例</w:t>
      </w:r>
      <w:bookmarkEnd w:id="844"/>
      <w:bookmarkEnd w:id="845"/>
    </w:p>
    <w:p>
      <w:pPr>
        <w:spacing w:line="360" w:lineRule="auto"/>
        <w:jc w:val="center"/>
        <w:outlineLvl w:val="0"/>
        <w:rPr>
          <w:rFonts w:hint="eastAsia" w:ascii="宋体" w:hAnsi="宋体" w:eastAsia="宋体" w:cs="宋体"/>
          <w:b/>
          <w:kern w:val="0"/>
          <w:sz w:val="36"/>
          <w:szCs w:val="36"/>
        </w:rPr>
      </w:pPr>
    </w:p>
    <w:p>
      <w:pPr>
        <w:spacing w:line="360" w:lineRule="auto"/>
        <w:jc w:val="center"/>
        <w:outlineLvl w:val="0"/>
        <w:rPr>
          <w:rFonts w:hint="eastAsia" w:ascii="宋体" w:hAnsi="宋体" w:eastAsia="宋体" w:cs="宋体"/>
          <w:b/>
          <w:kern w:val="0"/>
          <w:sz w:val="36"/>
          <w:szCs w:val="36"/>
        </w:rPr>
      </w:pPr>
      <w:bookmarkStart w:id="846" w:name="_Toc16518"/>
      <w:bookmarkStart w:id="847" w:name="_Toc27406"/>
      <w:bookmarkStart w:id="848" w:name="_Toc28027"/>
      <w:r>
        <w:rPr>
          <w:rFonts w:hint="eastAsia" w:ascii="宋体" w:hAnsi="宋体" w:eastAsia="宋体" w:cs="宋体"/>
          <w:b/>
          <w:kern w:val="0"/>
          <w:sz w:val="36"/>
          <w:szCs w:val="36"/>
        </w:rPr>
        <w:t>资格文件部分</w:t>
      </w:r>
      <w:bookmarkEnd w:id="846"/>
      <w:bookmarkEnd w:id="847"/>
      <w:bookmarkEnd w:id="848"/>
    </w:p>
    <w:p>
      <w:pPr>
        <w:spacing w:line="360" w:lineRule="auto"/>
        <w:jc w:val="center"/>
        <w:outlineLvl w:val="0"/>
        <w:rPr>
          <w:rFonts w:hint="eastAsia" w:ascii="宋体" w:hAnsi="宋体" w:eastAsia="宋体" w:cs="宋体"/>
          <w:b/>
          <w:kern w:val="0"/>
          <w:sz w:val="36"/>
          <w:szCs w:val="36"/>
        </w:rPr>
      </w:pPr>
      <w:bookmarkStart w:id="849" w:name="_Toc3951"/>
      <w:bookmarkStart w:id="850" w:name="_Toc4822"/>
      <w:bookmarkStart w:id="851" w:name="_Toc30220"/>
      <w:r>
        <w:rPr>
          <w:rFonts w:hint="eastAsia" w:ascii="宋体" w:hAnsi="宋体" w:eastAsia="宋体" w:cs="宋体"/>
          <w:b/>
          <w:kern w:val="0"/>
          <w:sz w:val="36"/>
          <w:szCs w:val="36"/>
        </w:rPr>
        <w:t>目录</w:t>
      </w:r>
      <w:bookmarkEnd w:id="849"/>
      <w:bookmarkEnd w:id="850"/>
      <w:bookmarkEnd w:id="851"/>
    </w:p>
    <w:p>
      <w:pPr>
        <w:spacing w:line="360" w:lineRule="auto"/>
        <w:jc w:val="center"/>
        <w:outlineLvl w:val="0"/>
        <w:rPr>
          <w:rFonts w:hint="eastAsia" w:ascii="宋体" w:hAnsi="宋体" w:eastAsia="宋体" w:cs="宋体"/>
          <w:b/>
          <w:color w:val="auto"/>
          <w:ker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（1）符合参加政府采购活动应当具备的一般条件的承诺函……………（页码）</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（2）落实政府采购政策需满足的资格要求………………………………（页码）</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中小型声明函</w:t>
      </w:r>
      <w:r>
        <w:rPr>
          <w:rFonts w:hint="eastAsia" w:ascii="宋体" w:hAnsi="宋体" w:eastAsia="宋体" w:cs="宋体"/>
          <w:color w:val="auto"/>
          <w:sz w:val="21"/>
          <w:szCs w:val="21"/>
          <w:highlight w:val="none"/>
        </w:rPr>
        <w:t>…………………………………………………………（页码）</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本项目的特定资格要求………………………………………………（页码）</w:t>
      </w:r>
    </w:p>
    <w:p>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联合协议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如有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……………………………………………………（页码）</w:t>
      </w:r>
    </w:p>
    <w:p>
      <w:pPr>
        <w:snapToGrid w:val="0"/>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p>
    <w:p>
      <w:pPr>
        <w:snapToGrid w:val="0"/>
        <w:spacing w:line="360" w:lineRule="auto"/>
        <w:ind w:right="480"/>
        <w:jc w:val="center"/>
        <w:rPr>
          <w:rFonts w:hint="eastAsia" w:ascii="宋体" w:hAnsi="宋体" w:eastAsia="宋体" w:cs="宋体"/>
          <w:b/>
          <w:color w:val="FF0000"/>
          <w:kern w:val="0"/>
          <w:sz w:val="32"/>
          <w:szCs w:val="32"/>
        </w:rPr>
      </w:pPr>
      <w:r>
        <w:rPr>
          <w:rFonts w:hint="eastAsia" w:ascii="宋体" w:hAnsi="宋体" w:eastAsia="宋体" w:cs="宋体"/>
          <w:kern w:val="0"/>
          <w:sz w:val="24"/>
        </w:rPr>
        <w:br w:type="page"/>
      </w:r>
      <w:r>
        <w:rPr>
          <w:rFonts w:hint="eastAsia" w:ascii="宋体" w:hAnsi="宋体" w:eastAsia="宋体" w:cs="宋体"/>
          <w:b/>
          <w:kern w:val="0"/>
          <w:sz w:val="32"/>
          <w:szCs w:val="32"/>
        </w:rPr>
        <w:t xml:space="preserve">  </w:t>
      </w:r>
      <w:r>
        <w:rPr>
          <w:rFonts w:hint="eastAsia" w:ascii="宋体" w:hAnsi="宋体" w:eastAsia="宋体" w:cs="宋体"/>
          <w:b/>
          <w:color w:val="auto"/>
          <w:kern w:val="0"/>
          <w:sz w:val="32"/>
          <w:szCs w:val="32"/>
        </w:rPr>
        <w:t>一、 符合参加政府采购活动应当具备的一般条件的承诺函</w:t>
      </w:r>
    </w:p>
    <w:p>
      <w:pPr>
        <w:snapToGrid w:val="0"/>
        <w:spacing w:line="360" w:lineRule="auto"/>
        <w:rPr>
          <w:rFonts w:hint="eastAsia" w:ascii="宋体" w:hAnsi="宋体" w:eastAsia="宋体" w:cs="宋体"/>
          <w:b/>
          <w:bCs/>
          <w:sz w:val="21"/>
          <w:szCs w:val="21"/>
          <w:u w:val="single"/>
        </w:rPr>
      </w:pPr>
    </w:p>
    <w:p>
      <w:pPr>
        <w:snapToGrid w:val="0"/>
        <w:spacing w:line="360" w:lineRule="auto"/>
        <w:rPr>
          <w:rFonts w:hint="eastAsia" w:ascii="宋体" w:hAnsi="宋体" w:eastAsia="宋体" w:cs="宋体"/>
          <w:sz w:val="21"/>
          <w:szCs w:val="21"/>
        </w:rPr>
      </w:pPr>
      <w:r>
        <w:rPr>
          <w:rFonts w:hint="eastAsia" w:ascii="宋体" w:hAnsi="宋体" w:eastAsia="宋体" w:cs="宋体"/>
          <w:b/>
          <w:bCs/>
          <w:sz w:val="21"/>
          <w:szCs w:val="21"/>
          <w:u w:val="single"/>
        </w:rPr>
        <w:t>（采购人）、（采购代理机构）</w:t>
      </w:r>
      <w:r>
        <w:rPr>
          <w:rFonts w:hint="eastAsia" w:ascii="宋体" w:hAnsi="宋体" w:eastAsia="宋体" w:cs="宋体"/>
          <w:sz w:val="21"/>
          <w:szCs w:val="21"/>
        </w:rPr>
        <w:t>：</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我方参与（项目名称）【</w:t>
      </w:r>
      <w:r>
        <w:rPr>
          <w:rFonts w:hint="eastAsia" w:ascii="宋体" w:hAnsi="宋体" w:eastAsia="宋体" w:cs="宋体"/>
          <w:sz w:val="21"/>
          <w:szCs w:val="21"/>
          <w:lang w:eastAsia="zh-CN"/>
        </w:rPr>
        <w:t>项目</w:t>
      </w:r>
      <w:r>
        <w:rPr>
          <w:rFonts w:hint="eastAsia" w:ascii="宋体" w:hAnsi="宋体" w:eastAsia="宋体" w:cs="宋体"/>
          <w:sz w:val="21"/>
          <w:szCs w:val="21"/>
        </w:rPr>
        <w:t>编号：（采购编号）】政府采购活动，郑重承诺：</w:t>
      </w:r>
    </w:p>
    <w:p>
      <w:pPr>
        <w:snapToGrid w:val="0"/>
        <w:spacing w:line="360" w:lineRule="auto"/>
        <w:ind w:firstLine="315" w:firstLineChars="150"/>
        <w:rPr>
          <w:rFonts w:hint="eastAsia" w:ascii="宋体" w:hAnsi="宋体" w:eastAsia="宋体" w:cs="宋体"/>
          <w:sz w:val="21"/>
          <w:szCs w:val="21"/>
        </w:rPr>
      </w:pPr>
      <w:r>
        <w:rPr>
          <w:rFonts w:hint="eastAsia" w:ascii="宋体" w:hAnsi="宋体" w:eastAsia="宋体" w:cs="宋体"/>
          <w:sz w:val="21"/>
          <w:szCs w:val="21"/>
        </w:rPr>
        <w:t>（一）具备《中华人民共和国政府采购法》第二十二条第一款规定的条件：</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1、具有独立承担民事责任的能力；</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2、具有良好的商业信誉和健全的财务会计制度； </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3、具有履行合同所必需的设备和专业技术能力；</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4、有依法缴纳税收和社会保障资金的良好记录；</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5、参加政府采购活动前三年内，在经营活动中没有重大违法记录；</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6、具有法律、行政法规规定的其他条件。</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（二）未被信用中国（www.creditchina.gov.cn)、中国政府采购网（www.ccgp.gov.cn）列入失信被执行人、重大税收违法案件当事人名单、政府采购严重违法失信行为记录名单。</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（三）不存在以下情况：</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1、单位负责人为同一人或者存在直接控股、管理关系的不同供应商参加同一合同项下的政府采购活动的；</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2、为采购项目提供整体设计、规范编制或者项目管理、监理、检测等服务后再参加该采购项目的其他采购活动的。</w:t>
      </w:r>
    </w:p>
    <w:p>
      <w:pPr>
        <w:snapToGrid w:val="0"/>
        <w:spacing w:line="360" w:lineRule="auto"/>
        <w:ind w:firstLine="420" w:firstLineChars="200"/>
        <w:jc w:val="left"/>
        <w:rPr>
          <w:rStyle w:val="25"/>
          <w:rFonts w:hint="eastAsia" w:ascii="宋体" w:hAnsi="宋体" w:eastAsia="宋体" w:cs="宋体"/>
          <w:sz w:val="21"/>
          <w:szCs w:val="21"/>
          <w:highlight w:val="none"/>
        </w:rPr>
      </w:pPr>
      <w:r>
        <w:rPr>
          <w:rStyle w:val="25"/>
          <w:rFonts w:hint="eastAsia" w:ascii="宋体" w:hAnsi="宋体" w:eastAsia="宋体" w:cs="宋体"/>
          <w:b w:val="0"/>
          <w:bCs w:val="0"/>
          <w:sz w:val="21"/>
          <w:szCs w:val="21"/>
          <w:highlight w:val="none"/>
          <w:lang w:eastAsia="zh-CN"/>
        </w:rPr>
        <w:t>我方</w:t>
      </w:r>
      <w:r>
        <w:rPr>
          <w:rStyle w:val="25"/>
          <w:rFonts w:hint="eastAsia" w:ascii="宋体" w:hAnsi="宋体" w:eastAsia="宋体" w:cs="宋体"/>
          <w:b w:val="0"/>
          <w:bCs w:val="0"/>
          <w:sz w:val="21"/>
          <w:szCs w:val="21"/>
          <w:highlight w:val="none"/>
        </w:rPr>
        <w:t>对上述承诺的真实性负责。上述承诺如有虚假，将按“提供虚假材料谋取中标、成交”情形，由采购人取消我公司任何资格（投标/中标/签订合同），且由采购单位/采购代理机构报告至政府采购监管部门。</w:t>
      </w:r>
      <w:r>
        <w:rPr>
          <w:rStyle w:val="25"/>
          <w:rFonts w:hint="eastAsia" w:ascii="宋体" w:hAnsi="宋体" w:eastAsia="宋体" w:cs="宋体"/>
          <w:sz w:val="21"/>
          <w:szCs w:val="21"/>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snapToGrid w:val="0"/>
        <w:spacing w:line="360" w:lineRule="auto"/>
        <w:ind w:firstLine="420" w:firstLineChars="200"/>
        <w:jc w:val="left"/>
        <w:rPr>
          <w:rFonts w:hint="eastAsia" w:ascii="宋体" w:hAnsi="宋体" w:eastAsia="宋体" w:cs="宋体"/>
          <w:sz w:val="21"/>
          <w:szCs w:val="21"/>
          <w:highlight w:val="none"/>
        </w:rPr>
      </w:pPr>
      <w:r>
        <w:rPr>
          <w:rStyle w:val="25"/>
          <w:rFonts w:hint="eastAsia" w:ascii="宋体" w:hAnsi="宋体" w:eastAsia="宋体" w:cs="宋体"/>
          <w:sz w:val="21"/>
          <w:szCs w:val="21"/>
          <w:highlight w:val="none"/>
        </w:rPr>
        <w:t>我</w:t>
      </w:r>
      <w:r>
        <w:rPr>
          <w:rFonts w:hint="eastAsia" w:ascii="宋体" w:hAnsi="宋体" w:eastAsia="宋体" w:cs="宋体"/>
          <w:sz w:val="21"/>
          <w:szCs w:val="21"/>
          <w:highlight w:val="none"/>
          <w:lang w:eastAsia="zh-CN"/>
        </w:rPr>
        <w:t>方</w:t>
      </w:r>
      <w:r>
        <w:rPr>
          <w:rStyle w:val="25"/>
          <w:rFonts w:hint="eastAsia" w:ascii="宋体" w:hAnsi="宋体" w:eastAsia="宋体" w:cs="宋体"/>
          <w:sz w:val="21"/>
          <w:szCs w:val="21"/>
          <w:highlight w:val="none"/>
        </w:rPr>
        <w:t>已知晓前述法律规定，对此无任何异议。</w:t>
      </w:r>
    </w:p>
    <w:p>
      <w:pPr>
        <w:spacing w:line="360" w:lineRule="auto"/>
        <w:rPr>
          <w:rStyle w:val="29"/>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Style w:val="29"/>
          <w:rFonts w:hint="eastAsia" w:ascii="宋体" w:hAnsi="宋体" w:eastAsia="宋体" w:cs="宋体"/>
          <w:b/>
          <w:bCs/>
          <w:color w:val="auto"/>
          <w:sz w:val="21"/>
          <w:szCs w:val="21"/>
          <w:highlight w:val="none"/>
        </w:rPr>
        <w:t>注：</w:t>
      </w:r>
      <w:bookmarkStart w:id="852" w:name="_Toc12722"/>
      <w:bookmarkStart w:id="853" w:name="_Toc9599"/>
      <w:bookmarkStart w:id="854" w:name="_Toc16992"/>
      <w:r>
        <w:rPr>
          <w:rFonts w:hint="eastAsia" w:ascii="宋体" w:hAnsi="宋体" w:eastAsia="宋体" w:cs="宋体"/>
          <w:b/>
          <w:bCs/>
          <w:color w:val="auto"/>
          <w:sz w:val="21"/>
          <w:szCs w:val="21"/>
          <w:highlight w:val="none"/>
        </w:rPr>
        <w:t>1.</w:t>
      </w:r>
      <w:r>
        <w:rPr>
          <w:rStyle w:val="29"/>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本承诺函必须提供。</w:t>
      </w:r>
    </w:p>
    <w:p>
      <w:pPr>
        <w:spacing w:line="360" w:lineRule="auto"/>
        <w:rPr>
          <w:rStyle w:val="29"/>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2.参加政府采购活动的时间是指供应商参加本项目的政府采购活动时间为准（具体以投标截止时间为准）。</w:t>
      </w:r>
      <w:bookmarkEnd w:id="852"/>
      <w:bookmarkEnd w:id="853"/>
      <w:bookmarkEnd w:id="854"/>
    </w:p>
    <w:p>
      <w:pPr>
        <w:snapToGrid w:val="0"/>
        <w:spacing w:line="360" w:lineRule="auto"/>
        <w:ind w:firstLine="420" w:firstLineChars="200"/>
        <w:jc w:val="left"/>
        <w:rPr>
          <w:rStyle w:val="25"/>
          <w:rFonts w:hint="eastAsia" w:ascii="宋体" w:hAnsi="宋体" w:eastAsia="宋体" w:cs="宋体"/>
          <w:sz w:val="21"/>
          <w:szCs w:val="21"/>
        </w:rPr>
      </w:pPr>
    </w:p>
    <w:p>
      <w:pPr>
        <w:snapToGrid w:val="0"/>
        <w:spacing w:line="360" w:lineRule="auto"/>
        <w:ind w:firstLine="4830" w:firstLineChars="2300"/>
        <w:rPr>
          <w:rFonts w:hint="eastAsia" w:ascii="宋体" w:hAnsi="宋体" w:eastAsia="宋体" w:cs="宋体"/>
          <w:kern w:val="0"/>
          <w:sz w:val="21"/>
          <w:szCs w:val="21"/>
        </w:rPr>
      </w:pPr>
      <w:r>
        <w:rPr>
          <w:rFonts w:hint="eastAsia" w:ascii="宋体" w:hAnsi="宋体" w:eastAsia="宋体" w:cs="宋体"/>
          <w:kern w:val="0"/>
          <w:sz w:val="21"/>
          <w:szCs w:val="21"/>
          <w:lang w:val="zh-CN"/>
        </w:rPr>
        <w:t>磋商供应商名称(电子签名)：</w:t>
      </w:r>
    </w:p>
    <w:p>
      <w:pPr>
        <w:snapToGrid w:val="0"/>
        <w:spacing w:line="360" w:lineRule="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                        </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zh-CN"/>
        </w:rPr>
        <w:t>日期</w:t>
      </w:r>
      <w:r>
        <w:rPr>
          <w:rFonts w:hint="eastAsia" w:ascii="宋体" w:hAnsi="宋体" w:eastAsia="宋体" w:cs="宋体"/>
          <w:kern w:val="0"/>
          <w:sz w:val="21"/>
          <w:szCs w:val="21"/>
        </w:rPr>
        <w:t xml:space="preserve">：  年  </w:t>
      </w:r>
      <w:r>
        <w:rPr>
          <w:rFonts w:hint="eastAsia" w:ascii="宋体" w:hAnsi="宋体" w:eastAsia="宋体" w:cs="宋体"/>
          <w:kern w:val="0"/>
          <w:sz w:val="21"/>
          <w:szCs w:val="21"/>
          <w:lang w:val="zh-CN"/>
        </w:rPr>
        <w:t>月</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zh-CN"/>
        </w:rPr>
        <w:t>日</w:t>
      </w:r>
    </w:p>
    <w:p>
      <w:pPr>
        <w:pStyle w:val="21"/>
        <w:rPr>
          <w:rFonts w:hint="eastAsia"/>
        </w:rPr>
      </w:pPr>
    </w:p>
    <w:p>
      <w:pPr>
        <w:snapToGrid w:val="0"/>
        <w:spacing w:line="360" w:lineRule="auto"/>
        <w:ind w:right="480"/>
        <w:jc w:val="center"/>
        <w:rPr>
          <w:rFonts w:hint="eastAsia" w:ascii="宋体" w:hAnsi="宋体" w:eastAsia="宋体" w:cs="宋体"/>
          <w:b/>
          <w:kern w:val="0"/>
          <w:sz w:val="32"/>
          <w:szCs w:val="32"/>
        </w:rPr>
      </w:pPr>
      <w:r>
        <w:rPr>
          <w:rFonts w:hint="eastAsia" w:ascii="宋体" w:hAnsi="宋体" w:eastAsia="宋体" w:cs="宋体"/>
          <w:b/>
          <w:kern w:val="0"/>
          <w:sz w:val="32"/>
          <w:szCs w:val="32"/>
        </w:rPr>
        <w:br w:type="page"/>
      </w:r>
      <w:r>
        <w:rPr>
          <w:rFonts w:hint="eastAsia" w:ascii="宋体" w:hAnsi="宋体" w:eastAsia="宋体" w:cs="宋体"/>
          <w:b/>
          <w:kern w:val="0"/>
          <w:sz w:val="32"/>
          <w:szCs w:val="32"/>
        </w:rPr>
        <w:t>二、落实政府采购政策需满足的资格要求</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rPr>
        <w:t>（根据</w:t>
      </w:r>
      <w:r>
        <w:rPr>
          <w:rFonts w:hint="eastAsia" w:ascii="宋体" w:hAnsi="宋体" w:eastAsia="宋体" w:cs="宋体"/>
          <w:sz w:val="21"/>
          <w:szCs w:val="21"/>
          <w:lang w:eastAsia="zh-CN"/>
        </w:rPr>
        <w:t>竞争性磋商公告</w:t>
      </w:r>
      <w:r>
        <w:rPr>
          <w:rFonts w:hint="eastAsia" w:ascii="宋体" w:hAnsi="宋体" w:eastAsia="宋体" w:cs="宋体"/>
          <w:sz w:val="21"/>
          <w:szCs w:val="21"/>
        </w:rPr>
        <w:t>落实政府采购政策需满足的资格要求选择提供相应的材料；未要求的，无需提供）</w:t>
      </w:r>
    </w:p>
    <w:p>
      <w:pPr>
        <w:snapToGrid w:val="0"/>
        <w:spacing w:before="50" w:after="50" w:line="360" w:lineRule="auto"/>
        <w:ind w:firstLine="413" w:firstLineChars="196"/>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A</w:t>
      </w:r>
      <w:r>
        <w:rPr>
          <w:rFonts w:hint="eastAsia" w:ascii="宋体" w:hAnsi="宋体" w:eastAsia="宋体" w:cs="宋体"/>
          <w:sz w:val="21"/>
          <w:szCs w:val="21"/>
          <w:highlight w:val="none"/>
        </w:rPr>
        <w:t>.专门面向中小企业，货物全部由符合政策要求的中小企业（或小微企业）制造或者服务</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工程</w:t>
      </w:r>
      <w:r>
        <w:rPr>
          <w:rFonts w:hint="eastAsia" w:ascii="宋体" w:hAnsi="宋体" w:eastAsia="宋体" w:cs="宋体"/>
          <w:sz w:val="21"/>
          <w:szCs w:val="21"/>
          <w:highlight w:val="none"/>
        </w:rPr>
        <w:t xml:space="preserve">全部由符合政策要求的中小企业（或小微企业）承接的，提供相应的中小企业声明函（附件5）。 </w:t>
      </w:r>
    </w:p>
    <w:p>
      <w:pPr>
        <w:widowControl/>
        <w:spacing w:line="360" w:lineRule="auto"/>
        <w:ind w:firstLine="480"/>
        <w:jc w:val="left"/>
        <w:rPr>
          <w:rFonts w:hint="eastAsia" w:ascii="宋体" w:hAnsi="宋体" w:eastAsia="宋体" w:cs="宋体"/>
          <w:sz w:val="21"/>
          <w:szCs w:val="21"/>
          <w:highlight w:val="none"/>
        </w:rPr>
      </w:pPr>
    </w:p>
    <w:p>
      <w:pPr>
        <w:widowControl/>
        <w:spacing w:line="360" w:lineRule="auto"/>
        <w:ind w:firstLine="413" w:firstLineChars="196"/>
        <w:jc w:val="left"/>
        <w:rPr>
          <w:rFonts w:hint="eastAsia" w:ascii="宋体" w:hAnsi="宋体" w:eastAsia="宋体" w:cs="宋体"/>
          <w:sz w:val="21"/>
          <w:szCs w:val="21"/>
          <w:highlight w:val="none"/>
          <w:lang w:eastAsia="zh-CN"/>
        </w:rPr>
      </w:pPr>
      <w:r>
        <w:rPr>
          <w:rFonts w:hint="eastAsia" w:ascii="宋体" w:hAnsi="宋体" w:eastAsia="宋体" w:cs="宋体"/>
          <w:b/>
          <w:sz w:val="21"/>
          <w:szCs w:val="21"/>
          <w:highlight w:val="none"/>
        </w:rPr>
        <w:t>B.</w:t>
      </w:r>
      <w:r>
        <w:rPr>
          <w:rFonts w:hint="eastAsia" w:ascii="宋体" w:hAnsi="宋体" w:eastAsia="宋体" w:cs="宋体"/>
          <w:sz w:val="21"/>
          <w:szCs w:val="21"/>
          <w:highlight w:val="none"/>
        </w:rPr>
        <w:t>要求以联合体形式参加的，提供联合协议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附件6</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和中小企业声明函（附件5），联合协议中中小企业合同金额应当达到</w:t>
      </w:r>
      <w:r>
        <w:rPr>
          <w:rFonts w:hint="eastAsia" w:ascii="宋体" w:hAnsi="宋体" w:eastAsia="宋体" w:cs="宋体"/>
          <w:sz w:val="21"/>
          <w:szCs w:val="21"/>
          <w:highlight w:val="none"/>
          <w:lang w:eastAsia="zh-CN"/>
        </w:rPr>
        <w:t>竞争性磋商公告</w:t>
      </w:r>
      <w:r>
        <w:rPr>
          <w:rFonts w:hint="eastAsia" w:ascii="宋体" w:hAnsi="宋体" w:eastAsia="宋体" w:cs="宋体"/>
          <w:sz w:val="21"/>
          <w:szCs w:val="21"/>
          <w:highlight w:val="none"/>
        </w:rPr>
        <w:t>载明的比例；如果供应商本身提供所有标的均由中小企业制造或承接的，视同符合了资格条件，无需再与其他中小企业组成联合体参加政府采购活动，无需提供联合协议</w:t>
      </w:r>
      <w:r>
        <w:rPr>
          <w:rFonts w:hint="eastAsia" w:ascii="宋体" w:hAnsi="宋体" w:eastAsia="宋体" w:cs="宋体"/>
          <w:sz w:val="21"/>
          <w:szCs w:val="21"/>
          <w:highlight w:val="none"/>
          <w:lang w:eastAsia="zh-CN"/>
        </w:rPr>
        <w:t>。</w:t>
      </w:r>
    </w:p>
    <w:p>
      <w:pPr>
        <w:pStyle w:val="6"/>
        <w:rPr>
          <w:rFonts w:hint="eastAsia" w:ascii="宋体" w:hAnsi="宋体" w:eastAsia="宋体" w:cs="宋体"/>
          <w:sz w:val="21"/>
          <w:szCs w:val="21"/>
          <w:highlight w:val="none"/>
          <w:lang w:eastAsia="zh-CN"/>
        </w:rPr>
      </w:pPr>
    </w:p>
    <w:p>
      <w:pPr>
        <w:widowControl/>
        <w:spacing w:line="360" w:lineRule="auto"/>
        <w:ind w:firstLine="413" w:firstLineChars="196"/>
        <w:jc w:val="left"/>
        <w:rPr>
          <w:rFonts w:hint="eastAsia" w:ascii="宋体" w:hAnsi="宋体" w:eastAsia="宋体" w:cs="宋体"/>
          <w:b w:val="0"/>
          <w:bCs w:val="0"/>
          <w:sz w:val="21"/>
          <w:szCs w:val="21"/>
        </w:rPr>
      </w:pPr>
      <w:r>
        <w:rPr>
          <w:rFonts w:hint="eastAsia" w:ascii="宋体" w:hAnsi="宋体" w:eastAsia="宋体" w:cs="宋体"/>
          <w:b/>
          <w:bCs/>
          <w:sz w:val="21"/>
          <w:szCs w:val="21"/>
          <w:highlight w:val="none"/>
          <w:lang w:val="en-US" w:eastAsia="zh-CN"/>
        </w:rPr>
        <w:t>C.</w:t>
      </w:r>
      <w:r>
        <w:rPr>
          <w:rFonts w:hint="eastAsia" w:ascii="宋体" w:hAnsi="宋体" w:eastAsia="宋体" w:cs="宋体"/>
          <w:b w:val="0"/>
          <w:bCs w:val="0"/>
          <w:sz w:val="21"/>
          <w:szCs w:val="21"/>
          <w:highlight w:val="none"/>
        </w:rPr>
        <w:t>要求合同分包的，提供分包意向协议（附件</w:t>
      </w:r>
      <w:r>
        <w:rPr>
          <w:rFonts w:hint="eastAsia" w:ascii="宋体" w:hAnsi="宋体" w:eastAsia="宋体" w:cs="宋体"/>
          <w:b w:val="0"/>
          <w:bCs w:val="0"/>
          <w:sz w:val="21"/>
          <w:szCs w:val="21"/>
          <w:highlight w:val="none"/>
          <w:lang w:eastAsia="zh-CN"/>
        </w:rPr>
        <w:t>7</w:t>
      </w:r>
      <w:r>
        <w:rPr>
          <w:rFonts w:hint="eastAsia" w:ascii="宋体" w:hAnsi="宋体" w:eastAsia="宋体" w:cs="宋体"/>
          <w:b w:val="0"/>
          <w:bCs w:val="0"/>
          <w:sz w:val="21"/>
          <w:szCs w:val="21"/>
          <w:highlight w:val="none"/>
        </w:rPr>
        <w:t>）和中小企业声明函（附件</w:t>
      </w:r>
      <w:r>
        <w:rPr>
          <w:rFonts w:hint="eastAsia" w:ascii="宋体" w:hAnsi="宋体" w:eastAsia="宋体" w:cs="宋体"/>
          <w:b w:val="0"/>
          <w:bCs w:val="0"/>
          <w:sz w:val="21"/>
          <w:szCs w:val="21"/>
          <w:highlight w:val="none"/>
          <w:lang w:eastAsia="zh-CN"/>
        </w:rPr>
        <w:t>5</w:t>
      </w:r>
      <w:r>
        <w:rPr>
          <w:rFonts w:hint="eastAsia" w:ascii="宋体" w:hAnsi="宋体" w:eastAsia="宋体" w:cs="宋体"/>
          <w:b w:val="0"/>
          <w:bCs w:val="0"/>
          <w:sz w:val="21"/>
          <w:szCs w:val="21"/>
          <w:highlight w:val="none"/>
        </w:rPr>
        <w:t>），分包意</w:t>
      </w:r>
      <w:r>
        <w:rPr>
          <w:rFonts w:hint="eastAsia" w:ascii="宋体" w:hAnsi="宋体" w:eastAsia="宋体" w:cs="宋体"/>
          <w:b w:val="0"/>
          <w:bCs w:val="0"/>
          <w:sz w:val="21"/>
          <w:szCs w:val="21"/>
        </w:rPr>
        <w:t>向协议中中小企业合同金额应当达到</w:t>
      </w:r>
      <w:r>
        <w:rPr>
          <w:rFonts w:hint="eastAsia" w:ascii="宋体" w:hAnsi="宋体" w:eastAsia="宋体" w:cs="宋体"/>
          <w:b w:val="0"/>
          <w:bCs w:val="0"/>
          <w:sz w:val="21"/>
          <w:szCs w:val="21"/>
          <w:lang w:eastAsia="zh-CN"/>
        </w:rPr>
        <w:t>竞争性磋商公告</w:t>
      </w:r>
      <w:r>
        <w:rPr>
          <w:rFonts w:hint="eastAsia" w:ascii="宋体" w:hAnsi="宋体" w:eastAsia="宋体" w:cs="宋体"/>
          <w:b w:val="0"/>
          <w:bCs w:val="0"/>
          <w:sz w:val="21"/>
          <w:szCs w:val="21"/>
        </w:rPr>
        <w:t>载明的比例；如果供应商本身提供所有标的均由中小企业制造的，并相应达到了前述比例要求，视同符合了资格条件，无需再向中小企业分包，无需提供分包意向协议。</w:t>
      </w:r>
    </w:p>
    <w:p>
      <w:pPr>
        <w:pStyle w:val="6"/>
        <w:rPr>
          <w:rFonts w:hint="eastAsia" w:ascii="宋体" w:hAnsi="宋体" w:eastAsia="宋体" w:cs="宋体"/>
          <w:sz w:val="21"/>
          <w:szCs w:val="21"/>
        </w:rPr>
      </w:pPr>
    </w:p>
    <w:p>
      <w:pPr>
        <w:pStyle w:val="40"/>
        <w:keepNext w:val="0"/>
        <w:pageBreakBefore w:val="0"/>
        <w:tabs>
          <w:tab w:val="clear" w:pos="720"/>
        </w:tabs>
        <w:snapToGrid w:val="0"/>
        <w:spacing w:before="120" w:after="120"/>
        <w:ind w:firstLine="0"/>
        <w:jc w:val="center"/>
        <w:outlineLvl w:val="9"/>
        <w:rPr>
          <w:rFonts w:hint="eastAsia" w:ascii="宋体" w:hAnsi="宋体" w:eastAsia="宋体" w:cs="宋体"/>
          <w:sz w:val="32"/>
          <w:szCs w:val="32"/>
          <w:lang w:eastAsia="zh-CN"/>
        </w:rPr>
      </w:pPr>
      <w:r>
        <w:rPr>
          <w:rFonts w:hint="eastAsia" w:ascii="宋体" w:hAnsi="宋体" w:eastAsia="宋体" w:cs="宋体"/>
          <w:kern w:val="2"/>
          <w:sz w:val="32"/>
          <w:szCs w:val="32"/>
          <w:lang w:val="en-US" w:eastAsia="zh-CN"/>
        </w:rPr>
        <w:t>三</w:t>
      </w:r>
      <w:r>
        <w:rPr>
          <w:rFonts w:hint="eastAsia" w:ascii="宋体" w:hAnsi="宋体" w:eastAsia="宋体" w:cs="宋体"/>
          <w:kern w:val="2"/>
          <w:sz w:val="32"/>
          <w:szCs w:val="32"/>
        </w:rPr>
        <w:t>、</w:t>
      </w:r>
      <w:r>
        <w:rPr>
          <w:rFonts w:hint="eastAsia" w:ascii="宋体" w:hAnsi="宋体" w:eastAsia="宋体" w:cs="宋体"/>
          <w:sz w:val="32"/>
          <w:szCs w:val="32"/>
        </w:rPr>
        <w:t>中小企业声明函</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如果有</w:t>
      </w:r>
      <w:r>
        <w:rPr>
          <w:rFonts w:hint="eastAsia" w:ascii="宋体" w:hAnsi="宋体" w:eastAsia="宋体" w:cs="宋体"/>
          <w:sz w:val="32"/>
          <w:szCs w:val="32"/>
          <w:lang w:eastAsia="zh-CN"/>
        </w:rPr>
        <w:t>）</w:t>
      </w:r>
    </w:p>
    <w:p>
      <w:pPr>
        <w:widowControl/>
        <w:spacing w:line="360" w:lineRule="auto"/>
        <w:ind w:firstLine="105" w:firstLineChars="50"/>
        <w:jc w:val="left"/>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eastAsia="宋体" w:cs="宋体"/>
          <w:b/>
          <w:sz w:val="21"/>
          <w:szCs w:val="21"/>
          <w:lang w:eastAsia="zh-CN"/>
        </w:rPr>
        <w:t>竞争性磋商公告</w:t>
      </w:r>
      <w:r>
        <w:rPr>
          <w:rFonts w:hint="eastAsia" w:ascii="宋体" w:hAnsi="宋体" w:eastAsia="宋体" w:cs="宋体"/>
          <w:b/>
          <w:sz w:val="21"/>
          <w:szCs w:val="21"/>
        </w:rPr>
        <w:t>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
        <w:rPr>
          <w:rFonts w:hint="eastAsia" w:ascii="宋体" w:hAnsi="宋体" w:cs="宋体"/>
          <w:b/>
          <w:kern w:val="0"/>
          <w:sz w:val="32"/>
          <w:szCs w:val="32"/>
          <w:lang w:val="en-US" w:eastAsia="zh-CN"/>
        </w:rPr>
      </w:pPr>
    </w:p>
    <w:p>
      <w:pPr>
        <w:widowControl/>
        <w:spacing w:line="360" w:lineRule="auto"/>
        <w:ind w:left="150"/>
        <w:jc w:val="center"/>
        <w:rPr>
          <w:rFonts w:hint="eastAsia" w:ascii="宋体" w:hAnsi="宋体" w:eastAsia="宋体" w:cs="宋体"/>
          <w:b/>
          <w:kern w:val="0"/>
          <w:sz w:val="32"/>
          <w:szCs w:val="32"/>
        </w:rPr>
      </w:pPr>
      <w:r>
        <w:rPr>
          <w:rFonts w:hint="eastAsia" w:ascii="宋体" w:hAnsi="宋体" w:cs="宋体"/>
          <w:b/>
          <w:kern w:val="0"/>
          <w:sz w:val="32"/>
          <w:szCs w:val="32"/>
          <w:lang w:val="en-US" w:eastAsia="zh-CN"/>
        </w:rPr>
        <w:t>四</w:t>
      </w:r>
      <w:r>
        <w:rPr>
          <w:rFonts w:hint="eastAsia" w:ascii="宋体" w:hAnsi="宋体" w:eastAsia="宋体" w:cs="宋体"/>
          <w:b/>
          <w:kern w:val="0"/>
          <w:sz w:val="32"/>
          <w:szCs w:val="32"/>
        </w:rPr>
        <w:t>、本项目的特定资格要求</w:t>
      </w:r>
    </w:p>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eastAsia="zh-CN"/>
        </w:rPr>
        <w:t>竞争性磋商公告</w:t>
      </w:r>
      <w:r>
        <w:rPr>
          <w:rFonts w:hint="eastAsia" w:ascii="宋体" w:hAnsi="宋体" w:eastAsia="宋体" w:cs="宋体"/>
          <w:sz w:val="21"/>
          <w:szCs w:val="21"/>
        </w:rPr>
        <w:t>本项目的特定资格要求提供相应的材料；未要求的，无需提供）</w:t>
      </w:r>
    </w:p>
    <w:p>
      <w:pPr>
        <w:pStyle w:val="6"/>
        <w:rPr>
          <w:rFonts w:hint="eastAsia" w:ascii="宋体" w:hAnsi="宋体" w:eastAsia="宋体" w:cs="宋体"/>
          <w:color w:val="auto"/>
        </w:rPr>
      </w:pPr>
    </w:p>
    <w:p>
      <w:pPr>
        <w:widowControl/>
        <w:spacing w:line="360" w:lineRule="auto"/>
        <w:ind w:left="150"/>
        <w:jc w:val="center"/>
        <w:rPr>
          <w:rFonts w:hint="eastAsia" w:ascii="宋体" w:hAnsi="宋体" w:eastAsia="宋体" w:cs="宋体"/>
          <w:b/>
          <w:color w:val="auto"/>
          <w:kern w:val="0"/>
          <w:sz w:val="32"/>
          <w:szCs w:val="32"/>
          <w:lang w:val="en-US" w:eastAsia="zh-CN"/>
        </w:rPr>
      </w:pPr>
      <w:r>
        <w:rPr>
          <w:rFonts w:hint="eastAsia" w:ascii="宋体" w:hAnsi="宋体" w:cs="宋体"/>
          <w:b/>
          <w:color w:val="auto"/>
          <w:kern w:val="0"/>
          <w:sz w:val="32"/>
          <w:szCs w:val="32"/>
          <w:lang w:val="en-US" w:eastAsia="zh-CN"/>
        </w:rPr>
        <w:t>五</w:t>
      </w:r>
      <w:r>
        <w:rPr>
          <w:rFonts w:hint="eastAsia" w:ascii="宋体" w:hAnsi="宋体" w:eastAsia="宋体" w:cs="宋体"/>
          <w:b/>
          <w:color w:val="auto"/>
          <w:kern w:val="0"/>
          <w:sz w:val="32"/>
          <w:szCs w:val="32"/>
        </w:rPr>
        <w:t>、</w:t>
      </w:r>
      <w:r>
        <w:rPr>
          <w:rFonts w:hint="eastAsia" w:ascii="宋体" w:hAnsi="宋体" w:eastAsia="宋体" w:cs="宋体"/>
          <w:b/>
          <w:color w:val="auto"/>
          <w:kern w:val="0"/>
          <w:sz w:val="32"/>
          <w:szCs w:val="32"/>
          <w:lang w:val="en-US" w:eastAsia="zh-CN"/>
        </w:rPr>
        <w:t>联合协议（如果有）</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[以联合体形式投标的，提供联合协议（附件</w:t>
      </w:r>
      <w:r>
        <w:rPr>
          <w:rFonts w:hint="eastAsia" w:ascii="宋体" w:hAnsi="宋体" w:eastAsia="宋体" w:cs="宋体"/>
          <w:sz w:val="21"/>
          <w:szCs w:val="21"/>
          <w:lang w:eastAsia="zh-CN"/>
        </w:rPr>
        <w:t>6</w:t>
      </w:r>
      <w:r>
        <w:rPr>
          <w:rFonts w:hint="eastAsia" w:ascii="宋体" w:hAnsi="宋体" w:eastAsia="宋体" w:cs="宋体"/>
          <w:sz w:val="21"/>
          <w:szCs w:val="21"/>
        </w:rPr>
        <w:t>）；本项目不接受联合体投标或者</w:t>
      </w:r>
      <w:r>
        <w:rPr>
          <w:rFonts w:hint="eastAsia" w:ascii="宋体" w:hAnsi="宋体" w:eastAsia="宋体" w:cs="宋体"/>
          <w:sz w:val="21"/>
          <w:szCs w:val="21"/>
          <w:lang w:eastAsia="zh-CN"/>
        </w:rPr>
        <w:t>磋商供应商</w:t>
      </w:r>
      <w:r>
        <w:rPr>
          <w:rFonts w:hint="eastAsia" w:ascii="宋体" w:hAnsi="宋体" w:eastAsia="宋体" w:cs="宋体"/>
          <w:sz w:val="21"/>
          <w:szCs w:val="21"/>
        </w:rPr>
        <w:t>不以联合体形式投标的，则不需要提供]</w:t>
      </w:r>
    </w:p>
    <w:p>
      <w:pPr>
        <w:spacing w:line="360" w:lineRule="auto"/>
        <w:ind w:right="420" w:firstLine="0" w:firstLineChars="0"/>
        <w:jc w:val="center"/>
        <w:rPr>
          <w:rFonts w:hint="eastAsia" w:ascii="宋体" w:hAnsi="宋体" w:eastAsia="宋体" w:cs="宋体"/>
          <w:b/>
          <w:kern w:val="0"/>
          <w:sz w:val="36"/>
          <w:szCs w:val="36"/>
        </w:rPr>
      </w:pPr>
    </w:p>
    <w:p>
      <w:pPr>
        <w:spacing w:line="360" w:lineRule="auto"/>
        <w:ind w:right="420" w:firstLine="0" w:firstLineChars="0"/>
        <w:jc w:val="center"/>
        <w:rPr>
          <w:rFonts w:hint="eastAsia" w:ascii="宋体" w:hAnsi="宋体" w:eastAsia="宋体" w:cs="宋体"/>
          <w:b/>
          <w:kern w:val="0"/>
          <w:sz w:val="36"/>
          <w:szCs w:val="36"/>
        </w:rPr>
      </w:pPr>
    </w:p>
    <w:p>
      <w:pPr>
        <w:spacing w:line="360" w:lineRule="auto"/>
        <w:ind w:right="420" w:firstLine="0" w:firstLineChars="0"/>
        <w:jc w:val="center"/>
        <w:rPr>
          <w:rFonts w:hint="eastAsia" w:ascii="宋体" w:hAnsi="宋体" w:eastAsia="宋体" w:cs="宋体"/>
          <w:b/>
          <w:kern w:val="0"/>
          <w:sz w:val="36"/>
          <w:szCs w:val="36"/>
        </w:rPr>
      </w:pPr>
      <w:r>
        <w:rPr>
          <w:rFonts w:hint="eastAsia" w:ascii="宋体" w:hAnsi="宋体" w:eastAsia="宋体" w:cs="宋体"/>
          <w:b/>
          <w:kern w:val="0"/>
          <w:sz w:val="36"/>
          <w:szCs w:val="36"/>
        </w:rPr>
        <w:br w:type="page"/>
      </w:r>
      <w:r>
        <w:rPr>
          <w:rFonts w:hint="eastAsia" w:ascii="宋体" w:hAnsi="宋体" w:eastAsia="宋体" w:cs="宋体"/>
          <w:b/>
          <w:kern w:val="0"/>
          <w:sz w:val="36"/>
          <w:szCs w:val="36"/>
        </w:rPr>
        <w:t>商务技术文件部分</w:t>
      </w:r>
    </w:p>
    <w:p>
      <w:pPr>
        <w:spacing w:line="360" w:lineRule="auto"/>
        <w:jc w:val="center"/>
        <w:outlineLvl w:val="0"/>
        <w:rPr>
          <w:rFonts w:hint="eastAsia" w:ascii="宋体" w:hAnsi="宋体" w:eastAsia="宋体" w:cs="宋体"/>
          <w:b/>
          <w:kern w:val="0"/>
          <w:sz w:val="24"/>
        </w:rPr>
      </w:pPr>
    </w:p>
    <w:p>
      <w:pPr>
        <w:spacing w:line="360" w:lineRule="auto"/>
        <w:jc w:val="center"/>
        <w:outlineLvl w:val="0"/>
        <w:rPr>
          <w:rFonts w:hint="eastAsia" w:ascii="宋体" w:hAnsi="宋体" w:eastAsia="宋体" w:cs="宋体"/>
          <w:b/>
          <w:kern w:val="0"/>
          <w:sz w:val="28"/>
          <w:szCs w:val="28"/>
        </w:rPr>
      </w:pPr>
      <w:bookmarkStart w:id="855" w:name="_Toc20044"/>
      <w:bookmarkStart w:id="856" w:name="_Toc12469"/>
      <w:bookmarkStart w:id="857" w:name="_Toc1573"/>
      <w:r>
        <w:rPr>
          <w:rFonts w:hint="eastAsia" w:ascii="宋体" w:hAnsi="宋体" w:eastAsia="宋体" w:cs="宋体"/>
          <w:b/>
          <w:kern w:val="0"/>
          <w:sz w:val="28"/>
          <w:szCs w:val="28"/>
        </w:rPr>
        <w:t>目录</w:t>
      </w:r>
      <w:bookmarkEnd w:id="855"/>
      <w:bookmarkEnd w:id="856"/>
      <w:bookmarkEnd w:id="857"/>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（1）投标函…………………………………………………………………………………（页码）（2）授权委托书或法定代表人（单位负责人、自然人本人）身份证明………………（页码）</w:t>
      </w:r>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（3）分包意向协议</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如有</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………………………………………………………………（页码）</w:t>
      </w:r>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rPr>
        <w:t>）符合性审查资料………………………………………………………………………（页码）</w:t>
      </w:r>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）评标标准相应的商务技术资料………………………………………………………（页码）</w:t>
      </w:r>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）商务技术偏离表………………………………………………………………………（页码）</w:t>
      </w:r>
    </w:p>
    <w:p>
      <w:pPr>
        <w:snapToGrid w:val="0"/>
        <w:spacing w:line="360" w:lineRule="auto"/>
        <w:ind w:left="479" w:leftChars="228"/>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val="zh-CN"/>
        </w:rPr>
        <w:t>）政府采购供应商廉洁自律承诺书</w:t>
      </w:r>
      <w:r>
        <w:rPr>
          <w:rFonts w:hint="eastAsia" w:ascii="宋体" w:hAnsi="宋体" w:eastAsia="宋体" w:cs="宋体"/>
          <w:sz w:val="21"/>
          <w:szCs w:val="21"/>
          <w:highlight w:val="none"/>
        </w:rPr>
        <w:t>……………………………………………………（页码）</w:t>
      </w: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pStyle w:val="21"/>
        <w:rPr>
          <w:rFonts w:hint="eastAsia"/>
          <w:lang w:val="zh-CN"/>
        </w:rPr>
      </w:pPr>
    </w:p>
    <w:p>
      <w:pPr>
        <w:pStyle w:val="17"/>
        <w:rPr>
          <w:rFonts w:hint="eastAsia"/>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rPr>
          <w:rFonts w:hint="eastAsia" w:ascii="宋体" w:hAnsi="宋体" w:eastAsia="宋体" w:cs="宋体"/>
          <w:b/>
          <w:kern w:val="0"/>
          <w:sz w:val="32"/>
          <w:szCs w:val="32"/>
          <w:lang w:val="zh-CN"/>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rPr>
          <w:rFonts w:hint="eastAsia" w:ascii="宋体" w:hAnsi="宋体" w:eastAsia="宋体" w:cs="宋体"/>
        </w:rPr>
      </w:pPr>
    </w:p>
    <w:p>
      <w:pPr>
        <w:pStyle w:val="6"/>
        <w:rPr>
          <w:rFonts w:hint="eastAsia" w:ascii="宋体" w:hAnsi="宋体" w:eastAsia="宋体" w:cs="宋体"/>
        </w:rPr>
      </w:pPr>
    </w:p>
    <w:p>
      <w:pPr>
        <w:rPr>
          <w:rFonts w:hint="eastAsia" w:ascii="宋体" w:hAnsi="宋体" w:eastAsia="宋体" w:cs="宋体"/>
        </w:rPr>
      </w:pPr>
    </w:p>
    <w:p>
      <w:pPr>
        <w:pStyle w:val="6"/>
        <w:rPr>
          <w:rFonts w:hint="eastAsia" w:ascii="宋体" w:hAnsi="宋体" w:eastAsia="宋体" w:cs="宋体"/>
        </w:rPr>
      </w:pPr>
    </w:p>
    <w:p>
      <w:pPr>
        <w:rPr>
          <w:rFonts w:hint="eastAsia" w:ascii="宋体" w:hAnsi="宋体" w:eastAsia="宋体" w:cs="宋体"/>
        </w:rPr>
      </w:pPr>
    </w:p>
    <w:p>
      <w:pPr>
        <w:pStyle w:val="6"/>
        <w:rPr>
          <w:rFonts w:hint="eastAsia" w:ascii="宋体" w:hAnsi="宋体" w:eastAsia="宋体" w:cs="宋体"/>
        </w:rPr>
      </w:pPr>
    </w:p>
    <w:p>
      <w:pPr>
        <w:rPr>
          <w:rFonts w:hint="eastAsia" w:ascii="宋体" w:hAnsi="宋体" w:eastAsia="宋体" w:cs="宋体"/>
        </w:rPr>
      </w:pPr>
    </w:p>
    <w:p>
      <w:pPr>
        <w:snapToGrid w:val="0"/>
        <w:spacing w:line="360" w:lineRule="auto"/>
        <w:jc w:val="center"/>
        <w:outlineLvl w:val="0"/>
        <w:rPr>
          <w:rFonts w:hint="eastAsia" w:ascii="宋体" w:hAnsi="宋体" w:eastAsia="宋体" w:cs="宋体"/>
          <w:b/>
          <w:kern w:val="0"/>
          <w:sz w:val="32"/>
          <w:szCs w:val="32"/>
        </w:rPr>
      </w:pPr>
    </w:p>
    <w:p>
      <w:pPr>
        <w:snapToGrid w:val="0"/>
        <w:spacing w:line="360" w:lineRule="auto"/>
        <w:jc w:val="center"/>
        <w:outlineLvl w:val="0"/>
        <w:rPr>
          <w:rFonts w:hint="eastAsia" w:ascii="宋体" w:hAnsi="宋体" w:eastAsia="宋体" w:cs="宋体"/>
          <w:b/>
          <w:kern w:val="0"/>
          <w:sz w:val="32"/>
          <w:szCs w:val="32"/>
        </w:rPr>
      </w:pPr>
    </w:p>
    <w:p>
      <w:pPr>
        <w:pStyle w:val="21"/>
        <w:rPr>
          <w:rFonts w:hint="eastAsia"/>
        </w:rPr>
      </w:pPr>
    </w:p>
    <w:p>
      <w:pPr>
        <w:snapToGrid w:val="0"/>
        <w:spacing w:line="360" w:lineRule="auto"/>
        <w:jc w:val="center"/>
        <w:outlineLvl w:val="0"/>
        <w:rPr>
          <w:rFonts w:hint="eastAsia" w:ascii="宋体" w:hAnsi="宋体" w:eastAsia="宋体" w:cs="宋体"/>
          <w:b/>
          <w:sz w:val="32"/>
          <w:szCs w:val="32"/>
        </w:rPr>
      </w:pPr>
      <w:bookmarkStart w:id="858" w:name="_Toc12199"/>
      <w:bookmarkStart w:id="859" w:name="_Toc10469"/>
      <w:bookmarkStart w:id="860" w:name="_Toc30424"/>
      <w:r>
        <w:rPr>
          <w:rFonts w:hint="eastAsia" w:ascii="宋体" w:hAnsi="宋体" w:eastAsia="宋体" w:cs="宋体"/>
          <w:b/>
          <w:kern w:val="0"/>
          <w:sz w:val="32"/>
          <w:szCs w:val="32"/>
        </w:rPr>
        <w:br w:type="page"/>
      </w:r>
      <w:r>
        <w:rPr>
          <w:rFonts w:hint="eastAsia" w:ascii="宋体" w:hAnsi="宋体" w:eastAsia="宋体" w:cs="宋体"/>
          <w:b/>
          <w:kern w:val="0"/>
          <w:sz w:val="32"/>
          <w:szCs w:val="32"/>
        </w:rPr>
        <w:t>一、投标</w:t>
      </w:r>
      <w:r>
        <w:rPr>
          <w:rFonts w:hint="eastAsia" w:ascii="宋体" w:hAnsi="宋体" w:eastAsia="宋体" w:cs="宋体"/>
          <w:b/>
          <w:sz w:val="32"/>
          <w:szCs w:val="32"/>
        </w:rPr>
        <w:t>函</w:t>
      </w:r>
      <w:bookmarkEnd w:id="858"/>
      <w:bookmarkEnd w:id="859"/>
      <w:bookmarkEnd w:id="860"/>
    </w:p>
    <w:p>
      <w:pPr>
        <w:keepNext w:val="0"/>
        <w:keepLines w:val="0"/>
        <w:pageBreakBefore w:val="0"/>
        <w:widowControl w:val="0"/>
        <w:kinsoku/>
        <w:wordWrap/>
        <w:overflowPunct/>
        <w:topLinePunct w:val="0"/>
        <w:autoSpaceDE/>
        <w:autoSpaceDN/>
        <w:bidi w:val="0"/>
        <w:adjustRightInd w:val="0"/>
        <w:snapToGrid w:val="0"/>
        <w:spacing w:line="360" w:lineRule="atLeast"/>
        <w:textAlignment w:val="auto"/>
        <w:outlineLvl w:val="9"/>
        <w:rPr>
          <w:rFonts w:hint="eastAsia" w:ascii="宋体" w:hAnsi="宋体" w:eastAsia="宋体" w:cs="宋体"/>
          <w:sz w:val="21"/>
          <w:szCs w:val="21"/>
        </w:rPr>
      </w:pPr>
      <w:r>
        <w:rPr>
          <w:rFonts w:hint="eastAsia" w:ascii="宋体" w:hAnsi="宋体" w:eastAsia="宋体" w:cs="宋体"/>
          <w:sz w:val="21"/>
          <w:szCs w:val="21"/>
        </w:rPr>
        <w:t>（采购人）、（采购代理机构）：</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我方参加你方组织的</w:t>
      </w:r>
      <w:r>
        <w:rPr>
          <w:rFonts w:hint="eastAsia" w:ascii="宋体" w:hAnsi="宋体" w:eastAsia="宋体" w:cs="宋体"/>
          <w:sz w:val="21"/>
          <w:szCs w:val="21"/>
          <w:u w:val="single"/>
        </w:rPr>
        <w:t>（项目名称）【</w:t>
      </w:r>
      <w:r>
        <w:rPr>
          <w:rFonts w:hint="eastAsia" w:ascii="宋体" w:hAnsi="宋体" w:eastAsia="宋体" w:cs="宋体"/>
          <w:sz w:val="21"/>
          <w:szCs w:val="21"/>
          <w:u w:val="single"/>
          <w:lang w:eastAsia="zh-CN"/>
        </w:rPr>
        <w:t>项目</w:t>
      </w:r>
      <w:r>
        <w:rPr>
          <w:rFonts w:hint="eastAsia" w:ascii="宋体" w:hAnsi="宋体" w:eastAsia="宋体" w:cs="宋体"/>
          <w:sz w:val="21"/>
          <w:szCs w:val="21"/>
          <w:u w:val="single"/>
        </w:rPr>
        <w:t>编号：（采购编号）】</w:t>
      </w:r>
      <w:r>
        <w:rPr>
          <w:rFonts w:hint="eastAsia" w:ascii="宋体" w:hAnsi="宋体" w:eastAsia="宋体" w:cs="宋体"/>
          <w:sz w:val="21"/>
          <w:szCs w:val="21"/>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1、我方承诺投标有效期从提交</w:t>
      </w:r>
      <w:r>
        <w:rPr>
          <w:rFonts w:hint="eastAsia" w:ascii="宋体" w:hAnsi="宋体" w:eastAsia="宋体" w:cs="宋体"/>
          <w:sz w:val="21"/>
          <w:szCs w:val="21"/>
          <w:lang w:eastAsia="zh-CN"/>
        </w:rPr>
        <w:t>磋商响应文件</w:t>
      </w:r>
      <w:r>
        <w:rPr>
          <w:rFonts w:hint="eastAsia" w:ascii="宋体" w:hAnsi="宋体" w:eastAsia="宋体" w:cs="宋体"/>
          <w:sz w:val="21"/>
          <w:szCs w:val="21"/>
        </w:rPr>
        <w:t>的截止之日起</w:t>
      </w:r>
      <w:r>
        <w:rPr>
          <w:rFonts w:hint="eastAsia" w:ascii="宋体" w:hAnsi="宋体" w:eastAsia="宋体" w:cs="宋体"/>
          <w:sz w:val="21"/>
          <w:szCs w:val="21"/>
          <w:u w:val="single"/>
        </w:rPr>
        <w:t xml:space="preserve">     </w:t>
      </w:r>
      <w:r>
        <w:rPr>
          <w:rFonts w:hint="eastAsia" w:ascii="宋体" w:hAnsi="宋体" w:eastAsia="宋体" w:cs="宋体"/>
          <w:sz w:val="21"/>
          <w:szCs w:val="21"/>
          <w:lang w:eastAsia="zh-CN"/>
        </w:rPr>
        <w:t>日</w:t>
      </w:r>
      <w:r>
        <w:rPr>
          <w:rFonts w:hint="eastAsia" w:ascii="宋体" w:hAnsi="宋体" w:eastAsia="宋体" w:cs="宋体"/>
          <w:sz w:val="21"/>
          <w:szCs w:val="21"/>
        </w:rPr>
        <w:t>，本</w:t>
      </w:r>
      <w:r>
        <w:rPr>
          <w:rFonts w:hint="eastAsia" w:ascii="宋体" w:hAnsi="宋体" w:eastAsia="宋体" w:cs="宋体"/>
          <w:sz w:val="21"/>
          <w:szCs w:val="21"/>
          <w:lang w:eastAsia="zh-CN"/>
        </w:rPr>
        <w:t>磋商响应文件</w:t>
      </w:r>
      <w:r>
        <w:rPr>
          <w:rFonts w:hint="eastAsia" w:ascii="宋体" w:hAnsi="宋体" w:eastAsia="宋体" w:cs="宋体"/>
          <w:sz w:val="21"/>
          <w:szCs w:val="21"/>
        </w:rPr>
        <w:t>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2、我方的</w:t>
      </w:r>
      <w:r>
        <w:rPr>
          <w:rFonts w:hint="eastAsia" w:ascii="宋体" w:hAnsi="宋体" w:eastAsia="宋体" w:cs="宋体"/>
          <w:sz w:val="21"/>
          <w:szCs w:val="21"/>
          <w:lang w:eastAsia="zh-CN"/>
        </w:rPr>
        <w:t>磋商响应文件</w:t>
      </w:r>
      <w:r>
        <w:rPr>
          <w:rFonts w:hint="eastAsia" w:ascii="宋体" w:hAnsi="宋体" w:eastAsia="宋体" w:cs="宋体"/>
          <w:sz w:val="21"/>
          <w:szCs w:val="21"/>
        </w:rPr>
        <w:t>包括以下内容：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2.1</w:t>
      </w:r>
      <w:r>
        <w:rPr>
          <w:rFonts w:hint="eastAsia" w:ascii="宋体" w:hAnsi="宋体" w:eastAsia="宋体" w:cs="宋体"/>
          <w:sz w:val="21"/>
          <w:szCs w:val="21"/>
          <w:highlight w:val="none"/>
        </w:rPr>
        <w:t>资格文件：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2.1.1</w:t>
      </w:r>
      <w:r>
        <w:rPr>
          <w:rFonts w:hint="eastAsia" w:ascii="宋体" w:hAnsi="宋体" w:eastAsia="宋体" w:cs="宋体"/>
          <w:sz w:val="21"/>
          <w:szCs w:val="21"/>
          <w:highlight w:val="none"/>
        </w:rPr>
        <w:t>承诺函；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2.1.2</w:t>
      </w:r>
      <w:r>
        <w:rPr>
          <w:rFonts w:hint="eastAsia" w:ascii="宋体" w:hAnsi="宋体" w:eastAsia="宋体" w:cs="宋体"/>
          <w:sz w:val="21"/>
          <w:szCs w:val="21"/>
          <w:highlight w:val="none"/>
        </w:rPr>
        <w:t>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lang w:eastAsia="zh-CN"/>
        </w:rPr>
      </w:pPr>
      <w:r>
        <w:rPr>
          <w:rFonts w:hint="default" w:ascii="宋体" w:hAnsi="宋体" w:eastAsia="宋体" w:cs="宋体"/>
          <w:kern w:val="2"/>
          <w:sz w:val="21"/>
          <w:szCs w:val="21"/>
          <w:lang w:val="en-US" w:eastAsia="zh-CN" w:bidi="ar-SA"/>
        </w:rPr>
        <w:t>2.1.3</w:t>
      </w:r>
      <w:r>
        <w:rPr>
          <w:rFonts w:hint="eastAsia" w:ascii="宋体" w:hAnsi="宋体" w:eastAsia="宋体" w:cs="宋体"/>
          <w:sz w:val="21"/>
          <w:szCs w:val="21"/>
          <w:highlight w:val="none"/>
        </w:rPr>
        <w:t>中小企业声明函</w:t>
      </w:r>
      <w:r>
        <w:rPr>
          <w:rFonts w:hint="eastAsia" w:ascii="宋体" w:hAnsi="宋体" w:eastAsia="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lang w:val="en-US" w:eastAsia="zh-CN"/>
        </w:rPr>
      </w:pPr>
      <w:r>
        <w:rPr>
          <w:rFonts w:hint="default" w:ascii="宋体" w:hAnsi="宋体" w:eastAsia="宋体" w:cs="宋体"/>
          <w:kern w:val="2"/>
          <w:sz w:val="21"/>
          <w:szCs w:val="21"/>
          <w:highlight w:val="none"/>
          <w:lang w:val="en-US" w:eastAsia="zh-CN" w:bidi="ar-SA"/>
        </w:rPr>
        <w:t>2.1.4</w:t>
      </w:r>
      <w:r>
        <w:rPr>
          <w:rFonts w:hint="eastAsia" w:ascii="宋体" w:hAnsi="宋体" w:eastAsia="宋体" w:cs="宋体"/>
          <w:sz w:val="21"/>
          <w:szCs w:val="21"/>
          <w:highlight w:val="none"/>
        </w:rPr>
        <w:t>本项目的特定资格要求</w:t>
      </w:r>
      <w:r>
        <w:rPr>
          <w:rFonts w:hint="eastAsia" w:ascii="宋体" w:hAnsi="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lang w:val="en-US" w:eastAsia="zh-CN"/>
        </w:rPr>
      </w:pPr>
      <w:r>
        <w:rPr>
          <w:rFonts w:hint="default" w:ascii="宋体" w:hAnsi="宋体" w:eastAsia="宋体" w:cs="宋体"/>
          <w:kern w:val="2"/>
          <w:sz w:val="21"/>
          <w:szCs w:val="21"/>
          <w:highlight w:val="none"/>
          <w:lang w:val="en-US" w:eastAsia="zh-CN" w:bidi="ar-SA"/>
        </w:rPr>
        <w:t>2.1.5</w:t>
      </w:r>
      <w:r>
        <w:rPr>
          <w:rFonts w:hint="eastAsia" w:ascii="宋体" w:hAnsi="宋体" w:eastAsia="宋体" w:cs="宋体"/>
          <w:sz w:val="21"/>
          <w:szCs w:val="21"/>
          <w:highlight w:val="none"/>
        </w:rPr>
        <w:t>联合协议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如有</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sz w:val="21"/>
          <w:szCs w:val="21"/>
          <w:highlight w:val="none"/>
          <w:lang w:val="zh-CN"/>
        </w:rPr>
      </w:pPr>
      <w:r>
        <w:rPr>
          <w:rFonts w:hint="default" w:ascii="宋体" w:hAnsi="宋体" w:eastAsia="宋体" w:cs="宋体"/>
          <w:kern w:val="2"/>
          <w:sz w:val="21"/>
          <w:szCs w:val="21"/>
          <w:highlight w:val="none"/>
          <w:lang w:val="zh-CN" w:eastAsia="zh-CN" w:bidi="ar-SA"/>
        </w:rPr>
        <w:t>2.2</w:t>
      </w:r>
      <w:r>
        <w:rPr>
          <w:rFonts w:hint="eastAsia" w:ascii="宋体" w:hAnsi="宋体" w:eastAsia="宋体" w:cs="宋体"/>
          <w:sz w:val="21"/>
          <w:szCs w:val="21"/>
          <w:highlight w:val="none"/>
        </w:rPr>
        <w:t>商务技术</w:t>
      </w:r>
      <w:r>
        <w:rPr>
          <w:rFonts w:hint="eastAsia" w:ascii="宋体" w:hAnsi="宋体" w:eastAsia="宋体" w:cs="宋体"/>
          <w:sz w:val="21"/>
          <w:szCs w:val="21"/>
          <w:highlight w:val="none"/>
          <w:lang w:val="zh-CN"/>
        </w:rPr>
        <w:t>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2.2.1</w:t>
      </w:r>
      <w:r>
        <w:rPr>
          <w:rFonts w:hint="eastAsia" w:ascii="宋体" w:hAnsi="宋体" w:eastAsia="宋体" w:cs="宋体"/>
          <w:sz w:val="21"/>
          <w:szCs w:val="21"/>
          <w:highlight w:val="none"/>
        </w:rPr>
        <w:t>投标函；</w:t>
      </w:r>
      <w:r>
        <w:rPr>
          <w:rFonts w:hint="eastAsia" w:ascii="宋体" w:hAnsi="宋体" w:eastAsia="宋体" w:cs="宋体"/>
          <w:sz w:val="21"/>
          <w:szCs w:val="21"/>
          <w:highlight w:val="none"/>
          <w:lang w:val="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2.2.2</w:t>
      </w:r>
      <w:r>
        <w:rPr>
          <w:rFonts w:hint="eastAsia" w:ascii="宋体" w:hAnsi="宋体" w:eastAsia="宋体" w:cs="宋体"/>
          <w:sz w:val="21"/>
          <w:szCs w:val="21"/>
          <w:highlight w:val="none"/>
        </w:rPr>
        <w:t>授权委托书或法定代表人（单位负责人）身份证明；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lang w:eastAsia="zh-CN"/>
        </w:rPr>
      </w:pPr>
      <w:r>
        <w:rPr>
          <w:rFonts w:hint="default" w:ascii="宋体" w:hAnsi="宋体" w:eastAsia="宋体" w:cs="宋体"/>
          <w:kern w:val="2"/>
          <w:sz w:val="21"/>
          <w:szCs w:val="21"/>
          <w:highlight w:val="none"/>
          <w:lang w:val="en-US" w:eastAsia="zh-CN" w:bidi="ar-SA"/>
        </w:rPr>
        <w:t>2.2.3</w:t>
      </w:r>
      <w:r>
        <w:rPr>
          <w:rFonts w:hint="eastAsia" w:ascii="宋体" w:hAnsi="宋体" w:eastAsia="宋体" w:cs="宋体"/>
          <w:sz w:val="21"/>
          <w:szCs w:val="21"/>
          <w:highlight w:val="none"/>
        </w:rPr>
        <w:t>分包意向协议</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如有</w:t>
      </w:r>
      <w:r>
        <w:rPr>
          <w:rFonts w:hint="eastAsia" w:ascii="宋体" w:hAnsi="宋体" w:cs="宋体"/>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yellow"/>
        </w:rPr>
      </w:pPr>
      <w:r>
        <w:rPr>
          <w:rFonts w:hint="default" w:ascii="宋体" w:hAnsi="宋体" w:eastAsia="宋体" w:cs="宋体"/>
          <w:kern w:val="2"/>
          <w:sz w:val="21"/>
          <w:szCs w:val="21"/>
          <w:highlight w:val="none"/>
          <w:lang w:val="en-US" w:eastAsia="zh-CN" w:bidi="ar-SA"/>
        </w:rPr>
        <w:t>2.2.4</w:t>
      </w:r>
      <w:r>
        <w:rPr>
          <w:rFonts w:hint="eastAsia" w:ascii="宋体" w:hAnsi="宋体" w:eastAsia="宋体" w:cs="宋体"/>
          <w:sz w:val="21"/>
          <w:szCs w:val="21"/>
          <w:highlight w:val="none"/>
        </w:rPr>
        <w:t>符合性审查资料；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2.2.5</w:t>
      </w:r>
      <w:r>
        <w:rPr>
          <w:rFonts w:hint="eastAsia" w:ascii="宋体" w:hAnsi="宋体" w:eastAsia="宋体" w:cs="宋体"/>
          <w:sz w:val="21"/>
          <w:szCs w:val="21"/>
          <w:highlight w:val="none"/>
        </w:rPr>
        <w:t>评标标准相应的商务技术资料；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2.2.6</w:t>
      </w:r>
      <w:r>
        <w:rPr>
          <w:rFonts w:hint="eastAsia" w:ascii="宋体" w:hAnsi="宋体" w:eastAsia="宋体" w:cs="宋体"/>
          <w:sz w:val="21"/>
          <w:szCs w:val="21"/>
          <w:highlight w:val="none"/>
        </w:rPr>
        <w:t>商务技术偏离表；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lang w:val="zh-CN"/>
        </w:rPr>
      </w:pPr>
      <w:r>
        <w:rPr>
          <w:rFonts w:hint="default" w:ascii="宋体" w:hAnsi="宋体" w:eastAsia="宋体" w:cs="宋体"/>
          <w:kern w:val="2"/>
          <w:sz w:val="21"/>
          <w:szCs w:val="21"/>
          <w:lang w:val="zh-CN" w:eastAsia="zh-CN" w:bidi="ar-SA"/>
        </w:rPr>
        <w:t>2.2.7</w:t>
      </w:r>
      <w:r>
        <w:rPr>
          <w:rFonts w:hint="eastAsia" w:ascii="宋体" w:hAnsi="宋体" w:eastAsia="宋体" w:cs="宋体"/>
          <w:sz w:val="21"/>
          <w:szCs w:val="21"/>
          <w:highlight w:val="none"/>
          <w:lang w:val="zh-CN"/>
        </w:rPr>
        <w:t>政府采购供应商廉洁自律承诺书</w:t>
      </w:r>
      <w:r>
        <w:rPr>
          <w:rFonts w:hint="eastAsia" w:ascii="宋体" w:hAnsi="宋体" w:cs="宋体"/>
          <w:sz w:val="21"/>
          <w:szCs w:val="21"/>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2.3</w:t>
      </w:r>
      <w:r>
        <w:rPr>
          <w:rFonts w:hint="eastAsia" w:ascii="宋体" w:hAnsi="宋体" w:eastAsia="宋体" w:cs="宋体"/>
          <w:sz w:val="21"/>
          <w:szCs w:val="21"/>
          <w:highlight w:val="none"/>
        </w:rPr>
        <w:t>报价文件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2.3.1</w:t>
      </w:r>
      <w:r>
        <w:rPr>
          <w:rFonts w:hint="eastAsia" w:ascii="宋体" w:hAnsi="宋体" w:eastAsia="宋体" w:cs="宋体"/>
          <w:sz w:val="21"/>
          <w:szCs w:val="21"/>
          <w:highlight w:val="none"/>
        </w:rPr>
        <w:t>开标一览表（报价表）；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2.3.2</w:t>
      </w:r>
      <w:r>
        <w:rPr>
          <w:rFonts w:hint="eastAsia" w:ascii="宋体" w:hAnsi="宋体" w:cs="宋体"/>
          <w:sz w:val="21"/>
          <w:szCs w:val="21"/>
          <w:highlight w:val="none"/>
          <w:lang w:val="en-US" w:eastAsia="zh-CN"/>
        </w:rPr>
        <w:t>已标价工程量清单</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3、我方承诺除商务技术偏离表列出的偏离外，我方响应</w:t>
      </w:r>
      <w:r>
        <w:rPr>
          <w:rFonts w:hint="eastAsia" w:ascii="宋体" w:hAnsi="宋体" w:eastAsia="宋体" w:cs="宋体"/>
          <w:sz w:val="21"/>
          <w:szCs w:val="21"/>
          <w:lang w:eastAsia="zh-CN"/>
        </w:rPr>
        <w:t>磋商文件</w:t>
      </w:r>
      <w:r>
        <w:rPr>
          <w:rFonts w:hint="eastAsia" w:ascii="宋体" w:hAnsi="宋体" w:eastAsia="宋体" w:cs="宋体"/>
          <w:sz w:val="21"/>
          <w:szCs w:val="21"/>
        </w:rPr>
        <w:t>的全部要求。</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4.1在收到</w:t>
      </w:r>
      <w:r>
        <w:rPr>
          <w:rFonts w:hint="eastAsia" w:ascii="宋体" w:hAnsi="宋体" w:eastAsia="宋体" w:cs="宋体"/>
          <w:sz w:val="21"/>
          <w:szCs w:val="21"/>
          <w:lang w:eastAsia="zh-CN"/>
        </w:rPr>
        <w:t>成交通知书</w:t>
      </w:r>
      <w:r>
        <w:rPr>
          <w:rFonts w:hint="eastAsia" w:ascii="宋体" w:hAnsi="宋体" w:eastAsia="宋体" w:cs="宋体"/>
          <w:sz w:val="21"/>
          <w:szCs w:val="21"/>
        </w:rPr>
        <w:t>后，在</w:t>
      </w:r>
      <w:r>
        <w:rPr>
          <w:rFonts w:hint="eastAsia" w:ascii="宋体" w:hAnsi="宋体" w:eastAsia="宋体" w:cs="宋体"/>
          <w:sz w:val="21"/>
          <w:szCs w:val="21"/>
          <w:lang w:eastAsia="zh-CN"/>
        </w:rPr>
        <w:t>成交通知书</w:t>
      </w:r>
      <w:r>
        <w:rPr>
          <w:rFonts w:hint="eastAsia" w:ascii="宋体" w:hAnsi="宋体" w:eastAsia="宋体" w:cs="宋体"/>
          <w:sz w:val="21"/>
          <w:szCs w:val="21"/>
        </w:rPr>
        <w:t xml:space="preserve">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4.3按照</w:t>
      </w:r>
      <w:r>
        <w:rPr>
          <w:rFonts w:hint="eastAsia" w:ascii="宋体" w:hAnsi="宋体" w:eastAsia="宋体" w:cs="宋体"/>
          <w:sz w:val="21"/>
          <w:szCs w:val="21"/>
          <w:lang w:eastAsia="zh-CN"/>
        </w:rPr>
        <w:t>磋商文件</w:t>
      </w:r>
      <w:r>
        <w:rPr>
          <w:rFonts w:hint="eastAsia" w:ascii="宋体" w:hAnsi="宋体" w:eastAsia="宋体" w:cs="宋体"/>
          <w:sz w:val="21"/>
          <w:szCs w:val="21"/>
        </w:rPr>
        <w:t xml:space="preserve">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5、其他补充说明:</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磋商供应商</w:t>
      </w:r>
      <w:r>
        <w:rPr>
          <w:rFonts w:hint="eastAsia" w:ascii="宋体" w:hAnsi="宋体" w:eastAsia="宋体" w:cs="宋体"/>
          <w:sz w:val="21"/>
          <w:szCs w:val="21"/>
        </w:rPr>
        <w:t xml:space="preserve">名称（电子签名）：                          </w:t>
      </w:r>
    </w:p>
    <w:p>
      <w:pPr>
        <w:keepNext w:val="0"/>
        <w:keepLines w:val="0"/>
        <w:pageBreakBefore w:val="0"/>
        <w:widowControl w:val="0"/>
        <w:kinsoku/>
        <w:wordWrap/>
        <w:overflowPunct/>
        <w:topLinePunct w:val="0"/>
        <w:autoSpaceDE/>
        <w:autoSpaceDN/>
        <w:bidi w:val="0"/>
        <w:adjustRightInd w:val="0"/>
        <w:spacing w:line="360" w:lineRule="atLeas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日期：  年   月   日</w:t>
      </w:r>
    </w:p>
    <w:p>
      <w:pPr>
        <w:keepNext w:val="0"/>
        <w:keepLines w:val="0"/>
        <w:pageBreakBefore w:val="0"/>
        <w:widowControl w:val="0"/>
        <w:kinsoku/>
        <w:wordWrap/>
        <w:overflowPunct/>
        <w:topLinePunct w:val="0"/>
        <w:autoSpaceDE/>
        <w:autoSpaceDN/>
        <w:bidi w:val="0"/>
        <w:adjustRightInd w:val="0"/>
        <w:spacing w:line="360" w:lineRule="atLeast"/>
        <w:textAlignment w:val="auto"/>
        <w:outlineLvl w:val="9"/>
        <w:rPr>
          <w:rFonts w:hint="eastAsia" w:ascii="宋体" w:hAnsi="宋体" w:eastAsia="宋体" w:cs="宋体"/>
          <w:sz w:val="21"/>
          <w:szCs w:val="21"/>
        </w:rPr>
      </w:pPr>
    </w:p>
    <w:p>
      <w:pPr>
        <w:pStyle w:val="6"/>
        <w:keepNext w:val="0"/>
        <w:keepLines w:val="0"/>
        <w:pageBreakBefore w:val="0"/>
        <w:widowControl w:val="0"/>
        <w:kinsoku/>
        <w:wordWrap/>
        <w:overflowPunct/>
        <w:topLinePunct w:val="0"/>
        <w:autoSpaceDE/>
        <w:autoSpaceDN/>
        <w:bidi w:val="0"/>
        <w:adjustRightInd w:val="0"/>
        <w:spacing w:line="360" w:lineRule="atLeast"/>
        <w:textAlignment w:val="auto"/>
        <w:outlineLvl w:val="9"/>
        <w:rPr>
          <w:rFonts w:hint="eastAsia" w:ascii="宋体" w:hAnsi="宋体" w:eastAsia="宋体" w:cs="宋体"/>
          <w:b/>
          <w:kern w:val="0"/>
          <w:sz w:val="21"/>
          <w:szCs w:val="21"/>
          <w:lang w:val="zh-CN"/>
        </w:rPr>
      </w:pPr>
      <w:r>
        <w:rPr>
          <w:rFonts w:hint="eastAsia" w:ascii="宋体" w:hAnsi="宋体" w:eastAsia="宋体" w:cs="宋体"/>
          <w:sz w:val="21"/>
          <w:szCs w:val="21"/>
          <w:lang w:val="en-US" w:eastAsia="zh-CN"/>
        </w:rPr>
        <w:t>注：按本格式和要求提供</w:t>
      </w:r>
    </w:p>
    <w:p>
      <w:pPr>
        <w:spacing w:line="240" w:lineRule="auto"/>
        <w:jc w:val="center"/>
        <w:rPr>
          <w:rFonts w:hint="eastAsia" w:ascii="宋体" w:hAnsi="宋体" w:eastAsia="宋体" w:cs="宋体"/>
        </w:rPr>
      </w:pPr>
      <w:r>
        <w:rPr>
          <w:rFonts w:hint="eastAsia" w:ascii="宋体" w:hAnsi="宋体" w:eastAsia="宋体" w:cs="宋体"/>
          <w:b/>
          <w:kern w:val="0"/>
          <w:sz w:val="32"/>
          <w:szCs w:val="32"/>
          <w:lang w:val="zh-CN"/>
        </w:rPr>
        <w:br w:type="page"/>
      </w:r>
      <w:r>
        <w:rPr>
          <w:rFonts w:hint="eastAsia" w:ascii="宋体" w:hAnsi="宋体" w:eastAsia="宋体" w:cs="宋体"/>
          <w:b/>
          <w:kern w:val="0"/>
          <w:sz w:val="30"/>
          <w:szCs w:val="30"/>
          <w:lang w:val="zh-CN"/>
        </w:rPr>
        <w:t>二、授权委托书或法定代表人（单位负责人、自然人本人）身份证明</w:t>
      </w:r>
    </w:p>
    <w:p>
      <w:pPr>
        <w:spacing w:line="240" w:lineRule="auto"/>
        <w:ind w:firstLine="0" w:firstLineChars="0"/>
        <w:jc w:val="center"/>
        <w:rPr>
          <w:rFonts w:hint="eastAsia" w:ascii="宋体" w:hAnsi="宋体" w:eastAsia="宋体" w:cs="宋体"/>
          <w:b/>
          <w:bCs/>
          <w:sz w:val="30"/>
          <w:szCs w:val="30"/>
        </w:rPr>
      </w:pPr>
      <w:r>
        <w:rPr>
          <w:rFonts w:hint="eastAsia" w:ascii="宋体" w:hAnsi="宋体" w:eastAsia="宋体" w:cs="宋体"/>
          <w:b/>
          <w:bCs/>
          <w:sz w:val="30"/>
          <w:szCs w:val="30"/>
        </w:rPr>
        <w:t>法定代表人授权书</w:t>
      </w:r>
    </w:p>
    <w:p>
      <w:pPr>
        <w:pStyle w:val="19"/>
        <w:spacing w:before="0" w:beforeAutospacing="0" w:after="0" w:afterAutospacing="0"/>
        <w:ind w:firstLine="420"/>
        <w:rPr>
          <w:rFonts w:hint="eastAsia" w:ascii="宋体" w:hAnsi="宋体" w:eastAsia="宋体" w:cs="宋体"/>
          <w:szCs w:val="21"/>
        </w:rPr>
      </w:pPr>
    </w:p>
    <w:p>
      <w:pPr>
        <w:widowControl/>
        <w:autoSpaceDE w:val="0"/>
        <w:autoSpaceDN w:val="0"/>
        <w:spacing w:line="360" w:lineRule="auto"/>
        <w:ind w:firstLine="0" w:firstLineChars="0"/>
        <w:rPr>
          <w:rStyle w:val="29"/>
          <w:rFonts w:hint="eastAsia" w:ascii="宋体" w:hAnsi="宋体" w:eastAsia="宋体" w:cs="宋体"/>
          <w:color w:val="auto"/>
          <w:sz w:val="21"/>
          <w:szCs w:val="21"/>
          <w:highlight w:val="none"/>
        </w:rPr>
      </w:pPr>
      <w:r>
        <w:rPr>
          <w:rFonts w:hint="eastAsia" w:ascii="宋体" w:hAnsi="宋体" w:eastAsia="宋体" w:cs="宋体"/>
          <w:b w:val="0"/>
          <w:bCs/>
          <w:sz w:val="21"/>
          <w:szCs w:val="21"/>
          <w:u w:val="single"/>
          <w:lang w:val="en-US" w:eastAsia="zh-CN"/>
        </w:rPr>
        <w:t xml:space="preserve"> 采购人、采购代理机构   </w:t>
      </w:r>
      <w:r>
        <w:rPr>
          <w:rFonts w:hint="eastAsia" w:ascii="宋体" w:hAnsi="宋体" w:eastAsia="宋体" w:cs="宋体"/>
          <w:b w:val="0"/>
          <w:bCs/>
          <w:color w:val="auto"/>
          <w:sz w:val="21"/>
          <w:szCs w:val="21"/>
          <w:highlight w:val="none"/>
          <w:lang w:bidi="ar"/>
        </w:rPr>
        <w:t>：</w:t>
      </w:r>
    </w:p>
    <w:p>
      <w:pPr>
        <w:spacing w:line="360" w:lineRule="auto"/>
        <w:ind w:firstLine="612"/>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本授权委托书声明：我</w:t>
      </w:r>
      <w:r>
        <w:rPr>
          <w:rFonts w:hint="eastAsia" w:ascii="宋体" w:hAnsi="宋体" w:eastAsia="宋体" w:cs="宋体"/>
          <w:i/>
          <w:iCs/>
          <w:color w:val="auto"/>
          <w:sz w:val="21"/>
          <w:szCs w:val="21"/>
          <w:highlight w:val="none"/>
          <w:u w:val="single"/>
          <w:lang w:bidi="ar"/>
        </w:rPr>
        <w:t>（法人代表姓名）</w:t>
      </w:r>
      <w:r>
        <w:rPr>
          <w:rFonts w:hint="eastAsia" w:ascii="宋体" w:hAnsi="宋体" w:eastAsia="宋体" w:cs="宋体"/>
          <w:color w:val="auto"/>
          <w:sz w:val="21"/>
          <w:szCs w:val="21"/>
          <w:highlight w:val="none"/>
          <w:lang w:bidi="ar"/>
        </w:rPr>
        <w:t>系</w:t>
      </w:r>
      <w:r>
        <w:rPr>
          <w:rFonts w:hint="eastAsia" w:ascii="宋体" w:hAnsi="宋体" w:eastAsia="宋体" w:cs="宋体"/>
          <w:i/>
          <w:iCs/>
          <w:color w:val="auto"/>
          <w:sz w:val="21"/>
          <w:szCs w:val="21"/>
          <w:highlight w:val="none"/>
          <w:u w:val="single"/>
          <w:lang w:bidi="ar"/>
        </w:rPr>
        <w:t>（</w:t>
      </w:r>
      <w:r>
        <w:rPr>
          <w:rFonts w:hint="eastAsia" w:ascii="宋体" w:hAnsi="宋体" w:eastAsia="宋体" w:cs="宋体"/>
          <w:i/>
          <w:iCs/>
          <w:color w:val="auto"/>
          <w:sz w:val="21"/>
          <w:szCs w:val="21"/>
          <w:highlight w:val="none"/>
          <w:u w:val="single"/>
          <w:lang w:eastAsia="zh-CN" w:bidi="ar"/>
        </w:rPr>
        <w:t>磋商供应商</w:t>
      </w:r>
      <w:r>
        <w:rPr>
          <w:rFonts w:hint="eastAsia" w:ascii="宋体" w:hAnsi="宋体" w:eastAsia="宋体" w:cs="宋体"/>
          <w:i/>
          <w:iCs/>
          <w:color w:val="auto"/>
          <w:sz w:val="21"/>
          <w:szCs w:val="21"/>
          <w:highlight w:val="none"/>
          <w:u w:val="single"/>
          <w:lang w:bidi="ar"/>
        </w:rPr>
        <w:t>名称）</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的法定代表人，现授权委托</w:t>
      </w:r>
      <w:r>
        <w:rPr>
          <w:rFonts w:hint="eastAsia" w:ascii="宋体" w:hAnsi="宋体" w:eastAsia="宋体" w:cs="宋体"/>
          <w:i/>
          <w:iCs/>
          <w:color w:val="auto"/>
          <w:sz w:val="21"/>
          <w:szCs w:val="21"/>
          <w:highlight w:val="none"/>
          <w:u w:val="single"/>
          <w:lang w:bidi="ar"/>
        </w:rPr>
        <w:t>（授权代表姓名）</w:t>
      </w:r>
      <w:r>
        <w:rPr>
          <w:rFonts w:hint="eastAsia" w:ascii="宋体" w:hAnsi="宋体" w:eastAsia="宋体" w:cs="宋体"/>
          <w:color w:val="auto"/>
          <w:sz w:val="21"/>
          <w:szCs w:val="21"/>
          <w:highlight w:val="none"/>
          <w:lang w:bidi="ar"/>
        </w:rPr>
        <w:t>为我公司法定代表人授权代表，参加贵处组织的</w:t>
      </w:r>
      <w:r>
        <w:rPr>
          <w:rStyle w:val="29"/>
          <w:rFonts w:hint="eastAsia" w:ascii="宋体" w:hAnsi="宋体" w:eastAsia="宋体" w:cs="宋体"/>
          <w:color w:val="auto"/>
          <w:sz w:val="21"/>
          <w:szCs w:val="21"/>
          <w:highlight w:val="none"/>
          <w:u w:val="single"/>
        </w:rPr>
        <w:t xml:space="preserve">       项目名称         </w:t>
      </w:r>
      <w:r>
        <w:rPr>
          <w:rStyle w:val="29"/>
          <w:rFonts w:hint="eastAsia" w:ascii="宋体" w:hAnsi="宋体" w:eastAsia="宋体" w:cs="宋体"/>
          <w:color w:val="auto"/>
          <w:sz w:val="21"/>
          <w:szCs w:val="21"/>
          <w:highlight w:val="none"/>
        </w:rPr>
        <w:t>（项目编号：    ）</w:t>
      </w:r>
      <w:r>
        <w:rPr>
          <w:rFonts w:hint="eastAsia" w:ascii="宋体" w:hAnsi="宋体" w:eastAsia="宋体" w:cs="宋体"/>
          <w:color w:val="auto"/>
          <w:sz w:val="21"/>
          <w:szCs w:val="21"/>
          <w:highlight w:val="none"/>
          <w:lang w:bidi="ar"/>
        </w:rPr>
        <w:t>投标，全权处理本次招投标活动中的一切事宜，我承认授权代表全权代表我所签署的本项目的</w:t>
      </w:r>
      <w:r>
        <w:rPr>
          <w:rFonts w:hint="eastAsia" w:ascii="宋体" w:hAnsi="宋体" w:eastAsia="宋体" w:cs="宋体"/>
          <w:color w:val="auto"/>
          <w:sz w:val="21"/>
          <w:szCs w:val="21"/>
          <w:highlight w:val="none"/>
          <w:lang w:eastAsia="zh-CN" w:bidi="ar"/>
        </w:rPr>
        <w:t>磋商响应文件</w:t>
      </w:r>
      <w:r>
        <w:rPr>
          <w:rFonts w:hint="eastAsia" w:ascii="宋体" w:hAnsi="宋体" w:eastAsia="宋体" w:cs="宋体"/>
          <w:color w:val="auto"/>
          <w:sz w:val="21"/>
          <w:szCs w:val="21"/>
          <w:highlight w:val="none"/>
          <w:lang w:bidi="ar"/>
        </w:rPr>
        <w:t>的内容。</w:t>
      </w:r>
    </w:p>
    <w:p>
      <w:pPr>
        <w:spacing w:line="360" w:lineRule="auto"/>
        <w:ind w:firstLine="697"/>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授权代表无转授权，特此授权。</w:t>
      </w:r>
    </w:p>
    <w:p>
      <w:pPr>
        <w:spacing w:line="240" w:lineRule="auto"/>
        <w:jc w:val="left"/>
        <w:outlineLvl w:val="9"/>
        <w:rPr>
          <w:rFonts w:hint="eastAsia" w:ascii="宋体" w:hAnsi="宋体" w:eastAsia="宋体" w:cs="宋体"/>
          <w:color w:val="auto"/>
          <w:sz w:val="21"/>
          <w:szCs w:val="21"/>
          <w:highlight w:val="none"/>
        </w:rPr>
      </w:pPr>
    </w:p>
    <w:p>
      <w:pPr>
        <w:spacing w:line="24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授权代表</w:t>
      </w:r>
      <w:r>
        <w:rPr>
          <w:rFonts w:hint="eastAsia" w:ascii="宋体" w:hAnsi="宋体" w:eastAsia="宋体" w:cs="宋体"/>
          <w:color w:val="auto"/>
          <w:sz w:val="21"/>
          <w:szCs w:val="21"/>
          <w:highlight w:val="none"/>
          <w:lang w:val="en-US" w:eastAsia="zh-CN" w:bidi="ar"/>
        </w:rPr>
        <w:t>签字：</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职务：</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lang w:bidi="ar"/>
        </w:rPr>
        <w:t>电</w:t>
      </w:r>
      <w:r>
        <w:rPr>
          <w:rFonts w:hint="eastAsia" w:ascii="宋体" w:hAnsi="宋体" w:eastAsia="宋体" w:cs="宋体"/>
          <w:color w:val="auto"/>
          <w:sz w:val="21"/>
          <w:szCs w:val="21"/>
          <w:highlight w:val="none"/>
          <w:lang w:val="en-US" w:eastAsia="zh-CN" w:bidi="ar"/>
        </w:rPr>
        <w:t>联系方式</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p>
    <w:p>
      <w:pPr>
        <w:spacing w:line="240" w:lineRule="auto"/>
        <w:ind w:firstLine="2940" w:firstLineChars="1400"/>
        <w:jc w:val="left"/>
        <w:outlineLvl w:val="9"/>
        <w:rPr>
          <w:rFonts w:hint="eastAsia" w:ascii="宋体" w:hAnsi="宋体" w:eastAsia="宋体" w:cs="宋体"/>
          <w:color w:val="auto"/>
          <w:sz w:val="21"/>
          <w:szCs w:val="21"/>
          <w:highlight w:val="none"/>
        </w:rPr>
      </w:pPr>
    </w:p>
    <w:p>
      <w:pPr>
        <w:spacing w:line="360" w:lineRule="auto"/>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附：</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授权代表身份证复印件。</w:t>
      </w:r>
      <w:r>
        <w:rPr>
          <w:rFonts w:hint="eastAsia" w:ascii="宋体" w:hAnsi="宋体" w:eastAsia="宋体" w:cs="宋体"/>
          <w:b/>
          <w:bCs/>
          <w:color w:val="auto"/>
          <w:sz w:val="21"/>
          <w:szCs w:val="21"/>
          <w:highlight w:val="none"/>
          <w:lang w:eastAsia="zh-CN"/>
        </w:rPr>
        <w:t>（正反面）</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noWrap w:val="0"/>
            <w:vAlign w:val="top"/>
          </w:tcPr>
          <w:p>
            <w:pPr>
              <w:pStyle w:val="10"/>
              <w:jc w:val="left"/>
              <w:outlineLvl w:val="9"/>
              <w:rPr>
                <w:rFonts w:hint="eastAsia" w:ascii="宋体" w:hAnsi="宋体" w:eastAsia="宋体" w:cs="宋体"/>
                <w:b/>
                <w:bCs/>
                <w:color w:val="auto"/>
                <w:sz w:val="21"/>
                <w:szCs w:val="21"/>
                <w:highlight w:val="none"/>
                <w:vertAlign w:val="baseline"/>
              </w:rPr>
            </w:pPr>
          </w:p>
        </w:tc>
        <w:tc>
          <w:tcPr>
            <w:tcW w:w="4520" w:type="dxa"/>
            <w:noWrap w:val="0"/>
            <w:vAlign w:val="top"/>
          </w:tcPr>
          <w:p>
            <w:pPr>
              <w:pStyle w:val="10"/>
              <w:jc w:val="left"/>
              <w:outlineLvl w:val="9"/>
              <w:rPr>
                <w:rFonts w:hint="eastAsia" w:ascii="宋体" w:hAnsi="宋体" w:eastAsia="宋体" w:cs="宋体"/>
                <w:b/>
                <w:bCs/>
                <w:color w:val="auto"/>
                <w:sz w:val="21"/>
                <w:szCs w:val="21"/>
                <w:highlight w:val="none"/>
                <w:vertAlign w:val="baseline"/>
              </w:rPr>
            </w:pPr>
          </w:p>
        </w:tc>
      </w:tr>
    </w:tbl>
    <w:p>
      <w:pPr>
        <w:spacing w:line="240" w:lineRule="auto"/>
        <w:ind w:firstLine="2730" w:firstLineChars="1300"/>
        <w:jc w:val="left"/>
        <w:outlineLvl w:val="9"/>
        <w:rPr>
          <w:rFonts w:hint="eastAsia" w:ascii="宋体" w:hAnsi="宋体" w:eastAsia="宋体" w:cs="宋体"/>
          <w:color w:val="auto"/>
          <w:sz w:val="21"/>
          <w:szCs w:val="21"/>
          <w:highlight w:val="none"/>
          <w:lang w:bidi="ar"/>
        </w:rPr>
      </w:pPr>
    </w:p>
    <w:p>
      <w:pPr>
        <w:spacing w:line="240" w:lineRule="auto"/>
        <w:ind w:firstLine="2730" w:firstLineChars="130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bidi="ar"/>
        </w:rPr>
        <w:t>磋商供应商</w:t>
      </w:r>
      <w:r>
        <w:rPr>
          <w:rFonts w:hint="eastAsia" w:ascii="宋体" w:hAnsi="宋体" w:eastAsia="宋体" w:cs="宋体"/>
          <w:color w:val="auto"/>
          <w:sz w:val="21"/>
          <w:szCs w:val="21"/>
          <w:highlight w:val="none"/>
          <w:lang w:bidi="ar"/>
        </w:rPr>
        <w:t>全称：</w:t>
      </w:r>
      <w:r>
        <w:rPr>
          <w:rFonts w:hint="eastAsia" w:ascii="宋体" w:hAnsi="宋体" w:eastAsia="宋体" w:cs="宋体"/>
          <w:color w:val="auto"/>
          <w:sz w:val="21"/>
          <w:szCs w:val="21"/>
          <w:highlight w:val="none"/>
          <w:u w:val="single"/>
          <w:lang w:bidi="ar"/>
        </w:rPr>
        <w:t xml:space="preserve">                             （盖</w:t>
      </w:r>
      <w:r>
        <w:rPr>
          <w:rFonts w:hint="eastAsia" w:ascii="宋体" w:hAnsi="宋体" w:eastAsia="宋体" w:cs="宋体"/>
          <w:color w:val="auto"/>
          <w:sz w:val="21"/>
          <w:szCs w:val="21"/>
          <w:highlight w:val="none"/>
          <w:u w:val="single"/>
          <w:lang w:eastAsia="zh-CN" w:bidi="ar"/>
        </w:rPr>
        <w:t>公</w:t>
      </w:r>
      <w:r>
        <w:rPr>
          <w:rFonts w:hint="eastAsia" w:ascii="宋体" w:hAnsi="宋体" w:eastAsia="宋体" w:cs="宋体"/>
          <w:color w:val="auto"/>
          <w:sz w:val="21"/>
          <w:szCs w:val="21"/>
          <w:highlight w:val="none"/>
          <w:u w:val="single"/>
          <w:lang w:bidi="ar"/>
        </w:rPr>
        <w:t>章）</w:t>
      </w:r>
    </w:p>
    <w:p>
      <w:pPr>
        <w:spacing w:line="240" w:lineRule="auto"/>
        <w:ind w:left="2100" w:leftChars="1000" w:firstLine="840" w:firstLineChars="400"/>
        <w:jc w:val="left"/>
        <w:outlineLvl w:val="9"/>
        <w:rPr>
          <w:rFonts w:hint="eastAsia" w:ascii="宋体" w:hAnsi="宋体" w:eastAsia="宋体" w:cs="宋体"/>
          <w:color w:val="auto"/>
          <w:sz w:val="21"/>
          <w:szCs w:val="21"/>
          <w:highlight w:val="none"/>
        </w:rPr>
      </w:pPr>
    </w:p>
    <w:p>
      <w:pPr>
        <w:spacing w:line="240" w:lineRule="auto"/>
        <w:ind w:firstLine="2730" w:firstLineChars="1300"/>
        <w:jc w:val="left"/>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bidi="ar"/>
        </w:rPr>
        <w:t>法定代表人：</w:t>
      </w:r>
      <w:r>
        <w:rPr>
          <w:rFonts w:hint="eastAsia" w:ascii="宋体" w:hAnsi="宋体" w:eastAsia="宋体" w:cs="宋体"/>
          <w:color w:val="auto"/>
          <w:sz w:val="21"/>
          <w:szCs w:val="21"/>
          <w:highlight w:val="none"/>
          <w:u w:val="single"/>
          <w:lang w:bidi="ar"/>
        </w:rPr>
        <w:t xml:space="preserve">                              （签字或盖章）</w:t>
      </w:r>
    </w:p>
    <w:p>
      <w:pPr>
        <w:spacing w:line="240" w:lineRule="auto"/>
        <w:ind w:left="2100" w:leftChars="1000" w:firstLine="840" w:firstLineChars="400"/>
        <w:jc w:val="left"/>
        <w:outlineLvl w:val="9"/>
        <w:rPr>
          <w:rFonts w:hint="eastAsia" w:ascii="宋体" w:hAnsi="宋体" w:eastAsia="宋体" w:cs="宋体"/>
          <w:color w:val="auto"/>
          <w:sz w:val="21"/>
          <w:szCs w:val="21"/>
          <w:highlight w:val="none"/>
          <w:u w:val="single"/>
        </w:rPr>
      </w:pPr>
    </w:p>
    <w:p>
      <w:pPr>
        <w:spacing w:line="240" w:lineRule="auto"/>
        <w:ind w:firstLine="4200" w:firstLineChars="200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授权委托日期：</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 xml:space="preserve">年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月</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日</w:t>
      </w:r>
    </w:p>
    <w:p>
      <w:pPr>
        <w:spacing w:line="360" w:lineRule="auto"/>
        <w:ind w:left="2833" w:leftChars="1349" w:firstLine="2100" w:firstLineChars="1000"/>
        <w:jc w:val="left"/>
        <w:outlineLvl w:val="9"/>
        <w:rPr>
          <w:rFonts w:hint="eastAsia" w:ascii="宋体" w:hAnsi="宋体" w:eastAsia="宋体" w:cs="宋体"/>
          <w:color w:val="auto"/>
          <w:sz w:val="21"/>
          <w:szCs w:val="21"/>
          <w:highlight w:val="none"/>
        </w:rPr>
      </w:pPr>
    </w:p>
    <w:p>
      <w:pPr>
        <w:pStyle w:val="9"/>
        <w:spacing w:line="240" w:lineRule="auto"/>
        <w:jc w:val="left"/>
        <w:outlineLvl w:val="9"/>
        <w:rPr>
          <w:rFonts w:hint="eastAsia" w:ascii="宋体" w:hAnsi="宋体" w:eastAsia="宋体" w:cs="宋体"/>
          <w:b/>
          <w:color w:val="auto"/>
          <w:sz w:val="21"/>
          <w:szCs w:val="21"/>
          <w:highlight w:val="none"/>
          <w:lang w:val="en-US" w:eastAsia="zh-CN"/>
        </w:rPr>
      </w:pPr>
    </w:p>
    <w:p>
      <w:pPr>
        <w:pStyle w:val="9"/>
        <w:spacing w:line="240" w:lineRule="auto"/>
        <w:jc w:val="left"/>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w:t>
      </w:r>
    </w:p>
    <w:p>
      <w:pPr>
        <w:pStyle w:val="9"/>
        <w:numPr>
          <w:ilvl w:val="0"/>
          <w:numId w:val="0"/>
        </w:numPr>
        <w:spacing w:line="240" w:lineRule="auto"/>
        <w:ind w:left="0" w:leftChars="0" w:firstLine="0" w:firstLineChars="0"/>
        <w:jc w:val="left"/>
        <w:outlineLvl w:val="9"/>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如</w:t>
      </w:r>
      <w:r>
        <w:rPr>
          <w:rFonts w:hint="eastAsia" w:ascii="宋体" w:hAnsi="宋体" w:eastAsia="宋体" w:cs="宋体"/>
          <w:b w:val="0"/>
          <w:bCs/>
          <w:color w:val="auto"/>
          <w:sz w:val="21"/>
          <w:szCs w:val="21"/>
          <w:highlight w:val="none"/>
          <w:lang w:eastAsia="zh-CN"/>
        </w:rPr>
        <w:t>授权代表参与投标的，</w:t>
      </w:r>
      <w:r>
        <w:rPr>
          <w:rFonts w:hint="eastAsia" w:ascii="宋体" w:hAnsi="宋体" w:eastAsia="宋体" w:cs="宋体"/>
          <w:b w:val="0"/>
          <w:bCs/>
          <w:color w:val="auto"/>
          <w:sz w:val="21"/>
          <w:szCs w:val="21"/>
          <w:highlight w:val="none"/>
          <w:lang w:val="en-US" w:eastAsia="zh-CN"/>
        </w:rPr>
        <w:t>则</w:t>
      </w:r>
      <w:r>
        <w:rPr>
          <w:rFonts w:hint="eastAsia" w:ascii="宋体" w:hAnsi="宋体" w:eastAsia="宋体" w:cs="宋体"/>
          <w:b w:val="0"/>
          <w:bCs/>
          <w:color w:val="auto"/>
          <w:sz w:val="21"/>
          <w:szCs w:val="21"/>
          <w:highlight w:val="none"/>
        </w:rPr>
        <w:t>须提供</w:t>
      </w:r>
      <w:r>
        <w:rPr>
          <w:rFonts w:hint="eastAsia" w:ascii="宋体" w:hAnsi="宋体" w:eastAsia="宋体" w:cs="宋体"/>
          <w:b w:val="0"/>
          <w:bCs/>
          <w:color w:val="auto"/>
          <w:sz w:val="21"/>
          <w:szCs w:val="21"/>
          <w:highlight w:val="none"/>
          <w:lang w:val="en-US" w:eastAsia="zh-CN"/>
        </w:rPr>
        <w:t>本</w:t>
      </w:r>
      <w:r>
        <w:rPr>
          <w:rFonts w:hint="eastAsia" w:ascii="宋体" w:hAnsi="宋体" w:eastAsia="宋体" w:cs="宋体"/>
          <w:b w:val="0"/>
          <w:bCs/>
          <w:color w:val="auto"/>
          <w:sz w:val="21"/>
          <w:szCs w:val="21"/>
          <w:highlight w:val="none"/>
        </w:rPr>
        <w:t>《法定代表人授权书》。</w:t>
      </w:r>
    </w:p>
    <w:p>
      <w:pPr>
        <w:pStyle w:val="21"/>
        <w:numPr>
          <w:ilvl w:val="0"/>
          <w:numId w:val="0"/>
        </w:numPr>
        <w:ind w:left="0" w:firstLine="0"/>
        <w:rPr>
          <w:rFonts w:hint="eastAsia" w:ascii="宋体" w:hAnsi="宋体" w:eastAsia="宋体" w:cs="宋体"/>
          <w:sz w:val="21"/>
          <w:szCs w:val="21"/>
          <w:lang w:val="en-US" w:eastAsia="zh-CN"/>
        </w:rPr>
      </w:pPr>
      <w:r>
        <w:rPr>
          <w:rFonts w:hint="eastAsia" w:ascii="宋体" w:hAnsi="宋体" w:eastAsia="宋体" w:cs="宋体"/>
          <w:b w:val="0"/>
          <w:bCs/>
          <w:color w:val="auto"/>
          <w:sz w:val="21"/>
          <w:szCs w:val="21"/>
          <w:highlight w:val="none"/>
          <w:lang w:val="en-US" w:eastAsia="zh-CN"/>
        </w:rPr>
        <w:t>2.联合体投标的请各自提供（委托同一人）</w:t>
      </w:r>
    </w:p>
    <w:p>
      <w:pPr>
        <w:autoSpaceDE w:val="0"/>
        <w:autoSpaceDN w:val="0"/>
        <w:spacing w:line="360" w:lineRule="auto"/>
        <w:jc w:val="center"/>
        <w:rPr>
          <w:rFonts w:hint="eastAsia" w:ascii="宋体" w:hAnsi="宋体" w:eastAsia="宋体" w:cs="宋体"/>
          <w:b/>
          <w:kern w:val="0"/>
          <w:sz w:val="21"/>
          <w:szCs w:val="21"/>
          <w:lang w:val="zh-CN"/>
        </w:rPr>
      </w:pPr>
    </w:p>
    <w:p>
      <w:pPr>
        <w:autoSpaceDE w:val="0"/>
        <w:autoSpaceDN w:val="0"/>
        <w:spacing w:line="360" w:lineRule="auto"/>
        <w:jc w:val="center"/>
        <w:rPr>
          <w:rFonts w:hint="eastAsia" w:ascii="宋体" w:hAnsi="宋体" w:eastAsia="宋体" w:cs="宋体"/>
          <w:b/>
          <w:kern w:val="0"/>
          <w:sz w:val="32"/>
          <w:szCs w:val="32"/>
          <w:lang w:val="zh-CN"/>
        </w:rPr>
      </w:pPr>
    </w:p>
    <w:p>
      <w:pPr>
        <w:autoSpaceDE w:val="0"/>
        <w:autoSpaceDN w:val="0"/>
        <w:spacing w:line="360" w:lineRule="auto"/>
        <w:jc w:val="center"/>
        <w:rPr>
          <w:rFonts w:hint="eastAsia" w:ascii="宋体" w:hAnsi="宋体" w:eastAsia="宋体" w:cs="宋体"/>
          <w:b/>
          <w:kern w:val="0"/>
          <w:sz w:val="32"/>
          <w:szCs w:val="32"/>
          <w:lang w:val="zh-CN"/>
        </w:rPr>
      </w:pPr>
    </w:p>
    <w:p>
      <w:pPr>
        <w:autoSpaceDE w:val="0"/>
        <w:autoSpaceDN w:val="0"/>
        <w:spacing w:line="360" w:lineRule="auto"/>
        <w:jc w:val="center"/>
        <w:rPr>
          <w:rFonts w:hint="eastAsia" w:ascii="宋体" w:hAnsi="宋体" w:eastAsia="宋体" w:cs="宋体"/>
          <w:b/>
          <w:sz w:val="30"/>
          <w:szCs w:val="30"/>
        </w:rPr>
      </w:pPr>
      <w:r>
        <w:rPr>
          <w:rFonts w:hint="eastAsia" w:ascii="宋体" w:hAnsi="宋体" w:eastAsia="宋体" w:cs="宋体"/>
          <w:b/>
          <w:kern w:val="0"/>
          <w:sz w:val="32"/>
          <w:szCs w:val="32"/>
          <w:lang w:val="zh-CN"/>
        </w:rPr>
        <w:br w:type="page"/>
      </w:r>
      <w:r>
        <w:rPr>
          <w:rFonts w:hint="eastAsia" w:ascii="宋体" w:hAnsi="宋体" w:eastAsia="宋体" w:cs="宋体"/>
          <w:b/>
          <w:kern w:val="0"/>
          <w:sz w:val="32"/>
          <w:szCs w:val="32"/>
          <w:lang w:val="zh-CN"/>
        </w:rPr>
        <w:t>法定代表人、单位负责人或自然人本人</w:t>
      </w:r>
      <w:r>
        <w:rPr>
          <w:rFonts w:hint="eastAsia" w:ascii="宋体" w:hAnsi="宋体" w:eastAsia="宋体" w:cs="宋体"/>
          <w:b/>
          <w:sz w:val="30"/>
          <w:szCs w:val="30"/>
        </w:rPr>
        <w:t>的身份证明</w:t>
      </w:r>
    </w:p>
    <w:p>
      <w:pPr>
        <w:autoSpaceDE w:val="0"/>
        <w:autoSpaceDN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（适用于法定代表人、单位负责人或者自然人本人代表</w:t>
      </w:r>
      <w:r>
        <w:rPr>
          <w:rFonts w:hint="eastAsia" w:ascii="宋体" w:hAnsi="宋体" w:eastAsia="宋体" w:cs="宋体"/>
          <w:b/>
          <w:sz w:val="24"/>
          <w:szCs w:val="24"/>
          <w:lang w:eastAsia="zh-CN"/>
        </w:rPr>
        <w:t>磋商供应商</w:t>
      </w:r>
      <w:r>
        <w:rPr>
          <w:rFonts w:hint="eastAsia" w:ascii="宋体" w:hAnsi="宋体" w:eastAsia="宋体" w:cs="宋体"/>
          <w:b/>
          <w:sz w:val="24"/>
          <w:szCs w:val="24"/>
        </w:rPr>
        <w:t>参加投标）</w:t>
      </w:r>
    </w:p>
    <w:p>
      <w:pPr>
        <w:autoSpaceDE w:val="0"/>
        <w:autoSpaceDN w:val="0"/>
        <w:spacing w:line="360" w:lineRule="auto"/>
        <w:rPr>
          <w:rFonts w:hint="eastAsia" w:ascii="宋体" w:hAnsi="宋体" w:eastAsia="宋体" w:cs="宋体"/>
          <w:b/>
          <w:bCs/>
          <w:color w:val="auto"/>
          <w:sz w:val="28"/>
          <w:szCs w:val="28"/>
          <w:highlight w:val="none"/>
          <w:lang w:eastAsia="zh-CN"/>
        </w:rPr>
      </w:pPr>
    </w:p>
    <w:p>
      <w:pPr>
        <w:widowControl/>
        <w:autoSpaceDE w:val="0"/>
        <w:autoSpaceDN w:val="0"/>
        <w:spacing w:line="360" w:lineRule="auto"/>
        <w:ind w:firstLine="3092" w:firstLineChars="110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法定代表人身份证明</w:t>
      </w:r>
    </w:p>
    <w:p>
      <w:pPr>
        <w:widowControl/>
        <w:autoSpaceDE w:val="0"/>
        <w:autoSpaceDN w:val="0"/>
        <w:spacing w:line="360" w:lineRule="auto"/>
        <w:ind w:firstLine="0" w:firstLineChars="0"/>
        <w:rPr>
          <w:rStyle w:val="29"/>
          <w:rFonts w:hint="eastAsia" w:ascii="宋体" w:hAnsi="宋体" w:eastAsia="宋体" w:cs="宋体"/>
          <w:color w:val="auto"/>
          <w:sz w:val="21"/>
          <w:szCs w:val="21"/>
          <w:highlight w:val="none"/>
        </w:rPr>
      </w:pPr>
      <w:r>
        <w:rPr>
          <w:rFonts w:hint="eastAsia" w:ascii="宋体" w:hAnsi="宋体" w:eastAsia="宋体" w:cs="宋体"/>
          <w:b w:val="0"/>
          <w:bCs/>
          <w:szCs w:val="21"/>
          <w:u w:val="single"/>
          <w:lang w:val="en-US" w:eastAsia="zh-CN"/>
        </w:rPr>
        <w:t xml:space="preserve"> </w:t>
      </w:r>
      <w:r>
        <w:rPr>
          <w:rFonts w:hint="eastAsia" w:ascii="宋体" w:hAnsi="宋体" w:eastAsia="宋体" w:cs="宋体"/>
          <w:b w:val="0"/>
          <w:bCs/>
          <w:sz w:val="21"/>
          <w:szCs w:val="21"/>
          <w:u w:val="single"/>
          <w:lang w:val="en-US" w:eastAsia="zh-CN"/>
        </w:rPr>
        <w:t xml:space="preserve">采购人、采购代理机构   </w:t>
      </w:r>
      <w:r>
        <w:rPr>
          <w:rFonts w:hint="eastAsia" w:ascii="宋体" w:hAnsi="宋体" w:eastAsia="宋体" w:cs="宋体"/>
          <w:b w:val="0"/>
          <w:bCs/>
          <w:color w:val="auto"/>
          <w:sz w:val="21"/>
          <w:szCs w:val="21"/>
          <w:highlight w:val="none"/>
          <w:lang w:bidi="ar"/>
        </w:rPr>
        <w:t>：</w:t>
      </w:r>
    </w:p>
    <w:p>
      <w:pPr>
        <w:rPr>
          <w:rFonts w:hint="eastAsia" w:ascii="宋体" w:hAnsi="宋体" w:eastAsia="宋体" w:cs="宋体"/>
          <w:sz w:val="21"/>
          <w:szCs w:val="21"/>
          <w:lang w:val="en-US" w:eastAsia="zh-CN"/>
        </w:rPr>
      </w:pPr>
    </w:p>
    <w:p>
      <w:pPr>
        <w:pStyle w:val="11"/>
        <w:ind w:left="0" w:leftChars="0" w:firstLine="420" w:firstLineChars="200"/>
        <w:rPr>
          <w:rFonts w:hint="eastAsia" w:ascii="宋体" w:hAnsi="宋体" w:eastAsia="宋体" w:cs="宋体"/>
          <w:b w:val="0"/>
          <w:bCs/>
          <w:color w:val="auto"/>
          <w:sz w:val="21"/>
          <w:szCs w:val="21"/>
          <w:highlight w:val="none"/>
          <w:u w:val="single"/>
          <w:lang w:val="en-US" w:eastAsia="zh-CN" w:bidi="ar"/>
        </w:rPr>
      </w:pPr>
      <w:r>
        <w:rPr>
          <w:rStyle w:val="29"/>
          <w:rFonts w:hint="eastAsia" w:ascii="宋体" w:hAnsi="宋体" w:eastAsia="宋体" w:cs="宋体"/>
          <w:color w:val="auto"/>
          <w:sz w:val="21"/>
          <w:szCs w:val="21"/>
          <w:highlight w:val="none"/>
          <w:lang w:val="en-US" w:eastAsia="zh-CN" w:bidi="ar-SA"/>
        </w:rPr>
        <w:t>姓名：</w:t>
      </w:r>
      <w:r>
        <w:rPr>
          <w:rFonts w:hint="eastAsia" w:ascii="宋体" w:hAnsi="宋体" w:eastAsia="宋体" w:cs="宋体"/>
          <w:b w:val="0"/>
          <w:bCs/>
          <w:color w:val="auto"/>
          <w:sz w:val="21"/>
          <w:szCs w:val="21"/>
          <w:highlight w:val="none"/>
          <w:u w:val="single"/>
          <w:lang w:val="en-US" w:eastAsia="zh-CN" w:bidi="ar"/>
        </w:rPr>
        <w:t xml:space="preserve">          </w:t>
      </w:r>
      <w:r>
        <w:rPr>
          <w:rStyle w:val="29"/>
          <w:rFonts w:hint="eastAsia" w:ascii="宋体" w:hAnsi="宋体" w:eastAsia="宋体" w:cs="宋体"/>
          <w:color w:val="auto"/>
          <w:sz w:val="21"/>
          <w:szCs w:val="21"/>
          <w:highlight w:val="none"/>
          <w:lang w:val="en-US" w:eastAsia="zh-CN" w:bidi="ar-SA"/>
        </w:rPr>
        <w:t>性别：</w:t>
      </w:r>
      <w:r>
        <w:rPr>
          <w:rFonts w:hint="eastAsia" w:ascii="宋体" w:hAnsi="宋体" w:eastAsia="宋体" w:cs="宋体"/>
          <w:b w:val="0"/>
          <w:bCs/>
          <w:color w:val="auto"/>
          <w:sz w:val="21"/>
          <w:szCs w:val="21"/>
          <w:highlight w:val="none"/>
          <w:u w:val="single"/>
          <w:lang w:val="en-US" w:eastAsia="zh-CN" w:bidi="ar"/>
        </w:rPr>
        <w:t xml:space="preserve">          </w:t>
      </w:r>
      <w:r>
        <w:rPr>
          <w:rStyle w:val="29"/>
          <w:rFonts w:hint="eastAsia" w:ascii="宋体" w:hAnsi="宋体" w:eastAsia="宋体" w:cs="宋体"/>
          <w:color w:val="auto"/>
          <w:sz w:val="21"/>
          <w:szCs w:val="21"/>
          <w:highlight w:val="none"/>
          <w:lang w:val="en-US" w:eastAsia="zh-CN" w:bidi="ar-SA"/>
        </w:rPr>
        <w:t>职务：</w:t>
      </w:r>
      <w:r>
        <w:rPr>
          <w:rFonts w:hint="eastAsia" w:ascii="宋体" w:hAnsi="宋体" w:eastAsia="宋体" w:cs="宋体"/>
          <w:b w:val="0"/>
          <w:bCs/>
          <w:color w:val="auto"/>
          <w:sz w:val="21"/>
          <w:szCs w:val="21"/>
          <w:highlight w:val="none"/>
          <w:u w:val="single"/>
          <w:lang w:val="en-US" w:eastAsia="zh-CN" w:bidi="ar"/>
        </w:rPr>
        <w:t xml:space="preserve">          </w:t>
      </w:r>
    </w:p>
    <w:p>
      <w:pPr>
        <w:pStyle w:val="11"/>
        <w:ind w:left="0" w:leftChars="0" w:firstLine="420" w:firstLineChars="200"/>
        <w:rPr>
          <w:rFonts w:hint="eastAsia" w:ascii="宋体" w:hAnsi="宋体" w:eastAsia="宋体" w:cs="宋体"/>
          <w:b w:val="0"/>
          <w:bCs/>
          <w:color w:val="auto"/>
          <w:sz w:val="21"/>
          <w:szCs w:val="21"/>
          <w:highlight w:val="none"/>
          <w:u w:val="none"/>
          <w:lang w:val="en-US" w:eastAsia="zh-CN" w:bidi="ar"/>
        </w:rPr>
      </w:pPr>
      <w:r>
        <w:rPr>
          <w:rStyle w:val="29"/>
          <w:rFonts w:hint="eastAsia" w:ascii="宋体" w:hAnsi="宋体" w:eastAsia="宋体" w:cs="宋体"/>
          <w:color w:val="auto"/>
          <w:sz w:val="21"/>
          <w:szCs w:val="21"/>
          <w:highlight w:val="none"/>
          <w:lang w:val="en-US" w:eastAsia="zh-CN" w:bidi="ar-SA"/>
        </w:rPr>
        <w:t>联系方式：</w:t>
      </w:r>
      <w:r>
        <w:rPr>
          <w:rFonts w:hint="eastAsia" w:ascii="宋体" w:hAnsi="宋体" w:eastAsia="宋体" w:cs="宋体"/>
          <w:b w:val="0"/>
          <w:bCs/>
          <w:color w:val="auto"/>
          <w:sz w:val="21"/>
          <w:szCs w:val="21"/>
          <w:highlight w:val="none"/>
          <w:u w:val="single"/>
          <w:lang w:val="en-US" w:eastAsia="zh-CN" w:bidi="ar"/>
        </w:rPr>
        <w:t xml:space="preserve">          </w:t>
      </w:r>
      <w:r>
        <w:rPr>
          <w:rFonts w:hint="eastAsia" w:ascii="宋体" w:hAnsi="宋体" w:eastAsia="宋体" w:cs="宋体"/>
          <w:b w:val="0"/>
          <w:bCs/>
          <w:color w:val="auto"/>
          <w:sz w:val="21"/>
          <w:szCs w:val="21"/>
          <w:highlight w:val="none"/>
          <w:u w:val="none"/>
          <w:lang w:val="en-US" w:eastAsia="zh-CN" w:bidi="ar"/>
        </w:rPr>
        <w:t>，</w:t>
      </w:r>
      <w:r>
        <w:rPr>
          <w:rStyle w:val="29"/>
          <w:rFonts w:hint="eastAsia" w:ascii="宋体" w:hAnsi="宋体" w:eastAsia="宋体" w:cs="宋体"/>
          <w:color w:val="auto"/>
          <w:sz w:val="21"/>
          <w:szCs w:val="21"/>
          <w:highlight w:val="none"/>
          <w:lang w:val="en-US" w:eastAsia="zh-CN" w:bidi="ar-SA"/>
        </w:rPr>
        <w:t>系</w:t>
      </w:r>
      <w:r>
        <w:rPr>
          <w:rFonts w:hint="eastAsia" w:ascii="宋体" w:hAnsi="宋体" w:eastAsia="宋体" w:cs="宋体"/>
          <w:b w:val="0"/>
          <w:bCs/>
          <w:color w:val="auto"/>
          <w:sz w:val="21"/>
          <w:szCs w:val="21"/>
          <w:highlight w:val="none"/>
          <w:u w:val="single"/>
          <w:lang w:val="en-US" w:eastAsia="zh-CN" w:bidi="ar"/>
        </w:rPr>
        <w:t xml:space="preserve">   </w:t>
      </w:r>
      <w:r>
        <w:rPr>
          <w:rStyle w:val="29"/>
          <w:rFonts w:hint="eastAsia" w:ascii="宋体" w:hAnsi="宋体" w:eastAsia="宋体" w:cs="宋体"/>
          <w:i/>
          <w:iCs/>
          <w:color w:val="auto"/>
          <w:sz w:val="21"/>
          <w:szCs w:val="21"/>
          <w:highlight w:val="none"/>
          <w:u w:val="single"/>
          <w:lang w:val="en-US" w:eastAsia="zh-CN" w:bidi="ar-SA"/>
        </w:rPr>
        <w:t>（磋商供应商名称）</w:t>
      </w:r>
      <w:r>
        <w:rPr>
          <w:rFonts w:hint="eastAsia" w:ascii="宋体" w:hAnsi="宋体" w:eastAsia="宋体" w:cs="宋体"/>
          <w:b w:val="0"/>
          <w:bCs/>
          <w:color w:val="auto"/>
          <w:sz w:val="21"/>
          <w:szCs w:val="21"/>
          <w:highlight w:val="none"/>
          <w:u w:val="single"/>
          <w:lang w:val="en-US" w:eastAsia="zh-CN" w:bidi="ar"/>
        </w:rPr>
        <w:t xml:space="preserve">       </w:t>
      </w:r>
      <w:r>
        <w:rPr>
          <w:rFonts w:hint="eastAsia" w:ascii="宋体" w:hAnsi="宋体" w:eastAsia="宋体" w:cs="宋体"/>
          <w:b w:val="0"/>
          <w:bCs/>
          <w:color w:val="auto"/>
          <w:sz w:val="21"/>
          <w:szCs w:val="21"/>
          <w:highlight w:val="none"/>
          <w:u w:val="none"/>
          <w:lang w:val="en-US" w:eastAsia="zh-CN" w:bidi="ar"/>
        </w:rPr>
        <w:t>的法定代表人，特此证明。</w:t>
      </w:r>
    </w:p>
    <w:p>
      <w:pPr>
        <w:pStyle w:val="11"/>
        <w:ind w:left="0" w:leftChars="0" w:firstLine="420" w:firstLineChars="200"/>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jc w:val="left"/>
        <w:rPr>
          <w:rFonts w:hint="eastAsia" w:ascii="宋体" w:hAnsi="宋体" w:eastAsia="宋体" w:cs="宋体"/>
          <w:b w:val="0"/>
          <w:bCs/>
          <w:color w:val="auto"/>
          <w:sz w:val="21"/>
          <w:szCs w:val="21"/>
          <w:highlight w:val="none"/>
          <w:u w:val="none"/>
          <w:lang w:val="en-US" w:eastAsia="zh-CN" w:bidi="ar"/>
        </w:rPr>
      </w:pPr>
    </w:p>
    <w:p>
      <w:pPr>
        <w:spacing w:line="360" w:lineRule="auto"/>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附：</w:t>
      </w:r>
      <w:r>
        <w:rPr>
          <w:rFonts w:hint="eastAsia" w:ascii="宋体" w:hAnsi="宋体" w:eastAsia="宋体" w:cs="宋体"/>
          <w:b/>
          <w:bCs/>
          <w:color w:val="auto"/>
          <w:sz w:val="21"/>
          <w:szCs w:val="21"/>
          <w:highlight w:val="none"/>
          <w:lang w:eastAsia="zh-CN"/>
        </w:rPr>
        <w:t>法定代表人</w:t>
      </w:r>
      <w:r>
        <w:rPr>
          <w:rFonts w:hint="eastAsia" w:ascii="宋体" w:hAnsi="宋体" w:eastAsia="宋体" w:cs="宋体"/>
          <w:b/>
          <w:bCs/>
          <w:color w:val="auto"/>
          <w:sz w:val="21"/>
          <w:szCs w:val="21"/>
          <w:highlight w:val="none"/>
        </w:rPr>
        <w:t>身份证复印件。</w:t>
      </w:r>
      <w:r>
        <w:rPr>
          <w:rFonts w:hint="eastAsia" w:ascii="宋体" w:hAnsi="宋体" w:eastAsia="宋体" w:cs="宋体"/>
          <w:b/>
          <w:bCs/>
          <w:color w:val="auto"/>
          <w:sz w:val="21"/>
          <w:szCs w:val="21"/>
          <w:highlight w:val="none"/>
          <w:lang w:eastAsia="zh-CN"/>
        </w:rPr>
        <w:t>（正反面）</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noWrap w:val="0"/>
            <w:vAlign w:val="top"/>
          </w:tcPr>
          <w:p>
            <w:pPr>
              <w:pStyle w:val="10"/>
              <w:jc w:val="left"/>
              <w:outlineLvl w:val="9"/>
              <w:rPr>
                <w:rFonts w:hint="eastAsia" w:ascii="宋体" w:hAnsi="宋体" w:eastAsia="宋体" w:cs="宋体"/>
                <w:b/>
                <w:bCs/>
                <w:color w:val="auto"/>
                <w:sz w:val="21"/>
                <w:szCs w:val="21"/>
                <w:highlight w:val="none"/>
                <w:vertAlign w:val="baseline"/>
              </w:rPr>
            </w:pPr>
          </w:p>
        </w:tc>
        <w:tc>
          <w:tcPr>
            <w:tcW w:w="4520" w:type="dxa"/>
            <w:noWrap w:val="0"/>
            <w:vAlign w:val="top"/>
          </w:tcPr>
          <w:p>
            <w:pPr>
              <w:pStyle w:val="10"/>
              <w:jc w:val="left"/>
              <w:outlineLvl w:val="9"/>
              <w:rPr>
                <w:rFonts w:hint="eastAsia" w:ascii="宋体" w:hAnsi="宋体" w:eastAsia="宋体" w:cs="宋体"/>
                <w:b/>
                <w:bCs/>
                <w:color w:val="auto"/>
                <w:sz w:val="21"/>
                <w:szCs w:val="21"/>
                <w:highlight w:val="none"/>
                <w:vertAlign w:val="baseline"/>
              </w:rPr>
            </w:pPr>
          </w:p>
        </w:tc>
      </w:tr>
    </w:tbl>
    <w:p>
      <w:pPr>
        <w:pStyle w:val="11"/>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1"/>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spacing w:line="480" w:lineRule="auto"/>
        <w:jc w:val="right"/>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eastAsia="zh-CN" w:bidi="ar"/>
        </w:rPr>
        <w:t>磋商供应商</w:t>
      </w:r>
      <w:r>
        <w:rPr>
          <w:rFonts w:hint="eastAsia" w:ascii="宋体" w:hAnsi="宋体" w:eastAsia="宋体" w:cs="宋体"/>
          <w:bCs/>
          <w:color w:val="auto"/>
          <w:sz w:val="21"/>
          <w:szCs w:val="21"/>
          <w:highlight w:val="none"/>
          <w:lang w:bidi="ar"/>
        </w:rPr>
        <w:t>全称：</w:t>
      </w:r>
      <w:r>
        <w:rPr>
          <w:rFonts w:hint="eastAsia" w:ascii="宋体" w:hAnsi="宋体" w:eastAsia="宋体" w:cs="宋体"/>
          <w:sz w:val="21"/>
          <w:szCs w:val="21"/>
          <w:u w:val="single"/>
          <w:lang w:bidi="ar"/>
        </w:rPr>
        <w:t xml:space="preserve">                    （盖公章）</w:t>
      </w:r>
    </w:p>
    <w:p>
      <w:pPr>
        <w:spacing w:line="480" w:lineRule="auto"/>
        <w:ind w:firstLine="4830" w:firstLineChars="23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日期：</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年 </w:t>
      </w:r>
      <w:r>
        <w:rPr>
          <w:rFonts w:hint="eastAsia" w:ascii="宋体" w:hAnsi="宋体" w:eastAsia="宋体" w:cs="宋体"/>
          <w:sz w:val="21"/>
          <w:szCs w:val="21"/>
          <w:u w:val="single"/>
          <w:lang w:bidi="ar"/>
        </w:rPr>
        <w:t xml:space="preserve">  </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月</w:t>
      </w:r>
      <w:r>
        <w:rPr>
          <w:rFonts w:hint="eastAsia" w:ascii="宋体" w:hAnsi="宋体" w:eastAsia="宋体" w:cs="宋体"/>
          <w:sz w:val="21"/>
          <w:szCs w:val="21"/>
          <w:u w:val="single"/>
          <w:lang w:bidi="ar"/>
        </w:rPr>
        <w:t xml:space="preserve">   </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日</w:t>
      </w:r>
    </w:p>
    <w:p>
      <w:pPr>
        <w:pStyle w:val="9"/>
        <w:spacing w:line="240" w:lineRule="auto"/>
        <w:jc w:val="left"/>
        <w:outlineLvl w:val="9"/>
        <w:rPr>
          <w:rFonts w:hint="eastAsia" w:ascii="宋体" w:hAnsi="宋体" w:eastAsia="宋体" w:cs="宋体"/>
          <w:b/>
          <w:color w:val="auto"/>
          <w:sz w:val="21"/>
          <w:szCs w:val="21"/>
          <w:highlight w:val="none"/>
          <w:lang w:val="en-US" w:eastAsia="zh-CN"/>
        </w:rPr>
      </w:pPr>
    </w:p>
    <w:p>
      <w:pPr>
        <w:pStyle w:val="9"/>
        <w:spacing w:line="240" w:lineRule="auto"/>
        <w:jc w:val="left"/>
        <w:outlineLvl w:val="9"/>
        <w:rPr>
          <w:rFonts w:hint="eastAsia" w:ascii="宋体" w:hAnsi="宋体" w:eastAsia="宋体" w:cs="宋体"/>
          <w:b/>
          <w:color w:val="auto"/>
          <w:sz w:val="21"/>
          <w:szCs w:val="21"/>
          <w:highlight w:val="none"/>
          <w:lang w:val="en-US" w:eastAsia="zh-CN"/>
        </w:rPr>
      </w:pPr>
    </w:p>
    <w:p>
      <w:pPr>
        <w:pStyle w:val="11"/>
        <w:ind w:left="0" w:leftChars="0" w:right="-252" w:firstLine="0" w:firstLineChars="0"/>
        <w:rPr>
          <w:rFonts w:hint="eastAsia" w:ascii="宋体" w:hAnsi="宋体" w:eastAsia="宋体" w:cs="宋体"/>
          <w:b w:val="0"/>
          <w:bCs w:val="0"/>
          <w:sz w:val="21"/>
          <w:szCs w:val="21"/>
          <w:lang w:eastAsia="zh-CN" w:bidi="ar"/>
        </w:rPr>
      </w:pPr>
      <w:r>
        <w:rPr>
          <w:rFonts w:hint="eastAsia" w:ascii="宋体" w:hAnsi="宋体" w:eastAsia="宋体" w:cs="宋体"/>
          <w:b w:val="0"/>
          <w:bCs w:val="0"/>
          <w:sz w:val="21"/>
          <w:szCs w:val="21"/>
          <w:lang w:eastAsia="zh-CN" w:bidi="ar"/>
        </w:rPr>
        <w:t>注：</w:t>
      </w:r>
    </w:p>
    <w:p>
      <w:pPr>
        <w:pStyle w:val="9"/>
        <w:spacing w:line="240" w:lineRule="auto"/>
        <w:jc w:val="left"/>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1.本附件必须提供。</w:t>
      </w:r>
    </w:p>
    <w:p>
      <w:pPr>
        <w:pStyle w:val="21"/>
        <w:ind w:firstLine="0"/>
        <w:rPr>
          <w:rFonts w:hint="eastAsia" w:ascii="宋体" w:hAnsi="宋体" w:eastAsia="宋体" w:cs="宋体"/>
          <w:sz w:val="21"/>
          <w:szCs w:val="21"/>
          <w:lang w:val="en-US" w:eastAsia="zh-CN"/>
        </w:rPr>
      </w:pPr>
      <w:r>
        <w:rPr>
          <w:rFonts w:hint="eastAsia" w:ascii="宋体" w:hAnsi="宋体" w:eastAsia="宋体" w:cs="宋体"/>
          <w:b w:val="0"/>
          <w:bCs/>
          <w:color w:val="auto"/>
          <w:sz w:val="21"/>
          <w:szCs w:val="21"/>
          <w:highlight w:val="none"/>
          <w:lang w:val="en-US" w:eastAsia="zh-CN"/>
        </w:rPr>
        <w:t>2.联合体投标的请各自提供</w:t>
      </w:r>
    </w:p>
    <w:p>
      <w:pPr>
        <w:pStyle w:val="11"/>
        <w:ind w:left="0" w:leftChars="0" w:firstLine="0" w:firstLineChars="0"/>
        <w:rPr>
          <w:rFonts w:hint="eastAsia" w:ascii="宋体" w:hAnsi="宋体" w:eastAsia="宋体" w:cs="宋体"/>
          <w:sz w:val="21"/>
          <w:szCs w:val="21"/>
        </w:rPr>
      </w:pPr>
    </w:p>
    <w:p>
      <w:pPr>
        <w:jc w:val="center"/>
        <w:rPr>
          <w:rFonts w:hint="eastAsia" w:ascii="宋体" w:hAnsi="宋体" w:eastAsia="宋体" w:cs="宋体"/>
          <w:b/>
          <w:kern w:val="0"/>
          <w:sz w:val="21"/>
          <w:szCs w:val="21"/>
        </w:rPr>
      </w:pPr>
    </w:p>
    <w:p>
      <w:pPr>
        <w:pStyle w:val="21"/>
        <w:rPr>
          <w:rFonts w:hint="eastAsia"/>
        </w:rPr>
      </w:pPr>
    </w:p>
    <w:p>
      <w:pPr>
        <w:widowControl/>
        <w:spacing w:line="360" w:lineRule="auto"/>
        <w:ind w:left="150"/>
        <w:jc w:val="center"/>
        <w:rPr>
          <w:rFonts w:hint="eastAsia" w:ascii="宋体" w:hAnsi="宋体" w:eastAsia="宋体" w:cs="宋体"/>
          <w:b/>
          <w:kern w:val="0"/>
          <w:sz w:val="32"/>
          <w:szCs w:val="32"/>
          <w:lang w:val="en-US" w:eastAsia="zh-CN"/>
        </w:rPr>
      </w:pPr>
      <w:r>
        <w:rPr>
          <w:rFonts w:hint="eastAsia" w:ascii="宋体" w:hAnsi="宋体" w:cs="宋体"/>
          <w:b/>
          <w:kern w:val="0"/>
          <w:sz w:val="32"/>
          <w:szCs w:val="32"/>
          <w:lang w:val="en-US" w:eastAsia="zh-CN"/>
        </w:rPr>
        <w:br w:type="page"/>
      </w:r>
      <w:r>
        <w:rPr>
          <w:rFonts w:hint="eastAsia" w:ascii="宋体" w:hAnsi="宋体" w:cs="宋体"/>
          <w:b/>
          <w:kern w:val="0"/>
          <w:sz w:val="32"/>
          <w:szCs w:val="32"/>
          <w:lang w:val="en-US" w:eastAsia="zh-CN"/>
        </w:rPr>
        <w:t>三</w:t>
      </w:r>
      <w:r>
        <w:rPr>
          <w:rFonts w:hint="eastAsia" w:ascii="宋体" w:hAnsi="宋体" w:eastAsia="宋体" w:cs="宋体"/>
          <w:b/>
          <w:kern w:val="0"/>
          <w:sz w:val="32"/>
          <w:szCs w:val="32"/>
        </w:rPr>
        <w:t>、分包</w:t>
      </w:r>
      <w:r>
        <w:rPr>
          <w:rFonts w:hint="eastAsia" w:ascii="宋体" w:hAnsi="宋体" w:eastAsia="宋体" w:cs="宋体"/>
          <w:b/>
          <w:color w:val="auto"/>
          <w:kern w:val="0"/>
          <w:sz w:val="32"/>
          <w:szCs w:val="32"/>
        </w:rPr>
        <w:t>意向协议</w:t>
      </w:r>
      <w:r>
        <w:rPr>
          <w:rFonts w:hint="eastAsia" w:ascii="宋体" w:hAnsi="宋体" w:eastAsia="宋体" w:cs="宋体"/>
          <w:b/>
          <w:color w:val="auto"/>
          <w:kern w:val="0"/>
          <w:sz w:val="32"/>
          <w:szCs w:val="32"/>
          <w:lang w:val="en-US" w:eastAsia="zh-CN"/>
        </w:rPr>
        <w:t>（如果有）</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[中标后以分包方式履行合同的，提供分包意向协议(附件</w:t>
      </w:r>
      <w:r>
        <w:rPr>
          <w:rFonts w:hint="eastAsia" w:ascii="宋体" w:hAnsi="宋体" w:eastAsia="宋体" w:cs="宋体"/>
          <w:sz w:val="21"/>
          <w:szCs w:val="21"/>
          <w:lang w:eastAsia="zh-CN"/>
        </w:rPr>
        <w:t>7</w:t>
      </w:r>
      <w:r>
        <w:rPr>
          <w:rFonts w:hint="eastAsia" w:ascii="宋体" w:hAnsi="宋体" w:eastAsia="宋体" w:cs="宋体"/>
          <w:sz w:val="21"/>
          <w:szCs w:val="21"/>
        </w:rPr>
        <w:t>)；采购人不同意分包或者</w:t>
      </w:r>
      <w:r>
        <w:rPr>
          <w:rFonts w:hint="eastAsia" w:ascii="宋体" w:hAnsi="宋体" w:eastAsia="宋体" w:cs="宋体"/>
          <w:sz w:val="21"/>
          <w:szCs w:val="21"/>
          <w:lang w:eastAsia="zh-CN"/>
        </w:rPr>
        <w:t>磋商供应商</w:t>
      </w:r>
      <w:r>
        <w:rPr>
          <w:rFonts w:hint="eastAsia" w:ascii="宋体" w:hAnsi="宋体" w:eastAsia="宋体" w:cs="宋体"/>
          <w:sz w:val="21"/>
          <w:szCs w:val="21"/>
        </w:rPr>
        <w:t>中标后不以分包方式履行合同的，则不需要提供。]</w:t>
      </w:r>
    </w:p>
    <w:p>
      <w:pPr>
        <w:jc w:val="both"/>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r>
        <w:rPr>
          <w:rFonts w:hint="eastAsia" w:ascii="宋体" w:hAnsi="宋体" w:cs="宋体"/>
          <w:b/>
          <w:kern w:val="0"/>
          <w:sz w:val="32"/>
          <w:szCs w:val="32"/>
          <w:lang w:val="en-US" w:eastAsia="zh-CN"/>
        </w:rPr>
        <w:t>四</w:t>
      </w:r>
      <w:r>
        <w:rPr>
          <w:rFonts w:hint="eastAsia" w:ascii="宋体" w:hAnsi="宋体" w:eastAsia="宋体" w:cs="宋体"/>
          <w:b/>
          <w:kern w:val="0"/>
          <w:sz w:val="32"/>
          <w:szCs w:val="32"/>
        </w:rPr>
        <w:t>、符合性审查资料</w:t>
      </w:r>
    </w:p>
    <w:p>
      <w:pPr>
        <w:jc w:val="center"/>
        <w:rPr>
          <w:rFonts w:hint="eastAsia" w:ascii="宋体" w:hAnsi="宋体" w:eastAsia="宋体" w:cs="宋体"/>
          <w:b/>
          <w:kern w:val="0"/>
          <w:sz w:val="32"/>
          <w:szCs w:val="32"/>
        </w:rPr>
      </w:pPr>
    </w:p>
    <w:tbl>
      <w:tblPr>
        <w:tblStyle w:val="2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95"/>
        <w:gridCol w:w="361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eastAsia" w:ascii="宋体" w:hAnsi="宋体" w:eastAsia="宋体" w:cs="宋体"/>
                <w:b/>
                <w:sz w:val="21"/>
                <w:szCs w:val="21"/>
              </w:rPr>
            </w:pPr>
            <w:r>
              <w:rPr>
                <w:rFonts w:hint="eastAsia" w:ascii="宋体" w:hAnsi="宋体" w:eastAsia="宋体" w:cs="宋体"/>
                <w:b/>
                <w:sz w:val="21"/>
                <w:szCs w:val="21"/>
              </w:rPr>
              <w:t>序号</w:t>
            </w:r>
          </w:p>
        </w:tc>
        <w:tc>
          <w:tcPr>
            <w:tcW w:w="3495"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eastAsia" w:ascii="宋体" w:hAnsi="宋体" w:eastAsia="宋体" w:cs="宋体"/>
                <w:b/>
                <w:sz w:val="21"/>
                <w:szCs w:val="21"/>
              </w:rPr>
            </w:pPr>
            <w:r>
              <w:rPr>
                <w:rFonts w:hint="eastAsia" w:ascii="宋体" w:hAnsi="宋体" w:eastAsia="宋体" w:cs="宋体"/>
                <w:b/>
                <w:sz w:val="21"/>
                <w:szCs w:val="21"/>
              </w:rPr>
              <w:t>实质性要求</w:t>
            </w:r>
          </w:p>
        </w:tc>
        <w:tc>
          <w:tcPr>
            <w:tcW w:w="3615"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eastAsia" w:ascii="宋体" w:hAnsi="宋体" w:eastAsia="宋体" w:cs="宋体"/>
                <w:b/>
                <w:sz w:val="21"/>
                <w:szCs w:val="21"/>
              </w:rPr>
            </w:pPr>
            <w:r>
              <w:rPr>
                <w:rFonts w:hint="eastAsia" w:ascii="宋体" w:hAnsi="宋体" w:eastAsia="宋体" w:cs="宋体"/>
                <w:b/>
                <w:sz w:val="21"/>
                <w:szCs w:val="21"/>
              </w:rPr>
              <w:t>需要提供的符合性审查资料</w:t>
            </w:r>
          </w:p>
        </w:tc>
        <w:tc>
          <w:tcPr>
            <w:tcW w:w="1850" w:type="dxa"/>
            <w:noWrap w:val="0"/>
            <w:vAlign w:val="center"/>
          </w:tcPr>
          <w:p>
            <w:pPr>
              <w:pageBreakBefore w:val="0"/>
              <w:widowControl w:val="0"/>
              <w:kinsoku/>
              <w:wordWrap/>
              <w:overflowPunct/>
              <w:topLinePunct w:val="0"/>
              <w:autoSpaceDE/>
              <w:autoSpaceDN/>
              <w:bidi w:val="0"/>
              <w:snapToGrid w:val="0"/>
              <w:spacing w:line="240" w:lineRule="auto"/>
              <w:ind w:left="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磋商响应文件</w:t>
            </w:r>
            <w:r>
              <w:rPr>
                <w:rFonts w:hint="eastAsia" w:ascii="宋体" w:hAnsi="宋体" w:eastAsia="宋体" w:cs="宋体"/>
                <w:b/>
                <w:sz w:val="21"/>
                <w:szCs w:val="21"/>
              </w:rPr>
              <w:t>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磋商响应文件</w:t>
            </w:r>
            <w:r>
              <w:rPr>
                <w:rFonts w:hint="eastAsia" w:ascii="宋体" w:hAnsi="宋体" w:eastAsia="宋体" w:cs="宋体"/>
                <w:sz w:val="21"/>
                <w:szCs w:val="21"/>
              </w:rPr>
              <w:t>按照</w:t>
            </w:r>
            <w:r>
              <w:rPr>
                <w:rFonts w:hint="eastAsia" w:ascii="宋体" w:hAnsi="宋体" w:eastAsia="宋体" w:cs="宋体"/>
                <w:sz w:val="21"/>
                <w:szCs w:val="21"/>
                <w:lang w:eastAsia="zh-CN"/>
              </w:rPr>
              <w:t>磋商文件</w:t>
            </w:r>
            <w:r>
              <w:rPr>
                <w:rFonts w:hint="eastAsia" w:ascii="宋体" w:hAnsi="宋体" w:eastAsia="宋体" w:cs="宋体"/>
                <w:sz w:val="21"/>
                <w:szCs w:val="21"/>
              </w:rPr>
              <w:t>要求签署、盖章。</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需要使用电子签名或者签字盖章的</w:t>
            </w:r>
            <w:r>
              <w:rPr>
                <w:rFonts w:hint="eastAsia" w:ascii="宋体" w:hAnsi="宋体" w:eastAsia="宋体" w:cs="宋体"/>
                <w:sz w:val="21"/>
                <w:szCs w:val="21"/>
                <w:lang w:eastAsia="zh-CN"/>
              </w:rPr>
              <w:t>磋商响应文件</w:t>
            </w:r>
            <w:r>
              <w:rPr>
                <w:rFonts w:hint="eastAsia" w:ascii="宋体" w:hAnsi="宋体" w:eastAsia="宋体" w:cs="宋体"/>
                <w:sz w:val="21"/>
                <w:szCs w:val="21"/>
              </w:rPr>
              <w:t>的组成部分</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见</w:t>
            </w:r>
            <w:r>
              <w:rPr>
                <w:rFonts w:hint="eastAsia" w:ascii="宋体" w:hAnsi="宋体" w:eastAsia="宋体" w:cs="宋体"/>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u w:val="single"/>
              </w:rPr>
              <w:t xml:space="preserve">  </w:t>
            </w:r>
            <w:r>
              <w:rPr>
                <w:rFonts w:hint="eastAsia" w:ascii="宋体" w:hAnsi="宋体" w:eastAsia="宋体" w:cs="宋体"/>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采购人拟采购的产品属于政府强制采购的节能产品品目清单范围的，</w:t>
            </w:r>
            <w:r>
              <w:rPr>
                <w:rFonts w:hint="eastAsia" w:ascii="宋体" w:hAnsi="宋体" w:eastAsia="宋体" w:cs="宋体"/>
                <w:sz w:val="21"/>
                <w:szCs w:val="21"/>
                <w:lang w:eastAsia="zh-CN"/>
              </w:rPr>
              <w:t>磋商供应商</w:t>
            </w:r>
            <w:r>
              <w:rPr>
                <w:rFonts w:hint="eastAsia" w:ascii="宋体" w:hAnsi="宋体" w:eastAsia="宋体" w:cs="宋体"/>
                <w:sz w:val="21"/>
                <w:szCs w:val="21"/>
              </w:rPr>
              <w:t>按</w:t>
            </w:r>
            <w:r>
              <w:rPr>
                <w:rFonts w:hint="eastAsia" w:ascii="宋体" w:hAnsi="宋体" w:eastAsia="宋体" w:cs="宋体"/>
                <w:sz w:val="21"/>
                <w:szCs w:val="21"/>
                <w:lang w:eastAsia="zh-CN"/>
              </w:rPr>
              <w:t>磋商文件</w:t>
            </w:r>
            <w:r>
              <w:rPr>
                <w:rFonts w:hint="eastAsia" w:ascii="宋体" w:hAnsi="宋体" w:eastAsia="宋体" w:cs="宋体"/>
                <w:sz w:val="21"/>
                <w:szCs w:val="21"/>
              </w:rPr>
              <w:t>要求提供国家确定的认证机构出具的、处于有效期之内的节能产品认证证书。</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节能产品认证证书（本项目拟采购的产品不属于政府强制采购的节能产品品目清单范围的，无需提供）</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rPr>
            </w:pPr>
          </w:p>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见</w:t>
            </w:r>
            <w:r>
              <w:rPr>
                <w:rFonts w:hint="eastAsia" w:ascii="宋体" w:hAnsi="宋体" w:eastAsia="宋体" w:cs="宋体"/>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default" w:ascii="宋体" w:hAnsi="宋体" w:eastAsia="宋体" w:cs="宋体"/>
                <w:sz w:val="21"/>
                <w:szCs w:val="21"/>
                <w:lang w:val="en-US" w:eastAsia="zh-CN"/>
              </w:rPr>
            </w:pPr>
            <w:r>
              <w:rPr>
                <w:rFonts w:hint="eastAsia" w:ascii="宋体" w:hAnsi="宋体" w:cs="宋体"/>
                <w:sz w:val="21"/>
                <w:szCs w:val="21"/>
                <w:lang w:eastAsia="zh-CN"/>
              </w:rPr>
              <w:t>第</w:t>
            </w:r>
            <w:r>
              <w:rPr>
                <w:rFonts w:hint="eastAsia" w:ascii="宋体" w:hAnsi="宋体" w:cs="宋体"/>
                <w:sz w:val="21"/>
                <w:szCs w:val="21"/>
                <w:u w:val="single"/>
                <w:lang w:val="en-US" w:eastAsia="zh-CN"/>
              </w:rPr>
              <w:t xml:space="preserve">   </w:t>
            </w:r>
            <w:r>
              <w:rPr>
                <w:rFonts w:hint="eastAsia" w:ascii="宋体" w:hAnsi="宋体" w:cs="宋体"/>
                <w:sz w:val="21"/>
                <w:szCs w:val="21"/>
                <w:lang w:val="en-US" w:eastAsia="zh-CN"/>
              </w:rPr>
              <w:t>页</w:t>
            </w:r>
          </w:p>
          <w:p>
            <w:pPr>
              <w:pStyle w:val="3"/>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lang w:val="en-US"/>
              </w:rPr>
            </w:pPr>
            <w:bookmarkStart w:id="861" w:name="_Toc24624"/>
            <w:r>
              <w:rPr>
                <w:rFonts w:hint="eastAsia" w:ascii="宋体" w:hAnsi="宋体" w:eastAsia="宋体" w:cs="宋体"/>
                <w:b w:val="0"/>
                <w:bCs w:val="0"/>
                <w:sz w:val="21"/>
                <w:szCs w:val="21"/>
                <w:lang w:val="en-US"/>
              </w:rPr>
              <w:t>第</w:t>
            </w:r>
            <w:bookmarkEnd w:id="8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磋商响应文件</w:t>
            </w:r>
            <w:r>
              <w:rPr>
                <w:rFonts w:hint="eastAsia" w:ascii="宋体" w:hAnsi="宋体" w:eastAsia="宋体" w:cs="宋体"/>
                <w:sz w:val="21"/>
                <w:szCs w:val="21"/>
              </w:rPr>
              <w:t>中承诺的投标有效期不少于</w:t>
            </w:r>
            <w:r>
              <w:rPr>
                <w:rFonts w:hint="eastAsia" w:ascii="宋体" w:hAnsi="宋体" w:eastAsia="宋体" w:cs="宋体"/>
                <w:sz w:val="21"/>
                <w:szCs w:val="21"/>
                <w:lang w:eastAsia="zh-CN"/>
              </w:rPr>
              <w:t>磋商文件</w:t>
            </w:r>
            <w:r>
              <w:rPr>
                <w:rFonts w:hint="eastAsia" w:ascii="宋体" w:hAnsi="宋体" w:eastAsia="宋体" w:cs="宋体"/>
                <w:sz w:val="21"/>
                <w:szCs w:val="21"/>
              </w:rPr>
              <w:t>中载明的投标有效期。</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rPr>
              <w:t>投标函</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见</w:t>
            </w:r>
            <w:r>
              <w:rPr>
                <w:rFonts w:hint="eastAsia" w:ascii="宋体" w:hAnsi="宋体" w:eastAsia="宋体" w:cs="宋体"/>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u w:val="single"/>
              </w:rPr>
              <w:t xml:space="preserve">  </w:t>
            </w:r>
            <w:r>
              <w:rPr>
                <w:rFonts w:hint="eastAsia" w:ascii="宋体" w:hAnsi="宋体" w:eastAsia="宋体" w:cs="宋体"/>
                <w:sz w:val="21"/>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pageBreakBefore w:val="0"/>
              <w:widowControl w:val="0"/>
              <w:kinsoku/>
              <w:wordWrap/>
              <w:overflowPunct/>
              <w:topLinePunct w:val="0"/>
              <w:autoSpaceDE/>
              <w:autoSpaceDN/>
              <w:bidi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349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磋商响应文件</w:t>
            </w:r>
            <w:r>
              <w:rPr>
                <w:rFonts w:hint="eastAsia" w:ascii="宋体" w:hAnsi="宋体" w:eastAsia="宋体" w:cs="宋体"/>
                <w:sz w:val="21"/>
                <w:szCs w:val="21"/>
              </w:rPr>
              <w:t>满足</w:t>
            </w:r>
            <w:r>
              <w:rPr>
                <w:rFonts w:hint="eastAsia" w:ascii="宋体" w:hAnsi="宋体" w:eastAsia="宋体" w:cs="宋体"/>
                <w:sz w:val="21"/>
                <w:szCs w:val="21"/>
                <w:lang w:eastAsia="zh-CN"/>
              </w:rPr>
              <w:t>磋商文件</w:t>
            </w:r>
            <w:r>
              <w:rPr>
                <w:rFonts w:hint="eastAsia" w:ascii="宋体" w:hAnsi="宋体" w:eastAsia="宋体" w:cs="宋体"/>
                <w:sz w:val="21"/>
                <w:szCs w:val="21"/>
              </w:rPr>
              <w:t>的其它实质性要求。</w:t>
            </w:r>
          </w:p>
        </w:tc>
        <w:tc>
          <w:tcPr>
            <w:tcW w:w="3615" w:type="dxa"/>
            <w:noWrap w:val="0"/>
            <w:vAlign w:val="center"/>
          </w:tcPr>
          <w:p>
            <w:pPr>
              <w:pageBreakBefore w:val="0"/>
              <w:widowControl w:val="0"/>
              <w:kinsoku/>
              <w:wordWrap/>
              <w:overflowPunct/>
              <w:topLinePunct w:val="0"/>
              <w:autoSpaceDE/>
              <w:autoSpaceDN/>
              <w:bidi w:val="0"/>
              <w:spacing w:line="240" w:lineRule="auto"/>
              <w:ind w:left="0"/>
              <w:jc w:val="both"/>
              <w:textAlignment w:val="auto"/>
              <w:rPr>
                <w:rFonts w:hint="eastAsia" w:ascii="宋体" w:hAnsi="宋体" w:eastAsia="宋体" w:cs="宋体"/>
                <w:sz w:val="21"/>
                <w:szCs w:val="21"/>
              </w:rPr>
            </w:pP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其它实质性要求相应的材料（“▲” 系指实质性要求条款，</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无其它实质性要求的，无需提供）</w:t>
            </w:r>
          </w:p>
        </w:tc>
        <w:tc>
          <w:tcPr>
            <w:tcW w:w="1850" w:type="dxa"/>
            <w:noWrap w:val="0"/>
            <w:vAlign w:val="center"/>
          </w:tcPr>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见</w:t>
            </w:r>
            <w:r>
              <w:rPr>
                <w:rFonts w:hint="eastAsia" w:ascii="宋体" w:hAnsi="宋体" w:eastAsia="宋体" w:cs="宋体"/>
                <w:sz w:val="21"/>
                <w:szCs w:val="21"/>
                <w:lang w:eastAsia="zh-CN"/>
              </w:rPr>
              <w:t>磋商响应文件</w:t>
            </w:r>
          </w:p>
          <w:p>
            <w:pPr>
              <w:pageBreakBefore w:val="0"/>
              <w:widowControl w:val="0"/>
              <w:kinsoku/>
              <w:wordWrap/>
              <w:overflowPunct/>
              <w:topLinePunct w:val="0"/>
              <w:autoSpaceDE/>
              <w:autoSpaceDN/>
              <w:bidi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u w:val="single"/>
              </w:rPr>
              <w:t xml:space="preserve">  </w:t>
            </w:r>
            <w:r>
              <w:rPr>
                <w:rFonts w:hint="eastAsia" w:ascii="宋体" w:hAnsi="宋体" w:eastAsia="宋体" w:cs="宋体"/>
                <w:sz w:val="21"/>
                <w:szCs w:val="21"/>
              </w:rPr>
              <w:t>页</w:t>
            </w:r>
          </w:p>
        </w:tc>
      </w:tr>
    </w:tbl>
    <w:p>
      <w:pPr>
        <w:pStyle w:val="6"/>
        <w:ind w:left="0" w:leftChars="0"/>
        <w:rPr>
          <w:rFonts w:hint="eastAsia" w:ascii="宋体" w:hAnsi="宋体" w:eastAsia="宋体" w:cs="宋体"/>
        </w:rPr>
      </w:pPr>
    </w:p>
    <w:p>
      <w:pPr>
        <w:jc w:val="both"/>
        <w:rPr>
          <w:rFonts w:hint="eastAsia" w:ascii="宋体" w:hAnsi="宋体" w:eastAsia="宋体" w:cs="宋体"/>
          <w:b/>
          <w:kern w:val="0"/>
          <w:sz w:val="32"/>
          <w:szCs w:val="32"/>
        </w:rPr>
      </w:pPr>
      <w:r>
        <w:rPr>
          <w:rFonts w:hint="eastAsia" w:ascii="宋体" w:hAnsi="宋体" w:eastAsia="宋体" w:cs="宋体"/>
          <w:sz w:val="21"/>
          <w:szCs w:val="21"/>
          <w:lang w:val="en-US" w:eastAsia="zh-CN"/>
        </w:rPr>
        <w:t>注：按本格式和要求提供</w:t>
      </w:r>
      <w:r>
        <w:rPr>
          <w:rFonts w:hint="eastAsia" w:ascii="宋体" w:hAnsi="宋体" w:eastAsia="宋体" w:cs="宋体"/>
          <w:b/>
          <w:kern w:val="0"/>
          <w:sz w:val="21"/>
          <w:szCs w:val="21"/>
        </w:rPr>
        <w:t xml:space="preserve">    </w:t>
      </w:r>
      <w:r>
        <w:rPr>
          <w:rFonts w:hint="eastAsia" w:ascii="宋体" w:hAnsi="宋体" w:eastAsia="宋体" w:cs="宋体"/>
          <w:b/>
          <w:kern w:val="0"/>
          <w:sz w:val="32"/>
          <w:szCs w:val="32"/>
        </w:rPr>
        <w:t xml:space="preserve">        </w:t>
      </w: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jc w:val="center"/>
        <w:rPr>
          <w:rFonts w:hint="eastAsia" w:ascii="宋体" w:hAnsi="宋体" w:eastAsia="宋体" w:cs="宋体"/>
          <w:b/>
          <w:kern w:val="0"/>
          <w:sz w:val="32"/>
          <w:szCs w:val="32"/>
        </w:rPr>
      </w:pPr>
    </w:p>
    <w:p>
      <w:pPr>
        <w:numPr>
          <w:ilvl w:val="0"/>
          <w:numId w:val="0"/>
        </w:numPr>
        <w:ind w:leftChars="0"/>
        <w:jc w:val="center"/>
        <w:rPr>
          <w:rFonts w:hint="eastAsia" w:ascii="宋体" w:hAnsi="宋体" w:eastAsia="宋体" w:cs="宋体"/>
          <w:b/>
          <w:kern w:val="0"/>
          <w:sz w:val="32"/>
          <w:szCs w:val="32"/>
        </w:rPr>
      </w:pPr>
      <w:r>
        <w:rPr>
          <w:rFonts w:hint="eastAsia" w:ascii="宋体" w:hAnsi="宋体" w:cs="宋体"/>
          <w:b/>
          <w:kern w:val="0"/>
          <w:sz w:val="32"/>
          <w:szCs w:val="32"/>
          <w:lang w:val="en-US" w:eastAsia="zh-CN"/>
        </w:rPr>
        <w:t>五、</w:t>
      </w:r>
      <w:r>
        <w:rPr>
          <w:rFonts w:hint="eastAsia" w:ascii="宋体" w:hAnsi="宋体" w:eastAsia="宋体" w:cs="宋体"/>
          <w:b/>
          <w:kern w:val="0"/>
          <w:sz w:val="32"/>
          <w:szCs w:val="32"/>
        </w:rPr>
        <w:t>评标标准相应的商务技术资料</w:t>
      </w:r>
    </w:p>
    <w:p>
      <w:pPr>
        <w:pStyle w:val="21"/>
        <w:numPr>
          <w:ilvl w:val="0"/>
          <w:numId w:val="0"/>
        </w:numPr>
        <w:ind w:leftChars="0"/>
        <w:rPr>
          <w:rFonts w:hint="eastAsia"/>
        </w:rPr>
      </w:pPr>
    </w:p>
    <w:p>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（按</w:t>
      </w:r>
      <w:r>
        <w:rPr>
          <w:rFonts w:hint="eastAsia" w:ascii="宋体" w:hAnsi="宋体" w:eastAsia="宋体" w:cs="宋体"/>
          <w:b/>
          <w:sz w:val="21"/>
          <w:szCs w:val="21"/>
          <w:lang w:eastAsia="zh-CN"/>
        </w:rPr>
        <w:t>磋商文件</w:t>
      </w:r>
      <w:r>
        <w:rPr>
          <w:rFonts w:hint="eastAsia" w:ascii="宋体" w:hAnsi="宋体" w:eastAsia="宋体" w:cs="宋体"/>
          <w:b/>
          <w:sz w:val="21"/>
          <w:szCs w:val="21"/>
        </w:rPr>
        <w:t>第四部分评标办法前附表中“</w:t>
      </w:r>
      <w:r>
        <w:rPr>
          <w:rFonts w:hint="eastAsia" w:ascii="宋体" w:hAnsi="宋体" w:eastAsia="宋体" w:cs="宋体"/>
          <w:b/>
          <w:sz w:val="21"/>
          <w:szCs w:val="21"/>
          <w:lang w:eastAsia="zh-CN"/>
        </w:rPr>
        <w:t>磋商响应文件</w:t>
      </w:r>
      <w:r>
        <w:rPr>
          <w:rFonts w:hint="eastAsia" w:ascii="宋体" w:hAnsi="宋体" w:eastAsia="宋体" w:cs="宋体"/>
          <w:b/>
          <w:sz w:val="21"/>
          <w:szCs w:val="21"/>
        </w:rPr>
        <w:t>中评标标准相应的商务技术资料目录”</w:t>
      </w:r>
    </w:p>
    <w:p>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提供资料）</w:t>
      </w:r>
    </w:p>
    <w:p>
      <w:pPr>
        <w:jc w:val="center"/>
        <w:rPr>
          <w:rFonts w:hint="eastAsia" w:ascii="宋体" w:hAnsi="宋体" w:eastAsia="宋体" w:cs="宋体"/>
          <w:b/>
          <w:kern w:val="0"/>
          <w:sz w:val="32"/>
          <w:szCs w:val="32"/>
        </w:rPr>
      </w:pPr>
    </w:p>
    <w:p>
      <w:pPr>
        <w:pStyle w:val="21"/>
        <w:rPr>
          <w:rFonts w:hint="eastAsia" w:ascii="宋体" w:hAnsi="宋体" w:eastAsia="宋体" w:cs="宋体"/>
          <w:b/>
          <w:kern w:val="0"/>
          <w:sz w:val="32"/>
          <w:szCs w:val="32"/>
        </w:rPr>
      </w:pPr>
    </w:p>
    <w:p>
      <w:pPr>
        <w:rPr>
          <w:rFonts w:hint="eastAsia"/>
        </w:rPr>
      </w:pPr>
    </w:p>
    <w:p>
      <w:pPr>
        <w:jc w:val="center"/>
        <w:rPr>
          <w:rFonts w:hint="eastAsia" w:ascii="宋体" w:hAnsi="宋体" w:eastAsia="宋体" w:cs="宋体"/>
          <w:b/>
          <w:kern w:val="0"/>
          <w:sz w:val="32"/>
          <w:szCs w:val="32"/>
          <w:lang w:val="en-US" w:eastAsia="zh-CN"/>
        </w:rPr>
      </w:pPr>
      <w:r>
        <w:rPr>
          <w:rFonts w:hint="eastAsia" w:ascii="宋体" w:hAnsi="宋体" w:cs="宋体"/>
          <w:b/>
          <w:kern w:val="0"/>
          <w:sz w:val="32"/>
          <w:szCs w:val="32"/>
          <w:lang w:val="en-US" w:eastAsia="zh-CN"/>
        </w:rPr>
        <w:br w:type="page"/>
      </w:r>
      <w:r>
        <w:rPr>
          <w:rFonts w:hint="eastAsia" w:ascii="宋体" w:hAnsi="宋体" w:cs="宋体"/>
          <w:b/>
          <w:kern w:val="0"/>
          <w:sz w:val="32"/>
          <w:szCs w:val="32"/>
          <w:lang w:val="en-US" w:eastAsia="zh-CN"/>
        </w:rPr>
        <w:t>六</w:t>
      </w:r>
      <w:r>
        <w:rPr>
          <w:rFonts w:hint="eastAsia" w:ascii="宋体" w:hAnsi="宋体" w:eastAsia="宋体" w:cs="宋体"/>
          <w:b/>
          <w:kern w:val="0"/>
          <w:sz w:val="32"/>
          <w:szCs w:val="32"/>
          <w:lang w:val="en-US" w:eastAsia="zh-CN"/>
        </w:rPr>
        <w:t>、</w:t>
      </w:r>
      <w:r>
        <w:rPr>
          <w:rFonts w:hint="eastAsia" w:ascii="宋体" w:hAnsi="宋体" w:cs="宋体"/>
          <w:b/>
          <w:kern w:val="0"/>
          <w:sz w:val="32"/>
          <w:szCs w:val="32"/>
          <w:lang w:val="en-US" w:eastAsia="zh-CN"/>
        </w:rPr>
        <w:t>投标报价</w:t>
      </w:r>
    </w:p>
    <w:p>
      <w:pPr>
        <w:spacing w:line="480" w:lineRule="exact"/>
        <w:rPr>
          <w:rFonts w:hint="eastAsia" w:ascii="黑体" w:eastAsia="黑体"/>
          <w:color w:val="auto"/>
          <w:sz w:val="24"/>
        </w:rPr>
      </w:pPr>
    </w:p>
    <w:p>
      <w:pPr>
        <w:wordWrap w:val="0"/>
        <w:spacing w:after="312" w:afterLines="100"/>
        <w:ind w:firstLine="845" w:firstLineChars="302"/>
        <w:rPr>
          <w:rFonts w:hint="eastAsia" w:ascii="黑体" w:hAnsi="黑体" w:eastAsia="黑体" w:cs="Arial"/>
          <w:color w:val="auto"/>
          <w:sz w:val="28"/>
        </w:rPr>
      </w:pPr>
    </w:p>
    <w:p>
      <w:pPr>
        <w:wordWrap w:val="0"/>
        <w:spacing w:after="312" w:afterLines="100"/>
        <w:ind w:firstLine="845" w:firstLineChars="302"/>
        <w:rPr>
          <w:rFonts w:hint="eastAsia" w:ascii="黑体" w:hAnsi="黑体" w:eastAsia="黑体" w:cs="Arial"/>
          <w:color w:val="auto"/>
          <w:sz w:val="28"/>
        </w:rPr>
      </w:pPr>
    </w:p>
    <w:p>
      <w:pPr>
        <w:wordWrap w:val="0"/>
        <w:spacing w:after="312" w:afterLines="100"/>
        <w:ind w:firstLine="845" w:firstLineChars="302"/>
        <w:rPr>
          <w:rFonts w:hint="eastAsia" w:ascii="黑体" w:hAnsi="黑体" w:eastAsia="黑体" w:cs="Arial"/>
          <w:color w:val="auto"/>
          <w:sz w:val="28"/>
        </w:rPr>
      </w:pPr>
    </w:p>
    <w:p>
      <w:pPr>
        <w:wordWrap w:val="0"/>
        <w:spacing w:after="312" w:afterLines="100"/>
        <w:ind w:firstLine="845" w:firstLineChars="302"/>
        <w:rPr>
          <w:rFonts w:ascii="黑体" w:hAnsi="黑体" w:eastAsia="黑体" w:cs="Arial"/>
          <w:color w:val="auto"/>
          <w:sz w:val="28"/>
          <w:u w:val="single"/>
        </w:rPr>
      </w:pPr>
      <w:r>
        <w:rPr>
          <w:rFonts w:hint="eastAsia" w:ascii="黑体" w:hAnsi="黑体" w:eastAsia="黑体" w:cs="Arial"/>
          <w:color w:val="auto"/>
          <w:sz w:val="28"/>
        </w:rPr>
        <w:t>招</w:t>
      </w:r>
      <w:r>
        <w:rPr>
          <w:rFonts w:ascii="黑体" w:hAnsi="黑体" w:eastAsia="黑体" w:cs="Arial"/>
          <w:color w:val="auto"/>
          <w:sz w:val="28"/>
        </w:rPr>
        <w:t xml:space="preserve"> </w:t>
      </w:r>
      <w:r>
        <w:rPr>
          <w:rFonts w:hint="eastAsia" w:ascii="黑体" w:hAnsi="黑体" w:eastAsia="黑体" w:cs="Arial"/>
          <w:color w:val="auto"/>
          <w:sz w:val="28"/>
        </w:rPr>
        <w:t>标</w:t>
      </w:r>
      <w:r>
        <w:rPr>
          <w:rFonts w:ascii="黑体" w:hAnsi="黑体" w:eastAsia="黑体" w:cs="Arial"/>
          <w:color w:val="auto"/>
          <w:sz w:val="28"/>
        </w:rPr>
        <w:t xml:space="preserve"> </w:t>
      </w:r>
      <w:r>
        <w:rPr>
          <w:rFonts w:hint="eastAsia" w:ascii="黑体" w:hAnsi="黑体" w:eastAsia="黑体" w:cs="Arial"/>
          <w:color w:val="auto"/>
          <w:sz w:val="28"/>
        </w:rPr>
        <w:t>人：</w:t>
      </w:r>
      <w:r>
        <w:rPr>
          <w:rFonts w:hint="eastAsia" w:ascii="宋体" w:hAnsi="宋体"/>
          <w:color w:val="auto"/>
          <w:u w:val="single"/>
        </w:rPr>
        <w:t xml:space="preserve">                                        </w:t>
      </w:r>
      <w:r>
        <w:rPr>
          <w:rFonts w:ascii="黑体" w:hAnsi="黑体" w:eastAsia="黑体" w:cs="Arial"/>
          <w:color w:val="auto"/>
          <w:sz w:val="24"/>
          <w:u w:val="single"/>
        </w:rPr>
        <w:t xml:space="preserve">  </w:t>
      </w:r>
    </w:p>
    <w:p>
      <w:pPr>
        <w:spacing w:after="312" w:afterLines="100"/>
        <w:ind w:firstLine="848" w:firstLineChars="303"/>
        <w:rPr>
          <w:rFonts w:ascii="黑体" w:hAnsi="黑体" w:eastAsia="黑体" w:cs="Arial"/>
          <w:color w:val="auto"/>
          <w:sz w:val="28"/>
        </w:rPr>
      </w:pPr>
      <w:r>
        <w:rPr>
          <w:rFonts w:hint="eastAsia" w:ascii="黑体" w:hAnsi="黑体" w:eastAsia="黑体" w:cs="Arial"/>
          <w:color w:val="auto"/>
          <w:sz w:val="28"/>
        </w:rPr>
        <w:t>工程名称：</w:t>
      </w:r>
      <w:r>
        <w:rPr>
          <w:rFonts w:hint="eastAsia" w:ascii="宋体" w:hAnsi="宋体"/>
          <w:color w:val="auto"/>
          <w:u w:val="single"/>
        </w:rPr>
        <w:t xml:space="preserve">                                        </w:t>
      </w:r>
      <w:r>
        <w:rPr>
          <w:rFonts w:ascii="黑体" w:hAnsi="黑体" w:eastAsia="黑体" w:cs="Arial"/>
          <w:color w:val="auto"/>
          <w:sz w:val="24"/>
          <w:u w:val="single"/>
        </w:rPr>
        <w:t xml:space="preserve">  </w:t>
      </w:r>
      <w:r>
        <w:rPr>
          <w:rFonts w:ascii="黑体" w:hAnsi="黑体" w:eastAsia="黑体" w:cs="Arial"/>
          <w:color w:val="auto"/>
          <w:sz w:val="24"/>
        </w:rPr>
        <w:t xml:space="preserve">                     </w:t>
      </w:r>
    </w:p>
    <w:p>
      <w:pPr>
        <w:spacing w:after="312" w:afterLines="100"/>
        <w:ind w:firstLine="848" w:firstLineChars="303"/>
        <w:rPr>
          <w:rFonts w:ascii="黑体" w:hAnsi="黑体" w:eastAsia="黑体" w:cs="Arial"/>
          <w:color w:val="auto"/>
          <w:u w:val="single"/>
        </w:rPr>
      </w:pPr>
      <w:r>
        <w:rPr>
          <w:rFonts w:hint="eastAsia" w:ascii="黑体" w:hAnsi="黑体" w:eastAsia="黑体" w:cs="Arial"/>
          <w:color w:val="auto"/>
          <w:sz w:val="28"/>
        </w:rPr>
        <w:t>投标总价</w:t>
      </w:r>
      <w:r>
        <w:rPr>
          <w:rFonts w:hint="eastAsia" w:ascii="黑体" w:hAnsi="黑体" w:eastAsia="黑体" w:cs="Arial"/>
          <w:color w:val="auto"/>
          <w:sz w:val="24"/>
        </w:rPr>
        <w:t>（小写）：</w:t>
      </w:r>
      <w:r>
        <w:rPr>
          <w:rFonts w:ascii="黑体" w:hAnsi="黑体" w:eastAsia="黑体" w:cs="Arial"/>
          <w:color w:val="auto"/>
          <w:sz w:val="24"/>
          <w:u w:val="single"/>
        </w:rPr>
        <w:t xml:space="preserve">                                        </w:t>
      </w:r>
    </w:p>
    <w:p>
      <w:pPr>
        <w:spacing w:after="312" w:afterLines="100"/>
        <w:ind w:firstLine="2040" w:firstLineChars="850"/>
        <w:rPr>
          <w:rFonts w:ascii="黑体" w:hAnsi="黑体" w:eastAsia="黑体" w:cs="Arial"/>
          <w:color w:val="auto"/>
          <w:sz w:val="24"/>
        </w:rPr>
      </w:pPr>
      <w:r>
        <w:rPr>
          <w:rFonts w:hint="eastAsia" w:ascii="黑体" w:hAnsi="黑体" w:eastAsia="黑体" w:cs="Arial"/>
          <w:color w:val="auto"/>
          <w:sz w:val="24"/>
        </w:rPr>
        <w:t>（大写）：</w:t>
      </w:r>
      <w:r>
        <w:rPr>
          <w:rFonts w:ascii="黑体" w:hAnsi="黑体" w:eastAsia="黑体" w:cs="Arial"/>
          <w:color w:val="auto"/>
          <w:sz w:val="24"/>
          <w:u w:val="single"/>
        </w:rPr>
        <w:t xml:space="preserve">                                        </w:t>
      </w:r>
    </w:p>
    <w:p>
      <w:pPr>
        <w:tabs>
          <w:tab w:val="left" w:pos="720"/>
        </w:tabs>
        <w:spacing w:after="156" w:afterLines="50"/>
        <w:rPr>
          <w:rFonts w:ascii="黑体" w:hAnsi="黑体" w:eastAsia="黑体" w:cs="Arial"/>
          <w:color w:val="auto"/>
        </w:rPr>
      </w:pPr>
    </w:p>
    <w:p>
      <w:pPr>
        <w:spacing w:after="156" w:afterLines="50"/>
        <w:rPr>
          <w:rFonts w:ascii="黑体" w:hAnsi="黑体" w:eastAsia="黑体" w:cs="Arial"/>
          <w:color w:val="auto"/>
        </w:rPr>
      </w:pPr>
    </w:p>
    <w:p>
      <w:pPr>
        <w:spacing w:after="156" w:afterLines="50"/>
        <w:ind w:firstLine="848" w:firstLineChars="303"/>
        <w:rPr>
          <w:rFonts w:ascii="黑体" w:hAnsi="黑体" w:eastAsia="黑体" w:cs="Arial"/>
          <w:color w:val="auto"/>
          <w:szCs w:val="21"/>
        </w:rPr>
      </w:pPr>
      <w:r>
        <w:rPr>
          <w:rFonts w:hint="eastAsia" w:ascii="黑体" w:hAnsi="黑体" w:eastAsia="黑体" w:cs="Arial"/>
          <w:color w:val="auto"/>
          <w:sz w:val="28"/>
        </w:rPr>
        <w:t>投</w:t>
      </w:r>
      <w:r>
        <w:rPr>
          <w:rFonts w:ascii="黑体" w:hAnsi="黑体" w:eastAsia="黑体" w:cs="Arial"/>
          <w:color w:val="auto"/>
          <w:sz w:val="28"/>
        </w:rPr>
        <w:t xml:space="preserve"> </w:t>
      </w:r>
      <w:r>
        <w:rPr>
          <w:rFonts w:hint="eastAsia" w:ascii="黑体" w:hAnsi="黑体" w:eastAsia="黑体" w:cs="Arial"/>
          <w:color w:val="auto"/>
          <w:sz w:val="28"/>
        </w:rPr>
        <w:t>标</w:t>
      </w:r>
      <w:r>
        <w:rPr>
          <w:rFonts w:ascii="黑体" w:hAnsi="黑体" w:eastAsia="黑体" w:cs="Arial"/>
          <w:color w:val="auto"/>
          <w:sz w:val="28"/>
        </w:rPr>
        <w:t xml:space="preserve"> </w:t>
      </w:r>
      <w:r>
        <w:rPr>
          <w:rFonts w:hint="eastAsia" w:ascii="黑体" w:hAnsi="黑体" w:eastAsia="黑体" w:cs="Arial"/>
          <w:color w:val="auto"/>
          <w:sz w:val="28"/>
        </w:rPr>
        <w:t>人：</w:t>
      </w:r>
      <w:r>
        <w:rPr>
          <w:rFonts w:ascii="黑体" w:hAnsi="黑体" w:eastAsia="黑体" w:cs="Arial"/>
          <w:color w:val="auto"/>
          <w:sz w:val="24"/>
          <w:u w:val="single"/>
        </w:rPr>
        <w:t xml:space="preserve">                                        </w:t>
      </w:r>
    </w:p>
    <w:p>
      <w:pPr>
        <w:spacing w:after="156" w:afterLines="50"/>
        <w:ind w:left="4393" w:leftChars="2092"/>
        <w:rPr>
          <w:rFonts w:ascii="黑体" w:hAnsi="黑体" w:eastAsia="黑体" w:cs="Arial"/>
          <w:color w:val="auto"/>
          <w:szCs w:val="21"/>
        </w:rPr>
      </w:pPr>
      <w:r>
        <w:rPr>
          <w:rFonts w:hint="eastAsia" w:ascii="黑体" w:hAnsi="黑体" w:eastAsia="黑体" w:cs="Arial"/>
          <w:color w:val="auto"/>
          <w:szCs w:val="21"/>
        </w:rPr>
        <w:t>（</w:t>
      </w:r>
      <w:r>
        <w:rPr>
          <w:rFonts w:hint="eastAsia" w:ascii="宋体" w:hAnsi="宋体"/>
          <w:color w:val="auto"/>
        </w:rPr>
        <w:t>盖电子签章</w:t>
      </w:r>
      <w:r>
        <w:rPr>
          <w:rFonts w:hint="eastAsia" w:ascii="黑体" w:hAnsi="黑体" w:eastAsia="黑体" w:cs="Arial"/>
          <w:color w:val="auto"/>
          <w:szCs w:val="21"/>
        </w:rPr>
        <w:t>）</w:t>
      </w:r>
    </w:p>
    <w:p>
      <w:pPr>
        <w:tabs>
          <w:tab w:val="left" w:pos="720"/>
        </w:tabs>
        <w:spacing w:after="156" w:afterLines="50"/>
        <w:rPr>
          <w:rFonts w:ascii="黑体" w:hAnsi="黑体" w:eastAsia="黑体" w:cs="Arial"/>
          <w:color w:val="auto"/>
        </w:rPr>
      </w:pPr>
    </w:p>
    <w:p>
      <w:pPr>
        <w:spacing w:after="156" w:afterLines="50"/>
        <w:ind w:firstLine="848" w:firstLineChars="303"/>
        <w:rPr>
          <w:rFonts w:hint="eastAsia" w:ascii="黑体" w:hAnsi="黑体" w:eastAsia="黑体" w:cs="Arial"/>
          <w:color w:val="auto"/>
          <w:sz w:val="28"/>
        </w:rPr>
      </w:pPr>
    </w:p>
    <w:p>
      <w:pPr>
        <w:spacing w:after="156" w:afterLines="50"/>
        <w:ind w:firstLine="848" w:firstLineChars="303"/>
        <w:rPr>
          <w:rFonts w:ascii="黑体" w:hAnsi="黑体" w:eastAsia="黑体" w:cs="Arial"/>
          <w:color w:val="auto"/>
          <w:sz w:val="28"/>
        </w:rPr>
      </w:pPr>
      <w:r>
        <w:rPr>
          <w:rFonts w:hint="eastAsia" w:ascii="黑体" w:hAnsi="黑体" w:eastAsia="黑体" w:cs="Arial"/>
          <w:color w:val="auto"/>
          <w:sz w:val="28"/>
        </w:rPr>
        <w:t>法定代表人</w:t>
      </w:r>
    </w:p>
    <w:p>
      <w:pPr>
        <w:spacing w:after="156" w:afterLines="50"/>
        <w:ind w:firstLine="840" w:firstLineChars="300"/>
        <w:rPr>
          <w:rFonts w:hint="eastAsia" w:ascii="黑体" w:hAnsi="黑体" w:eastAsia="黑体" w:cs="Arial"/>
          <w:color w:val="auto"/>
          <w:szCs w:val="21"/>
          <w:u w:val="single"/>
        </w:rPr>
      </w:pPr>
      <w:r>
        <w:rPr>
          <w:rFonts w:hint="eastAsia" w:ascii="黑体" w:hAnsi="黑体" w:eastAsia="黑体" w:cs="Arial"/>
          <w:color w:val="auto"/>
          <w:sz w:val="28"/>
        </w:rPr>
        <w:t>或其授权人</w:t>
      </w:r>
      <w:r>
        <w:rPr>
          <w:rFonts w:hint="eastAsia" w:ascii="黑体" w:hAnsi="黑体" w:eastAsia="黑体" w:cs="Arial"/>
          <w:color w:val="auto"/>
          <w:sz w:val="22"/>
        </w:rPr>
        <w:t>：</w:t>
      </w:r>
      <w:r>
        <w:rPr>
          <w:rFonts w:hint="eastAsia" w:ascii="黑体" w:hAnsi="黑体" w:eastAsia="黑体" w:cs="Arial"/>
          <w:color w:val="auto"/>
          <w:szCs w:val="21"/>
          <w:u w:val="single"/>
        </w:rPr>
        <w:t xml:space="preserve">（签字或盖章）                    </w:t>
      </w:r>
    </w:p>
    <w:p>
      <w:pPr>
        <w:tabs>
          <w:tab w:val="left" w:pos="720"/>
        </w:tabs>
        <w:spacing w:after="156" w:afterLines="50"/>
        <w:rPr>
          <w:rFonts w:ascii="黑体" w:hAnsi="黑体" w:eastAsia="黑体" w:cs="Arial"/>
          <w:color w:val="auto"/>
        </w:rPr>
      </w:pPr>
    </w:p>
    <w:p>
      <w:pPr>
        <w:ind w:firstLine="840" w:firstLineChars="300"/>
        <w:rPr>
          <w:rFonts w:hint="eastAsia" w:ascii="宋体" w:hAnsi="宋体" w:eastAsia="宋体" w:cs="宋体"/>
        </w:rPr>
      </w:pPr>
      <w:r>
        <w:rPr>
          <w:rFonts w:hint="eastAsia" w:ascii="黑体" w:hAnsi="黑体" w:eastAsia="黑体" w:cs="Arial"/>
          <w:color w:val="auto"/>
          <w:sz w:val="28"/>
        </w:rPr>
        <w:t>编制时间：</w:t>
      </w:r>
      <w:r>
        <w:rPr>
          <w:rFonts w:ascii="黑体" w:hAnsi="黑体" w:eastAsia="黑体" w:cs="Arial"/>
          <w:color w:val="auto"/>
          <w:sz w:val="24"/>
          <w:u w:val="single"/>
        </w:rPr>
        <w:t xml:space="preserve">        </w:t>
      </w:r>
      <w:r>
        <w:rPr>
          <w:rFonts w:hint="eastAsia" w:ascii="黑体" w:hAnsi="黑体" w:eastAsia="黑体" w:cs="Arial"/>
          <w:color w:val="auto"/>
          <w:sz w:val="28"/>
        </w:rPr>
        <w:t>年</w:t>
      </w:r>
      <w:r>
        <w:rPr>
          <w:rFonts w:ascii="黑体" w:hAnsi="黑体" w:eastAsia="黑体" w:cs="Arial"/>
          <w:color w:val="auto"/>
          <w:sz w:val="24"/>
          <w:u w:val="single"/>
        </w:rPr>
        <w:t xml:space="preserve">       </w:t>
      </w:r>
      <w:r>
        <w:rPr>
          <w:rFonts w:hint="eastAsia" w:ascii="黑体" w:hAnsi="黑体" w:eastAsia="黑体" w:cs="Arial"/>
          <w:color w:val="auto"/>
          <w:sz w:val="28"/>
        </w:rPr>
        <w:t>月</w:t>
      </w:r>
      <w:r>
        <w:rPr>
          <w:rFonts w:ascii="黑体" w:hAnsi="黑体" w:eastAsia="黑体" w:cs="Arial"/>
          <w:color w:val="auto"/>
          <w:sz w:val="24"/>
          <w:u w:val="single"/>
        </w:rPr>
        <w:t xml:space="preserve">      </w:t>
      </w:r>
      <w:r>
        <w:rPr>
          <w:rFonts w:hint="eastAsia" w:ascii="黑体" w:hAnsi="黑体" w:eastAsia="黑体" w:cs="Arial"/>
          <w:color w:val="auto"/>
          <w:sz w:val="28"/>
        </w:rPr>
        <w:t>日</w:t>
      </w:r>
    </w:p>
    <w:p>
      <w:pPr>
        <w:pStyle w:val="6"/>
        <w:rPr>
          <w:rFonts w:hint="eastAsia" w:ascii="宋体" w:hAnsi="宋体" w:eastAsia="宋体" w:cs="宋体"/>
        </w:rPr>
      </w:pPr>
    </w:p>
    <w:p>
      <w:pPr>
        <w:pStyle w:val="6"/>
        <w:rPr>
          <w:rFonts w:hint="eastAsia" w:ascii="宋体" w:hAnsi="宋体" w:eastAsia="宋体" w:cs="宋体"/>
        </w:rPr>
      </w:pPr>
    </w:p>
    <w:p>
      <w:pPr>
        <w:rPr>
          <w:rFonts w:hint="eastAsia" w:ascii="宋体" w:hAnsi="宋体" w:eastAsia="宋体" w:cs="宋体"/>
        </w:rPr>
      </w:pPr>
    </w:p>
    <w:p>
      <w:pPr>
        <w:pStyle w:val="21"/>
        <w:rPr>
          <w:rFonts w:hint="eastAsia" w:ascii="宋体" w:hAnsi="宋体" w:eastAsia="宋体" w:cs="宋体"/>
        </w:rPr>
      </w:pPr>
    </w:p>
    <w:p>
      <w:pPr>
        <w:pStyle w:val="17"/>
        <w:rPr>
          <w:rFonts w:hint="eastAsia" w:ascii="宋体" w:hAnsi="宋体" w:eastAsia="宋体" w:cs="宋体"/>
        </w:rPr>
      </w:pPr>
    </w:p>
    <w:p>
      <w:pPr>
        <w:rPr>
          <w:rFonts w:hint="eastAsia" w:ascii="宋体" w:hAnsi="宋体" w:eastAsia="宋体" w:cs="宋体"/>
        </w:rPr>
      </w:pPr>
    </w:p>
    <w:p>
      <w:pPr>
        <w:pStyle w:val="21"/>
        <w:rPr>
          <w:rFonts w:hint="eastAsia" w:ascii="宋体" w:hAnsi="宋体" w:eastAsia="宋体" w:cs="宋体"/>
        </w:rPr>
      </w:pPr>
    </w:p>
    <w:p>
      <w:pPr>
        <w:pStyle w:val="17"/>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numPr>
          <w:ilvl w:val="0"/>
          <w:numId w:val="11"/>
        </w:numPr>
        <w:jc w:val="center"/>
        <w:rPr>
          <w:rFonts w:hint="eastAsia" w:ascii="宋体" w:hAnsi="宋体" w:eastAsia="宋体" w:cs="宋体"/>
          <w:b/>
          <w:kern w:val="0"/>
          <w:sz w:val="32"/>
          <w:szCs w:val="32"/>
        </w:rPr>
      </w:pPr>
      <w:r>
        <w:rPr>
          <w:rFonts w:hint="eastAsia" w:ascii="宋体" w:hAnsi="宋体" w:eastAsia="宋体" w:cs="宋体"/>
          <w:b/>
          <w:kern w:val="0"/>
          <w:sz w:val="32"/>
          <w:szCs w:val="32"/>
        </w:rPr>
        <w:t>商务技术偏离表</w:t>
      </w:r>
    </w:p>
    <w:p>
      <w:pPr>
        <w:pStyle w:val="21"/>
        <w:numPr>
          <w:ilvl w:val="0"/>
          <w:numId w:val="0"/>
        </w:numPr>
        <w:rPr>
          <w:rFonts w:hint="eastAsia"/>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683"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lang w:eastAsia="zh-CN"/>
              </w:rPr>
              <w:t>磋商文件</w:t>
            </w:r>
            <w:r>
              <w:rPr>
                <w:rFonts w:hint="eastAsia" w:ascii="宋体" w:hAnsi="宋体" w:eastAsia="宋体" w:cs="宋体"/>
                <w:b/>
                <w:bCs/>
                <w:sz w:val="21"/>
                <w:szCs w:val="21"/>
              </w:rPr>
              <w:t>章节及具体内容</w:t>
            </w:r>
          </w:p>
        </w:tc>
        <w:tc>
          <w:tcPr>
            <w:tcW w:w="3546"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lang w:eastAsia="zh-CN"/>
              </w:rPr>
              <w:t>磋商响应文件</w:t>
            </w:r>
            <w:r>
              <w:rPr>
                <w:rFonts w:hint="eastAsia" w:ascii="宋体" w:hAnsi="宋体" w:eastAsia="宋体" w:cs="宋体"/>
                <w:b/>
                <w:bCs/>
                <w:sz w:val="21"/>
                <w:szCs w:val="21"/>
              </w:rPr>
              <w:t>章节及具体内容</w:t>
            </w:r>
          </w:p>
        </w:tc>
        <w:tc>
          <w:tcPr>
            <w:tcW w:w="1276" w:type="dxa"/>
            <w:noWrap w:val="0"/>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3683" w:type="dxa"/>
            <w:noWrap w:val="0"/>
            <w:vAlign w:val="center"/>
          </w:tcPr>
          <w:p>
            <w:pPr>
              <w:jc w:val="center"/>
              <w:rPr>
                <w:rFonts w:hint="eastAsia" w:ascii="宋体" w:hAnsi="宋体" w:eastAsia="宋体" w:cs="宋体"/>
                <w:b/>
                <w:kern w:val="0"/>
                <w:sz w:val="21"/>
                <w:szCs w:val="21"/>
              </w:rPr>
            </w:pPr>
          </w:p>
        </w:tc>
        <w:tc>
          <w:tcPr>
            <w:tcW w:w="3546" w:type="dxa"/>
            <w:noWrap w:val="0"/>
            <w:vAlign w:val="center"/>
          </w:tcPr>
          <w:p>
            <w:pPr>
              <w:jc w:val="center"/>
              <w:rPr>
                <w:rFonts w:hint="eastAsia" w:ascii="宋体" w:hAnsi="宋体" w:eastAsia="宋体" w:cs="宋体"/>
                <w:b/>
                <w:kern w:val="0"/>
                <w:sz w:val="21"/>
                <w:szCs w:val="21"/>
              </w:rPr>
            </w:pPr>
          </w:p>
        </w:tc>
        <w:tc>
          <w:tcPr>
            <w:tcW w:w="1276" w:type="dxa"/>
            <w:noWrap w:val="0"/>
            <w:vAlign w:val="center"/>
          </w:tcPr>
          <w:p>
            <w:pPr>
              <w:jc w:val="center"/>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3683" w:type="dxa"/>
            <w:noWrap w:val="0"/>
            <w:vAlign w:val="center"/>
          </w:tcPr>
          <w:p>
            <w:pPr>
              <w:jc w:val="center"/>
              <w:rPr>
                <w:rFonts w:hint="eastAsia" w:ascii="宋体" w:hAnsi="宋体" w:eastAsia="宋体" w:cs="宋体"/>
                <w:b/>
                <w:kern w:val="0"/>
                <w:sz w:val="21"/>
                <w:szCs w:val="21"/>
              </w:rPr>
            </w:pPr>
          </w:p>
        </w:tc>
        <w:tc>
          <w:tcPr>
            <w:tcW w:w="3546" w:type="dxa"/>
            <w:noWrap w:val="0"/>
            <w:vAlign w:val="center"/>
          </w:tcPr>
          <w:p>
            <w:pPr>
              <w:jc w:val="center"/>
              <w:rPr>
                <w:rFonts w:hint="eastAsia" w:ascii="宋体" w:hAnsi="宋体" w:eastAsia="宋体" w:cs="宋体"/>
                <w:b/>
                <w:kern w:val="0"/>
                <w:sz w:val="21"/>
                <w:szCs w:val="21"/>
              </w:rPr>
            </w:pPr>
          </w:p>
        </w:tc>
        <w:tc>
          <w:tcPr>
            <w:tcW w:w="1276" w:type="dxa"/>
            <w:noWrap w:val="0"/>
            <w:vAlign w:val="center"/>
          </w:tcPr>
          <w:p>
            <w:pPr>
              <w:jc w:val="center"/>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w:t>
            </w:r>
          </w:p>
        </w:tc>
        <w:tc>
          <w:tcPr>
            <w:tcW w:w="3683" w:type="dxa"/>
            <w:noWrap w:val="0"/>
            <w:vAlign w:val="center"/>
          </w:tcPr>
          <w:p>
            <w:pPr>
              <w:jc w:val="center"/>
              <w:rPr>
                <w:rFonts w:hint="eastAsia" w:ascii="宋体" w:hAnsi="宋体" w:eastAsia="宋体" w:cs="宋体"/>
                <w:b/>
                <w:kern w:val="0"/>
                <w:sz w:val="21"/>
                <w:szCs w:val="21"/>
              </w:rPr>
            </w:pPr>
          </w:p>
        </w:tc>
        <w:tc>
          <w:tcPr>
            <w:tcW w:w="3546" w:type="dxa"/>
            <w:noWrap w:val="0"/>
            <w:vAlign w:val="center"/>
          </w:tcPr>
          <w:p>
            <w:pPr>
              <w:jc w:val="center"/>
              <w:rPr>
                <w:rFonts w:hint="eastAsia" w:ascii="宋体" w:hAnsi="宋体" w:eastAsia="宋体" w:cs="宋体"/>
                <w:b/>
                <w:kern w:val="0"/>
                <w:sz w:val="21"/>
                <w:szCs w:val="21"/>
              </w:rPr>
            </w:pPr>
          </w:p>
        </w:tc>
        <w:tc>
          <w:tcPr>
            <w:tcW w:w="1276" w:type="dxa"/>
            <w:noWrap w:val="0"/>
            <w:vAlign w:val="center"/>
          </w:tcPr>
          <w:p>
            <w:pPr>
              <w:jc w:val="center"/>
              <w:rPr>
                <w:rFonts w:hint="eastAsia" w:ascii="宋体" w:hAnsi="宋体" w:eastAsia="宋体" w:cs="宋体"/>
                <w:b/>
                <w:kern w:val="0"/>
                <w:sz w:val="21"/>
                <w:szCs w:val="21"/>
              </w:rPr>
            </w:pPr>
          </w:p>
        </w:tc>
      </w:tr>
    </w:tbl>
    <w:p>
      <w:pPr>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保证：除商务技术偏离表列出的偏离外，</w:t>
      </w:r>
      <w:r>
        <w:rPr>
          <w:rFonts w:hint="eastAsia" w:ascii="宋体" w:hAnsi="宋体" w:eastAsia="宋体" w:cs="宋体"/>
          <w:kern w:val="0"/>
          <w:sz w:val="21"/>
          <w:szCs w:val="21"/>
          <w:lang w:eastAsia="zh-CN"/>
        </w:rPr>
        <w:t>磋商供应商</w:t>
      </w:r>
      <w:r>
        <w:rPr>
          <w:rFonts w:hint="eastAsia" w:ascii="宋体" w:hAnsi="宋体" w:eastAsia="宋体" w:cs="宋体"/>
          <w:kern w:val="0"/>
          <w:sz w:val="21"/>
          <w:szCs w:val="21"/>
        </w:rPr>
        <w:t>响应</w:t>
      </w:r>
      <w:r>
        <w:rPr>
          <w:rFonts w:hint="eastAsia" w:ascii="宋体" w:hAnsi="宋体" w:eastAsia="宋体" w:cs="宋体"/>
          <w:kern w:val="0"/>
          <w:sz w:val="21"/>
          <w:szCs w:val="21"/>
          <w:lang w:eastAsia="zh-CN"/>
        </w:rPr>
        <w:t>磋商文件</w:t>
      </w:r>
      <w:r>
        <w:rPr>
          <w:rFonts w:hint="eastAsia" w:ascii="宋体" w:hAnsi="宋体" w:eastAsia="宋体" w:cs="宋体"/>
          <w:kern w:val="0"/>
          <w:sz w:val="21"/>
          <w:szCs w:val="21"/>
        </w:rPr>
        <w:t>的全部要求</w:t>
      </w:r>
    </w:p>
    <w:p>
      <w:pPr>
        <w:jc w:val="center"/>
        <w:rPr>
          <w:rFonts w:hint="eastAsia" w:ascii="宋体" w:hAnsi="宋体" w:eastAsia="宋体" w:cs="宋体"/>
          <w:b/>
          <w:kern w:val="0"/>
          <w:sz w:val="32"/>
          <w:szCs w:val="32"/>
        </w:rPr>
      </w:pPr>
    </w:p>
    <w:p>
      <w:pPr>
        <w:pStyle w:val="21"/>
        <w:rPr>
          <w:rFonts w:hint="eastAsia"/>
        </w:rPr>
      </w:pPr>
    </w:p>
    <w:p>
      <w:pPr>
        <w:ind w:firstLine="1911" w:firstLineChars="595"/>
        <w:rPr>
          <w:rFonts w:hint="eastAsia" w:ascii="宋体" w:hAnsi="宋体" w:eastAsia="宋体" w:cs="宋体"/>
          <w:b/>
          <w:kern w:val="0"/>
          <w:sz w:val="32"/>
          <w:szCs w:val="32"/>
        </w:rPr>
      </w:pPr>
      <w:r>
        <w:rPr>
          <w:rFonts w:hint="eastAsia" w:ascii="宋体" w:hAnsi="宋体" w:cs="宋体"/>
          <w:b/>
          <w:kern w:val="0"/>
          <w:sz w:val="32"/>
          <w:szCs w:val="32"/>
          <w:lang w:val="en-US" w:eastAsia="zh-CN"/>
        </w:rPr>
        <w:br w:type="page"/>
      </w:r>
      <w:r>
        <w:rPr>
          <w:rFonts w:hint="eastAsia" w:ascii="宋体" w:hAnsi="宋体" w:cs="宋体"/>
          <w:b/>
          <w:kern w:val="0"/>
          <w:sz w:val="32"/>
          <w:szCs w:val="32"/>
          <w:lang w:val="en-US" w:eastAsia="zh-CN"/>
        </w:rPr>
        <w:t>八</w:t>
      </w:r>
      <w:r>
        <w:rPr>
          <w:rFonts w:hint="eastAsia" w:ascii="宋体" w:hAnsi="宋体" w:eastAsia="宋体" w:cs="宋体"/>
          <w:b/>
          <w:kern w:val="0"/>
          <w:sz w:val="32"/>
          <w:szCs w:val="32"/>
        </w:rPr>
        <w:t>、</w:t>
      </w:r>
      <w:r>
        <w:rPr>
          <w:rFonts w:hint="eastAsia" w:ascii="宋体" w:hAnsi="宋体" w:eastAsia="宋体" w:cs="宋体"/>
          <w:b/>
          <w:kern w:val="0"/>
          <w:sz w:val="32"/>
          <w:szCs w:val="32"/>
          <w:lang w:val="zh-CN"/>
        </w:rPr>
        <w:t>政府采购供应商廉洁自律承诺书</w:t>
      </w:r>
    </w:p>
    <w:p>
      <w:pPr>
        <w:snapToGrid w:val="0"/>
        <w:spacing w:line="360" w:lineRule="auto"/>
        <w:rPr>
          <w:rFonts w:hint="eastAsia" w:ascii="宋体" w:hAnsi="宋体" w:eastAsia="宋体" w:cs="宋体"/>
          <w:sz w:val="21"/>
          <w:szCs w:val="21"/>
        </w:rPr>
      </w:pPr>
    </w:p>
    <w:p>
      <w:pPr>
        <w:snapToGrid w:val="0"/>
        <w:spacing w:line="360" w:lineRule="auto"/>
        <w:rPr>
          <w:rFonts w:hint="eastAsia" w:ascii="宋体" w:hAnsi="宋体" w:eastAsia="宋体" w:cs="宋体"/>
          <w:kern w:val="0"/>
          <w:sz w:val="21"/>
          <w:szCs w:val="21"/>
        </w:rPr>
      </w:pPr>
      <w:r>
        <w:rPr>
          <w:rFonts w:hint="eastAsia" w:ascii="宋体" w:hAnsi="宋体" w:eastAsia="宋体" w:cs="宋体"/>
          <w:sz w:val="21"/>
          <w:szCs w:val="21"/>
        </w:rPr>
        <w:t>（采购人）、（采购代理机构）</w:t>
      </w:r>
      <w:r>
        <w:rPr>
          <w:rFonts w:hint="eastAsia" w:ascii="宋体" w:hAnsi="宋体" w:eastAsia="宋体" w:cs="宋体"/>
          <w:kern w:val="0"/>
          <w:sz w:val="21"/>
          <w:szCs w:val="21"/>
          <w:lang w:val="zh-CN"/>
        </w:rPr>
        <w:t>：</w:t>
      </w:r>
    </w:p>
    <w:p>
      <w:pPr>
        <w:autoSpaceDE w:val="0"/>
        <w:autoSpaceDN w:val="0"/>
        <w:spacing w:line="360" w:lineRule="auto"/>
        <w:ind w:left="2" w:leftChars="1"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我单位响应你</w:t>
      </w:r>
      <w:r>
        <w:rPr>
          <w:rFonts w:hint="eastAsia" w:ascii="宋体" w:hAnsi="宋体" w:eastAsia="宋体" w:cs="宋体"/>
          <w:sz w:val="21"/>
          <w:szCs w:val="21"/>
        </w:rPr>
        <w:t>单位</w:t>
      </w:r>
      <w:r>
        <w:rPr>
          <w:rFonts w:hint="eastAsia" w:ascii="宋体" w:hAnsi="宋体" w:eastAsia="宋体" w:cs="宋体"/>
          <w:kern w:val="0"/>
          <w:sz w:val="21"/>
          <w:szCs w:val="21"/>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好处；</w:t>
      </w:r>
    </w:p>
    <w:p>
      <w:pPr>
        <w:autoSpaceDE w:val="0"/>
        <w:autoSpaceDN w:val="0"/>
        <w:spacing w:line="360" w:lineRule="auto"/>
        <w:ind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六、严格遵守《</w:t>
      </w:r>
      <w:r>
        <w:rPr>
          <w:rFonts w:hint="eastAsia" w:ascii="宋体" w:hAnsi="宋体" w:eastAsia="宋体" w:cs="宋体"/>
          <w:sz w:val="21"/>
          <w:szCs w:val="21"/>
          <w:lang w:val="zh-CN"/>
        </w:rPr>
        <w:t>中华人民共和国</w:t>
      </w:r>
      <w:r>
        <w:rPr>
          <w:rFonts w:hint="eastAsia" w:ascii="宋体" w:hAnsi="宋体" w:eastAsia="宋体" w:cs="宋体"/>
          <w:kern w:val="0"/>
          <w:sz w:val="21"/>
          <w:szCs w:val="21"/>
          <w:lang w:val="zh-CN"/>
        </w:rPr>
        <w:t>政府采购法》、</w:t>
      </w:r>
      <w:r>
        <w:rPr>
          <w:rFonts w:hint="eastAsia" w:ascii="宋体" w:hAnsi="宋体" w:eastAsia="宋体" w:cs="宋体"/>
          <w:sz w:val="21"/>
          <w:szCs w:val="21"/>
          <w:lang w:val="zh-CN"/>
        </w:rPr>
        <w:t>《中华人民共和国民法典》</w:t>
      </w:r>
      <w:r>
        <w:rPr>
          <w:rFonts w:hint="eastAsia" w:ascii="宋体" w:hAnsi="宋体" w:eastAsia="宋体" w:cs="宋体"/>
          <w:kern w:val="0"/>
          <w:sz w:val="21"/>
          <w:szCs w:val="21"/>
          <w:lang w:val="zh-CN"/>
        </w:rPr>
        <w:t xml:space="preserve">等法律法规，诚实守信，合法经营，坚决抵制各种违法违纪行为。 </w:t>
      </w:r>
    </w:p>
    <w:p>
      <w:pPr>
        <w:autoSpaceDE w:val="0"/>
        <w:autoSpaceDN w:val="0"/>
        <w:spacing w:line="360" w:lineRule="auto"/>
        <w:ind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如违反上述承诺，你</w:t>
      </w:r>
      <w:r>
        <w:rPr>
          <w:rFonts w:hint="eastAsia" w:ascii="宋体" w:hAnsi="宋体" w:eastAsia="宋体" w:cs="宋体"/>
          <w:sz w:val="21"/>
          <w:szCs w:val="21"/>
        </w:rPr>
        <w:t>单位</w:t>
      </w:r>
      <w:r>
        <w:rPr>
          <w:rFonts w:hint="eastAsia" w:ascii="宋体" w:hAnsi="宋体" w:eastAsia="宋体" w:cs="宋体"/>
          <w:kern w:val="0"/>
          <w:sz w:val="21"/>
          <w:szCs w:val="21"/>
          <w:lang w:val="zh-CN"/>
        </w:rPr>
        <w:t>有权立即取消我单位投标、中标或在建项目的建设资格，有权拒绝我单位在一定时期内进入你</w:t>
      </w:r>
      <w:r>
        <w:rPr>
          <w:rFonts w:hint="eastAsia" w:ascii="宋体" w:hAnsi="宋体" w:eastAsia="宋体" w:cs="宋体"/>
          <w:sz w:val="21"/>
          <w:szCs w:val="21"/>
        </w:rPr>
        <w:t>单位</w:t>
      </w:r>
      <w:r>
        <w:rPr>
          <w:rFonts w:hint="eastAsia" w:ascii="宋体" w:hAnsi="宋体" w:eastAsia="宋体" w:cs="宋体"/>
          <w:kern w:val="0"/>
          <w:sz w:val="21"/>
          <w:szCs w:val="21"/>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kern w:val="0"/>
          <w:sz w:val="21"/>
          <w:szCs w:val="21"/>
          <w:lang w:val="zh-CN"/>
        </w:rPr>
      </w:pPr>
    </w:p>
    <w:p>
      <w:pPr>
        <w:autoSpaceDE w:val="0"/>
        <w:autoSpaceDN w:val="0"/>
        <w:spacing w:line="360" w:lineRule="auto"/>
        <w:ind w:left="2" w:leftChars="1" w:right="1120" w:firstLine="3990" w:firstLineChars="19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磋商供应商名称（</w:t>
      </w:r>
      <w:r>
        <w:rPr>
          <w:rFonts w:hint="eastAsia" w:ascii="宋体" w:hAnsi="宋体" w:eastAsia="宋体" w:cs="宋体"/>
          <w:sz w:val="21"/>
          <w:szCs w:val="21"/>
        </w:rPr>
        <w:t>电子签名</w:t>
      </w:r>
      <w:r>
        <w:rPr>
          <w:rFonts w:hint="eastAsia" w:ascii="宋体" w:hAnsi="宋体" w:eastAsia="宋体" w:cs="宋体"/>
          <w:kern w:val="0"/>
          <w:sz w:val="21"/>
          <w:szCs w:val="21"/>
          <w:lang w:val="zh-CN"/>
        </w:rPr>
        <w:t xml:space="preserve">）：                                                                                                                                                                                                               </w:t>
      </w:r>
    </w:p>
    <w:p>
      <w:pPr>
        <w:spacing w:line="360" w:lineRule="auto"/>
        <w:ind w:left="4620" w:leftChars="2200"/>
        <w:rPr>
          <w:rFonts w:hint="eastAsia" w:ascii="宋体" w:hAnsi="宋体" w:eastAsia="宋体" w:cs="宋体"/>
          <w:sz w:val="21"/>
          <w:szCs w:val="21"/>
        </w:rPr>
      </w:pPr>
      <w:r>
        <w:rPr>
          <w:rFonts w:hint="eastAsia" w:ascii="宋体" w:hAnsi="宋体" w:eastAsia="宋体" w:cs="宋体"/>
          <w:kern w:val="0"/>
          <w:sz w:val="21"/>
          <w:szCs w:val="21"/>
          <w:lang w:val="zh-CN"/>
        </w:rPr>
        <w:t>日期</w:t>
      </w:r>
      <w:r>
        <w:rPr>
          <w:rFonts w:hint="eastAsia" w:ascii="宋体" w:hAnsi="宋体" w:eastAsia="宋体" w:cs="宋体"/>
          <w:kern w:val="0"/>
          <w:sz w:val="21"/>
          <w:szCs w:val="21"/>
        </w:rPr>
        <w:t>：</w:t>
      </w:r>
      <w:r>
        <w:rPr>
          <w:rFonts w:hint="eastAsia" w:ascii="宋体" w:hAnsi="宋体" w:eastAsia="宋体" w:cs="宋体"/>
          <w:kern w:val="0"/>
          <w:sz w:val="21"/>
          <w:szCs w:val="21"/>
          <w:lang w:val="zh-CN"/>
        </w:rPr>
        <w:t xml:space="preserve">   年   月   日</w:t>
      </w:r>
    </w:p>
    <w:p>
      <w:pPr>
        <w:spacing w:line="360" w:lineRule="auto"/>
        <w:jc w:val="both"/>
        <w:rPr>
          <w:rFonts w:hint="eastAsia" w:ascii="宋体" w:hAnsi="宋体" w:eastAsia="宋体" w:cs="宋体"/>
          <w:b/>
          <w:bCs/>
          <w:sz w:val="21"/>
          <w:szCs w:val="21"/>
        </w:rPr>
      </w:pPr>
    </w:p>
    <w:p>
      <w:pPr>
        <w:spacing w:line="360" w:lineRule="auto"/>
        <w:jc w:val="both"/>
        <w:rPr>
          <w:rFonts w:hint="eastAsia" w:ascii="宋体" w:hAnsi="宋体" w:eastAsia="宋体" w:cs="宋体"/>
          <w:b/>
          <w:bCs/>
          <w:sz w:val="21"/>
          <w:szCs w:val="21"/>
        </w:rPr>
        <w:sectPr>
          <w:headerReference r:id="rId9" w:type="first"/>
          <w:footerReference r:id="rId11" w:type="first"/>
          <w:headerReference r:id="rId8" w:type="default"/>
          <w:footerReference r:id="rId10" w:type="default"/>
          <w:pgSz w:w="11906" w:h="16838"/>
          <w:pgMar w:top="1417" w:right="1418" w:bottom="1417" w:left="1418" w:header="680" w:footer="992" w:gutter="0"/>
          <w:pgNumType w:fmt="decimal"/>
          <w:cols w:space="720" w:num="1"/>
          <w:titlePg/>
          <w:rtlGutter w:val="0"/>
          <w:docGrid w:linePitch="312" w:charSpace="0"/>
        </w:sectPr>
      </w:pPr>
      <w:r>
        <w:rPr>
          <w:rFonts w:hint="eastAsia" w:ascii="宋体" w:hAnsi="宋体" w:eastAsia="宋体" w:cs="宋体"/>
          <w:sz w:val="21"/>
          <w:szCs w:val="21"/>
          <w:lang w:val="en-US" w:eastAsia="zh-CN"/>
        </w:rPr>
        <w:t>注：按本格式和要求提供</w:t>
      </w:r>
    </w:p>
    <w:p>
      <w:pPr>
        <w:spacing w:line="360" w:lineRule="auto"/>
        <w:jc w:val="center"/>
        <w:outlineLvl w:val="0"/>
        <w:rPr>
          <w:rFonts w:hint="eastAsia" w:ascii="宋体" w:hAnsi="宋体" w:eastAsia="宋体" w:cs="宋体"/>
          <w:b/>
          <w:kern w:val="0"/>
          <w:sz w:val="36"/>
          <w:szCs w:val="36"/>
        </w:rPr>
      </w:pPr>
      <w:bookmarkStart w:id="862" w:name="_Toc22169"/>
      <w:bookmarkStart w:id="863" w:name="_Toc22559"/>
      <w:bookmarkStart w:id="864" w:name="_Toc22008"/>
      <w:r>
        <w:rPr>
          <w:rFonts w:hint="eastAsia" w:ascii="宋体" w:hAnsi="宋体" w:eastAsia="宋体" w:cs="宋体"/>
          <w:b/>
          <w:kern w:val="0"/>
          <w:sz w:val="36"/>
          <w:szCs w:val="36"/>
        </w:rPr>
        <w:t>报价文件部分</w:t>
      </w:r>
      <w:bookmarkEnd w:id="862"/>
      <w:bookmarkEnd w:id="863"/>
      <w:bookmarkEnd w:id="864"/>
    </w:p>
    <w:p>
      <w:pPr>
        <w:spacing w:line="360" w:lineRule="auto"/>
        <w:jc w:val="center"/>
        <w:outlineLvl w:val="0"/>
        <w:rPr>
          <w:rFonts w:hint="eastAsia" w:ascii="宋体" w:hAnsi="宋体" w:eastAsia="宋体" w:cs="宋体"/>
          <w:b/>
          <w:kern w:val="0"/>
          <w:sz w:val="36"/>
          <w:szCs w:val="36"/>
        </w:rPr>
      </w:pPr>
      <w:bookmarkStart w:id="865" w:name="_Toc10148"/>
      <w:bookmarkStart w:id="866" w:name="_Toc24992"/>
      <w:bookmarkStart w:id="867" w:name="_Toc21951"/>
      <w:r>
        <w:rPr>
          <w:rFonts w:hint="eastAsia" w:ascii="宋体" w:hAnsi="宋体" w:eastAsia="宋体" w:cs="宋体"/>
          <w:b/>
          <w:kern w:val="0"/>
          <w:sz w:val="36"/>
          <w:szCs w:val="36"/>
        </w:rPr>
        <w:t>目录</w:t>
      </w:r>
      <w:bookmarkEnd w:id="865"/>
      <w:bookmarkEnd w:id="866"/>
      <w:bookmarkEnd w:id="867"/>
    </w:p>
    <w:p>
      <w:pPr>
        <w:spacing w:line="360" w:lineRule="auto"/>
        <w:jc w:val="center"/>
        <w:outlineLvl w:val="0"/>
        <w:rPr>
          <w:rFonts w:hint="eastAsia" w:ascii="宋体" w:hAnsi="宋体" w:eastAsia="宋体" w:cs="宋体"/>
          <w:b/>
          <w:kern w:val="0"/>
          <w:sz w:val="36"/>
          <w:szCs w:val="36"/>
        </w:rPr>
      </w:pP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（1）开标一览表（报价表）………………………………………………………（页码）</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已标价工程量清单</w:t>
      </w:r>
      <w:r>
        <w:rPr>
          <w:rFonts w:hint="eastAsia" w:ascii="宋体" w:hAnsi="宋体" w:eastAsia="宋体" w:cs="宋体"/>
          <w:sz w:val="21"/>
          <w:szCs w:val="21"/>
        </w:rPr>
        <w:t>……………………………………………………………（页码）</w:t>
      </w: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snapToGrid w:val="0"/>
        <w:spacing w:line="360" w:lineRule="auto"/>
        <w:ind w:right="480"/>
        <w:jc w:val="center"/>
        <w:rPr>
          <w:rFonts w:hint="eastAsia" w:ascii="宋体" w:hAnsi="宋体" w:eastAsia="宋体" w:cs="宋体"/>
          <w:b/>
          <w:kern w:val="0"/>
          <w:sz w:val="32"/>
          <w:szCs w:val="32"/>
        </w:rPr>
      </w:pPr>
    </w:p>
    <w:p>
      <w:pPr>
        <w:pStyle w:val="40"/>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sectPr>
          <w:headerReference r:id="rId13" w:type="first"/>
          <w:footerReference r:id="rId15" w:type="first"/>
          <w:headerReference r:id="rId12" w:type="default"/>
          <w:footerReference r:id="rId14" w:type="default"/>
          <w:pgSz w:w="11906" w:h="16838"/>
          <w:pgMar w:top="1984" w:right="1418" w:bottom="1417" w:left="1418" w:header="680" w:footer="992" w:gutter="0"/>
          <w:pgNumType w:fmt="decimal"/>
          <w:cols w:space="720" w:num="1"/>
          <w:titlePg/>
          <w:rtlGutter w:val="0"/>
          <w:docGrid w:linePitch="312" w:charSpace="0"/>
        </w:sectPr>
      </w:pPr>
    </w:p>
    <w:p>
      <w:pPr>
        <w:pStyle w:val="40"/>
        <w:keepNext w:val="0"/>
        <w:pageBreakBefore w:val="0"/>
        <w:tabs>
          <w:tab w:val="clear" w:pos="720"/>
        </w:tabs>
        <w:snapToGrid w:val="0"/>
        <w:spacing w:before="120" w:after="120"/>
        <w:ind w:firstLine="643"/>
        <w:outlineLvl w:val="9"/>
        <w:rPr>
          <w:rFonts w:hint="eastAsia" w:ascii="宋体" w:hAnsi="宋体" w:eastAsia="宋体" w:cs="宋体"/>
          <w:kern w:val="2"/>
          <w:sz w:val="32"/>
          <w:szCs w:val="32"/>
        </w:rPr>
      </w:pPr>
      <w:bookmarkStart w:id="868" w:name="_Toc1886"/>
      <w:bookmarkStart w:id="869" w:name="_Toc18598"/>
      <w:bookmarkStart w:id="870" w:name="_Toc3897"/>
      <w:r>
        <w:rPr>
          <w:rFonts w:hint="eastAsia" w:ascii="宋体" w:hAnsi="宋体" w:eastAsia="宋体" w:cs="宋体"/>
          <w:kern w:val="2"/>
          <w:sz w:val="32"/>
          <w:szCs w:val="32"/>
        </w:rPr>
        <w:t>一、开标一览表（报价表）</w:t>
      </w:r>
      <w:bookmarkEnd w:id="868"/>
      <w:bookmarkEnd w:id="869"/>
      <w:bookmarkEnd w:id="870"/>
    </w:p>
    <w:p>
      <w:pPr>
        <w:snapToGrid w:val="0"/>
        <w:spacing w:line="360" w:lineRule="auto"/>
        <w:rPr>
          <w:rFonts w:hint="eastAsia" w:ascii="宋体" w:hAnsi="宋体" w:eastAsia="宋体" w:cs="宋体"/>
          <w:kern w:val="0"/>
          <w:sz w:val="21"/>
          <w:szCs w:val="21"/>
        </w:rPr>
      </w:pPr>
      <w:r>
        <w:rPr>
          <w:rFonts w:hint="eastAsia" w:ascii="宋体" w:hAnsi="宋体" w:eastAsia="宋体" w:cs="宋体"/>
          <w:sz w:val="21"/>
          <w:szCs w:val="21"/>
        </w:rPr>
        <w:t>（采购人）、（采购代理机构）</w:t>
      </w:r>
      <w:r>
        <w:rPr>
          <w:rFonts w:hint="eastAsia" w:ascii="宋体" w:hAnsi="宋体" w:eastAsia="宋体" w:cs="宋体"/>
          <w:kern w:val="0"/>
          <w:sz w:val="21"/>
          <w:szCs w:val="21"/>
          <w:lang w:val="zh-CN"/>
        </w:rPr>
        <w:t>：</w:t>
      </w:r>
    </w:p>
    <w:p>
      <w:pPr>
        <w:snapToGrid w:val="0"/>
        <w:spacing w:line="360" w:lineRule="auto"/>
        <w:ind w:firstLine="482"/>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按你方磋商文件要求，我们，本磋商响应文件签字方，谨此向你方发出要约如下：如你方接受本投标，我方承诺按照如下开标一览表（报价表）的价格完成</w:t>
      </w:r>
      <w:r>
        <w:rPr>
          <w:rFonts w:hint="eastAsia" w:ascii="宋体" w:hAnsi="宋体" w:eastAsia="宋体" w:cs="宋体"/>
          <w:sz w:val="21"/>
          <w:szCs w:val="21"/>
        </w:rPr>
        <w:t>（项目名称）</w:t>
      </w:r>
      <w:r>
        <w:rPr>
          <w:rFonts w:hint="eastAsia" w:ascii="宋体" w:hAnsi="宋体" w:eastAsia="宋体" w:cs="宋体"/>
          <w:kern w:val="0"/>
          <w:sz w:val="21"/>
          <w:szCs w:val="21"/>
          <w:lang w:val="zh-CN"/>
        </w:rPr>
        <w:t>【</w:t>
      </w:r>
      <w:r>
        <w:rPr>
          <w:rFonts w:hint="eastAsia" w:ascii="宋体" w:hAnsi="宋体" w:eastAsia="宋体" w:cs="宋体"/>
          <w:kern w:val="0"/>
          <w:sz w:val="21"/>
          <w:szCs w:val="21"/>
          <w:lang w:val="en-US" w:eastAsia="zh-CN"/>
        </w:rPr>
        <w:t>项目</w:t>
      </w:r>
      <w:r>
        <w:rPr>
          <w:rFonts w:hint="eastAsia" w:ascii="宋体" w:hAnsi="宋体" w:eastAsia="宋体" w:cs="宋体"/>
          <w:kern w:val="0"/>
          <w:sz w:val="21"/>
          <w:szCs w:val="21"/>
          <w:lang w:val="zh-CN"/>
        </w:rPr>
        <w:t>编号：</w:t>
      </w:r>
      <w:r>
        <w:rPr>
          <w:rFonts w:hint="eastAsia" w:ascii="宋体" w:hAnsi="宋体" w:eastAsia="宋体" w:cs="宋体"/>
          <w:sz w:val="21"/>
          <w:szCs w:val="21"/>
        </w:rPr>
        <w:t>（采购编号）】的实施</w:t>
      </w:r>
      <w:r>
        <w:rPr>
          <w:rFonts w:hint="eastAsia" w:ascii="宋体" w:hAnsi="宋体" w:eastAsia="宋体" w:cs="宋体"/>
          <w:kern w:val="0"/>
          <w:sz w:val="21"/>
          <w:szCs w:val="21"/>
          <w:lang w:val="zh-CN"/>
        </w:rPr>
        <w:t>。</w:t>
      </w:r>
    </w:p>
    <w:p>
      <w:pPr>
        <w:spacing w:line="36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开标一览表</w:t>
      </w:r>
      <w:r>
        <w:rPr>
          <w:rFonts w:hint="eastAsia" w:ascii="宋体" w:hAnsi="宋体" w:cs="宋体"/>
          <w:b/>
          <w:kern w:val="0"/>
          <w:sz w:val="21"/>
          <w:szCs w:val="21"/>
          <w:lang w:val="en-US" w:eastAsia="zh-CN"/>
        </w:rPr>
        <w:t>-1</w:t>
      </w:r>
      <w:r>
        <w:rPr>
          <w:rFonts w:hint="eastAsia" w:ascii="宋体" w:hAnsi="宋体" w:eastAsia="宋体" w:cs="宋体"/>
          <w:b/>
          <w:kern w:val="0"/>
          <w:sz w:val="21"/>
          <w:szCs w:val="21"/>
          <w:lang w:val="zh-CN"/>
        </w:rPr>
        <w:t>（报价表）(单位均为人民币元)</w:t>
      </w:r>
    </w:p>
    <w:tbl>
      <w:tblPr>
        <w:tblStyle w:val="2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917"/>
        <w:gridCol w:w="1561"/>
        <w:gridCol w:w="1561"/>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534"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3917"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561" w:type="dxa"/>
            <w:noWrap w:val="0"/>
            <w:vAlign w:val="center"/>
          </w:tcPr>
          <w:p>
            <w:pPr>
              <w:spacing w:line="36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项目负责人</w:t>
            </w:r>
          </w:p>
        </w:tc>
        <w:tc>
          <w:tcPr>
            <w:tcW w:w="1561" w:type="dxa"/>
            <w:noWrap w:val="0"/>
            <w:vAlign w:val="center"/>
          </w:tcPr>
          <w:p>
            <w:pPr>
              <w:spacing w:line="360" w:lineRule="auto"/>
              <w:jc w:val="center"/>
              <w:rPr>
                <w:rFonts w:hint="eastAsia" w:ascii="宋体" w:hAnsi="宋体" w:eastAsia="宋体" w:cs="宋体"/>
                <w:b/>
                <w:sz w:val="21"/>
                <w:szCs w:val="21"/>
                <w:lang w:eastAsia="zh-CN"/>
              </w:rPr>
            </w:pPr>
            <w:r>
              <w:rPr>
                <w:rFonts w:hint="eastAsia" w:ascii="宋体" w:hAnsi="宋体" w:cs="宋体"/>
                <w:b/>
                <w:sz w:val="21"/>
                <w:szCs w:val="21"/>
                <w:lang w:val="en-US" w:eastAsia="zh-CN"/>
              </w:rPr>
              <w:t>工期</w:t>
            </w:r>
          </w:p>
        </w:tc>
        <w:tc>
          <w:tcPr>
            <w:tcW w:w="1562" w:type="dxa"/>
            <w:noWrap w:val="0"/>
            <w:vAlign w:val="center"/>
          </w:tcPr>
          <w:p>
            <w:pPr>
              <w:spacing w:line="360" w:lineRule="auto"/>
              <w:jc w:val="center"/>
              <w:rPr>
                <w:rFonts w:hint="eastAsia" w:ascii="宋体" w:hAnsi="宋体" w:eastAsia="宋体" w:cs="宋体"/>
                <w:b/>
                <w:sz w:val="21"/>
                <w:szCs w:val="21"/>
              </w:rPr>
            </w:pPr>
            <w:r>
              <w:rPr>
                <w:rFonts w:hint="eastAsia" w:ascii="宋体" w:hAnsi="宋体" w:cs="宋体"/>
                <w:b/>
                <w:sz w:val="21"/>
                <w:szCs w:val="21"/>
                <w:lang w:val="en-US" w:eastAsia="zh-CN"/>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534"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3917" w:type="dxa"/>
            <w:noWrap w:val="0"/>
            <w:vAlign w:val="center"/>
          </w:tcPr>
          <w:p>
            <w:pPr>
              <w:snapToGrid w:val="0"/>
              <w:spacing w:line="360" w:lineRule="auto"/>
              <w:jc w:val="center"/>
              <w:rPr>
                <w:rFonts w:hint="eastAsia" w:ascii="宋体" w:hAnsi="宋体" w:eastAsia="宋体" w:cs="宋体"/>
                <w:sz w:val="21"/>
                <w:szCs w:val="21"/>
              </w:rPr>
            </w:pPr>
            <w:r>
              <w:rPr>
                <w:rFonts w:hint="eastAsia" w:ascii="宋体" w:hAnsi="宋体" w:cs="宋体"/>
                <w:sz w:val="21"/>
                <w:szCs w:val="21"/>
                <w:lang w:eastAsia="zh-CN"/>
              </w:rPr>
              <w:t>瑞安市曹村镇宋岙溪河道治理工程</w:t>
            </w:r>
          </w:p>
        </w:tc>
        <w:tc>
          <w:tcPr>
            <w:tcW w:w="1561" w:type="dxa"/>
            <w:noWrap w:val="0"/>
            <w:vAlign w:val="center"/>
          </w:tcPr>
          <w:p>
            <w:pPr>
              <w:spacing w:line="360" w:lineRule="auto"/>
              <w:jc w:val="center"/>
              <w:rPr>
                <w:rFonts w:hint="eastAsia" w:ascii="宋体" w:hAnsi="宋体" w:eastAsia="宋体" w:cs="宋体"/>
                <w:sz w:val="21"/>
                <w:szCs w:val="21"/>
              </w:rPr>
            </w:pPr>
          </w:p>
        </w:tc>
        <w:tc>
          <w:tcPr>
            <w:tcW w:w="1561" w:type="dxa"/>
            <w:noWrap w:val="0"/>
            <w:vAlign w:val="center"/>
          </w:tcPr>
          <w:p>
            <w:pPr>
              <w:spacing w:line="360" w:lineRule="auto"/>
              <w:jc w:val="center"/>
              <w:rPr>
                <w:rFonts w:hint="eastAsia" w:ascii="宋体" w:hAnsi="宋体" w:eastAsia="宋体" w:cs="宋体"/>
                <w:sz w:val="21"/>
                <w:szCs w:val="21"/>
              </w:rPr>
            </w:pPr>
          </w:p>
        </w:tc>
        <w:tc>
          <w:tcPr>
            <w:tcW w:w="1562" w:type="dxa"/>
            <w:noWrap w:val="0"/>
            <w:vAlign w:val="center"/>
          </w:tcPr>
          <w:p>
            <w:pPr>
              <w:spacing w:line="36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51" w:type="dxa"/>
            <w:gridSpan w:val="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投标报价（小写）</w:t>
            </w:r>
          </w:p>
        </w:tc>
        <w:tc>
          <w:tcPr>
            <w:tcW w:w="4684" w:type="dxa"/>
            <w:gridSpan w:val="3"/>
            <w:noWrap w:val="0"/>
            <w:vAlign w:val="center"/>
          </w:tcPr>
          <w:p>
            <w:pPr>
              <w:spacing w:line="36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51" w:type="dxa"/>
            <w:gridSpan w:val="2"/>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投标报价（大写）</w:t>
            </w:r>
          </w:p>
        </w:tc>
        <w:tc>
          <w:tcPr>
            <w:tcW w:w="4684" w:type="dxa"/>
            <w:gridSpan w:val="3"/>
            <w:noWrap w:val="0"/>
            <w:vAlign w:val="center"/>
          </w:tcPr>
          <w:p>
            <w:pPr>
              <w:spacing w:line="360" w:lineRule="auto"/>
              <w:jc w:val="center"/>
              <w:rPr>
                <w:rFonts w:hint="eastAsia" w:ascii="宋体" w:hAnsi="宋体" w:eastAsia="宋体" w:cs="宋体"/>
                <w:sz w:val="21"/>
                <w:szCs w:val="21"/>
              </w:rPr>
            </w:pPr>
          </w:p>
        </w:tc>
      </w:tr>
    </w:tbl>
    <w:p>
      <w:pPr>
        <w:snapToGrid w:val="0"/>
        <w:spacing w:line="360" w:lineRule="auto"/>
        <w:ind w:left="480"/>
        <w:rPr>
          <w:rFonts w:hint="eastAsia" w:ascii="宋体" w:hAnsi="宋体" w:eastAsia="宋体" w:cs="宋体"/>
          <w:b/>
          <w:kern w:val="0"/>
          <w:sz w:val="21"/>
          <w:szCs w:val="21"/>
          <w:lang w:val="zh-CN"/>
        </w:rPr>
      </w:pPr>
    </w:p>
    <w:p>
      <w:pPr>
        <w:snapToGrid w:val="0"/>
        <w:spacing w:line="360" w:lineRule="auto"/>
        <w:ind w:left="480"/>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注：</w:t>
      </w:r>
    </w:p>
    <w:p>
      <w:pPr>
        <w:spacing w:line="360" w:lineRule="auto"/>
        <w:ind w:left="-2" w:leftChars="-1" w:firstLine="420" w:firstLineChars="200"/>
        <w:rPr>
          <w:rFonts w:hint="eastAsia" w:ascii="宋体" w:hAnsi="宋体" w:eastAsia="宋体" w:cs="宋体"/>
          <w:i/>
          <w:iCs/>
          <w:color w:val="FF0000"/>
          <w:kern w:val="0"/>
          <w:sz w:val="21"/>
          <w:szCs w:val="21"/>
          <w:lang w:val="zh-CN"/>
        </w:rPr>
      </w:pPr>
      <w:r>
        <w:rPr>
          <w:rFonts w:hint="eastAsia" w:ascii="宋体" w:hAnsi="宋体" w:eastAsia="宋体" w:cs="宋体"/>
          <w:kern w:val="0"/>
          <w:sz w:val="21"/>
          <w:szCs w:val="21"/>
          <w:lang w:val="zh-CN"/>
        </w:rPr>
        <w:t>1、▲</w:t>
      </w:r>
      <w:r>
        <w:rPr>
          <w:rFonts w:hint="eastAsia" w:ascii="宋体" w:hAnsi="宋体" w:eastAsia="宋体" w:cs="宋体"/>
          <w:b/>
          <w:bCs/>
          <w:kern w:val="0"/>
          <w:sz w:val="21"/>
          <w:szCs w:val="21"/>
          <w:lang w:val="zh-CN"/>
        </w:rPr>
        <w:t>磋商供应商需按本表格式填写，否则视为磋商响应文件含有采购人不能接受的附加条件，投标无效。</w:t>
      </w:r>
    </w:p>
    <w:p>
      <w:pPr>
        <w:spacing w:line="360" w:lineRule="auto"/>
        <w:ind w:firstLine="420" w:firstLineChars="20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2、有关本项目实施所涉及的一切费用均计入报价。</w:t>
      </w:r>
      <w:r>
        <w:rPr>
          <w:rFonts w:hint="eastAsia" w:ascii="宋体" w:hAnsi="宋体" w:eastAsia="宋体" w:cs="宋体"/>
          <w:b/>
          <w:kern w:val="0"/>
          <w:sz w:val="21"/>
          <w:szCs w:val="21"/>
          <w:lang w:val="zh-CN"/>
        </w:rPr>
        <w:t>采购人将以合同形式有偿取得货物或服务，不接受磋商供应商给予的赠品、回扣或者与采购无关的其他商品、服务</w:t>
      </w:r>
      <w:r>
        <w:rPr>
          <w:rFonts w:hint="eastAsia" w:ascii="宋体" w:hAnsi="宋体" w:eastAsia="宋体" w:cs="宋体"/>
          <w:kern w:val="0"/>
          <w:sz w:val="21"/>
          <w:szCs w:val="21"/>
          <w:lang w:val="zh-CN"/>
        </w:rPr>
        <w:t>，</w:t>
      </w:r>
      <w:r>
        <w:rPr>
          <w:rFonts w:hint="eastAsia" w:ascii="宋体" w:hAnsi="宋体" w:eastAsia="宋体" w:cs="宋体"/>
          <w:b/>
          <w:kern w:val="0"/>
          <w:sz w:val="21"/>
          <w:szCs w:val="21"/>
          <w:lang w:val="zh-CN"/>
        </w:rPr>
        <w:t>不得出现“0元”“免费赠送”等形式的无偿报价，</w:t>
      </w:r>
      <w:r>
        <w:rPr>
          <w:rFonts w:hint="eastAsia" w:ascii="宋体" w:hAnsi="宋体" w:eastAsia="宋体" w:cs="宋体"/>
          <w:b/>
          <w:kern w:val="0"/>
          <w:sz w:val="21"/>
          <w:szCs w:val="21"/>
        </w:rPr>
        <w:t>否则视为</w:t>
      </w:r>
      <w:r>
        <w:rPr>
          <w:rFonts w:hint="eastAsia" w:ascii="宋体" w:hAnsi="宋体" w:eastAsia="宋体" w:cs="宋体"/>
          <w:b/>
          <w:sz w:val="21"/>
          <w:szCs w:val="21"/>
          <w:lang w:eastAsia="zh-CN"/>
        </w:rPr>
        <w:t>磋商响应文件</w:t>
      </w:r>
      <w:r>
        <w:rPr>
          <w:rFonts w:hint="eastAsia" w:ascii="宋体" w:hAnsi="宋体" w:eastAsia="宋体" w:cs="宋体"/>
          <w:b/>
          <w:sz w:val="21"/>
          <w:szCs w:val="21"/>
        </w:rPr>
        <w:t>含有采购人不能接受的附加条件的，投标无效</w:t>
      </w:r>
      <w:r>
        <w:rPr>
          <w:rFonts w:hint="eastAsia" w:ascii="宋体" w:hAnsi="宋体" w:eastAsia="宋体" w:cs="宋体"/>
          <w:b/>
          <w:sz w:val="21"/>
          <w:szCs w:val="21"/>
          <w:lang w:eastAsia="zh-CN"/>
        </w:rPr>
        <w:t>；</w:t>
      </w:r>
      <w:r>
        <w:rPr>
          <w:rFonts w:hint="eastAsia" w:ascii="宋体" w:hAnsi="宋体" w:eastAsia="宋体" w:cs="宋体"/>
          <w:b/>
          <w:sz w:val="21"/>
          <w:szCs w:val="21"/>
        </w:rPr>
        <w:t>采购内容未包含在《开标一览表（报价表）》名称栏中，</w:t>
      </w:r>
      <w:r>
        <w:rPr>
          <w:rFonts w:hint="eastAsia" w:ascii="宋体" w:hAnsi="宋体" w:eastAsia="宋体" w:cs="宋体"/>
          <w:b/>
          <w:sz w:val="21"/>
          <w:szCs w:val="21"/>
          <w:lang w:eastAsia="zh-CN"/>
        </w:rPr>
        <w:t>磋商供应商</w:t>
      </w:r>
      <w:r>
        <w:rPr>
          <w:rFonts w:hint="eastAsia" w:ascii="宋体" w:hAnsi="宋体" w:eastAsia="宋体" w:cs="宋体"/>
          <w:b/>
          <w:sz w:val="21"/>
          <w:szCs w:val="21"/>
        </w:rPr>
        <w:t>不能作出合理解释的，视为</w:t>
      </w:r>
      <w:r>
        <w:rPr>
          <w:rFonts w:hint="eastAsia" w:ascii="宋体" w:hAnsi="宋体" w:eastAsia="宋体" w:cs="宋体"/>
          <w:b/>
          <w:sz w:val="21"/>
          <w:szCs w:val="21"/>
          <w:lang w:eastAsia="zh-CN"/>
        </w:rPr>
        <w:t>磋商响应文件</w:t>
      </w:r>
      <w:r>
        <w:rPr>
          <w:rFonts w:hint="eastAsia" w:ascii="宋体" w:hAnsi="宋体" w:eastAsia="宋体" w:cs="宋体"/>
          <w:b/>
          <w:sz w:val="21"/>
          <w:szCs w:val="21"/>
        </w:rPr>
        <w:t>含有采购人不能接受的附加条件的，投标无效。</w:t>
      </w:r>
    </w:p>
    <w:p>
      <w:pPr>
        <w:snapToGrid w:val="0"/>
        <w:spacing w:line="360" w:lineRule="auto"/>
        <w:ind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3、特别提示：采购代理机构将对项目名称和项目编号，成交供应商名称、地址和中标金额，主要中标标的的名称、规格型号、数量、单价等予以公示。</w:t>
      </w:r>
    </w:p>
    <w:p>
      <w:pPr>
        <w:snapToGrid w:val="0"/>
        <w:spacing w:line="360" w:lineRule="auto"/>
        <w:ind w:firstLine="420" w:firstLineChars="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5、符合磋商文件中列明的可享受中小企业扶持政策的磋商供应商，请填写中小企业声明函。</w:t>
      </w:r>
    </w:p>
    <w:p>
      <w:pPr>
        <w:pStyle w:val="21"/>
        <w:rPr>
          <w:rFonts w:hint="eastAsia"/>
          <w:lang w:val="zh-CN"/>
        </w:rPr>
      </w:pPr>
    </w:p>
    <w:p>
      <w:pPr>
        <w:pStyle w:val="40"/>
        <w:keepNext w:val="0"/>
        <w:pageBreakBefore w:val="0"/>
        <w:tabs>
          <w:tab w:val="clear" w:pos="720"/>
        </w:tabs>
        <w:snapToGrid w:val="0"/>
        <w:spacing w:before="120" w:after="120"/>
        <w:ind w:firstLine="0"/>
        <w:jc w:val="both"/>
        <w:outlineLvl w:val="9"/>
        <w:rPr>
          <w:rFonts w:hint="eastAsia" w:ascii="宋体" w:hAnsi="宋体" w:eastAsia="宋体" w:cs="宋体"/>
          <w:b w:val="0"/>
          <w:sz w:val="32"/>
          <w:szCs w:val="32"/>
        </w:rPr>
      </w:pPr>
    </w:p>
    <w:p>
      <w:pPr>
        <w:pStyle w:val="40"/>
        <w:keepNext w:val="0"/>
        <w:pageBreakBefore w:val="0"/>
        <w:tabs>
          <w:tab w:val="clear" w:pos="720"/>
        </w:tabs>
        <w:snapToGrid w:val="0"/>
        <w:spacing w:before="120" w:after="120"/>
        <w:ind w:firstLine="0"/>
        <w:jc w:val="both"/>
        <w:outlineLvl w:val="9"/>
        <w:rPr>
          <w:rFonts w:hint="eastAsia" w:ascii="宋体" w:hAnsi="宋体" w:eastAsia="宋体" w:cs="宋体"/>
          <w:b w:val="0"/>
          <w:sz w:val="32"/>
          <w:szCs w:val="32"/>
        </w:rPr>
      </w:pPr>
    </w:p>
    <w:p>
      <w:pPr>
        <w:pStyle w:val="40"/>
        <w:keepNext w:val="0"/>
        <w:pageBreakBefore w:val="0"/>
        <w:tabs>
          <w:tab w:val="clear" w:pos="720"/>
        </w:tabs>
        <w:snapToGrid w:val="0"/>
        <w:spacing w:before="120" w:after="120"/>
        <w:ind w:firstLine="0"/>
        <w:jc w:val="center"/>
        <w:outlineLvl w:val="9"/>
        <w:rPr>
          <w:rFonts w:hint="eastAsia" w:ascii="宋体" w:hAnsi="宋体" w:eastAsia="宋体" w:cs="宋体"/>
          <w:b/>
          <w:sz w:val="36"/>
          <w:szCs w:val="20"/>
        </w:rPr>
        <w:sectPr>
          <w:headerReference r:id="rId17" w:type="first"/>
          <w:footerReference r:id="rId20" w:type="first"/>
          <w:headerReference r:id="rId16" w:type="default"/>
          <w:footerReference r:id="rId18" w:type="default"/>
          <w:footerReference r:id="rId19" w:type="even"/>
          <w:pgSz w:w="11906" w:h="16838"/>
          <w:pgMar w:top="1984" w:right="1418" w:bottom="1417" w:left="1418" w:header="680" w:footer="992" w:gutter="0"/>
          <w:pgNumType w:fmt="decimal"/>
          <w:cols w:space="720" w:num="1"/>
          <w:titlePg/>
          <w:rtlGutter w:val="0"/>
          <w:docGrid w:linePitch="312" w:charSpace="0"/>
        </w:sectPr>
      </w:pPr>
      <w:bookmarkStart w:id="871" w:name="_Toc9288"/>
      <w:bookmarkStart w:id="872" w:name="_Toc21523"/>
    </w:p>
    <w:p>
      <w:pPr>
        <w:pStyle w:val="40"/>
        <w:keepNext w:val="0"/>
        <w:pageBreakBefore w:val="0"/>
        <w:numPr>
          <w:ilvl w:val="0"/>
          <w:numId w:val="12"/>
        </w:numPr>
        <w:tabs>
          <w:tab w:val="clear" w:pos="720"/>
        </w:tabs>
        <w:snapToGrid w:val="0"/>
        <w:spacing w:before="120" w:after="120"/>
        <w:ind w:firstLine="0"/>
        <w:jc w:val="center"/>
        <w:outlineLvl w:val="9"/>
        <w:rPr>
          <w:rFonts w:hint="eastAsia" w:ascii="宋体" w:hAnsi="宋体" w:eastAsia="宋体" w:cs="宋体"/>
        </w:rPr>
      </w:pPr>
      <w:r>
        <w:rPr>
          <w:rFonts w:hint="eastAsia" w:ascii="宋体" w:hAnsi="宋体" w:eastAsia="宋体" w:cs="宋体"/>
        </w:rPr>
        <w:t>实质性响应条款及无效标条款</w:t>
      </w:r>
      <w:bookmarkEnd w:id="871"/>
      <w:bookmarkEnd w:id="872"/>
    </w:p>
    <w:p>
      <w:pPr>
        <w:pStyle w:val="40"/>
        <w:keepNext w:val="0"/>
        <w:pageBreakBefore w:val="0"/>
        <w:numPr>
          <w:ilvl w:val="0"/>
          <w:numId w:val="0"/>
        </w:numPr>
        <w:tabs>
          <w:tab w:val="clear" w:pos="720"/>
        </w:tabs>
        <w:snapToGrid w:val="0"/>
        <w:spacing w:before="120" w:after="120"/>
        <w:jc w:val="center"/>
        <w:outlineLvl w:val="9"/>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（详见磋商文件其他部分）</w:t>
      </w:r>
    </w:p>
    <w:p>
      <w:pPr>
        <w:pStyle w:val="2"/>
        <w:keepNext w:val="0"/>
        <w:keepLines w:val="0"/>
        <w:pageBreakBefore/>
        <w:widowControl/>
        <w:spacing w:before="100" w:beforeAutospacing="1" w:after="100" w:afterAutospacing="1" w:line="360" w:lineRule="auto"/>
        <w:ind w:left="0" w:firstLine="0" w:firstLineChars="0"/>
        <w:jc w:val="center"/>
        <w:rPr>
          <w:rFonts w:hint="eastAsia" w:ascii="宋体" w:hAnsi="宋体" w:eastAsia="宋体" w:cs="宋体"/>
        </w:rPr>
      </w:pPr>
      <w:bookmarkStart w:id="873" w:name="_Toc8172"/>
      <w:bookmarkStart w:id="874" w:name="_Toc1336"/>
      <w:bookmarkStart w:id="875" w:name="_Toc465665161"/>
      <w:bookmarkStart w:id="876" w:name="_Toc13787"/>
      <w:r>
        <w:rPr>
          <w:rFonts w:hint="eastAsia" w:ascii="宋体" w:hAnsi="宋体" w:eastAsia="宋体" w:cs="宋体"/>
        </w:rPr>
        <w:t>附件</w:t>
      </w:r>
      <w:bookmarkEnd w:id="873"/>
      <w:bookmarkEnd w:id="874"/>
      <w:bookmarkEnd w:id="875"/>
      <w:bookmarkEnd w:id="876"/>
    </w:p>
    <w:p>
      <w:pPr>
        <w:spacing w:line="360" w:lineRule="auto"/>
        <w:rPr>
          <w:rFonts w:hint="eastAsia" w:ascii="宋体" w:hAnsi="宋体" w:eastAsia="宋体" w:cs="宋体"/>
          <w:b/>
          <w:spacing w:val="6"/>
          <w:sz w:val="32"/>
          <w:szCs w:val="32"/>
        </w:rPr>
      </w:pPr>
      <w:r>
        <w:rPr>
          <w:rFonts w:hint="eastAsia" w:ascii="宋体" w:hAnsi="宋体" w:eastAsia="宋体" w:cs="宋体"/>
          <w:b/>
          <w:spacing w:val="6"/>
          <w:sz w:val="32"/>
          <w:szCs w:val="32"/>
        </w:rPr>
        <w:t>附件1：</w:t>
      </w:r>
    </w:p>
    <w:p>
      <w:pPr>
        <w:spacing w:line="360" w:lineRule="auto"/>
        <w:jc w:val="center"/>
        <w:rPr>
          <w:rFonts w:hint="eastAsia" w:ascii="宋体" w:hAnsi="宋体" w:eastAsia="宋体" w:cs="宋体"/>
          <w:b/>
          <w:spacing w:val="6"/>
          <w:sz w:val="32"/>
          <w:szCs w:val="32"/>
        </w:rPr>
      </w:pPr>
      <w:bookmarkStart w:id="877" w:name="OLE_LINK13"/>
      <w:bookmarkStart w:id="878" w:name="OLE_LINK14"/>
      <w:r>
        <w:rPr>
          <w:rFonts w:hint="eastAsia" w:ascii="宋体" w:hAnsi="宋体" w:eastAsia="宋体" w:cs="宋体"/>
          <w:b/>
          <w:spacing w:val="6"/>
          <w:sz w:val="32"/>
          <w:szCs w:val="32"/>
        </w:rPr>
        <w:t>残疾人福利性单位声明函</w:t>
      </w:r>
    </w:p>
    <w:bookmarkEnd w:id="877"/>
    <w:bookmarkEnd w:id="878"/>
    <w:p>
      <w:pPr>
        <w:spacing w:line="360" w:lineRule="auto"/>
        <w:rPr>
          <w:rFonts w:hint="eastAsia" w:ascii="宋体" w:hAnsi="宋体" w:eastAsia="宋体" w:cs="宋体"/>
          <w:b/>
          <w:spacing w:val="6"/>
          <w:sz w:val="30"/>
          <w:szCs w:val="30"/>
        </w:rPr>
      </w:pP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b w:val="0"/>
          <w:bCs w:val="0"/>
          <w:sz w:val="21"/>
          <w:szCs w:val="21"/>
          <w:u w:val="single"/>
        </w:rPr>
        <w:t>__</w:t>
      </w:r>
      <w:r>
        <w:rPr>
          <w:rFonts w:hint="eastAsia" w:ascii="宋体" w:hAnsi="宋体" w:eastAsia="宋体" w:cs="宋体"/>
          <w:b w:val="0"/>
          <w:bCs w:val="0"/>
          <w:sz w:val="21"/>
          <w:szCs w:val="21"/>
          <w:u w:val="single"/>
          <w:lang w:val="en-US" w:eastAsia="zh-CN"/>
        </w:rPr>
        <w:t>(采购人)</w:t>
      </w:r>
      <w:r>
        <w:rPr>
          <w:rFonts w:hint="eastAsia" w:ascii="宋体" w:hAnsi="宋体" w:eastAsia="宋体" w:cs="宋体"/>
          <w:b w:val="0"/>
          <w:bCs w:val="0"/>
          <w:sz w:val="21"/>
          <w:szCs w:val="21"/>
          <w:u w:val="single"/>
        </w:rPr>
        <w:t>___</w:t>
      </w:r>
      <w:r>
        <w:rPr>
          <w:rFonts w:hint="eastAsia" w:ascii="宋体" w:hAnsi="宋体" w:eastAsia="宋体" w:cs="宋体"/>
          <w:sz w:val="21"/>
          <w:szCs w:val="21"/>
        </w:rPr>
        <w:t>单位的</w:t>
      </w:r>
      <w:r>
        <w:rPr>
          <w:rFonts w:hint="eastAsia" w:ascii="宋体" w:hAnsi="宋体" w:eastAsia="宋体" w:cs="宋体"/>
          <w:sz w:val="21"/>
          <w:szCs w:val="21"/>
          <w:u w:val="single"/>
        </w:rPr>
        <w:t>_</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项目名称</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_</w:t>
      </w:r>
      <w:r>
        <w:rPr>
          <w:rFonts w:hint="eastAsia" w:ascii="宋体" w:hAnsi="宋体" w:eastAsia="宋体" w:cs="宋体"/>
          <w:sz w:val="21"/>
          <w:szCs w:val="21"/>
        </w:rPr>
        <w:t>项目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项目编号：</w:t>
      </w:r>
      <w:r>
        <w:rPr>
          <w:rFonts w:hint="eastAsia" w:ascii="宋体" w:hAnsi="宋体" w:eastAsia="宋体" w:cs="宋体"/>
          <w:sz w:val="21"/>
          <w:szCs w:val="21"/>
          <w:u w:val="single"/>
        </w:rPr>
        <w:t>_</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项目编号</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_</w:t>
      </w:r>
      <w:r>
        <w:rPr>
          <w:rFonts w:hint="eastAsia" w:ascii="宋体" w:hAnsi="宋体" w:eastAsia="宋体" w:cs="宋体"/>
          <w:sz w:val="21"/>
          <w:szCs w:val="21"/>
          <w:lang w:eastAsia="zh-CN"/>
        </w:rPr>
        <w:t>）</w:t>
      </w:r>
      <w:r>
        <w:rPr>
          <w:rFonts w:hint="eastAsia" w:ascii="宋体" w:hAnsi="宋体" w:eastAsia="宋体" w:cs="宋体"/>
          <w:sz w:val="21"/>
          <w:szCs w:val="21"/>
        </w:rPr>
        <w:t>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本单位对上述声明的真实性负责。如有虚假，将依法承担相应责任。</w:t>
      </w:r>
    </w:p>
    <w:p>
      <w:pPr>
        <w:spacing w:line="360" w:lineRule="auto"/>
        <w:ind w:firstLine="420" w:firstLineChars="200"/>
        <w:rPr>
          <w:rFonts w:hint="eastAsia" w:ascii="宋体" w:hAnsi="宋体" w:eastAsia="宋体" w:cs="宋体"/>
          <w:sz w:val="21"/>
          <w:szCs w:val="21"/>
        </w:rPr>
      </w:pPr>
    </w:p>
    <w:p>
      <w:pPr>
        <w:spacing w:line="360" w:lineRule="auto"/>
        <w:ind w:firstLine="420" w:firstLineChars="200"/>
        <w:rPr>
          <w:rFonts w:hint="eastAsia" w:ascii="宋体" w:hAnsi="宋体" w:eastAsia="宋体" w:cs="宋体"/>
          <w:sz w:val="21"/>
          <w:szCs w:val="21"/>
        </w:rPr>
      </w:pPr>
    </w:p>
    <w:p>
      <w:pPr>
        <w:tabs>
          <w:tab w:val="left" w:pos="4860"/>
        </w:tabs>
        <w:spacing w:line="360" w:lineRule="auto"/>
        <w:ind w:right="1560" w:firstLine="420" w:firstLineChars="200"/>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kern w:val="0"/>
          <w:sz w:val="21"/>
          <w:szCs w:val="21"/>
          <w:lang w:val="zh-CN"/>
        </w:rPr>
        <w:t>磋商供应商名称（电子签名）</w:t>
      </w:r>
      <w:r>
        <w:rPr>
          <w:rFonts w:hint="eastAsia" w:ascii="宋体" w:hAnsi="宋体" w:eastAsia="宋体" w:cs="宋体"/>
          <w:sz w:val="21"/>
          <w:szCs w:val="21"/>
        </w:rPr>
        <w:t>：</w:t>
      </w:r>
    </w:p>
    <w:p>
      <w:pPr>
        <w:tabs>
          <w:tab w:val="left" w:pos="4860"/>
        </w:tabs>
        <w:spacing w:line="360" w:lineRule="auto"/>
        <w:ind w:right="1560" w:firstLine="420" w:firstLineChars="200"/>
        <w:jc w:val="center"/>
        <w:rPr>
          <w:rFonts w:hint="eastAsia" w:ascii="宋体" w:hAnsi="宋体" w:eastAsia="宋体" w:cs="宋体"/>
          <w:sz w:val="21"/>
          <w:szCs w:val="21"/>
        </w:rPr>
      </w:pPr>
      <w:r>
        <w:rPr>
          <w:rFonts w:hint="eastAsia" w:ascii="宋体" w:hAnsi="宋体" w:eastAsia="宋体" w:cs="宋体"/>
          <w:sz w:val="21"/>
          <w:szCs w:val="21"/>
        </w:rPr>
        <w:t xml:space="preserve">       日  期：</w:t>
      </w:r>
    </w:p>
    <w:p>
      <w:pPr>
        <w:spacing w:line="360" w:lineRule="auto"/>
        <w:ind w:firstLine="480" w:firstLineChars="200"/>
        <w:rPr>
          <w:rFonts w:hint="eastAsia" w:ascii="宋体" w:hAnsi="宋体" w:eastAsia="宋体" w:cs="宋体"/>
          <w:sz w:val="24"/>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ind w:firstLine="420" w:firstLineChars="200"/>
        <w:rPr>
          <w:rFonts w:hint="eastAsia" w:ascii="宋体" w:hAnsi="宋体" w:eastAsia="宋体" w:cs="宋体"/>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jc w:val="left"/>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br w:type="page"/>
      </w:r>
      <w:r>
        <w:rPr>
          <w:rFonts w:hint="eastAsia" w:ascii="宋体" w:hAnsi="宋体" w:eastAsia="宋体" w:cs="宋体"/>
          <w:b/>
          <w:spacing w:val="6"/>
          <w:sz w:val="32"/>
          <w:szCs w:val="32"/>
        </w:rPr>
        <w:t>附件2：质疑函范本及制作说明</w:t>
      </w: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质疑函范本</w:t>
      </w:r>
    </w:p>
    <w:p>
      <w:pPr>
        <w:snapToGrid w:val="0"/>
        <w:spacing w:before="240" w:beforeLines="100" w:line="360" w:lineRule="auto"/>
        <w:rPr>
          <w:rFonts w:hint="eastAsia" w:ascii="宋体" w:hAnsi="宋体" w:eastAsia="宋体" w:cs="宋体"/>
          <w:bCs/>
          <w:sz w:val="21"/>
          <w:szCs w:val="21"/>
        </w:rPr>
      </w:pPr>
      <w:r>
        <w:rPr>
          <w:rFonts w:hint="eastAsia" w:ascii="宋体" w:hAnsi="宋体" w:eastAsia="宋体" w:cs="宋体"/>
          <w:bCs/>
          <w:sz w:val="21"/>
          <w:szCs w:val="21"/>
        </w:rPr>
        <w:t>一、质疑供应商基本信息</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质疑供应商：</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联系人：</w:t>
      </w:r>
      <w:r>
        <w:rPr>
          <w:rFonts w:hint="eastAsia" w:ascii="宋体" w:hAnsi="宋体" w:eastAsia="宋体" w:cs="宋体"/>
          <w:sz w:val="21"/>
          <w:szCs w:val="21"/>
          <w:u w:val="dotted"/>
        </w:rPr>
        <w:t xml:space="preserve">                      </w:t>
      </w: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授权代表：</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r>
        <w:rPr>
          <w:rFonts w:hint="eastAsia" w:ascii="宋体" w:hAnsi="宋体" w:eastAsia="宋体" w:cs="宋体"/>
          <w:sz w:val="21"/>
          <w:szCs w:val="21"/>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地址： </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二、质疑项目基本情况</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质疑项目的名称：</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质疑项目的编号：</w:t>
      </w:r>
      <w:r>
        <w:rPr>
          <w:rFonts w:hint="eastAsia" w:ascii="宋体" w:hAnsi="宋体" w:eastAsia="宋体" w:cs="宋体"/>
          <w:sz w:val="21"/>
          <w:szCs w:val="21"/>
          <w:u w:val="dotted"/>
        </w:rPr>
        <w:t xml:space="preserve">               </w:t>
      </w:r>
      <w:r>
        <w:rPr>
          <w:rFonts w:hint="eastAsia" w:ascii="宋体" w:hAnsi="宋体" w:eastAsia="宋体" w:cs="宋体"/>
          <w:sz w:val="21"/>
          <w:szCs w:val="21"/>
        </w:rPr>
        <w:t>包号：</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采购人名称：</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采购文件获取日期：</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三、质疑事项具体内容</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质疑事项1：</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事实依据：</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法律依据：</w:t>
      </w: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u w:val="dotted"/>
        </w:rPr>
        <w:t xml:space="preserve">                                                     </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质疑事项2</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w:t>
      </w:r>
    </w:p>
    <w:p>
      <w:pPr>
        <w:snapToGrid w:val="0"/>
        <w:spacing w:line="360" w:lineRule="auto"/>
        <w:rPr>
          <w:rFonts w:hint="eastAsia" w:ascii="宋体" w:hAnsi="宋体" w:eastAsia="宋体" w:cs="宋体"/>
          <w:bCs/>
          <w:sz w:val="21"/>
          <w:szCs w:val="21"/>
        </w:rPr>
      </w:pPr>
      <w:r>
        <w:rPr>
          <w:rFonts w:hint="eastAsia" w:ascii="宋体" w:hAnsi="宋体" w:eastAsia="宋体" w:cs="宋体"/>
          <w:bCs/>
          <w:sz w:val="21"/>
          <w:szCs w:val="21"/>
        </w:rPr>
        <w:t>四、与质疑事项相关的质疑请求</w:t>
      </w:r>
    </w:p>
    <w:p>
      <w:pPr>
        <w:snapToGrid w:val="0"/>
        <w:spacing w:line="360" w:lineRule="auto"/>
        <w:rPr>
          <w:rFonts w:hint="eastAsia" w:ascii="宋体" w:hAnsi="宋体" w:eastAsia="宋体" w:cs="宋体"/>
          <w:sz w:val="21"/>
          <w:szCs w:val="21"/>
          <w:u w:val="dotted"/>
        </w:rPr>
      </w:pPr>
      <w:r>
        <w:rPr>
          <w:rFonts w:hint="eastAsia" w:ascii="宋体" w:hAnsi="宋体" w:eastAsia="宋体" w:cs="宋体"/>
          <w:sz w:val="21"/>
          <w:szCs w:val="21"/>
        </w:rPr>
        <w:t>请求：</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签字(签章)：                   公章：                      </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日期：    </w:t>
      </w:r>
    </w:p>
    <w:p>
      <w:pPr>
        <w:spacing w:line="360" w:lineRule="auto"/>
        <w:jc w:val="center"/>
        <w:rPr>
          <w:rFonts w:hint="eastAsia" w:ascii="宋体" w:hAnsi="宋体" w:eastAsia="宋体" w:cs="宋体"/>
          <w:b/>
          <w:bCs/>
          <w:sz w:val="24"/>
        </w:rPr>
      </w:pPr>
    </w:p>
    <w:p>
      <w:pPr>
        <w:spacing w:line="360" w:lineRule="auto"/>
        <w:rPr>
          <w:rFonts w:hint="eastAsia" w:ascii="宋体" w:hAnsi="宋体" w:eastAsia="宋体" w:cs="宋体"/>
          <w:b/>
          <w:sz w:val="21"/>
          <w:szCs w:val="21"/>
        </w:rPr>
      </w:pPr>
      <w:r>
        <w:rPr>
          <w:rFonts w:hint="eastAsia" w:ascii="宋体" w:hAnsi="宋体" w:eastAsia="宋体" w:cs="宋体"/>
          <w:b/>
          <w:sz w:val="21"/>
          <w:szCs w:val="21"/>
        </w:rPr>
        <w:t>质疑函制作说明：</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w:t>
      </w:r>
      <w:r>
        <w:rPr>
          <w:rFonts w:hint="eastAsia" w:ascii="宋体" w:hAnsi="宋体" w:eastAsia="宋体" w:cs="宋体"/>
          <w:kern w:val="0"/>
          <w:sz w:val="21"/>
          <w:szCs w:val="21"/>
        </w:rPr>
        <w:t>供应商签署的授权委托书。授权委托书应载明代理人的姓名或者名称、代理事项、具体权限、期限和相关事项。</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5.质疑函的质疑请求应与质疑事项相关。</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sz w:val="30"/>
          <w:szCs w:val="30"/>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pStyle w:val="21"/>
        <w:rPr>
          <w:rFonts w:hint="eastAsia"/>
        </w:rPr>
      </w:pPr>
    </w:p>
    <w:p>
      <w:pPr>
        <w:pStyle w:val="17"/>
        <w:rPr>
          <w:rFonts w:hint="eastAsia"/>
        </w:rPr>
      </w:pPr>
    </w:p>
    <w:p>
      <w:pPr>
        <w:rPr>
          <w:rFonts w:hint="eastAsia"/>
        </w:rPr>
      </w:pPr>
    </w:p>
    <w:p>
      <w:pPr>
        <w:pStyle w:val="21"/>
        <w:rPr>
          <w:rFonts w:hint="eastAsia"/>
        </w:rPr>
      </w:pPr>
    </w:p>
    <w:p>
      <w:pPr>
        <w:pStyle w:val="17"/>
        <w:rPr>
          <w:rFonts w:hint="eastAsia"/>
        </w:rPr>
      </w:pPr>
    </w:p>
    <w:p>
      <w:pPr>
        <w:rPr>
          <w:rFonts w:hint="eastAsia"/>
        </w:rPr>
      </w:pPr>
    </w:p>
    <w:p>
      <w:pPr>
        <w:spacing w:line="360" w:lineRule="auto"/>
        <w:jc w:val="center"/>
        <w:rPr>
          <w:rFonts w:hint="eastAsia" w:ascii="宋体" w:hAnsi="宋体" w:eastAsia="宋体" w:cs="宋体"/>
          <w:b/>
          <w:spacing w:val="6"/>
          <w:sz w:val="32"/>
          <w:szCs w:val="32"/>
        </w:rPr>
      </w:pPr>
    </w:p>
    <w:p>
      <w:pPr>
        <w:spacing w:line="360" w:lineRule="auto"/>
        <w:jc w:val="center"/>
        <w:rPr>
          <w:rFonts w:hint="eastAsia" w:ascii="宋体" w:hAnsi="宋体" w:eastAsia="宋体" w:cs="宋体"/>
          <w:b/>
          <w:spacing w:val="6"/>
          <w:sz w:val="32"/>
          <w:szCs w:val="32"/>
        </w:rPr>
      </w:pPr>
    </w:p>
    <w:p>
      <w:pPr>
        <w:spacing w:line="360" w:lineRule="auto"/>
        <w:jc w:val="left"/>
        <w:rPr>
          <w:rFonts w:hint="eastAsia" w:ascii="宋体" w:hAnsi="宋体" w:eastAsia="宋体" w:cs="宋体"/>
          <w:b/>
          <w:spacing w:val="6"/>
          <w:sz w:val="32"/>
          <w:szCs w:val="32"/>
        </w:rPr>
      </w:pPr>
      <w:r>
        <w:rPr>
          <w:rFonts w:hint="eastAsia" w:ascii="宋体" w:hAnsi="宋体" w:eastAsia="宋体" w:cs="宋体"/>
          <w:b/>
          <w:spacing w:val="6"/>
          <w:sz w:val="32"/>
          <w:szCs w:val="32"/>
        </w:rPr>
        <w:br w:type="page"/>
      </w:r>
      <w:r>
        <w:rPr>
          <w:rFonts w:hint="eastAsia" w:ascii="宋体" w:hAnsi="宋体" w:eastAsia="宋体" w:cs="宋体"/>
          <w:b/>
          <w:spacing w:val="6"/>
          <w:sz w:val="32"/>
          <w:szCs w:val="32"/>
        </w:rPr>
        <w:t>附件3：投诉书范本及制作说明</w:t>
      </w:r>
    </w:p>
    <w:p>
      <w:pPr>
        <w:spacing w:line="360" w:lineRule="auto"/>
        <w:jc w:val="center"/>
        <w:rPr>
          <w:rFonts w:hint="eastAsia" w:ascii="宋体" w:hAnsi="宋体" w:eastAsia="宋体" w:cs="宋体"/>
          <w:b/>
          <w:sz w:val="24"/>
        </w:rPr>
      </w:pPr>
    </w:p>
    <w:p>
      <w:pPr>
        <w:spacing w:line="360" w:lineRule="auto"/>
        <w:jc w:val="center"/>
        <w:rPr>
          <w:rFonts w:hint="eastAsia" w:ascii="宋体" w:hAnsi="宋体" w:eastAsia="宋体" w:cs="宋体"/>
          <w:b/>
          <w:spacing w:val="6"/>
          <w:sz w:val="32"/>
          <w:szCs w:val="32"/>
        </w:rPr>
      </w:pPr>
      <w:r>
        <w:rPr>
          <w:rFonts w:hint="eastAsia" w:ascii="宋体" w:hAnsi="宋体" w:eastAsia="宋体" w:cs="宋体"/>
          <w:b/>
          <w:spacing w:val="6"/>
          <w:sz w:val="32"/>
          <w:szCs w:val="32"/>
        </w:rPr>
        <w:t>投诉书范本</w:t>
      </w:r>
    </w:p>
    <w:p>
      <w:pPr>
        <w:spacing w:line="360" w:lineRule="auto"/>
        <w:rPr>
          <w:rFonts w:hint="eastAsia" w:ascii="宋体" w:hAnsi="宋体" w:eastAsia="宋体" w:cs="宋体"/>
          <w:sz w:val="21"/>
          <w:szCs w:val="21"/>
        </w:rPr>
      </w:pPr>
      <w:r>
        <w:rPr>
          <w:rFonts w:hint="eastAsia" w:ascii="宋体" w:hAnsi="宋体" w:eastAsia="宋体" w:cs="宋体"/>
          <w:sz w:val="21"/>
          <w:szCs w:val="21"/>
        </w:rPr>
        <w:t>一、投诉相关主体基本情况</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投诉人：</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地     址：</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tabs>
          <w:tab w:val="left" w:pos="6510"/>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法定代表人/主要负责人：</w:t>
      </w:r>
      <w:r>
        <w:rPr>
          <w:rFonts w:hint="eastAsia" w:ascii="宋体" w:hAnsi="宋体" w:eastAsia="宋体" w:cs="宋体"/>
          <w:sz w:val="21"/>
          <w:szCs w:val="21"/>
          <w:u w:val="dotted"/>
        </w:rPr>
        <w:t xml:space="preserve">                                   </w:t>
      </w:r>
      <w:r>
        <w:rPr>
          <w:rFonts w:hint="eastAsia" w:ascii="宋体" w:hAnsi="宋体" w:eastAsia="宋体" w:cs="宋体"/>
          <w:sz w:val="21"/>
          <w:szCs w:val="21"/>
        </w:rPr>
        <w:t xml:space="preserve">  </w:t>
      </w:r>
    </w:p>
    <w:p>
      <w:pPr>
        <w:tabs>
          <w:tab w:val="left" w:pos="6510"/>
        </w:tabs>
        <w:spacing w:line="360" w:lineRule="auto"/>
        <w:rPr>
          <w:rFonts w:hint="eastAsia" w:ascii="宋体" w:hAnsi="宋体" w:eastAsia="宋体" w:cs="宋体"/>
          <w:sz w:val="21"/>
          <w:szCs w:val="21"/>
          <w:u w:val="dotted"/>
        </w:rPr>
      </w:pP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授权代表：</w:t>
      </w:r>
      <w:r>
        <w:rPr>
          <w:rFonts w:hint="eastAsia" w:ascii="宋体" w:hAnsi="宋体" w:eastAsia="宋体" w:cs="宋体"/>
          <w:sz w:val="21"/>
          <w:szCs w:val="21"/>
          <w:u w:val="dotted"/>
        </w:rPr>
        <w:t xml:space="preserve">             </w:t>
      </w: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地     址：</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被投诉人1：</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地     址：</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联系人：</w:t>
      </w:r>
      <w:r>
        <w:rPr>
          <w:rFonts w:hint="eastAsia" w:ascii="宋体" w:hAnsi="宋体" w:eastAsia="宋体" w:cs="宋体"/>
          <w:sz w:val="21"/>
          <w:szCs w:val="21"/>
          <w:u w:val="dotted"/>
        </w:rPr>
        <w:t xml:space="preserve">               </w:t>
      </w: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被投诉人2</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相关供应商：</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地     址：</w:t>
      </w:r>
      <w:r>
        <w:rPr>
          <w:rFonts w:hint="eastAsia" w:ascii="宋体" w:hAnsi="宋体" w:eastAsia="宋体" w:cs="宋体"/>
          <w:sz w:val="21"/>
          <w:szCs w:val="21"/>
          <w:u w:val="dotted"/>
        </w:rPr>
        <w:t xml:space="preserve">                             </w:t>
      </w:r>
      <w:r>
        <w:rPr>
          <w:rFonts w:hint="eastAsia" w:ascii="宋体" w:hAnsi="宋体" w:eastAsia="宋体" w:cs="宋体"/>
          <w:sz w:val="21"/>
          <w:szCs w:val="21"/>
        </w:rPr>
        <w:t>邮编：</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联系人：</w:t>
      </w:r>
      <w:r>
        <w:rPr>
          <w:rFonts w:hint="eastAsia" w:ascii="宋体" w:hAnsi="宋体" w:eastAsia="宋体" w:cs="宋体"/>
          <w:sz w:val="21"/>
          <w:szCs w:val="21"/>
          <w:u w:val="dotted"/>
        </w:rPr>
        <w:t xml:space="preserve">               </w:t>
      </w:r>
      <w:r>
        <w:rPr>
          <w:rFonts w:hint="eastAsia" w:ascii="宋体" w:hAnsi="宋体" w:eastAsia="宋体" w:cs="宋体"/>
          <w:sz w:val="21"/>
          <w:szCs w:val="21"/>
        </w:rPr>
        <w:t>联系电话：</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二、投诉项目基本情况</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采购项目名称：</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采购项目编号：</w:t>
      </w:r>
      <w:r>
        <w:rPr>
          <w:rFonts w:hint="eastAsia" w:ascii="宋体" w:hAnsi="宋体" w:eastAsia="宋体" w:cs="宋体"/>
          <w:sz w:val="21"/>
          <w:szCs w:val="21"/>
          <w:u w:val="dotted"/>
        </w:rPr>
        <w:t xml:space="preserve">                 </w:t>
      </w:r>
      <w:r>
        <w:rPr>
          <w:rFonts w:hint="eastAsia" w:ascii="宋体" w:hAnsi="宋体" w:eastAsia="宋体" w:cs="宋体"/>
          <w:sz w:val="21"/>
          <w:szCs w:val="21"/>
        </w:rPr>
        <w:t>包号：</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采购人名称：</w:t>
      </w:r>
      <w:r>
        <w:rPr>
          <w:rFonts w:hint="eastAsia" w:ascii="宋体" w:hAnsi="宋体" w:eastAsia="宋体" w:cs="宋体"/>
          <w:sz w:val="21"/>
          <w:szCs w:val="21"/>
          <w:u w:val="dotted"/>
        </w:rPr>
        <w:t xml:space="preserve">                                           </w:t>
      </w:r>
      <w:r>
        <w:rPr>
          <w:rFonts w:hint="eastAsia" w:ascii="宋体" w:hAnsi="宋体" w:eastAsia="宋体" w:cs="宋体"/>
          <w:sz w:val="21"/>
          <w:szCs w:val="21"/>
          <w:u w:val="single"/>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代理机构名称：</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采购文件公告:</w:t>
      </w:r>
      <w:r>
        <w:rPr>
          <w:rFonts w:hint="eastAsia" w:ascii="宋体" w:hAnsi="宋体" w:eastAsia="宋体" w:cs="宋体"/>
          <w:sz w:val="21"/>
          <w:szCs w:val="21"/>
          <w:u w:val="dotted"/>
        </w:rPr>
        <w:t xml:space="preserve">是/否 </w:t>
      </w:r>
      <w:r>
        <w:rPr>
          <w:rFonts w:hint="eastAsia" w:ascii="宋体" w:hAnsi="宋体" w:eastAsia="宋体" w:cs="宋体"/>
          <w:sz w:val="21"/>
          <w:szCs w:val="21"/>
        </w:rPr>
        <w:t>公告期限：</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采购结果公告:</w:t>
      </w:r>
      <w:r>
        <w:rPr>
          <w:rFonts w:hint="eastAsia" w:ascii="宋体" w:hAnsi="宋体" w:eastAsia="宋体" w:cs="宋体"/>
          <w:sz w:val="21"/>
          <w:szCs w:val="21"/>
          <w:u w:val="dotted"/>
        </w:rPr>
        <w:t xml:space="preserve">是/否 </w:t>
      </w:r>
      <w:r>
        <w:rPr>
          <w:rFonts w:hint="eastAsia" w:ascii="宋体" w:hAnsi="宋体" w:eastAsia="宋体" w:cs="宋体"/>
          <w:sz w:val="21"/>
          <w:szCs w:val="21"/>
        </w:rPr>
        <w:t>公告期限：</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三、质疑基本情况</w:t>
      </w:r>
    </w:p>
    <w:p>
      <w:pPr>
        <w:spacing w:line="360" w:lineRule="auto"/>
        <w:ind w:firstLine="420" w:firstLineChars="200"/>
        <w:rPr>
          <w:rFonts w:hint="eastAsia" w:ascii="宋体" w:hAnsi="宋体" w:eastAsia="宋体" w:cs="宋体"/>
          <w:sz w:val="21"/>
          <w:szCs w:val="21"/>
          <w:u w:val="dotted"/>
        </w:rPr>
      </w:pPr>
      <w:r>
        <w:rPr>
          <w:rFonts w:hint="eastAsia" w:ascii="宋体" w:hAnsi="宋体" w:eastAsia="宋体" w:cs="宋体"/>
          <w:sz w:val="21"/>
          <w:szCs w:val="21"/>
        </w:rPr>
        <w:t>投诉人于</w:t>
      </w:r>
      <w:r>
        <w:rPr>
          <w:rFonts w:hint="eastAsia" w:ascii="宋体" w:hAnsi="宋体" w:eastAsia="宋体" w:cs="宋体"/>
          <w:sz w:val="21"/>
          <w:szCs w:val="21"/>
          <w:u w:val="dotted"/>
        </w:rPr>
        <w:t xml:space="preserve">   </w:t>
      </w:r>
      <w:r>
        <w:rPr>
          <w:rFonts w:hint="eastAsia" w:ascii="宋体" w:hAnsi="宋体" w:eastAsia="宋体" w:cs="宋体"/>
          <w:sz w:val="21"/>
          <w:szCs w:val="21"/>
        </w:rPr>
        <w:t>年</w:t>
      </w:r>
      <w:r>
        <w:rPr>
          <w:rFonts w:hint="eastAsia" w:ascii="宋体" w:hAnsi="宋体" w:eastAsia="宋体" w:cs="宋体"/>
          <w:sz w:val="21"/>
          <w:szCs w:val="21"/>
          <w:u w:val="dotted"/>
        </w:rPr>
        <w:t xml:space="preserve">   </w:t>
      </w:r>
      <w:r>
        <w:rPr>
          <w:rFonts w:hint="eastAsia" w:ascii="宋体" w:hAnsi="宋体" w:eastAsia="宋体" w:cs="宋体"/>
          <w:sz w:val="21"/>
          <w:szCs w:val="21"/>
        </w:rPr>
        <w:t>月</w:t>
      </w:r>
      <w:r>
        <w:rPr>
          <w:rFonts w:hint="eastAsia" w:ascii="宋体" w:hAnsi="宋体" w:eastAsia="宋体" w:cs="宋体"/>
          <w:sz w:val="21"/>
          <w:szCs w:val="21"/>
          <w:u w:val="dotted"/>
        </w:rPr>
        <w:t xml:space="preserve">  </w:t>
      </w:r>
      <w:r>
        <w:rPr>
          <w:rFonts w:hint="eastAsia" w:ascii="宋体" w:hAnsi="宋体" w:eastAsia="宋体" w:cs="宋体"/>
          <w:sz w:val="21"/>
          <w:szCs w:val="21"/>
        </w:rPr>
        <w:t>日,向</w:t>
      </w:r>
      <w:r>
        <w:rPr>
          <w:rFonts w:hint="eastAsia" w:ascii="宋体" w:hAnsi="宋体" w:eastAsia="宋体" w:cs="宋体"/>
          <w:sz w:val="21"/>
          <w:szCs w:val="21"/>
          <w:u w:val="dotted"/>
        </w:rPr>
        <w:t xml:space="preserve">                   </w:t>
      </w:r>
      <w:r>
        <w:rPr>
          <w:rFonts w:hint="eastAsia" w:ascii="宋体" w:hAnsi="宋体" w:eastAsia="宋体" w:cs="宋体"/>
          <w:sz w:val="21"/>
          <w:szCs w:val="21"/>
        </w:rPr>
        <w:t>提出质疑，质疑事项为：</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u w:val="dotted"/>
        </w:rPr>
        <w:t xml:space="preserve">                                                     </w:t>
      </w:r>
      <w:r>
        <w:rPr>
          <w:rFonts w:hint="eastAsia" w:ascii="宋体" w:hAnsi="宋体" w:eastAsia="宋体" w:cs="宋体"/>
          <w:sz w:val="21"/>
          <w:szCs w:val="21"/>
        </w:rPr>
        <w:t xml:space="preserve">  </w:t>
      </w:r>
    </w:p>
    <w:p>
      <w:pPr>
        <w:spacing w:line="360" w:lineRule="auto"/>
        <w:ind w:firstLine="315" w:firstLineChars="150"/>
        <w:rPr>
          <w:rFonts w:hint="eastAsia" w:ascii="宋体" w:hAnsi="宋体" w:eastAsia="宋体" w:cs="宋体"/>
          <w:sz w:val="21"/>
          <w:szCs w:val="21"/>
        </w:rPr>
      </w:pPr>
      <w:r>
        <w:rPr>
          <w:rFonts w:hint="eastAsia" w:ascii="宋体" w:hAnsi="宋体" w:eastAsia="宋体" w:cs="宋体"/>
          <w:sz w:val="21"/>
          <w:szCs w:val="21"/>
          <w:u w:val="dotted"/>
        </w:rPr>
        <w:t>采购人/代理机构</w:t>
      </w:r>
      <w:r>
        <w:rPr>
          <w:rFonts w:hint="eastAsia" w:ascii="宋体" w:hAnsi="宋体" w:eastAsia="宋体" w:cs="宋体"/>
          <w:sz w:val="21"/>
          <w:szCs w:val="21"/>
        </w:rPr>
        <w:t>于</w:t>
      </w:r>
      <w:r>
        <w:rPr>
          <w:rFonts w:hint="eastAsia" w:ascii="宋体" w:hAnsi="宋体" w:eastAsia="宋体" w:cs="宋体"/>
          <w:sz w:val="21"/>
          <w:szCs w:val="21"/>
          <w:u w:val="dotted"/>
        </w:rPr>
        <w:t xml:space="preserve">   </w:t>
      </w:r>
      <w:r>
        <w:rPr>
          <w:rFonts w:hint="eastAsia" w:ascii="宋体" w:hAnsi="宋体" w:eastAsia="宋体" w:cs="宋体"/>
          <w:sz w:val="21"/>
          <w:szCs w:val="21"/>
        </w:rPr>
        <w:t>年</w:t>
      </w:r>
      <w:r>
        <w:rPr>
          <w:rFonts w:hint="eastAsia" w:ascii="宋体" w:hAnsi="宋体" w:eastAsia="宋体" w:cs="宋体"/>
          <w:sz w:val="21"/>
          <w:szCs w:val="21"/>
          <w:u w:val="dotted"/>
        </w:rPr>
        <w:t xml:space="preserve">   </w:t>
      </w:r>
      <w:r>
        <w:rPr>
          <w:rFonts w:hint="eastAsia" w:ascii="宋体" w:hAnsi="宋体" w:eastAsia="宋体" w:cs="宋体"/>
          <w:sz w:val="21"/>
          <w:szCs w:val="21"/>
        </w:rPr>
        <w:t>月</w:t>
      </w:r>
      <w:r>
        <w:rPr>
          <w:rFonts w:hint="eastAsia" w:ascii="宋体" w:hAnsi="宋体" w:eastAsia="宋体" w:cs="宋体"/>
          <w:sz w:val="21"/>
          <w:szCs w:val="21"/>
          <w:u w:val="dotted"/>
        </w:rPr>
        <w:t xml:space="preserve">   </w:t>
      </w:r>
      <w:r>
        <w:rPr>
          <w:rFonts w:hint="eastAsia" w:ascii="宋体" w:hAnsi="宋体" w:eastAsia="宋体" w:cs="宋体"/>
          <w:sz w:val="21"/>
          <w:szCs w:val="21"/>
        </w:rPr>
        <w:t>日,就质疑事项作出了答复/没有在法定期限内作出答复。</w:t>
      </w:r>
    </w:p>
    <w:p>
      <w:pPr>
        <w:spacing w:line="360" w:lineRule="auto"/>
        <w:rPr>
          <w:rFonts w:hint="eastAsia" w:ascii="宋体" w:hAnsi="宋体" w:eastAsia="宋体" w:cs="宋体"/>
          <w:sz w:val="21"/>
          <w:szCs w:val="21"/>
        </w:rPr>
      </w:pPr>
      <w:r>
        <w:rPr>
          <w:rFonts w:hint="eastAsia" w:ascii="宋体" w:hAnsi="宋体" w:eastAsia="宋体" w:cs="宋体"/>
          <w:sz w:val="21"/>
          <w:szCs w:val="21"/>
        </w:rPr>
        <w:t>四、投诉事项具体内容</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投诉事项 1：</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事实依据：</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法律依据：</w:t>
      </w: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u w:val="dotted"/>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投诉事项2</w:t>
      </w:r>
    </w:p>
    <w:p>
      <w:pPr>
        <w:spacing w:line="360" w:lineRule="auto"/>
        <w:rPr>
          <w:rFonts w:hint="eastAsia" w:ascii="宋体" w:hAnsi="宋体" w:eastAsia="宋体" w:cs="宋体"/>
          <w:sz w:val="21"/>
          <w:szCs w:val="21"/>
          <w:u w:val="dotted"/>
        </w:rPr>
      </w:pPr>
      <w:r>
        <w:rPr>
          <w:rFonts w:hint="eastAsia" w:ascii="宋体" w:hAnsi="宋体" w:eastAsia="宋体" w:cs="宋体"/>
          <w:sz w:val="21"/>
          <w:szCs w:val="21"/>
        </w:rPr>
        <w:t>……</w:t>
      </w:r>
    </w:p>
    <w:p>
      <w:pPr>
        <w:spacing w:line="360" w:lineRule="auto"/>
        <w:rPr>
          <w:rFonts w:hint="eastAsia" w:ascii="宋体" w:hAnsi="宋体" w:eastAsia="宋体" w:cs="宋体"/>
          <w:sz w:val="21"/>
          <w:szCs w:val="21"/>
        </w:rPr>
      </w:pPr>
      <w:r>
        <w:rPr>
          <w:rFonts w:hint="eastAsia" w:ascii="宋体" w:hAnsi="宋体" w:eastAsia="宋体" w:cs="宋体"/>
          <w:sz w:val="21"/>
          <w:szCs w:val="21"/>
        </w:rPr>
        <w:t>五、与投诉事项相关的投诉请求</w:t>
      </w:r>
    </w:p>
    <w:p>
      <w:pPr>
        <w:spacing w:line="360" w:lineRule="auto"/>
        <w:rPr>
          <w:rFonts w:hint="eastAsia" w:ascii="宋体" w:hAnsi="宋体" w:eastAsia="宋体" w:cs="宋体"/>
          <w:sz w:val="21"/>
          <w:szCs w:val="21"/>
        </w:rPr>
      </w:pPr>
      <w:r>
        <w:rPr>
          <w:rFonts w:hint="eastAsia" w:ascii="宋体" w:hAnsi="宋体" w:eastAsia="宋体" w:cs="宋体"/>
          <w:sz w:val="21"/>
          <w:szCs w:val="21"/>
        </w:rPr>
        <w:t>请求：</w:t>
      </w:r>
      <w:r>
        <w:rPr>
          <w:rFonts w:hint="eastAsia" w:ascii="宋体" w:hAnsi="宋体" w:eastAsia="宋体" w:cs="宋体"/>
          <w:sz w:val="21"/>
          <w:szCs w:val="21"/>
          <w:u w:val="dotted"/>
        </w:rPr>
        <w:t xml:space="preserve">                                              </w:t>
      </w: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 xml:space="preserve">                                                               </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签字(签章)：                   公章：                      </w:t>
      </w:r>
    </w:p>
    <w:p>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日期：    </w:t>
      </w: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4"/>
        </w:rPr>
      </w:pPr>
    </w:p>
    <w:p>
      <w:pPr>
        <w:spacing w:line="360" w:lineRule="auto"/>
        <w:rPr>
          <w:rFonts w:hint="eastAsia" w:ascii="宋体" w:hAnsi="宋体" w:eastAsia="宋体" w:cs="宋体"/>
          <w:b/>
          <w:sz w:val="21"/>
          <w:szCs w:val="21"/>
        </w:rPr>
      </w:pPr>
      <w:r>
        <w:rPr>
          <w:rFonts w:hint="eastAsia" w:ascii="宋体" w:hAnsi="宋体" w:eastAsia="宋体" w:cs="宋体"/>
          <w:b/>
          <w:sz w:val="21"/>
          <w:szCs w:val="21"/>
        </w:rPr>
        <w:t>投诉书制作说明：</w:t>
      </w:r>
    </w:p>
    <w:p>
      <w:pPr>
        <w:widowControl/>
        <w:spacing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sz w:val="21"/>
          <w:szCs w:val="21"/>
        </w:rPr>
        <w:t>2.投诉人若委托代理人进行投诉的，投诉书应按照要求列明“授权代表”的有关内容，并在附件中提交由</w:t>
      </w:r>
      <w:r>
        <w:rPr>
          <w:rFonts w:hint="eastAsia" w:ascii="宋体" w:hAnsi="宋体" w:eastAsia="宋体" w:cs="宋体"/>
          <w:kern w:val="0"/>
          <w:sz w:val="21"/>
          <w:szCs w:val="21"/>
        </w:rPr>
        <w:t>投诉人签署的授权委托书。授权委托书应当载明代理人的姓名或者名称、代理事项、具体权限、期限和相关事项。</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3.投诉人若对项目的某一分包进行投诉，投诉书应列明具体分包号。</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4.投诉书应简要列明质疑事项，质疑函、质疑答复等作为附件材料提供。</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5.投诉书的投诉事项应具体、明确，并有必要的事实依据和法律依据。</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6.投诉书的投诉请求应与投诉事项相关。</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sz w:val="21"/>
          <w:szCs w:val="21"/>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pPr>
    </w:p>
    <w:p>
      <w:pPr>
        <w:autoSpaceDE w:val="0"/>
        <w:autoSpaceDN w:val="0"/>
        <w:jc w:val="center"/>
        <w:rPr>
          <w:rFonts w:hint="eastAsia" w:ascii="宋体" w:hAnsi="宋体" w:eastAsia="宋体" w:cs="宋体"/>
          <w:b/>
          <w:spacing w:val="6"/>
          <w:sz w:val="32"/>
          <w:szCs w:val="32"/>
          <w:lang w:val="en-US" w:eastAsia="zh-CN"/>
        </w:rPr>
        <w:sectPr>
          <w:pgSz w:w="11906" w:h="16838"/>
          <w:pgMar w:top="1417" w:right="1418" w:bottom="1417" w:left="1418" w:header="680" w:footer="992" w:gutter="0"/>
          <w:pgNumType w:fmt="decimal"/>
          <w:cols w:space="720" w:num="1"/>
          <w:titlePg/>
          <w:rtlGutter w:val="0"/>
          <w:docGrid w:linePitch="312" w:charSpace="0"/>
        </w:sectPr>
      </w:pPr>
    </w:p>
    <w:p>
      <w:pPr>
        <w:autoSpaceDE w:val="0"/>
        <w:autoSpaceDN w:val="0"/>
        <w:jc w:val="center"/>
        <w:rPr>
          <w:rFonts w:hint="eastAsia" w:ascii="宋体" w:hAnsi="宋体" w:eastAsia="宋体" w:cs="宋体"/>
          <w:b/>
          <w:spacing w:val="6"/>
          <w:sz w:val="32"/>
          <w:szCs w:val="32"/>
          <w:lang w:val="en-US" w:eastAsia="zh-CN"/>
        </w:rPr>
      </w:pPr>
      <w:r>
        <w:rPr>
          <w:rFonts w:hint="eastAsia" w:ascii="宋体" w:hAnsi="宋体" w:eastAsia="宋体" w:cs="宋体"/>
          <w:b/>
          <w:spacing w:val="6"/>
          <w:sz w:val="32"/>
          <w:szCs w:val="32"/>
          <w:lang w:val="en-US" w:eastAsia="zh-CN"/>
        </w:rPr>
        <w:t>附件4：中小企业划型标准</w:t>
      </w:r>
    </w:p>
    <w:p>
      <w:pPr>
        <w:rPr>
          <w:rFonts w:hint="eastAsia" w:ascii="宋体" w:hAnsi="宋体" w:eastAsia="宋体" w:cs="宋体"/>
          <w:b/>
          <w:spacing w:val="6"/>
          <w:sz w:val="32"/>
          <w:szCs w:val="32"/>
          <w:lang w:val="en-US" w:eastAsia="zh-CN"/>
        </w:rPr>
      </w:pPr>
      <w:r>
        <w:rPr>
          <w:rFonts w:hint="eastAsia" w:ascii="宋体" w:hAnsi="宋体" w:eastAsia="宋体" w:cs="宋体"/>
          <w:b/>
          <w:spacing w:val="6"/>
          <w:sz w:val="32"/>
          <w:szCs w:val="32"/>
          <w:lang w:val="en-US" w:eastAsia="zh-CN"/>
        </w:rPr>
        <w:drawing>
          <wp:anchor distT="0" distB="0" distL="114300" distR="114300" simplePos="0" relativeHeight="251667456" behindDoc="0" locked="0" layoutInCell="1" allowOverlap="1">
            <wp:simplePos x="0" y="0"/>
            <wp:positionH relativeFrom="column">
              <wp:posOffset>1471295</wp:posOffset>
            </wp:positionH>
            <wp:positionV relativeFrom="paragraph">
              <wp:posOffset>-1226185</wp:posOffset>
            </wp:positionV>
            <wp:extent cx="5770245" cy="8233410"/>
            <wp:effectExtent l="0" t="0" r="15240" b="1905"/>
            <wp:wrapNone/>
            <wp:docPr id="3" name="图片 43" descr="中小企业划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 descr="中小企业划分"/>
                    <pic:cNvPicPr>
                      <a:picLocks noChangeAspect="1"/>
                    </pic:cNvPicPr>
                  </pic:nvPicPr>
                  <pic:blipFill>
                    <a:blip r:embed="rId22"/>
                    <a:stretch>
                      <a:fillRect/>
                    </a:stretch>
                  </pic:blipFill>
                  <pic:spPr>
                    <a:xfrm rot="5400000">
                      <a:off x="0" y="0"/>
                      <a:ext cx="5770245" cy="8233410"/>
                    </a:xfrm>
                    <a:prstGeom prst="rect">
                      <a:avLst/>
                    </a:prstGeom>
                    <a:noFill/>
                    <a:ln>
                      <a:noFill/>
                    </a:ln>
                  </pic:spPr>
                </pic:pic>
              </a:graphicData>
            </a:graphic>
          </wp:anchor>
        </w:drawing>
      </w:r>
    </w:p>
    <w:p>
      <w:pPr>
        <w:autoSpaceDE w:val="0"/>
        <w:autoSpaceDN w:val="0"/>
        <w:jc w:val="center"/>
        <w:rPr>
          <w:rFonts w:hint="eastAsia" w:ascii="宋体" w:hAnsi="宋体" w:eastAsia="宋体" w:cs="宋体"/>
          <w:b/>
          <w:spacing w:val="6"/>
          <w:sz w:val="32"/>
          <w:szCs w:val="32"/>
        </w:rPr>
        <w:sectPr>
          <w:pgSz w:w="16838" w:h="11906" w:orient="landscape"/>
          <w:pgMar w:top="1418" w:right="1417" w:bottom="1418" w:left="1417" w:header="680" w:footer="992" w:gutter="0"/>
          <w:pgNumType w:fmt="decimal"/>
          <w:cols w:space="720" w:num="1"/>
          <w:titlePg/>
          <w:rtlGutter w:val="0"/>
          <w:docGrid w:linePitch="312" w:charSpace="0"/>
        </w:sectPr>
      </w:pPr>
    </w:p>
    <w:p>
      <w:pPr>
        <w:autoSpaceDE w:val="0"/>
        <w:autoSpaceDN w:val="0"/>
        <w:jc w:val="center"/>
        <w:rPr>
          <w:rFonts w:hint="eastAsia" w:ascii="宋体" w:hAnsi="宋体" w:eastAsia="宋体" w:cs="宋体"/>
          <w:b/>
          <w:bCs/>
          <w:sz w:val="32"/>
          <w:szCs w:val="32"/>
        </w:rPr>
      </w:pPr>
      <w:r>
        <w:rPr>
          <w:rFonts w:hint="eastAsia" w:ascii="宋体" w:hAnsi="宋体" w:eastAsia="宋体" w:cs="宋体"/>
          <w:b/>
          <w:spacing w:val="6"/>
          <w:sz w:val="32"/>
          <w:szCs w:val="32"/>
        </w:rPr>
        <w:t>附件5：</w:t>
      </w:r>
      <w:r>
        <w:rPr>
          <w:rFonts w:hint="eastAsia" w:ascii="宋体" w:hAnsi="宋体" w:eastAsia="宋体" w:cs="宋体"/>
          <w:b/>
          <w:sz w:val="32"/>
          <w:szCs w:val="32"/>
        </w:rPr>
        <w:t>中小企业声明函</w:t>
      </w:r>
    </w:p>
    <w:p>
      <w:pPr>
        <w:spacing w:line="360" w:lineRule="auto"/>
        <w:jc w:val="center"/>
        <w:rPr>
          <w:rFonts w:hint="eastAsia" w:ascii="宋体" w:hAnsi="宋体" w:eastAsia="宋体" w:cs="宋体"/>
          <w:sz w:val="24"/>
          <w:u w:val="single"/>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w:t>
      </w:r>
    </w:p>
    <w:p>
      <w:pPr>
        <w:spacing w:line="360" w:lineRule="auto"/>
        <w:rPr>
          <w:rFonts w:hint="eastAsia" w:ascii="宋体" w:hAnsi="宋体" w:eastAsia="宋体" w:cs="宋体"/>
        </w:rPr>
      </w:pPr>
    </w:p>
    <w:p>
      <w:pPr>
        <w:spacing w:line="360" w:lineRule="auto"/>
        <w:ind w:firstLine="315" w:firstLineChars="150"/>
        <w:jc w:val="left"/>
        <w:rPr>
          <w:rFonts w:hint="eastAsia" w:ascii="宋体" w:hAnsi="宋体" w:eastAsia="宋体" w:cs="宋体"/>
          <w:sz w:val="21"/>
          <w:szCs w:val="21"/>
        </w:rPr>
      </w:pPr>
      <w:r>
        <w:rPr>
          <w:rFonts w:hint="eastAsia" w:ascii="宋体" w:hAnsi="宋体" w:eastAsia="宋体" w:cs="宋体"/>
          <w:sz w:val="21"/>
          <w:szCs w:val="21"/>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1. </w:t>
      </w:r>
      <w:r>
        <w:rPr>
          <w:rFonts w:hint="eastAsia" w:ascii="宋体" w:hAnsi="宋体" w:eastAsia="宋体" w:cs="宋体"/>
          <w:sz w:val="21"/>
          <w:szCs w:val="21"/>
          <w:u w:val="single"/>
        </w:rPr>
        <w:t>（标的名称）</w:t>
      </w:r>
      <w:r>
        <w:rPr>
          <w:rFonts w:hint="eastAsia" w:ascii="宋体" w:hAnsi="宋体" w:eastAsia="宋体" w:cs="宋体"/>
          <w:sz w:val="21"/>
          <w:szCs w:val="21"/>
        </w:rPr>
        <w:t xml:space="preserve">，属于 </w:t>
      </w:r>
      <w:r>
        <w:rPr>
          <w:rFonts w:hint="eastAsia" w:ascii="宋体" w:hAnsi="宋体" w:eastAsia="宋体" w:cs="宋体"/>
          <w:sz w:val="21"/>
          <w:szCs w:val="21"/>
          <w:u w:val="single"/>
        </w:rPr>
        <w:t>（采购文件中明确的所属行业）</w:t>
      </w:r>
      <w:r>
        <w:rPr>
          <w:rFonts w:hint="eastAsia" w:ascii="宋体" w:hAnsi="宋体" w:eastAsia="宋体" w:cs="宋体"/>
          <w:sz w:val="21"/>
          <w:szCs w:val="21"/>
        </w:rPr>
        <w:t xml:space="preserve"> ；承建（承接）企业为 </w:t>
      </w:r>
      <w:r>
        <w:rPr>
          <w:rFonts w:hint="eastAsia" w:ascii="宋体" w:hAnsi="宋体" w:eastAsia="宋体" w:cs="宋体"/>
          <w:sz w:val="21"/>
          <w:szCs w:val="21"/>
          <w:u w:val="single"/>
        </w:rPr>
        <w:t>（企业名称）</w:t>
      </w:r>
      <w:r>
        <w:rPr>
          <w:rFonts w:hint="eastAsia" w:ascii="宋体" w:hAnsi="宋体" w:eastAsia="宋体" w:cs="宋体"/>
          <w:sz w:val="21"/>
          <w:szCs w:val="21"/>
        </w:rPr>
        <w:t xml:space="preserve"> ，从业人员</w:t>
      </w:r>
      <w:r>
        <w:rPr>
          <w:rFonts w:hint="eastAsia" w:ascii="宋体" w:hAnsi="宋体" w:eastAsia="宋体" w:cs="宋体"/>
          <w:sz w:val="21"/>
          <w:szCs w:val="21"/>
          <w:u w:val="single"/>
        </w:rPr>
        <w:t xml:space="preserve">   </w:t>
      </w:r>
      <w:r>
        <w:rPr>
          <w:rFonts w:hint="eastAsia" w:ascii="宋体" w:hAnsi="宋体" w:eastAsia="宋体" w:cs="宋体"/>
          <w:sz w:val="21"/>
          <w:szCs w:val="21"/>
        </w:rPr>
        <w:t>人，营业收入为</w:t>
      </w:r>
      <w:r>
        <w:rPr>
          <w:rFonts w:hint="eastAsia" w:ascii="宋体" w:hAnsi="宋体" w:eastAsia="宋体" w:cs="宋体"/>
          <w:sz w:val="21"/>
          <w:szCs w:val="21"/>
          <w:u w:val="single"/>
        </w:rPr>
        <w:t xml:space="preserve">  </w:t>
      </w:r>
      <w:r>
        <w:rPr>
          <w:rFonts w:hint="eastAsia" w:ascii="宋体" w:hAnsi="宋体" w:eastAsia="宋体" w:cs="宋体"/>
          <w:sz w:val="21"/>
          <w:szCs w:val="21"/>
        </w:rPr>
        <w:t>万元，资产总额为</w:t>
      </w:r>
      <w:r>
        <w:rPr>
          <w:rFonts w:hint="eastAsia" w:ascii="宋体" w:hAnsi="宋体" w:eastAsia="宋体" w:cs="宋体"/>
          <w:sz w:val="21"/>
          <w:szCs w:val="21"/>
          <w:u w:val="single"/>
        </w:rPr>
        <w:t xml:space="preserve">   </w:t>
      </w:r>
      <w:r>
        <w:rPr>
          <w:rFonts w:hint="eastAsia" w:ascii="宋体" w:hAnsi="宋体" w:eastAsia="宋体" w:cs="宋体"/>
          <w:sz w:val="21"/>
          <w:szCs w:val="21"/>
        </w:rPr>
        <w:t>万元属于</w:t>
      </w:r>
      <w:r>
        <w:rPr>
          <w:rFonts w:hint="eastAsia" w:ascii="宋体" w:hAnsi="宋体" w:eastAsia="宋体" w:cs="宋体"/>
          <w:sz w:val="21"/>
          <w:szCs w:val="21"/>
          <w:u w:val="single"/>
        </w:rPr>
        <w:t xml:space="preserve"> （中型企业、小型企业、微型企业） </w:t>
      </w:r>
      <w:r>
        <w:rPr>
          <w:rFonts w:hint="eastAsia" w:ascii="宋体" w:hAnsi="宋体" w:eastAsia="宋体" w:cs="宋体"/>
          <w:sz w:val="21"/>
          <w:szCs w:val="21"/>
        </w:rPr>
        <w:t>；</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eastAsia="宋体" w:cs="宋体"/>
          <w:sz w:val="21"/>
          <w:szCs w:val="21"/>
          <w:u w:val="single"/>
        </w:rPr>
        <w:t>（标的名称）</w:t>
      </w:r>
      <w:r>
        <w:rPr>
          <w:rFonts w:hint="eastAsia" w:ascii="宋体" w:hAnsi="宋体" w:eastAsia="宋体" w:cs="宋体"/>
          <w:sz w:val="21"/>
          <w:szCs w:val="21"/>
        </w:rPr>
        <w:t xml:space="preserve">，属于 </w:t>
      </w:r>
      <w:r>
        <w:rPr>
          <w:rFonts w:hint="eastAsia" w:ascii="宋体" w:hAnsi="宋体" w:eastAsia="宋体" w:cs="宋体"/>
          <w:sz w:val="21"/>
          <w:szCs w:val="21"/>
          <w:u w:val="single"/>
        </w:rPr>
        <w:t>（采购文件中明确的所属行业）</w:t>
      </w:r>
      <w:r>
        <w:rPr>
          <w:rFonts w:hint="eastAsia" w:ascii="宋体" w:hAnsi="宋体" w:eastAsia="宋体" w:cs="宋体"/>
          <w:sz w:val="21"/>
          <w:szCs w:val="21"/>
        </w:rPr>
        <w:t xml:space="preserve"> ；承建（承接）企业为 </w:t>
      </w:r>
      <w:r>
        <w:rPr>
          <w:rFonts w:hint="eastAsia" w:ascii="宋体" w:hAnsi="宋体" w:eastAsia="宋体" w:cs="宋体"/>
          <w:sz w:val="21"/>
          <w:szCs w:val="21"/>
          <w:u w:val="single"/>
        </w:rPr>
        <w:t>（企业名称）</w:t>
      </w:r>
      <w:r>
        <w:rPr>
          <w:rFonts w:hint="eastAsia" w:ascii="宋体" w:hAnsi="宋体" w:eastAsia="宋体" w:cs="宋体"/>
          <w:sz w:val="21"/>
          <w:szCs w:val="21"/>
        </w:rPr>
        <w:t xml:space="preserve"> ，从业人员</w:t>
      </w:r>
      <w:r>
        <w:rPr>
          <w:rFonts w:hint="eastAsia" w:ascii="宋体" w:hAnsi="宋体" w:eastAsia="宋体" w:cs="宋体"/>
          <w:sz w:val="21"/>
          <w:szCs w:val="21"/>
          <w:u w:val="single"/>
        </w:rPr>
        <w:t xml:space="preserve">   </w:t>
      </w:r>
      <w:r>
        <w:rPr>
          <w:rFonts w:hint="eastAsia" w:ascii="宋体" w:hAnsi="宋体" w:eastAsia="宋体" w:cs="宋体"/>
          <w:sz w:val="21"/>
          <w:szCs w:val="21"/>
        </w:rPr>
        <w:t>人，营业收入为</w:t>
      </w:r>
      <w:r>
        <w:rPr>
          <w:rFonts w:hint="eastAsia" w:ascii="宋体" w:hAnsi="宋体" w:eastAsia="宋体" w:cs="宋体"/>
          <w:sz w:val="21"/>
          <w:szCs w:val="21"/>
          <w:u w:val="single"/>
        </w:rPr>
        <w:t xml:space="preserve">  </w:t>
      </w:r>
      <w:r>
        <w:rPr>
          <w:rFonts w:hint="eastAsia" w:ascii="宋体" w:hAnsi="宋体" w:eastAsia="宋体" w:cs="宋体"/>
          <w:sz w:val="21"/>
          <w:szCs w:val="21"/>
        </w:rPr>
        <w:t>万元，资产总额为</w:t>
      </w:r>
      <w:r>
        <w:rPr>
          <w:rFonts w:hint="eastAsia" w:ascii="宋体" w:hAnsi="宋体" w:eastAsia="宋体" w:cs="宋体"/>
          <w:sz w:val="21"/>
          <w:szCs w:val="21"/>
          <w:u w:val="single"/>
        </w:rPr>
        <w:t xml:space="preserve">   </w:t>
      </w:r>
      <w:r>
        <w:rPr>
          <w:rFonts w:hint="eastAsia" w:ascii="宋体" w:hAnsi="宋体" w:eastAsia="宋体" w:cs="宋体"/>
          <w:sz w:val="21"/>
          <w:szCs w:val="21"/>
        </w:rPr>
        <w:t>万元属于</w:t>
      </w:r>
      <w:r>
        <w:rPr>
          <w:rFonts w:hint="eastAsia" w:ascii="宋体" w:hAnsi="宋体" w:eastAsia="宋体" w:cs="宋体"/>
          <w:sz w:val="21"/>
          <w:szCs w:val="21"/>
          <w:u w:val="single"/>
        </w:rPr>
        <w:t xml:space="preserve"> （中型企业、小型企业、微型企业） </w:t>
      </w:r>
      <w:r>
        <w:rPr>
          <w:rFonts w:hint="eastAsia" w:ascii="宋体" w:hAnsi="宋体" w:eastAsia="宋体" w:cs="宋体"/>
          <w:sz w:val="21"/>
          <w:szCs w:val="21"/>
        </w:rPr>
        <w:t>；</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以上企业，不属于大企业的分支机构，不存在控股股东为大企业的情形，也不存在与大企业的负责人为同一人的情形。</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本企业对上述声明内容的真实性负责。如有虚假，将依法承担相应责任。</w:t>
      </w:r>
    </w:p>
    <w:p>
      <w:pPr>
        <w:spacing w:line="360" w:lineRule="auto"/>
        <w:ind w:right="1760"/>
        <w:jc w:val="right"/>
        <w:rPr>
          <w:rFonts w:hint="eastAsia" w:ascii="宋体" w:hAnsi="宋体" w:eastAsia="宋体" w:cs="宋体"/>
          <w:sz w:val="21"/>
          <w:szCs w:val="21"/>
          <w:lang w:eastAsia="zh-CN"/>
        </w:rPr>
      </w:pPr>
    </w:p>
    <w:p>
      <w:pPr>
        <w:spacing w:line="360" w:lineRule="auto"/>
        <w:ind w:right="1760"/>
        <w:jc w:val="right"/>
        <w:rPr>
          <w:rFonts w:hint="eastAsia" w:ascii="宋体" w:hAnsi="宋体" w:eastAsia="宋体" w:cs="宋体"/>
          <w:sz w:val="21"/>
          <w:szCs w:val="21"/>
        </w:rPr>
      </w:pPr>
      <w:r>
        <w:rPr>
          <w:rFonts w:hint="eastAsia" w:ascii="宋体" w:hAnsi="宋体" w:eastAsia="宋体" w:cs="宋体"/>
          <w:sz w:val="21"/>
          <w:szCs w:val="21"/>
          <w:lang w:eastAsia="zh-CN"/>
        </w:rPr>
        <w:t>磋商供应商</w:t>
      </w:r>
      <w:r>
        <w:rPr>
          <w:rFonts w:hint="eastAsia" w:ascii="宋体" w:hAnsi="宋体" w:eastAsia="宋体" w:cs="宋体"/>
          <w:sz w:val="21"/>
          <w:szCs w:val="21"/>
        </w:rPr>
        <w:t>名称（电子签名）：</w:t>
      </w:r>
    </w:p>
    <w:p>
      <w:pPr>
        <w:spacing w:line="360" w:lineRule="auto"/>
        <w:ind w:right="1120" w:firstLine="4305" w:firstLineChars="2050"/>
        <w:rPr>
          <w:rFonts w:hint="eastAsia" w:ascii="宋体" w:hAnsi="宋体" w:eastAsia="宋体" w:cs="宋体"/>
          <w:sz w:val="21"/>
          <w:szCs w:val="21"/>
        </w:rPr>
      </w:pPr>
      <w:r>
        <w:rPr>
          <w:rFonts w:hint="eastAsia" w:ascii="宋体" w:hAnsi="宋体" w:eastAsia="宋体" w:cs="宋体"/>
          <w:sz w:val="21"/>
          <w:szCs w:val="21"/>
        </w:rPr>
        <w:t>日 期：</w:t>
      </w:r>
    </w:p>
    <w:p>
      <w:pPr>
        <w:spacing w:line="360" w:lineRule="auto"/>
        <w:ind w:firstLine="310" w:firstLineChars="147"/>
        <w:jc w:val="left"/>
        <w:rPr>
          <w:rFonts w:hint="eastAsia" w:ascii="宋体" w:hAnsi="宋体" w:eastAsia="宋体" w:cs="宋体"/>
          <w:b/>
          <w:sz w:val="21"/>
          <w:szCs w:val="21"/>
        </w:rPr>
      </w:pPr>
      <w:r>
        <w:rPr>
          <w:rFonts w:hint="eastAsia" w:ascii="宋体" w:hAnsi="宋体" w:eastAsia="宋体" w:cs="宋体"/>
          <w:b/>
          <w:sz w:val="21"/>
          <w:szCs w:val="21"/>
        </w:rPr>
        <w:t>从业人员、营业收入、资产总额填报上一年度数据，无上一年度数据的新成立企业可不填报。</w:t>
      </w:r>
    </w:p>
    <w:p>
      <w:pPr>
        <w:numPr>
          <w:ilvl w:val="0"/>
          <w:numId w:val="0"/>
        </w:numPr>
        <w:spacing w:line="360" w:lineRule="auto"/>
        <w:ind w:right="420" w:firstLine="420" w:firstLineChars="200"/>
        <w:rPr>
          <w:rFonts w:hint="eastAsia" w:ascii="宋体" w:hAnsi="宋体" w:eastAsia="宋体" w:cs="宋体"/>
          <w:sz w:val="21"/>
          <w:szCs w:val="21"/>
        </w:rPr>
      </w:pPr>
      <w:r>
        <w:rPr>
          <w:rFonts w:hint="eastAsia" w:ascii="宋体" w:hAnsi="宋体" w:eastAsia="宋体" w:cs="宋体"/>
          <w:sz w:val="21"/>
          <w:szCs w:val="21"/>
        </w:rPr>
        <w:t>注：</w:t>
      </w:r>
    </w:p>
    <w:p>
      <w:pPr>
        <w:numPr>
          <w:ilvl w:val="0"/>
          <w:numId w:val="0"/>
        </w:numPr>
        <w:spacing w:line="360" w:lineRule="auto"/>
        <w:ind w:right="30" w:righ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填写要求：①“标的名称”、“采购文件中明确的所属行业”依据</w:t>
      </w:r>
      <w:r>
        <w:rPr>
          <w:rFonts w:hint="eastAsia" w:ascii="宋体" w:hAnsi="宋体" w:eastAsia="宋体" w:cs="宋体"/>
          <w:sz w:val="21"/>
          <w:szCs w:val="21"/>
          <w:lang w:eastAsia="zh-CN"/>
        </w:rPr>
        <w:t>磋商文件</w:t>
      </w:r>
      <w:r>
        <w:rPr>
          <w:rFonts w:hint="eastAsia" w:ascii="宋体" w:hAnsi="宋体" w:eastAsia="宋体" w:cs="宋体"/>
          <w:sz w:val="21"/>
          <w:szCs w:val="21"/>
        </w:rPr>
        <w:t>第二部分</w:t>
      </w:r>
      <w:r>
        <w:rPr>
          <w:rFonts w:hint="eastAsia" w:ascii="宋体" w:hAnsi="宋体" w:eastAsia="宋体" w:cs="宋体"/>
          <w:sz w:val="21"/>
          <w:szCs w:val="21"/>
          <w:lang w:eastAsia="zh-CN"/>
        </w:rPr>
        <w:t>磋商供应商</w:t>
      </w:r>
      <w:r>
        <w:rPr>
          <w:rFonts w:hint="eastAsia" w:ascii="宋体" w:hAnsi="宋体" w:eastAsia="宋体" w:cs="宋体"/>
          <w:sz w:val="21"/>
          <w:szCs w:val="21"/>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宋体" w:hAnsi="宋体" w:eastAsia="宋体" w:cs="宋体"/>
          <w:sz w:val="21"/>
          <w:szCs w:val="21"/>
          <w:lang w:eastAsia="zh-CN"/>
        </w:rPr>
        <w:t>磋商供应商</w:t>
      </w:r>
      <w:r>
        <w:rPr>
          <w:rFonts w:hint="eastAsia" w:ascii="宋体" w:hAnsi="宋体" w:eastAsia="宋体" w:cs="宋体"/>
          <w:sz w:val="21"/>
          <w:szCs w:val="21"/>
        </w:rPr>
        <w:t>提供的《中小企业声明函》与实际情况不符的或者未按以上要求填写的，中小企业声明函无效，不享受中小企业扶持政策。</w:t>
      </w:r>
    </w:p>
    <w:p>
      <w:pPr>
        <w:numPr>
          <w:ilvl w:val="0"/>
          <w:numId w:val="0"/>
        </w:numPr>
        <w:spacing w:line="360" w:lineRule="auto"/>
        <w:ind w:right="30" w:rightChars="0" w:firstLine="420" w:firstLineChars="200"/>
        <w:rPr>
          <w:rFonts w:hint="eastAsia" w:ascii="宋体" w:hAnsi="宋体" w:eastAsia="宋体" w:cs="宋体"/>
          <w:color w:val="000000"/>
          <w:sz w:val="28"/>
        </w:rPr>
      </w:pPr>
      <w:r>
        <w:rPr>
          <w:rFonts w:hint="eastAsia" w:ascii="宋体" w:hAnsi="宋体" w:eastAsia="宋体" w:cs="宋体"/>
          <w:sz w:val="21"/>
          <w:szCs w:val="21"/>
          <w:lang w:val="en-US" w:eastAsia="zh-CN"/>
        </w:rPr>
        <w:t>2.</w:t>
      </w:r>
      <w:r>
        <w:rPr>
          <w:rFonts w:hint="eastAsia" w:ascii="宋体" w:hAnsi="宋体" w:eastAsia="宋体" w:cs="宋体"/>
          <w:sz w:val="21"/>
          <w:szCs w:val="21"/>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ascii="宋体" w:hAnsi="宋体" w:eastAsia="宋体" w:cs="宋体"/>
          <w:sz w:val="21"/>
          <w:szCs w:val="21"/>
          <w:lang w:eastAsia="zh-CN"/>
        </w:rPr>
        <w:t>磋商供应商</w:t>
      </w:r>
      <w:r>
        <w:rPr>
          <w:rFonts w:hint="eastAsia" w:ascii="宋体" w:hAnsi="宋体" w:eastAsia="宋体" w:cs="宋体"/>
          <w:sz w:val="21"/>
          <w:szCs w:val="21"/>
        </w:rPr>
        <w:t>提供由省级以上监狱管理局、戒毒管理局（含新疆生产建设兵团）出具的属于监狱企业证明文件的，视同为小型和微型企业。</w:t>
      </w:r>
    </w:p>
    <w:p>
      <w:pPr>
        <w:snapToGrid w:val="0"/>
        <w:spacing w:before="50" w:after="50" w:line="360" w:lineRule="auto"/>
        <w:jc w:val="center"/>
        <w:rPr>
          <w:rFonts w:hint="eastAsia" w:ascii="宋体" w:hAnsi="宋体" w:eastAsia="宋体" w:cs="宋体"/>
          <w:b/>
          <w:kern w:val="0"/>
          <w:sz w:val="32"/>
          <w:szCs w:val="32"/>
          <w:lang w:val="zh-CN"/>
        </w:rPr>
      </w:pPr>
      <w:r>
        <w:rPr>
          <w:rFonts w:hint="eastAsia" w:ascii="宋体" w:hAnsi="宋体" w:eastAsia="宋体" w:cs="宋体"/>
          <w:b/>
          <w:kern w:val="0"/>
          <w:sz w:val="32"/>
          <w:szCs w:val="32"/>
          <w:lang w:val="en-US" w:eastAsia="zh-CN"/>
        </w:rPr>
        <w:br w:type="page"/>
      </w:r>
      <w:r>
        <w:rPr>
          <w:rFonts w:hint="eastAsia" w:ascii="宋体" w:hAnsi="宋体" w:eastAsia="宋体" w:cs="宋体"/>
          <w:b/>
          <w:kern w:val="0"/>
          <w:sz w:val="32"/>
          <w:szCs w:val="32"/>
          <w:lang w:val="en-US" w:eastAsia="zh-CN"/>
        </w:rPr>
        <w:t>附件6：联</w:t>
      </w:r>
      <w:r>
        <w:rPr>
          <w:rFonts w:hint="eastAsia" w:ascii="宋体" w:hAnsi="宋体" w:eastAsia="宋体" w:cs="宋体"/>
          <w:b/>
          <w:kern w:val="0"/>
          <w:sz w:val="32"/>
          <w:szCs w:val="32"/>
          <w:lang w:val="zh-CN"/>
        </w:rPr>
        <w:t>合协议（</w:t>
      </w:r>
      <w:r>
        <w:rPr>
          <w:rFonts w:hint="eastAsia" w:ascii="宋体" w:hAnsi="宋体" w:cs="宋体"/>
          <w:b/>
          <w:kern w:val="0"/>
          <w:sz w:val="32"/>
          <w:szCs w:val="32"/>
          <w:lang w:val="en-US" w:eastAsia="zh-CN"/>
        </w:rPr>
        <w:t>工程</w:t>
      </w:r>
      <w:r>
        <w:rPr>
          <w:rFonts w:hint="eastAsia" w:ascii="宋体" w:hAnsi="宋体" w:eastAsia="宋体" w:cs="宋体"/>
          <w:b/>
          <w:kern w:val="0"/>
          <w:sz w:val="32"/>
          <w:szCs w:val="32"/>
          <w:lang w:val="en-US" w:eastAsia="zh-CN"/>
        </w:rPr>
        <w:t>类</w:t>
      </w:r>
      <w:r>
        <w:rPr>
          <w:rFonts w:hint="eastAsia" w:ascii="宋体" w:hAnsi="宋体" w:eastAsia="宋体" w:cs="宋体"/>
          <w:b/>
          <w:kern w:val="0"/>
          <w:sz w:val="32"/>
          <w:szCs w:val="32"/>
          <w:lang w:val="zh-CN"/>
        </w:rPr>
        <w:t>）</w:t>
      </w:r>
    </w:p>
    <w:p>
      <w:pPr>
        <w:pStyle w:val="3"/>
        <w:pageBreakBefore w:val="0"/>
        <w:widowControl w:val="0"/>
        <w:kinsoku/>
        <w:wordWrap/>
        <w:overflowPunct/>
        <w:topLinePunct w:val="0"/>
        <w:autoSpaceDE/>
        <w:autoSpaceDN/>
        <w:bidi w:val="0"/>
        <w:spacing w:line="360" w:lineRule="exact"/>
        <w:ind w:left="0" w:firstLine="420" w:firstLineChars="200"/>
        <w:jc w:val="both"/>
        <w:textAlignment w:val="auto"/>
        <w:rPr>
          <w:rFonts w:hint="eastAsia" w:ascii="宋体" w:hAnsi="宋体" w:eastAsia="宋体" w:cs="宋体"/>
          <w:color w:val="auto"/>
          <w:sz w:val="21"/>
          <w:szCs w:val="21"/>
          <w:lang w:val="zh-CN"/>
        </w:rPr>
      </w:pPr>
      <w:bookmarkStart w:id="879" w:name="_Toc32554"/>
      <w:r>
        <w:rPr>
          <w:rFonts w:hint="eastAsia" w:ascii="宋体" w:hAnsi="宋体" w:eastAsia="宋体" w:cs="宋体"/>
          <w:b w:val="0"/>
          <w:bCs w:val="0"/>
          <w:i/>
          <w:iCs/>
          <w:color w:val="auto"/>
          <w:kern w:val="0"/>
          <w:sz w:val="21"/>
          <w:szCs w:val="21"/>
        </w:rPr>
        <w:t>（以联合体形式投标的，提供联合协议；本项目不接受联合体投标或者</w:t>
      </w:r>
      <w:r>
        <w:rPr>
          <w:rFonts w:hint="eastAsia" w:ascii="宋体" w:hAnsi="宋体" w:eastAsia="宋体" w:cs="宋体"/>
          <w:b w:val="0"/>
          <w:bCs w:val="0"/>
          <w:i/>
          <w:iCs/>
          <w:color w:val="auto"/>
          <w:kern w:val="0"/>
          <w:sz w:val="21"/>
          <w:szCs w:val="21"/>
          <w:lang w:eastAsia="zh-CN"/>
        </w:rPr>
        <w:t>磋商供应商</w:t>
      </w:r>
      <w:r>
        <w:rPr>
          <w:rFonts w:hint="eastAsia" w:ascii="宋体" w:hAnsi="宋体" w:eastAsia="宋体" w:cs="宋体"/>
          <w:b w:val="0"/>
          <w:bCs w:val="0"/>
          <w:i/>
          <w:iCs/>
          <w:color w:val="auto"/>
          <w:kern w:val="0"/>
          <w:sz w:val="21"/>
          <w:szCs w:val="21"/>
        </w:rPr>
        <w:t>不以联合体形式投标的，则不需要提供）</w:t>
      </w:r>
      <w:bookmarkEnd w:id="879"/>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color w:val="auto"/>
          <w:kern w:val="0"/>
          <w:sz w:val="21"/>
          <w:szCs w:val="21"/>
          <w:u w:val="single"/>
        </w:rPr>
        <w:t>（联合体所有成员名称）</w:t>
      </w:r>
      <w:r>
        <w:rPr>
          <w:rFonts w:hint="eastAsia" w:ascii="宋体" w:hAnsi="宋体" w:eastAsia="宋体" w:cs="宋体"/>
          <w:color w:val="auto"/>
          <w:kern w:val="0"/>
          <w:sz w:val="21"/>
          <w:szCs w:val="21"/>
        </w:rPr>
        <w:t>自愿</w:t>
      </w:r>
      <w:r>
        <w:rPr>
          <w:rFonts w:hint="eastAsia" w:ascii="宋体" w:hAnsi="宋体" w:eastAsia="宋体" w:cs="宋体"/>
          <w:color w:val="auto"/>
          <w:kern w:val="0"/>
          <w:sz w:val="21"/>
          <w:szCs w:val="21"/>
          <w:lang w:val="zh-CN"/>
        </w:rPr>
        <w:t>组</w:t>
      </w:r>
      <w:r>
        <w:rPr>
          <w:rFonts w:hint="eastAsia" w:ascii="宋体" w:hAnsi="宋体" w:eastAsia="宋体" w:cs="宋体"/>
          <w:kern w:val="0"/>
          <w:sz w:val="21"/>
          <w:szCs w:val="21"/>
          <w:lang w:val="zh-CN"/>
        </w:rPr>
        <w:t>成一个联合体，以一个磋商供应商的身份</w:t>
      </w:r>
      <w:r>
        <w:rPr>
          <w:rFonts w:hint="eastAsia" w:ascii="宋体" w:hAnsi="宋体" w:eastAsia="宋体" w:cs="宋体"/>
          <w:kern w:val="0"/>
          <w:sz w:val="21"/>
          <w:szCs w:val="21"/>
        </w:rPr>
        <w:t>参加</w:t>
      </w:r>
      <w:r>
        <w:rPr>
          <w:rFonts w:hint="eastAsia" w:ascii="宋体" w:hAnsi="宋体" w:eastAsia="宋体" w:cs="宋体"/>
          <w:sz w:val="21"/>
          <w:szCs w:val="21"/>
        </w:rPr>
        <w:t>（项目名称）【</w:t>
      </w:r>
      <w:r>
        <w:rPr>
          <w:rFonts w:hint="eastAsia" w:ascii="宋体" w:hAnsi="宋体" w:eastAsia="宋体" w:cs="宋体"/>
          <w:sz w:val="21"/>
          <w:szCs w:val="21"/>
          <w:lang w:val="en-US" w:eastAsia="zh-CN"/>
        </w:rPr>
        <w:t>项目</w:t>
      </w:r>
      <w:r>
        <w:rPr>
          <w:rFonts w:hint="eastAsia" w:ascii="宋体" w:hAnsi="宋体" w:eastAsia="宋体" w:cs="宋体"/>
          <w:sz w:val="21"/>
          <w:szCs w:val="21"/>
        </w:rPr>
        <w:t>编号：（采购编号）】</w:t>
      </w:r>
      <w:r>
        <w:rPr>
          <w:rFonts w:hint="eastAsia" w:ascii="宋体" w:hAnsi="宋体" w:eastAsia="宋体" w:cs="宋体"/>
          <w:kern w:val="0"/>
          <w:sz w:val="21"/>
          <w:szCs w:val="21"/>
          <w:lang w:val="zh-CN"/>
        </w:rPr>
        <w:t xml:space="preserve">投标。 </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一、各方一致决定，</w:t>
      </w:r>
      <w:r>
        <w:rPr>
          <w:rFonts w:hint="eastAsia" w:ascii="宋体" w:hAnsi="宋体" w:eastAsia="宋体" w:cs="宋体"/>
          <w:kern w:val="0"/>
          <w:sz w:val="21"/>
          <w:szCs w:val="21"/>
          <w:u w:val="single"/>
        </w:rPr>
        <w:t>（某联合体成员名称）</w:t>
      </w:r>
      <w:r>
        <w:rPr>
          <w:rFonts w:hint="eastAsia" w:ascii="宋体" w:hAnsi="宋体" w:eastAsia="宋体" w:cs="宋体"/>
          <w:kern w:val="0"/>
          <w:sz w:val="21"/>
          <w:szCs w:val="21"/>
        </w:rPr>
        <w:t>为联合体</w:t>
      </w:r>
      <w:r>
        <w:rPr>
          <w:rFonts w:hint="eastAsia" w:ascii="宋体" w:hAnsi="宋体" w:eastAsia="宋体" w:cs="宋体"/>
          <w:kern w:val="0"/>
          <w:sz w:val="21"/>
          <w:szCs w:val="21"/>
          <w:lang w:val="zh-CN"/>
        </w:rPr>
        <w:t>牵头人</w:t>
      </w:r>
      <w:r>
        <w:rPr>
          <w:rFonts w:hint="eastAsia" w:ascii="宋体" w:hAnsi="宋体" w:eastAsia="宋体" w:cs="宋体"/>
          <w:sz w:val="21"/>
          <w:szCs w:val="21"/>
        </w:rPr>
        <w:t>，代表所有联合体成员负责投标和合同实施阶段的主办、协调工作</w:t>
      </w:r>
      <w:r>
        <w:rPr>
          <w:rFonts w:hint="eastAsia" w:ascii="宋体" w:hAnsi="宋体" w:eastAsia="宋体" w:cs="宋体"/>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二、</w:t>
      </w:r>
      <w:r>
        <w:rPr>
          <w:rFonts w:hint="eastAsia" w:ascii="宋体" w:hAnsi="宋体" w:eastAsia="宋体" w:cs="宋体"/>
          <w:sz w:val="21"/>
          <w:szCs w:val="21"/>
        </w:rPr>
        <w:t>所有联合体成员各方签署授权书，授权书载明的</w:t>
      </w:r>
      <w:r>
        <w:rPr>
          <w:rFonts w:hint="eastAsia" w:ascii="宋体" w:hAnsi="宋体" w:eastAsia="宋体" w:cs="宋体"/>
          <w:kern w:val="0"/>
          <w:sz w:val="21"/>
          <w:szCs w:val="21"/>
          <w:lang w:val="zh-CN"/>
        </w:rPr>
        <w:t>授权代表根据磋商文件规定及投标内容而对采购人、采购代理机构所作的任何合法承诺，包括书面澄清及相应等均对联合投标各方产生约束力。</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三、本次联合投标中，分工如下：</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u w:val="single"/>
        </w:rPr>
        <w:t>（联合体其中一方成员名称）</w:t>
      </w:r>
      <w:r>
        <w:rPr>
          <w:rFonts w:hint="eastAsia" w:ascii="宋体" w:hAnsi="宋体" w:eastAsia="宋体" w:cs="宋体"/>
          <w:kern w:val="0"/>
          <w:sz w:val="21"/>
          <w:szCs w:val="21"/>
          <w:lang w:val="zh-CN"/>
        </w:rPr>
        <w:t>承担的工作和义务为：</w:t>
      </w:r>
      <w:r>
        <w:rPr>
          <w:rFonts w:hint="eastAsia" w:ascii="宋体" w:hAnsi="宋体" w:eastAsia="宋体" w:cs="宋体"/>
          <w:sz w:val="21"/>
          <w:szCs w:val="21"/>
          <w:u w:val="single"/>
        </w:rPr>
        <w:t xml:space="preserve">             </w:t>
      </w:r>
      <w:r>
        <w:rPr>
          <w:rFonts w:hint="eastAsia" w:ascii="宋体" w:hAnsi="宋体" w:eastAsia="宋体" w:cs="宋体"/>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u w:val="single"/>
        </w:rPr>
        <w:t>（联合体其中一方成员名称）</w:t>
      </w:r>
      <w:r>
        <w:rPr>
          <w:rFonts w:hint="eastAsia" w:ascii="宋体" w:hAnsi="宋体" w:eastAsia="宋体" w:cs="宋体"/>
          <w:kern w:val="0"/>
          <w:sz w:val="21"/>
          <w:szCs w:val="21"/>
          <w:lang w:val="zh-CN"/>
        </w:rPr>
        <w:t>承担的工作和义务为：</w:t>
      </w:r>
      <w:r>
        <w:rPr>
          <w:rFonts w:hint="eastAsia" w:ascii="宋体" w:hAnsi="宋体" w:eastAsia="宋体" w:cs="宋体"/>
          <w:sz w:val="21"/>
          <w:szCs w:val="21"/>
          <w:u w:val="single"/>
        </w:rPr>
        <w:t xml:space="preserve">            </w:t>
      </w:r>
      <w:r>
        <w:rPr>
          <w:rFonts w:hint="eastAsia" w:ascii="宋体" w:hAnsi="宋体" w:eastAsia="宋体" w:cs="宋体"/>
          <w:kern w:val="0"/>
          <w:sz w:val="21"/>
          <w:szCs w:val="21"/>
          <w:lang w:val="zh-CN"/>
        </w:rPr>
        <w:t xml:space="preserve"> ；</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zh-CN"/>
        </w:rPr>
        <w:t>四、</w:t>
      </w:r>
      <w:r>
        <w:rPr>
          <w:rFonts w:hint="eastAsia" w:ascii="宋体" w:hAnsi="宋体" w:eastAsia="宋体" w:cs="宋体"/>
          <w:kern w:val="0"/>
          <w:sz w:val="21"/>
          <w:szCs w:val="21"/>
          <w:lang w:val="en-US" w:eastAsia="zh-CN"/>
        </w:rPr>
        <w:t>联合体成员</w:t>
      </w:r>
      <w:r>
        <w:rPr>
          <w:rFonts w:hint="eastAsia" w:ascii="宋体" w:hAnsi="宋体" w:eastAsia="宋体" w:cs="宋体"/>
          <w:kern w:val="0"/>
          <w:sz w:val="21"/>
          <w:szCs w:val="21"/>
        </w:rPr>
        <w:t>中小企业合同份额。</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b/>
          <w:bCs/>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u w:val="single"/>
        </w:rPr>
        <w:t>（联合体成员X,……）</w:t>
      </w:r>
      <w:r>
        <w:rPr>
          <w:rFonts w:hint="eastAsia" w:ascii="宋体" w:hAnsi="宋体" w:eastAsia="宋体" w:cs="宋体"/>
          <w:color w:val="auto"/>
          <w:sz w:val="21"/>
          <w:szCs w:val="21"/>
        </w:rPr>
        <w:t>提供的服务由小微企业承接，其合同份额占到合同总金额</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%以上。</w:t>
      </w:r>
      <w:r>
        <w:rPr>
          <w:rFonts w:hint="eastAsia" w:ascii="宋体" w:hAnsi="宋体" w:eastAsia="宋体" w:cs="宋体"/>
          <w:b w:val="0"/>
          <w:bCs w:val="0"/>
          <w:i/>
          <w:iCs/>
          <w:color w:val="auto"/>
          <w:sz w:val="21"/>
          <w:szCs w:val="21"/>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rPr>
        <w:t>2、中小企业合同金额达到</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%，其中小微企业合同金额达到</w:t>
      </w:r>
      <w:r>
        <w:rPr>
          <w:rFonts w:hint="eastAsia" w:ascii="宋体" w:hAnsi="宋体" w:eastAsia="宋体" w:cs="宋体"/>
          <w:b w:val="0"/>
          <w:bCs w:val="0"/>
          <w:color w:val="auto"/>
          <w:sz w:val="21"/>
          <w:szCs w:val="21"/>
          <w:u w:val="single"/>
        </w:rPr>
        <w:t xml:space="preserve">  </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w:t>
      </w:r>
      <w:r>
        <w:rPr>
          <w:rFonts w:hint="eastAsia" w:ascii="宋体" w:hAnsi="宋体" w:eastAsia="宋体" w:cs="宋体"/>
          <w:b w:val="0"/>
          <w:bCs w:val="0"/>
          <w:i/>
          <w:iCs/>
          <w:color w:val="auto"/>
          <w:sz w:val="21"/>
          <w:szCs w:val="21"/>
        </w:rPr>
        <w:t>（要求以联合体形式参加的项目或采购包，供应商按</w:t>
      </w:r>
      <w:r>
        <w:rPr>
          <w:rFonts w:hint="eastAsia" w:ascii="宋体" w:hAnsi="宋体" w:eastAsia="宋体" w:cs="宋体"/>
          <w:b w:val="0"/>
          <w:bCs w:val="0"/>
          <w:i/>
          <w:iCs/>
          <w:color w:val="auto"/>
          <w:sz w:val="21"/>
          <w:szCs w:val="21"/>
          <w:lang w:eastAsia="zh-CN"/>
        </w:rPr>
        <w:t>磋商文件</w:t>
      </w:r>
      <w:r>
        <w:rPr>
          <w:rFonts w:hint="eastAsia" w:ascii="宋体" w:hAnsi="宋体" w:eastAsia="宋体" w:cs="宋体"/>
          <w:b w:val="0"/>
          <w:bCs w:val="0"/>
          <w:i/>
          <w:iCs/>
          <w:color w:val="auto"/>
          <w:sz w:val="21"/>
          <w:szCs w:val="21"/>
        </w:rPr>
        <w:t>第一部分</w:t>
      </w:r>
      <w:r>
        <w:rPr>
          <w:rFonts w:hint="eastAsia" w:ascii="宋体" w:hAnsi="宋体" w:eastAsia="宋体" w:cs="宋体"/>
          <w:b w:val="0"/>
          <w:bCs w:val="0"/>
          <w:i/>
          <w:iCs/>
          <w:color w:val="auto"/>
          <w:sz w:val="21"/>
          <w:szCs w:val="21"/>
          <w:lang w:eastAsia="zh-CN"/>
        </w:rPr>
        <w:t>竞争性磋商公告</w:t>
      </w:r>
      <w:r>
        <w:rPr>
          <w:rFonts w:hint="eastAsia" w:ascii="宋体" w:hAnsi="宋体" w:eastAsia="宋体" w:cs="宋体"/>
          <w:b w:val="0"/>
          <w:bCs w:val="0"/>
          <w:i/>
          <w:iCs/>
          <w:color w:val="auto"/>
          <w:sz w:val="21"/>
          <w:szCs w:val="21"/>
        </w:rPr>
        <w:t>申请人的资格要求中规定的联合协议中中小企业、小微企业合同金额应当达到的比例要求填写。）</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color w:val="auto"/>
          <w:kern w:val="0"/>
          <w:sz w:val="21"/>
          <w:szCs w:val="21"/>
          <w:lang w:val="zh-CN"/>
        </w:rPr>
        <w:t>五、如果中标，</w:t>
      </w:r>
      <w:r>
        <w:rPr>
          <w:rFonts w:hint="eastAsia" w:ascii="宋体" w:hAnsi="宋体" w:eastAsia="宋体" w:cs="宋体"/>
          <w:color w:val="auto"/>
          <w:sz w:val="21"/>
          <w:szCs w:val="21"/>
        </w:rPr>
        <w:t>联合体各成员方共同与采购人签订合同，并就采</w:t>
      </w:r>
      <w:r>
        <w:rPr>
          <w:rFonts w:hint="eastAsia" w:ascii="宋体" w:hAnsi="宋体" w:eastAsia="宋体" w:cs="宋体"/>
          <w:sz w:val="21"/>
          <w:szCs w:val="21"/>
        </w:rPr>
        <w:t>购合同约定的事项对采购人承担连带责任。</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六、有关本次联合投标的其他事宜：</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1、联合体各方不再单独参加或者与其他供应商另外组成联合体参加同一合同项下的政府采购活动。</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2、联合体中有同类资质的各方按照联合体分工承担相同工作的，按照资质等级较低的供应商确定资质等级。</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3、本协议提交采购人、采购代理机构后，联合体各方不得以任何形式对上述内容进行修改或撤销。</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5040" w:firstLineChars="2400"/>
        <w:textAlignment w:val="auto"/>
        <w:rPr>
          <w:rFonts w:hint="eastAsia" w:ascii="宋体" w:hAnsi="宋体" w:eastAsia="宋体" w:cs="宋体"/>
          <w:sz w:val="21"/>
          <w:szCs w:val="21"/>
        </w:rPr>
      </w:pPr>
      <w:r>
        <w:rPr>
          <w:rFonts w:hint="eastAsia" w:ascii="宋体" w:hAnsi="宋体" w:eastAsia="宋体" w:cs="宋体"/>
          <w:kern w:val="0"/>
          <w:sz w:val="21"/>
          <w:szCs w:val="21"/>
          <w:lang w:val="zh-CN"/>
        </w:rPr>
        <w:t>……</w:t>
      </w:r>
    </w:p>
    <w:p>
      <w:pPr>
        <w:pageBreakBefore w:val="0"/>
        <w:widowControl w:val="0"/>
        <w:kinsoku/>
        <w:wordWrap/>
        <w:overflowPunct/>
        <w:topLinePunct w:val="0"/>
        <w:autoSpaceDE/>
        <w:autoSpaceDN/>
        <w:bidi w:val="0"/>
        <w:snapToGrid w:val="0"/>
        <w:spacing w:line="360" w:lineRule="exact"/>
        <w:textAlignment w:val="auto"/>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                                               日期：  年  月   日</w:t>
      </w:r>
    </w:p>
    <w:p>
      <w:pPr>
        <w:pStyle w:val="21"/>
        <w:rPr>
          <w:rFonts w:hint="eastAsia" w:ascii="宋体" w:hAnsi="宋体" w:eastAsia="宋体" w:cs="宋体"/>
        </w:rPr>
      </w:pPr>
    </w:p>
    <w:p>
      <w:pPr>
        <w:snapToGrid w:val="0"/>
        <w:spacing w:line="360" w:lineRule="auto"/>
        <w:ind w:firstLine="0" w:firstLineChars="0"/>
        <w:jc w:val="center"/>
        <w:rPr>
          <w:rFonts w:hint="eastAsia" w:ascii="宋体" w:hAnsi="宋体" w:eastAsia="宋体" w:cs="宋体"/>
          <w:b/>
          <w:kern w:val="0"/>
          <w:sz w:val="32"/>
          <w:szCs w:val="32"/>
          <w:lang w:eastAsia="zh-CN"/>
        </w:rPr>
      </w:pPr>
      <w:r>
        <w:rPr>
          <w:rFonts w:hint="eastAsia" w:ascii="宋体" w:hAnsi="宋体" w:eastAsia="宋体" w:cs="宋体"/>
          <w:b/>
          <w:kern w:val="0"/>
          <w:sz w:val="32"/>
          <w:szCs w:val="32"/>
          <w:lang w:val="en-US" w:eastAsia="zh-CN"/>
        </w:rPr>
        <w:br w:type="page"/>
      </w:r>
      <w:r>
        <w:rPr>
          <w:rFonts w:hint="eastAsia" w:ascii="宋体" w:hAnsi="宋体" w:eastAsia="宋体" w:cs="宋体"/>
          <w:b/>
          <w:kern w:val="0"/>
          <w:sz w:val="32"/>
          <w:szCs w:val="32"/>
          <w:lang w:val="en-US" w:eastAsia="zh-CN"/>
        </w:rPr>
        <w:t>附件7：</w:t>
      </w:r>
      <w:r>
        <w:rPr>
          <w:rFonts w:hint="eastAsia" w:ascii="宋体" w:hAnsi="宋体" w:eastAsia="宋体" w:cs="宋体"/>
          <w:b/>
          <w:kern w:val="0"/>
          <w:sz w:val="32"/>
          <w:szCs w:val="32"/>
        </w:rPr>
        <w:t>分包意向协议</w:t>
      </w:r>
      <w:r>
        <w:rPr>
          <w:rFonts w:hint="eastAsia" w:ascii="宋体" w:hAnsi="宋体" w:eastAsia="宋体" w:cs="宋体"/>
          <w:b/>
          <w:kern w:val="0"/>
          <w:sz w:val="32"/>
          <w:szCs w:val="32"/>
          <w:lang w:eastAsia="zh-CN"/>
        </w:rPr>
        <w:t>（</w:t>
      </w:r>
      <w:r>
        <w:rPr>
          <w:rFonts w:hint="eastAsia" w:ascii="宋体" w:hAnsi="宋体" w:cs="宋体"/>
          <w:b/>
          <w:kern w:val="0"/>
          <w:sz w:val="32"/>
          <w:szCs w:val="32"/>
          <w:lang w:val="en-US" w:eastAsia="zh-CN"/>
        </w:rPr>
        <w:t>工程</w:t>
      </w:r>
      <w:r>
        <w:rPr>
          <w:rFonts w:hint="eastAsia" w:ascii="宋体" w:hAnsi="宋体" w:eastAsia="宋体" w:cs="宋体"/>
          <w:b/>
          <w:kern w:val="0"/>
          <w:sz w:val="32"/>
          <w:szCs w:val="32"/>
          <w:lang w:val="en-US" w:eastAsia="zh-CN"/>
        </w:rPr>
        <w:t>类</w:t>
      </w:r>
      <w:r>
        <w:rPr>
          <w:rFonts w:hint="eastAsia" w:ascii="宋体" w:hAnsi="宋体" w:eastAsia="宋体" w:cs="宋体"/>
          <w:b/>
          <w:kern w:val="0"/>
          <w:sz w:val="32"/>
          <w:szCs w:val="32"/>
          <w:lang w:eastAsia="zh-CN"/>
        </w:rPr>
        <w:t>）</w:t>
      </w:r>
    </w:p>
    <w:p>
      <w:pPr>
        <w:widowControl/>
        <w:spacing w:line="360" w:lineRule="auto"/>
        <w:ind w:firstLine="105" w:firstLineChars="50"/>
        <w:jc w:val="left"/>
        <w:rPr>
          <w:rFonts w:hint="eastAsia" w:ascii="宋体" w:hAnsi="宋体" w:eastAsia="宋体" w:cs="宋体"/>
          <w:b w:val="0"/>
          <w:bCs w:val="0"/>
          <w:color w:val="auto"/>
          <w:sz w:val="21"/>
          <w:szCs w:val="21"/>
        </w:rPr>
      </w:pPr>
      <w:r>
        <w:rPr>
          <w:rFonts w:hint="eastAsia" w:ascii="宋体" w:hAnsi="宋体" w:eastAsia="宋体" w:cs="宋体"/>
          <w:b w:val="0"/>
          <w:bCs w:val="0"/>
          <w:i/>
          <w:iCs/>
          <w:color w:val="auto"/>
          <w:sz w:val="21"/>
          <w:szCs w:val="21"/>
        </w:rPr>
        <w:t>（中标后以分包方式履行合同的，提供分包意向协议；采购人不同意分包或者</w:t>
      </w:r>
      <w:r>
        <w:rPr>
          <w:rFonts w:hint="eastAsia" w:ascii="宋体" w:hAnsi="宋体" w:eastAsia="宋体" w:cs="宋体"/>
          <w:b w:val="0"/>
          <w:bCs w:val="0"/>
          <w:i/>
          <w:iCs/>
          <w:color w:val="auto"/>
          <w:sz w:val="21"/>
          <w:szCs w:val="21"/>
          <w:lang w:eastAsia="zh-CN"/>
        </w:rPr>
        <w:t>磋商供应商</w:t>
      </w:r>
      <w:r>
        <w:rPr>
          <w:rFonts w:hint="eastAsia" w:ascii="宋体" w:hAnsi="宋体" w:eastAsia="宋体" w:cs="宋体"/>
          <w:b w:val="0"/>
          <w:bCs w:val="0"/>
          <w:i/>
          <w:iCs/>
          <w:color w:val="auto"/>
          <w:sz w:val="21"/>
          <w:szCs w:val="21"/>
        </w:rPr>
        <w:t>中标后不以分包方式履行合同的，则不需要提供。）</w:t>
      </w:r>
    </w:p>
    <w:p>
      <w:pPr>
        <w:snapToGrid w:val="0"/>
        <w:spacing w:line="360" w:lineRule="auto"/>
        <w:ind w:firstLine="576"/>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u w:val="single"/>
        </w:rPr>
        <w:t>（</w:t>
      </w:r>
      <w:r>
        <w:rPr>
          <w:rFonts w:hint="eastAsia" w:ascii="宋体" w:hAnsi="宋体" w:eastAsia="宋体" w:cs="宋体"/>
          <w:color w:val="auto"/>
          <w:kern w:val="0"/>
          <w:sz w:val="21"/>
          <w:szCs w:val="21"/>
          <w:u w:val="single"/>
          <w:lang w:eastAsia="zh-CN"/>
        </w:rPr>
        <w:t>磋商供应商</w:t>
      </w:r>
      <w:r>
        <w:rPr>
          <w:rFonts w:hint="eastAsia" w:ascii="宋体" w:hAnsi="宋体" w:eastAsia="宋体" w:cs="宋体"/>
          <w:color w:val="auto"/>
          <w:kern w:val="0"/>
          <w:sz w:val="21"/>
          <w:szCs w:val="21"/>
          <w:u w:val="single"/>
        </w:rPr>
        <w:t>名称）</w:t>
      </w:r>
      <w:r>
        <w:rPr>
          <w:rFonts w:hint="eastAsia" w:ascii="宋体" w:hAnsi="宋体" w:eastAsia="宋体" w:cs="宋体"/>
          <w:color w:val="auto"/>
          <w:kern w:val="0"/>
          <w:sz w:val="21"/>
          <w:szCs w:val="21"/>
          <w:lang w:val="zh-CN"/>
        </w:rPr>
        <w:t>若成为</w:t>
      </w:r>
      <w:r>
        <w:rPr>
          <w:rFonts w:hint="eastAsia" w:ascii="宋体" w:hAnsi="宋体" w:eastAsia="宋体" w:cs="宋体"/>
          <w:color w:val="auto"/>
          <w:sz w:val="21"/>
          <w:szCs w:val="21"/>
        </w:rPr>
        <w:t>（项目名称）【</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rPr>
        <w:t>编号：（采购编号）】</w:t>
      </w:r>
      <w:r>
        <w:rPr>
          <w:rFonts w:hint="eastAsia" w:ascii="宋体" w:hAnsi="宋体" w:eastAsia="宋体" w:cs="宋体"/>
          <w:color w:val="auto"/>
          <w:kern w:val="0"/>
          <w:sz w:val="21"/>
          <w:szCs w:val="21"/>
          <w:lang w:val="zh-CN"/>
        </w:rPr>
        <w:t>的成交供应商，将依法采取分包方式履行合同。</w:t>
      </w:r>
      <w:r>
        <w:rPr>
          <w:rFonts w:hint="eastAsia" w:ascii="宋体" w:hAnsi="宋体" w:eastAsia="宋体" w:cs="宋体"/>
          <w:color w:val="auto"/>
          <w:kern w:val="0"/>
          <w:sz w:val="21"/>
          <w:szCs w:val="21"/>
          <w:u w:val="single"/>
        </w:rPr>
        <w:t>（</w:t>
      </w:r>
      <w:r>
        <w:rPr>
          <w:rFonts w:hint="eastAsia" w:ascii="宋体" w:hAnsi="宋体" w:eastAsia="宋体" w:cs="宋体"/>
          <w:color w:val="auto"/>
          <w:kern w:val="0"/>
          <w:sz w:val="21"/>
          <w:szCs w:val="21"/>
          <w:u w:val="single"/>
          <w:lang w:eastAsia="zh-CN"/>
        </w:rPr>
        <w:t>磋商供应商</w:t>
      </w:r>
      <w:r>
        <w:rPr>
          <w:rFonts w:hint="eastAsia" w:ascii="宋体" w:hAnsi="宋体" w:eastAsia="宋体" w:cs="宋体"/>
          <w:color w:val="auto"/>
          <w:kern w:val="0"/>
          <w:sz w:val="21"/>
          <w:szCs w:val="21"/>
          <w:u w:val="single"/>
        </w:rPr>
        <w:t>名称）</w:t>
      </w:r>
      <w:r>
        <w:rPr>
          <w:rFonts w:hint="eastAsia" w:ascii="宋体" w:hAnsi="宋体" w:eastAsia="宋体" w:cs="宋体"/>
          <w:color w:val="auto"/>
          <w:kern w:val="0"/>
          <w:sz w:val="21"/>
          <w:szCs w:val="21"/>
        </w:rPr>
        <w:t>与</w:t>
      </w:r>
      <w:r>
        <w:rPr>
          <w:rFonts w:hint="eastAsia" w:ascii="宋体" w:hAnsi="宋体" w:eastAsia="宋体" w:cs="宋体"/>
          <w:color w:val="auto"/>
          <w:kern w:val="0"/>
          <w:sz w:val="21"/>
          <w:szCs w:val="21"/>
          <w:u w:val="single"/>
        </w:rPr>
        <w:t>（所有分包供应商名称）</w:t>
      </w:r>
      <w:r>
        <w:rPr>
          <w:rFonts w:hint="eastAsia" w:ascii="宋体" w:hAnsi="宋体" w:eastAsia="宋体" w:cs="宋体"/>
          <w:color w:val="auto"/>
          <w:kern w:val="0"/>
          <w:sz w:val="21"/>
          <w:szCs w:val="21"/>
        </w:rPr>
        <w:t>达成分包意向协议</w:t>
      </w:r>
      <w:r>
        <w:rPr>
          <w:rFonts w:hint="eastAsia" w:ascii="宋体" w:hAnsi="宋体" w:eastAsia="宋体" w:cs="宋体"/>
          <w:color w:val="auto"/>
          <w:kern w:val="0"/>
          <w:sz w:val="21"/>
          <w:szCs w:val="21"/>
          <w:lang w:val="zh-CN"/>
        </w:rPr>
        <w:t xml:space="preserve">。 </w:t>
      </w:r>
    </w:p>
    <w:p>
      <w:pPr>
        <w:snapToGrid w:val="0"/>
        <w:spacing w:line="360" w:lineRule="auto"/>
        <w:ind w:firstLine="576"/>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一、分包标的及数量</w:t>
      </w:r>
    </w:p>
    <w:p>
      <w:pPr>
        <w:snapToGrid w:val="0"/>
        <w:spacing w:line="360" w:lineRule="auto"/>
        <w:ind w:firstLine="576"/>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u w:val="single"/>
        </w:rPr>
        <w:t>（</w:t>
      </w:r>
      <w:r>
        <w:rPr>
          <w:rFonts w:hint="eastAsia" w:ascii="宋体" w:hAnsi="宋体" w:eastAsia="宋体" w:cs="宋体"/>
          <w:color w:val="auto"/>
          <w:kern w:val="0"/>
          <w:sz w:val="21"/>
          <w:szCs w:val="21"/>
          <w:u w:val="single"/>
          <w:lang w:eastAsia="zh-CN"/>
        </w:rPr>
        <w:t>磋商供应商</w:t>
      </w:r>
      <w:r>
        <w:rPr>
          <w:rFonts w:hint="eastAsia" w:ascii="宋体" w:hAnsi="宋体" w:eastAsia="宋体" w:cs="宋体"/>
          <w:color w:val="auto"/>
          <w:kern w:val="0"/>
          <w:sz w:val="21"/>
          <w:szCs w:val="21"/>
          <w:u w:val="single"/>
        </w:rPr>
        <w:t>名称）</w:t>
      </w:r>
      <w:r>
        <w:rPr>
          <w:rFonts w:hint="eastAsia" w:ascii="宋体" w:hAnsi="宋体" w:eastAsia="宋体" w:cs="宋体"/>
          <w:color w:val="auto"/>
          <w:kern w:val="0"/>
          <w:sz w:val="21"/>
          <w:szCs w:val="21"/>
          <w:lang w:val="zh-CN"/>
        </w:rPr>
        <w:t>将</w:t>
      </w:r>
      <w:r>
        <w:rPr>
          <w:rFonts w:hint="eastAsia" w:ascii="宋体" w:hAnsi="宋体" w:eastAsia="宋体" w:cs="宋体"/>
          <w:color w:val="auto"/>
          <w:sz w:val="21"/>
          <w:szCs w:val="21"/>
          <w:u w:val="single"/>
        </w:rPr>
        <w:t xml:space="preserve">   XX工作内容   </w:t>
      </w:r>
      <w:r>
        <w:rPr>
          <w:rFonts w:hint="eastAsia" w:ascii="宋体" w:hAnsi="宋体" w:eastAsia="宋体" w:cs="宋体"/>
          <w:color w:val="auto"/>
          <w:sz w:val="21"/>
          <w:szCs w:val="21"/>
        </w:rPr>
        <w:t>分包给</w:t>
      </w:r>
      <w:r>
        <w:rPr>
          <w:rFonts w:hint="eastAsia" w:ascii="宋体" w:hAnsi="宋体" w:eastAsia="宋体" w:cs="宋体"/>
          <w:color w:val="auto"/>
          <w:kern w:val="0"/>
          <w:sz w:val="21"/>
          <w:szCs w:val="21"/>
          <w:u w:val="single"/>
        </w:rPr>
        <w:t>（某分包供应商名称）</w:t>
      </w:r>
      <w:r>
        <w:rPr>
          <w:rFonts w:hint="eastAsia" w:ascii="宋体" w:hAnsi="宋体" w:eastAsia="宋体" w:cs="宋体"/>
          <w:color w:val="auto"/>
          <w:kern w:val="0"/>
          <w:sz w:val="21"/>
          <w:szCs w:val="21"/>
          <w:lang w:val="zh-CN"/>
        </w:rPr>
        <w:t>，</w:t>
      </w:r>
      <w:r>
        <w:rPr>
          <w:rFonts w:hint="eastAsia" w:ascii="宋体" w:hAnsi="宋体" w:eastAsia="宋体" w:cs="宋体"/>
          <w:color w:val="auto"/>
          <w:kern w:val="0"/>
          <w:sz w:val="21"/>
          <w:szCs w:val="21"/>
          <w:u w:val="single"/>
        </w:rPr>
        <w:t>（某分包供应商名称），</w:t>
      </w:r>
      <w:r>
        <w:rPr>
          <w:rFonts w:hint="eastAsia" w:ascii="宋体" w:hAnsi="宋体" w:eastAsia="宋体" w:cs="宋体"/>
          <w:color w:val="auto"/>
          <w:kern w:val="0"/>
          <w:sz w:val="21"/>
          <w:szCs w:val="21"/>
          <w:lang w:val="zh-CN"/>
        </w:rPr>
        <w:t>具备承</w:t>
      </w:r>
      <w:r>
        <w:rPr>
          <w:rFonts w:hint="eastAsia" w:ascii="宋体" w:hAnsi="宋体" w:eastAsia="宋体" w:cs="宋体"/>
          <w:color w:val="auto"/>
          <w:kern w:val="0"/>
          <w:sz w:val="21"/>
          <w:szCs w:val="21"/>
        </w:rPr>
        <w:t>担</w:t>
      </w:r>
      <w:r>
        <w:rPr>
          <w:rFonts w:hint="eastAsia" w:ascii="宋体" w:hAnsi="宋体" w:eastAsia="宋体" w:cs="宋体"/>
          <w:color w:val="auto"/>
          <w:kern w:val="0"/>
          <w:sz w:val="21"/>
          <w:szCs w:val="21"/>
          <w:u w:val="single"/>
          <w:lang w:val="zh-CN"/>
        </w:rPr>
        <w:t>XX工作内容</w:t>
      </w:r>
      <w:r>
        <w:rPr>
          <w:rFonts w:hint="eastAsia" w:ascii="宋体" w:hAnsi="宋体" w:eastAsia="宋体" w:cs="宋体"/>
          <w:color w:val="auto"/>
          <w:kern w:val="0"/>
          <w:sz w:val="21"/>
          <w:szCs w:val="21"/>
          <w:lang w:val="zh-CN"/>
        </w:rPr>
        <w:t>相应资质条件且不得再次分包；</w:t>
      </w:r>
    </w:p>
    <w:p>
      <w:pPr>
        <w:pStyle w:val="3"/>
        <w:ind w:left="664" w:leftChars="316" w:firstLine="200" w:firstLineChars="95"/>
        <w:rPr>
          <w:rFonts w:hint="eastAsia" w:ascii="宋体" w:hAnsi="宋体" w:eastAsia="宋体" w:cs="宋体"/>
          <w:color w:val="auto"/>
          <w:kern w:val="0"/>
          <w:sz w:val="21"/>
          <w:szCs w:val="21"/>
        </w:rPr>
      </w:pPr>
      <w:bookmarkStart w:id="880" w:name="_Toc20696"/>
      <w:r>
        <w:rPr>
          <w:rFonts w:hint="eastAsia" w:ascii="宋体" w:hAnsi="宋体" w:eastAsia="宋体" w:cs="宋体"/>
          <w:color w:val="auto"/>
          <w:kern w:val="0"/>
          <w:sz w:val="21"/>
          <w:szCs w:val="21"/>
        </w:rPr>
        <w:t>……</w:t>
      </w:r>
      <w:bookmarkEnd w:id="880"/>
    </w:p>
    <w:p>
      <w:pPr>
        <w:snapToGrid w:val="0"/>
        <w:spacing w:line="360" w:lineRule="auto"/>
        <w:ind w:firstLine="576"/>
        <w:rPr>
          <w:rFonts w:hint="eastAsia" w:ascii="宋体" w:hAnsi="宋体" w:eastAsia="宋体" w:cs="宋体"/>
          <w:color w:val="auto"/>
          <w:kern w:val="0"/>
          <w:sz w:val="21"/>
          <w:szCs w:val="21"/>
          <w:lang w:val="zh-CN"/>
        </w:rPr>
      </w:pPr>
      <w:r>
        <w:rPr>
          <w:rFonts w:hint="eastAsia" w:ascii="宋体" w:hAnsi="宋体" w:eastAsia="宋体" w:cs="宋体"/>
          <w:color w:val="auto"/>
          <w:kern w:val="0"/>
          <w:sz w:val="21"/>
          <w:szCs w:val="21"/>
          <w:lang w:val="zh-CN"/>
        </w:rPr>
        <w:t>二、分包供应商中小企业合同份额</w:t>
      </w:r>
    </w:p>
    <w:p>
      <w:pPr>
        <w:snapToGrid w:val="0"/>
        <w:spacing w:line="360" w:lineRule="auto"/>
        <w:ind w:firstLine="576"/>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lang w:val="zh-CN"/>
        </w:rPr>
        <w:t>1、</w:t>
      </w:r>
      <w:r>
        <w:rPr>
          <w:rFonts w:hint="eastAsia" w:ascii="宋体" w:hAnsi="宋体" w:eastAsia="宋体" w:cs="宋体"/>
          <w:color w:val="auto"/>
          <w:kern w:val="0"/>
          <w:sz w:val="21"/>
          <w:szCs w:val="21"/>
          <w:u w:val="single"/>
          <w:lang w:val="zh-CN"/>
        </w:rPr>
        <w:t>（分包供应商X,……）提供的服务全部由小微企业承接</w:t>
      </w:r>
      <w:r>
        <w:rPr>
          <w:rFonts w:hint="eastAsia" w:ascii="宋体" w:hAnsi="宋体" w:eastAsia="宋体" w:cs="宋体"/>
          <w:color w:val="auto"/>
          <w:kern w:val="0"/>
          <w:sz w:val="21"/>
          <w:szCs w:val="21"/>
          <w:u w:val="none"/>
          <w:lang w:val="zh-CN"/>
        </w:rPr>
        <w:t>，</w:t>
      </w:r>
      <w:r>
        <w:rPr>
          <w:rFonts w:hint="eastAsia" w:ascii="宋体" w:hAnsi="宋体" w:eastAsia="宋体" w:cs="宋体"/>
          <w:color w:val="auto"/>
          <w:kern w:val="0"/>
          <w:sz w:val="21"/>
          <w:szCs w:val="21"/>
          <w:lang w:val="zh-CN"/>
        </w:rPr>
        <w:t>其合同份额占到合同总金额</w:t>
      </w:r>
      <w:r>
        <w:rPr>
          <w:rFonts w:hint="eastAsia" w:ascii="宋体" w:hAnsi="宋体" w:eastAsia="宋体" w:cs="宋体"/>
          <w:color w:val="auto"/>
          <w:kern w:val="0"/>
          <w:sz w:val="21"/>
          <w:szCs w:val="21"/>
          <w:u w:val="single"/>
          <w:lang w:val="zh-CN"/>
        </w:rPr>
        <w:t xml:space="preserve">    </w:t>
      </w:r>
      <w:r>
        <w:rPr>
          <w:rFonts w:hint="eastAsia" w:ascii="宋体" w:hAnsi="宋体" w:eastAsia="宋体" w:cs="宋体"/>
          <w:color w:val="auto"/>
          <w:kern w:val="0"/>
          <w:sz w:val="21"/>
          <w:szCs w:val="21"/>
          <w:u w:val="none"/>
          <w:lang w:val="zh-CN"/>
        </w:rPr>
        <w:t xml:space="preserve"> </w:t>
      </w:r>
      <w:r>
        <w:rPr>
          <w:rFonts w:hint="eastAsia" w:ascii="宋体" w:hAnsi="宋体" w:eastAsia="宋体" w:cs="宋体"/>
          <w:color w:val="auto"/>
          <w:kern w:val="0"/>
          <w:sz w:val="21"/>
          <w:szCs w:val="21"/>
          <w:lang w:val="zh-CN"/>
        </w:rPr>
        <w:t>%以上。</w:t>
      </w:r>
      <w:r>
        <w:rPr>
          <w:rFonts w:hint="eastAsia" w:ascii="宋体" w:hAnsi="宋体" w:eastAsia="宋体" w:cs="宋体"/>
          <w:b w:val="0"/>
          <w:bCs w:val="0"/>
          <w:i/>
          <w:iCs/>
          <w:color w:val="auto"/>
          <w:kern w:val="0"/>
          <w:sz w:val="21"/>
          <w:szCs w:val="21"/>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pPr>
        <w:snapToGrid w:val="0"/>
        <w:spacing w:line="360" w:lineRule="auto"/>
        <w:ind w:firstLine="576"/>
        <w:rPr>
          <w:rFonts w:hint="eastAsia" w:ascii="宋体" w:hAnsi="宋体" w:eastAsia="宋体" w:cs="宋体"/>
          <w:i/>
          <w:iCs/>
          <w:color w:val="auto"/>
          <w:kern w:val="0"/>
          <w:sz w:val="21"/>
          <w:szCs w:val="21"/>
          <w:lang w:val="zh-CN"/>
        </w:rPr>
      </w:pPr>
      <w:r>
        <w:rPr>
          <w:rFonts w:hint="eastAsia" w:ascii="宋体" w:hAnsi="宋体" w:eastAsia="宋体" w:cs="宋体"/>
          <w:color w:val="auto"/>
          <w:kern w:val="0"/>
          <w:sz w:val="21"/>
          <w:szCs w:val="21"/>
          <w:lang w:val="zh-CN"/>
        </w:rPr>
        <w:t>2、中小企业合同金额达到</w:t>
      </w:r>
      <w:r>
        <w:rPr>
          <w:rFonts w:hint="eastAsia" w:ascii="宋体" w:hAnsi="宋体" w:eastAsia="宋体" w:cs="宋体"/>
          <w:color w:val="auto"/>
          <w:kern w:val="0"/>
          <w:sz w:val="21"/>
          <w:szCs w:val="21"/>
          <w:u w:val="single"/>
          <w:lang w:val="zh-CN"/>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u w:val="single"/>
          <w:lang w:val="zh-CN"/>
        </w:rPr>
        <w:t xml:space="preserve"> </w:t>
      </w:r>
      <w:r>
        <w:rPr>
          <w:rFonts w:hint="eastAsia" w:ascii="宋体" w:hAnsi="宋体" w:eastAsia="宋体" w:cs="宋体"/>
          <w:color w:val="auto"/>
          <w:kern w:val="0"/>
          <w:sz w:val="21"/>
          <w:szCs w:val="21"/>
          <w:lang w:val="zh-CN"/>
        </w:rPr>
        <w:t>%，其中小微企业合同金额达到</w:t>
      </w:r>
      <w:r>
        <w:rPr>
          <w:rFonts w:hint="eastAsia" w:ascii="宋体" w:hAnsi="宋体" w:eastAsia="宋体" w:cs="宋体"/>
          <w:color w:val="auto"/>
          <w:kern w:val="0"/>
          <w:sz w:val="21"/>
          <w:szCs w:val="21"/>
          <w:u w:val="single"/>
          <w:lang w:val="zh-CN"/>
        </w:rPr>
        <w:t xml:space="preserve"> </w:t>
      </w:r>
      <w:r>
        <w:rPr>
          <w:rFonts w:hint="eastAsia" w:ascii="宋体" w:hAnsi="宋体" w:eastAsia="宋体" w:cs="宋体"/>
          <w:color w:val="auto"/>
          <w:kern w:val="0"/>
          <w:sz w:val="21"/>
          <w:szCs w:val="21"/>
          <w:u w:val="single"/>
          <w:lang w:val="en-US" w:eastAsia="zh-CN"/>
        </w:rPr>
        <w:t xml:space="preserve">  </w:t>
      </w:r>
      <w:r>
        <w:rPr>
          <w:rFonts w:hint="eastAsia" w:ascii="宋体" w:hAnsi="宋体" w:eastAsia="宋体" w:cs="宋体"/>
          <w:color w:val="auto"/>
          <w:kern w:val="0"/>
          <w:sz w:val="21"/>
          <w:szCs w:val="21"/>
          <w:lang w:val="zh-CN"/>
        </w:rPr>
        <w:t>%。</w:t>
      </w:r>
      <w:r>
        <w:rPr>
          <w:rFonts w:hint="eastAsia" w:ascii="宋体" w:hAnsi="宋体" w:eastAsia="宋体" w:cs="宋体"/>
          <w:b w:val="0"/>
          <w:bCs w:val="0"/>
          <w:i/>
          <w:iCs/>
          <w:color w:val="auto"/>
          <w:kern w:val="0"/>
          <w:sz w:val="21"/>
          <w:szCs w:val="21"/>
          <w:lang w:val="zh-CN"/>
        </w:rPr>
        <w:t>（要求合同分包形式参加的项目或采购包，供应商按磋商文件第一部分竞争性磋商公告申请人的资格要求中规定的</w:t>
      </w:r>
      <w:r>
        <w:rPr>
          <w:rFonts w:hint="eastAsia" w:ascii="宋体" w:hAnsi="宋体" w:eastAsia="宋体" w:cs="宋体"/>
          <w:b w:val="0"/>
          <w:i/>
          <w:iCs/>
          <w:color w:val="auto"/>
          <w:kern w:val="0"/>
          <w:sz w:val="21"/>
          <w:szCs w:val="21"/>
          <w:lang w:val="zh-CN"/>
        </w:rPr>
        <w:t>分包意向协议</w:t>
      </w:r>
      <w:r>
        <w:rPr>
          <w:rFonts w:hint="eastAsia" w:ascii="宋体" w:hAnsi="宋体" w:eastAsia="宋体" w:cs="宋体"/>
          <w:b w:val="0"/>
          <w:bCs w:val="0"/>
          <w:i/>
          <w:iCs/>
          <w:color w:val="auto"/>
          <w:kern w:val="0"/>
          <w:sz w:val="21"/>
          <w:szCs w:val="21"/>
          <w:lang w:val="zh-CN"/>
        </w:rPr>
        <w:t>中中小企业、小微企业合同金额应当达到的比例要求填写。）</w:t>
      </w:r>
    </w:p>
    <w:p>
      <w:pPr>
        <w:snapToGrid w:val="0"/>
        <w:spacing w:line="360" w:lineRule="auto"/>
        <w:ind w:firstLine="420" w:firstLineChars="200"/>
        <w:rPr>
          <w:rFonts w:hint="eastAsia" w:ascii="宋体" w:hAnsi="宋体" w:eastAsia="宋体" w:cs="宋体"/>
          <w:kern w:val="0"/>
          <w:sz w:val="21"/>
          <w:szCs w:val="21"/>
          <w:lang w:val="zh-CN"/>
        </w:rPr>
      </w:pPr>
      <w:r>
        <w:rPr>
          <w:rFonts w:hint="eastAsia" w:ascii="宋体" w:hAnsi="宋体" w:eastAsia="宋体" w:cs="宋体"/>
          <w:kern w:val="0"/>
          <w:sz w:val="21"/>
          <w:szCs w:val="21"/>
          <w:lang w:val="en-US" w:eastAsia="zh-CN"/>
        </w:rPr>
        <w:t>三</w:t>
      </w:r>
      <w:r>
        <w:rPr>
          <w:rFonts w:hint="eastAsia" w:ascii="宋体" w:hAnsi="宋体" w:eastAsia="宋体" w:cs="宋体"/>
          <w:kern w:val="0"/>
          <w:sz w:val="21"/>
          <w:szCs w:val="21"/>
          <w:lang w:val="zh-CN"/>
        </w:rPr>
        <w:t>、分包工作履行期限、地点、方式</w:t>
      </w:r>
    </w:p>
    <w:p>
      <w:pPr>
        <w:snapToGrid w:val="0"/>
        <w:spacing w:line="360" w:lineRule="auto"/>
        <w:ind w:firstLine="576"/>
        <w:rPr>
          <w:rFonts w:hint="eastAsia" w:ascii="宋体" w:hAnsi="宋体" w:eastAsia="宋体" w:cs="宋体"/>
          <w:sz w:val="21"/>
          <w:szCs w:val="21"/>
          <w:u w:val="single"/>
        </w:rPr>
      </w:pPr>
      <w:r>
        <w:rPr>
          <w:rFonts w:hint="eastAsia" w:ascii="宋体" w:hAnsi="宋体" w:eastAsia="宋体" w:cs="宋体"/>
          <w:sz w:val="21"/>
          <w:szCs w:val="21"/>
          <w:u w:val="single"/>
        </w:rPr>
        <w:t xml:space="preserve">                                                                                  </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kern w:val="0"/>
          <w:sz w:val="21"/>
          <w:szCs w:val="21"/>
          <w:lang w:val="en-US" w:eastAsia="zh-CN"/>
        </w:rPr>
        <w:t>四</w:t>
      </w:r>
      <w:r>
        <w:rPr>
          <w:rFonts w:hint="eastAsia" w:ascii="宋体" w:hAnsi="宋体" w:eastAsia="宋体" w:cs="宋体"/>
          <w:kern w:val="0"/>
          <w:sz w:val="21"/>
          <w:szCs w:val="21"/>
          <w:lang w:val="zh-CN"/>
        </w:rPr>
        <w:t>、质量</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sz w:val="21"/>
          <w:szCs w:val="21"/>
          <w:u w:val="single"/>
        </w:rPr>
        <w:t xml:space="preserve">                                                                                       </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kern w:val="0"/>
          <w:sz w:val="21"/>
          <w:szCs w:val="21"/>
          <w:lang w:val="en-US" w:eastAsia="zh-CN"/>
        </w:rPr>
        <w:t>五</w:t>
      </w:r>
      <w:r>
        <w:rPr>
          <w:rFonts w:hint="eastAsia" w:ascii="宋体" w:hAnsi="宋体" w:eastAsia="宋体" w:cs="宋体"/>
          <w:kern w:val="0"/>
          <w:sz w:val="21"/>
          <w:szCs w:val="21"/>
          <w:lang w:val="zh-CN"/>
        </w:rPr>
        <w:t>、价款或者报酬</w:t>
      </w:r>
    </w:p>
    <w:p>
      <w:pPr>
        <w:snapToGrid w:val="0"/>
        <w:spacing w:line="360" w:lineRule="auto"/>
        <w:ind w:left="573" w:leftChars="273"/>
        <w:rPr>
          <w:rFonts w:hint="eastAsia" w:ascii="宋体" w:hAnsi="宋体" w:eastAsia="宋体" w:cs="宋体"/>
          <w:kern w:val="0"/>
          <w:sz w:val="21"/>
          <w:szCs w:val="21"/>
          <w:lang w:val="zh-CN"/>
        </w:rPr>
      </w:pPr>
      <w:r>
        <w:rPr>
          <w:rFonts w:hint="eastAsia" w:ascii="宋体" w:hAnsi="宋体" w:eastAsia="宋体" w:cs="宋体"/>
          <w:sz w:val="21"/>
          <w:szCs w:val="21"/>
          <w:u w:val="single"/>
        </w:rPr>
        <w:t xml:space="preserve">                                                                                     </w:t>
      </w:r>
    </w:p>
    <w:p>
      <w:pPr>
        <w:snapToGrid w:val="0"/>
        <w:spacing w:line="360" w:lineRule="auto"/>
        <w:ind w:left="573" w:leftChars="273"/>
        <w:rPr>
          <w:rFonts w:hint="eastAsia" w:ascii="宋体" w:hAnsi="宋体" w:eastAsia="宋体" w:cs="宋体"/>
          <w:kern w:val="0"/>
          <w:sz w:val="21"/>
          <w:szCs w:val="21"/>
          <w:lang w:val="zh-CN"/>
        </w:rPr>
      </w:pPr>
      <w:r>
        <w:rPr>
          <w:rFonts w:hint="eastAsia" w:ascii="宋体" w:hAnsi="宋体" w:eastAsia="宋体" w:cs="宋体"/>
          <w:kern w:val="0"/>
          <w:sz w:val="21"/>
          <w:szCs w:val="21"/>
          <w:lang w:val="en-US" w:eastAsia="zh-CN"/>
        </w:rPr>
        <w:t>六</w:t>
      </w:r>
      <w:r>
        <w:rPr>
          <w:rFonts w:hint="eastAsia" w:ascii="宋体" w:hAnsi="宋体" w:eastAsia="宋体" w:cs="宋体"/>
          <w:kern w:val="0"/>
          <w:sz w:val="21"/>
          <w:szCs w:val="21"/>
          <w:lang w:val="zh-CN"/>
        </w:rPr>
        <w:t>、违约责任</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sz w:val="21"/>
          <w:szCs w:val="21"/>
          <w:u w:val="single"/>
        </w:rPr>
        <w:t xml:space="preserve">                                                                                     </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kern w:val="0"/>
          <w:sz w:val="21"/>
          <w:szCs w:val="21"/>
          <w:lang w:val="en-US" w:eastAsia="zh-CN"/>
        </w:rPr>
        <w:t>七</w:t>
      </w:r>
      <w:r>
        <w:rPr>
          <w:rFonts w:hint="eastAsia" w:ascii="宋体" w:hAnsi="宋体" w:eastAsia="宋体" w:cs="宋体"/>
          <w:kern w:val="0"/>
          <w:sz w:val="21"/>
          <w:szCs w:val="21"/>
          <w:lang w:val="zh-CN"/>
        </w:rPr>
        <w:t>、争议解决的办法</w:t>
      </w:r>
    </w:p>
    <w:p>
      <w:pPr>
        <w:snapToGrid w:val="0"/>
        <w:spacing w:line="360" w:lineRule="auto"/>
        <w:ind w:firstLine="576"/>
        <w:rPr>
          <w:rFonts w:hint="eastAsia" w:ascii="宋体" w:hAnsi="宋体" w:eastAsia="宋体" w:cs="宋体"/>
          <w:kern w:val="0"/>
          <w:sz w:val="21"/>
          <w:szCs w:val="21"/>
          <w:lang w:val="zh-CN"/>
        </w:rPr>
      </w:pPr>
      <w:r>
        <w:rPr>
          <w:rFonts w:hint="eastAsia" w:ascii="宋体" w:hAnsi="宋体" w:eastAsia="宋体" w:cs="宋体"/>
          <w:sz w:val="21"/>
          <w:szCs w:val="21"/>
          <w:u w:val="single"/>
        </w:rPr>
        <w:t xml:space="preserve">                                                                                  </w:t>
      </w:r>
    </w:p>
    <w:p>
      <w:pPr>
        <w:snapToGrid w:val="0"/>
        <w:spacing w:line="360" w:lineRule="auto"/>
        <w:ind w:left="5128" w:leftChars="342" w:hanging="4410" w:hangingChars="2100"/>
        <w:rPr>
          <w:rFonts w:hint="eastAsia" w:ascii="宋体" w:hAnsi="宋体" w:eastAsia="宋体" w:cs="宋体"/>
          <w:kern w:val="0"/>
          <w:sz w:val="21"/>
          <w:szCs w:val="21"/>
          <w:lang w:val="zh-CN"/>
        </w:rPr>
      </w:pPr>
    </w:p>
    <w:p>
      <w:pPr>
        <w:snapToGrid w:val="0"/>
        <w:spacing w:line="360" w:lineRule="auto"/>
        <w:ind w:left="5128" w:leftChars="342" w:hanging="4410" w:hangingChars="210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 xml:space="preserve">                                         磋商供应商名称(电子签名)：</w:t>
      </w:r>
    </w:p>
    <w:p>
      <w:pPr>
        <w:snapToGrid w:val="0"/>
        <w:spacing w:line="360" w:lineRule="auto"/>
        <w:ind w:firstLine="4935" w:firstLineChars="2350"/>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分包供应商名称：</w:t>
      </w:r>
    </w:p>
    <w:p>
      <w:pPr>
        <w:snapToGrid w:val="0"/>
        <w:spacing w:line="360" w:lineRule="auto"/>
        <w:ind w:firstLine="5040" w:firstLineChars="2400"/>
        <w:rPr>
          <w:rFonts w:hint="eastAsia" w:ascii="宋体" w:hAnsi="宋体" w:eastAsia="宋体" w:cs="宋体"/>
          <w:sz w:val="21"/>
          <w:szCs w:val="21"/>
        </w:rPr>
      </w:pPr>
      <w:r>
        <w:rPr>
          <w:rFonts w:hint="eastAsia" w:ascii="宋体" w:hAnsi="宋体" w:eastAsia="宋体" w:cs="宋体"/>
          <w:kern w:val="0"/>
          <w:sz w:val="21"/>
          <w:szCs w:val="21"/>
          <w:lang w:val="zh-CN"/>
        </w:rPr>
        <w:t>……</w:t>
      </w:r>
    </w:p>
    <w:p>
      <w:pPr>
        <w:widowControl/>
        <w:spacing w:line="360" w:lineRule="auto"/>
        <w:ind w:left="150"/>
        <w:jc w:val="both"/>
        <w:rPr>
          <w:rFonts w:hint="eastAsia" w:ascii="宋体" w:hAnsi="宋体" w:eastAsia="宋体" w:cs="宋体"/>
          <w:b/>
          <w:kern w:val="0"/>
          <w:sz w:val="32"/>
          <w:szCs w:val="32"/>
        </w:rPr>
      </w:pPr>
      <w:r>
        <w:rPr>
          <w:rFonts w:hint="eastAsia" w:ascii="宋体" w:hAnsi="宋体" w:eastAsia="宋体" w:cs="宋体"/>
          <w:kern w:val="0"/>
          <w:sz w:val="21"/>
          <w:szCs w:val="21"/>
          <w:lang w:val="zh-CN"/>
        </w:rPr>
        <w:t xml:space="preserve">                                        日期：  年  月   日</w:t>
      </w:r>
    </w:p>
    <w:p>
      <w:pPr>
        <w:pStyle w:val="35"/>
        <w:snapToGrid w:val="0"/>
        <w:spacing w:line="500" w:lineRule="exact"/>
        <w:jc w:val="both"/>
        <w:rPr>
          <w:rFonts w:hint="eastAsia" w:ascii="宋体" w:hAnsi="宋体" w:eastAsia="宋体" w:cs="宋体"/>
          <w:b/>
          <w:bCs/>
          <w:lang w:val="en-US" w:eastAsia="zh-CN"/>
        </w:rPr>
      </w:pPr>
      <w:r>
        <w:rPr>
          <w:rFonts w:hint="eastAsia" w:ascii="宋体" w:hAnsi="宋体" w:eastAsia="宋体" w:cs="宋体"/>
          <w:color w:val="000000"/>
          <w:sz w:val="28"/>
          <w:lang w:val="en-US" w:eastAsia="zh-CN"/>
        </w:rPr>
        <w:br w:type="page"/>
      </w:r>
      <w:r>
        <w:rPr>
          <w:rFonts w:hint="eastAsia" w:ascii="宋体" w:hAnsi="宋体" w:eastAsia="宋体" w:cs="宋体"/>
          <w:color w:val="000000"/>
          <w:sz w:val="28"/>
          <w:lang w:val="en-US" w:eastAsia="zh-CN"/>
        </w:rPr>
        <w:t>其他附表：</w:t>
      </w:r>
    </w:p>
    <w:p>
      <w:pPr>
        <w:pStyle w:val="35"/>
        <w:snapToGrid w:val="0"/>
        <w:spacing w:after="157" w:afterLines="50" w:line="420" w:lineRule="exact"/>
        <w:jc w:val="center"/>
        <w:rPr>
          <w:rFonts w:hint="eastAsia" w:ascii="宋体" w:hAnsi="宋体" w:eastAsia="宋体" w:cs="宋体"/>
          <w:b/>
          <w:bCs/>
          <w:sz w:val="32"/>
          <w:szCs w:val="28"/>
          <w:lang w:val="en-US" w:eastAsia="zh-CN"/>
        </w:rPr>
      </w:pPr>
      <w:r>
        <w:rPr>
          <w:rFonts w:hint="eastAsia" w:ascii="宋体" w:hAnsi="宋体" w:eastAsia="宋体" w:cs="宋体"/>
          <w:b/>
          <w:bCs/>
          <w:sz w:val="32"/>
          <w:szCs w:val="28"/>
          <w:lang w:val="en-US" w:eastAsia="zh-CN"/>
        </w:rPr>
        <w:t>政府采购活动现场确认声明书</w:t>
      </w:r>
    </w:p>
    <w:p>
      <w:pPr>
        <w:pStyle w:val="12"/>
        <w:widowControl w:val="0"/>
        <w:kinsoku/>
        <w:wordWrap/>
        <w:overflowPunct/>
        <w:topLinePunct w:val="0"/>
        <w:autoSpaceDE/>
        <w:autoSpaceDN/>
        <w:bidi w:val="0"/>
        <w:snapToGrid w:val="0"/>
        <w:spacing w:beforeLines="0" w:afterLines="0" w:line="400" w:lineRule="exact"/>
        <w:textAlignment w:val="auto"/>
        <w:rPr>
          <w:rFonts w:hint="eastAsia" w:ascii="宋体" w:hAnsi="宋体" w:eastAsia="宋体" w:cs="宋体"/>
          <w:b/>
          <w:color w:val="000000"/>
          <w:sz w:val="21"/>
          <w:szCs w:val="21"/>
        </w:rPr>
      </w:pPr>
      <w:r>
        <w:rPr>
          <w:rFonts w:hint="eastAsia" w:ascii="宋体" w:hAnsi="宋体" w:eastAsia="宋体" w:cs="宋体"/>
          <w:color w:val="000000"/>
          <w:sz w:val="21"/>
          <w:szCs w:val="21"/>
          <w:u w:val="single"/>
          <w:lang w:val="en-US" w:eastAsia="zh-CN"/>
        </w:rPr>
        <w:t xml:space="preserve">    采购人、采购代理机构   </w:t>
      </w:r>
      <w:r>
        <w:rPr>
          <w:rFonts w:hint="eastAsia" w:ascii="宋体" w:hAnsi="宋体" w:eastAsia="宋体" w:cs="宋体"/>
          <w:color w:val="000000"/>
          <w:sz w:val="21"/>
          <w:szCs w:val="21"/>
        </w:rPr>
        <w:t>：</w:t>
      </w:r>
    </w:p>
    <w:p>
      <w:pPr>
        <w:pStyle w:val="12"/>
        <w:widowControl w:val="0"/>
        <w:kinsoku/>
        <w:wordWrap/>
        <w:overflowPunct/>
        <w:topLinePunct w:val="0"/>
        <w:autoSpaceDE/>
        <w:autoSpaceDN/>
        <w:bidi w:val="0"/>
        <w:snapToGrid w:val="0"/>
        <w:spacing w:before="0" w:beforeLines="0" w:after="0" w:afterLines="0" w:line="400" w:lineRule="exact"/>
        <w:ind w:firstLine="444" w:firstLineChars="200"/>
        <w:textAlignment w:val="auto"/>
        <w:rPr>
          <w:rFonts w:hint="eastAsia" w:ascii="宋体" w:hAnsi="宋体" w:eastAsia="宋体" w:cs="宋体"/>
          <w:color w:val="000000"/>
          <w:spacing w:val="6"/>
          <w:sz w:val="21"/>
          <w:szCs w:val="21"/>
        </w:rPr>
      </w:pPr>
      <w:r>
        <w:rPr>
          <w:rFonts w:hint="eastAsia" w:ascii="宋体" w:hAnsi="宋体" w:eastAsia="宋体" w:cs="宋体"/>
          <w:color w:val="000000"/>
          <w:spacing w:val="6"/>
          <w:sz w:val="21"/>
          <w:szCs w:val="21"/>
        </w:rPr>
        <w:t>本人</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rPr>
        <w:t>（授权代表姓名），经由</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rPr>
        <w:t>（单位）</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rPr>
        <w:t>（法定代表人姓名）合法授权参加</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u w:val="single"/>
          <w:lang w:val="en-US" w:eastAsia="zh-CN"/>
        </w:rPr>
        <w:t xml:space="preserve">                  </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rPr>
        <w:t>项目（编号：</w:t>
      </w:r>
      <w:r>
        <w:rPr>
          <w:rFonts w:hint="eastAsia" w:ascii="宋体" w:hAnsi="宋体" w:eastAsia="宋体" w:cs="宋体"/>
          <w:color w:val="000000"/>
          <w:spacing w:val="6"/>
          <w:sz w:val="21"/>
          <w:szCs w:val="21"/>
          <w:u w:val="single"/>
        </w:rPr>
        <w:t xml:space="preserve">           </w:t>
      </w:r>
      <w:r>
        <w:rPr>
          <w:rFonts w:hint="eastAsia" w:ascii="宋体" w:hAnsi="宋体" w:eastAsia="宋体" w:cs="宋体"/>
          <w:color w:val="000000"/>
          <w:spacing w:val="6"/>
          <w:sz w:val="21"/>
          <w:szCs w:val="21"/>
        </w:rPr>
        <w:t>）政府采购活动，经与本单位法人代表（负责人）联系确认，现就有关公平竞争事项郑重声明如下：</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一、本单位与采购人之间□不存在利害关系□存在下列利害关系：</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b/>
          <w:bCs/>
          <w:color w:val="000000"/>
          <w:sz w:val="21"/>
          <w:szCs w:val="21"/>
        </w:rPr>
      </w:pPr>
      <w:bookmarkStart w:id="881" w:name="_Toc17468"/>
      <w:bookmarkStart w:id="882" w:name="_Toc27231"/>
      <w:bookmarkStart w:id="883" w:name="_Toc15373"/>
      <w:bookmarkStart w:id="884" w:name="_Toc6003"/>
      <w:bookmarkStart w:id="885" w:name="_Toc12112"/>
      <w:r>
        <w:rPr>
          <w:rFonts w:hint="eastAsia" w:ascii="宋体" w:hAnsi="宋体" w:eastAsia="宋体" w:cs="宋体"/>
          <w:color w:val="000000"/>
          <w:sz w:val="21"/>
          <w:szCs w:val="21"/>
        </w:rPr>
        <w:t>A.投资关系    B.行政隶属关系    C.业务指导关系</w:t>
      </w:r>
      <w:bookmarkEnd w:id="881"/>
      <w:bookmarkEnd w:id="882"/>
      <w:bookmarkEnd w:id="883"/>
      <w:bookmarkEnd w:id="884"/>
      <w:bookmarkEnd w:id="885"/>
    </w:p>
    <w:p>
      <w:pPr>
        <w:widowControl w:val="0"/>
        <w:kinsoku/>
        <w:wordWrap/>
        <w:overflowPunct/>
        <w:topLinePunct w:val="0"/>
        <w:autoSpaceDE/>
        <w:autoSpaceDN/>
        <w:bidi w:val="0"/>
        <w:snapToGrid w:val="0"/>
        <w:spacing w:beforeLines="0" w:afterLines="0" w:line="400" w:lineRule="exact"/>
        <w:ind w:firstLine="420" w:firstLineChars="200"/>
        <w:textAlignment w:val="auto"/>
        <w:rPr>
          <w:rFonts w:hint="eastAsia" w:ascii="宋体" w:hAnsi="宋体" w:eastAsia="宋体" w:cs="宋体"/>
          <w:color w:val="000000"/>
          <w:sz w:val="21"/>
          <w:szCs w:val="21"/>
        </w:rPr>
      </w:pPr>
      <w:bookmarkStart w:id="886" w:name="_Toc19012"/>
      <w:bookmarkStart w:id="887" w:name="_Toc28394"/>
      <w:bookmarkStart w:id="888" w:name="_Toc24424"/>
      <w:bookmarkStart w:id="889" w:name="_Toc9171"/>
      <w:bookmarkStart w:id="890" w:name="_Toc4044"/>
      <w:r>
        <w:rPr>
          <w:rFonts w:hint="eastAsia" w:ascii="宋体" w:hAnsi="宋体" w:eastAsia="宋体" w:cs="宋体"/>
          <w:color w:val="000000"/>
          <w:sz w:val="21"/>
          <w:szCs w:val="21"/>
        </w:rPr>
        <w:t>D.其他可能影响采购公正的利害关系</w:t>
      </w:r>
      <w:r>
        <w:rPr>
          <w:rFonts w:hint="eastAsia" w:ascii="宋体" w:hAnsi="宋体" w:eastAsia="宋体" w:cs="宋体"/>
          <w:color w:val="000000"/>
          <w:sz w:val="21"/>
          <w:szCs w:val="21"/>
          <w:u w:val="single"/>
        </w:rPr>
        <w:t xml:space="preserve">（如有，请如实说明）              </w:t>
      </w:r>
      <w:r>
        <w:rPr>
          <w:rFonts w:hint="eastAsia" w:ascii="宋体" w:hAnsi="宋体" w:eastAsia="宋体" w:cs="宋体"/>
          <w:color w:val="000000"/>
          <w:sz w:val="21"/>
          <w:szCs w:val="21"/>
        </w:rPr>
        <w:t>。</w:t>
      </w:r>
      <w:bookmarkEnd w:id="886"/>
      <w:bookmarkEnd w:id="887"/>
      <w:bookmarkEnd w:id="888"/>
      <w:bookmarkEnd w:id="889"/>
      <w:bookmarkEnd w:id="890"/>
    </w:p>
    <w:p>
      <w:pPr>
        <w:widowControl w:val="0"/>
        <w:kinsoku/>
        <w:wordWrap/>
        <w:overflowPunct/>
        <w:topLinePunct w:val="0"/>
        <w:autoSpaceDE/>
        <w:autoSpaceDN/>
        <w:bidi w:val="0"/>
        <w:snapToGrid w:val="0"/>
        <w:spacing w:beforeLines="0" w:afterLines="0" w:line="400" w:lineRule="exact"/>
        <w:ind w:firstLine="444" w:firstLineChars="200"/>
        <w:textAlignment w:val="auto"/>
        <w:rPr>
          <w:rFonts w:hint="eastAsia" w:ascii="宋体" w:hAnsi="宋体" w:eastAsia="宋体" w:cs="宋体"/>
          <w:color w:val="000000"/>
          <w:sz w:val="21"/>
          <w:szCs w:val="21"/>
        </w:rPr>
      </w:pPr>
      <w:r>
        <w:rPr>
          <w:rFonts w:hint="eastAsia" w:ascii="宋体" w:hAnsi="宋体" w:eastAsia="宋体" w:cs="宋体"/>
          <w:color w:val="000000"/>
          <w:spacing w:val="6"/>
          <w:sz w:val="21"/>
          <w:szCs w:val="21"/>
        </w:rPr>
        <w:t>二、</w:t>
      </w:r>
      <w:r>
        <w:rPr>
          <w:rFonts w:hint="eastAsia" w:ascii="宋体" w:hAnsi="宋体" w:eastAsia="宋体" w:cs="宋体"/>
          <w:color w:val="000000"/>
          <w:sz w:val="21"/>
          <w:szCs w:val="21"/>
        </w:rPr>
        <w:t>现已清楚知道参加本项目采购活动的其他所有</w:t>
      </w:r>
      <w:r>
        <w:rPr>
          <w:rFonts w:hint="eastAsia" w:ascii="宋体" w:hAnsi="宋体" w:eastAsia="宋体" w:cs="宋体"/>
          <w:color w:val="000000"/>
          <w:sz w:val="21"/>
          <w:szCs w:val="21"/>
          <w:lang w:eastAsia="zh-CN"/>
        </w:rPr>
        <w:t>磋商供应商</w:t>
      </w:r>
      <w:r>
        <w:rPr>
          <w:rFonts w:hint="eastAsia" w:ascii="宋体" w:hAnsi="宋体" w:eastAsia="宋体" w:cs="宋体"/>
          <w:color w:val="000000"/>
          <w:sz w:val="21"/>
          <w:szCs w:val="21"/>
        </w:rPr>
        <w:t>名称，本单位□与其他所有</w:t>
      </w:r>
      <w:r>
        <w:rPr>
          <w:rFonts w:hint="eastAsia" w:ascii="宋体" w:hAnsi="宋体" w:eastAsia="宋体" w:cs="宋体"/>
          <w:color w:val="000000"/>
          <w:sz w:val="21"/>
          <w:szCs w:val="21"/>
          <w:lang w:eastAsia="zh-CN"/>
        </w:rPr>
        <w:t>磋商供应商</w:t>
      </w:r>
      <w:r>
        <w:rPr>
          <w:rFonts w:hint="eastAsia" w:ascii="宋体" w:hAnsi="宋体" w:eastAsia="宋体" w:cs="宋体"/>
          <w:color w:val="000000"/>
          <w:sz w:val="21"/>
          <w:szCs w:val="21"/>
        </w:rPr>
        <w:t>之间均不存在利害关系  □与</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u w:val="single"/>
          <w:lang w:eastAsia="zh-CN"/>
        </w:rPr>
        <w:t>磋商供应商</w:t>
      </w:r>
      <w:r>
        <w:rPr>
          <w:rFonts w:hint="eastAsia" w:ascii="宋体" w:hAnsi="宋体" w:eastAsia="宋体" w:cs="宋体"/>
          <w:color w:val="000000"/>
          <w:sz w:val="21"/>
          <w:szCs w:val="21"/>
          <w:u w:val="single"/>
        </w:rPr>
        <w:t>名称）</w:t>
      </w:r>
      <w:r>
        <w:rPr>
          <w:rFonts w:hint="eastAsia" w:ascii="宋体" w:hAnsi="宋体" w:eastAsia="宋体" w:cs="宋体"/>
          <w:color w:val="000000"/>
          <w:sz w:val="21"/>
          <w:szCs w:val="21"/>
        </w:rPr>
        <w:t>之间存在下列利害关系：</w:t>
      </w:r>
    </w:p>
    <w:p>
      <w:pPr>
        <w:widowControl w:val="0"/>
        <w:kinsoku/>
        <w:wordWrap/>
        <w:overflowPunct/>
        <w:topLinePunct w:val="0"/>
        <w:autoSpaceDE/>
        <w:autoSpaceDN/>
        <w:bidi w:val="0"/>
        <w:snapToGrid w:val="0"/>
        <w:spacing w:beforeLines="0" w:afterLines="0" w:line="400" w:lineRule="exac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A.法定代表人或负责人或实际控制人是同一人</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rPr>
        <w:t xml:space="preserve"> B.法定代表人或负责人或实际控制人是夫妻关系</w:t>
      </w:r>
    </w:p>
    <w:p>
      <w:pPr>
        <w:pStyle w:val="12"/>
        <w:widowControl w:val="0"/>
        <w:kinsoku/>
        <w:wordWrap/>
        <w:overflowPunct/>
        <w:topLinePunct w:val="0"/>
        <w:autoSpaceDE/>
        <w:autoSpaceDN/>
        <w:bidi w:val="0"/>
        <w:snapToGrid w:val="0"/>
        <w:spacing w:before="0" w:beforeLines="0" w:after="0" w:afterLines="0" w:line="400" w:lineRule="exact"/>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rPr>
        <w:t>C.法定代表人或负责人或实际控制人是直系血亲关系</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spacing w:val="6"/>
          <w:sz w:val="21"/>
          <w:szCs w:val="21"/>
        </w:rPr>
      </w:pPr>
      <w:r>
        <w:rPr>
          <w:rFonts w:hint="eastAsia" w:ascii="宋体" w:hAnsi="宋体" w:eastAsia="宋体" w:cs="宋体"/>
          <w:color w:val="000000"/>
          <w:kern w:val="0"/>
          <w:sz w:val="21"/>
          <w:szCs w:val="21"/>
        </w:rPr>
        <w:t xml:space="preserve"> D.法定代表人或负责人或实际控制人存在三代以内旁系血亲关系</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E.法定代表人或负责人或实际控制人存在近姻亲关系</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F.法定代表人或负责人或实际控制人存在股份控制或实际控制关系</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 G.存在共同直接或间接投资设立子公司、联营企业和合营企业情况</w:t>
      </w:r>
    </w:p>
    <w:p>
      <w:pPr>
        <w:pStyle w:val="12"/>
        <w:widowControl w:val="0"/>
        <w:kinsoku/>
        <w:wordWrap/>
        <w:overflowPunct/>
        <w:topLinePunct w:val="0"/>
        <w:autoSpaceDE/>
        <w:autoSpaceDN/>
        <w:bidi w:val="0"/>
        <w:snapToGrid w:val="0"/>
        <w:spacing w:before="0" w:beforeLines="0" w:after="0" w:afterLines="0" w:line="400" w:lineRule="exact"/>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kern w:val="0"/>
          <w:sz w:val="21"/>
          <w:szCs w:val="21"/>
        </w:rPr>
        <w:t xml:space="preserve"> H.存在分级代理或代销关系、同一生产制造商关系、管理关系、重要业务（占</w:t>
      </w:r>
      <w:r>
        <w:rPr>
          <w:rFonts w:hint="eastAsia" w:ascii="宋体" w:hAnsi="宋体" w:eastAsia="宋体" w:cs="宋体"/>
          <w:color w:val="000000"/>
          <w:sz w:val="21"/>
          <w:szCs w:val="21"/>
        </w:rPr>
        <w:t>主营业务收入50%以上）或重要财务往来关系（如融资）等其他实质性控制关系</w:t>
      </w:r>
    </w:p>
    <w:p>
      <w:pPr>
        <w:pStyle w:val="12"/>
        <w:widowControl w:val="0"/>
        <w:kinsoku/>
        <w:wordWrap/>
        <w:overflowPunct/>
        <w:topLinePunct w:val="0"/>
        <w:autoSpaceDE/>
        <w:autoSpaceDN/>
        <w:bidi w:val="0"/>
        <w:snapToGrid w:val="0"/>
        <w:spacing w:before="0" w:beforeLines="0" w:after="0" w:afterLines="0" w:line="400" w:lineRule="exact"/>
        <w:ind w:left="-190" w:firstLine="604" w:firstLineChars="288"/>
        <w:textAlignment w:val="auto"/>
        <w:rPr>
          <w:rFonts w:hint="eastAsia" w:ascii="宋体" w:hAnsi="宋体" w:eastAsia="宋体" w:cs="宋体"/>
          <w:color w:val="000000"/>
          <w:kern w:val="0"/>
          <w:sz w:val="21"/>
          <w:szCs w:val="21"/>
        </w:rPr>
      </w:pPr>
      <w:bookmarkStart w:id="891" w:name="_Toc23144"/>
      <w:bookmarkStart w:id="892" w:name="_Toc21051"/>
      <w:bookmarkStart w:id="893" w:name="_Toc19277"/>
      <w:bookmarkStart w:id="894" w:name="_Toc24972"/>
      <w:bookmarkStart w:id="895" w:name="_Toc3905"/>
      <w:r>
        <w:rPr>
          <w:rFonts w:hint="eastAsia" w:ascii="宋体" w:hAnsi="宋体" w:eastAsia="宋体" w:cs="宋体"/>
          <w:color w:val="000000"/>
          <w:sz w:val="21"/>
          <w:szCs w:val="21"/>
        </w:rPr>
        <w:t>I</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其他利害关系情况</w:t>
      </w:r>
      <w:r>
        <w:rPr>
          <w:rFonts w:hint="eastAsia" w:ascii="宋体" w:hAnsi="宋体" w:eastAsia="宋体" w:cs="宋体"/>
          <w:color w:val="000000"/>
          <w:sz w:val="21"/>
          <w:szCs w:val="21"/>
          <w:u w:val="single"/>
        </w:rPr>
        <w:t xml:space="preserve">                       </w:t>
      </w:r>
      <w:r>
        <w:rPr>
          <w:rFonts w:hint="eastAsia" w:ascii="宋体" w:hAnsi="宋体" w:eastAsia="宋体" w:cs="宋体"/>
          <w:color w:val="000000"/>
          <w:kern w:val="0"/>
          <w:sz w:val="21"/>
          <w:szCs w:val="21"/>
        </w:rPr>
        <w:t>。</w:t>
      </w:r>
      <w:bookmarkEnd w:id="891"/>
      <w:bookmarkEnd w:id="892"/>
      <w:bookmarkEnd w:id="893"/>
      <w:bookmarkEnd w:id="894"/>
      <w:bookmarkEnd w:id="895"/>
    </w:p>
    <w:p>
      <w:pPr>
        <w:pStyle w:val="12"/>
        <w:widowControl w:val="0"/>
        <w:numPr>
          <w:ilvl w:val="0"/>
          <w:numId w:val="0"/>
        </w:numPr>
        <w:tabs>
          <w:tab w:val="left" w:pos="210"/>
          <w:tab w:val="left" w:pos="420"/>
        </w:tabs>
        <w:kinsoku/>
        <w:wordWrap/>
        <w:overflowPunct/>
        <w:topLinePunct w:val="0"/>
        <w:autoSpaceDE/>
        <w:autoSpaceDN/>
        <w:bidi w:val="0"/>
        <w:snapToGrid w:val="0"/>
        <w:spacing w:beforeLines="0" w:afterLines="0" w:line="400" w:lineRule="exact"/>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三、</w:t>
      </w:r>
      <w:r>
        <w:rPr>
          <w:rFonts w:hint="eastAsia" w:ascii="宋体" w:hAnsi="宋体" w:eastAsia="宋体" w:cs="宋体"/>
          <w:color w:val="000000"/>
          <w:sz w:val="21"/>
          <w:szCs w:val="21"/>
        </w:rPr>
        <w:t>现已清楚知道并严格遵守政府采购法律法规和现场纪律。</w:t>
      </w:r>
    </w:p>
    <w:p>
      <w:pPr>
        <w:widowControl w:val="0"/>
        <w:numPr>
          <w:ilvl w:val="0"/>
          <w:numId w:val="0"/>
        </w:numPr>
        <w:tabs>
          <w:tab w:val="left" w:pos="420"/>
        </w:tabs>
        <w:kinsoku/>
        <w:wordWrap/>
        <w:overflowPunct/>
        <w:topLinePunct w:val="0"/>
        <w:autoSpaceDE/>
        <w:autoSpaceDN/>
        <w:bidi w:val="0"/>
        <w:snapToGrid w:val="0"/>
        <w:spacing w:beforeLines="0" w:afterLines="0" w:line="400" w:lineRule="exact"/>
        <w:ind w:left="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四、</w:t>
      </w:r>
      <w:r>
        <w:rPr>
          <w:rFonts w:hint="eastAsia" w:ascii="宋体" w:hAnsi="宋体" w:eastAsia="宋体" w:cs="宋体"/>
          <w:color w:val="000000"/>
          <w:sz w:val="21"/>
          <w:szCs w:val="21"/>
        </w:rPr>
        <w:t>我发现</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lang w:eastAsia="zh-CN"/>
        </w:rPr>
        <w:t>磋商供应商</w:t>
      </w:r>
      <w:r>
        <w:rPr>
          <w:rFonts w:hint="eastAsia" w:ascii="宋体" w:hAnsi="宋体" w:eastAsia="宋体" w:cs="宋体"/>
          <w:color w:val="000000"/>
          <w:sz w:val="21"/>
          <w:szCs w:val="21"/>
        </w:rPr>
        <w:t>之间存在或可能存在上述第二条第</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项利害关系。</w:t>
      </w:r>
    </w:p>
    <w:p>
      <w:pPr>
        <w:pStyle w:val="11"/>
        <w:widowControl w:val="0"/>
        <w:kinsoku/>
        <w:wordWrap/>
        <w:overflowPunct/>
        <w:topLinePunct w:val="0"/>
        <w:autoSpaceDE/>
        <w:autoSpaceDN/>
        <w:bidi w:val="0"/>
        <w:spacing w:beforeLines="0" w:afterLines="0" w:line="400" w:lineRule="exact"/>
        <w:ind w:left="0" w:right="-252" w:firstLine="420" w:firstLineChars="200"/>
        <w:jc w:val="center"/>
        <w:textAlignment w:val="auto"/>
        <w:rPr>
          <w:rFonts w:hint="eastAsia" w:ascii="宋体" w:hAnsi="宋体" w:eastAsia="宋体" w:cs="宋体"/>
          <w:sz w:val="21"/>
          <w:szCs w:val="21"/>
          <w:lang w:val="en-US" w:eastAsia="zh-CN" w:bidi="ar"/>
        </w:rPr>
      </w:pPr>
    </w:p>
    <w:p>
      <w:pPr>
        <w:pStyle w:val="11"/>
        <w:widowControl w:val="0"/>
        <w:kinsoku/>
        <w:wordWrap/>
        <w:overflowPunct/>
        <w:topLinePunct w:val="0"/>
        <w:autoSpaceDE/>
        <w:autoSpaceDN/>
        <w:bidi w:val="0"/>
        <w:spacing w:beforeLines="0" w:afterLines="0" w:line="400" w:lineRule="exact"/>
        <w:ind w:left="0" w:right="-252" w:firstLine="420" w:firstLineChars="200"/>
        <w:jc w:val="center"/>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 xml:space="preserve"> </w:t>
      </w:r>
    </w:p>
    <w:p>
      <w:pPr>
        <w:pStyle w:val="11"/>
        <w:widowControl w:val="0"/>
        <w:kinsoku/>
        <w:wordWrap/>
        <w:overflowPunct/>
        <w:topLinePunct w:val="0"/>
        <w:autoSpaceDE/>
        <w:autoSpaceDN/>
        <w:bidi w:val="0"/>
        <w:spacing w:beforeLines="0" w:afterLines="0" w:line="400" w:lineRule="exact"/>
        <w:ind w:left="0" w:right="-252" w:firstLine="0" w:firstLineChars="0"/>
        <w:jc w:val="both"/>
        <w:textAlignment w:val="auto"/>
        <w:rPr>
          <w:rFonts w:hint="eastAsia" w:ascii="宋体" w:hAnsi="宋体" w:eastAsia="宋体" w:cs="宋体"/>
          <w:sz w:val="21"/>
          <w:szCs w:val="21"/>
          <w:u w:val="single"/>
          <w:lang w:val="en-US" w:eastAsia="zh-CN" w:bidi="ar"/>
        </w:rPr>
      </w:pPr>
      <w:r>
        <w:rPr>
          <w:rFonts w:hint="eastAsia" w:ascii="宋体" w:hAnsi="宋体" w:eastAsia="宋体" w:cs="宋体"/>
          <w:sz w:val="21"/>
          <w:szCs w:val="21"/>
          <w:lang w:val="en-US" w:eastAsia="zh-CN" w:bidi="ar"/>
        </w:rPr>
        <w:t xml:space="preserve">                                  </w:t>
      </w:r>
      <w:r>
        <w:rPr>
          <w:rFonts w:hint="eastAsia" w:ascii="宋体" w:hAnsi="宋体" w:eastAsia="宋体" w:cs="宋体"/>
          <w:sz w:val="21"/>
          <w:szCs w:val="21"/>
          <w:lang w:eastAsia="zh-CN" w:bidi="ar"/>
        </w:rPr>
        <w:t>磋商供应商</w:t>
      </w:r>
      <w:r>
        <w:rPr>
          <w:rFonts w:hint="eastAsia" w:ascii="宋体" w:hAnsi="宋体" w:eastAsia="宋体" w:cs="宋体"/>
          <w:sz w:val="21"/>
          <w:szCs w:val="21"/>
          <w:lang w:bidi="ar"/>
        </w:rPr>
        <w:t>全称：</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u w:val="single"/>
          <w:lang w:bidi="ar"/>
        </w:rPr>
        <w:t>（盖公章</w:t>
      </w:r>
      <w:r>
        <w:rPr>
          <w:rFonts w:hint="eastAsia" w:ascii="宋体" w:hAnsi="宋体" w:eastAsia="宋体" w:cs="宋体"/>
          <w:sz w:val="21"/>
          <w:szCs w:val="21"/>
          <w:u w:val="single"/>
          <w:lang w:eastAsia="zh-CN" w:bidi="ar"/>
        </w:rPr>
        <w:t>）</w:t>
      </w:r>
      <w:r>
        <w:rPr>
          <w:rFonts w:hint="eastAsia" w:ascii="宋体" w:hAnsi="宋体" w:eastAsia="宋体" w:cs="宋体"/>
          <w:sz w:val="21"/>
          <w:szCs w:val="21"/>
          <w:u w:val="single"/>
          <w:lang w:val="en-US" w:eastAsia="zh-CN" w:bidi="ar"/>
        </w:rPr>
        <w:t xml:space="preserve"> </w:t>
      </w:r>
    </w:p>
    <w:p>
      <w:pPr>
        <w:pStyle w:val="11"/>
        <w:widowControl w:val="0"/>
        <w:kinsoku/>
        <w:wordWrap/>
        <w:overflowPunct/>
        <w:topLinePunct w:val="0"/>
        <w:autoSpaceDE/>
        <w:autoSpaceDN/>
        <w:bidi w:val="0"/>
        <w:spacing w:beforeLines="0" w:afterLines="0" w:line="400" w:lineRule="exact"/>
        <w:ind w:right="-252" w:firstLine="2730" w:firstLineChars="1300"/>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eastAsia="zh-CN" w:bidi="ar"/>
        </w:rPr>
        <w:t>磋商供应商</w:t>
      </w:r>
      <w:r>
        <w:rPr>
          <w:rFonts w:hint="eastAsia" w:ascii="宋体" w:hAnsi="宋体" w:eastAsia="宋体" w:cs="宋体"/>
          <w:sz w:val="21"/>
          <w:szCs w:val="21"/>
          <w:lang w:bidi="ar"/>
        </w:rPr>
        <w:t>代表签名：</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lang w:val="en-US" w:eastAsia="zh-CN" w:bidi="ar"/>
        </w:rPr>
        <w:t xml:space="preserve">            </w:t>
      </w:r>
    </w:p>
    <w:p>
      <w:pPr>
        <w:pStyle w:val="11"/>
        <w:widowControl w:val="0"/>
        <w:kinsoku/>
        <w:wordWrap/>
        <w:overflowPunct/>
        <w:topLinePunct w:val="0"/>
        <w:autoSpaceDE/>
        <w:autoSpaceDN/>
        <w:bidi w:val="0"/>
        <w:spacing w:beforeLines="0" w:afterLines="0" w:line="400" w:lineRule="exact"/>
        <w:ind w:firstLine="2730" w:firstLineChars="1300"/>
        <w:jc w:val="both"/>
        <w:textAlignment w:val="auto"/>
        <w:rPr>
          <w:rFonts w:hint="eastAsia" w:ascii="宋体" w:hAnsi="宋体" w:eastAsia="宋体" w:cs="宋体"/>
          <w:bCs/>
          <w:sz w:val="21"/>
          <w:szCs w:val="21"/>
        </w:rPr>
      </w:pPr>
      <w:r>
        <w:rPr>
          <w:rFonts w:hint="eastAsia" w:ascii="宋体" w:hAnsi="宋体" w:eastAsia="宋体" w:cs="宋体"/>
          <w:sz w:val="21"/>
          <w:szCs w:val="21"/>
          <w:lang w:eastAsia="zh-CN" w:bidi="ar"/>
        </w:rPr>
        <w:t>日期：</w:t>
      </w:r>
      <w:r>
        <w:rPr>
          <w:rFonts w:hint="eastAsia" w:ascii="宋体" w:hAnsi="宋体" w:eastAsia="宋体" w:cs="宋体"/>
          <w:sz w:val="21"/>
          <w:szCs w:val="21"/>
          <w:u w:val="single"/>
          <w:lang w:eastAsia="zh-CN" w:bidi="ar"/>
        </w:rPr>
        <w:t xml:space="preserve">        </w:t>
      </w:r>
      <w:r>
        <w:rPr>
          <w:rFonts w:hint="eastAsia" w:ascii="宋体" w:hAnsi="宋体" w:eastAsia="宋体" w:cs="宋体"/>
          <w:sz w:val="21"/>
          <w:szCs w:val="21"/>
          <w:lang w:eastAsia="zh-CN" w:bidi="ar"/>
        </w:rPr>
        <w:t>年</w:t>
      </w:r>
      <w:r>
        <w:rPr>
          <w:rFonts w:hint="eastAsia" w:ascii="宋体" w:hAnsi="宋体" w:eastAsia="宋体" w:cs="宋体"/>
          <w:sz w:val="21"/>
          <w:szCs w:val="21"/>
          <w:u w:val="single"/>
          <w:lang w:eastAsia="zh-CN" w:bidi="ar"/>
        </w:rPr>
        <w:t xml:space="preserve">   </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u w:val="single"/>
          <w:lang w:eastAsia="zh-CN" w:bidi="ar"/>
        </w:rPr>
        <w:t xml:space="preserve"> </w:t>
      </w:r>
      <w:r>
        <w:rPr>
          <w:rFonts w:hint="eastAsia" w:ascii="宋体" w:hAnsi="宋体" w:eastAsia="宋体" w:cs="宋体"/>
          <w:sz w:val="21"/>
          <w:szCs w:val="21"/>
          <w:lang w:eastAsia="zh-CN" w:bidi="ar"/>
        </w:rPr>
        <w:t>月</w:t>
      </w:r>
      <w:r>
        <w:rPr>
          <w:rFonts w:hint="eastAsia" w:ascii="宋体" w:hAnsi="宋体" w:eastAsia="宋体" w:cs="宋体"/>
          <w:sz w:val="21"/>
          <w:szCs w:val="21"/>
          <w:u w:val="single"/>
          <w:lang w:eastAsia="zh-CN" w:bidi="ar"/>
        </w:rPr>
        <w:t xml:space="preserve">   </w:t>
      </w:r>
      <w:r>
        <w:rPr>
          <w:rFonts w:hint="eastAsia" w:ascii="宋体" w:hAnsi="宋体" w:eastAsia="宋体" w:cs="宋体"/>
          <w:sz w:val="21"/>
          <w:szCs w:val="21"/>
          <w:u w:val="single"/>
          <w:lang w:val="en-US" w:eastAsia="zh-CN" w:bidi="ar"/>
        </w:rPr>
        <w:t xml:space="preserve">  </w:t>
      </w:r>
      <w:r>
        <w:rPr>
          <w:rFonts w:hint="eastAsia" w:ascii="宋体" w:hAnsi="宋体" w:eastAsia="宋体" w:cs="宋体"/>
          <w:sz w:val="21"/>
          <w:szCs w:val="21"/>
          <w:u w:val="single"/>
          <w:lang w:eastAsia="zh-CN" w:bidi="ar"/>
        </w:rPr>
        <w:t xml:space="preserve"> </w:t>
      </w:r>
      <w:r>
        <w:rPr>
          <w:rFonts w:hint="eastAsia" w:ascii="宋体" w:hAnsi="宋体" w:eastAsia="宋体" w:cs="宋体"/>
          <w:sz w:val="21"/>
          <w:szCs w:val="21"/>
          <w:lang w:eastAsia="zh-CN" w:bidi="ar"/>
        </w:rPr>
        <w:t>日</w:t>
      </w:r>
      <w:r>
        <w:rPr>
          <w:rFonts w:hint="eastAsia" w:ascii="宋体" w:hAnsi="宋体" w:eastAsia="宋体" w:cs="宋体"/>
          <w:bCs/>
          <w:sz w:val="21"/>
          <w:szCs w:val="21"/>
        </w:rPr>
        <w:t xml:space="preserve"> </w:t>
      </w:r>
    </w:p>
    <w:p>
      <w:pPr>
        <w:pStyle w:val="3"/>
        <w:pageBreakBefore/>
        <w:widowControl w:val="0"/>
        <w:kinsoku/>
        <w:wordWrap/>
        <w:overflowPunct/>
        <w:topLinePunct w:val="0"/>
        <w:autoSpaceDE/>
        <w:autoSpaceDN/>
        <w:bidi w:val="0"/>
        <w:spacing w:before="78" w:beforeLines="25" w:after="0" w:line="400" w:lineRule="exact"/>
        <w:ind w:left="0" w:firstLine="0"/>
        <w:jc w:val="center"/>
        <w:textAlignment w:val="auto"/>
        <w:outlineLvl w:val="0"/>
        <w:rPr>
          <w:rFonts w:hint="eastAsia" w:ascii="宋体" w:hAnsi="宋体" w:eastAsia="宋体" w:cs="宋体"/>
          <w:b/>
          <w:bCs/>
          <w:sz w:val="21"/>
          <w:szCs w:val="21"/>
          <w:lang w:val="en-US" w:eastAsia="zh-CN"/>
        </w:rPr>
        <w:sectPr>
          <w:pgSz w:w="11906" w:h="16838"/>
          <w:pgMar w:top="1417" w:right="1418" w:bottom="1417" w:left="1418" w:header="680" w:footer="992" w:gutter="0"/>
          <w:pgNumType w:fmt="decimal"/>
          <w:cols w:space="720" w:num="1"/>
          <w:titlePg/>
          <w:rtlGutter w:val="0"/>
          <w:docGrid w:linePitch="312" w:charSpace="0"/>
        </w:sectPr>
      </w:pPr>
      <w:bookmarkStart w:id="896" w:name="_Toc21911"/>
      <w:bookmarkStart w:id="897" w:name="_Toc23145"/>
      <w:bookmarkStart w:id="898" w:name="_Toc30509"/>
    </w:p>
    <w:p>
      <w:pPr>
        <w:pStyle w:val="3"/>
        <w:pageBreakBefore/>
        <w:spacing w:before="78" w:beforeLines="25" w:after="0" w:line="360" w:lineRule="auto"/>
        <w:ind w:left="0" w:firstLine="0"/>
        <w:jc w:val="center"/>
        <w:outlineLvl w:val="0"/>
        <w:rPr>
          <w:rFonts w:hint="eastAsia" w:ascii="宋体" w:hAnsi="宋体" w:eastAsia="宋体" w:cs="宋体"/>
          <w:b/>
          <w:bCs/>
          <w:sz w:val="28"/>
          <w:szCs w:val="32"/>
          <w:lang w:val="en-US" w:eastAsia="zh-CN" w:bidi="ar-SA"/>
        </w:rPr>
      </w:pPr>
      <w:r>
        <w:rPr>
          <w:rFonts w:hint="eastAsia" w:ascii="宋体" w:hAnsi="宋体" w:eastAsia="宋体" w:cs="宋体"/>
          <w:b/>
          <w:bCs/>
          <w:lang w:val="en-US" w:eastAsia="zh-CN"/>
        </w:rPr>
        <w:t>政府采购履约验收书</w:t>
      </w:r>
      <w:bookmarkEnd w:id="896"/>
      <w:bookmarkEnd w:id="897"/>
      <w:bookmarkEnd w:id="898"/>
      <w:r>
        <w:rPr>
          <w:rFonts w:hint="eastAsia" w:ascii="宋体" w:hAnsi="宋体" w:eastAsia="宋体" w:cs="宋体"/>
          <w:b/>
          <w:bCs/>
          <w:sz w:val="28"/>
          <w:szCs w:val="32"/>
          <w:lang w:val="en-US" w:eastAsia="zh-CN" w:bidi="ar-SA"/>
        </w:rPr>
        <w:t>（参考模板）</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169"/>
        <w:gridCol w:w="767"/>
        <w:gridCol w:w="1123"/>
        <w:gridCol w:w="1654"/>
        <w:gridCol w:w="2006"/>
        <w:gridCol w:w="120"/>
        <w:gridCol w:w="1276"/>
        <w:gridCol w:w="852"/>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采购单位</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项目名称</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合同名称</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供应商</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项目及合同编号</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合同金额</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分期验收</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是□   否□</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分期情况</w:t>
            </w:r>
          </w:p>
        </w:tc>
        <w:tc>
          <w:tcPr>
            <w:tcW w:w="8099" w:type="dxa"/>
            <w:gridSpan w:val="6"/>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共分   期，此为第   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验收时间</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验收地点</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3402"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432" w:hanging="378" w:hangingChars="180"/>
              <w:jc w:val="center"/>
              <w:textAlignment w:val="auto"/>
              <w:rPr>
                <w:rFonts w:hint="eastAsia" w:ascii="宋体" w:hAnsi="宋体" w:eastAsia="宋体" w:cs="宋体"/>
                <w:sz w:val="21"/>
                <w:szCs w:val="21"/>
              </w:rPr>
            </w:pPr>
            <w:r>
              <w:rPr>
                <w:rFonts w:hint="eastAsia" w:ascii="宋体" w:hAnsi="宋体" w:eastAsia="宋体" w:cs="宋体"/>
                <w:sz w:val="21"/>
                <w:szCs w:val="21"/>
              </w:rPr>
              <w:t>验收组织形式</w:t>
            </w:r>
          </w:p>
        </w:tc>
        <w:tc>
          <w:tcPr>
            <w:tcW w:w="3043"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验收内容</w:t>
            </w: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施工内容</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施工进度</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施工质量</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施工人员</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配备情况</w:t>
            </w:r>
          </w:p>
        </w:tc>
        <w:tc>
          <w:tcPr>
            <w:tcW w:w="212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施工设备</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配备情况</w:t>
            </w:r>
          </w:p>
        </w:tc>
        <w:tc>
          <w:tcPr>
            <w:tcW w:w="21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安全文明标准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c>
          <w:tcPr>
            <w:tcW w:w="216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不合格□</w:t>
            </w:r>
          </w:p>
        </w:tc>
        <w:tc>
          <w:tcPr>
            <w:tcW w:w="1890"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不合格□</w:t>
            </w:r>
          </w:p>
        </w:tc>
        <w:tc>
          <w:tcPr>
            <w:tcW w:w="1654"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不合格□</w:t>
            </w:r>
          </w:p>
        </w:tc>
        <w:tc>
          <w:tcPr>
            <w:tcW w:w="2126"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不合格□</w:t>
            </w:r>
          </w:p>
        </w:tc>
        <w:tc>
          <w:tcPr>
            <w:tcW w:w="2128" w:type="dxa"/>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 xml:space="preserve"> 不合格□</w:t>
            </w:r>
          </w:p>
        </w:tc>
        <w:tc>
          <w:tcPr>
            <w:tcW w:w="2191"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  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第三方机构</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情况说明</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（设计、监理等机构可根据实际情况，出具相关意见）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存在问题</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和改进意见</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最终结论</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合  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7"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收</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字</w:t>
            </w:r>
          </w:p>
        </w:tc>
        <w:tc>
          <w:tcPr>
            <w:tcW w:w="12158" w:type="dxa"/>
            <w:gridSpan w:val="9"/>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经办人</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专家：</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 xml:space="preserve">验收小组负责人：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验收小组成员：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3"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代理机构意见</w:t>
            </w:r>
          </w:p>
        </w:tc>
        <w:tc>
          <w:tcPr>
            <w:tcW w:w="4783"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申购</w:t>
            </w:r>
            <w:r>
              <w:rPr>
                <w:rFonts w:hint="eastAsia" w:ascii="宋体" w:hAnsi="宋体" w:eastAsia="宋体" w:cs="宋体"/>
                <w:sz w:val="21"/>
                <w:szCs w:val="21"/>
              </w:rPr>
              <w:t>单位意见</w:t>
            </w:r>
          </w:p>
        </w:tc>
        <w:tc>
          <w:tcPr>
            <w:tcW w:w="4439" w:type="dxa"/>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采购单位意见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13" w:type="dxa"/>
            <w:gridSpan w:val="3"/>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经办人：        负责人：</w:t>
            </w:r>
          </w:p>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 xml:space="preserve">            （采购代理机构公章）</w:t>
            </w:r>
          </w:p>
        </w:tc>
        <w:tc>
          <w:tcPr>
            <w:tcW w:w="4783" w:type="dxa"/>
            <w:gridSpan w:val="3"/>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经办人：        负责人：</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申购单位</w:t>
            </w:r>
            <w:r>
              <w:rPr>
                <w:rFonts w:hint="eastAsia" w:ascii="宋体" w:hAnsi="宋体" w:eastAsia="宋体" w:cs="宋体"/>
                <w:sz w:val="21"/>
                <w:szCs w:val="21"/>
              </w:rPr>
              <w:t>公章）</w:t>
            </w:r>
          </w:p>
        </w:tc>
        <w:tc>
          <w:tcPr>
            <w:tcW w:w="4439" w:type="dxa"/>
            <w:gridSpan w:val="4"/>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经办人：        负责人：</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（采购</w:t>
            </w:r>
            <w:r>
              <w:rPr>
                <w:rFonts w:hint="eastAsia" w:ascii="宋体" w:hAnsi="宋体" w:eastAsia="宋体" w:cs="宋体"/>
                <w:sz w:val="21"/>
                <w:szCs w:val="21"/>
                <w:lang w:val="en-US" w:eastAsia="zh-CN"/>
              </w:rPr>
              <w:t>单位</w:t>
            </w:r>
            <w:r>
              <w:rPr>
                <w:rFonts w:hint="eastAsia" w:ascii="宋体" w:hAnsi="宋体" w:eastAsia="宋体" w:cs="宋体"/>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3935" w:type="dxa"/>
            <w:gridSpan w:val="10"/>
            <w:noWrap w:val="0"/>
            <w:vAlign w:val="top"/>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供应商确认：</w:t>
            </w:r>
          </w:p>
          <w:p>
            <w:pPr>
              <w:keepNext w:val="0"/>
              <w:keepLines w:val="0"/>
              <w:pageBreakBefore w:val="0"/>
              <w:widowControl w:val="0"/>
              <w:kinsoku/>
              <w:wordWrap/>
              <w:overflowPunct/>
              <w:topLinePunct w:val="0"/>
              <w:autoSpaceDE/>
              <w:autoSpaceDN/>
              <w:bidi w:val="0"/>
              <w:adjustRightInd w:val="0"/>
              <w:snapToGrid/>
              <w:spacing w:line="240" w:lineRule="auto"/>
              <w:ind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 xml:space="preserve">                                                                                   （单位公章或授权代表签字）</w:t>
            </w:r>
          </w:p>
        </w:tc>
      </w:tr>
    </w:tbl>
    <w:p>
      <w:pPr>
        <w:spacing w:line="280" w:lineRule="exact"/>
        <w:rPr>
          <w:rFonts w:hint="eastAsia" w:ascii="宋体" w:hAnsi="宋体" w:eastAsia="宋体" w:cs="宋体"/>
        </w:rPr>
      </w:pPr>
      <w:r>
        <w:rPr>
          <w:rFonts w:hint="eastAsia" w:ascii="宋体" w:hAnsi="宋体" w:eastAsia="宋体" w:cs="宋体"/>
        </w:rPr>
        <w:t>说明：1.该表为工程类项目履约验收的参考样表，采购人或采购代理机构可以根据工作实际进行调整。</w:t>
      </w:r>
    </w:p>
    <w:p>
      <w:pPr>
        <w:spacing w:line="280" w:lineRule="exact"/>
        <w:rPr>
          <w:rFonts w:hint="eastAsia" w:ascii="宋体" w:hAnsi="宋体" w:eastAsia="宋体" w:cs="宋体"/>
        </w:rPr>
      </w:pPr>
      <w:r>
        <w:rPr>
          <w:rFonts w:hint="eastAsia" w:ascii="宋体" w:hAnsi="宋体" w:eastAsia="宋体" w:cs="宋体"/>
        </w:rPr>
        <w:t xml:space="preserve">      2.“代理机构意见”，履约验收工作由采购人自行组织的，无需填写该项内容。</w:t>
      </w:r>
    </w:p>
    <w:p>
      <w:pPr>
        <w:ind w:firstLine="105" w:firstLineChars="50"/>
        <w:rPr>
          <w:rFonts w:hint="eastAsia" w:ascii="宋体" w:hAnsi="宋体" w:eastAsia="宋体" w:cs="宋体"/>
          <w:i w:val="0"/>
          <w:iCs w:val="0"/>
          <w:color w:val="auto"/>
          <w:sz w:val="21"/>
          <w:szCs w:val="21"/>
        </w:rPr>
      </w:pPr>
    </w:p>
    <w:p>
      <w:pPr>
        <w:ind w:firstLine="105" w:firstLineChars="50"/>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注：该表为履约验收书的综合性参考模板，</w:t>
      </w:r>
      <w:r>
        <w:rPr>
          <w:rFonts w:hint="eastAsia" w:ascii="宋体" w:hAnsi="宋体" w:eastAsia="宋体" w:cs="宋体"/>
          <w:i w:val="0"/>
          <w:iCs w:val="0"/>
          <w:color w:val="auto"/>
          <w:sz w:val="21"/>
          <w:szCs w:val="21"/>
          <w:lang w:eastAsia="zh-CN"/>
        </w:rPr>
        <w:t>采购人</w:t>
      </w:r>
      <w:r>
        <w:rPr>
          <w:rFonts w:hint="eastAsia" w:ascii="宋体" w:hAnsi="宋体" w:eastAsia="宋体" w:cs="宋体"/>
          <w:i w:val="0"/>
          <w:iCs w:val="0"/>
          <w:color w:val="auto"/>
          <w:sz w:val="21"/>
          <w:szCs w:val="21"/>
        </w:rPr>
        <w:t>可以根据工作实际进行调整。</w:t>
      </w:r>
    </w:p>
    <w:sectPr>
      <w:pgSz w:w="16838" w:h="11906" w:orient="landscape"/>
      <w:pgMar w:top="1417" w:right="1417" w:bottom="1417" w:left="1417" w:header="680" w:footer="992" w:gutter="0"/>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MS Sans Serif">
    <w:altName w:val="Segoe Print"/>
    <w:panose1 w:val="00000000000000000000"/>
    <w:charset w:val="00"/>
    <w:family w:val="swiss"/>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2hMITLAQAAmwMAAA4AAAAAAAAAAQAgAAAAHgEAAGRycy9lMm9E&#10;b2MueG1sUEsFBgAAAAAGAAYAWQEAAFs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9x1gs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58</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r+VcoBAACa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MukT++hwrQnj4lxuHMDbs3sB3Qm2kMbTPoiIYJxVPd0UVcOkYj0qFyVZYEhgbH5gvjs+bkPEN9L&#10;Z0gyahpwfFlVfnyEOKbOKamadfdK6zxCbf9yIGbysNT72GOy4rAbJkI715yQT4+Tr6nFRadEP1gU&#10;Ni3JbITZ2M3GwQe17/IWpXrgbw8Rm8i9pQoj7FQYR5bZTeuVduLPe856/qU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Yr+VcoBAACa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58</w:t>
                    </w:r>
                    <w:r>
                      <w:fldChar w:fldCharType="end"/>
                    </w:r>
                  </w:p>
                </w:txbxContent>
              </v:textbox>
            </v:shape>
          </w:pict>
        </mc:Fallback>
      </mc:AlternateContent>
    </w:r>
  </w:p>
  <w:p>
    <w:pPr>
      <w:tabs>
        <w:tab w:val="center" w:pos="4153"/>
        <w:tab w:val="right" w:pos="8306"/>
      </w:tabs>
      <w:snapToGrid w:val="0"/>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75</w:t>
                          </w:r>
                          <w: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y858oBAACb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lZUmK5wYmfv387//h1/vmV&#10;LN8lgXoPFeY9ecyMw50bcG1mP6Az8R7aYNIXGRGMo7yni7xyiESkR6tytSowJDA2XxCfPT/3AeJ7&#10;6QxJRk0Dzi/Lyo+PEMfUOSVVs+5eaZ1nqO1fDsRMHpZ6H3tMVhx2w0Ro55oT8ulx9DW1uOmU6AeL&#10;yqYtmY0wG7vZOPig9l1eo1QP/O0hYhO5t1RhhJ0K48wyu2m/0lL8ec9Zz//U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sy858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75</w:t>
                    </w:r>
                    <w:r>
                      <w:fldChar w:fldCharType="end"/>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yPHdc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74</w:t>
                    </w:r>
                    <w:r>
                      <w:fldChar w:fldCharType="end"/>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3ldsoBAACbAwAADgAAAGRycy9lMm9Eb2MueG1srVNLbtswEN0XyB0I&#10;7mPKQlE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W0osNzjx8/dv5x+/zj+/&#10;knKZBOo9VJj35DEzDnduwLWZ/YDOxHtog0lfZEQwjvKeLvLKIRKRHq3K1arAkMDYfEF89vzcB4jv&#10;pTMkGTUNOL8sKz8+QhxT55RUzbp7pXWeobZ/ORAzeVjqfewxWXHYDROhnWtOyKfH0dfU4qZToh8s&#10;Kpu2ZDbCbOxm4+CD2nd5jVI98LeHiE3k3lKFEXYqjDPL7Kb9Skvx5z1nPf9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p3lds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SGkckBAACb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V9S4rjFiV++f7v8+HX5+ZXU&#10;dRZoCNBg3n3AzDS+8SOuzeIHdGbeo4o2f5ERwTjKe77KK8dERH60rtfrCkMCY8sF8dnD8xAhvZXe&#10;kmy0NOL8iqz89B7SlLqk5GrO32ljygyN+8uBmNnDcu9Tj9lK436cCe19d0Y+A46+pQ43nRLzzqGy&#10;eUsWIy7GfjGOIepDX9Yo14Pw+piwidJbrjDBzoVxZoXdvF95Kf68l6y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4dIaR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85</w:t>
                    </w:r>
                    <w: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ascii="仿宋_GB2312" w:eastAsia="仿宋_GB2312"/>
        <w:szCs w:val="24"/>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1weDs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7"/>
      </w:rPr>
    </w:pPr>
    <w:r>
      <w:fldChar w:fldCharType="begin"/>
    </w:r>
    <w:r>
      <w:rPr>
        <w:rStyle w:val="27"/>
      </w:rPr>
      <w:instrText xml:space="preserve">PAGE  </w:instrText>
    </w:r>
    <w:r>
      <w:fldChar w:fldCharType="end"/>
    </w:r>
  </w:p>
  <w:p>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535"/>
        <w:tab w:val="right" w:pos="9070"/>
      </w:tabs>
      <w:ind w:firstLine="241" w:firstLineChars="100"/>
      <w:jc w:val="both"/>
      <w:rPr>
        <w:rFonts w:ascii="仿宋_GB2312" w:eastAsia="仿宋_GB2312"/>
        <w:b w:val="0"/>
        <w:i/>
        <w:sz w:val="18"/>
        <w:u w:val="single"/>
        <w:lang w:val="en-US"/>
      </w:rP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hint="eastAsia" w:ascii="宋体" w:hAnsi="宋体" w:eastAsia="宋体"/>
        <w:sz w:val="2"/>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int="default" w:ascii="仿宋_GB2312" w:eastAsia="仿宋_GB2312"/>
        <w:b/>
        <w:i/>
        <w:iCs/>
        <w:u w:val="single"/>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006C2"/>
    <w:multiLevelType w:val="singleLevel"/>
    <w:tmpl w:val="934006C2"/>
    <w:lvl w:ilvl="0" w:tentative="0">
      <w:start w:val="1"/>
      <w:numFmt w:val="decimal"/>
      <w:lvlText w:val="3.%1"/>
      <w:lvlJc w:val="left"/>
      <w:pPr>
        <w:tabs>
          <w:tab w:val="left" w:pos="420"/>
        </w:tabs>
        <w:ind w:left="425" w:hanging="425"/>
      </w:pPr>
      <w:rPr>
        <w:rFonts w:hint="default"/>
      </w:rPr>
    </w:lvl>
  </w:abstractNum>
  <w:abstractNum w:abstractNumId="1">
    <w:nsid w:val="A0BD5AED"/>
    <w:multiLevelType w:val="singleLevel"/>
    <w:tmpl w:val="A0BD5AED"/>
    <w:lvl w:ilvl="0" w:tentative="0">
      <w:start w:val="1"/>
      <w:numFmt w:val="decimal"/>
      <w:suff w:val="nothing"/>
      <w:lvlText w:val="（%1）"/>
      <w:lvlJc w:val="left"/>
      <w:rPr>
        <w:rFonts w:hint="default"/>
        <w:b w:val="0"/>
        <w:bCs w:val="0"/>
      </w:rPr>
    </w:lvl>
  </w:abstractNum>
  <w:abstractNum w:abstractNumId="2">
    <w:nsid w:val="A84C4E50"/>
    <w:multiLevelType w:val="singleLevel"/>
    <w:tmpl w:val="A84C4E50"/>
    <w:lvl w:ilvl="0" w:tentative="0">
      <w:start w:val="1"/>
      <w:numFmt w:val="decimal"/>
      <w:lvlText w:val="4.2.2.%1"/>
      <w:lvlJc w:val="left"/>
      <w:pPr>
        <w:tabs>
          <w:tab w:val="left" w:pos="420"/>
        </w:tabs>
        <w:ind w:left="425" w:hanging="425"/>
      </w:pPr>
      <w:rPr>
        <w:rFonts w:hint="default"/>
      </w:rPr>
    </w:lvl>
  </w:abstractNum>
  <w:abstractNum w:abstractNumId="3">
    <w:nsid w:val="E5AF259A"/>
    <w:multiLevelType w:val="singleLevel"/>
    <w:tmpl w:val="E5AF259A"/>
    <w:lvl w:ilvl="0" w:tentative="0">
      <w:start w:val="1"/>
      <w:numFmt w:val="decimal"/>
      <w:lvlText w:val="4.2.3.%1"/>
      <w:lvlJc w:val="left"/>
      <w:pPr>
        <w:tabs>
          <w:tab w:val="left" w:pos="420"/>
        </w:tabs>
        <w:ind w:left="425" w:hanging="425"/>
      </w:pPr>
      <w:rPr>
        <w:rFonts w:hint="default"/>
      </w:rPr>
    </w:lvl>
  </w:abstractNum>
  <w:abstractNum w:abstractNumId="4">
    <w:nsid w:val="E74284B9"/>
    <w:multiLevelType w:val="singleLevel"/>
    <w:tmpl w:val="E74284B9"/>
    <w:lvl w:ilvl="0" w:tentative="0">
      <w:start w:val="1"/>
      <w:numFmt w:val="decimal"/>
      <w:suff w:val="nothing"/>
      <w:lvlText w:val="（%1）"/>
      <w:lvlJc w:val="left"/>
    </w:lvl>
  </w:abstractNum>
  <w:abstractNum w:abstractNumId="5">
    <w:nsid w:val="F7DCCFD1"/>
    <w:multiLevelType w:val="singleLevel"/>
    <w:tmpl w:val="F7DCCFD1"/>
    <w:lvl w:ilvl="0" w:tentative="0">
      <w:start w:val="3"/>
      <w:numFmt w:val="decimal"/>
      <w:suff w:val="nothing"/>
      <w:lvlText w:val="（%1）"/>
      <w:lvlJc w:val="left"/>
    </w:lvl>
  </w:abstractNum>
  <w:abstractNum w:abstractNumId="6">
    <w:nsid w:val="1238F71C"/>
    <w:multiLevelType w:val="singleLevel"/>
    <w:tmpl w:val="1238F71C"/>
    <w:lvl w:ilvl="0" w:tentative="0">
      <w:start w:val="7"/>
      <w:numFmt w:val="chineseCounting"/>
      <w:suff w:val="space"/>
      <w:lvlText w:val="第%1部分"/>
      <w:lvlJc w:val="left"/>
      <w:rPr>
        <w:rFonts w:hint="eastAsia"/>
      </w:rPr>
    </w:lvl>
  </w:abstractNum>
  <w:abstractNum w:abstractNumId="7">
    <w:nsid w:val="14C4A4F7"/>
    <w:multiLevelType w:val="singleLevel"/>
    <w:tmpl w:val="14C4A4F7"/>
    <w:lvl w:ilvl="0" w:tentative="0">
      <w:start w:val="1"/>
      <w:numFmt w:val="decimal"/>
      <w:lvlText w:val="3.3.2.%1"/>
      <w:lvlJc w:val="left"/>
      <w:pPr>
        <w:tabs>
          <w:tab w:val="left" w:pos="420"/>
        </w:tabs>
        <w:ind w:left="425" w:hanging="425"/>
      </w:pPr>
      <w:rPr>
        <w:rFonts w:hint="default"/>
      </w:rPr>
    </w:lvl>
  </w:abstractNum>
  <w:abstractNum w:abstractNumId="8">
    <w:nsid w:val="36ED5BEA"/>
    <w:multiLevelType w:val="multilevel"/>
    <w:tmpl w:val="36ED5BEA"/>
    <w:lvl w:ilvl="0" w:tentative="0">
      <w:start w:val="3"/>
      <w:numFmt w:val="decimal"/>
      <w:lvlText w:val="14.6.%1"/>
      <w:lvlJc w:val="left"/>
      <w:rPr>
        <w:rFonts w:ascii="宋体" w:hAnsi="宋体" w:eastAsia="宋体" w:cs="宋体"/>
        <w:b w:val="0"/>
        <w:bCs w:val="0"/>
        <w:i w:val="0"/>
        <w:iCs w:val="0"/>
        <w:smallCaps w:val="0"/>
        <w:strike w:val="0"/>
        <w:color w:val="000000"/>
        <w:spacing w:val="0"/>
        <w:w w:val="100"/>
        <w:position w:val="0"/>
        <w:sz w:val="22"/>
        <w:szCs w:val="22"/>
        <w:u w:val="none"/>
        <w:lang w:val="en-US" w:eastAsia="en-US" w:bidi="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3EFDDC61"/>
    <w:multiLevelType w:val="singleLevel"/>
    <w:tmpl w:val="3EFDDC61"/>
    <w:lvl w:ilvl="0" w:tentative="0">
      <w:start w:val="1"/>
      <w:numFmt w:val="decimal"/>
      <w:suff w:val="nothing"/>
      <w:lvlText w:val="（%1）"/>
      <w:lvlJc w:val="left"/>
      <w:rPr>
        <w:rFonts w:hint="default"/>
        <w:b w:val="0"/>
        <w:bCs w:val="0"/>
        <w:sz w:val="21"/>
        <w:szCs w:val="21"/>
      </w:rPr>
    </w:lvl>
  </w:abstractNum>
  <w:abstractNum w:abstractNumId="10">
    <w:nsid w:val="42EF41D1"/>
    <w:multiLevelType w:val="singleLevel"/>
    <w:tmpl w:val="42EF41D1"/>
    <w:lvl w:ilvl="0" w:tentative="0">
      <w:start w:val="7"/>
      <w:numFmt w:val="chineseCounting"/>
      <w:suff w:val="nothing"/>
      <w:lvlText w:val="%1、"/>
      <w:lvlJc w:val="left"/>
      <w:rPr>
        <w:rFonts w:hint="eastAsia"/>
      </w:rPr>
    </w:lvl>
  </w:abstractNum>
  <w:abstractNum w:abstractNumId="11">
    <w:nsid w:val="53B08F01"/>
    <w:multiLevelType w:val="singleLevel"/>
    <w:tmpl w:val="53B08F01"/>
    <w:lvl w:ilvl="0" w:tentative="0">
      <w:start w:val="1"/>
      <w:numFmt w:val="decimal"/>
      <w:pStyle w:val="13"/>
      <w:lvlText w:val="%1."/>
      <w:lvlJc w:val="left"/>
      <w:pPr>
        <w:tabs>
          <w:tab w:val="left" w:pos="1620"/>
        </w:tabs>
        <w:ind w:left="1620" w:hanging="360"/>
      </w:pPr>
    </w:lvl>
  </w:abstractNum>
  <w:num w:numId="1">
    <w:abstractNumId w:val="11"/>
  </w:num>
  <w:num w:numId="2">
    <w:abstractNumId w:val="5"/>
  </w:num>
  <w:num w:numId="3">
    <w:abstractNumId w:val="7"/>
  </w:num>
  <w:num w:numId="4">
    <w:abstractNumId w:val="2"/>
  </w:num>
  <w:num w:numId="5">
    <w:abstractNumId w:val="3"/>
  </w:num>
  <w:num w:numId="6">
    <w:abstractNumId w:val="4"/>
  </w:num>
  <w:num w:numId="7">
    <w:abstractNumId w:val="9"/>
  </w:num>
  <w:num w:numId="8">
    <w:abstractNumId w:val="8"/>
  </w:num>
  <w:num w:numId="9">
    <w:abstractNumId w:val="0"/>
  </w:num>
  <w:num w:numId="10">
    <w:abstractNumId w:val="1"/>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yY2NmNzJkMWRkZDQ4MDY3NTQ3MDdkNDE4Nzc3ZDcifQ=="/>
  </w:docVars>
  <w:rsids>
    <w:rsidRoot w:val="0CF6675F"/>
    <w:rsid w:val="004B419E"/>
    <w:rsid w:val="00610597"/>
    <w:rsid w:val="00913B9C"/>
    <w:rsid w:val="00B503C6"/>
    <w:rsid w:val="00B52690"/>
    <w:rsid w:val="0144498C"/>
    <w:rsid w:val="01450CF8"/>
    <w:rsid w:val="018874B3"/>
    <w:rsid w:val="01AF5F68"/>
    <w:rsid w:val="01BD43CF"/>
    <w:rsid w:val="01E55632"/>
    <w:rsid w:val="02173E86"/>
    <w:rsid w:val="02866093"/>
    <w:rsid w:val="02987B74"/>
    <w:rsid w:val="02BC1AB4"/>
    <w:rsid w:val="030D40BE"/>
    <w:rsid w:val="031B1BCE"/>
    <w:rsid w:val="033C49A3"/>
    <w:rsid w:val="03773C2D"/>
    <w:rsid w:val="03874046"/>
    <w:rsid w:val="03A311F9"/>
    <w:rsid w:val="03C76963"/>
    <w:rsid w:val="03D4393F"/>
    <w:rsid w:val="041223AC"/>
    <w:rsid w:val="04285071"/>
    <w:rsid w:val="04383066"/>
    <w:rsid w:val="043A17D1"/>
    <w:rsid w:val="047A748A"/>
    <w:rsid w:val="04A57852"/>
    <w:rsid w:val="05282744"/>
    <w:rsid w:val="05475D28"/>
    <w:rsid w:val="05803C05"/>
    <w:rsid w:val="05A21435"/>
    <w:rsid w:val="05B50463"/>
    <w:rsid w:val="05CB4616"/>
    <w:rsid w:val="05F810A1"/>
    <w:rsid w:val="05F872A7"/>
    <w:rsid w:val="06652463"/>
    <w:rsid w:val="06EA517D"/>
    <w:rsid w:val="07A53B7C"/>
    <w:rsid w:val="07D37AA1"/>
    <w:rsid w:val="08150676"/>
    <w:rsid w:val="08292146"/>
    <w:rsid w:val="084C5688"/>
    <w:rsid w:val="086B6127"/>
    <w:rsid w:val="089A098A"/>
    <w:rsid w:val="08A82A76"/>
    <w:rsid w:val="08BD20E2"/>
    <w:rsid w:val="08EB6C4F"/>
    <w:rsid w:val="092D370C"/>
    <w:rsid w:val="094B1659"/>
    <w:rsid w:val="096E2A0B"/>
    <w:rsid w:val="09C53944"/>
    <w:rsid w:val="09E2660C"/>
    <w:rsid w:val="0A2A5F9F"/>
    <w:rsid w:val="0A78426F"/>
    <w:rsid w:val="0A841ED7"/>
    <w:rsid w:val="0A911A78"/>
    <w:rsid w:val="0AAF6F0E"/>
    <w:rsid w:val="0ABE4B90"/>
    <w:rsid w:val="0AC81C2E"/>
    <w:rsid w:val="0AE05A5E"/>
    <w:rsid w:val="0B81451E"/>
    <w:rsid w:val="0BA14129"/>
    <w:rsid w:val="0BA85A99"/>
    <w:rsid w:val="0BA909E1"/>
    <w:rsid w:val="0BB45777"/>
    <w:rsid w:val="0BBD74D0"/>
    <w:rsid w:val="0BC35C62"/>
    <w:rsid w:val="0BD17B14"/>
    <w:rsid w:val="0BF027CF"/>
    <w:rsid w:val="0C291C49"/>
    <w:rsid w:val="0C6B4200"/>
    <w:rsid w:val="0C9E047D"/>
    <w:rsid w:val="0CBB4B8B"/>
    <w:rsid w:val="0CD43780"/>
    <w:rsid w:val="0CF6675F"/>
    <w:rsid w:val="0D066A0A"/>
    <w:rsid w:val="0D1F2ECA"/>
    <w:rsid w:val="0D933D59"/>
    <w:rsid w:val="0DA7345B"/>
    <w:rsid w:val="0E1C7049"/>
    <w:rsid w:val="0E2F5830"/>
    <w:rsid w:val="0E49238D"/>
    <w:rsid w:val="0E76345F"/>
    <w:rsid w:val="0EF00228"/>
    <w:rsid w:val="0F3B367A"/>
    <w:rsid w:val="0F4672D5"/>
    <w:rsid w:val="0F751B3E"/>
    <w:rsid w:val="0F7A6F7F"/>
    <w:rsid w:val="0FA076CA"/>
    <w:rsid w:val="0FE95EB3"/>
    <w:rsid w:val="0FF03009"/>
    <w:rsid w:val="10032E12"/>
    <w:rsid w:val="106225C7"/>
    <w:rsid w:val="10AB0728"/>
    <w:rsid w:val="10C2608D"/>
    <w:rsid w:val="10DB1C9F"/>
    <w:rsid w:val="10F644F5"/>
    <w:rsid w:val="112C42A9"/>
    <w:rsid w:val="11310251"/>
    <w:rsid w:val="114C73CD"/>
    <w:rsid w:val="115B0338"/>
    <w:rsid w:val="116255E1"/>
    <w:rsid w:val="1177000C"/>
    <w:rsid w:val="118440E5"/>
    <w:rsid w:val="11B13DB7"/>
    <w:rsid w:val="11CC3396"/>
    <w:rsid w:val="11EB6812"/>
    <w:rsid w:val="11F72B09"/>
    <w:rsid w:val="11FE3E97"/>
    <w:rsid w:val="1220326C"/>
    <w:rsid w:val="12290C30"/>
    <w:rsid w:val="1235036D"/>
    <w:rsid w:val="12906DAC"/>
    <w:rsid w:val="12A15686"/>
    <w:rsid w:val="12B12303"/>
    <w:rsid w:val="12D7043A"/>
    <w:rsid w:val="12DA1C81"/>
    <w:rsid w:val="12FD4AFC"/>
    <w:rsid w:val="132B1FFE"/>
    <w:rsid w:val="133E393F"/>
    <w:rsid w:val="13742E30"/>
    <w:rsid w:val="138459CD"/>
    <w:rsid w:val="13B660AC"/>
    <w:rsid w:val="13C221FD"/>
    <w:rsid w:val="13C476FA"/>
    <w:rsid w:val="13E23345"/>
    <w:rsid w:val="14076C52"/>
    <w:rsid w:val="1421732F"/>
    <w:rsid w:val="142932E7"/>
    <w:rsid w:val="14363B0B"/>
    <w:rsid w:val="14E1675A"/>
    <w:rsid w:val="15444818"/>
    <w:rsid w:val="156C4B8C"/>
    <w:rsid w:val="159C3325"/>
    <w:rsid w:val="15B270CC"/>
    <w:rsid w:val="15CC7C77"/>
    <w:rsid w:val="169A1A74"/>
    <w:rsid w:val="16A701A7"/>
    <w:rsid w:val="16BE49AE"/>
    <w:rsid w:val="16D55E4B"/>
    <w:rsid w:val="175E6B6A"/>
    <w:rsid w:val="17994C66"/>
    <w:rsid w:val="17FB79B3"/>
    <w:rsid w:val="18132A8E"/>
    <w:rsid w:val="182A082D"/>
    <w:rsid w:val="18352A53"/>
    <w:rsid w:val="18585984"/>
    <w:rsid w:val="18756522"/>
    <w:rsid w:val="18BA4890"/>
    <w:rsid w:val="18C77E61"/>
    <w:rsid w:val="190F1EC4"/>
    <w:rsid w:val="19340696"/>
    <w:rsid w:val="195E346D"/>
    <w:rsid w:val="19CC45DF"/>
    <w:rsid w:val="19F35DAC"/>
    <w:rsid w:val="1A6C1BBA"/>
    <w:rsid w:val="1A910AFC"/>
    <w:rsid w:val="1AA90718"/>
    <w:rsid w:val="1AAC0209"/>
    <w:rsid w:val="1AB43765"/>
    <w:rsid w:val="1AC8686E"/>
    <w:rsid w:val="1AC90DBB"/>
    <w:rsid w:val="1AD93BA5"/>
    <w:rsid w:val="1B370FEF"/>
    <w:rsid w:val="1B4037A2"/>
    <w:rsid w:val="1B4B797A"/>
    <w:rsid w:val="1B785BC3"/>
    <w:rsid w:val="1B7B6C8C"/>
    <w:rsid w:val="1B80591D"/>
    <w:rsid w:val="1BBC26CD"/>
    <w:rsid w:val="1BBE05CF"/>
    <w:rsid w:val="1BE0460E"/>
    <w:rsid w:val="1BF81957"/>
    <w:rsid w:val="1C7B531C"/>
    <w:rsid w:val="1C8256C5"/>
    <w:rsid w:val="1C856F63"/>
    <w:rsid w:val="1D353305"/>
    <w:rsid w:val="1D39260F"/>
    <w:rsid w:val="1D7414B2"/>
    <w:rsid w:val="1DC67833"/>
    <w:rsid w:val="1E344198"/>
    <w:rsid w:val="1ED81A83"/>
    <w:rsid w:val="1EDA01AA"/>
    <w:rsid w:val="1EE211AB"/>
    <w:rsid w:val="1F785666"/>
    <w:rsid w:val="1F811C64"/>
    <w:rsid w:val="204A474C"/>
    <w:rsid w:val="205B2B26"/>
    <w:rsid w:val="206C1BBA"/>
    <w:rsid w:val="20823833"/>
    <w:rsid w:val="20965D79"/>
    <w:rsid w:val="20AF1471"/>
    <w:rsid w:val="20CC59EA"/>
    <w:rsid w:val="211A411E"/>
    <w:rsid w:val="214A6745"/>
    <w:rsid w:val="214B7F29"/>
    <w:rsid w:val="216D6944"/>
    <w:rsid w:val="2183795B"/>
    <w:rsid w:val="21AB746C"/>
    <w:rsid w:val="21DC13D3"/>
    <w:rsid w:val="22352620"/>
    <w:rsid w:val="223C4F78"/>
    <w:rsid w:val="22444DDE"/>
    <w:rsid w:val="226465C1"/>
    <w:rsid w:val="2267683B"/>
    <w:rsid w:val="2268710B"/>
    <w:rsid w:val="22D05153"/>
    <w:rsid w:val="22D8776F"/>
    <w:rsid w:val="22D90C3E"/>
    <w:rsid w:val="22EA5D72"/>
    <w:rsid w:val="230B6675"/>
    <w:rsid w:val="231A7392"/>
    <w:rsid w:val="23C22131"/>
    <w:rsid w:val="23CB7061"/>
    <w:rsid w:val="23F61F57"/>
    <w:rsid w:val="240C4FB7"/>
    <w:rsid w:val="245B452F"/>
    <w:rsid w:val="246F3E35"/>
    <w:rsid w:val="24832F32"/>
    <w:rsid w:val="24A3442A"/>
    <w:rsid w:val="24A7216D"/>
    <w:rsid w:val="24AC11CC"/>
    <w:rsid w:val="24BC729A"/>
    <w:rsid w:val="24C13E2E"/>
    <w:rsid w:val="251610A0"/>
    <w:rsid w:val="25203CCD"/>
    <w:rsid w:val="252C2672"/>
    <w:rsid w:val="254554E2"/>
    <w:rsid w:val="254F79C2"/>
    <w:rsid w:val="25610A1B"/>
    <w:rsid w:val="258C77E3"/>
    <w:rsid w:val="25961814"/>
    <w:rsid w:val="25A55F80"/>
    <w:rsid w:val="25EA1A1A"/>
    <w:rsid w:val="25F63DD5"/>
    <w:rsid w:val="26544490"/>
    <w:rsid w:val="26705CF5"/>
    <w:rsid w:val="26855A4F"/>
    <w:rsid w:val="26892274"/>
    <w:rsid w:val="26EF1BA9"/>
    <w:rsid w:val="26F251F5"/>
    <w:rsid w:val="274A3283"/>
    <w:rsid w:val="27AC60F5"/>
    <w:rsid w:val="27C70430"/>
    <w:rsid w:val="27EC034B"/>
    <w:rsid w:val="284E2107"/>
    <w:rsid w:val="288F4EE5"/>
    <w:rsid w:val="28932204"/>
    <w:rsid w:val="28A544B3"/>
    <w:rsid w:val="28B11632"/>
    <w:rsid w:val="28B733D1"/>
    <w:rsid w:val="28D65B20"/>
    <w:rsid w:val="29022D86"/>
    <w:rsid w:val="29254783"/>
    <w:rsid w:val="295D729E"/>
    <w:rsid w:val="29811395"/>
    <w:rsid w:val="298458C7"/>
    <w:rsid w:val="29AA5526"/>
    <w:rsid w:val="2A0128A2"/>
    <w:rsid w:val="2A823751"/>
    <w:rsid w:val="2AEF3F25"/>
    <w:rsid w:val="2B2A5CCA"/>
    <w:rsid w:val="2B4F5D53"/>
    <w:rsid w:val="2B595843"/>
    <w:rsid w:val="2B6A21DD"/>
    <w:rsid w:val="2B6F17A5"/>
    <w:rsid w:val="2B7168E7"/>
    <w:rsid w:val="2B9370DF"/>
    <w:rsid w:val="2B9B5E5B"/>
    <w:rsid w:val="2BC058C2"/>
    <w:rsid w:val="2BC06A39"/>
    <w:rsid w:val="2C2E23D6"/>
    <w:rsid w:val="2C75313C"/>
    <w:rsid w:val="2C7A5585"/>
    <w:rsid w:val="2CEC14F9"/>
    <w:rsid w:val="2CED1EDC"/>
    <w:rsid w:val="2D106F0D"/>
    <w:rsid w:val="2D2379F1"/>
    <w:rsid w:val="2D2D366D"/>
    <w:rsid w:val="2D5A742A"/>
    <w:rsid w:val="2D80355B"/>
    <w:rsid w:val="2DC77C2F"/>
    <w:rsid w:val="2DCA353E"/>
    <w:rsid w:val="2DCE076A"/>
    <w:rsid w:val="2DD60F9C"/>
    <w:rsid w:val="2DE55AB4"/>
    <w:rsid w:val="2E0C7AA4"/>
    <w:rsid w:val="2E3E6096"/>
    <w:rsid w:val="2E687E06"/>
    <w:rsid w:val="2E704953"/>
    <w:rsid w:val="2EBA3D28"/>
    <w:rsid w:val="2EBF3AB7"/>
    <w:rsid w:val="2EC1207D"/>
    <w:rsid w:val="2F3A3488"/>
    <w:rsid w:val="2F3F02D5"/>
    <w:rsid w:val="2F401C3D"/>
    <w:rsid w:val="2F5001B1"/>
    <w:rsid w:val="2F645F44"/>
    <w:rsid w:val="2F652D29"/>
    <w:rsid w:val="2F774F8A"/>
    <w:rsid w:val="2FCA7487"/>
    <w:rsid w:val="2FD23E16"/>
    <w:rsid w:val="2FE95D01"/>
    <w:rsid w:val="2FFD0E93"/>
    <w:rsid w:val="300A1C54"/>
    <w:rsid w:val="303C512C"/>
    <w:rsid w:val="306C3C30"/>
    <w:rsid w:val="30874489"/>
    <w:rsid w:val="309B6DED"/>
    <w:rsid w:val="30F333AB"/>
    <w:rsid w:val="310B12FF"/>
    <w:rsid w:val="31772CB5"/>
    <w:rsid w:val="31794E91"/>
    <w:rsid w:val="31853836"/>
    <w:rsid w:val="31B00187"/>
    <w:rsid w:val="31B71515"/>
    <w:rsid w:val="31B93CBE"/>
    <w:rsid w:val="320954FC"/>
    <w:rsid w:val="320E78AB"/>
    <w:rsid w:val="3296737C"/>
    <w:rsid w:val="32BA2618"/>
    <w:rsid w:val="32BB1B6A"/>
    <w:rsid w:val="32CB34CA"/>
    <w:rsid w:val="32CE4D68"/>
    <w:rsid w:val="32ED5C55"/>
    <w:rsid w:val="32F10113"/>
    <w:rsid w:val="3300311F"/>
    <w:rsid w:val="337E053C"/>
    <w:rsid w:val="33A61841"/>
    <w:rsid w:val="33F6267C"/>
    <w:rsid w:val="33FC5905"/>
    <w:rsid w:val="33FD2358"/>
    <w:rsid w:val="3414689E"/>
    <w:rsid w:val="34322E37"/>
    <w:rsid w:val="34A662CE"/>
    <w:rsid w:val="34AD7EA2"/>
    <w:rsid w:val="34E73B18"/>
    <w:rsid w:val="34F72A96"/>
    <w:rsid w:val="3508042C"/>
    <w:rsid w:val="351331F9"/>
    <w:rsid w:val="3518007B"/>
    <w:rsid w:val="353D6E5E"/>
    <w:rsid w:val="35563115"/>
    <w:rsid w:val="3583630F"/>
    <w:rsid w:val="35B957D6"/>
    <w:rsid w:val="35E93C67"/>
    <w:rsid w:val="36193272"/>
    <w:rsid w:val="36B10C29"/>
    <w:rsid w:val="36B424C7"/>
    <w:rsid w:val="36B615F4"/>
    <w:rsid w:val="36C276EE"/>
    <w:rsid w:val="37D94EA1"/>
    <w:rsid w:val="38340F5D"/>
    <w:rsid w:val="384F740A"/>
    <w:rsid w:val="38545D10"/>
    <w:rsid w:val="38685317"/>
    <w:rsid w:val="38AA1DD4"/>
    <w:rsid w:val="38D429AD"/>
    <w:rsid w:val="38DD3F57"/>
    <w:rsid w:val="392B7CD7"/>
    <w:rsid w:val="3952604D"/>
    <w:rsid w:val="39812B34"/>
    <w:rsid w:val="39842F41"/>
    <w:rsid w:val="39C52895"/>
    <w:rsid w:val="3A056252"/>
    <w:rsid w:val="3A1E0383"/>
    <w:rsid w:val="3A217E73"/>
    <w:rsid w:val="3A2636DC"/>
    <w:rsid w:val="3A2B0CF2"/>
    <w:rsid w:val="3A4A65E6"/>
    <w:rsid w:val="3A6A742C"/>
    <w:rsid w:val="3A7E7084"/>
    <w:rsid w:val="3AF45588"/>
    <w:rsid w:val="3B06689D"/>
    <w:rsid w:val="3B0E3A41"/>
    <w:rsid w:val="3B671461"/>
    <w:rsid w:val="3B735533"/>
    <w:rsid w:val="3B8B1C35"/>
    <w:rsid w:val="3BD86C58"/>
    <w:rsid w:val="3C075616"/>
    <w:rsid w:val="3C216BB8"/>
    <w:rsid w:val="3C2B6D87"/>
    <w:rsid w:val="3C613FC7"/>
    <w:rsid w:val="3C672BC1"/>
    <w:rsid w:val="3C787D9B"/>
    <w:rsid w:val="3CA202DF"/>
    <w:rsid w:val="3CB054DF"/>
    <w:rsid w:val="3CB1207B"/>
    <w:rsid w:val="3CBF47BE"/>
    <w:rsid w:val="3D2853B3"/>
    <w:rsid w:val="3D2E44BC"/>
    <w:rsid w:val="3D4E2219"/>
    <w:rsid w:val="3D927240"/>
    <w:rsid w:val="3DA05553"/>
    <w:rsid w:val="3DA9265A"/>
    <w:rsid w:val="3DB64D77"/>
    <w:rsid w:val="3DC41242"/>
    <w:rsid w:val="3DC959B5"/>
    <w:rsid w:val="3DCB07FF"/>
    <w:rsid w:val="3DE8703F"/>
    <w:rsid w:val="3E004C1A"/>
    <w:rsid w:val="3E090327"/>
    <w:rsid w:val="3E4B1963"/>
    <w:rsid w:val="3E7460EA"/>
    <w:rsid w:val="3E950E30"/>
    <w:rsid w:val="3E9615AA"/>
    <w:rsid w:val="3E9900C6"/>
    <w:rsid w:val="3ECB36C7"/>
    <w:rsid w:val="3ED522EE"/>
    <w:rsid w:val="3ED71F02"/>
    <w:rsid w:val="3EDF7ACB"/>
    <w:rsid w:val="3F1C6E5B"/>
    <w:rsid w:val="3F386947"/>
    <w:rsid w:val="3F4C463C"/>
    <w:rsid w:val="3F52287D"/>
    <w:rsid w:val="3F525B3D"/>
    <w:rsid w:val="3F971A07"/>
    <w:rsid w:val="3FC90B32"/>
    <w:rsid w:val="3FE07E89"/>
    <w:rsid w:val="3FE77469"/>
    <w:rsid w:val="401F27C2"/>
    <w:rsid w:val="403F39C6"/>
    <w:rsid w:val="40621142"/>
    <w:rsid w:val="40A54C99"/>
    <w:rsid w:val="40D33C68"/>
    <w:rsid w:val="40E863B2"/>
    <w:rsid w:val="4106605F"/>
    <w:rsid w:val="41135982"/>
    <w:rsid w:val="412C6529"/>
    <w:rsid w:val="41874A60"/>
    <w:rsid w:val="41A74F39"/>
    <w:rsid w:val="41B93E76"/>
    <w:rsid w:val="421A43A7"/>
    <w:rsid w:val="42365AD7"/>
    <w:rsid w:val="42376E55"/>
    <w:rsid w:val="425C413F"/>
    <w:rsid w:val="42601373"/>
    <w:rsid w:val="42701998"/>
    <w:rsid w:val="4345608A"/>
    <w:rsid w:val="435F0286"/>
    <w:rsid w:val="43827BB1"/>
    <w:rsid w:val="439D640C"/>
    <w:rsid w:val="43B56534"/>
    <w:rsid w:val="43D30430"/>
    <w:rsid w:val="43F700E9"/>
    <w:rsid w:val="43FC45EC"/>
    <w:rsid w:val="440E3217"/>
    <w:rsid w:val="444C1F91"/>
    <w:rsid w:val="44683D94"/>
    <w:rsid w:val="44756296"/>
    <w:rsid w:val="44782D86"/>
    <w:rsid w:val="447B4624"/>
    <w:rsid w:val="448636F5"/>
    <w:rsid w:val="449657D9"/>
    <w:rsid w:val="44C81D5F"/>
    <w:rsid w:val="4503095E"/>
    <w:rsid w:val="451F3201"/>
    <w:rsid w:val="452D47A4"/>
    <w:rsid w:val="452E333E"/>
    <w:rsid w:val="453003E3"/>
    <w:rsid w:val="453D1A24"/>
    <w:rsid w:val="45400AFB"/>
    <w:rsid w:val="45717DCF"/>
    <w:rsid w:val="458F482B"/>
    <w:rsid w:val="45A81987"/>
    <w:rsid w:val="45CE13C5"/>
    <w:rsid w:val="45D70985"/>
    <w:rsid w:val="45DB6C60"/>
    <w:rsid w:val="46031A47"/>
    <w:rsid w:val="46304FD3"/>
    <w:rsid w:val="464819FF"/>
    <w:rsid w:val="46762642"/>
    <w:rsid w:val="468A2C2B"/>
    <w:rsid w:val="46CC40DC"/>
    <w:rsid w:val="46D8413D"/>
    <w:rsid w:val="46DA1151"/>
    <w:rsid w:val="4703102D"/>
    <w:rsid w:val="470C33D7"/>
    <w:rsid w:val="47617B01"/>
    <w:rsid w:val="478968AF"/>
    <w:rsid w:val="47AA79C5"/>
    <w:rsid w:val="47AC3472"/>
    <w:rsid w:val="47F0782F"/>
    <w:rsid w:val="48343468"/>
    <w:rsid w:val="48384D06"/>
    <w:rsid w:val="48537D92"/>
    <w:rsid w:val="485625B0"/>
    <w:rsid w:val="487F54BA"/>
    <w:rsid w:val="489B69E5"/>
    <w:rsid w:val="48AA482F"/>
    <w:rsid w:val="48C20A74"/>
    <w:rsid w:val="48EC2900"/>
    <w:rsid w:val="48F26A74"/>
    <w:rsid w:val="48FD10B0"/>
    <w:rsid w:val="490B5F77"/>
    <w:rsid w:val="499C56E1"/>
    <w:rsid w:val="4A393D33"/>
    <w:rsid w:val="4A505282"/>
    <w:rsid w:val="4A574735"/>
    <w:rsid w:val="4A7B2764"/>
    <w:rsid w:val="4A7D10F6"/>
    <w:rsid w:val="4AA91EEB"/>
    <w:rsid w:val="4AAE5753"/>
    <w:rsid w:val="4ABA7398"/>
    <w:rsid w:val="4AC908F7"/>
    <w:rsid w:val="4B346C56"/>
    <w:rsid w:val="4B477FB8"/>
    <w:rsid w:val="4B647BC0"/>
    <w:rsid w:val="4B8248DE"/>
    <w:rsid w:val="4BC824AA"/>
    <w:rsid w:val="4C0A4C0B"/>
    <w:rsid w:val="4C112C1C"/>
    <w:rsid w:val="4C2F41A4"/>
    <w:rsid w:val="4C366437"/>
    <w:rsid w:val="4C98546D"/>
    <w:rsid w:val="4CB855CF"/>
    <w:rsid w:val="4CBF0399"/>
    <w:rsid w:val="4CEB1890"/>
    <w:rsid w:val="4CF83134"/>
    <w:rsid w:val="4D666E75"/>
    <w:rsid w:val="4D723D25"/>
    <w:rsid w:val="4DC95688"/>
    <w:rsid w:val="4DED0341"/>
    <w:rsid w:val="4E6A6837"/>
    <w:rsid w:val="4E7150E0"/>
    <w:rsid w:val="4E75004D"/>
    <w:rsid w:val="4E86096A"/>
    <w:rsid w:val="4E8D38D2"/>
    <w:rsid w:val="4EAC682B"/>
    <w:rsid w:val="4EEA263D"/>
    <w:rsid w:val="4F0C0C9A"/>
    <w:rsid w:val="4F1258DA"/>
    <w:rsid w:val="4F2E0C11"/>
    <w:rsid w:val="4F426F2B"/>
    <w:rsid w:val="4F7936D8"/>
    <w:rsid w:val="4F7F146C"/>
    <w:rsid w:val="4FC47283"/>
    <w:rsid w:val="4FD55530"/>
    <w:rsid w:val="5009086F"/>
    <w:rsid w:val="50385BFB"/>
    <w:rsid w:val="50497E36"/>
    <w:rsid w:val="5055285D"/>
    <w:rsid w:val="5062520D"/>
    <w:rsid w:val="506F1348"/>
    <w:rsid w:val="50CF01D2"/>
    <w:rsid w:val="50D2027D"/>
    <w:rsid w:val="511703CE"/>
    <w:rsid w:val="51422749"/>
    <w:rsid w:val="515C792F"/>
    <w:rsid w:val="5187799A"/>
    <w:rsid w:val="51AA471F"/>
    <w:rsid w:val="51C36F2F"/>
    <w:rsid w:val="51D20F5B"/>
    <w:rsid w:val="51FA16BE"/>
    <w:rsid w:val="523C39AD"/>
    <w:rsid w:val="524A3FB4"/>
    <w:rsid w:val="52505342"/>
    <w:rsid w:val="52642B9B"/>
    <w:rsid w:val="52650BCA"/>
    <w:rsid w:val="52952A4E"/>
    <w:rsid w:val="52B179BB"/>
    <w:rsid w:val="52D4216F"/>
    <w:rsid w:val="533529CC"/>
    <w:rsid w:val="53580C7B"/>
    <w:rsid w:val="536947D4"/>
    <w:rsid w:val="53856E1C"/>
    <w:rsid w:val="53B53664"/>
    <w:rsid w:val="53E20095"/>
    <w:rsid w:val="53E67D0C"/>
    <w:rsid w:val="545F7D39"/>
    <w:rsid w:val="547F7A92"/>
    <w:rsid w:val="54BE5EA3"/>
    <w:rsid w:val="54EE5321"/>
    <w:rsid w:val="5529727A"/>
    <w:rsid w:val="55603A29"/>
    <w:rsid w:val="557E0DDE"/>
    <w:rsid w:val="559B2D78"/>
    <w:rsid w:val="55B27A59"/>
    <w:rsid w:val="55C67DF5"/>
    <w:rsid w:val="55CC4575"/>
    <w:rsid w:val="55F33D67"/>
    <w:rsid w:val="55F41F3F"/>
    <w:rsid w:val="55FC1D01"/>
    <w:rsid w:val="566435D6"/>
    <w:rsid w:val="56686137"/>
    <w:rsid w:val="5683561C"/>
    <w:rsid w:val="56DF73A4"/>
    <w:rsid w:val="572A7F10"/>
    <w:rsid w:val="57392AF4"/>
    <w:rsid w:val="574F507B"/>
    <w:rsid w:val="577C637B"/>
    <w:rsid w:val="57996E43"/>
    <w:rsid w:val="57AD21A3"/>
    <w:rsid w:val="57B343A9"/>
    <w:rsid w:val="57CA61FB"/>
    <w:rsid w:val="580764A3"/>
    <w:rsid w:val="580B0BF5"/>
    <w:rsid w:val="583E3F5E"/>
    <w:rsid w:val="5846521D"/>
    <w:rsid w:val="584B1819"/>
    <w:rsid w:val="585B1260"/>
    <w:rsid w:val="58613E05"/>
    <w:rsid w:val="58883679"/>
    <w:rsid w:val="589B3CED"/>
    <w:rsid w:val="58E30CBE"/>
    <w:rsid w:val="59085C53"/>
    <w:rsid w:val="591255CE"/>
    <w:rsid w:val="591F0ED8"/>
    <w:rsid w:val="59202368"/>
    <w:rsid w:val="592B3A21"/>
    <w:rsid w:val="59482AB2"/>
    <w:rsid w:val="59920FB2"/>
    <w:rsid w:val="59926042"/>
    <w:rsid w:val="59A55F73"/>
    <w:rsid w:val="59E21F44"/>
    <w:rsid w:val="59E4790A"/>
    <w:rsid w:val="59EF6686"/>
    <w:rsid w:val="59F841F9"/>
    <w:rsid w:val="59FB0761"/>
    <w:rsid w:val="5A205199"/>
    <w:rsid w:val="5A487605"/>
    <w:rsid w:val="5A8913F1"/>
    <w:rsid w:val="5A932714"/>
    <w:rsid w:val="5ACE2894"/>
    <w:rsid w:val="5AD60D2E"/>
    <w:rsid w:val="5AE149E6"/>
    <w:rsid w:val="5B23099F"/>
    <w:rsid w:val="5B3E3A75"/>
    <w:rsid w:val="5B801D1B"/>
    <w:rsid w:val="5BE24954"/>
    <w:rsid w:val="5C0F34A1"/>
    <w:rsid w:val="5C133811"/>
    <w:rsid w:val="5C1D44E7"/>
    <w:rsid w:val="5C44135B"/>
    <w:rsid w:val="5CCA2F37"/>
    <w:rsid w:val="5CD34BA6"/>
    <w:rsid w:val="5CF27722"/>
    <w:rsid w:val="5D146583"/>
    <w:rsid w:val="5D600856"/>
    <w:rsid w:val="5DB84178"/>
    <w:rsid w:val="5DFD2414"/>
    <w:rsid w:val="5E1B32E6"/>
    <w:rsid w:val="5E452D61"/>
    <w:rsid w:val="5E7E44DA"/>
    <w:rsid w:val="5EBB1299"/>
    <w:rsid w:val="5EC3645E"/>
    <w:rsid w:val="5EE2770D"/>
    <w:rsid w:val="5EEA26B7"/>
    <w:rsid w:val="5EF656A8"/>
    <w:rsid w:val="5F1F61E7"/>
    <w:rsid w:val="5F475440"/>
    <w:rsid w:val="5F4B3DBC"/>
    <w:rsid w:val="5F7450CE"/>
    <w:rsid w:val="5FDE37CE"/>
    <w:rsid w:val="5FE87052"/>
    <w:rsid w:val="5FFE7AC8"/>
    <w:rsid w:val="60087A57"/>
    <w:rsid w:val="600C0E38"/>
    <w:rsid w:val="60487659"/>
    <w:rsid w:val="6082700E"/>
    <w:rsid w:val="60C93D3C"/>
    <w:rsid w:val="60CA4511"/>
    <w:rsid w:val="61B6665A"/>
    <w:rsid w:val="61DF3F99"/>
    <w:rsid w:val="61E33ADD"/>
    <w:rsid w:val="61E57DEE"/>
    <w:rsid w:val="622A5268"/>
    <w:rsid w:val="62315E8A"/>
    <w:rsid w:val="62375590"/>
    <w:rsid w:val="623959C6"/>
    <w:rsid w:val="62441316"/>
    <w:rsid w:val="625B00C9"/>
    <w:rsid w:val="62DD4049"/>
    <w:rsid w:val="62ED3797"/>
    <w:rsid w:val="63233654"/>
    <w:rsid w:val="632C3261"/>
    <w:rsid w:val="634275C3"/>
    <w:rsid w:val="63493E13"/>
    <w:rsid w:val="634C078E"/>
    <w:rsid w:val="63697B69"/>
    <w:rsid w:val="637C24D9"/>
    <w:rsid w:val="639F57E1"/>
    <w:rsid w:val="63AE75D9"/>
    <w:rsid w:val="63B441ED"/>
    <w:rsid w:val="63C62EBC"/>
    <w:rsid w:val="63C96D75"/>
    <w:rsid w:val="63D17EA6"/>
    <w:rsid w:val="63DC15E9"/>
    <w:rsid w:val="640E176B"/>
    <w:rsid w:val="64810282"/>
    <w:rsid w:val="64917820"/>
    <w:rsid w:val="64F1581B"/>
    <w:rsid w:val="65053D6A"/>
    <w:rsid w:val="65206C98"/>
    <w:rsid w:val="65672FDC"/>
    <w:rsid w:val="657333CA"/>
    <w:rsid w:val="65CD59F4"/>
    <w:rsid w:val="65D86017"/>
    <w:rsid w:val="65DD06BA"/>
    <w:rsid w:val="65E16A4F"/>
    <w:rsid w:val="65EC7951"/>
    <w:rsid w:val="66AA2BD8"/>
    <w:rsid w:val="6703414D"/>
    <w:rsid w:val="679F1938"/>
    <w:rsid w:val="67AD4BD7"/>
    <w:rsid w:val="67B6134C"/>
    <w:rsid w:val="67D16174"/>
    <w:rsid w:val="67DE621C"/>
    <w:rsid w:val="67E20281"/>
    <w:rsid w:val="67E35E6B"/>
    <w:rsid w:val="67E64044"/>
    <w:rsid w:val="67F76522"/>
    <w:rsid w:val="68093A3C"/>
    <w:rsid w:val="68142322"/>
    <w:rsid w:val="68170903"/>
    <w:rsid w:val="682761C0"/>
    <w:rsid w:val="688F4D81"/>
    <w:rsid w:val="68F52C21"/>
    <w:rsid w:val="690A5040"/>
    <w:rsid w:val="69195501"/>
    <w:rsid w:val="691D346F"/>
    <w:rsid w:val="694A46F2"/>
    <w:rsid w:val="6981105B"/>
    <w:rsid w:val="69A51603"/>
    <w:rsid w:val="69E03901"/>
    <w:rsid w:val="6A0C16F7"/>
    <w:rsid w:val="6A1422F2"/>
    <w:rsid w:val="6A263D35"/>
    <w:rsid w:val="6A2E3D63"/>
    <w:rsid w:val="6A643049"/>
    <w:rsid w:val="6AAB3712"/>
    <w:rsid w:val="6AEB6CBD"/>
    <w:rsid w:val="6B2B3508"/>
    <w:rsid w:val="6B915391"/>
    <w:rsid w:val="6BBD4728"/>
    <w:rsid w:val="6BCE4FB4"/>
    <w:rsid w:val="6BD36970"/>
    <w:rsid w:val="6BEE5558"/>
    <w:rsid w:val="6BF3343F"/>
    <w:rsid w:val="6C315445"/>
    <w:rsid w:val="6C3A5777"/>
    <w:rsid w:val="6C6B4D58"/>
    <w:rsid w:val="6C8B05FF"/>
    <w:rsid w:val="6C9C1587"/>
    <w:rsid w:val="6CA35F05"/>
    <w:rsid w:val="6CE84E21"/>
    <w:rsid w:val="6D1919FD"/>
    <w:rsid w:val="6D2728C0"/>
    <w:rsid w:val="6D53652D"/>
    <w:rsid w:val="6D616AB2"/>
    <w:rsid w:val="6D6C7D3E"/>
    <w:rsid w:val="6D7620F9"/>
    <w:rsid w:val="6D991EC2"/>
    <w:rsid w:val="6DC10FE6"/>
    <w:rsid w:val="6DD54C21"/>
    <w:rsid w:val="6DDD5884"/>
    <w:rsid w:val="6DE83948"/>
    <w:rsid w:val="6E1A05E1"/>
    <w:rsid w:val="6E1B74E9"/>
    <w:rsid w:val="6E283B6C"/>
    <w:rsid w:val="6E496675"/>
    <w:rsid w:val="6E5B45BD"/>
    <w:rsid w:val="6E7A104F"/>
    <w:rsid w:val="6EA65DA1"/>
    <w:rsid w:val="6EBC36EB"/>
    <w:rsid w:val="6ECB3DD8"/>
    <w:rsid w:val="6EEE3C9F"/>
    <w:rsid w:val="6F03131A"/>
    <w:rsid w:val="6F3859F4"/>
    <w:rsid w:val="6F3B4000"/>
    <w:rsid w:val="6F767451"/>
    <w:rsid w:val="6FB62831"/>
    <w:rsid w:val="6FC30AAA"/>
    <w:rsid w:val="70083E48"/>
    <w:rsid w:val="700F1F41"/>
    <w:rsid w:val="701B0E2E"/>
    <w:rsid w:val="70533D2C"/>
    <w:rsid w:val="707B75D6"/>
    <w:rsid w:val="70932B72"/>
    <w:rsid w:val="710807E5"/>
    <w:rsid w:val="7113780F"/>
    <w:rsid w:val="71761355"/>
    <w:rsid w:val="718B3849"/>
    <w:rsid w:val="719A3A8C"/>
    <w:rsid w:val="71A9196E"/>
    <w:rsid w:val="71CD751C"/>
    <w:rsid w:val="71E65CF2"/>
    <w:rsid w:val="7205184D"/>
    <w:rsid w:val="720B539A"/>
    <w:rsid w:val="722D2FB0"/>
    <w:rsid w:val="72484608"/>
    <w:rsid w:val="72DA3743"/>
    <w:rsid w:val="73267CCD"/>
    <w:rsid w:val="732C3A42"/>
    <w:rsid w:val="736E51D0"/>
    <w:rsid w:val="73866EC6"/>
    <w:rsid w:val="739F6603"/>
    <w:rsid w:val="73A82490"/>
    <w:rsid w:val="73AF1A4A"/>
    <w:rsid w:val="73C51431"/>
    <w:rsid w:val="73CB4C98"/>
    <w:rsid w:val="73DE310D"/>
    <w:rsid w:val="73E07E7C"/>
    <w:rsid w:val="742A559B"/>
    <w:rsid w:val="74586390"/>
    <w:rsid w:val="746C7962"/>
    <w:rsid w:val="74830CC4"/>
    <w:rsid w:val="74DA48CB"/>
    <w:rsid w:val="74DE38F7"/>
    <w:rsid w:val="74E06353"/>
    <w:rsid w:val="74E1294F"/>
    <w:rsid w:val="750652F4"/>
    <w:rsid w:val="75102F17"/>
    <w:rsid w:val="751D3782"/>
    <w:rsid w:val="755254CF"/>
    <w:rsid w:val="759F39F8"/>
    <w:rsid w:val="75BD2CCC"/>
    <w:rsid w:val="75C20DC5"/>
    <w:rsid w:val="75EE69C6"/>
    <w:rsid w:val="762B127E"/>
    <w:rsid w:val="76351817"/>
    <w:rsid w:val="7643455A"/>
    <w:rsid w:val="76793371"/>
    <w:rsid w:val="76C26D16"/>
    <w:rsid w:val="76FB7E83"/>
    <w:rsid w:val="77323A86"/>
    <w:rsid w:val="773A4B2C"/>
    <w:rsid w:val="77560455"/>
    <w:rsid w:val="775C1348"/>
    <w:rsid w:val="776C358D"/>
    <w:rsid w:val="77C86EBE"/>
    <w:rsid w:val="77D818F2"/>
    <w:rsid w:val="78373F6E"/>
    <w:rsid w:val="78461BA8"/>
    <w:rsid w:val="78B74F24"/>
    <w:rsid w:val="78B813C8"/>
    <w:rsid w:val="78CC09CF"/>
    <w:rsid w:val="78E91661"/>
    <w:rsid w:val="792147F7"/>
    <w:rsid w:val="79273628"/>
    <w:rsid w:val="794E44C7"/>
    <w:rsid w:val="79537342"/>
    <w:rsid w:val="795D3561"/>
    <w:rsid w:val="79610C9C"/>
    <w:rsid w:val="79746D0A"/>
    <w:rsid w:val="7A792DD8"/>
    <w:rsid w:val="7A914F19"/>
    <w:rsid w:val="7A9A6254"/>
    <w:rsid w:val="7AA14D03"/>
    <w:rsid w:val="7AA85F11"/>
    <w:rsid w:val="7AB20098"/>
    <w:rsid w:val="7AB826F4"/>
    <w:rsid w:val="7ACE6297"/>
    <w:rsid w:val="7AF366E7"/>
    <w:rsid w:val="7B385373"/>
    <w:rsid w:val="7BCF1D1F"/>
    <w:rsid w:val="7BE14791"/>
    <w:rsid w:val="7C372603"/>
    <w:rsid w:val="7C3B5ED9"/>
    <w:rsid w:val="7C436D19"/>
    <w:rsid w:val="7C6469AF"/>
    <w:rsid w:val="7CCD2F68"/>
    <w:rsid w:val="7CF35926"/>
    <w:rsid w:val="7D0C1B37"/>
    <w:rsid w:val="7D122540"/>
    <w:rsid w:val="7D126BCC"/>
    <w:rsid w:val="7D1579D6"/>
    <w:rsid w:val="7D20578D"/>
    <w:rsid w:val="7D4551F4"/>
    <w:rsid w:val="7D85337F"/>
    <w:rsid w:val="7D9D6867"/>
    <w:rsid w:val="7DB61C4E"/>
    <w:rsid w:val="7DD47510"/>
    <w:rsid w:val="7E364B5D"/>
    <w:rsid w:val="7E527DC1"/>
    <w:rsid w:val="7E6478FC"/>
    <w:rsid w:val="7E967AAD"/>
    <w:rsid w:val="7EB87952"/>
    <w:rsid w:val="7EDA4FB6"/>
    <w:rsid w:val="7F1D49D5"/>
    <w:rsid w:val="7F2579D2"/>
    <w:rsid w:val="7F987958"/>
    <w:rsid w:val="7FA37053"/>
    <w:rsid w:val="7FAC155A"/>
    <w:rsid w:val="7FAD44F4"/>
    <w:rsid w:val="7FB55BCC"/>
    <w:rsid w:val="7FC443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ind w:left="100"/>
      <w:outlineLvl w:val="2"/>
    </w:pPr>
    <w:rPr>
      <w:rFonts w:ascii="Times New Roman" w:hAnsi="Times New Roman"/>
      <w:b/>
      <w:bCs/>
      <w:sz w:val="32"/>
      <w:szCs w:val="32"/>
    </w:rPr>
  </w:style>
  <w:style w:type="paragraph" w:styleId="5">
    <w:name w:val="heading 4"/>
    <w:basedOn w:val="1"/>
    <w:next w:val="1"/>
    <w:autoRedefine/>
    <w:qFormat/>
    <w:uiPriority w:val="0"/>
    <w:pPr>
      <w:ind w:left="237"/>
      <w:outlineLvl w:val="3"/>
    </w:pPr>
    <w:rPr>
      <w:rFonts w:ascii="Cambria" w:hAnsi="Cambria"/>
      <w:b/>
      <w:bCs/>
      <w:sz w:val="28"/>
      <w:szCs w:val="28"/>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6">
    <w:name w:val="table of authorities"/>
    <w:basedOn w:val="1"/>
    <w:next w:val="1"/>
    <w:autoRedefine/>
    <w:unhideWhenUsed/>
    <w:qFormat/>
    <w:uiPriority w:val="99"/>
    <w:pPr>
      <w:ind w:left="420" w:leftChars="200" w:firstLine="0"/>
    </w:pPr>
  </w:style>
  <w:style w:type="paragraph" w:styleId="7">
    <w:name w:val="Normal Indent"/>
    <w:basedOn w:val="1"/>
    <w:next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8">
    <w:name w:val="annotation text"/>
    <w:basedOn w:val="1"/>
    <w:autoRedefine/>
    <w:qFormat/>
    <w:uiPriority w:val="0"/>
    <w:pPr>
      <w:jc w:val="left"/>
    </w:pPr>
  </w:style>
  <w:style w:type="paragraph" w:styleId="9">
    <w:name w:val="Body Text"/>
    <w:basedOn w:val="1"/>
    <w:autoRedefine/>
    <w:qFormat/>
    <w:uiPriority w:val="0"/>
    <w:pPr>
      <w:autoSpaceDE w:val="0"/>
      <w:autoSpaceDN w:val="0"/>
      <w:spacing w:line="360" w:lineRule="auto"/>
    </w:pPr>
    <w:rPr>
      <w:rFonts w:ascii="宋体" w:hAnsi="Arial" w:cs="Arial"/>
      <w:snapToGrid w:val="0"/>
      <w:sz w:val="24"/>
      <w:szCs w:val="21"/>
      <w:lang w:val="zh-CN"/>
    </w:rPr>
  </w:style>
  <w:style w:type="paragraph" w:styleId="10">
    <w:name w:val="Body Text Indent"/>
    <w:basedOn w:val="1"/>
    <w:next w:val="1"/>
    <w:autoRedefine/>
    <w:qFormat/>
    <w:uiPriority w:val="0"/>
    <w:pPr>
      <w:spacing w:line="480" w:lineRule="exact"/>
      <w:ind w:firstLine="480" w:firstLineChars="200"/>
    </w:pPr>
    <w:rPr>
      <w:rFonts w:ascii="宋体" w:hAnsi="宋体"/>
      <w:sz w:val="24"/>
    </w:rPr>
  </w:style>
  <w:style w:type="paragraph" w:styleId="11">
    <w:name w:val="Block Text"/>
    <w:basedOn w:val="1"/>
    <w:autoRedefine/>
    <w:unhideWhenUsed/>
    <w:qFormat/>
    <w:uiPriority w:val="99"/>
    <w:pPr>
      <w:adjustRightInd w:val="0"/>
      <w:spacing w:line="300" w:lineRule="auto"/>
      <w:ind w:left="958" w:right="-120" w:rightChars="-120"/>
      <w:jc w:val="left"/>
    </w:pPr>
    <w:rPr>
      <w:rFonts w:ascii="宋体" w:hAnsi="宋体"/>
      <w:sz w:val="28"/>
    </w:rPr>
  </w:style>
  <w:style w:type="paragraph" w:styleId="12">
    <w:name w:val="Plain Text"/>
    <w:basedOn w:val="1"/>
    <w:next w:val="1"/>
    <w:autoRedefine/>
    <w:qFormat/>
    <w:uiPriority w:val="0"/>
    <w:rPr>
      <w:rFonts w:ascii="宋体" w:hAnsi="Courier New" w:cs="Arial"/>
      <w:snapToGrid w:val="0"/>
      <w:szCs w:val="21"/>
    </w:rPr>
  </w:style>
  <w:style w:type="paragraph" w:styleId="13">
    <w:name w:val="List Number 4"/>
    <w:basedOn w:val="1"/>
    <w:autoRedefine/>
    <w:qFormat/>
    <w:uiPriority w:val="0"/>
    <w:pPr>
      <w:numPr>
        <w:ilvl w:val="0"/>
        <w:numId w:val="1"/>
      </w:numPr>
    </w:p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tabs>
        <w:tab w:val="right" w:leader="middleDot" w:pos="8948"/>
      </w:tabs>
    </w:pPr>
    <w:rPr>
      <w:rFonts w:ascii="宋体" w:hAnsi="宋体"/>
      <w:b/>
      <w:bCs/>
      <w:caps/>
      <w:szCs w:val="21"/>
    </w:rPr>
  </w:style>
  <w:style w:type="paragraph" w:styleId="17">
    <w:name w:val="toc 6"/>
    <w:basedOn w:val="1"/>
    <w:next w:val="1"/>
    <w:autoRedefine/>
    <w:qFormat/>
    <w:uiPriority w:val="39"/>
    <w:pPr>
      <w:wordWrap w:val="0"/>
      <w:ind w:left="1188"/>
      <w:jc w:val="both"/>
    </w:pPr>
    <w:rPr>
      <w:rFonts w:ascii="Times New Roman" w:hAnsi="Times New Roman" w:eastAsia="宋体" w:cs="Times New Roman"/>
      <w:lang w:val="en-US" w:eastAsia="zh-CN" w:bidi="ar-SA"/>
    </w:rPr>
  </w:style>
  <w:style w:type="paragraph" w:styleId="18">
    <w:name w:val="toc 2"/>
    <w:basedOn w:val="1"/>
    <w:next w:val="1"/>
    <w:autoRedefine/>
    <w:qFormat/>
    <w:uiPriority w:val="39"/>
    <w:pPr>
      <w:tabs>
        <w:tab w:val="right" w:leader="middleDot" w:pos="8948"/>
      </w:tabs>
      <w:spacing w:before="60" w:beforeLines="0" w:after="60" w:afterLines="0"/>
      <w:ind w:left="210"/>
    </w:pPr>
    <w:rPr>
      <w:smallCaps/>
    </w:rPr>
  </w:style>
  <w:style w:type="paragraph" w:styleId="19">
    <w:name w:val="Normal (Web)"/>
    <w:basedOn w:val="1"/>
    <w:autoRedefine/>
    <w:qFormat/>
    <w:uiPriority w:val="0"/>
    <w:pPr>
      <w:spacing w:before="100" w:beforeAutospacing="1" w:after="100" w:afterAutospacing="1"/>
    </w:pPr>
    <w:rPr>
      <w:rFonts w:ascii="Arial Unicode MS" w:hAnsi="Arial Unicode MS" w:eastAsia="Times New Roman"/>
      <w:color w:val="000000"/>
      <w:sz w:val="24"/>
      <w:szCs w:val="24"/>
    </w:rPr>
  </w:style>
  <w:style w:type="paragraph" w:styleId="20">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paragraph" w:styleId="21">
    <w:name w:val="Body Text First Indent"/>
    <w:basedOn w:val="9"/>
    <w:next w:val="1"/>
    <w:autoRedefine/>
    <w:qFormat/>
    <w:uiPriority w:val="0"/>
    <w:pPr>
      <w:ind w:firstLine="420"/>
    </w:pPr>
    <w:rPr>
      <w:rFonts w:hAnsi="Calibri" w:cs="Times New Roman"/>
      <w:snapToGrid/>
      <w:szCs w:val="20"/>
    </w:rPr>
  </w:style>
  <w:style w:type="paragraph" w:styleId="22">
    <w:name w:val="Body Text First Indent 2"/>
    <w:basedOn w:val="10"/>
    <w:autoRedefine/>
    <w:unhideWhenUsed/>
    <w:qFormat/>
    <w:uiPriority w:val="99"/>
    <w:pPr>
      <w:widowControl w:val="0"/>
      <w:tabs>
        <w:tab w:val="left" w:pos="482"/>
        <w:tab w:val="left" w:pos="2183"/>
        <w:tab w:val="left" w:pos="3884"/>
        <w:tab w:val="left" w:pos="5585"/>
      </w:tabs>
      <w:adjustRightInd/>
      <w:spacing w:after="120"/>
      <w:ind w:left="420" w:leftChars="200" w:firstLine="420" w:firstLineChars="200"/>
      <w:jc w:val="left"/>
      <w:textAlignment w:val="auto"/>
    </w:pPr>
    <w:rPr>
      <w:rFonts w:ascii="Times New Roman"/>
      <w:sz w:val="21"/>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page number"/>
    <w:basedOn w:val="25"/>
    <w:autoRedefine/>
    <w:qFormat/>
    <w:uiPriority w:val="0"/>
    <w:rPr>
      <w:rFonts w:ascii="Arial" w:hAnsi="Arial" w:eastAsia="黑体" w:cs="Arial"/>
      <w:snapToGrid w:val="0"/>
      <w:kern w:val="0"/>
      <w:szCs w:val="21"/>
    </w:rPr>
  </w:style>
  <w:style w:type="character" w:styleId="28">
    <w:name w:val="Hyperlink"/>
    <w:basedOn w:val="25"/>
    <w:autoRedefine/>
    <w:qFormat/>
    <w:uiPriority w:val="99"/>
    <w:rPr>
      <w:rFonts w:ascii="Arial" w:hAnsi="Arial" w:eastAsia="黑体" w:cs="Arial"/>
      <w:snapToGrid w:val="0"/>
      <w:color w:val="000000"/>
      <w:kern w:val="0"/>
      <w:sz w:val="18"/>
      <w:szCs w:val="18"/>
      <w:u w:val="none"/>
    </w:rPr>
  </w:style>
  <w:style w:type="character" w:customStyle="1" w:styleId="29">
    <w:name w:val="NormalCharacter"/>
    <w:autoRedefine/>
    <w:qFormat/>
    <w:uiPriority w:val="99"/>
  </w:style>
  <w:style w:type="paragraph" w:customStyle="1" w:styleId="30">
    <w:name w:val="Table Paragraph"/>
    <w:basedOn w:val="1"/>
    <w:autoRedefine/>
    <w:qFormat/>
    <w:uiPriority w:val="1"/>
    <w:pPr>
      <w:widowControl w:val="0"/>
      <w:autoSpaceDE w:val="0"/>
      <w:autoSpaceDN w:val="0"/>
    </w:pPr>
    <w:rPr>
      <w:rFonts w:ascii="宋体" w:hAnsi="宋体" w:cs="宋体"/>
      <w:sz w:val="22"/>
      <w:szCs w:val="22"/>
      <w:lang w:eastAsia="en-US"/>
    </w:rPr>
  </w:style>
  <w:style w:type="paragraph" w:customStyle="1" w:styleId="31">
    <w:name w:val="纯文本_0_0"/>
    <w:basedOn w:val="32"/>
    <w:autoRedefine/>
    <w:qFormat/>
    <w:uiPriority w:val="0"/>
    <w:rPr>
      <w:rFonts w:ascii="宋体" w:hAnsi="Courier New"/>
      <w:szCs w:val="21"/>
    </w:rPr>
  </w:style>
  <w:style w:type="paragraph" w:customStyle="1" w:styleId="3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4">
    <w:name w:val="l正文"/>
    <w:basedOn w:val="1"/>
    <w:autoRedefine/>
    <w:qFormat/>
    <w:uiPriority w:val="0"/>
    <w:pPr>
      <w:spacing w:line="300" w:lineRule="auto"/>
      <w:ind w:firstLine="200" w:firstLineChars="200"/>
      <w:jc w:val="left"/>
    </w:pPr>
    <w:rPr>
      <w:rFonts w:ascii="楷体_GB2312" w:hAnsi="Times" w:eastAsia="楷体_GB2312" w:cs="等线"/>
      <w:sz w:val="24"/>
      <w:szCs w:val="24"/>
    </w:rPr>
  </w:style>
  <w:style w:type="paragraph" w:customStyle="1" w:styleId="35">
    <w:name w:val="Plain Text"/>
    <w:basedOn w:val="36"/>
    <w:autoRedefine/>
    <w:qFormat/>
    <w:uiPriority w:val="0"/>
    <w:pPr>
      <w:widowControl/>
      <w:jc w:val="left"/>
    </w:pPr>
    <w:rPr>
      <w:rFonts w:hint="eastAsia" w:ascii="宋体" w:hAnsi="Courier New"/>
    </w:rPr>
  </w:style>
  <w:style w:type="paragraph" w:customStyle="1" w:styleId="36">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7">
    <w:name w:val="表格文字"/>
    <w:basedOn w:val="12"/>
    <w:next w:val="9"/>
    <w:autoRedefine/>
    <w:qFormat/>
    <w:uiPriority w:val="0"/>
    <w:pPr>
      <w:adjustRightInd w:val="0"/>
      <w:spacing w:line="420" w:lineRule="atLeast"/>
      <w:textAlignment w:val="baseline"/>
    </w:pPr>
    <w:rPr>
      <w:szCs w:val="24"/>
    </w:rPr>
  </w:style>
  <w:style w:type="paragraph" w:customStyle="1" w:styleId="38">
    <w:name w:val="表格文字（两侧对齐）"/>
    <w:basedOn w:val="1"/>
    <w:autoRedefine/>
    <w:qFormat/>
    <w:uiPriority w:val="0"/>
    <w:pPr>
      <w:widowControl w:val="0"/>
      <w:snapToGrid w:val="0"/>
    </w:pPr>
    <w:rPr>
      <w:rFonts w:ascii="Times New Roman" w:hAnsi="Times New Roman" w:cs="Times New Roman"/>
      <w:sz w:val="20"/>
      <w:szCs w:val="20"/>
    </w:rPr>
  </w:style>
  <w:style w:type="paragraph" w:customStyle="1" w:styleId="39">
    <w:name w:val="正文2"/>
    <w:basedOn w:val="1"/>
    <w:autoRedefine/>
    <w:qFormat/>
    <w:uiPriority w:val="0"/>
    <w:pPr>
      <w:spacing w:before="156" w:line="360" w:lineRule="auto"/>
      <w:ind w:firstLine="510" w:firstLineChars="200"/>
    </w:pPr>
    <w:rPr>
      <w:sz w:val="24"/>
      <w:szCs w:val="20"/>
    </w:rPr>
  </w:style>
  <w:style w:type="paragraph" w:customStyle="1" w:styleId="4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41">
    <w:name w:val="正文缩进1"/>
    <w:basedOn w:val="1"/>
    <w:next w:val="10"/>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2">
    <w:name w:val="表格正文"/>
    <w:basedOn w:val="1"/>
    <w:autoRedefine/>
    <w:qFormat/>
    <w:uiPriority w:val="0"/>
    <w:pPr>
      <w:widowControl w:val="0"/>
      <w:spacing w:line="400" w:lineRule="exact"/>
      <w:ind w:firstLine="100" w:firstLineChars="100"/>
      <w:jc w:val="both"/>
    </w:pPr>
    <w:rPr>
      <w:rFonts w:ascii="宋体" w:hAnsi="宋体"/>
      <w:kern w:val="2"/>
      <w:szCs w:val="24"/>
    </w:rPr>
  </w:style>
  <w:style w:type="paragraph" w:customStyle="1" w:styleId="43">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4">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45">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6">
    <w:name w:val="纯文本1"/>
    <w:basedOn w:val="1"/>
    <w:autoRedefine/>
    <w:qFormat/>
    <w:uiPriority w:val="0"/>
    <w:pPr>
      <w:adjustRightInd/>
    </w:pPr>
    <w:rPr>
      <w:rFonts w:ascii="宋体" w:hAnsi="Courier New"/>
      <w:kern w:val="0"/>
      <w:sz w:val="20"/>
      <w:szCs w:val="20"/>
    </w:rPr>
  </w:style>
  <w:style w:type="paragraph" w:customStyle="1" w:styleId="47">
    <w:name w:val="BodyText1I"/>
    <w:basedOn w:val="48"/>
    <w:autoRedefine/>
    <w:qFormat/>
    <w:uiPriority w:val="0"/>
    <w:pPr>
      <w:ind w:firstLine="420" w:firstLineChars="100"/>
    </w:pPr>
  </w:style>
  <w:style w:type="paragraph" w:customStyle="1" w:styleId="48">
    <w:name w:val="BodyText"/>
    <w:basedOn w:val="1"/>
    <w:autoRedefine/>
    <w:qFormat/>
    <w:uiPriority w:val="0"/>
    <w:pPr>
      <w:spacing w:after="120" w:line="240" w:lineRule="auto"/>
      <w:jc w:val="both"/>
      <w:textAlignment w:val="baseline"/>
    </w:pPr>
    <w:rPr>
      <w:kern w:val="2"/>
      <w:szCs w:val="24"/>
    </w:rPr>
  </w:style>
  <w:style w:type="paragraph" w:customStyle="1" w:styleId="49">
    <w:name w:val="样式6 正文"/>
    <w:autoRedefine/>
    <w:qFormat/>
    <w:uiPriority w:val="0"/>
    <w:pPr>
      <w:spacing w:line="360" w:lineRule="auto"/>
      <w:ind w:firstLine="510"/>
      <w:jc w:val="both"/>
    </w:pPr>
    <w:rPr>
      <w:rFonts w:ascii="Times New Roman" w:hAnsi="Times New Roman" w:eastAsia="宋体" w:cs="Times New Roman"/>
      <w:kern w:val="2"/>
      <w:sz w:val="24"/>
      <w:szCs w:val="22"/>
      <w:lang w:val="en-US" w:eastAsia="zh-CN" w:bidi="ar-SA"/>
    </w:rPr>
  </w:style>
  <w:style w:type="character" w:customStyle="1" w:styleId="50">
    <w:name w:val="font31"/>
    <w:basedOn w:val="25"/>
    <w:autoRedefine/>
    <w:qFormat/>
    <w:uiPriority w:val="0"/>
    <w:rPr>
      <w:rFonts w:hint="eastAsia" w:ascii="宋体" w:hAnsi="宋体" w:eastAsia="宋体" w:cs="宋体"/>
      <w:color w:val="000000"/>
      <w:sz w:val="20"/>
      <w:szCs w:val="20"/>
      <w:u w:val="none"/>
    </w:rPr>
  </w:style>
  <w:style w:type="character" w:customStyle="1" w:styleId="51">
    <w:name w:val="font61"/>
    <w:basedOn w:val="25"/>
    <w:autoRedefine/>
    <w:qFormat/>
    <w:uiPriority w:val="0"/>
    <w:rPr>
      <w:rFonts w:hint="eastAsia" w:ascii="宋体" w:hAnsi="宋体" w:eastAsia="宋体" w:cs="宋体"/>
      <w:color w:val="000000"/>
      <w:sz w:val="20"/>
      <w:szCs w:val="20"/>
      <w:u w:val="none"/>
    </w:rPr>
  </w:style>
  <w:style w:type="character" w:customStyle="1" w:styleId="52">
    <w:name w:val="font11"/>
    <w:basedOn w:val="25"/>
    <w:autoRedefine/>
    <w:qFormat/>
    <w:uiPriority w:val="0"/>
    <w:rPr>
      <w:rFonts w:hint="eastAsia" w:ascii="宋体" w:hAnsi="宋体" w:eastAsia="宋体" w:cs="宋体"/>
      <w:color w:val="000000"/>
      <w:sz w:val="20"/>
      <w:szCs w:val="20"/>
      <w:u w:val="none"/>
    </w:rPr>
  </w:style>
  <w:style w:type="paragraph" w:customStyle="1" w:styleId="53">
    <w:name w:val="正文内容"/>
    <w:basedOn w:val="1"/>
    <w:autoRedefine/>
    <w:qFormat/>
    <w:uiPriority w:val="0"/>
    <w:pPr>
      <w:autoSpaceDE/>
      <w:autoSpaceDN/>
      <w:adjustRightInd/>
      <w:spacing w:line="240" w:lineRule="atLeast"/>
      <w:ind w:firstLine="200" w:firstLineChars="200"/>
      <w:jc w:val="both"/>
    </w:pPr>
    <w:rPr>
      <w:rFonts w:ascii="宋体" w:hAnsi="Times New Roman"/>
      <w:sz w:val="20"/>
      <w:szCs w:val="32"/>
    </w:rPr>
  </w:style>
  <w:style w:type="paragraph" w:customStyle="1" w:styleId="54">
    <w:name w:val="正文1"/>
    <w:basedOn w:val="1"/>
    <w:autoRedefine/>
    <w:qFormat/>
    <w:uiPriority w:val="0"/>
    <w:pPr>
      <w:wordWrap w:val="0"/>
      <w:autoSpaceDE/>
      <w:autoSpaceDN/>
      <w:adjustRightInd/>
      <w:spacing w:line="400" w:lineRule="exact"/>
      <w:jc w:val="both"/>
    </w:pPr>
    <w:rPr>
      <w:rFonts w:ascii="宋体" w:hAnsi="宋体"/>
      <w:kern w:val="2"/>
      <w:sz w:val="21"/>
    </w:rPr>
  </w:style>
  <w:style w:type="paragraph" w:styleId="55">
    <w:name w:val="List Paragraph"/>
    <w:basedOn w:val="1"/>
    <w:next w:val="1"/>
    <w:autoRedefine/>
    <w:qFormat/>
    <w:uiPriority w:val="0"/>
    <w:pPr>
      <w:wordWrap w:val="0"/>
      <w:ind w:left="1106"/>
      <w:jc w:val="both"/>
    </w:pPr>
  </w:style>
  <w:style w:type="character" w:customStyle="1" w:styleId="56">
    <w:name w:val="MSG_EN_FONT_STYLE_NAME_TEMPLATE_ROLE_NUMBER MSG_EN_FONT_STYLE_NAME_BY_ROLE_TEXT 18"/>
    <w:basedOn w:val="57"/>
    <w:autoRedefine/>
    <w:qFormat/>
    <w:uiPriority w:val="0"/>
    <w:rPr>
      <w:color w:val="000000"/>
      <w:spacing w:val="0"/>
      <w:w w:val="100"/>
      <w:position w:val="0"/>
      <w:lang w:val="zh-CN" w:eastAsia="zh-CN" w:bidi="zh-CN"/>
    </w:rPr>
  </w:style>
  <w:style w:type="character" w:customStyle="1" w:styleId="57">
    <w:name w:val="MSG_EN_FONT_STYLE_NAME_TEMPLATE_ROLE_NUMBER MSG_EN_FONT_STYLE_NAME_BY_ROLE_TEXT 18_"/>
    <w:basedOn w:val="25"/>
    <w:link w:val="58"/>
    <w:autoRedefine/>
    <w:qFormat/>
    <w:uiPriority w:val="0"/>
    <w:rPr>
      <w:rFonts w:ascii="宋体" w:hAnsi="宋体" w:eastAsia="宋体" w:cs="宋体"/>
    </w:rPr>
  </w:style>
  <w:style w:type="paragraph" w:customStyle="1" w:styleId="58">
    <w:name w:val="MSG_EN_FONT_STYLE_NAME_TEMPLATE_ROLE_NUMBER MSG_EN_FONT_STYLE_NAME_BY_ROLE_TEXT 183"/>
    <w:basedOn w:val="1"/>
    <w:link w:val="57"/>
    <w:autoRedefine/>
    <w:qFormat/>
    <w:uiPriority w:val="0"/>
    <w:pPr>
      <w:shd w:val="clear" w:color="auto" w:fill="FFFFFF"/>
      <w:spacing w:before="360" w:line="240" w:lineRule="exact"/>
    </w:pPr>
    <w:rPr>
      <w:rFonts w:ascii="宋体" w:hAnsi="宋体" w:eastAsia="宋体" w:cs="宋体"/>
    </w:rPr>
  </w:style>
  <w:style w:type="paragraph" w:customStyle="1" w:styleId="59">
    <w:name w:val="首行缩进二格"/>
    <w:basedOn w:val="1"/>
    <w:autoRedefine/>
    <w:qFormat/>
    <w:uiPriority w:val="0"/>
    <w:pPr>
      <w:ind w:firstLine="200" w:firstLineChars="200"/>
      <w:jc w:val="both"/>
    </w:pPr>
    <w:rPr>
      <w:kern w:val="2"/>
      <w:szCs w:val="24"/>
    </w:rPr>
  </w:style>
  <w:style w:type="paragraph" w:customStyle="1" w:styleId="60">
    <w:name w:val="附表正文"/>
    <w:basedOn w:val="1"/>
    <w:qFormat/>
    <w:uiPriority w:val="0"/>
    <w:pPr>
      <w:snapToGrid w:val="0"/>
      <w:spacing w:line="240" w:lineRule="auto"/>
      <w:jc w:val="both"/>
    </w:pPr>
    <w:rPr>
      <w:rFonts w:ascii="宋体" w:hAnsi="Calibri" w:eastAsia="宋体" w:cs="Times New Roman"/>
      <w:kern w:val="2"/>
      <w:szCs w:val="22"/>
    </w:rPr>
  </w:style>
  <w:style w:type="paragraph" w:customStyle="1" w:styleId="61">
    <w:name w:val="MSG_EN_FONT_STYLE_NAME_TEMPLATE_ROLE_NUMBER MSG_EN_FONT_STYLE_NAME_BY_ROLE_TEXT 32"/>
    <w:basedOn w:val="1"/>
    <w:link w:val="62"/>
    <w:autoRedefine/>
    <w:qFormat/>
    <w:uiPriority w:val="0"/>
    <w:pPr>
      <w:shd w:val="clear" w:color="auto" w:fill="FFFFFF"/>
      <w:spacing w:before="580" w:after="420" w:line="220" w:lineRule="exact"/>
      <w:jc w:val="left"/>
    </w:pPr>
    <w:rPr>
      <w:rFonts w:ascii="宋体" w:hAnsi="宋体" w:eastAsia="宋体" w:cs="宋体"/>
      <w:spacing w:val="20"/>
      <w:kern w:val="0"/>
      <w:sz w:val="22"/>
      <w:szCs w:val="22"/>
    </w:rPr>
  </w:style>
  <w:style w:type="character" w:customStyle="1" w:styleId="62">
    <w:name w:val="MSG_EN_FONT_STYLE_NAME_TEMPLATE_ROLE_NUMBER MSG_EN_FONT_STYLE_NAME_BY_ROLE_TEXT 32_"/>
    <w:basedOn w:val="25"/>
    <w:link w:val="61"/>
    <w:autoRedefine/>
    <w:qFormat/>
    <w:uiPriority w:val="0"/>
    <w:rPr>
      <w:rFonts w:ascii="宋体" w:hAnsi="宋体" w:eastAsia="宋体" w:cs="宋体"/>
      <w:spacing w:val="20"/>
      <w:kern w:val="0"/>
      <w:sz w:val="22"/>
      <w:szCs w:val="22"/>
    </w:rPr>
  </w:style>
  <w:style w:type="character" w:customStyle="1" w:styleId="63">
    <w:name w:val="MSG_EN_FONT_STYLE_NAME_TEMPLATE_ROLE_NUMBER MSG_EN_FONT_STYLE_NAME_BY_ROLE_TEXT 32 + MSG_EN_FONT_STYLE_MODIFER_SPACING 0"/>
    <w:basedOn w:val="62"/>
    <w:autoRedefine/>
    <w:qFormat/>
    <w:uiPriority w:val="0"/>
    <w:rPr>
      <w:color w:val="000000"/>
      <w:spacing w:val="0"/>
      <w:w w:val="100"/>
      <w:position w:val="0"/>
      <w:lang w:val="en-US" w:eastAsia="en-US" w:bidi="en-US"/>
    </w:rPr>
  </w:style>
  <w:style w:type="character" w:customStyle="1" w:styleId="64">
    <w:name w:val="MSG_EN_FONT_STYLE_NAME_TEMPLATE_ROLE_NUMBER MSG_EN_FONT_STYLE_NAME_BY_ROLE_TEXT 32 + MSG_EN_FONT_STYLE_MODIFER_SIZE 13"/>
    <w:basedOn w:val="62"/>
    <w:autoRedefine/>
    <w:qFormat/>
    <w:uiPriority w:val="0"/>
    <w:rPr>
      <w:color w:val="000000"/>
      <w:w w:val="100"/>
      <w:position w:val="0"/>
      <w:sz w:val="26"/>
      <w:szCs w:val="26"/>
      <w:lang w:val="zh-CN" w:eastAsia="zh-CN" w:bidi="zh-CN"/>
    </w:rPr>
  </w:style>
  <w:style w:type="paragraph" w:customStyle="1" w:styleId="65">
    <w:name w:val="MSG_EN_FONT_STYLE_NAME_TEMPLATE_ROLE_NUMBER MSG_EN_FONT_STYLE_NAME_BY_ROLE_TEXT 24"/>
    <w:basedOn w:val="1"/>
    <w:autoRedefine/>
    <w:qFormat/>
    <w:uiPriority w:val="0"/>
    <w:pPr>
      <w:shd w:val="clear" w:color="auto" w:fill="FFFFFF"/>
      <w:spacing w:before="540" w:after="360" w:line="260" w:lineRule="exact"/>
      <w:ind w:hanging="920"/>
      <w:jc w:val="left"/>
    </w:pPr>
    <w:rPr>
      <w:rFonts w:ascii="宋体" w:hAnsi="宋体" w:eastAsia="宋体" w:cs="宋体"/>
      <w:kern w:val="0"/>
      <w:sz w:val="26"/>
      <w:szCs w:val="26"/>
    </w:rPr>
  </w:style>
  <w:style w:type="character" w:customStyle="1" w:styleId="66">
    <w:name w:val="MSG_EN_FONT_STYLE_NAME_TEMPLATE_ROLE_NUMBER MSG_EN_FONT_STYLE_NAME_BY_ROLE_TEXT 24 + MSG_EN_FONT_STYLE_MODIFER_SIZE 11"/>
    <w:basedOn w:val="67"/>
    <w:autoRedefine/>
    <w:qFormat/>
    <w:uiPriority w:val="0"/>
    <w:rPr>
      <w:color w:val="000000"/>
      <w:spacing w:val="0"/>
      <w:w w:val="100"/>
      <w:position w:val="0"/>
      <w:sz w:val="22"/>
      <w:szCs w:val="22"/>
      <w:u w:val="none"/>
      <w:lang w:val="en-US" w:eastAsia="en-US" w:bidi="en-US"/>
    </w:rPr>
  </w:style>
  <w:style w:type="character" w:customStyle="1" w:styleId="67">
    <w:name w:val="MSG_EN_FONT_STYLE_NAME_TEMPLATE_ROLE_NUMBER MSG_EN_FONT_STYLE_NAME_BY_ROLE_TEXT 24_"/>
    <w:basedOn w:val="25"/>
    <w:link w:val="68"/>
    <w:autoRedefine/>
    <w:qFormat/>
    <w:uiPriority w:val="0"/>
    <w:rPr>
      <w:rFonts w:ascii="宋体" w:hAnsi="宋体" w:eastAsia="宋体" w:cs="宋体"/>
      <w:sz w:val="26"/>
      <w:szCs w:val="26"/>
    </w:rPr>
  </w:style>
  <w:style w:type="paragraph" w:customStyle="1" w:styleId="68">
    <w:name w:val="MSG_EN_FONT_STYLE_NAME_TEMPLATE_ROLE_NUMBER MSG_EN_FONT_STYLE_NAME_BY_ROLE_TEXT 242"/>
    <w:basedOn w:val="1"/>
    <w:link w:val="67"/>
    <w:qFormat/>
    <w:uiPriority w:val="0"/>
    <w:pPr>
      <w:shd w:val="clear" w:color="auto" w:fill="FFFFFF"/>
      <w:spacing w:before="540" w:after="360" w:line="260" w:lineRule="exact"/>
      <w:ind w:hanging="920"/>
    </w:pPr>
    <w:rPr>
      <w:rFonts w:ascii="宋体" w:hAnsi="宋体" w:eastAsia="宋体" w:cs="宋体"/>
      <w:sz w:val="26"/>
      <w:szCs w:val="26"/>
    </w:rPr>
  </w:style>
  <w:style w:type="character" w:customStyle="1" w:styleId="69">
    <w:name w:val="MSG_EN_FONT_STYLE_NAME_TEMPLATE_ROLE_NUMBER MSG_EN_FONT_STYLE_NAME_BY_ROLE_TEXT 24 + MSG_EN_FONT_STYLE_MODIFER_SPACING 1"/>
    <w:basedOn w:val="67"/>
    <w:autoRedefine/>
    <w:qFormat/>
    <w:uiPriority w:val="0"/>
    <w:rPr>
      <w:color w:val="000000"/>
      <w:spacing w:val="20"/>
      <w:w w:val="100"/>
      <w:position w:val="0"/>
      <w:u w:val="none"/>
      <w:lang w:val="zh-CN" w:eastAsia="zh-CN" w:bidi="zh-CN"/>
    </w:rPr>
  </w:style>
  <w:style w:type="paragraph" w:customStyle="1" w:styleId="70">
    <w:name w:val="MSG_EN_FONT_STYLE_NAME_TEMPLATE_ROLE_NUMBER MSG_EN_FONT_STYLE_NAME_BY_ROLE_TEXT 14"/>
    <w:basedOn w:val="1"/>
    <w:link w:val="71"/>
    <w:autoRedefine/>
    <w:qFormat/>
    <w:uiPriority w:val="0"/>
    <w:pPr>
      <w:shd w:val="clear" w:color="auto" w:fill="FFFFFF"/>
      <w:spacing w:before="420" w:line="398" w:lineRule="exact"/>
      <w:jc w:val="distribute"/>
    </w:pPr>
    <w:rPr>
      <w:rFonts w:ascii="宋体" w:hAnsi="宋体" w:eastAsia="宋体" w:cs="宋体"/>
      <w:b/>
      <w:bCs/>
      <w:spacing w:val="40"/>
      <w:kern w:val="0"/>
      <w:sz w:val="26"/>
      <w:szCs w:val="26"/>
    </w:rPr>
  </w:style>
  <w:style w:type="character" w:customStyle="1" w:styleId="71">
    <w:name w:val="MSG_EN_FONT_STYLE_NAME_TEMPLATE_ROLE_NUMBER MSG_EN_FONT_STYLE_NAME_BY_ROLE_TEXT 14_"/>
    <w:basedOn w:val="25"/>
    <w:link w:val="70"/>
    <w:autoRedefine/>
    <w:qFormat/>
    <w:uiPriority w:val="0"/>
    <w:rPr>
      <w:rFonts w:ascii="宋体" w:hAnsi="宋体" w:eastAsia="宋体" w:cs="宋体"/>
      <w:b/>
      <w:bCs/>
      <w:spacing w:val="40"/>
      <w:kern w:val="0"/>
      <w:sz w:val="26"/>
      <w:szCs w:val="26"/>
    </w:rPr>
  </w:style>
  <w:style w:type="character" w:customStyle="1" w:styleId="72">
    <w:name w:val="MSG_EN_FONT_STYLE_NAME_TEMPLATE_ROLE_NUMBER MSG_EN_FONT_STYLE_NAME_BY_ROLE_TEXT 2 + MSG_EN_FONT_STYLE_MODIFER_NAME Times New Roman"/>
    <w:basedOn w:val="73"/>
    <w:autoRedefine/>
    <w:qFormat/>
    <w:uiPriority w:val="0"/>
    <w:rPr>
      <w:rFonts w:ascii="Times New Roman" w:hAnsi="Times New Roman" w:eastAsia="Times New Roman" w:cs="Times New Roman"/>
      <w:color w:val="000000"/>
      <w:spacing w:val="0"/>
      <w:w w:val="100"/>
      <w:position w:val="0"/>
      <w:sz w:val="9"/>
      <w:szCs w:val="9"/>
      <w:lang w:val="en-US" w:eastAsia="en-US" w:bidi="en-US"/>
    </w:rPr>
  </w:style>
  <w:style w:type="character" w:customStyle="1" w:styleId="73">
    <w:name w:val="MSG_EN_FONT_STYLE_NAME_TEMPLATE_ROLE_NUMBER MSG_EN_FONT_STYLE_NAME_BY_ROLE_TEXT 2_"/>
    <w:basedOn w:val="25"/>
    <w:link w:val="74"/>
    <w:autoRedefine/>
    <w:qFormat/>
    <w:uiPriority w:val="0"/>
    <w:rPr>
      <w:rFonts w:ascii="宋体" w:hAnsi="宋体" w:eastAsia="宋体" w:cs="宋体"/>
      <w:spacing w:val="20"/>
      <w:kern w:val="0"/>
      <w:sz w:val="20"/>
      <w:szCs w:val="20"/>
    </w:rPr>
  </w:style>
  <w:style w:type="paragraph" w:customStyle="1" w:styleId="74">
    <w:name w:val="MSG_EN_FONT_STYLE_NAME_TEMPLATE_ROLE_NUMBER MSG_EN_FONT_STYLE_NAME_BY_ROLE_TEXT 2"/>
    <w:basedOn w:val="1"/>
    <w:link w:val="73"/>
    <w:autoRedefine/>
    <w:qFormat/>
    <w:uiPriority w:val="0"/>
    <w:pPr>
      <w:shd w:val="clear" w:color="auto" w:fill="FFFFFF"/>
      <w:spacing w:before="780" w:line="461" w:lineRule="exact"/>
      <w:jc w:val="distribute"/>
    </w:pPr>
    <w:rPr>
      <w:rFonts w:ascii="宋体" w:hAnsi="宋体" w:eastAsia="宋体" w:cs="宋体"/>
      <w:spacing w:val="20"/>
      <w:kern w:val="0"/>
      <w:sz w:val="20"/>
      <w:szCs w:val="20"/>
    </w:rPr>
  </w:style>
  <w:style w:type="character" w:customStyle="1" w:styleId="75">
    <w:name w:val="MSG_EN_FONT_STYLE_NAME_TEMPLATE_ROLE_NUMBER MSG_EN_FONT_STYLE_NAME_BY_ROLE_TEXT 14 + MSG_EN_FONT_STYLE_MODIFER_SPACING 0"/>
    <w:basedOn w:val="71"/>
    <w:autoRedefine/>
    <w:qFormat/>
    <w:uiPriority w:val="0"/>
    <w:rPr>
      <w:color w:val="000000"/>
      <w:spacing w:val="0"/>
      <w:w w:val="100"/>
      <w:position w:val="0"/>
      <w:lang w:val="zh-CN" w:eastAsia="zh-CN" w:bidi="zh-CN"/>
    </w:rPr>
  </w:style>
  <w:style w:type="character" w:customStyle="1" w:styleId="76">
    <w:name w:val="MSG_EN_FONT_STYLE_NAME_TEMPLATE_ROLE_NUMBER MSG_EN_FONT_STYLE_NAME_BY_ROLE_TEXT 32 + MSG_EN_FONT_STYLE_MODIFER_SPACING 1"/>
    <w:basedOn w:val="62"/>
    <w:autoRedefine/>
    <w:qFormat/>
    <w:uiPriority w:val="0"/>
    <w:rPr>
      <w:color w:val="000000"/>
      <w:spacing w:val="30"/>
      <w:w w:val="100"/>
      <w:position w:val="0"/>
      <w:lang w:val="zh-CN" w:eastAsia="zh-CN" w:bidi="zh-CN"/>
    </w:rPr>
  </w:style>
  <w:style w:type="character" w:customStyle="1" w:styleId="77">
    <w:name w:val="MSG_EN_FONT_STYLE_NAME_TEMPLATE_ROLE_NUMBER MSG_EN_FONT_STYLE_NAME_BY_ROLE_TEXT 24 + MSG_EN_FONT_STYLE_MODIFER_BOLD"/>
    <w:basedOn w:val="67"/>
    <w:autoRedefine/>
    <w:qFormat/>
    <w:uiPriority w:val="0"/>
    <w:rPr>
      <w:b/>
      <w:bCs/>
      <w:color w:val="000000"/>
      <w:spacing w:val="0"/>
      <w:w w:val="100"/>
      <w:position w:val="0"/>
      <w:u w:val="none"/>
      <w:lang w:val="zh-CN" w:eastAsia="zh-CN" w:bidi="zh-CN"/>
    </w:rPr>
  </w:style>
  <w:style w:type="character" w:customStyle="1" w:styleId="78">
    <w:name w:val="MSG_EN_FONT_STYLE_NAME_TEMPLATE_ROLE_NUMBER MSG_EN_FONT_STYLE_NAME_BY_ROLE_TEXT 24 + MSG_EN_FONT_STYLE_MODIFER_NAME Times New Roman"/>
    <w:basedOn w:val="67"/>
    <w:autoRedefine/>
    <w:qFormat/>
    <w:uiPriority w:val="0"/>
    <w:rPr>
      <w:rFonts w:ascii="Times New Roman" w:hAnsi="Times New Roman" w:eastAsia="Times New Roman" w:cs="Times New Roman"/>
      <w:color w:val="000000"/>
      <w:spacing w:val="0"/>
      <w:w w:val="100"/>
      <w:position w:val="0"/>
      <w:u w:val="none"/>
      <w:lang w:val="en-US" w:eastAsia="en-US" w:bidi="en-US"/>
    </w:rPr>
  </w:style>
  <w:style w:type="paragraph" w:customStyle="1" w:styleId="79">
    <w:name w:val="MSG_EN_FONT_STYLE_NAME_TEMPLATE_ROLE_NUMBER MSG_EN_FONT_STYLE_NAME_BY_ROLE_TEXT 31"/>
    <w:basedOn w:val="1"/>
    <w:link w:val="80"/>
    <w:qFormat/>
    <w:uiPriority w:val="0"/>
    <w:pPr>
      <w:shd w:val="clear" w:color="auto" w:fill="FFFFFF"/>
      <w:spacing w:after="1680" w:line="260" w:lineRule="exact"/>
      <w:jc w:val="left"/>
    </w:pPr>
    <w:rPr>
      <w:rFonts w:ascii="宋体" w:hAnsi="宋体" w:eastAsia="宋体" w:cs="宋体"/>
      <w:spacing w:val="20"/>
      <w:kern w:val="0"/>
      <w:sz w:val="26"/>
      <w:szCs w:val="26"/>
    </w:rPr>
  </w:style>
  <w:style w:type="character" w:customStyle="1" w:styleId="80">
    <w:name w:val="MSG_EN_FONT_STYLE_NAME_TEMPLATE_ROLE_NUMBER MSG_EN_FONT_STYLE_NAME_BY_ROLE_TEXT 31_"/>
    <w:basedOn w:val="25"/>
    <w:link w:val="79"/>
    <w:autoRedefine/>
    <w:qFormat/>
    <w:uiPriority w:val="0"/>
    <w:rPr>
      <w:rFonts w:ascii="宋体" w:hAnsi="宋体" w:eastAsia="宋体" w:cs="宋体"/>
      <w:spacing w:val="20"/>
      <w:kern w:val="0"/>
      <w:sz w:val="26"/>
      <w:szCs w:val="26"/>
    </w:rPr>
  </w:style>
  <w:style w:type="paragraph" w:customStyle="1" w:styleId="81">
    <w:name w:val="MSG_EN_FONT_STYLE_NAME_TEMPLATE_ROLE_NUMBER MSG_EN_FONT_STYLE_NAME_BY_ROLE_TEXT 33"/>
    <w:basedOn w:val="1"/>
    <w:autoRedefine/>
    <w:qFormat/>
    <w:uiPriority w:val="0"/>
    <w:pPr>
      <w:shd w:val="clear" w:color="auto" w:fill="FFFFFF"/>
      <w:spacing w:line="398" w:lineRule="exact"/>
      <w:jc w:val="distribute"/>
    </w:pPr>
    <w:rPr>
      <w:rFonts w:ascii="宋体" w:hAnsi="宋体" w:eastAsia="宋体" w:cs="宋体"/>
      <w:kern w:val="0"/>
      <w:sz w:val="20"/>
      <w:szCs w:val="20"/>
    </w:rPr>
  </w:style>
  <w:style w:type="character" w:customStyle="1" w:styleId="82">
    <w:name w:val="MSG_EN_FONT_STYLE_NAME_TEMPLATE_ROLE_NUMBER MSG_EN_FONT_STYLE_NAME_BY_ROLE_TEXT 33 + MSG_EN_FONT_STYLE_MODIFER_SPACING 2"/>
    <w:basedOn w:val="83"/>
    <w:autoRedefine/>
    <w:qFormat/>
    <w:uiPriority w:val="0"/>
    <w:rPr>
      <w:color w:val="000000"/>
      <w:spacing w:val="40"/>
      <w:w w:val="100"/>
      <w:position w:val="0"/>
      <w:sz w:val="24"/>
      <w:szCs w:val="24"/>
      <w:u w:val="none"/>
      <w:lang w:val="zh-CN" w:eastAsia="zh-CN" w:bidi="zh-CN"/>
    </w:rPr>
  </w:style>
  <w:style w:type="character" w:customStyle="1" w:styleId="83">
    <w:name w:val="MSG_EN_FONT_STYLE_NAME_TEMPLATE_ROLE_NUMBER MSG_EN_FONT_STYLE_NAME_BY_ROLE_TEXT 33_"/>
    <w:basedOn w:val="25"/>
    <w:link w:val="84"/>
    <w:autoRedefine/>
    <w:qFormat/>
    <w:uiPriority w:val="0"/>
    <w:rPr>
      <w:rFonts w:ascii="宋体" w:hAnsi="宋体" w:eastAsia="宋体" w:cs="宋体"/>
    </w:rPr>
  </w:style>
  <w:style w:type="paragraph" w:customStyle="1" w:styleId="84">
    <w:name w:val="MSG_EN_FONT_STYLE_NAME_TEMPLATE_ROLE_NUMBER MSG_EN_FONT_STYLE_NAME_BY_ROLE_TEXT 334"/>
    <w:basedOn w:val="1"/>
    <w:link w:val="83"/>
    <w:autoRedefine/>
    <w:qFormat/>
    <w:uiPriority w:val="0"/>
    <w:pPr>
      <w:shd w:val="clear" w:color="auto" w:fill="FFFFFF"/>
      <w:spacing w:line="398" w:lineRule="exact"/>
      <w:jc w:val="distribute"/>
    </w:pPr>
    <w:rPr>
      <w:rFonts w:ascii="宋体" w:hAnsi="宋体" w:eastAsia="宋体" w:cs="宋体"/>
    </w:rPr>
  </w:style>
  <w:style w:type="character" w:customStyle="1" w:styleId="85">
    <w:name w:val="MSG_EN_FONT_STYLE_NAME_TEMPLATE_ROLE_NUMBER MSG_EN_FONT_STYLE_NAME_BY_ROLE_TEXT 33 + MSG_EN_FONT_STYLE_MODIFER_SPACING 0"/>
    <w:basedOn w:val="83"/>
    <w:qFormat/>
    <w:uiPriority w:val="0"/>
    <w:rPr>
      <w:color w:val="000000"/>
      <w:spacing w:val="10"/>
      <w:w w:val="100"/>
      <w:position w:val="0"/>
      <w:sz w:val="24"/>
      <w:szCs w:val="24"/>
      <w:u w:val="none"/>
      <w:lang w:val="zh-CN" w:eastAsia="zh-CN" w:bidi="zh-CN"/>
    </w:rPr>
  </w:style>
  <w:style w:type="character" w:customStyle="1" w:styleId="86">
    <w:name w:val="MSG_EN_FONT_STYLE_NAME_TEMPLATE_ROLE_NUMBER MSG_EN_FONT_STYLE_NAME_BY_ROLE_TEXT 17 + MSG_EN_FONT_STYLE_MODIFER_NAME Times New Roman"/>
    <w:basedOn w:val="87"/>
    <w:autoRedefine/>
    <w:qFormat/>
    <w:uiPriority w:val="0"/>
    <w:rPr>
      <w:rFonts w:ascii="Times New Roman" w:hAnsi="Times New Roman" w:eastAsia="Times New Roman" w:cs="Times New Roman"/>
      <w:color w:val="000000"/>
      <w:spacing w:val="30"/>
      <w:w w:val="100"/>
      <w:position w:val="0"/>
      <w:sz w:val="23"/>
      <w:szCs w:val="23"/>
      <w:lang w:val="en-US" w:eastAsia="en-US" w:bidi="en-US"/>
    </w:rPr>
  </w:style>
  <w:style w:type="character" w:customStyle="1" w:styleId="87">
    <w:name w:val="MSG_EN_FONT_STYLE_NAME_TEMPLATE_ROLE_NUMBER MSG_EN_FONT_STYLE_NAME_BY_ROLE_TEXT 17_"/>
    <w:basedOn w:val="25"/>
    <w:link w:val="88"/>
    <w:qFormat/>
    <w:uiPriority w:val="0"/>
    <w:rPr>
      <w:rFonts w:ascii="宋体" w:hAnsi="宋体" w:eastAsia="宋体" w:cs="宋体"/>
      <w:i/>
      <w:iCs/>
      <w:kern w:val="0"/>
      <w:sz w:val="26"/>
      <w:szCs w:val="26"/>
    </w:rPr>
  </w:style>
  <w:style w:type="paragraph" w:customStyle="1" w:styleId="88">
    <w:name w:val="MSG_EN_FONT_STYLE_NAME_TEMPLATE_ROLE_NUMBER MSG_EN_FONT_STYLE_NAME_BY_ROLE_TEXT 17"/>
    <w:basedOn w:val="1"/>
    <w:link w:val="87"/>
    <w:autoRedefine/>
    <w:qFormat/>
    <w:uiPriority w:val="0"/>
    <w:pPr>
      <w:shd w:val="clear" w:color="auto" w:fill="FFFFFF"/>
      <w:spacing w:line="406" w:lineRule="exact"/>
      <w:jc w:val="distribute"/>
    </w:pPr>
    <w:rPr>
      <w:rFonts w:ascii="宋体" w:hAnsi="宋体" w:eastAsia="宋体" w:cs="宋体"/>
      <w:i/>
      <w:iCs/>
      <w:kern w:val="0"/>
      <w:sz w:val="26"/>
      <w:szCs w:val="26"/>
    </w:rPr>
  </w:style>
  <w:style w:type="paragraph" w:customStyle="1" w:styleId="89">
    <w:name w:val="MSG_EN_FONT_STYLE_NAME_TEMPLATE_ROLE_NUMBER MSG_EN_FONT_STYLE_NAME_BY_ROLE_TEXT 30"/>
    <w:basedOn w:val="1"/>
    <w:link w:val="90"/>
    <w:autoRedefine/>
    <w:qFormat/>
    <w:uiPriority w:val="0"/>
    <w:pPr>
      <w:shd w:val="clear" w:color="auto" w:fill="FFFFFF"/>
      <w:spacing w:before="500" w:after="380" w:line="240" w:lineRule="exact"/>
      <w:jc w:val="left"/>
    </w:pPr>
    <w:rPr>
      <w:rFonts w:ascii="宋体" w:hAnsi="宋体" w:eastAsia="宋体" w:cs="宋体"/>
      <w:b/>
      <w:bCs/>
      <w:spacing w:val="10"/>
      <w:kern w:val="0"/>
      <w:sz w:val="20"/>
      <w:szCs w:val="20"/>
    </w:rPr>
  </w:style>
  <w:style w:type="character" w:customStyle="1" w:styleId="90">
    <w:name w:val="MSG_EN_FONT_STYLE_NAME_TEMPLATE_ROLE_NUMBER MSG_EN_FONT_STYLE_NAME_BY_ROLE_TEXT 30_"/>
    <w:basedOn w:val="25"/>
    <w:link w:val="89"/>
    <w:autoRedefine/>
    <w:qFormat/>
    <w:uiPriority w:val="0"/>
    <w:rPr>
      <w:rFonts w:ascii="宋体" w:hAnsi="宋体" w:eastAsia="宋体" w:cs="宋体"/>
      <w:b/>
      <w:bCs/>
      <w:spacing w:val="10"/>
      <w:kern w:val="0"/>
      <w:sz w:val="20"/>
      <w:szCs w:val="20"/>
    </w:rPr>
  </w:style>
  <w:style w:type="character" w:customStyle="1" w:styleId="91">
    <w:name w:val="MSG_EN_FONT_STYLE_NAME_TEMPLATE_ROLE_NUMBER MSG_EN_FONT_STYLE_NAME_BY_ROLE_TEXT 30 + MSG_EN_FONT_STYLE_MODIFER_SPACING 0"/>
    <w:basedOn w:val="90"/>
    <w:qFormat/>
    <w:uiPriority w:val="0"/>
    <w:rPr>
      <w:color w:val="000000"/>
      <w:spacing w:val="0"/>
      <w:w w:val="100"/>
      <w:position w:val="0"/>
      <w:sz w:val="24"/>
      <w:szCs w:val="24"/>
      <w:lang w:val="zh-CN" w:eastAsia="zh-CN" w:bidi="zh-CN"/>
    </w:rPr>
  </w:style>
  <w:style w:type="character" w:customStyle="1" w:styleId="92">
    <w:name w:val="MSG_EN_FONT_STYLE_NAME_TEMPLATE_ROLE_NUMBER MSG_EN_FONT_STYLE_NAME_BY_ROLE_TEXT 33 + MSG_EN_FONT_STYLE_MODIFER_SIZE 13"/>
    <w:basedOn w:val="83"/>
    <w:qFormat/>
    <w:uiPriority w:val="0"/>
    <w:rPr>
      <w:color w:val="000000"/>
      <w:spacing w:val="0"/>
      <w:w w:val="100"/>
      <w:position w:val="0"/>
      <w:sz w:val="26"/>
      <w:szCs w:val="26"/>
      <w:u w:val="none"/>
      <w:lang w:val="en-US" w:eastAsia="en-US" w:bidi="en-US"/>
    </w:rPr>
  </w:style>
  <w:style w:type="character" w:customStyle="1" w:styleId="93">
    <w:name w:val="MSG_EN_FONT_STYLE_NAME_TEMPLATE_ROLE_NUMBER MSG_EN_FONT_STYLE_NAME_BY_ROLE_TEXT 33 + MSG_EN_FONT_STYLE_MODIFER_SIZE 11"/>
    <w:basedOn w:val="83"/>
    <w:autoRedefine/>
    <w:qFormat/>
    <w:uiPriority w:val="0"/>
    <w:rPr>
      <w:color w:val="000000"/>
      <w:spacing w:val="0"/>
      <w:w w:val="100"/>
      <w:position w:val="0"/>
      <w:sz w:val="22"/>
      <w:szCs w:val="22"/>
      <w:lang w:val="zh-CN" w:eastAsia="zh-CN" w:bidi="zh-CN"/>
    </w:rPr>
  </w:style>
  <w:style w:type="paragraph" w:customStyle="1" w:styleId="94">
    <w:name w:val="MSG_EN_FONT_STYLE_NAME_TEMPLATE_ROLE_LEVEL MSG_EN_FONT_STYLE_NAME_BY_ROLE_HEADING 5"/>
    <w:basedOn w:val="1"/>
    <w:link w:val="95"/>
    <w:qFormat/>
    <w:uiPriority w:val="0"/>
    <w:pPr>
      <w:shd w:val="clear" w:color="auto" w:fill="FFFFFF"/>
      <w:spacing w:before="180" w:after="260" w:line="332" w:lineRule="exact"/>
      <w:jc w:val="right"/>
      <w:outlineLvl w:val="4"/>
    </w:pPr>
    <w:rPr>
      <w:rFonts w:ascii="宋体" w:hAnsi="宋体" w:eastAsia="宋体" w:cs="宋体"/>
      <w:sz w:val="30"/>
      <w:szCs w:val="30"/>
    </w:rPr>
  </w:style>
  <w:style w:type="character" w:customStyle="1" w:styleId="95">
    <w:name w:val="MSG_EN_FONT_STYLE_NAME_TEMPLATE_ROLE_LEVEL MSG_EN_FONT_STYLE_NAME_BY_ROLE_HEADING 5_"/>
    <w:basedOn w:val="25"/>
    <w:link w:val="94"/>
    <w:qFormat/>
    <w:uiPriority w:val="0"/>
    <w:rPr>
      <w:rFonts w:ascii="宋体" w:hAnsi="宋体" w:eastAsia="宋体" w:cs="宋体"/>
      <w:sz w:val="30"/>
      <w:szCs w:val="30"/>
    </w:rPr>
  </w:style>
  <w:style w:type="character" w:customStyle="1" w:styleId="96">
    <w:name w:val="MSG_EN_FONT_STYLE_NAME_TEMPLATE_ROLE_LEVEL MSG_EN_FONT_STYLE_NAME_BY_ROLE_HEADING 5 + MSG_EN_FONT_STYLE_MODIFER_SPACING 21"/>
    <w:basedOn w:val="95"/>
    <w:autoRedefine/>
    <w:qFormat/>
    <w:uiPriority w:val="0"/>
    <w:rPr>
      <w:color w:val="000000"/>
      <w:spacing w:val="40"/>
      <w:w w:val="100"/>
      <w:position w:val="0"/>
      <w:lang w:val="zh-CN" w:eastAsia="zh-CN" w:bidi="zh-CN"/>
    </w:rPr>
  </w:style>
  <w:style w:type="paragraph" w:customStyle="1" w:styleId="97">
    <w:name w:val="MSG_EN_FONT_STYLE_NAME_TEMPLATE_ROLE_NUMBER MSG_EN_FONT_STYLE_NAME_BY_ROLE_TEXT 371"/>
    <w:basedOn w:val="1"/>
    <w:link w:val="98"/>
    <w:qFormat/>
    <w:uiPriority w:val="0"/>
    <w:pPr>
      <w:shd w:val="clear" w:color="auto" w:fill="FFFFFF"/>
      <w:spacing w:line="804" w:lineRule="exact"/>
    </w:pPr>
    <w:rPr>
      <w:rFonts w:ascii="宋体" w:hAnsi="宋体" w:eastAsia="宋体" w:cs="宋体"/>
    </w:rPr>
  </w:style>
  <w:style w:type="character" w:customStyle="1" w:styleId="98">
    <w:name w:val="MSG_EN_FONT_STYLE_NAME_TEMPLATE_ROLE_NUMBER MSG_EN_FONT_STYLE_NAME_BY_ROLE_TEXT 37_"/>
    <w:basedOn w:val="25"/>
    <w:link w:val="97"/>
    <w:uiPriority w:val="0"/>
    <w:rPr>
      <w:rFonts w:ascii="宋体" w:hAnsi="宋体" w:eastAsia="宋体" w:cs="宋体"/>
    </w:rPr>
  </w:style>
  <w:style w:type="character" w:customStyle="1" w:styleId="99">
    <w:name w:val="MSG_EN_FONT_STYLE_NAME_TEMPLATE_ROLE_NUMBER MSG_EN_FONT_STYLE_NAME_BY_ROLE_TEXT 37"/>
    <w:basedOn w:val="98"/>
    <w:autoRedefine/>
    <w:uiPriority w:val="0"/>
    <w:rPr>
      <w:color w:val="000000"/>
      <w:spacing w:val="0"/>
      <w:w w:val="100"/>
      <w:position w:val="0"/>
      <w:sz w:val="24"/>
      <w:szCs w:val="24"/>
      <w:lang w:val="zh-CN" w:eastAsia="zh-CN" w:bidi="zh-CN"/>
    </w:rPr>
  </w:style>
  <w:style w:type="paragraph" w:customStyle="1" w:styleId="100">
    <w:name w:val="MSG_EN_FONT_STYLE_NAME_TEMPLATE_ROLE_LEVEL_NUMBER MSG_EN_FONT_STYLE_NAME_BY_ROLE_HEADING 5 8"/>
    <w:basedOn w:val="1"/>
    <w:autoRedefine/>
    <w:uiPriority w:val="0"/>
    <w:pPr>
      <w:shd w:val="clear" w:color="auto" w:fill="FFFFFF"/>
      <w:spacing w:line="804" w:lineRule="exact"/>
      <w:jc w:val="both"/>
      <w:outlineLvl w:val="4"/>
    </w:pPr>
    <w:rPr>
      <w:rFonts w:ascii="宋体" w:hAnsi="宋体" w:eastAsia="宋体" w:cs="宋体"/>
      <w:sz w:val="26"/>
      <w:szCs w:val="26"/>
    </w:rPr>
  </w:style>
  <w:style w:type="character" w:customStyle="1" w:styleId="101">
    <w:name w:val="MSG_EN_FONT_STYLE_NAME_TEMPLATE_ROLE_NUMBER MSG_EN_FONT_STYLE_NAME_BY_ROLE_TEXT 31 + MSG_EN_FONT_STYLE_MODIFER_SPACING 0"/>
    <w:basedOn w:val="80"/>
    <w:uiPriority w:val="0"/>
    <w:rPr>
      <w:color w:val="000000"/>
      <w:spacing w:val="0"/>
      <w:w w:val="100"/>
      <w:position w:val="0"/>
      <w:lang w:val="en-US" w:eastAsia="en-US" w:bidi="en-US"/>
    </w:rPr>
  </w:style>
  <w:style w:type="paragraph" w:customStyle="1" w:styleId="102">
    <w:name w:val="MSG_EN_FONT_STYLE_NAME_TEMPLATE_ROLE_NUMBER MSG_EN_FONT_STYLE_NAME_BY_ROLE_TEXT 34"/>
    <w:basedOn w:val="1"/>
    <w:link w:val="103"/>
    <w:autoRedefine/>
    <w:qFormat/>
    <w:uiPriority w:val="0"/>
    <w:pPr>
      <w:shd w:val="clear" w:color="auto" w:fill="FFFFFF"/>
      <w:spacing w:before="200" w:after="340" w:line="266" w:lineRule="exact"/>
    </w:pPr>
    <w:rPr>
      <w:spacing w:val="20"/>
      <w:lang w:val="en-US" w:eastAsia="en-US" w:bidi="en-US"/>
    </w:rPr>
  </w:style>
  <w:style w:type="character" w:customStyle="1" w:styleId="103">
    <w:name w:val="MSG_EN_FONT_STYLE_NAME_TEMPLATE_ROLE_NUMBER MSG_EN_FONT_STYLE_NAME_BY_ROLE_TEXT 34_"/>
    <w:basedOn w:val="25"/>
    <w:link w:val="102"/>
    <w:qFormat/>
    <w:uiPriority w:val="0"/>
    <w:rPr>
      <w:spacing w:val="20"/>
      <w:lang w:val="en-US" w:eastAsia="en-US" w:bidi="en-US"/>
    </w:rPr>
  </w:style>
  <w:style w:type="character" w:customStyle="1" w:styleId="104">
    <w:name w:val="MSG_EN_FONT_STYLE_NAME_TEMPLATE_ROLE_NUMBER MSG_EN_FONT_STYLE_NAME_BY_ROLE_TEXT 34 + MSG_EN_FONT_STYLE_MODIFER_SPACING 0"/>
    <w:basedOn w:val="103"/>
    <w:autoRedefine/>
    <w:qFormat/>
    <w:uiPriority w:val="0"/>
    <w:rPr>
      <w:rFonts w:ascii="Times New Roman" w:hAnsi="Times New Roman" w:eastAsia="Times New Roman" w:cs="Times New Roman"/>
      <w:color w:val="000000"/>
      <w:spacing w:val="10"/>
      <w:w w:val="100"/>
      <w:position w:val="0"/>
      <w:sz w:val="24"/>
      <w:szCs w:val="24"/>
    </w:rPr>
  </w:style>
  <w:style w:type="character" w:customStyle="1" w:styleId="105">
    <w:name w:val="MSG_EN_FONT_STYLE_NAME_TEMPLATE_ROLE_NUMBER MSG_EN_FONT_STYLE_NAME_BY_ROLE_TEXT 34 + MSG_EN_FONT_STYLE_MODIFER_NAME SimSun1"/>
    <w:basedOn w:val="103"/>
    <w:uiPriority w:val="0"/>
    <w:rPr>
      <w:rFonts w:ascii="宋体" w:hAnsi="宋体" w:eastAsia="宋体" w:cs="宋体"/>
      <w:color w:val="000000"/>
      <w:spacing w:val="30"/>
      <w:w w:val="100"/>
      <w:position w:val="0"/>
      <w:sz w:val="22"/>
      <w:szCs w:val="22"/>
      <w:lang w:val="zh-CN" w:eastAsia="zh-CN" w:bidi="zh-CN"/>
    </w:rPr>
  </w:style>
  <w:style w:type="character" w:customStyle="1" w:styleId="106">
    <w:name w:val="MSG_EN_FONT_STYLE_NAME_TEMPLATE_ROLE_NUMBER MSG_EN_FONT_STYLE_NAME_BY_ROLE_TEXT 241"/>
    <w:basedOn w:val="67"/>
    <w:uiPriority w:val="0"/>
    <w:rPr>
      <w:color w:val="000000"/>
      <w:spacing w:val="0"/>
      <w:w w:val="100"/>
      <w:position w:val="0"/>
      <w:u w:val="single"/>
      <w:lang w:val="zh-CN" w:eastAsia="zh-CN" w:bidi="zh-CN"/>
    </w:rPr>
  </w:style>
  <w:style w:type="character" w:customStyle="1" w:styleId="107">
    <w:name w:val="MSG_EN_FONT_STYLE_NAME_TEMPLATE_ROLE_NUMBER MSG_EN_FONT_STYLE_NAME_BY_ROLE_TEXT 32 + MSG_EN_FONT_STYLE_MODIFER_SPACING 3"/>
    <w:basedOn w:val="62"/>
    <w:autoRedefine/>
    <w:qFormat/>
    <w:uiPriority w:val="0"/>
    <w:rPr>
      <w:color w:val="000000"/>
      <w:spacing w:val="70"/>
      <w:w w:val="100"/>
      <w:position w:val="0"/>
      <w:lang w:val="zh-CN" w:eastAsia="zh-CN" w:bidi="zh-CN"/>
    </w:rPr>
  </w:style>
  <w:style w:type="character" w:customStyle="1" w:styleId="108">
    <w:name w:val="MSG_EN_FONT_STYLE_NAME_TEMPLATE_ROLE_NUMBER MSG_EN_FONT_STYLE_NAME_BY_ROLE_TEXT 32 + MSG_EN_FONT_STYLE_MODIFER_SIZE 121"/>
    <w:basedOn w:val="62"/>
    <w:autoRedefine/>
    <w:qFormat/>
    <w:uiPriority w:val="0"/>
    <w:rPr>
      <w:color w:val="000000"/>
      <w:spacing w:val="0"/>
      <w:w w:val="100"/>
      <w:position w:val="0"/>
      <w:sz w:val="24"/>
      <w:szCs w:val="24"/>
      <w:lang w:val="zh-CN" w:eastAsia="zh-CN" w:bidi="zh-CN"/>
    </w:rPr>
  </w:style>
  <w:style w:type="character" w:customStyle="1" w:styleId="109">
    <w:name w:val="MSG_EN_FONT_STYLE_NAME_TEMPLATE_ROLE_NUMBER MSG_EN_FONT_STYLE_NAME_BY_ROLE_TEXT 33 + MSG_EN_FONT_STYLE_MODIFER_NAME Times New Roman"/>
    <w:basedOn w:val="83"/>
    <w:autoRedefine/>
    <w:qFormat/>
    <w:uiPriority w:val="0"/>
    <w:rPr>
      <w:rFonts w:ascii="Times New Roman" w:hAnsi="Times New Roman" w:eastAsia="Times New Roman" w:cs="Times New Roman"/>
      <w:color w:val="000000"/>
      <w:spacing w:val="0"/>
      <w:w w:val="100"/>
      <w:position w:val="0"/>
      <w:sz w:val="24"/>
      <w:szCs w:val="24"/>
      <w:lang w:val="en-US" w:eastAsia="en-US" w:bidi="en-US"/>
    </w:rPr>
  </w:style>
  <w:style w:type="character" w:customStyle="1" w:styleId="110">
    <w:name w:val="MSG_EN_FONT_STYLE_NAME_TEMPLATE_ROLE_NUMBER MSG_EN_FONT_STYLE_NAME_BY_ROLE_TEXT 14 + MSG_EN_FONT_STYLE_MODIFER_SPACING 1"/>
    <w:basedOn w:val="71"/>
    <w:uiPriority w:val="0"/>
    <w:rPr>
      <w:color w:val="000000"/>
      <w:spacing w:val="20"/>
      <w:w w:val="100"/>
      <w:position w:val="0"/>
      <w:lang w:val="zh-CN" w:eastAsia="zh-CN" w:bidi="zh-CN"/>
    </w:rPr>
  </w:style>
  <w:style w:type="character" w:customStyle="1" w:styleId="111">
    <w:name w:val="MSG_EN_FONT_STYLE_NAME_TEMPLATE_ROLE_NUMBER MSG_EN_FONT_STYLE_NAME_BY_ROLE_TEXT 32 + MSG_EN_FONT_STYLE_MODIFER_SIZE 131"/>
    <w:basedOn w:val="62"/>
    <w:autoRedefine/>
    <w:qFormat/>
    <w:uiPriority w:val="0"/>
    <w:rPr>
      <w:color w:val="000000"/>
      <w:spacing w:val="0"/>
      <w:w w:val="100"/>
      <w:position w:val="0"/>
      <w:sz w:val="26"/>
      <w:szCs w:val="26"/>
      <w:lang w:val="en-US" w:eastAsia="en-US" w:bidi="en-US"/>
    </w:rPr>
  </w:style>
  <w:style w:type="character" w:customStyle="1" w:styleId="112">
    <w:name w:val="MSG_EN_FONT_STYLE_NAME_TEMPLATE_ROLE_NUMBER MSG_EN_FONT_STYLE_NAME_BY_ROLE_TEXT 33 + MSG_EN_FONT_STYLE_MODIFER_NAME Times New Roman8"/>
    <w:basedOn w:val="83"/>
    <w:uiPriority w:val="0"/>
    <w:rPr>
      <w:rFonts w:ascii="Times New Roman" w:hAnsi="Times New Roman" w:eastAsia="Times New Roman" w:cs="Times New Roman"/>
      <w:color w:val="000000"/>
      <w:spacing w:val="0"/>
      <w:w w:val="100"/>
      <w:position w:val="0"/>
      <w:sz w:val="22"/>
      <w:szCs w:val="22"/>
      <w:lang w:val="en-US" w:eastAsia="en-US" w:bidi="en-US"/>
    </w:rPr>
  </w:style>
  <w:style w:type="character" w:customStyle="1" w:styleId="113">
    <w:name w:val="MSG_EN_FONT_STYLE_NAME_TEMPLATE_ROLE_NUMBER MSG_EN_FONT_STYLE_NAME_BY_ROLE_TEXT 18 + MSG_EN_FONT_STYLE_MODIFER_SPACING 1"/>
    <w:basedOn w:val="57"/>
    <w:autoRedefine/>
    <w:qFormat/>
    <w:uiPriority w:val="0"/>
    <w:rPr>
      <w:color w:val="000000"/>
      <w:spacing w:val="20"/>
      <w:w w:val="100"/>
      <w:position w:val="0"/>
      <w:lang w:val="zh-CN" w:eastAsia="zh-CN" w:bidi="zh-CN"/>
    </w:rPr>
  </w:style>
  <w:style w:type="character" w:customStyle="1" w:styleId="114">
    <w:name w:val="MSG_EN_FONT_STYLE_NAME_TEMPLATE_ROLE_NUMBER MSG_EN_FONT_STYLE_NAME_BY_ROLE_TEXT 32 + MSG_EN_FONT_STYLE_MODIFER_SIZE 126"/>
    <w:basedOn w:val="62"/>
    <w:autoRedefine/>
    <w:qFormat/>
    <w:uiPriority w:val="0"/>
    <w:rPr>
      <w:color w:val="000000"/>
      <w:spacing w:val="10"/>
      <w:w w:val="100"/>
      <w:position w:val="0"/>
      <w:sz w:val="24"/>
      <w:szCs w:val="24"/>
      <w:lang w:val="zh-CN" w:eastAsia="zh-CN" w:bidi="zh-CN"/>
    </w:rPr>
  </w:style>
  <w:style w:type="character" w:customStyle="1" w:styleId="115">
    <w:name w:val="MSG_EN_FONT_STYLE_NAME_TEMPLATE_ROLE_NUMBER MSG_EN_FONT_STYLE_NAME_BY_ROLE_TEXT 332"/>
    <w:basedOn w:val="83"/>
    <w:autoRedefine/>
    <w:qFormat/>
    <w:uiPriority w:val="0"/>
    <w:rPr>
      <w:color w:val="000000"/>
      <w:spacing w:val="0"/>
      <w:w w:val="100"/>
      <w:position w:val="0"/>
      <w:sz w:val="24"/>
      <w:szCs w:val="24"/>
      <w:u w:val="single"/>
      <w:lang w:val="zh-CN" w:eastAsia="zh-CN" w:bidi="zh-CN"/>
    </w:rPr>
  </w:style>
  <w:style w:type="character" w:customStyle="1" w:styleId="116">
    <w:name w:val="MSG_EN_FONT_STYLE_NAME_TEMPLATE_ROLE_NUMBER MSG_EN_FONT_STYLE_NAME_BY_ROLE_TEXT 30 + MSG_EN_FONT_STYLE_MODIFER_SIZE 112"/>
    <w:basedOn w:val="90"/>
    <w:autoRedefine/>
    <w:qFormat/>
    <w:uiPriority w:val="0"/>
    <w:rPr>
      <w:color w:val="000000"/>
      <w:spacing w:val="0"/>
      <w:w w:val="100"/>
      <w:position w:val="0"/>
      <w:sz w:val="22"/>
      <w:szCs w:val="22"/>
      <w:lang w:val="en-US" w:eastAsia="en-US" w:bidi="en-US"/>
    </w:rPr>
  </w:style>
  <w:style w:type="character" w:customStyle="1" w:styleId="117">
    <w:name w:val="MSG_EN_FONT_STYLE_NAME_TEMPLATE_ROLE_NUMBER MSG_EN_FONT_STYLE_NAME_BY_ROLE_TEXT 32 + MSG_EN_FONT_STYLE_MODIFER_NAME Times New Roman"/>
    <w:basedOn w:val="62"/>
    <w:autoRedefine/>
    <w:qFormat/>
    <w:uiPriority w:val="0"/>
    <w:rPr>
      <w:rFonts w:ascii="Times New Roman" w:hAnsi="Times New Roman" w:eastAsia="Times New Roman" w:cs="Times New Roman"/>
      <w:color w:val="000000"/>
      <w:spacing w:val="0"/>
      <w:w w:val="100"/>
      <w:position w:val="0"/>
      <w:sz w:val="21"/>
      <w:szCs w:val="21"/>
      <w:lang w:val="en-US" w:eastAsia="en-US" w:bidi="en-US"/>
    </w:rPr>
  </w:style>
  <w:style w:type="character" w:customStyle="1" w:styleId="118">
    <w:name w:val="MSG_EN_FONT_STYLE_NAME_TEMPLATE_ROLE_NUMBER MSG_EN_FONT_STYLE_NAME_BY_ROLE_TEXT 33 + MSG_EN_FONT_STYLE_MODIFER_NAME Times New Roman10"/>
    <w:basedOn w:val="83"/>
    <w:qFormat/>
    <w:uiPriority w:val="0"/>
    <w:rPr>
      <w:rFonts w:ascii="Times New Roman" w:hAnsi="Times New Roman" w:eastAsia="Times New Roman" w:cs="Times New Roman"/>
      <w:color w:val="000000"/>
      <w:spacing w:val="0"/>
      <w:w w:val="100"/>
      <w:position w:val="0"/>
      <w:sz w:val="26"/>
      <w:szCs w:val="26"/>
      <w:lang w:val="en-US" w:eastAsia="en-US" w:bidi="en-US"/>
    </w:rPr>
  </w:style>
  <w:style w:type="character" w:customStyle="1" w:styleId="119">
    <w:name w:val="MSG_EN_FONT_STYLE_NAME_TEMPLATE_ROLE_NUMBER MSG_EN_FONT_STYLE_NAME_BY_ROLE_TEXT 18 + MSG_EN_FONT_STYLE_MODIFER_SIZE 111"/>
    <w:basedOn w:val="57"/>
    <w:autoRedefine/>
    <w:qFormat/>
    <w:uiPriority w:val="0"/>
    <w:rPr>
      <w:color w:val="000000"/>
      <w:spacing w:val="0"/>
      <w:w w:val="100"/>
      <w:position w:val="0"/>
      <w:sz w:val="22"/>
      <w:szCs w:val="22"/>
      <w:lang w:val="en-US" w:eastAsia="en-US" w:bidi="en-US"/>
    </w:rPr>
  </w:style>
  <w:style w:type="character" w:customStyle="1" w:styleId="120">
    <w:name w:val="MSG_EN_FONT_STYLE_NAME_TEMPLATE_ROLE_NUMBER MSG_EN_FONT_STYLE_NAME_BY_ROLE_TEXT 14 + MSG_EN_FONT_STYLE_MODIFER_SIZE 111"/>
    <w:basedOn w:val="71"/>
    <w:autoRedefine/>
    <w:qFormat/>
    <w:uiPriority w:val="0"/>
    <w:rPr>
      <w:color w:val="000000"/>
      <w:spacing w:val="0"/>
      <w:w w:val="100"/>
      <w:position w:val="0"/>
      <w:sz w:val="22"/>
      <w:szCs w:val="22"/>
      <w:lang w:val="zh-CN" w:eastAsia="zh-CN" w:bidi="zh-CN"/>
    </w:rPr>
  </w:style>
  <w:style w:type="character" w:customStyle="1" w:styleId="121">
    <w:name w:val="MSG_EN_FONT_STYLE_NAME_TEMPLATE_ROLE_NUMBER MSG_EN_FONT_STYLE_NAME_BY_ROLE_TEXT 33 + MSG_EN_FONT_STYLE_MODIFER_SPACING 1"/>
    <w:basedOn w:val="83"/>
    <w:qFormat/>
    <w:uiPriority w:val="0"/>
    <w:rPr>
      <w:color w:val="000000"/>
      <w:spacing w:val="20"/>
      <w:w w:val="100"/>
      <w:position w:val="0"/>
      <w:sz w:val="24"/>
      <w:szCs w:val="24"/>
      <w:lang w:val="zh-CN" w:eastAsia="zh-CN" w:bidi="zh-CN"/>
    </w:rPr>
  </w:style>
  <w:style w:type="character" w:customStyle="1" w:styleId="122">
    <w:name w:val="MSG_EN_FONT_STYLE_NAME_TEMPLATE_ROLE_NUMBER MSG_EN_FONT_STYLE_NAME_BY_ROLE_TEXT 32 + MSG_EN_FONT_STYLE_MODIFER_SIZE 124"/>
    <w:basedOn w:val="62"/>
    <w:autoRedefine/>
    <w:uiPriority w:val="0"/>
    <w:rPr>
      <w:color w:val="000000"/>
      <w:w w:val="100"/>
      <w:position w:val="0"/>
      <w:sz w:val="24"/>
      <w:szCs w:val="24"/>
      <w:lang w:val="zh-CN" w:eastAsia="zh-CN" w:bidi="zh-CN"/>
    </w:rPr>
  </w:style>
  <w:style w:type="character" w:customStyle="1" w:styleId="123">
    <w:name w:val="MSG_EN_FONT_STYLE_NAME_TEMPLATE_ROLE_NUMBER MSG_EN_FONT_STYLE_NAME_BY_ROLE_TEXT 33 + MSG_EN_FONT_STYLE_MODIFER_BOLD1"/>
    <w:basedOn w:val="83"/>
    <w:qFormat/>
    <w:uiPriority w:val="0"/>
    <w:rPr>
      <w:b/>
      <w:bCs/>
      <w:color w:val="000000"/>
      <w:spacing w:val="0"/>
      <w:w w:val="100"/>
      <w:position w:val="0"/>
      <w:sz w:val="24"/>
      <w:szCs w:val="24"/>
      <w:lang w:val="en-US" w:eastAsia="en-US" w:bidi="en-US"/>
    </w:rPr>
  </w:style>
  <w:style w:type="character" w:customStyle="1" w:styleId="124">
    <w:name w:val="MSG_EN_FONT_STYLE_NAME_TEMPLATE_ROLE_NUMBER MSG_EN_FONT_STYLE_NAME_BY_ROLE_TEXT 33 + MSG_EN_FONT_STYLE_MODIFER_NAME Times New Roman9"/>
    <w:basedOn w:val="83"/>
    <w:uiPriority w:val="0"/>
    <w:rPr>
      <w:rFonts w:ascii="Times New Roman" w:hAnsi="Times New Roman" w:eastAsia="Times New Roman" w:cs="Times New Roman"/>
      <w:color w:val="000000"/>
      <w:spacing w:val="0"/>
      <w:w w:val="100"/>
      <w:position w:val="0"/>
      <w:sz w:val="24"/>
      <w:szCs w:val="24"/>
      <w:u w:val="single"/>
      <w:lang w:val="en-US" w:eastAsia="en-US" w:bidi="en-US"/>
    </w:rPr>
  </w:style>
  <w:style w:type="paragraph" w:customStyle="1" w:styleId="125">
    <w:name w:val="MSG_EN_FONT_STYLE_NAME_TEMPLATE_ROLE_NUMBER MSG_EN_FONT_STYLE_NAME_BY_ROLE_RUNNING_TITLE 11"/>
    <w:basedOn w:val="1"/>
    <w:link w:val="126"/>
    <w:qFormat/>
    <w:uiPriority w:val="0"/>
    <w:pPr>
      <w:shd w:val="clear" w:color="auto" w:fill="FFFFFF"/>
      <w:spacing w:line="222" w:lineRule="exact"/>
    </w:pPr>
    <w:rPr>
      <w:sz w:val="20"/>
      <w:szCs w:val="20"/>
    </w:rPr>
  </w:style>
  <w:style w:type="character" w:customStyle="1" w:styleId="126">
    <w:name w:val="MSG_EN_FONT_STYLE_NAME_TEMPLATE_ROLE_NUMBER MSG_EN_FONT_STYLE_NAME_BY_ROLE_RUNNING_TITLE 11_"/>
    <w:basedOn w:val="25"/>
    <w:link w:val="125"/>
    <w:qFormat/>
    <w:uiPriority w:val="0"/>
    <w:rPr>
      <w:sz w:val="20"/>
      <w:szCs w:val="20"/>
    </w:rPr>
  </w:style>
  <w:style w:type="character" w:customStyle="1" w:styleId="127">
    <w:name w:val="MSG_EN_FONT_STYLE_NAME_TEMPLATE_ROLE_NUMBER MSG_EN_FONT_STYLE_NAME_BY_ROLE_RUNNING_TITLE 11 + MSG_EN_FONT_STYLE_MODIFER_SIZE 10.5"/>
    <w:basedOn w:val="126"/>
    <w:autoRedefine/>
    <w:qFormat/>
    <w:uiPriority w:val="0"/>
    <w:rPr>
      <w:rFonts w:ascii="Times New Roman" w:hAnsi="Times New Roman" w:eastAsia="Times New Roman" w:cs="Times New Roman"/>
      <w:i/>
      <w:iCs/>
      <w:color w:val="000000"/>
      <w:spacing w:val="0"/>
      <w:w w:val="100"/>
      <w:position w:val="0"/>
      <w:sz w:val="21"/>
      <w:szCs w:val="21"/>
      <w:lang w:val="zh-CN" w:eastAsia="zh-CN" w:bidi="zh-CN"/>
    </w:rPr>
  </w:style>
  <w:style w:type="character" w:customStyle="1" w:styleId="128">
    <w:name w:val="MSG_EN_FONT_STYLE_NAME_TEMPLATE_ROLE_NUMBER MSG_EN_FONT_STYLE_NAME_BY_ROLE_RUNNING_TITLE 11 + MSG_EN_FONT_STYLE_MODIFER_NAME SimSun5"/>
    <w:basedOn w:val="126"/>
    <w:qFormat/>
    <w:uiPriority w:val="0"/>
    <w:rPr>
      <w:rFonts w:ascii="宋体" w:hAnsi="宋体" w:eastAsia="宋体" w:cs="宋体"/>
      <w:color w:val="000000"/>
      <w:spacing w:val="10"/>
      <w:w w:val="100"/>
      <w:position w:val="0"/>
      <w:lang w:val="zh-CN" w:eastAsia="zh-CN" w:bidi="zh-CN"/>
    </w:rPr>
  </w:style>
  <w:style w:type="character" w:customStyle="1" w:styleId="129">
    <w:name w:val="MSG_EN_FONT_STYLE_NAME_TEMPLATE_ROLE_NUMBER MSG_EN_FONT_STYLE_NAME_BY_ROLE_RUNNING_TITLE 11 + MSG_EN_FONT_STYLE_MODIFER_SIZE 11"/>
    <w:basedOn w:val="126"/>
    <w:qFormat/>
    <w:uiPriority w:val="0"/>
    <w:rPr>
      <w:rFonts w:ascii="Times New Roman" w:hAnsi="Times New Roman" w:eastAsia="Times New Roman" w:cs="Times New Roman"/>
      <w:color w:val="000000"/>
      <w:spacing w:val="0"/>
      <w:w w:val="100"/>
      <w:position w:val="0"/>
      <w:sz w:val="22"/>
      <w:szCs w:val="22"/>
      <w:lang w:val="en-US" w:eastAsia="en-US" w:bidi="en-US"/>
    </w:rPr>
  </w:style>
  <w:style w:type="character" w:customStyle="1" w:styleId="130">
    <w:name w:val="MSG_EN_FONT_STYLE_NAME_TEMPLATE_ROLE_NUMBER MSG_EN_FONT_STYLE_NAME_BY_ROLE_RUNNING_TITLE 11 + MSG_EN_FONT_STYLE_MODIFER_SIZE 111"/>
    <w:basedOn w:val="126"/>
    <w:uiPriority w:val="0"/>
    <w:rPr>
      <w:rFonts w:ascii="Times New Roman" w:hAnsi="Times New Roman" w:eastAsia="Times New Roman" w:cs="Times New Roman"/>
      <w:i/>
      <w:iCs/>
      <w:color w:val="000000"/>
      <w:spacing w:val="0"/>
      <w:w w:val="100"/>
      <w:position w:val="0"/>
      <w:sz w:val="22"/>
      <w:szCs w:val="22"/>
      <w:lang w:val="zh-CN" w:eastAsia="zh-CN" w:bidi="zh-CN"/>
    </w:rPr>
  </w:style>
  <w:style w:type="character" w:customStyle="1" w:styleId="131">
    <w:name w:val="MSG_EN_FONT_STYLE_NAME_TEMPLATE_ROLE_NUMBER MSG_EN_FONT_STYLE_NAME_BY_ROLE_TEXT 33 + MSG_EN_FONT_STYLE_MODIFER_SPACING 01"/>
    <w:basedOn w:val="83"/>
    <w:uiPriority w:val="0"/>
    <w:rPr>
      <w:color w:val="000000"/>
      <w:spacing w:val="10"/>
      <w:w w:val="100"/>
      <w:position w:val="0"/>
      <w:sz w:val="24"/>
      <w:szCs w:val="24"/>
      <w:lang w:val="zh-CN" w:eastAsia="zh-CN" w:bidi="zh-CN"/>
    </w:rPr>
  </w:style>
  <w:style w:type="paragraph" w:customStyle="1" w:styleId="132">
    <w:name w:val="Table Text"/>
    <w:basedOn w:val="1"/>
    <w:semiHidden/>
    <w:qFormat/>
    <w:uiPriority w:val="0"/>
    <w:rPr>
      <w:rFonts w:ascii="宋体" w:hAnsi="宋体" w:eastAsia="宋体" w:cs="宋体"/>
      <w:sz w:val="16"/>
      <w:szCs w:val="16"/>
      <w:lang w:val="en-US" w:eastAsia="en-US" w:bidi="ar-SA"/>
    </w:rPr>
  </w:style>
  <w:style w:type="table" w:customStyle="1" w:styleId="13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35235</Words>
  <Characters>37028</Characters>
  <Lines>0</Lines>
  <Paragraphs>0</Paragraphs>
  <TotalTime>4</TotalTime>
  <ScaleCrop>false</ScaleCrop>
  <LinksUpToDate>false</LinksUpToDate>
  <CharactersWithSpaces>43632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2023-08-30T00:29:00Z</dcterms:created>
  <dc:creator>Root</dc:creator>
  <cp:lastModifiedBy>NTKO</cp:lastModifiedBy>
  <dcterms:modified xsi:type="dcterms:W3CDTF">2024-04-15T02:10:49Z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20F617049D1740C08E30E8C89249D91C_13</vt:lpwstr>
  </property>
</Properties>
</file>