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80"/>
        </w:tabs>
        <w:jc w:val="center"/>
        <w:rPr>
          <w:rFonts w:ascii="仿宋_GB2312" w:eastAsia="仿宋_GB2312"/>
          <w:color w:val="auto"/>
          <w:sz w:val="72"/>
          <w:szCs w:val="72"/>
        </w:rPr>
      </w:pPr>
      <w:r>
        <w:rPr>
          <w:rFonts w:hint="eastAsia" w:ascii="仿宋_GB2312" w:eastAsia="仿宋_GB2312"/>
          <w:color w:val="auto"/>
          <w:sz w:val="72"/>
          <w:szCs w:val="72"/>
        </w:rPr>
        <w:t>瑞安市公共资源交易中心</w:t>
      </w:r>
    </w:p>
    <w:p>
      <w:pPr>
        <w:rPr>
          <w:rFonts w:eastAsia="汉鼎简中楷"/>
          <w:color w:val="auto"/>
          <w:sz w:val="52"/>
        </w:rPr>
      </w:pPr>
    </w:p>
    <w:p>
      <w:pPr>
        <w:tabs>
          <w:tab w:val="left" w:pos="5167"/>
        </w:tabs>
        <w:rPr>
          <w:rFonts w:eastAsia="汉鼎简中楷"/>
          <w:color w:val="auto"/>
          <w:sz w:val="72"/>
        </w:rPr>
      </w:pPr>
      <w:bookmarkStart w:id="0" w:name="_Hlt162751967"/>
      <w:bookmarkEnd w:id="0"/>
      <w:r>
        <w:rPr>
          <w:rFonts w:hint="eastAsia" w:eastAsia="汉鼎简中楷"/>
          <w:color w:val="auto"/>
          <w:sz w:val="72"/>
        </w:rPr>
        <w:tab/>
      </w:r>
    </w:p>
    <w:p>
      <w:pPr>
        <w:jc w:val="center"/>
        <w:rPr>
          <w:rFonts w:ascii="楷体_GB2312" w:eastAsia="楷体_GB2312"/>
          <w:b/>
          <w:bCs/>
          <w:color w:val="auto"/>
          <w:sz w:val="72"/>
        </w:rPr>
      </w:pPr>
      <w:r>
        <w:rPr>
          <w:rFonts w:hint="eastAsia" w:ascii="楷体_GB2312" w:eastAsia="楷体_GB2312"/>
          <w:b/>
          <w:bCs/>
          <w:color w:val="auto"/>
          <w:sz w:val="72"/>
        </w:rPr>
        <w:t>磋 商 文 件</w:t>
      </w:r>
    </w:p>
    <w:p>
      <w:pPr>
        <w:rPr>
          <w:rFonts w:ascii="汉鼎简中楷" w:eastAsia="汉鼎简中楷"/>
          <w:color w:val="0000FF"/>
          <w:sz w:val="30"/>
        </w:rPr>
      </w:pPr>
    </w:p>
    <w:p>
      <w:pPr>
        <w:pStyle w:val="242"/>
        <w:rPr>
          <w:color w:val="0000FF"/>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vAlign w:val="center"/>
          </w:tcPr>
          <w:p>
            <w:pPr>
              <w:spacing w:line="360" w:lineRule="auto"/>
              <w:jc w:val="right"/>
              <w:rPr>
                <w:rFonts w:ascii="宋体" w:hAnsi="宋体"/>
                <w:color w:val="auto"/>
                <w:kern w:val="2"/>
                <w:sz w:val="30"/>
                <w:szCs w:val="30"/>
              </w:rPr>
            </w:pPr>
            <w:r>
              <w:rPr>
                <w:rFonts w:hint="eastAsia" w:ascii="宋体" w:hAnsi="宋体"/>
                <w:color w:val="auto"/>
                <w:kern w:val="2"/>
                <w:sz w:val="30"/>
                <w:szCs w:val="30"/>
              </w:rPr>
              <w:t>项 目 编 号：</w:t>
            </w:r>
          </w:p>
        </w:tc>
        <w:tc>
          <w:tcPr>
            <w:tcW w:w="5811" w:type="dxa"/>
            <w:tcBorders>
              <w:top w:val="nil"/>
              <w:left w:val="nil"/>
              <w:bottom w:val="nil"/>
              <w:right w:val="nil"/>
            </w:tcBorders>
            <w:vAlign w:val="center"/>
          </w:tcPr>
          <w:p>
            <w:pPr>
              <w:spacing w:line="360" w:lineRule="auto"/>
              <w:jc w:val="both"/>
              <w:rPr>
                <w:rFonts w:hint="eastAsia" w:ascii="宋体" w:hAnsi="宋体" w:eastAsia="宋体"/>
                <w:color w:val="auto"/>
                <w:kern w:val="2"/>
                <w:sz w:val="30"/>
                <w:szCs w:val="30"/>
                <w:lang w:eastAsia="zh-CN"/>
              </w:rPr>
            </w:pPr>
            <w:r>
              <w:rPr>
                <w:rFonts w:hint="eastAsia" w:ascii="宋体" w:hAnsi="宋体"/>
                <w:color w:val="auto"/>
                <w:kern w:val="2"/>
                <w:sz w:val="30"/>
                <w:szCs w:val="30"/>
                <w:lang w:eastAsia="zh-CN"/>
              </w:rPr>
              <w:t>ZGCG20222008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vAlign w:val="center"/>
          </w:tcPr>
          <w:p>
            <w:pPr>
              <w:spacing w:line="360" w:lineRule="auto"/>
              <w:jc w:val="right"/>
              <w:rPr>
                <w:rFonts w:ascii="宋体" w:hAnsi="宋体"/>
                <w:color w:val="auto"/>
                <w:kern w:val="2"/>
                <w:sz w:val="30"/>
                <w:szCs w:val="30"/>
              </w:rPr>
            </w:pPr>
            <w:r>
              <w:rPr>
                <w:rFonts w:hint="eastAsia" w:ascii="宋体" w:hAnsi="宋体"/>
                <w:color w:val="auto"/>
                <w:kern w:val="2"/>
                <w:sz w:val="30"/>
                <w:szCs w:val="30"/>
              </w:rPr>
              <w:t>项 目 名 称：</w:t>
            </w:r>
          </w:p>
        </w:tc>
        <w:tc>
          <w:tcPr>
            <w:tcW w:w="5811" w:type="dxa"/>
            <w:tcBorders>
              <w:top w:val="nil"/>
              <w:left w:val="nil"/>
              <w:bottom w:val="nil"/>
              <w:right w:val="nil"/>
            </w:tcBorders>
            <w:vAlign w:val="center"/>
          </w:tcPr>
          <w:p>
            <w:pPr>
              <w:spacing w:line="360" w:lineRule="auto"/>
              <w:jc w:val="both"/>
              <w:rPr>
                <w:rFonts w:hint="eastAsia" w:ascii="宋体" w:hAnsi="宋体" w:eastAsia="宋体"/>
                <w:color w:val="auto"/>
                <w:spacing w:val="-20"/>
                <w:kern w:val="2"/>
                <w:sz w:val="30"/>
                <w:szCs w:val="30"/>
                <w:lang w:eastAsia="zh-CN"/>
              </w:rPr>
            </w:pPr>
            <w:r>
              <w:rPr>
                <w:rFonts w:hint="eastAsia" w:ascii="宋体" w:hAnsi="宋体"/>
                <w:color w:val="auto"/>
                <w:kern w:val="2"/>
                <w:sz w:val="30"/>
                <w:szCs w:val="30"/>
                <w:lang w:eastAsia="zh-CN"/>
              </w:rPr>
              <w:t>曹村镇无废村镇试点（垃圾分类主题公园扩建二期）配套环保工程设备采购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71" w:type="dxa"/>
            <w:tcBorders>
              <w:top w:val="nil"/>
              <w:left w:val="nil"/>
              <w:bottom w:val="nil"/>
              <w:right w:val="nil"/>
            </w:tcBorders>
            <w:vAlign w:val="center"/>
          </w:tcPr>
          <w:p>
            <w:pPr>
              <w:spacing w:line="360" w:lineRule="auto"/>
              <w:jc w:val="right"/>
              <w:rPr>
                <w:rFonts w:ascii="宋体" w:hAnsi="宋体"/>
                <w:color w:val="auto"/>
                <w:kern w:val="2"/>
                <w:sz w:val="30"/>
                <w:szCs w:val="30"/>
              </w:rPr>
            </w:pPr>
            <w:r>
              <w:rPr>
                <w:rFonts w:hint="eastAsia" w:ascii="宋体" w:hAnsi="宋体"/>
                <w:color w:val="auto"/>
                <w:kern w:val="2"/>
                <w:sz w:val="30"/>
                <w:szCs w:val="30"/>
              </w:rPr>
              <w:t>采 购 方 式：</w:t>
            </w:r>
          </w:p>
        </w:tc>
        <w:tc>
          <w:tcPr>
            <w:tcW w:w="5811" w:type="dxa"/>
            <w:tcBorders>
              <w:top w:val="nil"/>
              <w:left w:val="nil"/>
              <w:bottom w:val="nil"/>
              <w:right w:val="nil"/>
            </w:tcBorders>
            <w:vAlign w:val="center"/>
          </w:tcPr>
          <w:p>
            <w:pPr>
              <w:spacing w:line="360" w:lineRule="auto"/>
              <w:jc w:val="both"/>
              <w:rPr>
                <w:rFonts w:ascii="宋体" w:hAnsi="宋体"/>
                <w:color w:val="auto"/>
                <w:kern w:val="2"/>
                <w:sz w:val="30"/>
                <w:szCs w:val="30"/>
              </w:rPr>
            </w:pPr>
            <w:r>
              <w:rPr>
                <w:rFonts w:hint="eastAsia" w:ascii="宋体" w:hAnsi="宋体"/>
                <w:color w:val="auto"/>
                <w:kern w:val="2"/>
                <w:sz w:val="30"/>
                <w:szCs w:val="30"/>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vAlign w:val="center"/>
          </w:tcPr>
          <w:p>
            <w:pPr>
              <w:spacing w:line="360" w:lineRule="auto"/>
              <w:jc w:val="right"/>
              <w:rPr>
                <w:rFonts w:ascii="宋体" w:hAnsi="宋体"/>
                <w:color w:val="0000FF"/>
                <w:kern w:val="2"/>
                <w:sz w:val="30"/>
                <w:szCs w:val="30"/>
              </w:rPr>
            </w:pPr>
          </w:p>
        </w:tc>
        <w:tc>
          <w:tcPr>
            <w:tcW w:w="5811" w:type="dxa"/>
            <w:tcBorders>
              <w:top w:val="nil"/>
              <w:left w:val="nil"/>
              <w:bottom w:val="nil"/>
              <w:right w:val="nil"/>
            </w:tcBorders>
            <w:vAlign w:val="center"/>
          </w:tcPr>
          <w:p>
            <w:pPr>
              <w:spacing w:line="360" w:lineRule="auto"/>
              <w:jc w:val="both"/>
              <w:rPr>
                <w:rFonts w:ascii="宋体" w:hAnsi="宋体"/>
                <w:color w:val="0000FF"/>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2271" w:type="dxa"/>
            <w:tcBorders>
              <w:top w:val="nil"/>
              <w:left w:val="nil"/>
              <w:bottom w:val="nil"/>
              <w:right w:val="nil"/>
            </w:tcBorders>
            <w:vAlign w:val="center"/>
          </w:tcPr>
          <w:p>
            <w:pPr>
              <w:spacing w:line="360" w:lineRule="auto"/>
              <w:ind w:right="150"/>
              <w:jc w:val="right"/>
              <w:rPr>
                <w:rFonts w:ascii="宋体" w:hAnsi="宋体"/>
                <w:color w:val="0000FF"/>
                <w:kern w:val="2"/>
                <w:sz w:val="30"/>
                <w:szCs w:val="30"/>
              </w:rPr>
            </w:pPr>
          </w:p>
        </w:tc>
        <w:tc>
          <w:tcPr>
            <w:tcW w:w="5811" w:type="dxa"/>
            <w:tcBorders>
              <w:top w:val="nil"/>
              <w:left w:val="nil"/>
              <w:bottom w:val="nil"/>
              <w:right w:val="nil"/>
            </w:tcBorders>
            <w:vAlign w:val="center"/>
          </w:tcPr>
          <w:p>
            <w:pPr>
              <w:spacing w:line="360" w:lineRule="auto"/>
              <w:jc w:val="both"/>
              <w:rPr>
                <w:rFonts w:ascii="宋体" w:hAnsi="宋体"/>
                <w:color w:val="0000FF"/>
                <w:kern w:val="2"/>
                <w:sz w:val="30"/>
                <w:szCs w:val="30"/>
              </w:rPr>
            </w:pPr>
          </w:p>
          <w:p>
            <w:pPr>
              <w:pStyle w:val="3"/>
              <w:rPr>
                <w:rFonts w:hAnsi="Calibri"/>
                <w:color w:val="0000FF"/>
                <w:szCs w:val="22"/>
              </w:rPr>
            </w:pPr>
          </w:p>
          <w:p>
            <w:pPr>
              <w:pStyle w:val="3"/>
              <w:rPr>
                <w:rFonts w:hAnsi="Calibri"/>
                <w:color w:val="0000FF"/>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tcPr>
          <w:p>
            <w:pPr>
              <w:spacing w:line="360" w:lineRule="auto"/>
              <w:jc w:val="center"/>
              <w:rPr>
                <w:rFonts w:ascii="宋体" w:hAnsi="宋体"/>
                <w:color w:val="auto"/>
                <w:kern w:val="2"/>
                <w:sz w:val="30"/>
                <w:szCs w:val="30"/>
              </w:rPr>
            </w:pPr>
            <w:r>
              <w:rPr>
                <w:rFonts w:hint="eastAsia" w:ascii="宋体" w:hAnsi="宋体"/>
                <w:color w:val="auto"/>
                <w:kern w:val="2"/>
                <w:sz w:val="30"/>
                <w:szCs w:val="30"/>
              </w:rPr>
              <w:t>采  购  人：</w:t>
            </w:r>
          </w:p>
        </w:tc>
        <w:tc>
          <w:tcPr>
            <w:tcW w:w="5811" w:type="dxa"/>
            <w:tcBorders>
              <w:top w:val="nil"/>
              <w:left w:val="nil"/>
              <w:bottom w:val="nil"/>
              <w:right w:val="nil"/>
            </w:tcBorders>
            <w:vAlign w:val="center"/>
          </w:tcPr>
          <w:p>
            <w:pPr>
              <w:spacing w:line="360" w:lineRule="auto"/>
              <w:jc w:val="both"/>
              <w:rPr>
                <w:rFonts w:hint="eastAsia" w:ascii="宋体" w:hAnsi="宋体" w:eastAsia="宋体"/>
                <w:color w:val="auto"/>
                <w:kern w:val="2"/>
                <w:sz w:val="30"/>
                <w:szCs w:val="30"/>
                <w:lang w:eastAsia="zh-CN"/>
              </w:rPr>
            </w:pPr>
            <w:r>
              <w:rPr>
                <w:rFonts w:hint="eastAsia" w:ascii="宋体" w:hAnsi="宋体"/>
                <w:color w:val="auto"/>
                <w:kern w:val="2"/>
                <w:sz w:val="30"/>
                <w:szCs w:val="30"/>
                <w:lang w:eastAsia="zh-CN"/>
              </w:rPr>
              <w:t>瑞安市曹村镇人民政府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vAlign w:val="center"/>
          </w:tcPr>
          <w:p>
            <w:pPr>
              <w:spacing w:line="360" w:lineRule="auto"/>
              <w:jc w:val="right"/>
              <w:rPr>
                <w:rFonts w:ascii="宋体" w:hAnsi="宋体"/>
                <w:color w:val="auto"/>
                <w:kern w:val="2"/>
                <w:sz w:val="30"/>
                <w:szCs w:val="30"/>
              </w:rPr>
            </w:pPr>
            <w:r>
              <w:rPr>
                <w:rFonts w:hint="eastAsia" w:ascii="宋体" w:hAnsi="宋体"/>
                <w:color w:val="auto"/>
                <w:kern w:val="2"/>
                <w:sz w:val="30"/>
                <w:szCs w:val="30"/>
              </w:rPr>
              <w:t>采购代理机构：</w:t>
            </w:r>
          </w:p>
        </w:tc>
        <w:tc>
          <w:tcPr>
            <w:tcW w:w="5811" w:type="dxa"/>
            <w:tcBorders>
              <w:top w:val="nil"/>
              <w:left w:val="nil"/>
              <w:bottom w:val="nil"/>
              <w:right w:val="nil"/>
            </w:tcBorders>
            <w:vAlign w:val="center"/>
          </w:tcPr>
          <w:p>
            <w:pPr>
              <w:spacing w:line="360" w:lineRule="auto"/>
              <w:jc w:val="both"/>
              <w:rPr>
                <w:rFonts w:hint="eastAsia" w:ascii="宋体" w:hAnsi="宋体" w:eastAsia="宋体"/>
                <w:color w:val="auto"/>
                <w:kern w:val="2"/>
                <w:sz w:val="30"/>
                <w:szCs w:val="30"/>
                <w:lang w:eastAsia="zh-CN"/>
              </w:rPr>
            </w:pPr>
            <w:r>
              <w:rPr>
                <w:rFonts w:hint="eastAsia" w:ascii="宋体" w:hAnsi="宋体"/>
                <w:color w:val="auto"/>
                <w:kern w:val="2"/>
                <w:sz w:val="30"/>
                <w:szCs w:val="30"/>
                <w:lang w:eastAsia="zh-CN"/>
              </w:rPr>
              <w:t>浙江中格工程项目管理有限公司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1" w:type="dxa"/>
            <w:tcBorders>
              <w:top w:val="nil"/>
              <w:left w:val="nil"/>
              <w:bottom w:val="nil"/>
              <w:right w:val="nil"/>
            </w:tcBorders>
            <w:vAlign w:val="center"/>
          </w:tcPr>
          <w:p>
            <w:pPr>
              <w:spacing w:line="360" w:lineRule="auto"/>
              <w:jc w:val="right"/>
              <w:rPr>
                <w:rFonts w:ascii="宋体" w:hAnsi="宋体"/>
                <w:color w:val="auto"/>
                <w:kern w:val="2"/>
                <w:sz w:val="30"/>
                <w:szCs w:val="30"/>
              </w:rPr>
            </w:pPr>
          </w:p>
        </w:tc>
        <w:tc>
          <w:tcPr>
            <w:tcW w:w="5811" w:type="dxa"/>
            <w:tcBorders>
              <w:top w:val="nil"/>
              <w:left w:val="nil"/>
              <w:bottom w:val="nil"/>
              <w:right w:val="nil"/>
            </w:tcBorders>
            <w:vAlign w:val="center"/>
          </w:tcPr>
          <w:p>
            <w:pPr>
              <w:spacing w:line="360" w:lineRule="auto"/>
              <w:jc w:val="both"/>
              <w:rPr>
                <w:rFonts w:ascii="宋体" w:hAnsi="宋体"/>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2" w:type="dxa"/>
            <w:gridSpan w:val="2"/>
            <w:tcBorders>
              <w:top w:val="nil"/>
              <w:left w:val="nil"/>
              <w:bottom w:val="nil"/>
              <w:right w:val="nil"/>
            </w:tcBorders>
            <w:vAlign w:val="center"/>
          </w:tcPr>
          <w:p>
            <w:pPr>
              <w:spacing w:line="360" w:lineRule="auto"/>
              <w:ind w:firstLine="2550" w:firstLineChars="850"/>
              <w:rPr>
                <w:rFonts w:ascii="宋体" w:hAnsi="宋体"/>
                <w:color w:val="auto"/>
                <w:kern w:val="2"/>
                <w:sz w:val="30"/>
                <w:szCs w:val="30"/>
              </w:rPr>
            </w:pPr>
            <w:r>
              <w:rPr>
                <w:rFonts w:hint="eastAsia" w:ascii="宋体" w:hAnsi="宋体"/>
                <w:color w:val="auto"/>
                <w:kern w:val="2"/>
                <w:sz w:val="30"/>
                <w:szCs w:val="30"/>
              </w:rPr>
              <w:t>二○二二年</w:t>
            </w:r>
            <w:r>
              <w:rPr>
                <w:rFonts w:hint="eastAsia" w:ascii="宋体" w:hAnsi="宋体"/>
                <w:color w:val="auto"/>
                <w:kern w:val="2"/>
                <w:sz w:val="30"/>
                <w:szCs w:val="30"/>
                <w:lang w:val="en-US" w:eastAsia="zh-CN"/>
              </w:rPr>
              <w:t>十</w:t>
            </w:r>
            <w:r>
              <w:rPr>
                <w:rFonts w:hint="eastAsia" w:ascii="宋体" w:hAnsi="宋体"/>
                <w:color w:val="auto"/>
                <w:kern w:val="2"/>
                <w:sz w:val="30"/>
                <w:szCs w:val="30"/>
              </w:rPr>
              <w:t>月</w:t>
            </w:r>
          </w:p>
        </w:tc>
      </w:tr>
    </w:tbl>
    <w:p>
      <w:pPr>
        <w:spacing w:before="312" w:beforeLines="100" w:after="312" w:afterLines="100" w:line="360" w:lineRule="auto"/>
        <w:jc w:val="center"/>
        <w:rPr>
          <w:rFonts w:ascii="宋体" w:hAnsi="宋体" w:cs="宋体"/>
          <w:b/>
          <w:color w:val="0000FF"/>
          <w:sz w:val="32"/>
          <w:szCs w:val="32"/>
        </w:rPr>
      </w:pPr>
    </w:p>
    <w:p>
      <w:pPr>
        <w:spacing w:before="312" w:beforeLines="100" w:after="312" w:afterLines="100" w:line="360" w:lineRule="auto"/>
        <w:jc w:val="center"/>
        <w:rPr>
          <w:rFonts w:ascii="宋体" w:hAnsi="宋体" w:cs="宋体"/>
          <w:b/>
          <w:color w:val="auto"/>
          <w:sz w:val="32"/>
          <w:szCs w:val="32"/>
        </w:rPr>
      </w:pPr>
      <w:r>
        <w:rPr>
          <w:rFonts w:hint="eastAsia" w:ascii="宋体" w:hAnsi="宋体" w:cs="宋体"/>
          <w:b/>
          <w:color w:val="auto"/>
          <w:sz w:val="32"/>
          <w:szCs w:val="32"/>
        </w:rPr>
        <w:t>目    录</w:t>
      </w:r>
    </w:p>
    <w:p>
      <w:pPr>
        <w:pStyle w:val="33"/>
        <w:tabs>
          <w:tab w:val="right" w:leader="dot" w:pos="9356"/>
          <w:tab w:val="clear" w:pos="8948"/>
        </w:tabs>
        <w:spacing w:line="480" w:lineRule="auto"/>
        <w:rPr>
          <w:color w:val="auto"/>
        </w:rPr>
      </w:pPr>
      <w:r>
        <w:rPr>
          <w:rFonts w:hint="eastAsia" w:cs="宋体"/>
          <w:b w:val="0"/>
          <w:color w:val="auto"/>
          <w:kern w:val="2"/>
        </w:rPr>
        <w:fldChar w:fldCharType="begin"/>
      </w:r>
      <w:r>
        <w:rPr>
          <w:rFonts w:hint="eastAsia" w:cs="宋体"/>
          <w:b w:val="0"/>
          <w:color w:val="auto"/>
          <w:kern w:val="2"/>
        </w:rPr>
        <w:instrText xml:space="preserve"> TOC \o "1-3" \h \z \u </w:instrText>
      </w:r>
      <w:r>
        <w:rPr>
          <w:rFonts w:hint="eastAsia" w:cs="宋体"/>
          <w:b w:val="0"/>
          <w:color w:val="auto"/>
          <w:kern w:val="2"/>
        </w:rPr>
        <w:fldChar w:fldCharType="separate"/>
      </w:r>
      <w:r>
        <w:rPr>
          <w:color w:val="auto"/>
        </w:rPr>
        <w:fldChar w:fldCharType="begin"/>
      </w:r>
      <w:r>
        <w:rPr>
          <w:color w:val="auto"/>
        </w:rPr>
        <w:instrText xml:space="preserve"> HYPERLINK \l "_Toc11747" </w:instrText>
      </w:r>
      <w:r>
        <w:rPr>
          <w:color w:val="auto"/>
        </w:rPr>
        <w:fldChar w:fldCharType="separate"/>
      </w:r>
      <w:r>
        <w:rPr>
          <w:rFonts w:hint="eastAsia"/>
          <w:color w:val="auto"/>
          <w:szCs w:val="36"/>
        </w:rPr>
        <w:t>第一部分  采购公告</w:t>
      </w:r>
      <w:r>
        <w:rPr>
          <w:color w:val="auto"/>
        </w:rPr>
        <w:tab/>
      </w:r>
      <w:r>
        <w:rPr>
          <w:color w:val="auto"/>
        </w:rPr>
        <w:fldChar w:fldCharType="begin"/>
      </w:r>
      <w:r>
        <w:rPr>
          <w:color w:val="auto"/>
        </w:rPr>
        <w:instrText xml:space="preserve"> PAGEREF _Toc11747 \h </w:instrText>
      </w:r>
      <w:r>
        <w:rPr>
          <w:color w:val="auto"/>
        </w:rPr>
        <w:fldChar w:fldCharType="separate"/>
      </w:r>
      <w:r>
        <w:rPr>
          <w:color w:val="auto"/>
        </w:rPr>
        <w:t>1</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"_Toc12951" </w:instrText>
      </w:r>
      <w:r>
        <w:rPr>
          <w:color w:val="auto"/>
        </w:rPr>
        <w:fldChar w:fldCharType="separate"/>
      </w:r>
      <w:r>
        <w:rPr>
          <w:rFonts w:hint="eastAsia" w:cs="宋体"/>
          <w:color w:val="auto"/>
          <w:szCs w:val="36"/>
        </w:rPr>
        <w:t>第二部分  磋商供应商须知</w:t>
      </w:r>
      <w:r>
        <w:rPr>
          <w:color w:val="auto"/>
        </w:rPr>
        <w:tab/>
      </w:r>
      <w:r>
        <w:rPr>
          <w:color w:val="auto"/>
        </w:rPr>
        <w:fldChar w:fldCharType="begin"/>
      </w:r>
      <w:r>
        <w:rPr>
          <w:color w:val="auto"/>
        </w:rPr>
        <w:instrText xml:space="preserve"> PAGEREF _Toc12951 \h </w:instrText>
      </w:r>
      <w:r>
        <w:rPr>
          <w:color w:val="auto"/>
        </w:rPr>
        <w:fldChar w:fldCharType="separate"/>
      </w:r>
      <w:r>
        <w:rPr>
          <w:color w:val="auto"/>
        </w:rPr>
        <w:t>4</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"_Toc18817" </w:instrText>
      </w:r>
      <w:r>
        <w:rPr>
          <w:color w:val="auto"/>
        </w:rPr>
        <w:fldChar w:fldCharType="separate"/>
      </w:r>
      <w:r>
        <w:rPr>
          <w:rFonts w:hint="eastAsia" w:cs="宋体"/>
          <w:color w:val="auto"/>
          <w:szCs w:val="36"/>
        </w:rPr>
        <w:t>第三部分  竞争性磋商内容及要求</w:t>
      </w:r>
      <w:r>
        <w:rPr>
          <w:color w:val="auto"/>
        </w:rPr>
        <w:tab/>
      </w:r>
      <w:r>
        <w:rPr>
          <w:color w:val="auto"/>
        </w:rPr>
        <w:fldChar w:fldCharType="begin"/>
      </w:r>
      <w:r>
        <w:rPr>
          <w:color w:val="auto"/>
        </w:rPr>
        <w:instrText xml:space="preserve"> PAGEREF _Toc18817 \h </w:instrText>
      </w:r>
      <w:r>
        <w:rPr>
          <w:color w:val="auto"/>
        </w:rPr>
        <w:fldChar w:fldCharType="separate"/>
      </w:r>
      <w:r>
        <w:rPr>
          <w:color w:val="auto"/>
        </w:rPr>
        <w:t>20</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"_Toc8109" </w:instrText>
      </w:r>
      <w:r>
        <w:rPr>
          <w:color w:val="auto"/>
        </w:rPr>
        <w:fldChar w:fldCharType="separate"/>
      </w:r>
      <w:r>
        <w:rPr>
          <w:rFonts w:hint="eastAsia"/>
          <w:color w:val="auto"/>
          <w:szCs w:val="36"/>
        </w:rPr>
        <w:t>第四部分  合同条款</w:t>
      </w:r>
      <w:r>
        <w:rPr>
          <w:color w:val="auto"/>
        </w:rPr>
        <w:tab/>
      </w:r>
      <w:r>
        <w:rPr>
          <w:color w:val="auto"/>
        </w:rPr>
        <w:fldChar w:fldCharType="begin"/>
      </w:r>
      <w:r>
        <w:rPr>
          <w:color w:val="auto"/>
        </w:rPr>
        <w:instrText xml:space="preserve"> PAGEREF _Toc8109 \h </w:instrText>
      </w:r>
      <w:r>
        <w:rPr>
          <w:color w:val="auto"/>
        </w:rPr>
        <w:fldChar w:fldCharType="separate"/>
      </w:r>
      <w:r>
        <w:rPr>
          <w:color w:val="auto"/>
        </w:rPr>
        <w:t>35</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"_Toc27465" </w:instrText>
      </w:r>
      <w:r>
        <w:rPr>
          <w:color w:val="auto"/>
        </w:rPr>
        <w:fldChar w:fldCharType="separate"/>
      </w:r>
      <w:r>
        <w:rPr>
          <w:rFonts w:hint="eastAsia" w:cs="宋体"/>
          <w:color w:val="auto"/>
          <w:szCs w:val="36"/>
        </w:rPr>
        <w:t>第五部分  磋商响应文件格式</w:t>
      </w:r>
      <w:r>
        <w:rPr>
          <w:color w:val="auto"/>
        </w:rPr>
        <w:tab/>
      </w:r>
      <w:r>
        <w:rPr>
          <w:color w:val="auto"/>
        </w:rPr>
        <w:fldChar w:fldCharType="begin"/>
      </w:r>
      <w:r>
        <w:rPr>
          <w:color w:val="auto"/>
        </w:rPr>
        <w:instrText xml:space="preserve"> PAGEREF _Toc27465 \h </w:instrText>
      </w:r>
      <w:r>
        <w:rPr>
          <w:color w:val="auto"/>
        </w:rPr>
        <w:fldChar w:fldCharType="separate"/>
      </w:r>
      <w:r>
        <w:rPr>
          <w:color w:val="auto"/>
        </w:rPr>
        <w:t>43</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"_Toc24576" </w:instrText>
      </w:r>
      <w:r>
        <w:rPr>
          <w:color w:val="auto"/>
        </w:rPr>
        <w:fldChar w:fldCharType="separate"/>
      </w:r>
      <w:r>
        <w:rPr>
          <w:rFonts w:hint="eastAsia" w:cs="宋体"/>
          <w:color w:val="auto"/>
          <w:szCs w:val="36"/>
        </w:rPr>
        <w:t>第六部分  评定办法</w:t>
      </w:r>
      <w:r>
        <w:rPr>
          <w:color w:val="auto"/>
        </w:rPr>
        <w:tab/>
      </w:r>
      <w:r>
        <w:rPr>
          <w:color w:val="auto"/>
        </w:rPr>
        <w:fldChar w:fldCharType="begin"/>
      </w:r>
      <w:r>
        <w:rPr>
          <w:color w:val="auto"/>
        </w:rPr>
        <w:instrText xml:space="preserve"> PAGEREF _Toc24576 \h </w:instrText>
      </w:r>
      <w:r>
        <w:rPr>
          <w:color w:val="auto"/>
        </w:rPr>
        <w:fldChar w:fldCharType="separate"/>
      </w:r>
      <w:r>
        <w:rPr>
          <w:color w:val="auto"/>
        </w:rPr>
        <w:t>59</w:t>
      </w:r>
      <w:r>
        <w:rPr>
          <w:color w:val="auto"/>
        </w:rPr>
        <w:fldChar w:fldCharType="end"/>
      </w:r>
      <w:r>
        <w:rPr>
          <w:color w:val="auto"/>
        </w:rPr>
        <w:fldChar w:fldCharType="end"/>
      </w:r>
    </w:p>
    <w:p>
      <w:pPr>
        <w:pStyle w:val="33"/>
        <w:tabs>
          <w:tab w:val="right" w:leader="dot" w:pos="9356"/>
          <w:tab w:val="clear" w:pos="8948"/>
        </w:tabs>
        <w:spacing w:line="480" w:lineRule="auto"/>
        <w:rPr>
          <w:color w:val="auto"/>
        </w:rPr>
      </w:pPr>
      <w:r>
        <w:rPr>
          <w:color w:val="auto"/>
        </w:rPr>
        <w:fldChar w:fldCharType="begin"/>
      </w:r>
      <w:r>
        <w:rPr>
          <w:color w:val="auto"/>
        </w:rPr>
        <w:instrText xml:space="preserve"> HYPERLINK \l "_Toc32113" </w:instrText>
      </w:r>
      <w:r>
        <w:rPr>
          <w:color w:val="auto"/>
        </w:rPr>
        <w:fldChar w:fldCharType="separate"/>
      </w:r>
      <w:r>
        <w:rPr>
          <w:rFonts w:hint="eastAsia"/>
          <w:color w:val="auto"/>
          <w:szCs w:val="36"/>
        </w:rPr>
        <w:t xml:space="preserve">第七部分   </w:t>
      </w:r>
      <w:r>
        <w:rPr>
          <w:color w:val="auto"/>
          <w:szCs w:val="36"/>
        </w:rPr>
        <w:t>信贷政策</w:t>
      </w:r>
      <w:r>
        <w:rPr>
          <w:color w:val="auto"/>
        </w:rPr>
        <w:tab/>
      </w:r>
      <w:r>
        <w:rPr>
          <w:color w:val="auto"/>
        </w:rPr>
        <w:fldChar w:fldCharType="begin"/>
      </w:r>
      <w:r>
        <w:rPr>
          <w:color w:val="auto"/>
        </w:rPr>
        <w:instrText xml:space="preserve"> PAGEREF _Toc32113 \h </w:instrText>
      </w:r>
      <w:r>
        <w:rPr>
          <w:color w:val="auto"/>
        </w:rPr>
        <w:fldChar w:fldCharType="separate"/>
      </w:r>
      <w:r>
        <w:rPr>
          <w:color w:val="auto"/>
        </w:rPr>
        <w:t>66</w:t>
      </w:r>
      <w:r>
        <w:rPr>
          <w:color w:val="auto"/>
        </w:rPr>
        <w:fldChar w:fldCharType="end"/>
      </w:r>
      <w:r>
        <w:rPr>
          <w:color w:val="auto"/>
        </w:rPr>
        <w:fldChar w:fldCharType="end"/>
      </w:r>
    </w:p>
    <w:p>
      <w:pPr>
        <w:pStyle w:val="33"/>
        <w:spacing w:line="480" w:lineRule="auto"/>
        <w:ind w:left="414" w:leftChars="197" w:firstLine="4"/>
        <w:rPr>
          <w:rFonts w:cs="宋体"/>
          <w:b w:val="0"/>
          <w:bCs w:val="0"/>
          <w:caps w:val="0"/>
          <w:color w:val="auto"/>
          <w:kern w:val="2"/>
        </w:rPr>
      </w:pPr>
      <w:r>
        <w:rPr>
          <w:rFonts w:hint="eastAsia" w:cs="宋体"/>
          <w:color w:val="auto"/>
          <w:kern w:val="2"/>
        </w:rPr>
        <w:fldChar w:fldCharType="end"/>
      </w:r>
      <w:r>
        <w:rPr>
          <w:rFonts w:hint="eastAsia" w:cs="宋体"/>
          <w:b w:val="0"/>
          <w:bCs w:val="0"/>
          <w:caps w:val="0"/>
          <w:color w:val="auto"/>
          <w:kern w:val="2"/>
        </w:rPr>
        <w:t xml:space="preserve"> </w:t>
      </w:r>
    </w:p>
    <w:p>
      <w:pPr>
        <w:pStyle w:val="4"/>
        <w:keepNext w:val="0"/>
        <w:keepLines w:val="0"/>
        <w:spacing w:line="400" w:lineRule="exact"/>
        <w:jc w:val="center"/>
        <w:rPr>
          <w:rFonts w:hAnsi="宋体" w:cs="宋体"/>
          <w:b w:val="0"/>
          <w:color w:val="auto"/>
          <w:kern w:val="2"/>
          <w:szCs w:val="24"/>
        </w:rPr>
      </w:pPr>
    </w:p>
    <w:p>
      <w:pPr>
        <w:pStyle w:val="4"/>
        <w:keepNext w:val="0"/>
        <w:keepLines w:val="0"/>
        <w:spacing w:before="156" w:beforeLines="50" w:after="156" w:afterLines="50" w:line="400" w:lineRule="exact"/>
        <w:jc w:val="center"/>
        <w:rPr>
          <w:rFonts w:hAnsi="宋体" w:cs="宋体"/>
          <w:color w:val="auto"/>
          <w:sz w:val="28"/>
          <w:szCs w:val="36"/>
        </w:rPr>
        <w:sectPr>
          <w:pgSz w:w="11906" w:h="16838"/>
          <w:pgMar w:top="1857" w:right="1133" w:bottom="1417" w:left="1417" w:header="680" w:footer="680" w:gutter="0"/>
          <w:pgNumType w:fmt="numberInDash" w:start="1"/>
          <w:cols w:space="720" w:num="1"/>
          <w:docGrid w:type="lines" w:linePitch="312" w:charSpace="0"/>
        </w:sectPr>
      </w:pPr>
    </w:p>
    <w:p>
      <w:pPr>
        <w:pStyle w:val="4"/>
        <w:keepNext w:val="0"/>
        <w:keepLines w:val="0"/>
        <w:spacing w:after="120" w:afterLines="50" w:line="400" w:lineRule="exact"/>
        <w:jc w:val="center"/>
        <w:rPr>
          <w:rFonts w:hAnsi="宋体"/>
          <w:color w:val="auto"/>
          <w:sz w:val="28"/>
          <w:szCs w:val="36"/>
        </w:rPr>
      </w:pPr>
      <w:bookmarkStart w:id="1" w:name="_Toc11747"/>
      <w:bookmarkStart w:id="2" w:name="_Toc8745"/>
      <w:bookmarkStart w:id="3" w:name="OLE_LINK3"/>
      <w:bookmarkStart w:id="4" w:name="OLE_LINK1"/>
      <w:r>
        <w:rPr>
          <w:rFonts w:hint="eastAsia" w:hAnsi="宋体"/>
          <w:color w:val="auto"/>
          <w:sz w:val="28"/>
          <w:szCs w:val="36"/>
        </w:rPr>
        <w:t>第一部分  采购公告</w:t>
      </w:r>
      <w:bookmarkEnd w:id="1"/>
      <w:bookmarkEnd w:id="2"/>
    </w:p>
    <w:tbl>
      <w:tblPr>
        <w:tblStyle w:val="46"/>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9498" w:type="dxa"/>
          </w:tcPr>
          <w:p>
            <w:pPr>
              <w:spacing w:line="276" w:lineRule="auto"/>
              <w:rPr>
                <w:rFonts w:ascii="宋体" w:hAnsi="宋体" w:cs="宋体"/>
                <w:color w:val="0000FF"/>
                <w:kern w:val="2"/>
                <w:szCs w:val="21"/>
              </w:rPr>
            </w:pPr>
            <w:r>
              <w:rPr>
                <w:rFonts w:hint="eastAsia" w:ascii="宋体" w:hAnsi="宋体" w:cs="宋体"/>
                <w:color w:val="auto"/>
                <w:kern w:val="2"/>
                <w:szCs w:val="21"/>
              </w:rPr>
              <w:t>项目概况</w:t>
            </w:r>
          </w:p>
          <w:p>
            <w:pPr>
              <w:spacing w:line="276" w:lineRule="auto"/>
              <w:ind w:firstLine="420" w:firstLineChars="200"/>
              <w:rPr>
                <w:rFonts w:ascii="宋体" w:hAnsi="宋体" w:cs="宋体"/>
                <w:color w:val="0000FF"/>
                <w:kern w:val="2"/>
                <w:szCs w:val="21"/>
              </w:rPr>
            </w:pPr>
            <w:r>
              <w:rPr>
                <w:rFonts w:hint="eastAsia" w:ascii="宋体" w:hAnsi="宋体" w:cs="宋体"/>
                <w:color w:val="auto"/>
                <w:kern w:val="2"/>
                <w:szCs w:val="21"/>
                <w:u w:val="single"/>
                <w:lang w:eastAsia="zh-CN"/>
              </w:rPr>
              <w:t>曹村镇无废村镇试点（垃圾分类主题公园扩建二期）配套环保工程设备采购</w:t>
            </w:r>
            <w:r>
              <w:rPr>
                <w:rFonts w:hint="eastAsia" w:ascii="宋体" w:hAnsi="宋体" w:cs="宋体"/>
                <w:color w:val="auto"/>
                <w:kern w:val="2"/>
                <w:szCs w:val="21"/>
              </w:rPr>
              <w:t>的潜在供应商应在</w:t>
            </w:r>
            <w:r>
              <w:rPr>
                <w:rFonts w:hint="eastAsia" w:ascii="宋体" w:hAnsi="宋体" w:cs="宋体"/>
                <w:color w:val="auto"/>
                <w:kern w:val="2"/>
                <w:szCs w:val="21"/>
                <w:u w:val="single"/>
              </w:rPr>
              <w:t>浙江政府采购网（http：//www.zjzfcg.gov.cn）</w:t>
            </w:r>
            <w:r>
              <w:rPr>
                <w:rFonts w:hint="eastAsia" w:ascii="宋体" w:hAnsi="宋体" w:cs="宋体"/>
                <w:color w:val="auto"/>
                <w:kern w:val="2"/>
                <w:szCs w:val="21"/>
              </w:rPr>
              <w:t>申请获取（下载）采购文件，并</w:t>
            </w:r>
            <w:r>
              <w:rPr>
                <w:rFonts w:hint="eastAsia" w:ascii="宋体" w:hAnsi="宋体" w:cs="宋体"/>
                <w:color w:val="0000FF"/>
                <w:kern w:val="2"/>
                <w:szCs w:val="21"/>
              </w:rPr>
              <w:t>于</w:t>
            </w:r>
            <w:r>
              <w:rPr>
                <w:rFonts w:hint="eastAsia" w:ascii="宋体" w:hAnsi="宋体"/>
                <w:bCs/>
                <w:color w:val="0000FF"/>
                <w:kern w:val="2"/>
                <w:szCs w:val="22"/>
              </w:rPr>
              <w:t>2022年</w:t>
            </w:r>
            <w:r>
              <w:rPr>
                <w:rFonts w:hint="eastAsia" w:ascii="宋体" w:hAnsi="宋体"/>
                <w:bCs/>
                <w:color w:val="0000FF"/>
                <w:kern w:val="2"/>
                <w:szCs w:val="22"/>
                <w:lang w:val="en-US" w:eastAsia="zh-CN"/>
              </w:rPr>
              <w:t xml:space="preserve"> 10 </w:t>
            </w:r>
            <w:r>
              <w:rPr>
                <w:rFonts w:hint="eastAsia" w:ascii="宋体" w:hAnsi="宋体"/>
                <w:bCs/>
                <w:color w:val="0000FF"/>
                <w:kern w:val="2"/>
                <w:szCs w:val="22"/>
              </w:rPr>
              <w:t>月</w:t>
            </w:r>
            <w:r>
              <w:rPr>
                <w:rFonts w:hint="eastAsia" w:ascii="宋体" w:hAnsi="宋体"/>
                <w:bCs/>
                <w:color w:val="0000FF"/>
                <w:kern w:val="2"/>
                <w:szCs w:val="22"/>
                <w:lang w:val="en-US" w:eastAsia="zh-CN"/>
              </w:rPr>
              <w:t xml:space="preserve"> 19 </w:t>
            </w:r>
            <w:r>
              <w:rPr>
                <w:rFonts w:hint="eastAsia" w:ascii="宋体" w:hAnsi="宋体"/>
                <w:bCs/>
                <w:color w:val="0000FF"/>
                <w:kern w:val="2"/>
                <w:szCs w:val="22"/>
              </w:rPr>
              <w:t>日上午9</w:t>
            </w:r>
            <w:r>
              <w:rPr>
                <w:rFonts w:hint="eastAsia" w:ascii="宋体" w:hAnsi="宋体" w:cs="宋体"/>
                <w:color w:val="0000FF"/>
                <w:kern w:val="2"/>
                <w:szCs w:val="21"/>
              </w:rPr>
              <w:t>点00 分</w:t>
            </w:r>
            <w:r>
              <w:rPr>
                <w:rFonts w:hint="eastAsia" w:ascii="宋体" w:hAnsi="宋体" w:cs="宋体"/>
                <w:color w:val="auto"/>
                <w:kern w:val="2"/>
                <w:szCs w:val="21"/>
              </w:rPr>
              <w:t>（北京时间）前提交（上传）响应文件。</w:t>
            </w:r>
          </w:p>
        </w:tc>
      </w:tr>
    </w:tbl>
    <w:p>
      <w:pPr>
        <w:spacing w:line="276" w:lineRule="auto"/>
        <w:rPr>
          <w:rFonts w:ascii="宋体" w:hAnsi="宋体" w:cs="宋体"/>
          <w:color w:val="auto"/>
          <w:szCs w:val="21"/>
        </w:rPr>
      </w:pPr>
      <w:r>
        <w:rPr>
          <w:rFonts w:hint="eastAsia" w:ascii="宋体" w:hAnsi="宋体" w:cs="宋体"/>
          <w:color w:val="auto"/>
          <w:szCs w:val="21"/>
        </w:rPr>
        <w:t>一、项目基本情况</w:t>
      </w:r>
    </w:p>
    <w:p>
      <w:pPr>
        <w:spacing w:line="276"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ZGCG20222008</w:t>
      </w:r>
    </w:p>
    <w:p>
      <w:pPr>
        <w:spacing w:line="276"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曹村镇无废村镇试点（垃圾分类主题公园扩建二期）配套环保工程设备采购</w:t>
      </w:r>
    </w:p>
    <w:p>
      <w:pPr>
        <w:spacing w:line="276" w:lineRule="auto"/>
        <w:ind w:firstLine="420" w:firstLineChars="200"/>
        <w:rPr>
          <w:rFonts w:ascii="宋体" w:hAnsi="宋体" w:cs="宋体"/>
          <w:color w:val="auto"/>
          <w:szCs w:val="21"/>
        </w:rPr>
      </w:pPr>
      <w:r>
        <w:rPr>
          <w:rFonts w:hint="eastAsia" w:ascii="宋体" w:hAnsi="宋体" w:cs="宋体"/>
          <w:color w:val="auto"/>
          <w:szCs w:val="21"/>
        </w:rPr>
        <w:t>采购方式：竞争性磋商</w:t>
      </w:r>
    </w:p>
    <w:p>
      <w:pPr>
        <w:spacing w:line="276" w:lineRule="auto"/>
        <w:ind w:firstLine="420" w:firstLineChars="200"/>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eastAsia="zh-CN"/>
        </w:rPr>
        <w:t>1754375</w:t>
      </w:r>
      <w:r>
        <w:rPr>
          <w:rFonts w:ascii="宋体" w:hAnsi="宋体" w:cs="宋体"/>
          <w:color w:val="auto"/>
          <w:szCs w:val="21"/>
        </w:rPr>
        <w:t>元</w:t>
      </w:r>
    </w:p>
    <w:p>
      <w:pPr>
        <w:spacing w:line="276" w:lineRule="auto"/>
        <w:ind w:firstLine="420" w:firstLineChars="200"/>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eastAsia="zh-CN"/>
        </w:rPr>
        <w:t>1754375</w:t>
      </w:r>
      <w:r>
        <w:rPr>
          <w:rFonts w:ascii="宋体" w:hAnsi="宋体" w:cs="宋体"/>
          <w:color w:val="auto"/>
          <w:szCs w:val="21"/>
        </w:rPr>
        <w:t>元</w:t>
      </w:r>
    </w:p>
    <w:p>
      <w:pPr>
        <w:spacing w:line="360" w:lineRule="auto"/>
        <w:ind w:firstLine="420" w:firstLineChars="200"/>
        <w:rPr>
          <w:rFonts w:ascii="宋体" w:hAnsi="宋体" w:cs="宋体"/>
          <w:color w:val="auto"/>
          <w:szCs w:val="21"/>
        </w:rPr>
      </w:pPr>
      <w:r>
        <w:rPr>
          <w:rFonts w:hint="eastAsia" w:ascii="宋体" w:hAnsi="宋体" w:cs="宋体"/>
          <w:color w:val="auto"/>
          <w:szCs w:val="21"/>
        </w:rPr>
        <w:t>采购需求： （包括但不限于标的的名称、数量、简要技术需求或服务要求等）</w:t>
      </w:r>
    </w:p>
    <w:tbl>
      <w:tblPr>
        <w:tblStyle w:val="46"/>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921"/>
        <w:gridCol w:w="708"/>
        <w:gridCol w:w="709"/>
        <w:gridCol w:w="1559"/>
        <w:gridCol w:w="269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73"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标项序号</w:t>
            </w:r>
          </w:p>
        </w:tc>
        <w:tc>
          <w:tcPr>
            <w:tcW w:w="1921" w:type="dxa"/>
            <w:vAlign w:val="center"/>
          </w:tcPr>
          <w:p>
            <w:pPr>
              <w:spacing w:line="330" w:lineRule="exact"/>
              <w:ind w:firstLine="210" w:firstLineChars="100"/>
              <w:jc w:val="center"/>
              <w:rPr>
                <w:rFonts w:ascii="宋体" w:hAnsi="宋体"/>
                <w:color w:val="auto"/>
                <w:kern w:val="2"/>
                <w:szCs w:val="21"/>
              </w:rPr>
            </w:pPr>
            <w:r>
              <w:rPr>
                <w:rFonts w:hint="eastAsia" w:ascii="宋体" w:hAnsi="宋体"/>
                <w:color w:val="auto"/>
                <w:kern w:val="2"/>
                <w:szCs w:val="21"/>
              </w:rPr>
              <w:t>标项名称</w:t>
            </w:r>
          </w:p>
        </w:tc>
        <w:tc>
          <w:tcPr>
            <w:tcW w:w="708"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数量</w:t>
            </w:r>
          </w:p>
        </w:tc>
        <w:tc>
          <w:tcPr>
            <w:tcW w:w="709"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单位</w:t>
            </w:r>
          </w:p>
        </w:tc>
        <w:tc>
          <w:tcPr>
            <w:tcW w:w="1559"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预算金额</w:t>
            </w:r>
          </w:p>
        </w:tc>
        <w:tc>
          <w:tcPr>
            <w:tcW w:w="2694"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简要规格描述或标项基本概况介绍</w:t>
            </w:r>
          </w:p>
        </w:tc>
        <w:tc>
          <w:tcPr>
            <w:tcW w:w="992" w:type="dxa"/>
            <w:vAlign w:val="center"/>
          </w:tcPr>
          <w:p>
            <w:pPr>
              <w:spacing w:line="330" w:lineRule="exact"/>
              <w:jc w:val="center"/>
              <w:rPr>
                <w:rFonts w:ascii="宋体" w:hAnsi="宋体"/>
                <w:color w:val="auto"/>
                <w:kern w:val="2"/>
                <w:szCs w:val="21"/>
              </w:rPr>
            </w:pPr>
            <w:r>
              <w:rPr>
                <w:rFonts w:hint="eastAsia" w:ascii="宋体" w:hAnsi="宋体"/>
                <w:color w:val="auto"/>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773" w:type="dxa"/>
            <w:vAlign w:val="center"/>
          </w:tcPr>
          <w:p>
            <w:pPr>
              <w:spacing w:line="330" w:lineRule="exact"/>
              <w:ind w:firstLine="210" w:firstLineChars="100"/>
              <w:jc w:val="center"/>
              <w:rPr>
                <w:rFonts w:ascii="宋体" w:hAnsi="宋体"/>
                <w:color w:val="auto"/>
                <w:kern w:val="2"/>
                <w:szCs w:val="21"/>
              </w:rPr>
            </w:pPr>
            <w:r>
              <w:rPr>
                <w:rFonts w:hint="eastAsia" w:ascii="宋体" w:hAnsi="宋体"/>
                <w:color w:val="auto"/>
                <w:kern w:val="2"/>
                <w:szCs w:val="21"/>
              </w:rPr>
              <w:t>1</w:t>
            </w:r>
          </w:p>
        </w:tc>
        <w:tc>
          <w:tcPr>
            <w:tcW w:w="1921" w:type="dxa"/>
            <w:vAlign w:val="center"/>
          </w:tcPr>
          <w:p>
            <w:pPr>
              <w:spacing w:line="276" w:lineRule="auto"/>
              <w:jc w:val="center"/>
              <w:rPr>
                <w:rFonts w:hint="eastAsia" w:ascii="宋体" w:hAnsi="宋体" w:eastAsia="宋体"/>
                <w:color w:val="auto"/>
                <w:kern w:val="2"/>
                <w:szCs w:val="21"/>
                <w:lang w:eastAsia="zh-CN"/>
              </w:rPr>
            </w:pPr>
            <w:r>
              <w:rPr>
                <w:rFonts w:hint="eastAsia" w:ascii="宋体" w:hAnsi="宋体" w:cs="宋体"/>
                <w:color w:val="auto"/>
                <w:kern w:val="2"/>
                <w:szCs w:val="21"/>
                <w:lang w:eastAsia="zh-CN"/>
              </w:rPr>
              <w:t>曹村镇无废村镇试点（垃圾分类主题公园扩建二期）配套环保工程设备采购</w:t>
            </w:r>
          </w:p>
        </w:tc>
        <w:tc>
          <w:tcPr>
            <w:tcW w:w="708" w:type="dxa"/>
            <w:vAlign w:val="center"/>
          </w:tcPr>
          <w:p>
            <w:pPr>
              <w:spacing w:line="276" w:lineRule="auto"/>
              <w:jc w:val="center"/>
              <w:rPr>
                <w:rFonts w:ascii="宋体" w:hAnsi="宋体"/>
                <w:color w:val="auto"/>
                <w:kern w:val="2"/>
                <w:szCs w:val="21"/>
              </w:rPr>
            </w:pPr>
            <w:r>
              <w:rPr>
                <w:rFonts w:hint="eastAsia" w:ascii="宋体" w:hAnsi="宋体"/>
                <w:color w:val="auto"/>
                <w:kern w:val="2"/>
                <w:szCs w:val="21"/>
              </w:rPr>
              <w:t>1</w:t>
            </w:r>
          </w:p>
        </w:tc>
        <w:tc>
          <w:tcPr>
            <w:tcW w:w="709" w:type="dxa"/>
            <w:vAlign w:val="center"/>
          </w:tcPr>
          <w:p>
            <w:pPr>
              <w:spacing w:line="276" w:lineRule="auto"/>
              <w:jc w:val="center"/>
              <w:rPr>
                <w:rFonts w:ascii="宋体" w:hAnsi="宋体"/>
                <w:color w:val="auto"/>
                <w:kern w:val="2"/>
                <w:szCs w:val="21"/>
              </w:rPr>
            </w:pPr>
            <w:r>
              <w:rPr>
                <w:rFonts w:hint="eastAsia" w:ascii="宋体" w:hAnsi="宋体"/>
                <w:color w:val="auto"/>
                <w:kern w:val="2"/>
                <w:szCs w:val="21"/>
              </w:rPr>
              <w:t>项</w:t>
            </w:r>
          </w:p>
        </w:tc>
        <w:tc>
          <w:tcPr>
            <w:tcW w:w="1559" w:type="dxa"/>
            <w:vAlign w:val="center"/>
          </w:tcPr>
          <w:p>
            <w:pPr>
              <w:spacing w:line="276" w:lineRule="auto"/>
              <w:jc w:val="center"/>
              <w:rPr>
                <w:rFonts w:ascii="宋体" w:hAnsi="宋体"/>
                <w:color w:val="auto"/>
                <w:kern w:val="2"/>
                <w:szCs w:val="21"/>
              </w:rPr>
            </w:pPr>
            <w:r>
              <w:rPr>
                <w:rFonts w:hint="eastAsia" w:ascii="宋体" w:hAnsi="宋体"/>
                <w:color w:val="auto"/>
                <w:kern w:val="2"/>
                <w:szCs w:val="21"/>
              </w:rPr>
              <w:t xml:space="preserve"> </w:t>
            </w:r>
            <w:r>
              <w:rPr>
                <w:rFonts w:hint="eastAsia" w:ascii="宋体" w:hAnsi="宋体" w:cs="宋体"/>
                <w:color w:val="auto"/>
                <w:kern w:val="2"/>
                <w:szCs w:val="21"/>
              </w:rPr>
              <w:t xml:space="preserve"> </w:t>
            </w:r>
            <w:r>
              <w:rPr>
                <w:rFonts w:hint="eastAsia" w:ascii="宋体" w:hAnsi="宋体" w:cs="宋体"/>
                <w:color w:val="auto"/>
                <w:szCs w:val="21"/>
                <w:lang w:eastAsia="zh-CN"/>
              </w:rPr>
              <w:t>1754375</w:t>
            </w:r>
            <w:r>
              <w:rPr>
                <w:rFonts w:ascii="宋体" w:hAnsi="宋体" w:cs="宋体"/>
                <w:color w:val="auto"/>
                <w:szCs w:val="21"/>
              </w:rPr>
              <w:t>元</w:t>
            </w:r>
          </w:p>
        </w:tc>
        <w:tc>
          <w:tcPr>
            <w:tcW w:w="2694" w:type="dxa"/>
            <w:vAlign w:val="center"/>
          </w:tcPr>
          <w:p>
            <w:pPr>
              <w:rPr>
                <w:rFonts w:ascii="宋体" w:hAnsi="宋体" w:cs="宋体"/>
                <w:color w:val="auto"/>
                <w:kern w:val="2"/>
                <w:szCs w:val="21"/>
              </w:rPr>
            </w:pPr>
            <w:r>
              <w:rPr>
                <w:rFonts w:hint="eastAsia" w:ascii="宋体" w:hAnsi="宋体" w:cs="宋体"/>
                <w:color w:val="auto"/>
                <w:kern w:val="2"/>
                <w:szCs w:val="21"/>
                <w:lang w:eastAsia="zh-CN"/>
              </w:rPr>
              <w:t>曹村镇无废村镇试点（垃圾分类主题公园扩建二期）配套环保工程设备采购</w:t>
            </w:r>
            <w:r>
              <w:rPr>
                <w:rFonts w:hint="eastAsia" w:ascii="宋体" w:hAnsi="宋体" w:cs="宋体"/>
                <w:color w:val="auto"/>
                <w:kern w:val="2"/>
                <w:szCs w:val="21"/>
              </w:rPr>
              <w:t>（详见第三部分竞争性磋商内容及要求）。</w:t>
            </w:r>
          </w:p>
        </w:tc>
        <w:tc>
          <w:tcPr>
            <w:tcW w:w="992" w:type="dxa"/>
            <w:vAlign w:val="center"/>
          </w:tcPr>
          <w:p>
            <w:pPr>
              <w:spacing w:line="330" w:lineRule="exact"/>
              <w:jc w:val="both"/>
              <w:rPr>
                <w:rFonts w:ascii="宋体" w:hAnsi="宋体"/>
                <w:b/>
                <w:color w:val="auto"/>
                <w:kern w:val="2"/>
                <w:szCs w:val="21"/>
              </w:rPr>
            </w:pPr>
          </w:p>
        </w:tc>
      </w:tr>
    </w:tbl>
    <w:p>
      <w:pPr>
        <w:spacing w:line="276" w:lineRule="auto"/>
        <w:rPr>
          <w:rFonts w:ascii="宋体" w:hAnsi="宋体" w:cs="宋体"/>
          <w:color w:val="auto"/>
          <w:szCs w:val="21"/>
        </w:rPr>
      </w:pPr>
      <w:r>
        <w:rPr>
          <w:rFonts w:hint="eastAsia" w:ascii="宋体" w:hAnsi="宋体" w:cs="宋体"/>
          <w:color w:val="0000FF"/>
          <w:szCs w:val="21"/>
        </w:rPr>
        <w:t xml:space="preserve">   </w:t>
      </w:r>
      <w:r>
        <w:rPr>
          <w:rFonts w:hint="eastAsia" w:ascii="宋体" w:hAnsi="宋体" w:cs="宋体"/>
          <w:color w:val="auto"/>
          <w:szCs w:val="21"/>
        </w:rPr>
        <w:t xml:space="preserve"> 合同履行期限：详见磋商文件第三部分 。</w:t>
      </w:r>
    </w:p>
    <w:p>
      <w:pPr>
        <w:spacing w:line="276" w:lineRule="auto"/>
        <w:ind w:firstLine="420" w:firstLineChars="200"/>
        <w:rPr>
          <w:rFonts w:ascii="宋体" w:hAnsi="宋体" w:cs="宋体"/>
          <w:color w:val="auto"/>
          <w:szCs w:val="21"/>
        </w:rPr>
      </w:pPr>
      <w:r>
        <w:rPr>
          <w:rFonts w:hint="eastAsia" w:ascii="宋体" w:hAnsi="宋体" w:cs="宋体"/>
          <w:color w:val="auto"/>
          <w:szCs w:val="21"/>
        </w:rPr>
        <w:t>本项目（否）接受联合体投标。</w:t>
      </w:r>
    </w:p>
    <w:p>
      <w:pPr>
        <w:spacing w:line="276" w:lineRule="auto"/>
        <w:rPr>
          <w:rFonts w:ascii="宋体" w:hAnsi="宋体" w:cs="宋体"/>
          <w:color w:val="auto"/>
          <w:szCs w:val="21"/>
        </w:rPr>
      </w:pPr>
      <w:r>
        <w:rPr>
          <w:rFonts w:hint="eastAsia" w:ascii="宋体" w:hAnsi="宋体" w:cs="宋体"/>
          <w:color w:val="auto"/>
          <w:szCs w:val="21"/>
        </w:rPr>
        <w:t>二、申请人的资格要求：</w:t>
      </w:r>
    </w:p>
    <w:p>
      <w:pPr>
        <w:spacing w:line="276" w:lineRule="auto"/>
        <w:ind w:firstLine="420" w:firstLineChars="200"/>
        <w:rPr>
          <w:rFonts w:ascii="宋体" w:hAnsi="宋体" w:cs="宋体"/>
          <w:color w:val="auto"/>
          <w:szCs w:val="21"/>
        </w:rPr>
      </w:pPr>
      <w:r>
        <w:rPr>
          <w:rFonts w:hint="eastAsia" w:ascii="宋体" w:hAnsi="宋体" w:cs="宋体"/>
          <w:color w:val="auto"/>
          <w:szCs w:val="21"/>
        </w:rPr>
        <w:t>1.符合《中华人民共和国政府采购法》第二十二条规定；</w:t>
      </w:r>
    </w:p>
    <w:p>
      <w:pPr>
        <w:spacing w:line="276" w:lineRule="auto"/>
        <w:ind w:firstLine="420" w:firstLineChars="200"/>
        <w:rPr>
          <w:rFonts w:ascii="宋体" w:hAnsi="宋体" w:cs="宋体"/>
          <w:color w:val="auto"/>
          <w:szCs w:val="21"/>
        </w:rPr>
      </w:pPr>
      <w:r>
        <w:rPr>
          <w:rFonts w:hint="eastAsia" w:ascii="Arial" w:hAnsi="Arial" w:cs="Arial"/>
          <w:color w:val="auto"/>
          <w:szCs w:val="21"/>
        </w:rPr>
        <w:t>未被信用中国网站（www.creditchina.gov.cn）列入失信被执行人、重大税收违法件当事人名单，未被中国政府采购网（www.ccgp.gov.cn）列入政府采购严重违法失信行为记录名单；</w:t>
      </w:r>
      <w:r>
        <w:rPr>
          <w:rFonts w:hint="eastAsia" w:ascii="宋体" w:hAnsi="宋体" w:cs="宋体"/>
          <w:color w:val="auto"/>
          <w:szCs w:val="21"/>
        </w:rPr>
        <w:t>未被国家企业信用信息公示系统（www.gsxt.gov.cn）列入严重违法失信企业名单。</w:t>
      </w:r>
    </w:p>
    <w:p>
      <w:pPr>
        <w:spacing w:line="276" w:lineRule="auto"/>
        <w:ind w:firstLine="420" w:firstLineChars="200"/>
        <w:rPr>
          <w:rFonts w:ascii="宋体" w:hAnsi="宋体" w:cs="宋体"/>
          <w:color w:val="auto"/>
          <w:szCs w:val="21"/>
        </w:rPr>
      </w:pPr>
      <w:r>
        <w:rPr>
          <w:rFonts w:hint="eastAsia" w:ascii="宋体" w:hAnsi="宋体" w:cs="宋体"/>
          <w:color w:val="auto"/>
          <w:szCs w:val="21"/>
        </w:rPr>
        <w:t>2.落实政府采购政策需满足的资格要求：/</w:t>
      </w:r>
    </w:p>
    <w:p>
      <w:pPr>
        <w:tabs>
          <w:tab w:val="left" w:pos="284"/>
        </w:tabs>
        <w:spacing w:line="276"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3.本项目的特定资格要求：</w:t>
      </w:r>
      <w:r>
        <w:rPr>
          <w:rFonts w:hint="eastAsia" w:ascii="宋体" w:hAnsi="宋体" w:cs="宋体"/>
          <w:color w:val="auto"/>
          <w:szCs w:val="21"/>
          <w:lang w:val="en-US" w:eastAsia="zh-CN"/>
        </w:rPr>
        <w:t>/</w:t>
      </w:r>
    </w:p>
    <w:p>
      <w:pPr>
        <w:spacing w:line="360" w:lineRule="auto"/>
        <w:rPr>
          <w:rFonts w:ascii="宋体" w:hAnsi="宋体" w:cs="宋体"/>
          <w:color w:val="auto"/>
          <w:szCs w:val="21"/>
        </w:rPr>
      </w:pPr>
      <w:r>
        <w:rPr>
          <w:rFonts w:hint="eastAsia" w:ascii="宋体" w:hAnsi="宋体" w:cs="宋体"/>
          <w:color w:val="auto"/>
          <w:szCs w:val="21"/>
        </w:rPr>
        <w:t>三、获取（下载）采购文件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w:t>
      </w:r>
      <w:r>
        <w:rPr>
          <w:rFonts w:hint="eastAsia" w:ascii="宋体" w:hAnsi="宋体" w:cs="宋体"/>
          <w:color w:val="auto"/>
          <w:szCs w:val="21"/>
          <w:lang w:val="en-US" w:eastAsia="zh-CN"/>
        </w:rPr>
        <w:t>/</w:t>
      </w:r>
      <w:r>
        <w:rPr>
          <w:rFonts w:hint="eastAsia" w:ascii="宋体" w:hAnsi="宋体" w:cs="宋体"/>
          <w:color w:val="auto"/>
          <w:szCs w:val="21"/>
        </w:rPr>
        <w:t>至磋商截止时间前，每天上午 00:00至12:00 ，下午 12:00至23:59（北京时间，线上获取法定节假日均可）</w:t>
      </w:r>
    </w:p>
    <w:p>
      <w:pPr>
        <w:spacing w:line="360" w:lineRule="auto"/>
        <w:ind w:firstLine="420" w:firstLineChars="200"/>
        <w:rPr>
          <w:rFonts w:ascii="宋体" w:hAnsi="宋体" w:cs="宋体"/>
          <w:color w:val="auto"/>
          <w:szCs w:val="21"/>
        </w:rPr>
      </w:pPr>
      <w:r>
        <w:rPr>
          <w:rFonts w:hint="eastAsia" w:ascii="宋体" w:hAnsi="宋体" w:cs="宋体"/>
          <w:color w:val="auto"/>
          <w:szCs w:val="21"/>
        </w:rPr>
        <w:t>地点（网址</w:t>
      </w:r>
      <w:r>
        <w:rPr>
          <w:rFonts w:hint="eastAsia"/>
          <w:color w:val="auto"/>
          <w:szCs w:val="21"/>
        </w:rPr>
        <w:t>）</w:t>
      </w:r>
      <w:r>
        <w:rPr>
          <w:rFonts w:hint="eastAsia" w:ascii="宋体" w:hAnsi="宋体" w:cs="宋体"/>
          <w:color w:val="auto"/>
          <w:szCs w:val="21"/>
        </w:rPr>
        <w:t>：登录浙江政府采购网（http：//www.zjzfcg.gov.cn）申请获取采购文件。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方式：供应商登录浙江政府采购网（http://www.zfcg.czt.zj.gov.cn）申请获取采购文件。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售价：0元。</w:t>
      </w:r>
    </w:p>
    <w:p>
      <w:pPr>
        <w:spacing w:line="360" w:lineRule="auto"/>
        <w:rPr>
          <w:rFonts w:ascii="宋体" w:hAnsi="宋体" w:cs="宋体"/>
          <w:color w:val="auto"/>
          <w:szCs w:val="21"/>
        </w:rPr>
      </w:pPr>
      <w:r>
        <w:rPr>
          <w:rFonts w:hint="eastAsia" w:ascii="宋体" w:hAnsi="宋体" w:cs="宋体"/>
          <w:color w:val="auto"/>
          <w:szCs w:val="21"/>
        </w:rPr>
        <w:t>四、响应文件提交</w:t>
      </w:r>
    </w:p>
    <w:p>
      <w:pPr>
        <w:spacing w:line="360" w:lineRule="auto"/>
        <w:ind w:firstLine="420" w:firstLineChars="200"/>
        <w:rPr>
          <w:rFonts w:ascii="宋体" w:hAnsi="宋体" w:cs="宋体"/>
          <w:color w:val="0000FF"/>
          <w:szCs w:val="21"/>
        </w:rPr>
      </w:pPr>
      <w:r>
        <w:rPr>
          <w:rFonts w:hint="eastAsia" w:ascii="宋体" w:hAnsi="宋体" w:cs="宋体"/>
          <w:color w:val="auto"/>
          <w:szCs w:val="21"/>
        </w:rPr>
        <w:t>截止时间</w:t>
      </w:r>
      <w:r>
        <w:rPr>
          <w:rFonts w:hint="eastAsia" w:ascii="宋体" w:hAnsi="宋体" w:cs="宋体"/>
          <w:color w:val="0000FF"/>
          <w:szCs w:val="21"/>
        </w:rPr>
        <w:t>：</w:t>
      </w:r>
      <w:r>
        <w:rPr>
          <w:rFonts w:hint="eastAsia" w:ascii="宋体" w:hAnsi="宋体"/>
          <w:bCs/>
          <w:color w:val="0000FF"/>
        </w:rPr>
        <w:t>2022年</w:t>
      </w:r>
      <w:r>
        <w:rPr>
          <w:rFonts w:hint="eastAsia" w:ascii="宋体" w:hAnsi="宋体"/>
          <w:bCs/>
          <w:color w:val="0000FF"/>
          <w:lang w:val="en-US" w:eastAsia="zh-CN"/>
        </w:rPr>
        <w:t>10</w:t>
      </w:r>
      <w:r>
        <w:rPr>
          <w:rFonts w:hint="eastAsia" w:ascii="宋体" w:hAnsi="宋体"/>
          <w:bCs/>
          <w:color w:val="0000FF"/>
        </w:rPr>
        <w:t>月</w:t>
      </w:r>
      <w:r>
        <w:rPr>
          <w:rFonts w:hint="eastAsia" w:ascii="宋体" w:hAnsi="宋体"/>
          <w:bCs/>
          <w:color w:val="0000FF"/>
          <w:lang w:val="en-US" w:eastAsia="zh-CN"/>
        </w:rPr>
        <w:t xml:space="preserve"> 19</w:t>
      </w:r>
      <w:r>
        <w:rPr>
          <w:rFonts w:hint="eastAsia" w:ascii="宋体" w:hAnsi="宋体"/>
          <w:bCs/>
          <w:color w:val="0000FF"/>
        </w:rPr>
        <w:t>日上午9点00 分</w:t>
      </w:r>
      <w:r>
        <w:rPr>
          <w:rFonts w:hint="eastAsia" w:ascii="宋体" w:hAnsi="宋体" w:cs="宋体"/>
          <w:color w:val="0000FF"/>
          <w:szCs w:val="21"/>
        </w:rPr>
        <w:t>止（北京时间）。</w:t>
      </w:r>
    </w:p>
    <w:p>
      <w:pPr>
        <w:spacing w:line="360" w:lineRule="auto"/>
        <w:ind w:firstLine="420" w:firstLineChars="200"/>
        <w:rPr>
          <w:color w:val="auto"/>
          <w:szCs w:val="21"/>
          <w:u w:val="single"/>
        </w:rPr>
      </w:pPr>
      <w:r>
        <w:rPr>
          <w:rFonts w:hint="eastAsia" w:ascii="宋体" w:hAnsi="宋体" w:cs="宋体"/>
          <w:color w:val="auto"/>
          <w:szCs w:val="21"/>
        </w:rPr>
        <w:t>地点（网址</w:t>
      </w:r>
      <w:r>
        <w:rPr>
          <w:rFonts w:hint="eastAsia"/>
          <w:color w:val="auto"/>
          <w:szCs w:val="21"/>
        </w:rPr>
        <w:t>）：磋商供应商应当在磋商截止时间前将电子磋商响应文件上传到“政采云”平台。</w:t>
      </w:r>
    </w:p>
    <w:p>
      <w:pPr>
        <w:spacing w:line="360" w:lineRule="auto"/>
        <w:rPr>
          <w:rFonts w:ascii="宋体" w:hAnsi="宋体" w:cs="宋体"/>
          <w:color w:val="auto"/>
          <w:szCs w:val="21"/>
        </w:rPr>
      </w:pPr>
      <w:r>
        <w:rPr>
          <w:rFonts w:hint="eastAsia" w:ascii="宋体" w:hAnsi="宋体" w:cs="宋体"/>
          <w:color w:val="auto"/>
          <w:szCs w:val="21"/>
        </w:rPr>
        <w:t>五、响应文件开启</w:t>
      </w:r>
    </w:p>
    <w:p>
      <w:pPr>
        <w:spacing w:line="360" w:lineRule="auto"/>
        <w:rPr>
          <w:rFonts w:ascii="宋体" w:hAnsi="宋体" w:cs="宋体"/>
          <w:color w:val="0000FF"/>
          <w:szCs w:val="21"/>
        </w:rPr>
      </w:pPr>
      <w:r>
        <w:rPr>
          <w:rFonts w:hint="eastAsia" w:ascii="宋体" w:hAnsi="宋体" w:cs="宋体"/>
          <w:color w:val="auto"/>
          <w:szCs w:val="21"/>
        </w:rPr>
        <w:t xml:space="preserve">    开启时间</w:t>
      </w:r>
      <w:r>
        <w:rPr>
          <w:rFonts w:hint="eastAsia" w:ascii="宋体" w:hAnsi="宋体" w:cs="宋体"/>
          <w:color w:val="0000FF"/>
          <w:szCs w:val="21"/>
        </w:rPr>
        <w:t>：</w:t>
      </w:r>
      <w:r>
        <w:rPr>
          <w:rFonts w:hint="eastAsia" w:ascii="宋体" w:hAnsi="宋体"/>
          <w:bCs/>
          <w:color w:val="0000FF"/>
        </w:rPr>
        <w:t>2022年</w:t>
      </w:r>
      <w:r>
        <w:rPr>
          <w:rFonts w:hint="eastAsia" w:ascii="宋体" w:hAnsi="宋体"/>
          <w:bCs/>
          <w:color w:val="0000FF"/>
          <w:lang w:val="en-US" w:eastAsia="zh-CN"/>
        </w:rPr>
        <w:t>10</w:t>
      </w:r>
      <w:r>
        <w:rPr>
          <w:rFonts w:hint="eastAsia" w:ascii="宋体" w:hAnsi="宋体"/>
          <w:bCs/>
          <w:color w:val="0000FF"/>
        </w:rPr>
        <w:t>月</w:t>
      </w:r>
      <w:r>
        <w:rPr>
          <w:rFonts w:hint="eastAsia" w:ascii="宋体" w:hAnsi="宋体"/>
          <w:bCs/>
          <w:color w:val="0000FF"/>
          <w:lang w:val="en-US" w:eastAsia="zh-CN"/>
        </w:rPr>
        <w:t xml:space="preserve"> 19 </w:t>
      </w:r>
      <w:r>
        <w:rPr>
          <w:rFonts w:hint="eastAsia" w:ascii="宋体" w:hAnsi="宋体"/>
          <w:bCs/>
          <w:color w:val="0000FF"/>
        </w:rPr>
        <w:t>日上午9点00 分</w:t>
      </w:r>
      <w:r>
        <w:rPr>
          <w:rFonts w:hint="eastAsia" w:ascii="宋体" w:hAnsi="宋体" w:cs="宋体"/>
          <w:color w:val="0000FF"/>
          <w:szCs w:val="21"/>
        </w:rPr>
        <w:t>正（北京时间）</w:t>
      </w:r>
    </w:p>
    <w:p>
      <w:pPr>
        <w:spacing w:line="360" w:lineRule="auto"/>
        <w:ind w:firstLine="405"/>
        <w:rPr>
          <w:rFonts w:ascii="宋体" w:hAnsi="宋体" w:cs="宋体"/>
          <w:color w:val="auto"/>
          <w:szCs w:val="21"/>
        </w:rPr>
      </w:pPr>
      <w:r>
        <w:rPr>
          <w:rFonts w:hint="eastAsia" w:ascii="宋体" w:hAnsi="宋体" w:cs="宋体"/>
          <w:color w:val="auto"/>
          <w:szCs w:val="21"/>
        </w:rPr>
        <w:t>地点：</w:t>
      </w:r>
      <w:r>
        <w:rPr>
          <w:rFonts w:hint="eastAsia" w:ascii="宋体" w:hAnsi="宋体"/>
          <w:color w:val="auto"/>
          <w:szCs w:val="21"/>
          <w:lang w:eastAsia="zh-CN"/>
        </w:rPr>
        <w:t>浙江省温州市瑞安市经济开发区毓蒙路1339号5楼</w:t>
      </w:r>
      <w:r>
        <w:rPr>
          <w:rFonts w:hint="eastAsia" w:ascii="宋体" w:hAnsi="宋体"/>
          <w:color w:val="auto"/>
          <w:szCs w:val="21"/>
        </w:rPr>
        <w:t>（</w:t>
      </w:r>
      <w:r>
        <w:rPr>
          <w:rFonts w:hint="eastAsia" w:ascii="宋体" w:hAnsi="宋体"/>
          <w:color w:val="auto"/>
          <w:szCs w:val="21"/>
          <w:lang w:eastAsia="zh-CN"/>
        </w:rPr>
        <w:t>浙江中格工程项目管理有限公司</w:t>
      </w:r>
      <w:r>
        <w:rPr>
          <w:rFonts w:hint="eastAsia" w:ascii="宋体" w:hAnsi="宋体"/>
          <w:color w:val="auto"/>
          <w:szCs w:val="21"/>
        </w:rPr>
        <w:t>）</w:t>
      </w:r>
    </w:p>
    <w:p>
      <w:pPr>
        <w:spacing w:line="276" w:lineRule="auto"/>
        <w:rPr>
          <w:rFonts w:ascii="宋体" w:hAnsi="宋体" w:cs="宋体"/>
          <w:color w:val="auto"/>
          <w:szCs w:val="21"/>
        </w:rPr>
      </w:pPr>
      <w:r>
        <w:rPr>
          <w:rFonts w:hint="eastAsia" w:ascii="宋体" w:hAnsi="宋体" w:cs="宋体"/>
          <w:color w:val="auto"/>
          <w:szCs w:val="21"/>
        </w:rPr>
        <w:t>六、公告期限</w:t>
      </w:r>
    </w:p>
    <w:p>
      <w:pPr>
        <w:spacing w:line="276" w:lineRule="auto"/>
        <w:rPr>
          <w:rFonts w:ascii="宋体" w:hAnsi="宋体" w:cs="宋体"/>
          <w:color w:val="auto"/>
          <w:szCs w:val="21"/>
        </w:rPr>
      </w:pPr>
      <w:r>
        <w:rPr>
          <w:rFonts w:hint="eastAsia" w:ascii="宋体" w:hAnsi="宋体" w:cs="宋体"/>
          <w:color w:val="auto"/>
          <w:szCs w:val="21"/>
        </w:rPr>
        <w:t>   自本公告发布之日起3个工作日。</w:t>
      </w:r>
    </w:p>
    <w:p>
      <w:pPr>
        <w:pStyle w:val="242"/>
        <w:spacing w:line="276" w:lineRule="auto"/>
        <w:rPr>
          <w:rFonts w:ascii="Arial" w:hAnsi="Arial" w:cs="Arial"/>
          <w:b/>
          <w:bCs/>
          <w:color w:val="auto"/>
          <w:szCs w:val="21"/>
        </w:rPr>
      </w:pPr>
      <w:r>
        <w:rPr>
          <w:rFonts w:hint="eastAsia" w:hAnsi="宋体" w:cs="宋体"/>
          <w:color w:val="auto"/>
          <w:szCs w:val="21"/>
        </w:rPr>
        <w:t>七、其他补充事宜</w:t>
      </w:r>
    </w:p>
    <w:p>
      <w:pPr>
        <w:pStyle w:val="242"/>
        <w:spacing w:line="276" w:lineRule="auto"/>
        <w:ind w:left="420" w:leftChars="200"/>
        <w:rPr>
          <w:rFonts w:hAnsi="宋体" w:cs="宋体"/>
          <w:color w:val="auto"/>
        </w:rPr>
      </w:pPr>
      <w:r>
        <w:rPr>
          <w:rFonts w:hint="eastAsia" w:hAnsi="宋体" w:cs="宋体"/>
          <w:color w:val="auto"/>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242"/>
        <w:spacing w:line="276" w:lineRule="auto"/>
        <w:ind w:left="420" w:leftChars="200"/>
        <w:rPr>
          <w:rFonts w:hAnsi="宋体" w:cs="宋体"/>
          <w:color w:val="auto"/>
        </w:rPr>
      </w:pPr>
      <w:r>
        <w:rPr>
          <w:rFonts w:hint="eastAsia" w:hAnsi="宋体" w:cs="宋体"/>
          <w:color w:val="auto"/>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242"/>
        <w:spacing w:line="276" w:lineRule="auto"/>
        <w:ind w:left="420" w:leftChars="200"/>
        <w:rPr>
          <w:rFonts w:hAnsi="宋体" w:cs="宋体"/>
          <w:color w:val="auto"/>
        </w:rPr>
      </w:pPr>
      <w:r>
        <w:rPr>
          <w:rFonts w:hint="eastAsia" w:hAnsi="宋体" w:cs="宋体"/>
          <w:color w:val="auto"/>
        </w:rPr>
        <w:t>3、其他事项：</w:t>
      </w:r>
    </w:p>
    <w:p>
      <w:pPr>
        <w:pStyle w:val="242"/>
        <w:spacing w:line="276" w:lineRule="auto"/>
        <w:ind w:left="420" w:leftChars="200"/>
        <w:rPr>
          <w:rFonts w:hAnsi="宋体" w:cs="宋体"/>
          <w:bCs/>
          <w:color w:val="auto"/>
        </w:rPr>
      </w:pPr>
      <w:r>
        <w:rPr>
          <w:rFonts w:hint="eastAsia" w:hAnsi="宋体" w:cs="宋体"/>
          <w:color w:val="auto"/>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供应商应当在法定质疑期内须一次性提出针对同一采购程序环节的质疑，否则采购代理机构有权拒绝第一次质疑以外其他所有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val="0"/>
        <w:tabs>
          <w:tab w:val="left" w:pos="540"/>
          <w:tab w:val="left" w:pos="1080"/>
        </w:tabs>
        <w:spacing w:line="276" w:lineRule="auto"/>
        <w:ind w:left="420" w:leftChars="200"/>
        <w:rPr>
          <w:rFonts w:ascii="宋体" w:hAnsi="宋体" w:cs="宋体"/>
          <w:color w:val="auto"/>
        </w:rPr>
      </w:pPr>
      <w:r>
        <w:rPr>
          <w:rFonts w:hint="eastAsia" w:ascii="宋体" w:hAnsi="宋体" w:cs="宋体"/>
          <w:color w:val="auto"/>
          <w:szCs w:val="21"/>
        </w:rPr>
        <w:t>（2）</w:t>
      </w:r>
      <w:r>
        <w:rPr>
          <w:rFonts w:hint="eastAsia" w:ascii="宋体" w:hAnsi="宋体" w:cs="宋体"/>
          <w:color w:val="auto"/>
        </w:rPr>
        <w:t>潜在供应商应当按照规定方式获取采购文件，未按照规定方式获取采购文件的，不得对采购文件提起质疑投诉。</w:t>
      </w:r>
    </w:p>
    <w:p>
      <w:pPr>
        <w:adjustRightInd w:val="0"/>
        <w:snapToGrid w:val="0"/>
        <w:spacing w:line="276" w:lineRule="auto"/>
        <w:ind w:firstLine="480"/>
        <w:rPr>
          <w:rFonts w:ascii="宋体" w:hAnsi="宋体" w:cs="宋体"/>
          <w:b/>
          <w:color w:val="auto"/>
          <w:szCs w:val="21"/>
        </w:rPr>
      </w:pPr>
      <w:r>
        <w:rPr>
          <w:rFonts w:hint="eastAsia" w:ascii="宋体" w:hAnsi="宋体" w:cs="宋体"/>
          <w:b/>
          <w:color w:val="auto"/>
        </w:rPr>
        <w:t>（3）</w:t>
      </w:r>
      <w:r>
        <w:rPr>
          <w:rFonts w:hint="eastAsia" w:ascii="宋体" w:hAnsi="宋体" w:cs="宋体"/>
          <w:b/>
          <w:color w:val="auto"/>
          <w:szCs w:val="21"/>
        </w:rPr>
        <w:t>本项目采取电子招投标，电子招投标有关事项说明如下：</w:t>
      </w:r>
    </w:p>
    <w:p>
      <w:pPr>
        <w:pStyle w:val="27"/>
        <w:widowControl/>
        <w:overflowPunct w:val="0"/>
        <w:autoSpaceDE w:val="0"/>
        <w:autoSpaceDN w:val="0"/>
        <w:adjustRightInd w:val="0"/>
        <w:snapToGrid w:val="0"/>
        <w:spacing w:line="276" w:lineRule="auto"/>
        <w:ind w:left="845"/>
        <w:textAlignment w:val="baseline"/>
        <w:rPr>
          <w:rFonts w:hAnsi="宋体" w:cs="宋体"/>
          <w:bCs/>
          <w:color w:val="auto"/>
          <w:kern w:val="0"/>
          <w:szCs w:val="21"/>
        </w:rPr>
      </w:pPr>
      <w:r>
        <w:rPr>
          <w:rFonts w:hint="eastAsia" w:hAnsi="宋体" w:cs="宋体"/>
          <w:bCs/>
          <w:color w:val="auto"/>
          <w:kern w:val="0"/>
          <w:szCs w:val="21"/>
        </w:rPr>
        <w:t xml:space="preserve">①本项目实行电子投标，磋商供应商无须提交纸质磋商响应文件，无须授权代表参加开标会议。应按照本项目磋商文件和政采云平台的要求编制、加密并递交磋商响应文件。供应商在使用系统进行投标的过程中遇到涉及平台使用的任何问题，可致电政采云平台技术支持热线咨询，联系方式：400-881-7190。                                                               </w:t>
      </w:r>
    </w:p>
    <w:p>
      <w:pPr>
        <w:pStyle w:val="27"/>
        <w:widowControl/>
        <w:overflowPunct w:val="0"/>
        <w:autoSpaceDE w:val="0"/>
        <w:autoSpaceDN w:val="0"/>
        <w:adjustRightInd w:val="0"/>
        <w:snapToGrid w:val="0"/>
        <w:spacing w:line="276" w:lineRule="auto"/>
        <w:ind w:left="840"/>
        <w:textAlignment w:val="baseline"/>
        <w:rPr>
          <w:rFonts w:hAnsi="宋体" w:cs="宋体"/>
          <w:bCs/>
          <w:color w:val="auto"/>
          <w:kern w:val="0"/>
          <w:szCs w:val="21"/>
        </w:rPr>
      </w:pPr>
      <w:r>
        <w:rPr>
          <w:rFonts w:hint="eastAsia" w:hAnsi="宋体" w:cs="宋体"/>
          <w:bCs/>
          <w:color w:val="auto"/>
          <w:kern w:val="0"/>
          <w:szCs w:val="21"/>
        </w:rPr>
        <w:t>②磋商供应商应在开标前完成CA数字证书办理。（办理流程详见http://www.zjzfcg.gov.cn/bidClientTemplate/2019-05-27/12945.html）。</w:t>
      </w:r>
    </w:p>
    <w:p>
      <w:pPr>
        <w:pStyle w:val="27"/>
        <w:widowControl/>
        <w:overflowPunct w:val="0"/>
        <w:autoSpaceDE w:val="0"/>
        <w:autoSpaceDN w:val="0"/>
        <w:adjustRightInd w:val="0"/>
        <w:snapToGrid w:val="0"/>
        <w:spacing w:line="276" w:lineRule="auto"/>
        <w:ind w:left="420" w:firstLine="422" w:firstLineChars="200"/>
        <w:textAlignment w:val="baseline"/>
        <w:rPr>
          <w:rFonts w:hAnsi="宋体" w:cs="宋体"/>
          <w:b/>
          <w:color w:val="auto"/>
          <w:kern w:val="0"/>
          <w:szCs w:val="21"/>
        </w:rPr>
      </w:pPr>
      <w:r>
        <w:rPr>
          <w:rFonts w:hint="eastAsia" w:hAnsi="宋体" w:cs="宋体"/>
          <w:b/>
          <w:color w:val="auto"/>
          <w:kern w:val="0"/>
          <w:szCs w:val="21"/>
        </w:rPr>
        <w:t>完成CA数字证书办理预计一周左右，建议各磋商供应商抓紧时间办理。</w:t>
      </w:r>
    </w:p>
    <w:p>
      <w:pPr>
        <w:pStyle w:val="27"/>
        <w:widowControl/>
        <w:overflowPunct w:val="0"/>
        <w:autoSpaceDE w:val="0"/>
        <w:autoSpaceDN w:val="0"/>
        <w:adjustRightInd w:val="0"/>
        <w:snapToGrid w:val="0"/>
        <w:spacing w:line="276" w:lineRule="auto"/>
        <w:ind w:left="845"/>
        <w:textAlignment w:val="baseline"/>
        <w:rPr>
          <w:rFonts w:hAnsi="宋体" w:cs="宋体"/>
          <w:bCs/>
          <w:color w:val="auto"/>
          <w:kern w:val="0"/>
          <w:szCs w:val="21"/>
        </w:rPr>
      </w:pPr>
      <w:r>
        <w:rPr>
          <w:rFonts w:hint="eastAsia" w:hAnsi="宋体" w:cs="宋体"/>
          <w:bCs/>
          <w:color w:val="auto"/>
          <w:kern w:val="0"/>
          <w:szCs w:val="21"/>
        </w:rPr>
        <w:t>③磋商供应商通过政采云平台电子投标工具制作磋商响应文件，电子投标工具请供应商自行前往浙江省政府采购网下载并安装，</w:t>
      </w:r>
    </w:p>
    <w:p>
      <w:pPr>
        <w:pStyle w:val="27"/>
        <w:widowControl/>
        <w:overflowPunct w:val="0"/>
        <w:autoSpaceDE w:val="0"/>
        <w:autoSpaceDN w:val="0"/>
        <w:adjustRightInd w:val="0"/>
        <w:snapToGrid w:val="0"/>
        <w:spacing w:line="276" w:lineRule="auto"/>
        <w:ind w:left="840" w:leftChars="400"/>
        <w:textAlignment w:val="baseline"/>
        <w:rPr>
          <w:rFonts w:hAnsi="宋体" w:cs="宋体"/>
          <w:bCs/>
          <w:color w:val="auto"/>
          <w:kern w:val="0"/>
          <w:szCs w:val="21"/>
        </w:rPr>
      </w:pPr>
      <w:r>
        <w:rPr>
          <w:rFonts w:hint="eastAsia" w:hAnsi="宋体" w:cs="宋体"/>
          <w:bCs/>
          <w:color w:val="auto"/>
          <w:kern w:val="0"/>
          <w:szCs w:val="21"/>
        </w:rPr>
        <w:t xml:space="preserve">（下载网址：http://www.zjzfcg.gov.cn/bidClientTemplate/2019-05-27/12946.html），电子投标具体流程详见《供应商-政府采购项目电子交易操作指南》 </w:t>
      </w:r>
    </w:p>
    <w:p>
      <w:pPr>
        <w:pStyle w:val="27"/>
        <w:widowControl/>
        <w:overflowPunct w:val="0"/>
        <w:autoSpaceDE w:val="0"/>
        <w:autoSpaceDN w:val="0"/>
        <w:adjustRightInd w:val="0"/>
        <w:snapToGrid w:val="0"/>
        <w:spacing w:line="276" w:lineRule="auto"/>
        <w:ind w:left="840" w:leftChars="400"/>
        <w:textAlignment w:val="baseline"/>
        <w:rPr>
          <w:rFonts w:hAnsi="宋体" w:cs="宋体"/>
          <w:bCs/>
          <w:color w:val="auto"/>
          <w:kern w:val="0"/>
          <w:szCs w:val="21"/>
        </w:rPr>
      </w:pPr>
      <w:r>
        <w:rPr>
          <w:rFonts w:hint="eastAsia" w:hAnsi="宋体" w:cs="宋体"/>
          <w:bCs/>
          <w:color w:val="auto"/>
          <w:kern w:val="0"/>
          <w:szCs w:val="21"/>
        </w:rPr>
        <w:t>（网址：</w:t>
      </w:r>
      <w:r>
        <w:rPr>
          <w:color w:val="auto"/>
        </w:rPr>
        <w:fldChar w:fldCharType="begin"/>
      </w:r>
      <w:r>
        <w:rPr>
          <w:color w:val="auto"/>
        </w:rPr>
        <w:instrText xml:space="preserve"> HYPERLINK "https://help.zcygov.cn/web/site_2/2018/12-28/2573.html" </w:instrText>
      </w:r>
      <w:r>
        <w:rPr>
          <w:color w:val="auto"/>
        </w:rPr>
        <w:fldChar w:fldCharType="separate"/>
      </w:r>
      <w:r>
        <w:rPr>
          <w:rFonts w:hint="eastAsia" w:hAnsi="宋体" w:cs="宋体"/>
          <w:bCs/>
          <w:color w:val="auto"/>
          <w:kern w:val="0"/>
          <w:szCs w:val="21"/>
        </w:rPr>
        <w:t>https://help.zcygov.cn/web/site_2/2018/12-28/2573.html</w:t>
      </w:r>
      <w:r>
        <w:rPr>
          <w:rFonts w:hint="eastAsia" w:hAnsi="宋体" w:cs="宋体"/>
          <w:bCs/>
          <w:color w:val="auto"/>
          <w:kern w:val="0"/>
          <w:szCs w:val="21"/>
        </w:rPr>
        <w:fldChar w:fldCharType="end"/>
      </w:r>
      <w:r>
        <w:rPr>
          <w:rFonts w:hint="eastAsia" w:hAnsi="宋体" w:cs="宋体"/>
          <w:bCs/>
          <w:color w:val="auto"/>
          <w:kern w:val="0"/>
          <w:szCs w:val="21"/>
        </w:rPr>
        <w:t>)（以下简称《操作指南》）。</w:t>
      </w:r>
    </w:p>
    <w:p>
      <w:pPr>
        <w:pStyle w:val="27"/>
        <w:widowControl/>
        <w:overflowPunct w:val="0"/>
        <w:autoSpaceDE w:val="0"/>
        <w:autoSpaceDN w:val="0"/>
        <w:adjustRightInd w:val="0"/>
        <w:snapToGrid w:val="0"/>
        <w:spacing w:line="276" w:lineRule="auto"/>
        <w:ind w:left="845"/>
        <w:textAlignment w:val="baseline"/>
        <w:rPr>
          <w:rFonts w:hAnsi="宋体" w:cs="宋体"/>
          <w:bCs/>
          <w:color w:val="auto"/>
          <w:kern w:val="0"/>
          <w:szCs w:val="21"/>
        </w:rPr>
      </w:pPr>
      <w:r>
        <w:rPr>
          <w:rFonts w:hint="eastAsia" w:hAnsi="宋体" w:cs="宋体"/>
          <w:bCs/>
          <w:color w:val="auto"/>
          <w:kern w:val="0"/>
          <w:szCs w:val="21"/>
        </w:rPr>
        <w:t>④考虑到系统兼容性建议磋商供应商在操作电子投标流程时使用windows7 64位或以上操作系统。</w:t>
      </w:r>
    </w:p>
    <w:p>
      <w:pPr>
        <w:pStyle w:val="27"/>
        <w:widowControl/>
        <w:overflowPunct w:val="0"/>
        <w:autoSpaceDE w:val="0"/>
        <w:autoSpaceDN w:val="0"/>
        <w:adjustRightInd w:val="0"/>
        <w:snapToGrid w:val="0"/>
        <w:spacing w:line="276" w:lineRule="auto"/>
        <w:ind w:left="845"/>
        <w:textAlignment w:val="baseline"/>
        <w:rPr>
          <w:rFonts w:hAnsi="宋体" w:cs="宋体"/>
          <w:bCs/>
          <w:color w:val="auto"/>
          <w:kern w:val="0"/>
          <w:szCs w:val="21"/>
        </w:rPr>
      </w:pPr>
      <w:r>
        <w:rPr>
          <w:rFonts w:hint="eastAsia" w:hAnsi="宋体" w:cs="宋体"/>
          <w:bCs/>
          <w:color w:val="auto"/>
          <w:kern w:val="0"/>
          <w:szCs w:val="21"/>
        </w:rPr>
        <w:t>⑤磋商供应商用CA数字证书（制作本项目电子磋商响应文件的同一个CA）在电脑上完成磋商响应文件解密等事宜。解密时长为从磋商截止时间起30分钟。</w:t>
      </w:r>
    </w:p>
    <w:p>
      <w:pPr>
        <w:widowControl w:val="0"/>
        <w:tabs>
          <w:tab w:val="left" w:pos="540"/>
          <w:tab w:val="left" w:pos="1080"/>
        </w:tabs>
        <w:spacing w:line="276" w:lineRule="auto"/>
        <w:ind w:left="420" w:leftChars="200"/>
        <w:rPr>
          <w:rFonts w:ascii="宋体" w:hAnsi="宋体" w:cs="宋体"/>
          <w:color w:val="auto"/>
          <w:szCs w:val="21"/>
        </w:rPr>
      </w:pPr>
      <w:r>
        <w:rPr>
          <w:rFonts w:hint="eastAsia" w:ascii="宋体" w:hAnsi="宋体" w:cs="宋体"/>
          <w:color w:val="auto"/>
          <w:szCs w:val="21"/>
        </w:rPr>
        <w:t>（4）根据《浙江省政府采购供应商注册登记和诚信管理暂行办法》，中标成交的磋商供应商，必须事先申请加入“浙江省政府采购供应商库”；请磋商供应商登入“浙江政府采购网”进行登记注册。</w:t>
      </w:r>
    </w:p>
    <w:p>
      <w:pPr>
        <w:widowControl w:val="0"/>
        <w:tabs>
          <w:tab w:val="left" w:pos="540"/>
          <w:tab w:val="left" w:pos="765"/>
        </w:tabs>
        <w:spacing w:line="276" w:lineRule="auto"/>
        <w:ind w:left="420" w:leftChars="200"/>
        <w:rPr>
          <w:rFonts w:ascii="宋体" w:hAnsi="宋体" w:cs="宋体"/>
          <w:color w:val="auto"/>
          <w:szCs w:val="21"/>
        </w:rPr>
      </w:pPr>
      <w:r>
        <w:rPr>
          <w:rFonts w:hint="eastAsia" w:ascii="宋体" w:hAnsi="宋体" w:cs="宋体"/>
          <w:color w:val="auto"/>
          <w:szCs w:val="21"/>
        </w:rPr>
        <w:t>（5）本项目执行促进中小企业发展（监狱企业、残疾人福利性单位视同小型、微型企业）、优先采购节能产品、优先采购环境标志产品政策。</w:t>
      </w:r>
    </w:p>
    <w:p>
      <w:pPr>
        <w:widowControl w:val="0"/>
        <w:tabs>
          <w:tab w:val="left" w:pos="540"/>
          <w:tab w:val="left" w:pos="765"/>
        </w:tabs>
        <w:spacing w:line="276" w:lineRule="auto"/>
        <w:ind w:left="420" w:leftChars="200"/>
        <w:rPr>
          <w:color w:val="auto"/>
        </w:rPr>
      </w:pPr>
      <w:r>
        <w:rPr>
          <w:rFonts w:hint="eastAsia" w:ascii="宋体" w:hAnsi="宋体" w:cs="宋体"/>
          <w:color w:val="auto"/>
          <w:szCs w:val="21"/>
        </w:rPr>
        <w:t>（6）《关于温州市政府采购支持中小企业信用融资的通知》各位供应商：为了进一步扶持中小企业优化温州营商环境，根据《温州市财政局关于温州市政府采购支持中小企业信用融资的通知》要求，温州政府采购项目现已开通支持中小企业信用融资合作银行活动，有意向供应商根据文件要求提交《温州市政府采购信用融资意向银行选择表》。详细操作及流程请点击：https://ggzy.wzzbtb.com/wzcms/ggtz/50415.htm</w:t>
      </w:r>
    </w:p>
    <w:p>
      <w:pPr>
        <w:pStyle w:val="242"/>
        <w:spacing w:before="120" w:beforeLines="50" w:line="276" w:lineRule="auto"/>
        <w:rPr>
          <w:rFonts w:ascii="Arial" w:hAnsi="Arial" w:cs="Arial"/>
          <w:b/>
          <w:bCs/>
          <w:color w:val="auto"/>
          <w:szCs w:val="21"/>
        </w:rPr>
      </w:pPr>
      <w:r>
        <w:rPr>
          <w:rFonts w:hint="eastAsia" w:ascii="Arial" w:hAnsi="Arial" w:cs="Arial"/>
          <w:b/>
          <w:bCs/>
          <w:color w:val="auto"/>
          <w:szCs w:val="21"/>
        </w:rPr>
        <w:t>八、</w:t>
      </w:r>
      <w:r>
        <w:rPr>
          <w:rFonts w:ascii="Arial" w:hAnsi="Arial" w:cs="Arial"/>
          <w:b/>
          <w:bCs/>
          <w:color w:val="auto"/>
          <w:szCs w:val="21"/>
        </w:rPr>
        <w:t>联系方式：</w:t>
      </w:r>
    </w:p>
    <w:p>
      <w:pPr>
        <w:spacing w:line="276" w:lineRule="auto"/>
        <w:rPr>
          <w:rFonts w:hint="eastAsia" w:ascii="Arial" w:hAnsi="Arial" w:eastAsia="宋体" w:cs="Arial"/>
          <w:color w:val="auto"/>
          <w:szCs w:val="21"/>
          <w:lang w:eastAsia="zh-CN"/>
        </w:rPr>
      </w:pPr>
      <w:r>
        <w:rPr>
          <w:rFonts w:hint="eastAsia" w:ascii="Arial" w:hAnsi="Arial" w:cs="Arial"/>
          <w:color w:val="auto"/>
          <w:szCs w:val="21"/>
        </w:rPr>
        <w:t xml:space="preserve">1、 </w:t>
      </w:r>
      <w:r>
        <w:rPr>
          <w:rFonts w:ascii="Arial" w:hAnsi="Arial" w:cs="Arial"/>
          <w:color w:val="auto"/>
          <w:szCs w:val="21"/>
        </w:rPr>
        <w:t>采购单位名称：</w:t>
      </w:r>
      <w:r>
        <w:rPr>
          <w:rFonts w:hint="eastAsia" w:ascii="宋体" w:hAnsi="宋体" w:cs="宋体"/>
          <w:color w:val="auto"/>
          <w:szCs w:val="21"/>
          <w:lang w:eastAsia="zh-CN"/>
        </w:rPr>
        <w:t>瑞安市曹村镇人民政府</w:t>
      </w:r>
    </w:p>
    <w:p>
      <w:pPr>
        <w:spacing w:line="276" w:lineRule="auto"/>
        <w:ind w:firstLine="420" w:firstLineChars="200"/>
        <w:rPr>
          <w:rFonts w:ascii="Arial" w:hAnsi="Arial" w:cs="Arial"/>
          <w:color w:val="auto"/>
          <w:szCs w:val="21"/>
        </w:rPr>
      </w:pPr>
      <w:r>
        <w:rPr>
          <w:rFonts w:hint="eastAsia" w:ascii="Arial" w:hAnsi="Arial" w:cs="Arial"/>
          <w:color w:val="auto"/>
          <w:szCs w:val="21"/>
        </w:rPr>
        <w:t>地址：</w:t>
      </w:r>
      <w:r>
        <w:rPr>
          <w:rFonts w:hint="eastAsia" w:ascii="Arial" w:hAnsi="Arial" w:cs="Arial"/>
          <w:color w:val="auto"/>
          <w:szCs w:val="21"/>
          <w:lang w:eastAsia="zh-CN"/>
        </w:rPr>
        <w:t>瑞安市曹村镇</w:t>
      </w:r>
      <w:r>
        <w:rPr>
          <w:rFonts w:hint="eastAsia" w:cs="宋体"/>
          <w:color w:val="auto"/>
          <w:szCs w:val="21"/>
        </w:rPr>
        <w:t xml:space="preserve">   </w:t>
      </w:r>
    </w:p>
    <w:p>
      <w:pPr>
        <w:spacing w:line="276" w:lineRule="auto"/>
        <w:ind w:firstLine="315" w:firstLineChars="150"/>
        <w:rPr>
          <w:rFonts w:hint="eastAsia" w:ascii="Arial" w:hAnsi="Arial" w:cs="Arial"/>
          <w:color w:val="auto"/>
          <w:szCs w:val="21"/>
        </w:rPr>
      </w:pPr>
      <w:r>
        <w:rPr>
          <w:rFonts w:hint="eastAsia" w:ascii="Arial" w:hAnsi="Arial" w:cs="Arial"/>
          <w:color w:val="auto"/>
          <w:szCs w:val="21"/>
        </w:rPr>
        <w:t>项目</w:t>
      </w:r>
      <w:r>
        <w:rPr>
          <w:rFonts w:ascii="Arial" w:hAnsi="Arial" w:cs="Arial"/>
          <w:color w:val="auto"/>
          <w:szCs w:val="21"/>
        </w:rPr>
        <w:t>联系人：</w:t>
      </w:r>
      <w:r>
        <w:rPr>
          <w:rFonts w:hint="eastAsia" w:ascii="Arial" w:hAnsi="Arial" w:cs="Arial"/>
          <w:color w:val="auto"/>
          <w:szCs w:val="21"/>
          <w:lang w:eastAsia="zh-CN"/>
        </w:rPr>
        <w:t>吴先生</w:t>
      </w:r>
      <w:r>
        <w:rPr>
          <w:rFonts w:hint="eastAsia" w:ascii="Arial" w:hAnsi="Arial" w:cs="Arial"/>
          <w:color w:val="auto"/>
          <w:szCs w:val="21"/>
        </w:rPr>
        <w:t xml:space="preserve">              </w:t>
      </w:r>
    </w:p>
    <w:p>
      <w:pPr>
        <w:spacing w:line="276" w:lineRule="auto"/>
        <w:ind w:firstLine="315" w:firstLineChars="150"/>
        <w:rPr>
          <w:rFonts w:ascii="宋体" w:hAnsi="Courier New"/>
          <w:color w:val="auto"/>
          <w:kern w:val="2"/>
          <w:szCs w:val="24"/>
        </w:rPr>
      </w:pPr>
      <w:r>
        <w:rPr>
          <w:rFonts w:hint="eastAsia" w:ascii="宋体" w:hAnsi="Courier New"/>
          <w:color w:val="auto"/>
          <w:kern w:val="2"/>
          <w:szCs w:val="24"/>
        </w:rPr>
        <w:t>联系电话：</w:t>
      </w:r>
      <w:r>
        <w:rPr>
          <w:rFonts w:hint="eastAsia" w:ascii="宋体" w:hAnsi="Courier New"/>
          <w:color w:val="auto"/>
          <w:kern w:val="2"/>
          <w:szCs w:val="24"/>
          <w:lang w:eastAsia="zh-CN"/>
        </w:rPr>
        <w:t>13575435238</w:t>
      </w:r>
      <w:r>
        <w:rPr>
          <w:rFonts w:hint="eastAsia" w:ascii="宋体" w:hAnsi="Courier New"/>
          <w:color w:val="auto"/>
          <w:kern w:val="2"/>
          <w:szCs w:val="24"/>
        </w:rPr>
        <w:t xml:space="preserve"> </w:t>
      </w:r>
    </w:p>
    <w:p>
      <w:pPr>
        <w:spacing w:line="276" w:lineRule="auto"/>
        <w:ind w:firstLine="315" w:firstLineChars="150"/>
        <w:rPr>
          <w:rFonts w:hint="eastAsia" w:ascii="宋体" w:hAnsi="Courier New"/>
          <w:color w:val="auto"/>
          <w:kern w:val="2"/>
          <w:szCs w:val="24"/>
        </w:rPr>
      </w:pPr>
      <w:r>
        <w:rPr>
          <w:rFonts w:hint="eastAsia" w:ascii="宋体" w:hAnsi="Courier New"/>
          <w:color w:val="auto"/>
          <w:kern w:val="2"/>
          <w:szCs w:val="24"/>
        </w:rPr>
        <w:t>质疑受理人：</w:t>
      </w:r>
      <w:r>
        <w:rPr>
          <w:rFonts w:hint="eastAsia" w:ascii="Arial" w:hAnsi="Arial" w:cs="Arial"/>
          <w:color w:val="auto"/>
          <w:szCs w:val="21"/>
          <w:lang w:eastAsia="zh-CN"/>
        </w:rPr>
        <w:t>吴先生</w:t>
      </w:r>
      <w:r>
        <w:rPr>
          <w:rFonts w:hint="eastAsia" w:ascii="宋体" w:hAnsi="Courier New"/>
          <w:color w:val="auto"/>
          <w:kern w:val="2"/>
          <w:szCs w:val="24"/>
        </w:rPr>
        <w:t xml:space="preserve">              </w:t>
      </w:r>
    </w:p>
    <w:p>
      <w:pPr>
        <w:spacing w:line="276" w:lineRule="auto"/>
        <w:ind w:firstLine="315" w:firstLineChars="150"/>
        <w:rPr>
          <w:rFonts w:ascii="宋体" w:hAnsi="Courier New"/>
          <w:color w:val="auto"/>
          <w:kern w:val="2"/>
          <w:szCs w:val="24"/>
        </w:rPr>
      </w:pPr>
      <w:r>
        <w:rPr>
          <w:rFonts w:hint="eastAsia" w:ascii="宋体" w:hAnsi="Courier New"/>
          <w:color w:val="auto"/>
          <w:kern w:val="2"/>
          <w:szCs w:val="24"/>
        </w:rPr>
        <w:t>联系电话：</w:t>
      </w:r>
      <w:r>
        <w:rPr>
          <w:rFonts w:hint="eastAsia" w:ascii="宋体" w:hAnsi="Courier New"/>
          <w:color w:val="auto"/>
          <w:kern w:val="2"/>
          <w:szCs w:val="24"/>
          <w:lang w:eastAsia="zh-CN"/>
        </w:rPr>
        <w:t>13575435238</w:t>
      </w:r>
      <w:r>
        <w:rPr>
          <w:rFonts w:hint="eastAsia" w:ascii="宋体" w:hAnsi="Courier New"/>
          <w:color w:val="auto"/>
          <w:kern w:val="2"/>
          <w:szCs w:val="24"/>
        </w:rPr>
        <w:t xml:space="preserve">   </w:t>
      </w:r>
    </w:p>
    <w:p>
      <w:pPr>
        <w:spacing w:line="276" w:lineRule="auto"/>
        <w:rPr>
          <w:rFonts w:hint="eastAsia" w:ascii="Arial" w:hAnsi="Arial" w:eastAsia="宋体" w:cs="Arial"/>
          <w:color w:val="auto"/>
          <w:szCs w:val="21"/>
          <w:lang w:eastAsia="zh-CN"/>
        </w:rPr>
      </w:pPr>
      <w:r>
        <w:rPr>
          <w:rFonts w:ascii="Arial" w:hAnsi="Arial" w:cs="Arial"/>
          <w:color w:val="auto"/>
          <w:szCs w:val="21"/>
        </w:rPr>
        <w:t>2、代理机构名称：</w:t>
      </w:r>
      <w:r>
        <w:rPr>
          <w:rFonts w:hint="eastAsia" w:ascii="宋体" w:hAnsi="宋体"/>
          <w:color w:val="auto"/>
          <w:szCs w:val="21"/>
          <w:lang w:eastAsia="zh-CN"/>
        </w:rPr>
        <w:t>浙江中格工程项目管理有限公司</w:t>
      </w:r>
    </w:p>
    <w:p>
      <w:pPr>
        <w:spacing w:line="276" w:lineRule="auto"/>
        <w:ind w:firstLine="315" w:firstLineChars="150"/>
        <w:rPr>
          <w:rFonts w:hint="eastAsia" w:ascii="Arial" w:hAnsi="Arial" w:eastAsia="宋体" w:cs="Arial"/>
          <w:color w:val="auto"/>
          <w:szCs w:val="21"/>
          <w:lang w:eastAsia="zh-CN"/>
        </w:rPr>
      </w:pPr>
      <w:r>
        <w:rPr>
          <w:rFonts w:hint="eastAsia" w:ascii="Arial" w:hAnsi="Arial" w:cs="Arial"/>
          <w:color w:val="auto"/>
          <w:szCs w:val="21"/>
        </w:rPr>
        <w:t>地址</w:t>
      </w:r>
      <w:r>
        <w:rPr>
          <w:rFonts w:ascii="Arial" w:hAnsi="Arial" w:cs="Arial"/>
          <w:color w:val="auto"/>
          <w:szCs w:val="21"/>
        </w:rPr>
        <w:t>：</w:t>
      </w:r>
      <w:r>
        <w:rPr>
          <w:rFonts w:hint="eastAsia" w:ascii="宋体" w:hAnsi="宋体"/>
          <w:color w:val="auto"/>
          <w:szCs w:val="21"/>
          <w:lang w:eastAsia="zh-CN"/>
        </w:rPr>
        <w:t>浙江省温州市瑞安市经济开发区毓蒙路1339号5楼</w:t>
      </w:r>
    </w:p>
    <w:p>
      <w:pPr>
        <w:spacing w:line="276" w:lineRule="auto"/>
        <w:ind w:firstLine="315" w:firstLineChars="150"/>
        <w:rPr>
          <w:rFonts w:hint="eastAsia" w:ascii="Arial" w:hAnsi="Arial" w:cs="Arial"/>
          <w:color w:val="auto"/>
          <w:szCs w:val="21"/>
        </w:rPr>
      </w:pPr>
      <w:r>
        <w:rPr>
          <w:rFonts w:hint="eastAsia" w:ascii="Arial" w:hAnsi="Arial" w:cs="Arial"/>
          <w:color w:val="auto"/>
          <w:szCs w:val="21"/>
        </w:rPr>
        <w:t>项目</w:t>
      </w:r>
      <w:r>
        <w:rPr>
          <w:rFonts w:ascii="Arial" w:hAnsi="Arial" w:cs="Arial"/>
          <w:color w:val="auto"/>
          <w:szCs w:val="21"/>
        </w:rPr>
        <w:t>联系人：</w:t>
      </w:r>
      <w:r>
        <w:rPr>
          <w:rFonts w:hint="eastAsia" w:ascii="Arial" w:hAnsi="Arial" w:cs="Arial"/>
          <w:color w:val="auto"/>
          <w:szCs w:val="21"/>
          <w:lang w:eastAsia="zh-CN"/>
        </w:rPr>
        <w:t>陈盈盈</w:t>
      </w:r>
      <w:r>
        <w:rPr>
          <w:rFonts w:hint="eastAsia" w:ascii="Arial" w:hAnsi="Arial" w:cs="Arial"/>
          <w:color w:val="auto"/>
          <w:szCs w:val="21"/>
        </w:rPr>
        <w:t xml:space="preserve">   </w:t>
      </w:r>
    </w:p>
    <w:p>
      <w:pPr>
        <w:spacing w:line="276" w:lineRule="auto"/>
        <w:ind w:firstLine="315" w:firstLineChars="150"/>
        <w:rPr>
          <w:rFonts w:hint="eastAsia" w:ascii="Arial" w:hAnsi="Arial" w:eastAsia="宋体" w:cs="Arial"/>
          <w:color w:val="auto"/>
          <w:szCs w:val="21"/>
          <w:lang w:eastAsia="zh-CN"/>
        </w:rPr>
      </w:pPr>
      <w:r>
        <w:rPr>
          <w:rFonts w:ascii="Arial" w:hAnsi="Arial" w:cs="Arial"/>
          <w:color w:val="auto"/>
          <w:szCs w:val="21"/>
        </w:rPr>
        <w:t>联系电话</w:t>
      </w:r>
      <w:r>
        <w:rPr>
          <w:rFonts w:hint="eastAsia"/>
          <w:color w:val="auto"/>
          <w:szCs w:val="24"/>
        </w:rPr>
        <w:t>：</w:t>
      </w:r>
      <w:r>
        <w:rPr>
          <w:rFonts w:hint="eastAsia" w:ascii="宋体" w:hAnsi="Courier New"/>
          <w:color w:val="auto"/>
          <w:kern w:val="2"/>
          <w:szCs w:val="24"/>
          <w:lang w:eastAsia="zh-CN"/>
        </w:rPr>
        <w:t>17857626256</w:t>
      </w:r>
    </w:p>
    <w:p>
      <w:pPr>
        <w:pStyle w:val="242"/>
        <w:spacing w:line="276" w:lineRule="auto"/>
        <w:ind w:firstLine="315" w:firstLineChars="150"/>
        <w:rPr>
          <w:rFonts w:hint="eastAsia"/>
          <w:color w:val="auto"/>
        </w:rPr>
      </w:pPr>
      <w:r>
        <w:rPr>
          <w:rFonts w:hint="eastAsia"/>
          <w:color w:val="auto"/>
        </w:rPr>
        <w:t>质疑受理人：</w:t>
      </w:r>
      <w:r>
        <w:rPr>
          <w:rFonts w:hint="eastAsia"/>
          <w:color w:val="auto"/>
          <w:lang w:eastAsia="zh-CN"/>
        </w:rPr>
        <w:t>王凤丹</w:t>
      </w:r>
      <w:r>
        <w:rPr>
          <w:rFonts w:hint="eastAsia"/>
          <w:color w:val="auto"/>
        </w:rPr>
        <w:t xml:space="preserve">     </w:t>
      </w:r>
    </w:p>
    <w:p>
      <w:pPr>
        <w:pStyle w:val="242"/>
        <w:spacing w:line="276" w:lineRule="auto"/>
        <w:ind w:firstLine="315" w:firstLineChars="150"/>
        <w:rPr>
          <w:rFonts w:hint="eastAsia" w:eastAsia="宋体"/>
          <w:color w:val="auto"/>
          <w:lang w:eastAsia="zh-CN"/>
        </w:rPr>
      </w:pPr>
      <w:r>
        <w:rPr>
          <w:rFonts w:hint="eastAsia"/>
          <w:color w:val="auto"/>
        </w:rPr>
        <w:t>联系电话：</w:t>
      </w:r>
      <w:r>
        <w:rPr>
          <w:rFonts w:hint="eastAsia"/>
          <w:color w:val="auto"/>
          <w:lang w:eastAsia="zh-CN"/>
        </w:rPr>
        <w:t>18267751999</w:t>
      </w:r>
    </w:p>
    <w:p>
      <w:pPr>
        <w:spacing w:line="276" w:lineRule="auto"/>
        <w:ind w:firstLine="315" w:firstLineChars="150"/>
        <w:rPr>
          <w:rFonts w:hint="eastAsia" w:ascii="Arial" w:hAnsi="Arial" w:eastAsia="宋体" w:cs="Arial"/>
          <w:color w:val="auto"/>
          <w:szCs w:val="21"/>
          <w:lang w:eastAsia="zh-CN"/>
        </w:rPr>
      </w:pPr>
      <w:r>
        <w:rPr>
          <w:rFonts w:ascii="Arial" w:hAnsi="Arial" w:cs="Arial"/>
          <w:color w:val="auto"/>
          <w:szCs w:val="21"/>
        </w:rPr>
        <w:t>传真：</w:t>
      </w:r>
      <w:r>
        <w:rPr>
          <w:rFonts w:hint="eastAsia" w:ascii="Arial" w:hAnsi="Arial" w:cs="Arial"/>
          <w:color w:val="auto"/>
          <w:szCs w:val="21"/>
          <w:lang w:val="en-US" w:eastAsia="zh-CN"/>
        </w:rPr>
        <w:t>/</w:t>
      </w:r>
    </w:p>
    <w:p>
      <w:pPr>
        <w:spacing w:before="48" w:beforeLines="20" w:line="276" w:lineRule="auto"/>
        <w:rPr>
          <w:rFonts w:ascii="Arial" w:hAnsi="Arial" w:cs="Arial"/>
          <w:color w:val="auto"/>
          <w:szCs w:val="21"/>
        </w:rPr>
      </w:pPr>
      <w:r>
        <w:rPr>
          <w:rFonts w:ascii="Arial" w:hAnsi="Arial" w:cs="Arial"/>
          <w:color w:val="auto"/>
          <w:szCs w:val="21"/>
        </w:rPr>
        <w:t>3、同级政府采购监督管理部门名称：瑞安市财政局政府采购监督管理科</w:t>
      </w:r>
    </w:p>
    <w:p>
      <w:pPr>
        <w:spacing w:line="276" w:lineRule="auto"/>
        <w:ind w:firstLine="315" w:firstLineChars="150"/>
        <w:rPr>
          <w:rFonts w:ascii="Arial" w:hAnsi="Arial" w:cs="Arial"/>
          <w:color w:val="auto"/>
          <w:szCs w:val="21"/>
        </w:rPr>
      </w:pPr>
      <w:r>
        <w:rPr>
          <w:rFonts w:ascii="Arial" w:hAnsi="Arial" w:cs="Arial"/>
          <w:color w:val="auto"/>
          <w:szCs w:val="21"/>
        </w:rPr>
        <w:t>联系人：</w:t>
      </w:r>
      <w:r>
        <w:rPr>
          <w:rFonts w:hint="eastAsia" w:ascii="Arial" w:hAnsi="Arial" w:cs="Arial"/>
          <w:color w:val="auto"/>
          <w:szCs w:val="21"/>
        </w:rPr>
        <w:t>蔡先生</w:t>
      </w:r>
    </w:p>
    <w:p>
      <w:pPr>
        <w:spacing w:line="276" w:lineRule="auto"/>
        <w:ind w:firstLine="315" w:firstLineChars="150"/>
        <w:rPr>
          <w:rFonts w:ascii="Arial" w:hAnsi="Arial" w:cs="Arial"/>
          <w:color w:val="auto"/>
          <w:szCs w:val="21"/>
        </w:rPr>
      </w:pPr>
      <w:r>
        <w:rPr>
          <w:rFonts w:ascii="Arial" w:hAnsi="Arial" w:cs="Arial"/>
          <w:color w:val="auto"/>
          <w:szCs w:val="21"/>
        </w:rPr>
        <w:t>联系电话：0577-65827567</w:t>
      </w:r>
    </w:p>
    <w:p>
      <w:pPr>
        <w:spacing w:line="276" w:lineRule="auto"/>
        <w:ind w:firstLine="315" w:firstLineChars="150"/>
        <w:rPr>
          <w:rFonts w:ascii="Arial" w:hAnsi="Arial" w:cs="Arial"/>
          <w:color w:val="auto"/>
          <w:szCs w:val="21"/>
        </w:rPr>
      </w:pPr>
      <w:r>
        <w:rPr>
          <w:rFonts w:ascii="Arial" w:hAnsi="Arial" w:cs="Arial"/>
          <w:color w:val="auto"/>
          <w:szCs w:val="21"/>
        </w:rPr>
        <w:t>传真：</w:t>
      </w:r>
      <w:r>
        <w:rPr>
          <w:rFonts w:hint="eastAsia" w:ascii="Arial" w:hAnsi="Arial" w:cs="Arial"/>
          <w:color w:val="auto"/>
          <w:szCs w:val="21"/>
        </w:rPr>
        <w:t>0577-65827570</w:t>
      </w:r>
    </w:p>
    <w:p>
      <w:pPr>
        <w:spacing w:line="276" w:lineRule="auto"/>
        <w:ind w:firstLine="315" w:firstLineChars="150"/>
        <w:rPr>
          <w:rFonts w:ascii="Arial" w:hAnsi="Arial" w:cs="Arial"/>
          <w:color w:val="auto"/>
          <w:szCs w:val="21"/>
        </w:rPr>
      </w:pPr>
      <w:r>
        <w:rPr>
          <w:rFonts w:ascii="Arial" w:hAnsi="Arial" w:cs="Arial"/>
          <w:color w:val="auto"/>
          <w:szCs w:val="21"/>
        </w:rPr>
        <w:t>地址：瑞安市财政局大楼15楼</w:t>
      </w:r>
    </w:p>
    <w:bookmarkEnd w:id="3"/>
    <w:bookmarkEnd w:id="4"/>
    <w:p>
      <w:pPr>
        <w:pStyle w:val="21"/>
        <w:rPr>
          <w:color w:val="0000FF"/>
        </w:rPr>
      </w:pPr>
      <w:r>
        <w:rPr>
          <w:rFonts w:hint="eastAsia"/>
          <w:color w:val="0000FF"/>
        </w:rPr>
        <w:br w:type="page"/>
      </w:r>
    </w:p>
    <w:p>
      <w:pPr>
        <w:pStyle w:val="4"/>
        <w:keepNext w:val="0"/>
        <w:keepLines w:val="0"/>
        <w:spacing w:before="120" w:beforeLines="50" w:after="120" w:afterLines="50" w:line="400" w:lineRule="exact"/>
        <w:jc w:val="center"/>
        <w:rPr>
          <w:rFonts w:hAnsi="宋体" w:cs="宋体"/>
          <w:color w:val="auto"/>
          <w:sz w:val="28"/>
          <w:szCs w:val="36"/>
        </w:rPr>
      </w:pPr>
      <w:bookmarkStart w:id="5" w:name="_Toc12951"/>
      <w:r>
        <w:rPr>
          <w:rFonts w:hint="eastAsia" w:hAnsi="宋体" w:cs="宋体"/>
          <w:color w:val="auto"/>
          <w:sz w:val="28"/>
          <w:szCs w:val="36"/>
        </w:rPr>
        <w:t>第二部分  磋商供应商须知</w:t>
      </w:r>
      <w:bookmarkEnd w:id="5"/>
    </w:p>
    <w:p>
      <w:pPr>
        <w:pStyle w:val="5"/>
        <w:spacing w:before="0" w:after="120" w:afterLines="50" w:line="400" w:lineRule="exact"/>
        <w:jc w:val="center"/>
        <w:rPr>
          <w:rFonts w:ascii="宋体" w:hAnsi="宋体" w:cs="宋体"/>
          <w:bCs w:val="0"/>
          <w:color w:val="auto"/>
          <w:sz w:val="24"/>
          <w:szCs w:val="24"/>
        </w:rPr>
      </w:pPr>
      <w:bookmarkStart w:id="6" w:name="_Toc16325"/>
      <w:bookmarkStart w:id="7" w:name="_Toc26846"/>
      <w:bookmarkStart w:id="8" w:name="_Toc21867"/>
      <w:r>
        <w:rPr>
          <w:rFonts w:hint="eastAsia" w:ascii="宋体" w:hAnsi="宋体" w:cs="宋体"/>
          <w:color w:val="auto"/>
          <w:sz w:val="24"/>
          <w:szCs w:val="24"/>
        </w:rPr>
        <w:t>（一）</w:t>
      </w:r>
      <w:r>
        <w:rPr>
          <w:rFonts w:hint="eastAsia" w:ascii="宋体" w:hAnsi="宋体" w:cs="宋体"/>
          <w:bCs w:val="0"/>
          <w:color w:val="auto"/>
          <w:sz w:val="24"/>
          <w:szCs w:val="24"/>
        </w:rPr>
        <w:t>磋商须知前附表</w:t>
      </w:r>
      <w:bookmarkEnd w:id="6"/>
      <w:bookmarkEnd w:id="7"/>
      <w:bookmarkEnd w:id="8"/>
    </w:p>
    <w:tbl>
      <w:tblPr>
        <w:tblStyle w:val="46"/>
        <w:tblW w:w="9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45"/>
        <w:gridCol w:w="1920"/>
        <w:gridCol w:w="7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0" w:hRule="atLeast"/>
          <w:jc w:val="center"/>
        </w:trPr>
        <w:tc>
          <w:tcPr>
            <w:tcW w:w="645" w:type="dxa"/>
            <w:vAlign w:val="center"/>
          </w:tcPr>
          <w:p>
            <w:pPr>
              <w:spacing w:line="400" w:lineRule="exact"/>
              <w:jc w:val="center"/>
              <w:rPr>
                <w:rFonts w:ascii="宋体" w:hAnsi="宋体" w:cs="宋体"/>
                <w:b/>
                <w:color w:val="auto"/>
                <w:kern w:val="2"/>
                <w:szCs w:val="21"/>
              </w:rPr>
            </w:pPr>
            <w:r>
              <w:rPr>
                <w:rFonts w:hint="eastAsia" w:ascii="宋体" w:hAnsi="宋体" w:cs="宋体"/>
                <w:b/>
                <w:color w:val="auto"/>
                <w:kern w:val="2"/>
                <w:szCs w:val="21"/>
              </w:rPr>
              <w:t>项号</w:t>
            </w:r>
          </w:p>
        </w:tc>
        <w:tc>
          <w:tcPr>
            <w:tcW w:w="1920" w:type="dxa"/>
            <w:vAlign w:val="center"/>
          </w:tcPr>
          <w:p>
            <w:pPr>
              <w:spacing w:line="400" w:lineRule="exact"/>
              <w:jc w:val="center"/>
              <w:rPr>
                <w:rFonts w:ascii="宋体" w:hAnsi="宋体" w:cs="宋体"/>
                <w:b/>
                <w:color w:val="auto"/>
                <w:kern w:val="2"/>
                <w:szCs w:val="21"/>
              </w:rPr>
            </w:pPr>
            <w:r>
              <w:rPr>
                <w:rFonts w:hint="eastAsia" w:ascii="宋体" w:hAnsi="宋体" w:cs="宋体"/>
                <w:b/>
                <w:color w:val="auto"/>
                <w:kern w:val="2"/>
                <w:szCs w:val="21"/>
              </w:rPr>
              <w:t>内容</w:t>
            </w:r>
          </w:p>
        </w:tc>
        <w:tc>
          <w:tcPr>
            <w:tcW w:w="7090" w:type="dxa"/>
            <w:vAlign w:val="center"/>
          </w:tcPr>
          <w:p>
            <w:pPr>
              <w:spacing w:line="400" w:lineRule="exact"/>
              <w:jc w:val="center"/>
              <w:rPr>
                <w:rFonts w:ascii="宋体" w:hAnsi="宋体" w:cs="宋体"/>
                <w:b/>
                <w:color w:val="auto"/>
                <w:kern w:val="2"/>
                <w:szCs w:val="21"/>
              </w:rPr>
            </w:pPr>
            <w:r>
              <w:rPr>
                <w:rFonts w:hint="eastAsia" w:ascii="宋体" w:hAnsi="宋体" w:cs="宋体"/>
                <w:b/>
                <w:color w:val="auto"/>
                <w:kern w:val="2"/>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84"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项目名称</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lang w:eastAsia="zh-CN"/>
              </w:rPr>
              <w:t>曹村镇无废村镇试点（垃圾分类主题公园扩建二期）配套环保工程设备采购</w:t>
            </w:r>
            <w:r>
              <w:rPr>
                <w:rFonts w:hint="eastAsia" w:ascii="宋体" w:hAnsi="宋体" w:cs="宋体"/>
                <w:color w:val="auto"/>
                <w:kern w:val="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6"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项目编号</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lang w:eastAsia="zh-CN"/>
              </w:rPr>
              <w:t>ZGCG20222008</w:t>
            </w:r>
            <w:r>
              <w:rPr>
                <w:rFonts w:hint="eastAsia" w:ascii="宋体" w:hAnsi="宋体" w:cs="宋体"/>
                <w:color w:val="auto"/>
                <w:kern w:val="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3</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资金来源</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财政资金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47"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4</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采购人</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t>名称：</w:t>
            </w:r>
            <w:r>
              <w:rPr>
                <w:rFonts w:hint="eastAsia" w:ascii="宋体" w:hAnsi="宋体" w:cs="宋体"/>
                <w:color w:val="auto"/>
                <w:kern w:val="2"/>
                <w:szCs w:val="21"/>
                <w:lang w:eastAsia="zh-CN"/>
              </w:rPr>
              <w:t>瑞安市曹村镇人民政府</w:t>
            </w:r>
            <w:r>
              <w:rPr>
                <w:rFonts w:hint="eastAsia" w:ascii="宋体" w:hAnsi="宋体" w:cs="宋体"/>
                <w:color w:val="auto"/>
                <w:kern w:val="2"/>
                <w:szCs w:val="21"/>
              </w:rPr>
              <w:t xml:space="preserve">  </w:t>
            </w:r>
          </w:p>
          <w:p>
            <w:pPr>
              <w:keepNext/>
              <w:keepLines/>
              <w:widowControl w:val="0"/>
              <w:tabs>
                <w:tab w:val="left" w:pos="840"/>
              </w:tabs>
              <w:adjustRightInd w:val="0"/>
              <w:snapToGrid w:val="0"/>
              <w:spacing w:line="400" w:lineRule="exact"/>
              <w:jc w:val="both"/>
              <w:outlineLvl w:val="0"/>
              <w:rPr>
                <w:rFonts w:hint="eastAsia" w:ascii="宋体" w:hAnsi="宋体" w:eastAsia="宋体" w:cs="宋体"/>
                <w:color w:val="auto"/>
                <w:kern w:val="2"/>
                <w:szCs w:val="21"/>
                <w:lang w:eastAsia="zh-CN"/>
              </w:rPr>
            </w:pPr>
            <w:bookmarkStart w:id="9" w:name="_Toc6321"/>
            <w:bookmarkStart w:id="10" w:name="_Toc16531"/>
            <w:bookmarkStart w:id="11" w:name="_Toc21676"/>
            <w:bookmarkStart w:id="12" w:name="_Toc31624"/>
            <w:bookmarkStart w:id="13" w:name="_Toc17808"/>
            <w:bookmarkStart w:id="14" w:name="_Toc22627"/>
            <w:bookmarkStart w:id="15" w:name="_Toc18513"/>
            <w:bookmarkStart w:id="16" w:name="_Toc17579"/>
            <w:bookmarkStart w:id="17" w:name="_Toc19287"/>
            <w:bookmarkStart w:id="18" w:name="_Toc30081"/>
            <w:bookmarkStart w:id="19" w:name="_Toc31770"/>
            <w:bookmarkStart w:id="20" w:name="_Toc27939"/>
            <w:r>
              <w:rPr>
                <w:rFonts w:hint="eastAsia" w:ascii="宋体" w:hAnsi="宋体" w:cs="宋体"/>
                <w:color w:val="auto"/>
                <w:kern w:val="2"/>
                <w:szCs w:val="21"/>
              </w:rPr>
              <w:t>地址：</w:t>
            </w:r>
            <w:bookmarkEnd w:id="9"/>
            <w:bookmarkEnd w:id="10"/>
            <w:bookmarkEnd w:id="11"/>
            <w:bookmarkEnd w:id="12"/>
            <w:bookmarkEnd w:id="13"/>
            <w:bookmarkEnd w:id="14"/>
            <w:bookmarkEnd w:id="15"/>
            <w:bookmarkEnd w:id="16"/>
            <w:bookmarkEnd w:id="17"/>
            <w:bookmarkEnd w:id="18"/>
            <w:bookmarkEnd w:id="19"/>
            <w:bookmarkEnd w:id="20"/>
            <w:r>
              <w:rPr>
                <w:rFonts w:hint="eastAsia" w:ascii="宋体" w:hAnsi="宋体" w:cs="宋体"/>
                <w:color w:val="auto"/>
                <w:kern w:val="2"/>
                <w:szCs w:val="21"/>
                <w:lang w:eastAsia="zh-CN"/>
              </w:rPr>
              <w:t>瑞安市曹村镇</w:t>
            </w:r>
          </w:p>
          <w:p>
            <w:pPr>
              <w:adjustRightInd w:val="0"/>
              <w:spacing w:line="400" w:lineRule="exact"/>
              <w:rPr>
                <w:rFonts w:ascii="宋体" w:hAnsi="宋体" w:cs="宋体"/>
                <w:color w:val="auto"/>
                <w:kern w:val="2"/>
                <w:szCs w:val="21"/>
              </w:rPr>
            </w:pPr>
            <w:r>
              <w:rPr>
                <w:rFonts w:hint="eastAsia" w:ascii="宋体" w:hAnsi="Courier New"/>
                <w:color w:val="auto"/>
                <w:kern w:val="2"/>
                <w:szCs w:val="24"/>
              </w:rPr>
              <w:t>项目联系人：</w:t>
            </w:r>
            <w:r>
              <w:rPr>
                <w:rFonts w:hint="eastAsia" w:ascii="宋体" w:hAnsi="Courier New"/>
                <w:color w:val="auto"/>
                <w:kern w:val="2"/>
                <w:szCs w:val="24"/>
                <w:lang w:eastAsia="zh-CN"/>
              </w:rPr>
              <w:t>吴先生</w:t>
            </w:r>
            <w:r>
              <w:rPr>
                <w:rFonts w:hint="eastAsia" w:ascii="宋体" w:hAnsi="Courier New"/>
                <w:color w:val="auto"/>
                <w:kern w:val="2"/>
                <w:szCs w:val="24"/>
              </w:rPr>
              <w:t xml:space="preserve">              联系电话：</w:t>
            </w:r>
            <w:r>
              <w:rPr>
                <w:rFonts w:hint="eastAsia" w:ascii="宋体" w:hAnsi="Courier New"/>
                <w:color w:val="auto"/>
                <w:kern w:val="2"/>
                <w:szCs w:val="24"/>
                <w:lang w:eastAsia="zh-CN"/>
              </w:rPr>
              <w:t>13575435238</w:t>
            </w:r>
            <w:r>
              <w:rPr>
                <w:rFonts w:hint="eastAsia" w:ascii="宋体" w:hAnsi="Courier New"/>
                <w:color w:val="auto"/>
                <w:kern w:val="2"/>
                <w:szCs w:val="24"/>
              </w:rPr>
              <w:t xml:space="preserve">  </w:t>
            </w:r>
            <w:r>
              <w:rPr>
                <w:rFonts w:hint="eastAsia" w:ascii="宋体" w:hAnsi="宋体" w:cs="宋体"/>
                <w:color w:val="auto"/>
                <w:kern w:val="2"/>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7"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5</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采购代理机构</w:t>
            </w:r>
          </w:p>
        </w:tc>
        <w:tc>
          <w:tcPr>
            <w:tcW w:w="7090" w:type="dxa"/>
            <w:vAlign w:val="center"/>
          </w:tcPr>
          <w:p>
            <w:pPr>
              <w:adjustRightInd w:val="0"/>
              <w:spacing w:line="400" w:lineRule="exact"/>
              <w:rPr>
                <w:rFonts w:hint="eastAsia" w:ascii="宋体" w:hAnsi="宋体" w:eastAsia="宋体" w:cs="宋体"/>
                <w:color w:val="auto"/>
                <w:kern w:val="2"/>
                <w:szCs w:val="21"/>
                <w:lang w:eastAsia="zh-CN"/>
              </w:rPr>
            </w:pPr>
            <w:r>
              <w:rPr>
                <w:rFonts w:hint="eastAsia" w:ascii="宋体" w:hAnsi="宋体" w:cs="宋体"/>
                <w:color w:val="auto"/>
                <w:kern w:val="2"/>
                <w:szCs w:val="21"/>
              </w:rPr>
              <w:t>名称：</w:t>
            </w:r>
            <w:r>
              <w:rPr>
                <w:rFonts w:hint="eastAsia" w:ascii="宋体" w:hAnsi="宋体" w:cs="宋体"/>
                <w:color w:val="auto"/>
                <w:kern w:val="2"/>
                <w:szCs w:val="21"/>
                <w:lang w:eastAsia="zh-CN"/>
              </w:rPr>
              <w:t>浙江中格工程项目管理有限公司</w:t>
            </w:r>
          </w:p>
          <w:p>
            <w:pPr>
              <w:adjustRightInd w:val="0"/>
              <w:spacing w:line="400" w:lineRule="exact"/>
              <w:rPr>
                <w:rFonts w:hint="eastAsia" w:ascii="宋体" w:hAnsi="宋体" w:eastAsia="宋体" w:cs="宋体"/>
                <w:color w:val="auto"/>
                <w:kern w:val="2"/>
                <w:szCs w:val="21"/>
                <w:lang w:eastAsia="zh-CN"/>
              </w:rPr>
            </w:pPr>
            <w:r>
              <w:rPr>
                <w:rFonts w:hint="eastAsia" w:ascii="宋体" w:hAnsi="宋体" w:cs="宋体"/>
                <w:color w:val="auto"/>
                <w:kern w:val="2"/>
                <w:szCs w:val="21"/>
              </w:rPr>
              <w:t>地址：</w:t>
            </w:r>
            <w:r>
              <w:rPr>
                <w:rFonts w:hint="eastAsia" w:ascii="宋体" w:hAnsi="宋体" w:cs="宋体"/>
                <w:bCs/>
                <w:color w:val="auto"/>
                <w:kern w:val="2"/>
                <w:szCs w:val="21"/>
                <w:lang w:eastAsia="zh-CN"/>
              </w:rPr>
              <w:t>浙江省温州市瑞安市经济开发区毓蒙路1339号5楼</w:t>
            </w:r>
          </w:p>
          <w:p>
            <w:pPr>
              <w:adjustRightInd w:val="0"/>
              <w:spacing w:line="400" w:lineRule="exact"/>
              <w:rPr>
                <w:rFonts w:hint="eastAsia" w:ascii="宋体" w:hAnsi="宋体" w:eastAsia="宋体"/>
                <w:color w:val="auto"/>
                <w:kern w:val="2"/>
                <w:szCs w:val="21"/>
                <w:lang w:eastAsia="zh-CN"/>
              </w:rPr>
            </w:pPr>
            <w:r>
              <w:rPr>
                <w:rFonts w:hint="eastAsia" w:ascii="宋体" w:hAnsi="宋体"/>
                <w:color w:val="auto"/>
                <w:kern w:val="2"/>
                <w:szCs w:val="21"/>
              </w:rPr>
              <w:t>项目联系人：</w:t>
            </w:r>
            <w:r>
              <w:rPr>
                <w:rFonts w:hint="eastAsia" w:ascii="宋体" w:hAnsi="宋体"/>
                <w:color w:val="auto"/>
                <w:kern w:val="2"/>
                <w:szCs w:val="21"/>
                <w:lang w:eastAsia="zh-CN"/>
              </w:rPr>
              <w:t>陈盈盈</w:t>
            </w:r>
            <w:r>
              <w:rPr>
                <w:rFonts w:hint="eastAsia" w:ascii="宋体" w:hAnsi="宋体"/>
                <w:color w:val="auto"/>
                <w:kern w:val="2"/>
                <w:szCs w:val="21"/>
              </w:rPr>
              <w:t xml:space="preserve">   联系电话：</w:t>
            </w:r>
            <w:r>
              <w:rPr>
                <w:rFonts w:hint="eastAsia" w:ascii="宋体" w:hAnsi="宋体"/>
                <w:color w:val="auto"/>
                <w:kern w:val="2"/>
                <w:szCs w:val="21"/>
                <w:lang w:eastAsia="zh-CN"/>
              </w:rPr>
              <w:t>17857626256</w:t>
            </w:r>
          </w:p>
          <w:p>
            <w:pPr>
              <w:spacing w:line="400" w:lineRule="exact"/>
              <w:rPr>
                <w:rFonts w:hint="eastAsia" w:ascii="宋体" w:hAnsi="宋体" w:eastAsia="宋体" w:cs="宋体"/>
                <w:color w:val="auto"/>
                <w:kern w:val="2"/>
                <w:szCs w:val="21"/>
                <w:lang w:eastAsia="zh-CN"/>
              </w:rPr>
            </w:pPr>
            <w:r>
              <w:rPr>
                <w:rFonts w:hint="eastAsia" w:ascii="宋体" w:hAnsi="宋体"/>
                <w:color w:val="auto"/>
                <w:kern w:val="2"/>
                <w:szCs w:val="21"/>
              </w:rPr>
              <w:t xml:space="preserve">质疑受理人: </w:t>
            </w:r>
            <w:r>
              <w:rPr>
                <w:rFonts w:hint="eastAsia" w:ascii="宋体" w:hAnsi="宋体"/>
                <w:color w:val="auto"/>
                <w:kern w:val="2"/>
                <w:szCs w:val="21"/>
                <w:lang w:eastAsia="zh-CN"/>
              </w:rPr>
              <w:t>王凤丹</w:t>
            </w:r>
            <w:r>
              <w:rPr>
                <w:rFonts w:hint="eastAsia" w:ascii="宋体" w:hAnsi="宋体"/>
                <w:color w:val="auto"/>
                <w:kern w:val="2"/>
                <w:szCs w:val="21"/>
              </w:rPr>
              <w:t xml:space="preserve">     联系电话：</w:t>
            </w:r>
            <w:r>
              <w:rPr>
                <w:rFonts w:hint="eastAsia" w:ascii="宋体" w:hAnsi="宋体"/>
                <w:color w:val="auto"/>
                <w:kern w:val="2"/>
                <w:szCs w:val="21"/>
                <w:lang w:eastAsia="zh-CN"/>
              </w:rPr>
              <w:t>18267751999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6</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采购内容</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lang w:eastAsia="zh-CN"/>
              </w:rPr>
              <w:t>曹村镇无废村镇试点（垃圾分类主题公园扩建二期）配套环保工程设备采购</w:t>
            </w:r>
            <w:r>
              <w:rPr>
                <w:rFonts w:hint="eastAsia" w:ascii="宋体" w:hAnsi="宋体" w:cs="宋体"/>
                <w:color w:val="auto"/>
                <w:kern w:val="2"/>
                <w:szCs w:val="21"/>
              </w:rPr>
              <w:t>（详见第三部分竞争性磋商内容及要求）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91"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7</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磋商供应商</w:t>
            </w:r>
          </w:p>
          <w:p>
            <w:pPr>
              <w:spacing w:line="400" w:lineRule="exact"/>
              <w:jc w:val="center"/>
              <w:rPr>
                <w:rFonts w:ascii="宋体" w:hAnsi="宋体" w:cs="宋体"/>
                <w:color w:val="auto"/>
                <w:kern w:val="2"/>
                <w:szCs w:val="21"/>
              </w:rPr>
            </w:pPr>
            <w:r>
              <w:rPr>
                <w:rFonts w:hint="eastAsia" w:ascii="宋体" w:hAnsi="宋体" w:cs="宋体"/>
                <w:color w:val="auto"/>
                <w:kern w:val="2"/>
                <w:szCs w:val="21"/>
              </w:rPr>
              <w:t>资格要求</w:t>
            </w:r>
          </w:p>
        </w:tc>
        <w:tc>
          <w:tcPr>
            <w:tcW w:w="7090" w:type="dxa"/>
            <w:vAlign w:val="center"/>
          </w:tcPr>
          <w:p>
            <w:pPr>
              <w:spacing w:line="276" w:lineRule="auto"/>
              <w:rPr>
                <w:rFonts w:ascii="宋体" w:hAnsi="宋体" w:cs="宋体"/>
                <w:color w:val="auto"/>
                <w:kern w:val="2"/>
                <w:szCs w:val="21"/>
              </w:rPr>
            </w:pPr>
            <w:r>
              <w:rPr>
                <w:rFonts w:hint="eastAsia" w:ascii="宋体" w:hAnsi="宋体" w:cs="宋体"/>
                <w:color w:val="auto"/>
                <w:kern w:val="2"/>
                <w:szCs w:val="21"/>
              </w:rPr>
              <w:t>1.符合《中华人民共和国政府采购法》第二十二条规定；</w:t>
            </w:r>
          </w:p>
          <w:p>
            <w:pPr>
              <w:spacing w:line="276" w:lineRule="auto"/>
              <w:rPr>
                <w:rFonts w:ascii="宋体" w:hAnsi="宋体" w:cs="宋体"/>
                <w:color w:val="auto"/>
                <w:kern w:val="2"/>
                <w:szCs w:val="21"/>
              </w:rPr>
            </w:pPr>
            <w:r>
              <w:rPr>
                <w:rFonts w:hint="eastAsia" w:ascii="宋体" w:hAnsi="宋体" w:cs="宋体"/>
                <w:color w:val="auto"/>
                <w:kern w:val="2"/>
                <w:szCs w:val="21"/>
              </w:rPr>
              <w:t>未被信用中国网站（www.creditchina.gov.cn）列入失信被执行人、重大税收违法件当事人名单，未被中国政府采购网（www.ccgp.gov.cn）列入政府采购严重违法失信行为记录名单；未被国家企业信用信息公示系统（www.gsxt.gov.cn）列入严重违法失信企业名单。</w:t>
            </w:r>
          </w:p>
          <w:p>
            <w:pPr>
              <w:spacing w:line="276" w:lineRule="auto"/>
              <w:rPr>
                <w:rFonts w:ascii="宋体" w:hAnsi="宋体" w:cs="宋体"/>
                <w:color w:val="auto"/>
                <w:kern w:val="2"/>
                <w:szCs w:val="21"/>
              </w:rPr>
            </w:pPr>
            <w:r>
              <w:rPr>
                <w:rFonts w:hint="eastAsia" w:ascii="宋体" w:hAnsi="宋体" w:cs="宋体"/>
                <w:color w:val="auto"/>
                <w:kern w:val="2"/>
                <w:szCs w:val="21"/>
              </w:rPr>
              <w:t>2.落实政府采购政策需满足的资格要求：/</w:t>
            </w:r>
          </w:p>
          <w:p>
            <w:pPr>
              <w:spacing w:line="276" w:lineRule="auto"/>
              <w:rPr>
                <w:rFonts w:ascii="宋体" w:hAnsi="宋体" w:cs="宋体"/>
                <w:color w:val="auto"/>
                <w:kern w:val="2"/>
                <w:szCs w:val="21"/>
              </w:rPr>
            </w:pPr>
            <w:r>
              <w:rPr>
                <w:rFonts w:hint="eastAsia" w:ascii="宋体" w:hAnsi="宋体" w:cs="宋体"/>
                <w:color w:val="auto"/>
                <w:kern w:val="2"/>
                <w:szCs w:val="21"/>
              </w:rPr>
              <w:t>3.本项目的特定资格要求：</w:t>
            </w:r>
            <w:r>
              <w:rPr>
                <w:rFonts w:hint="eastAsia" w:ascii="宋体" w:hAnsi="宋体" w:cs="宋体"/>
                <w:color w:val="auto"/>
                <w:szCs w:val="21"/>
              </w:rPr>
              <w:t>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GC2级及以上）及以上资质或中华人民共和国特种设备生产许可证（工业管道GC2级及以上）；⑤须有中华人民共和国特种设备设计许可证（压力管道GC2级及以上）及以上资质或中华人民共和国特种设备生产许可证（压力管道设计GC2级及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8</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是否接受联合体 投标</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不接受</w:t>
            </w:r>
          </w:p>
          <w:p>
            <w:pPr>
              <w:adjustRightInd w:val="0"/>
              <w:spacing w:line="400" w:lineRule="exact"/>
              <w:rPr>
                <w:rFonts w:ascii="宋体" w:hAnsi="宋体" w:cs="宋体"/>
                <w:i/>
                <w:color w:val="auto"/>
                <w:kern w:val="2"/>
                <w:szCs w:val="21"/>
              </w:rPr>
            </w:pPr>
            <w:r>
              <w:rPr>
                <w:rFonts w:hint="eastAsia" w:ascii="宋体" w:hAnsi="宋体" w:cs="宋体"/>
                <w:color w:val="auto"/>
                <w:kern w:val="2"/>
                <w:szCs w:val="21"/>
              </w:rPr>
              <w:t>□ 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9</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踏勘现场</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 xml:space="preserve"> 不组织</w:t>
            </w:r>
          </w:p>
          <w:p>
            <w:pPr>
              <w:adjustRightInd w:val="0"/>
              <w:spacing w:line="400" w:lineRule="exact"/>
              <w:rPr>
                <w:rFonts w:ascii="宋体" w:hAnsi="宋体" w:cs="宋体"/>
                <w:i/>
                <w:color w:val="auto"/>
                <w:kern w:val="2"/>
                <w:szCs w:val="21"/>
              </w:rPr>
            </w:pPr>
            <w:r>
              <w:rPr>
                <w:rFonts w:hint="eastAsia" w:ascii="宋体" w:hAnsi="宋体" w:cs="宋体"/>
                <w:color w:val="auto"/>
                <w:kern w:val="2"/>
                <w:szCs w:val="21"/>
              </w:rPr>
              <w:t>□ 组织    踏勘时间：</w:t>
            </w:r>
            <w:r>
              <w:rPr>
                <w:rFonts w:hint="eastAsia" w:ascii="宋体" w:hAnsi="宋体" w:cs="宋体"/>
                <w:i/>
                <w:color w:val="auto"/>
                <w:kern w:val="2"/>
                <w:szCs w:val="21"/>
              </w:rPr>
              <w:t xml:space="preserve">            </w:t>
            </w:r>
            <w:r>
              <w:rPr>
                <w:rFonts w:hint="eastAsia" w:ascii="宋体" w:hAnsi="宋体" w:cs="宋体"/>
                <w:color w:val="auto"/>
                <w:kern w:val="2"/>
                <w:szCs w:val="21"/>
              </w:rPr>
              <w:t xml:space="preserve"> 踏勘集中地点：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10</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是否允许递交备选磋商供应商方案</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 xml:space="preserve"> 不允许</w:t>
            </w:r>
          </w:p>
          <w:p>
            <w:pPr>
              <w:adjustRightInd w:val="0"/>
              <w:spacing w:line="400" w:lineRule="exact"/>
              <w:rPr>
                <w:rFonts w:ascii="宋体" w:hAnsi="宋体" w:cs="宋体"/>
                <w:color w:val="auto"/>
                <w:kern w:val="2"/>
                <w:szCs w:val="21"/>
              </w:rPr>
            </w:pPr>
            <w:r>
              <w:rPr>
                <w:rFonts w:hint="eastAsia" w:ascii="宋体" w:hAnsi="宋体" w:cs="宋体"/>
                <w:color w:val="auto"/>
                <w:kern w:val="2"/>
                <w:szCs w:val="21"/>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5"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11</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报价货币</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11"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12</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报价语言</w:t>
            </w:r>
          </w:p>
        </w:tc>
        <w:tc>
          <w:tcPr>
            <w:tcW w:w="7090" w:type="dxa"/>
            <w:vAlign w:val="center"/>
          </w:tcPr>
          <w:p>
            <w:pPr>
              <w:adjustRightInd w:val="0"/>
              <w:spacing w:line="400" w:lineRule="exact"/>
              <w:rPr>
                <w:rFonts w:ascii="宋体" w:hAnsi="宋体" w:cs="宋体"/>
                <w:color w:val="auto"/>
                <w:kern w:val="2"/>
                <w:szCs w:val="21"/>
              </w:rPr>
            </w:pPr>
            <w:r>
              <w:rPr>
                <w:rFonts w:hint="eastAsia" w:ascii="宋体" w:hAnsi="宋体" w:cs="宋体"/>
                <w:color w:val="auto"/>
                <w:kern w:val="2"/>
                <w:szCs w:val="21"/>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13</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磋商响应文件形式、组成及制作</w:t>
            </w:r>
          </w:p>
        </w:tc>
        <w:tc>
          <w:tcPr>
            <w:tcW w:w="7090" w:type="dxa"/>
            <w:vAlign w:val="center"/>
          </w:tcPr>
          <w:p>
            <w:pPr>
              <w:pStyle w:val="42"/>
              <w:tabs>
                <w:tab w:val="left" w:pos="6930"/>
              </w:tabs>
              <w:spacing w:before="0" w:beforeAutospacing="0" w:after="0" w:afterAutospacing="0" w:line="400" w:lineRule="exact"/>
              <w:rPr>
                <w:rFonts w:ascii="宋体" w:hAnsi="宋体" w:eastAsia="宋体" w:cs="宋体"/>
                <w:color w:val="auto"/>
                <w:kern w:val="2"/>
                <w:sz w:val="21"/>
                <w:szCs w:val="21"/>
                <w:lang w:val="zh-CN"/>
              </w:rPr>
            </w:pPr>
            <w:r>
              <w:rPr>
                <w:rFonts w:hint="eastAsia" w:ascii="宋体" w:hAnsi="宋体" w:eastAsia="宋体" w:cs="宋体"/>
                <w:color w:val="auto"/>
                <w:kern w:val="2"/>
                <w:sz w:val="21"/>
                <w:szCs w:val="21"/>
              </w:rPr>
              <w:t>1. 响应文件</w:t>
            </w:r>
            <w:r>
              <w:rPr>
                <w:rFonts w:hint="eastAsia" w:ascii="宋体" w:hAnsi="宋体" w:eastAsia="宋体" w:cs="宋体"/>
                <w:color w:val="auto"/>
                <w:kern w:val="2"/>
                <w:sz w:val="21"/>
                <w:szCs w:val="21"/>
                <w:lang w:val="zh-CN"/>
              </w:rPr>
              <w:t>的形式：电子</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（包括“电子加密</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”和“备份</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”，在</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编制完成后同时生成）；</w:t>
            </w:r>
          </w:p>
          <w:p>
            <w:pPr>
              <w:pStyle w:val="42"/>
              <w:tabs>
                <w:tab w:val="left" w:pos="6930"/>
              </w:tabs>
              <w:spacing w:before="0" w:beforeAutospacing="0" w:after="0" w:afterAutospacing="0" w:line="400" w:lineRule="exact"/>
              <w:rPr>
                <w:rFonts w:ascii="宋体" w:hAnsi="宋体" w:eastAsia="宋体" w:cs="宋体"/>
                <w:b/>
                <w:bCs/>
                <w:color w:val="auto"/>
                <w:kern w:val="2"/>
                <w:sz w:val="21"/>
                <w:szCs w:val="21"/>
                <w:u w:val="wave"/>
                <w:lang w:val="zh-CN"/>
              </w:rPr>
            </w:pPr>
            <w:r>
              <w:rPr>
                <w:rFonts w:hint="eastAsia" w:ascii="宋体" w:hAnsi="宋体" w:eastAsia="宋体" w:cs="宋体"/>
                <w:color w:val="auto"/>
                <w:kern w:val="2"/>
                <w:sz w:val="21"/>
                <w:szCs w:val="21"/>
                <w:lang w:val="zh-CN"/>
              </w:rPr>
              <w:t>（1）“电子加密</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”是指通过“政采云电子交易客户端”完成</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编制后生成并加密的数据电文形式的</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w:t>
            </w:r>
            <w:r>
              <w:rPr>
                <w:rFonts w:hint="eastAsia" w:ascii="宋体" w:hAnsi="宋体" w:eastAsia="宋体" w:cs="宋体"/>
                <w:b/>
                <w:bCs/>
                <w:color w:val="auto"/>
                <w:kern w:val="2"/>
                <w:sz w:val="21"/>
                <w:szCs w:val="21"/>
                <w:u w:val="wave"/>
                <w:lang w:val="zh-CN"/>
              </w:rPr>
              <w:t>“电子加密</w:t>
            </w:r>
            <w:r>
              <w:rPr>
                <w:rFonts w:hint="eastAsia" w:ascii="宋体" w:hAnsi="宋体" w:eastAsia="宋体" w:cs="宋体"/>
                <w:b/>
                <w:bCs/>
                <w:color w:val="auto"/>
                <w:kern w:val="2"/>
                <w:sz w:val="21"/>
                <w:szCs w:val="21"/>
                <w:u w:val="wave"/>
              </w:rPr>
              <w:t>响应文件</w:t>
            </w:r>
            <w:r>
              <w:rPr>
                <w:rFonts w:hint="eastAsia" w:ascii="宋体" w:hAnsi="宋体" w:eastAsia="宋体" w:cs="宋体"/>
                <w:b/>
                <w:bCs/>
                <w:color w:val="auto"/>
                <w:kern w:val="2"/>
                <w:sz w:val="21"/>
                <w:szCs w:val="21"/>
                <w:u w:val="wave"/>
                <w:lang w:val="zh-CN"/>
              </w:rPr>
              <w:t>”</w:t>
            </w:r>
            <w:r>
              <w:rPr>
                <w:rFonts w:hint="eastAsia" w:ascii="宋体" w:hAnsi="宋体" w:eastAsia="宋体" w:cs="宋体"/>
                <w:b/>
                <w:bCs/>
                <w:color w:val="auto"/>
                <w:kern w:val="2"/>
                <w:sz w:val="21"/>
                <w:szCs w:val="21"/>
                <w:u w:val="wave"/>
              </w:rPr>
              <w:t>文件格式为（.jmbs）。</w:t>
            </w:r>
          </w:p>
          <w:p>
            <w:pPr>
              <w:pStyle w:val="42"/>
              <w:tabs>
                <w:tab w:val="left" w:pos="6930"/>
              </w:tabs>
              <w:spacing w:before="0" w:beforeAutospacing="0" w:after="0" w:afterAutospacing="0" w:line="400" w:lineRule="exact"/>
              <w:rPr>
                <w:rFonts w:ascii="宋体" w:hAnsi="宋体" w:eastAsia="宋体" w:cs="宋体"/>
                <w:b/>
                <w:bCs/>
                <w:color w:val="auto"/>
                <w:kern w:val="2"/>
                <w:sz w:val="21"/>
                <w:szCs w:val="21"/>
                <w:u w:val="wave"/>
              </w:rPr>
            </w:pPr>
            <w:r>
              <w:rPr>
                <w:rFonts w:hint="eastAsia" w:ascii="宋体" w:hAnsi="宋体" w:eastAsia="宋体" w:cs="宋体"/>
                <w:color w:val="auto"/>
                <w:kern w:val="2"/>
                <w:sz w:val="21"/>
                <w:szCs w:val="21"/>
                <w:lang w:val="zh-CN"/>
              </w:rPr>
              <w:t>（2）“备份</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”是指与“电子加密</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”同时生成的数据电文形式的电子文件（备份标书），其他方式编制的备份</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视为无效备份</w:t>
            </w:r>
            <w:r>
              <w:rPr>
                <w:rFonts w:hint="eastAsia" w:ascii="宋体" w:hAnsi="宋体" w:eastAsia="宋体" w:cs="宋体"/>
                <w:color w:val="auto"/>
                <w:kern w:val="2"/>
                <w:sz w:val="21"/>
                <w:szCs w:val="21"/>
              </w:rPr>
              <w:t>响应文件</w:t>
            </w:r>
            <w:r>
              <w:rPr>
                <w:rFonts w:hint="eastAsia" w:ascii="宋体" w:hAnsi="宋体" w:eastAsia="宋体" w:cs="宋体"/>
                <w:color w:val="auto"/>
                <w:kern w:val="2"/>
                <w:sz w:val="21"/>
                <w:szCs w:val="21"/>
                <w:lang w:val="zh-CN"/>
              </w:rPr>
              <w:t>。</w:t>
            </w:r>
            <w:r>
              <w:rPr>
                <w:rFonts w:hint="eastAsia" w:ascii="宋体" w:hAnsi="宋体" w:eastAsia="宋体" w:cs="宋体"/>
                <w:b/>
                <w:bCs/>
                <w:color w:val="auto"/>
                <w:kern w:val="2"/>
                <w:sz w:val="21"/>
                <w:szCs w:val="21"/>
                <w:u w:val="wave"/>
                <w:lang w:val="zh-CN"/>
              </w:rPr>
              <w:t>“备份</w:t>
            </w:r>
            <w:r>
              <w:rPr>
                <w:rFonts w:hint="eastAsia" w:ascii="宋体" w:hAnsi="宋体" w:eastAsia="宋体" w:cs="宋体"/>
                <w:b/>
                <w:bCs/>
                <w:color w:val="auto"/>
                <w:kern w:val="2"/>
                <w:sz w:val="21"/>
                <w:szCs w:val="21"/>
                <w:u w:val="wave"/>
              </w:rPr>
              <w:t>响应文件</w:t>
            </w:r>
            <w:r>
              <w:rPr>
                <w:rFonts w:hint="eastAsia" w:ascii="宋体" w:hAnsi="宋体" w:eastAsia="宋体" w:cs="宋体"/>
                <w:b/>
                <w:bCs/>
                <w:color w:val="auto"/>
                <w:kern w:val="2"/>
                <w:sz w:val="21"/>
                <w:szCs w:val="21"/>
                <w:u w:val="wave"/>
                <w:lang w:val="zh-CN"/>
              </w:rPr>
              <w:t>”</w:t>
            </w:r>
            <w:r>
              <w:rPr>
                <w:rFonts w:hint="eastAsia" w:ascii="宋体" w:hAnsi="宋体" w:eastAsia="宋体" w:cs="宋体"/>
                <w:b/>
                <w:bCs/>
                <w:color w:val="auto"/>
                <w:kern w:val="2"/>
                <w:sz w:val="21"/>
                <w:szCs w:val="21"/>
                <w:u w:val="wave"/>
              </w:rPr>
              <w:t>文件格式为（.bfbs）。</w:t>
            </w:r>
          </w:p>
          <w:p>
            <w:pPr>
              <w:pStyle w:val="42"/>
              <w:tabs>
                <w:tab w:val="left" w:pos="6930"/>
              </w:tabs>
              <w:spacing w:before="0" w:beforeAutospacing="0" w:after="0" w:afterAutospacing="0" w:line="400" w:lineRule="exact"/>
              <w:rPr>
                <w:rFonts w:ascii="宋体" w:hAnsi="宋体" w:eastAsia="宋体" w:cs="宋体"/>
                <w:b/>
                <w:bCs/>
                <w:color w:val="auto"/>
                <w:kern w:val="2"/>
                <w:sz w:val="21"/>
                <w:szCs w:val="21"/>
              </w:rPr>
            </w:pPr>
            <w:r>
              <w:rPr>
                <w:rFonts w:hint="eastAsia" w:ascii="宋体" w:hAnsi="宋体" w:eastAsia="宋体" w:cs="宋体"/>
                <w:b/>
                <w:bCs/>
                <w:color w:val="auto"/>
                <w:kern w:val="2"/>
                <w:sz w:val="21"/>
                <w:szCs w:val="21"/>
              </w:rPr>
              <w:t>2. 电子加密响应文件制作：应按政采云平台供应商项目采购-电子招投标操作指南、加密并递交。</w:t>
            </w:r>
          </w:p>
          <w:p>
            <w:pPr>
              <w:pStyle w:val="42"/>
              <w:tabs>
                <w:tab w:val="left" w:pos="6930"/>
              </w:tabs>
              <w:spacing w:before="0" w:beforeAutospacing="0" w:after="0" w:afterAutospacing="0" w:line="400" w:lineRule="exact"/>
              <w:rPr>
                <w:rFonts w:ascii="宋体" w:hAnsi="宋体" w:eastAsia="宋体" w:cs="宋体"/>
                <w:b/>
                <w:bCs/>
                <w:color w:val="auto"/>
                <w:kern w:val="2"/>
                <w:sz w:val="21"/>
                <w:szCs w:val="21"/>
              </w:rPr>
            </w:pPr>
            <w:r>
              <w:rPr>
                <w:rFonts w:hint="eastAsia" w:ascii="宋体" w:hAnsi="宋体" w:eastAsia="宋体" w:cs="宋体"/>
                <w:b/>
                <w:bCs/>
                <w:color w:val="auto"/>
                <w:kern w:val="2"/>
                <w:sz w:val="21"/>
                <w:szCs w:val="21"/>
                <w:lang w:val="zh-CN"/>
              </w:rPr>
              <w:t>注：</w:t>
            </w:r>
            <w:r>
              <w:rPr>
                <w:rFonts w:hint="eastAsia" w:ascii="宋体" w:hAnsi="宋体" w:eastAsia="宋体" w:cs="宋体"/>
                <w:b/>
                <w:bCs/>
                <w:color w:val="auto"/>
                <w:kern w:val="2"/>
                <w:sz w:val="21"/>
                <w:szCs w:val="21"/>
              </w:rPr>
              <w:t>如供应商多次发送邮件，以最近时间收到的备份响应文件为准。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3"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14</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响应文件有效期</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磋商响应文件截止时间起60日历天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0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15</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签字或盖章要求</w:t>
            </w:r>
          </w:p>
        </w:tc>
        <w:tc>
          <w:tcPr>
            <w:tcW w:w="7090" w:type="dxa"/>
            <w:vAlign w:val="center"/>
          </w:tcPr>
          <w:p>
            <w:pPr>
              <w:spacing w:line="276" w:lineRule="auto"/>
              <w:rPr>
                <w:rFonts w:ascii="宋体" w:hAnsi="宋体" w:cs="Arial"/>
                <w:color w:val="auto"/>
                <w:kern w:val="2"/>
                <w:szCs w:val="21"/>
              </w:rPr>
            </w:pPr>
            <w:r>
              <w:rPr>
                <w:rFonts w:hint="eastAsia" w:ascii="宋体" w:hAnsi="宋体" w:cs="Arial"/>
                <w:color w:val="auto"/>
                <w:kern w:val="2"/>
                <w:szCs w:val="21"/>
              </w:rPr>
              <w:t>1、按“响应文件格式”中提供的格式进行签字盖章。</w:t>
            </w:r>
          </w:p>
          <w:p>
            <w:pPr>
              <w:spacing w:line="276" w:lineRule="auto"/>
              <w:rPr>
                <w:rFonts w:ascii="宋体" w:hAnsi="宋体" w:cs="Arial"/>
                <w:color w:val="auto"/>
                <w:kern w:val="2"/>
                <w:szCs w:val="21"/>
              </w:rPr>
            </w:pPr>
            <w:r>
              <w:rPr>
                <w:rFonts w:hint="eastAsia" w:ascii="宋体" w:hAnsi="宋体" w:cs="Arial"/>
                <w:color w:val="auto"/>
                <w:kern w:val="2"/>
                <w:szCs w:val="21"/>
              </w:rPr>
              <w:t>2、响应文件签署人（签字或盖章）：响应文件</w:t>
            </w:r>
            <w:r>
              <w:rPr>
                <w:rFonts w:hint="eastAsia" w:ascii="宋体" w:hAnsi="宋体" w:cs="Arial Unicode MS"/>
                <w:color w:val="auto"/>
                <w:kern w:val="2"/>
                <w:szCs w:val="21"/>
              </w:rPr>
              <w:t>凡涉及法定代表人或其授权代表的签字（或盖章）的地方可使用电子签章或签字（或盖章）扫描后上传</w:t>
            </w:r>
            <w:r>
              <w:rPr>
                <w:rFonts w:hint="eastAsia" w:ascii="宋体" w:hAnsi="宋体" w:cs="Arial"/>
                <w:color w:val="auto"/>
                <w:kern w:val="2"/>
                <w:szCs w:val="21"/>
              </w:rPr>
              <w:t>。</w:t>
            </w:r>
          </w:p>
          <w:p>
            <w:pPr>
              <w:spacing w:line="276" w:lineRule="auto"/>
              <w:rPr>
                <w:rFonts w:ascii="宋体" w:hAnsi="宋体" w:cs="宋体"/>
                <w:color w:val="auto"/>
                <w:kern w:val="2"/>
                <w:szCs w:val="21"/>
              </w:rPr>
            </w:pPr>
            <w:r>
              <w:rPr>
                <w:rFonts w:hint="eastAsia" w:ascii="宋体" w:hAnsi="宋体" w:cs="Arial"/>
                <w:color w:val="auto"/>
                <w:kern w:val="2"/>
                <w:szCs w:val="21"/>
              </w:rPr>
              <w:t>3、盖单位公章：响应</w:t>
            </w:r>
            <w:r>
              <w:rPr>
                <w:rFonts w:hint="eastAsia" w:ascii="宋体" w:hAnsi="宋体" w:cs="Arial Unicode MS"/>
                <w:color w:val="auto"/>
                <w:kern w:val="2"/>
                <w:szCs w:val="21"/>
              </w:rPr>
              <w:t>文件中须加盖单位公章的地方均可使用电子签章或加盖单位公章后扫描上传。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06"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16</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磋商样品</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 xml:space="preserve">□需要 </w:t>
            </w:r>
            <w:r>
              <w:rPr>
                <w:rFonts w:hint="eastAsia" w:ascii="宋体" w:hAnsi="宋体" w:cs="宋体"/>
                <w:b/>
                <w:color w:val="auto"/>
                <w:kern w:val="2"/>
                <w:szCs w:val="21"/>
              </w:rPr>
              <w:t xml:space="preserve"> </w:t>
            </w:r>
          </w:p>
          <w:p>
            <w:pPr>
              <w:spacing w:line="400" w:lineRule="exact"/>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17</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磋商保证金</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 xml:space="preserve">□需要 </w:t>
            </w:r>
            <w:r>
              <w:rPr>
                <w:rFonts w:hint="eastAsia" w:ascii="宋体" w:hAnsi="宋体" w:cs="宋体"/>
                <w:b/>
                <w:color w:val="auto"/>
                <w:kern w:val="2"/>
                <w:szCs w:val="21"/>
              </w:rPr>
              <w:t xml:space="preserve"> </w:t>
            </w:r>
          </w:p>
          <w:p>
            <w:pPr>
              <w:snapToGrid w:val="0"/>
              <w:spacing w:line="400" w:lineRule="exact"/>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18</w:t>
            </w:r>
          </w:p>
        </w:tc>
        <w:tc>
          <w:tcPr>
            <w:tcW w:w="1920" w:type="dxa"/>
            <w:vAlign w:val="center"/>
          </w:tcPr>
          <w:p>
            <w:pPr>
              <w:adjustRightInd w:val="0"/>
              <w:spacing w:line="400" w:lineRule="exact"/>
              <w:jc w:val="center"/>
              <w:rPr>
                <w:rFonts w:ascii="宋体" w:hAnsi="宋体" w:cs="宋体"/>
                <w:color w:val="auto"/>
                <w:kern w:val="2"/>
                <w:szCs w:val="21"/>
              </w:rPr>
            </w:pPr>
            <w:r>
              <w:rPr>
                <w:rFonts w:hint="eastAsia" w:ascii="宋体" w:hAnsi="宋体" w:cs="宋体"/>
                <w:color w:val="auto"/>
                <w:kern w:val="2"/>
                <w:szCs w:val="21"/>
              </w:rPr>
              <w:t>履约担保</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□不需要</w:t>
            </w:r>
          </w:p>
          <w:p>
            <w:pPr>
              <w:adjustRightInd w:val="0"/>
              <w:spacing w:line="400" w:lineRule="exact"/>
              <w:ind w:left="1056" w:hanging="1056" w:hangingChars="503"/>
              <w:jc w:val="both"/>
              <w:rPr>
                <w:rFonts w:ascii="宋体" w:hAnsi="宋体" w:cs="宋体"/>
                <w:color w:val="auto"/>
                <w:kern w:val="2"/>
                <w:szCs w:val="21"/>
              </w:rPr>
            </w:pPr>
            <w:r>
              <w:rPr>
                <w:rFonts w:hint="eastAsia" w:ascii="宋体" w:hAnsi="宋体" w:cs="宋体"/>
                <w:color w:val="auto"/>
                <w:kern w:val="2"/>
                <w:szCs w:val="21"/>
              </w:rPr>
              <w:fldChar w:fldCharType="begin"/>
            </w:r>
            <w:r>
              <w:rPr>
                <w:rFonts w:hint="eastAsia" w:ascii="宋体" w:hAnsi="宋体" w:cs="宋体"/>
                <w:color w:val="auto"/>
                <w:kern w:val="2"/>
                <w:szCs w:val="21"/>
              </w:rPr>
              <w:instrText xml:space="preserve"> eq \o\ac(</w:instrText>
            </w:r>
            <w:r>
              <w:rPr>
                <w:rFonts w:hint="eastAsia" w:ascii="宋体" w:hAnsi="宋体" w:cs="宋体"/>
                <w:color w:val="auto"/>
                <w:kern w:val="2"/>
                <w:position w:val="-4"/>
                <w:sz w:val="31"/>
                <w:szCs w:val="21"/>
              </w:rPr>
              <w:instrText xml:space="preserve">□</w:instrText>
            </w:r>
            <w:r>
              <w:rPr>
                <w:rFonts w:hint="eastAsia" w:ascii="宋体" w:hAnsi="宋体" w:cs="宋体"/>
                <w:color w:val="auto"/>
                <w:kern w:val="2"/>
                <w:szCs w:val="21"/>
              </w:rPr>
              <w:instrText xml:space="preserve">,√)</w:instrText>
            </w:r>
            <w:r>
              <w:rPr>
                <w:rFonts w:hint="eastAsia" w:ascii="宋体" w:hAnsi="宋体" w:cs="宋体"/>
                <w:color w:val="auto"/>
                <w:kern w:val="2"/>
                <w:szCs w:val="21"/>
              </w:rPr>
              <w:fldChar w:fldCharType="end"/>
            </w:r>
            <w:r>
              <w:rPr>
                <w:rFonts w:hint="eastAsia" w:ascii="宋体" w:hAnsi="宋体" w:cs="宋体"/>
                <w:color w:val="auto"/>
                <w:kern w:val="2"/>
                <w:szCs w:val="21"/>
              </w:rPr>
              <w:t>需要： 成交供应商以银行转账、转帐支票、银行汇票、保险或金融机构出具的保函等方式须向采购人缴纳合同总价1％的履约保证金。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49"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19</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磋商文件发售时间及获取方式</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lang w:val="en-US" w:eastAsia="zh-CN"/>
              </w:rPr>
              <w:t>/</w:t>
            </w:r>
            <w:r>
              <w:rPr>
                <w:rFonts w:hint="eastAsia" w:ascii="宋体" w:hAnsi="宋体" w:cs="宋体"/>
                <w:color w:val="auto"/>
                <w:kern w:val="2"/>
                <w:szCs w:val="21"/>
              </w:rPr>
              <w:t>至磋商截止时间前。</w:t>
            </w:r>
          </w:p>
          <w:p>
            <w:pPr>
              <w:pStyle w:val="118"/>
              <w:spacing w:line="400" w:lineRule="exact"/>
              <w:ind w:firstLine="0" w:firstLineChars="0"/>
              <w:rPr>
                <w:rFonts w:ascii="宋体" w:hAnsi="宋体" w:cs="宋体"/>
                <w:color w:val="auto"/>
                <w:kern w:val="2"/>
                <w:szCs w:val="21"/>
              </w:rPr>
            </w:pPr>
            <w:r>
              <w:rPr>
                <w:rFonts w:hint="eastAsia" w:ascii="宋体" w:hAnsi="宋体" w:cs="宋体"/>
                <w:color w:val="auto"/>
                <w:kern w:val="2"/>
                <w:szCs w:val="21"/>
              </w:rPr>
              <w:t>登录浙江政府采购网：供应商注册-项目采购-获取采购文件-申请获取采购文件。注：竞争性磋商公告附件里的采购文件仅供阅览使用。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1" w:hRule="atLeast"/>
          <w:jc w:val="center"/>
        </w:trPr>
        <w:tc>
          <w:tcPr>
            <w:tcW w:w="645" w:type="dxa"/>
            <w:vAlign w:val="center"/>
          </w:tcPr>
          <w:p>
            <w:pPr>
              <w:spacing w:line="400" w:lineRule="exact"/>
              <w:jc w:val="center"/>
              <w:rPr>
                <w:rFonts w:ascii="宋体" w:hAnsi="宋体" w:cs="宋体"/>
                <w:color w:val="0000FF"/>
                <w:kern w:val="2"/>
                <w:szCs w:val="21"/>
              </w:rPr>
            </w:pPr>
            <w:r>
              <w:rPr>
                <w:rFonts w:hint="eastAsia" w:ascii="宋体" w:hAnsi="宋体" w:cs="宋体"/>
                <w:color w:val="0000FF"/>
                <w:kern w:val="2"/>
                <w:szCs w:val="21"/>
              </w:rPr>
              <w:t>20</w:t>
            </w:r>
          </w:p>
        </w:tc>
        <w:tc>
          <w:tcPr>
            <w:tcW w:w="1920" w:type="dxa"/>
            <w:vAlign w:val="center"/>
          </w:tcPr>
          <w:p>
            <w:pPr>
              <w:spacing w:line="400" w:lineRule="exact"/>
              <w:jc w:val="center"/>
              <w:rPr>
                <w:rFonts w:ascii="宋体" w:hAnsi="宋体" w:cs="宋体"/>
                <w:color w:val="0000FF"/>
                <w:kern w:val="2"/>
                <w:szCs w:val="21"/>
              </w:rPr>
            </w:pPr>
            <w:r>
              <w:rPr>
                <w:rFonts w:hint="eastAsia" w:ascii="宋体" w:hAnsi="宋体" w:cs="宋体"/>
                <w:color w:val="0000FF"/>
                <w:kern w:val="2"/>
                <w:szCs w:val="21"/>
              </w:rPr>
              <w:t>磋商截止时间</w:t>
            </w:r>
          </w:p>
        </w:tc>
        <w:tc>
          <w:tcPr>
            <w:tcW w:w="7090" w:type="dxa"/>
            <w:vAlign w:val="center"/>
          </w:tcPr>
          <w:p>
            <w:pPr>
              <w:spacing w:line="400" w:lineRule="exact"/>
              <w:rPr>
                <w:rFonts w:ascii="宋体" w:hAnsi="宋体" w:cs="宋体"/>
                <w:color w:val="0000FF"/>
                <w:kern w:val="2"/>
                <w:szCs w:val="21"/>
              </w:rPr>
            </w:pPr>
            <w:r>
              <w:rPr>
                <w:rFonts w:hint="eastAsia" w:ascii="宋体" w:hAnsi="宋体"/>
                <w:bCs/>
                <w:color w:val="0000FF"/>
                <w:kern w:val="2"/>
                <w:szCs w:val="22"/>
              </w:rPr>
              <w:t>2022年</w:t>
            </w:r>
            <w:r>
              <w:rPr>
                <w:rFonts w:hint="eastAsia" w:ascii="宋体" w:hAnsi="宋体"/>
                <w:bCs/>
                <w:color w:val="0000FF"/>
                <w:kern w:val="2"/>
                <w:szCs w:val="22"/>
                <w:lang w:val="en-US" w:eastAsia="zh-CN"/>
              </w:rPr>
              <w:t>10</w:t>
            </w:r>
            <w:r>
              <w:rPr>
                <w:rFonts w:hint="eastAsia" w:ascii="宋体" w:hAnsi="宋体"/>
                <w:bCs/>
                <w:color w:val="0000FF"/>
                <w:kern w:val="2"/>
                <w:szCs w:val="22"/>
              </w:rPr>
              <w:t>月</w:t>
            </w:r>
            <w:r>
              <w:rPr>
                <w:rFonts w:hint="eastAsia" w:ascii="宋体" w:hAnsi="宋体"/>
                <w:bCs/>
                <w:color w:val="0000FF"/>
                <w:kern w:val="2"/>
                <w:szCs w:val="22"/>
                <w:lang w:val="en-US" w:eastAsia="zh-CN"/>
              </w:rPr>
              <w:t xml:space="preserve"> 19 </w:t>
            </w:r>
            <w:r>
              <w:rPr>
                <w:rFonts w:hint="eastAsia" w:ascii="宋体" w:hAnsi="宋体"/>
                <w:bCs/>
                <w:color w:val="0000FF"/>
                <w:kern w:val="2"/>
                <w:szCs w:val="22"/>
              </w:rPr>
              <w:t>日上午9点00 分</w:t>
            </w:r>
            <w:r>
              <w:rPr>
                <w:rFonts w:hint="eastAsia" w:ascii="宋体" w:hAnsi="宋体" w:cs="宋体"/>
                <w:color w:val="0000FF"/>
                <w:kern w:val="2"/>
                <w:szCs w:val="21"/>
              </w:rPr>
              <w:t>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24"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21</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响应文件递交方式</w:t>
            </w:r>
          </w:p>
        </w:tc>
        <w:tc>
          <w:tcPr>
            <w:tcW w:w="7090" w:type="dxa"/>
            <w:vAlign w:val="center"/>
          </w:tcPr>
          <w:p>
            <w:pPr>
              <w:numPr>
                <w:ilvl w:val="0"/>
                <w:numId w:val="5"/>
              </w:numPr>
              <w:spacing w:line="400" w:lineRule="exact"/>
              <w:rPr>
                <w:rFonts w:ascii="宋体" w:hAnsi="宋体" w:cs="宋体"/>
                <w:b/>
                <w:bCs/>
                <w:color w:val="auto"/>
                <w:kern w:val="2"/>
                <w:szCs w:val="21"/>
              </w:rPr>
            </w:pPr>
            <w:r>
              <w:rPr>
                <w:rFonts w:hint="eastAsia" w:ascii="宋体" w:hAnsi="宋体" w:cs="宋体"/>
                <w:b/>
                <w:bCs/>
                <w:color w:val="auto"/>
                <w:kern w:val="2"/>
                <w:szCs w:val="21"/>
              </w:rPr>
              <w:t>电子加密响应文件：应按政采云平台项目采购-电子交易操作指南及本磋商文件要求进行编制、加密并递交，供应商应于磋商截止时间前将电子加密响应文件上传到政采云系统中（不准时上传视为不参加）。</w:t>
            </w:r>
          </w:p>
          <w:p>
            <w:pPr>
              <w:numPr>
                <w:ilvl w:val="0"/>
                <w:numId w:val="5"/>
              </w:numPr>
              <w:spacing w:line="400" w:lineRule="exact"/>
              <w:rPr>
                <w:rFonts w:ascii="宋体" w:hAnsi="宋体" w:cs="宋体"/>
                <w:b/>
                <w:bCs/>
                <w:color w:val="auto"/>
                <w:kern w:val="2"/>
                <w:szCs w:val="21"/>
              </w:rPr>
            </w:pPr>
            <w:r>
              <w:rPr>
                <w:rFonts w:hint="eastAsia" w:ascii="宋体" w:hAnsi="宋体" w:cs="宋体"/>
                <w:b/>
                <w:bCs/>
                <w:color w:val="auto"/>
                <w:kern w:val="2"/>
                <w:szCs w:val="21"/>
              </w:rPr>
              <w:t>备份响应文件：</w:t>
            </w:r>
            <w:r>
              <w:rPr>
                <w:color w:val="auto"/>
              </w:rPr>
              <w:fldChar w:fldCharType="begin"/>
            </w:r>
            <w:r>
              <w:rPr>
                <w:color w:val="auto"/>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rPr>
              <w:fldChar w:fldCharType="separate"/>
            </w:r>
            <w:r>
              <w:rPr>
                <w:rFonts w:hint="eastAsia" w:ascii="宋体" w:hAnsi="宋体" w:cs="宋体"/>
                <w:b/>
                <w:bCs/>
                <w:color w:val="auto"/>
                <w:kern w:val="2"/>
                <w:szCs w:val="21"/>
              </w:rPr>
              <w:t>磋商截止时间前以压缩文件形式加密发送至采购代理机构邮箱</w:t>
            </w:r>
            <w:r>
              <w:rPr>
                <w:rFonts w:hint="eastAsia" w:ascii="宋体" w:hAnsi="宋体" w:cs="宋体"/>
                <w:b/>
                <w:bCs/>
                <w:color w:val="auto"/>
                <w:kern w:val="2"/>
                <w:szCs w:val="21"/>
              </w:rPr>
              <w:fldChar w:fldCharType="end"/>
            </w:r>
            <w:r>
              <w:rPr>
                <w:rFonts w:hint="eastAsia" w:ascii="宋体" w:hAnsi="宋体" w:cs="宋体"/>
                <w:b/>
                <w:bCs/>
                <w:color w:val="auto"/>
                <w:kern w:val="2"/>
                <w:szCs w:val="21"/>
              </w:rPr>
              <w:t>，并在接到在线解密通知后30分钟内发送压缩文件密码至采购代理机构邮箱。（邮箱号码：</w:t>
            </w:r>
            <w:r>
              <w:rPr>
                <w:color w:val="auto"/>
              </w:rPr>
              <w:fldChar w:fldCharType="begin"/>
            </w:r>
            <w:r>
              <w:rPr>
                <w:color w:val="auto"/>
              </w:rPr>
              <w:instrText xml:space="preserve"> HYPERLINK "mailto:103874679@qq.com）。" </w:instrText>
            </w:r>
            <w:r>
              <w:rPr>
                <w:color w:val="auto"/>
              </w:rPr>
              <w:fldChar w:fldCharType="separate"/>
            </w:r>
            <w:r>
              <w:rPr>
                <w:rFonts w:hint="eastAsia" w:ascii="宋体" w:hAnsi="宋体" w:cs="宋体"/>
                <w:b/>
                <w:bCs/>
                <w:color w:val="auto"/>
                <w:kern w:val="2"/>
                <w:szCs w:val="21"/>
                <w:lang w:eastAsia="zh-CN"/>
              </w:rPr>
              <w:t>2397491806</w:t>
            </w:r>
            <w:r>
              <w:rPr>
                <w:rFonts w:hint="eastAsia" w:ascii="宋体" w:hAnsi="宋体" w:cs="宋体"/>
                <w:b/>
                <w:bCs/>
                <w:color w:val="auto"/>
                <w:kern w:val="2"/>
                <w:szCs w:val="21"/>
              </w:rPr>
              <w:t>@qq.com）。</w:t>
            </w:r>
            <w:r>
              <w:rPr>
                <w:rFonts w:hint="eastAsia" w:ascii="宋体" w:hAnsi="宋体" w:cs="宋体"/>
                <w:b/>
                <w:bCs/>
                <w:color w:val="auto"/>
                <w:kern w:val="2"/>
                <w:szCs w:val="21"/>
              </w:rPr>
              <w:fldChar w:fldCharType="end"/>
            </w:r>
          </w:p>
          <w:p>
            <w:pPr>
              <w:numPr>
                <w:ilvl w:val="0"/>
                <w:numId w:val="5"/>
              </w:numPr>
              <w:spacing w:line="400" w:lineRule="exact"/>
              <w:rPr>
                <w:rFonts w:ascii="宋体" w:hAnsi="宋体" w:cs="宋体"/>
                <w:b/>
                <w:bCs/>
                <w:color w:val="auto"/>
                <w:kern w:val="2"/>
                <w:szCs w:val="21"/>
              </w:rPr>
            </w:pPr>
            <w:r>
              <w:rPr>
                <w:rFonts w:hint="eastAsia" w:ascii="宋体" w:hAnsi="宋体" w:cs="宋体"/>
                <w:b/>
                <w:bCs/>
                <w:color w:val="auto"/>
                <w:kern w:val="2"/>
                <w:szCs w:val="21"/>
                <w:lang w:val="zh-CN"/>
              </w:rPr>
              <w:t>中标（成交）后，成交供应商需提供纸质响应文件一式肆份。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94" w:hRule="atLeast"/>
          <w:jc w:val="center"/>
        </w:trPr>
        <w:tc>
          <w:tcPr>
            <w:tcW w:w="645" w:type="dxa"/>
            <w:vAlign w:val="center"/>
          </w:tcPr>
          <w:p>
            <w:pPr>
              <w:spacing w:line="400" w:lineRule="exact"/>
              <w:jc w:val="center"/>
              <w:rPr>
                <w:rFonts w:ascii="宋体" w:hAnsi="宋体" w:cs="宋体"/>
                <w:color w:val="0000FF"/>
                <w:kern w:val="2"/>
                <w:szCs w:val="21"/>
              </w:rPr>
            </w:pPr>
            <w:r>
              <w:rPr>
                <w:rFonts w:hint="eastAsia" w:ascii="宋体" w:hAnsi="宋体" w:cs="宋体"/>
                <w:color w:val="0000FF"/>
                <w:kern w:val="2"/>
                <w:szCs w:val="21"/>
              </w:rPr>
              <w:t>22</w:t>
            </w:r>
          </w:p>
        </w:tc>
        <w:tc>
          <w:tcPr>
            <w:tcW w:w="1920" w:type="dxa"/>
            <w:vAlign w:val="center"/>
          </w:tcPr>
          <w:p>
            <w:pPr>
              <w:spacing w:line="400" w:lineRule="exact"/>
              <w:jc w:val="center"/>
              <w:rPr>
                <w:rFonts w:ascii="宋体" w:hAnsi="宋体" w:cs="宋体"/>
                <w:color w:val="0000FF"/>
                <w:kern w:val="2"/>
                <w:szCs w:val="21"/>
              </w:rPr>
            </w:pPr>
            <w:r>
              <w:rPr>
                <w:rFonts w:hint="eastAsia" w:ascii="宋体" w:hAnsi="宋体" w:cs="宋体"/>
                <w:color w:val="0000FF"/>
                <w:kern w:val="2"/>
                <w:szCs w:val="21"/>
              </w:rPr>
              <w:t>磋商开始时间</w:t>
            </w:r>
          </w:p>
          <w:p>
            <w:pPr>
              <w:spacing w:line="400" w:lineRule="exact"/>
              <w:jc w:val="center"/>
              <w:rPr>
                <w:rFonts w:ascii="宋体" w:hAnsi="宋体" w:cs="宋体"/>
                <w:color w:val="0000FF"/>
                <w:kern w:val="2"/>
                <w:szCs w:val="21"/>
              </w:rPr>
            </w:pPr>
            <w:r>
              <w:rPr>
                <w:rFonts w:hint="eastAsia" w:ascii="宋体" w:hAnsi="宋体" w:cs="宋体"/>
                <w:color w:val="0000FF"/>
                <w:kern w:val="2"/>
                <w:szCs w:val="21"/>
              </w:rPr>
              <w:t>磋商地点</w:t>
            </w:r>
          </w:p>
        </w:tc>
        <w:tc>
          <w:tcPr>
            <w:tcW w:w="7090" w:type="dxa"/>
            <w:vAlign w:val="center"/>
          </w:tcPr>
          <w:p>
            <w:pPr>
              <w:spacing w:line="400" w:lineRule="exact"/>
              <w:rPr>
                <w:rFonts w:ascii="宋体" w:hAnsi="宋体" w:cs="宋体"/>
                <w:color w:val="0000FF"/>
                <w:kern w:val="2"/>
                <w:szCs w:val="21"/>
              </w:rPr>
            </w:pPr>
            <w:r>
              <w:rPr>
                <w:rFonts w:hint="eastAsia" w:ascii="宋体" w:hAnsi="宋体" w:cs="宋体"/>
                <w:color w:val="0000FF"/>
                <w:kern w:val="2"/>
                <w:szCs w:val="21"/>
              </w:rPr>
              <w:t>磋商开始时间：</w:t>
            </w:r>
            <w:r>
              <w:rPr>
                <w:rFonts w:hint="eastAsia" w:ascii="宋体" w:hAnsi="宋体"/>
                <w:bCs/>
                <w:color w:val="0000FF"/>
                <w:kern w:val="2"/>
                <w:szCs w:val="22"/>
              </w:rPr>
              <w:t>2022年</w:t>
            </w:r>
            <w:r>
              <w:rPr>
                <w:rFonts w:hint="eastAsia" w:ascii="宋体" w:hAnsi="宋体"/>
                <w:bCs/>
                <w:color w:val="0000FF"/>
                <w:kern w:val="2"/>
                <w:szCs w:val="22"/>
                <w:lang w:val="en-US" w:eastAsia="zh-CN"/>
              </w:rPr>
              <w:t>10</w:t>
            </w:r>
            <w:r>
              <w:rPr>
                <w:rFonts w:hint="eastAsia" w:ascii="宋体" w:hAnsi="宋体"/>
                <w:bCs/>
                <w:color w:val="0000FF"/>
                <w:kern w:val="2"/>
                <w:szCs w:val="22"/>
              </w:rPr>
              <w:t>月</w:t>
            </w:r>
            <w:r>
              <w:rPr>
                <w:rFonts w:hint="eastAsia" w:ascii="宋体" w:hAnsi="宋体"/>
                <w:bCs/>
                <w:color w:val="0000FF"/>
                <w:kern w:val="2"/>
                <w:szCs w:val="22"/>
                <w:lang w:val="en-US" w:eastAsia="zh-CN"/>
              </w:rPr>
              <w:t xml:space="preserve"> 19</w:t>
            </w:r>
            <w:r>
              <w:rPr>
                <w:rFonts w:hint="eastAsia" w:ascii="宋体" w:hAnsi="宋体"/>
                <w:bCs/>
                <w:color w:val="0000FF"/>
                <w:kern w:val="2"/>
                <w:szCs w:val="22"/>
              </w:rPr>
              <w:t>日上午9点00 分</w:t>
            </w:r>
            <w:r>
              <w:rPr>
                <w:rFonts w:hint="eastAsia" w:ascii="宋体" w:hAnsi="宋体" w:cs="宋体"/>
                <w:color w:val="0000FF"/>
                <w:kern w:val="2"/>
                <w:szCs w:val="21"/>
              </w:rPr>
              <w:t>正 (北京时间)</w:t>
            </w:r>
          </w:p>
          <w:p>
            <w:pPr>
              <w:spacing w:line="400" w:lineRule="exact"/>
              <w:rPr>
                <w:rFonts w:ascii="宋体" w:hAnsi="宋体" w:cs="宋体"/>
                <w:color w:val="0000FF"/>
                <w:kern w:val="2"/>
                <w:szCs w:val="21"/>
              </w:rPr>
            </w:pPr>
            <w:r>
              <w:rPr>
                <w:rFonts w:hint="eastAsia" w:ascii="宋体" w:hAnsi="宋体" w:cs="宋体"/>
                <w:color w:val="0000FF"/>
                <w:kern w:val="2"/>
                <w:szCs w:val="21"/>
              </w:rPr>
              <w:t>磋商地点：</w:t>
            </w:r>
            <w:r>
              <w:rPr>
                <w:rFonts w:hint="eastAsia" w:ascii="宋体" w:hAnsi="宋体" w:cs="宋体"/>
                <w:color w:val="0000FF"/>
                <w:kern w:val="2"/>
                <w:szCs w:val="21"/>
                <w:lang w:eastAsia="zh-CN"/>
              </w:rPr>
              <w:t>浙江省温州市瑞安市经济开发区毓蒙路1339号5楼</w:t>
            </w:r>
            <w:r>
              <w:rPr>
                <w:rFonts w:hint="eastAsia" w:ascii="宋体" w:hAnsi="宋体" w:cs="宋体"/>
                <w:color w:val="0000FF"/>
                <w:kern w:val="2"/>
                <w:szCs w:val="21"/>
              </w:rPr>
              <w:t>（</w:t>
            </w:r>
            <w:r>
              <w:rPr>
                <w:rFonts w:hint="eastAsia" w:ascii="宋体" w:hAnsi="宋体" w:cs="宋体"/>
                <w:color w:val="0000FF"/>
                <w:kern w:val="2"/>
                <w:szCs w:val="21"/>
                <w:lang w:eastAsia="zh-CN"/>
              </w:rPr>
              <w:t>浙江中格工程项目管理有限公司</w:t>
            </w:r>
            <w:r>
              <w:rPr>
                <w:rFonts w:hint="eastAsia" w:ascii="宋体" w:hAnsi="宋体" w:cs="宋体"/>
                <w:color w:val="0000FF"/>
                <w:kern w:val="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3"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23</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电子加密响应文件的解密和异常情况处理</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（1）开标后，采购组织机构将向各供应商发出“电子加密响应文件”的解密通知，各供应商代表应当在接到解密通知后</w:t>
            </w:r>
            <w:r>
              <w:rPr>
                <w:rFonts w:hint="eastAsia" w:ascii="宋体" w:hAnsi="宋体" w:cs="宋体"/>
                <w:color w:val="auto"/>
                <w:kern w:val="2"/>
                <w:szCs w:val="21"/>
                <w:u w:val="single"/>
              </w:rPr>
              <w:t>30分钟内</w:t>
            </w:r>
            <w:r>
              <w:rPr>
                <w:rFonts w:hint="eastAsia" w:ascii="宋体" w:hAnsi="宋体" w:cs="宋体"/>
                <w:color w:val="auto"/>
                <w:kern w:val="2"/>
                <w:szCs w:val="21"/>
              </w:rPr>
              <w:t>自行完成“电子加密响应文件”的在线解密。</w:t>
            </w:r>
          </w:p>
          <w:p>
            <w:pPr>
              <w:spacing w:line="400" w:lineRule="exact"/>
              <w:rPr>
                <w:rFonts w:ascii="宋体" w:hAnsi="宋体" w:cs="宋体"/>
                <w:color w:val="auto"/>
                <w:kern w:val="2"/>
                <w:szCs w:val="21"/>
              </w:rPr>
            </w:pPr>
            <w:r>
              <w:rPr>
                <w:rFonts w:hint="eastAsia" w:ascii="宋体" w:hAnsi="宋体" w:cs="宋体"/>
                <w:color w:val="auto"/>
                <w:kern w:val="2"/>
                <w:szCs w:val="21"/>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pPr>
              <w:spacing w:line="400" w:lineRule="exact"/>
              <w:rPr>
                <w:rFonts w:ascii="宋体" w:hAnsi="宋体" w:cs="宋体"/>
                <w:color w:val="auto"/>
                <w:kern w:val="2"/>
                <w:szCs w:val="21"/>
              </w:rPr>
            </w:pPr>
            <w:r>
              <w:rPr>
                <w:rFonts w:hint="eastAsia" w:ascii="宋体" w:hAnsi="宋体" w:cs="宋体"/>
                <w:color w:val="auto"/>
                <w:kern w:val="2"/>
                <w:szCs w:val="21"/>
              </w:rPr>
              <w:t>（3）磋商截止时间止，供应商仅递交了“备份响应文件”而未将电子加密响应文件上传至“政府采购云平台”的，投标无效。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24</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开标程序</w:t>
            </w:r>
          </w:p>
        </w:tc>
        <w:tc>
          <w:tcPr>
            <w:tcW w:w="7090" w:type="dxa"/>
            <w:vAlign w:val="center"/>
          </w:tcPr>
          <w:p>
            <w:pPr>
              <w:numPr>
                <w:ilvl w:val="0"/>
                <w:numId w:val="6"/>
              </w:numPr>
              <w:spacing w:line="400" w:lineRule="exact"/>
              <w:ind w:firstLine="0"/>
              <w:rPr>
                <w:rFonts w:ascii="宋体" w:hAnsi="宋体" w:cs="宋体"/>
                <w:color w:val="auto"/>
                <w:kern w:val="2"/>
                <w:szCs w:val="21"/>
              </w:rPr>
            </w:pPr>
            <w:r>
              <w:rPr>
                <w:rFonts w:hint="eastAsia" w:ascii="宋体" w:hAnsi="宋体" w:cs="宋体"/>
                <w:color w:val="auto"/>
                <w:kern w:val="2"/>
                <w:szCs w:val="21"/>
              </w:rPr>
              <w:t>采购代理机构按照磋商文件规定的时间通过政采云平台组织开标，所有磋商供应商准时在线参加。</w:t>
            </w:r>
          </w:p>
          <w:p>
            <w:pPr>
              <w:numPr>
                <w:ilvl w:val="0"/>
                <w:numId w:val="6"/>
              </w:numPr>
              <w:tabs>
                <w:tab w:val="left" w:pos="-6"/>
              </w:tabs>
              <w:spacing w:line="400" w:lineRule="exact"/>
              <w:ind w:firstLine="0"/>
              <w:rPr>
                <w:rFonts w:ascii="宋体" w:hAnsi="宋体" w:cs="宋体"/>
                <w:color w:val="auto"/>
                <w:kern w:val="2"/>
                <w:szCs w:val="21"/>
              </w:rPr>
            </w:pPr>
            <w:r>
              <w:rPr>
                <w:rFonts w:hint="eastAsia" w:ascii="宋体" w:hAnsi="宋体" w:cs="宋体"/>
                <w:color w:val="auto"/>
                <w:kern w:val="2"/>
                <w:szCs w:val="21"/>
              </w:rPr>
              <w:t>“电子加密响应文件”在线解密；</w:t>
            </w:r>
          </w:p>
          <w:p>
            <w:pPr>
              <w:numPr>
                <w:ilvl w:val="0"/>
                <w:numId w:val="6"/>
              </w:numPr>
              <w:tabs>
                <w:tab w:val="left" w:pos="-6"/>
              </w:tabs>
              <w:spacing w:line="400" w:lineRule="exact"/>
              <w:ind w:firstLine="0"/>
              <w:rPr>
                <w:rFonts w:ascii="宋体" w:hAnsi="宋体" w:cs="宋体"/>
                <w:color w:val="auto"/>
                <w:kern w:val="2"/>
                <w:szCs w:val="21"/>
              </w:rPr>
            </w:pPr>
            <w:r>
              <w:rPr>
                <w:rFonts w:hint="eastAsia" w:ascii="宋体" w:hAnsi="宋体" w:cs="宋体"/>
                <w:color w:val="auto"/>
                <w:kern w:val="2"/>
                <w:szCs w:val="21"/>
              </w:rPr>
              <w:t>响应文件解密结束后，各供应商签署《政府采购活动现场确认声明书》，并在15分钟内以扫描件方式发送至代理机构邮箱：</w:t>
            </w:r>
            <w:r>
              <w:rPr>
                <w:rFonts w:hint="eastAsia" w:ascii="宋体" w:hAnsi="宋体" w:cs="宋体"/>
                <w:color w:val="auto"/>
                <w:kern w:val="2"/>
                <w:szCs w:val="21"/>
                <w:lang w:eastAsia="zh-CN"/>
              </w:rPr>
              <w:t>2397491806</w:t>
            </w:r>
            <w:r>
              <w:rPr>
                <w:rFonts w:hint="eastAsia" w:ascii="宋体" w:hAnsi="宋体" w:cs="宋体"/>
                <w:color w:val="auto"/>
                <w:kern w:val="2"/>
                <w:szCs w:val="21"/>
              </w:rPr>
              <w:t>@qq.com；</w:t>
            </w:r>
          </w:p>
          <w:p>
            <w:pPr>
              <w:numPr>
                <w:ilvl w:val="0"/>
                <w:numId w:val="6"/>
              </w:numPr>
              <w:spacing w:line="400" w:lineRule="exact"/>
              <w:ind w:firstLine="0"/>
              <w:rPr>
                <w:rFonts w:ascii="宋体" w:hAnsi="宋体" w:cs="宋体"/>
                <w:color w:val="auto"/>
                <w:kern w:val="2"/>
                <w:szCs w:val="21"/>
              </w:rPr>
            </w:pPr>
            <w:r>
              <w:rPr>
                <w:rFonts w:hint="eastAsia" w:ascii="宋体" w:hAnsi="宋体" w:cs="宋体"/>
                <w:color w:val="auto"/>
                <w:kern w:val="2"/>
                <w:szCs w:val="21"/>
                <w:lang w:bidi="ar"/>
              </w:rPr>
              <w:t>由磋商小组评审资格文件；</w:t>
            </w:r>
          </w:p>
          <w:p>
            <w:pPr>
              <w:numPr>
                <w:ilvl w:val="0"/>
                <w:numId w:val="6"/>
              </w:numPr>
              <w:spacing w:line="400" w:lineRule="exact"/>
              <w:ind w:firstLine="0"/>
              <w:rPr>
                <w:rFonts w:ascii="宋体" w:hAnsi="宋体" w:cs="宋体"/>
                <w:color w:val="auto"/>
                <w:kern w:val="2"/>
                <w:szCs w:val="21"/>
                <w:lang w:bidi="ar"/>
              </w:rPr>
            </w:pPr>
            <w:r>
              <w:rPr>
                <w:rFonts w:hint="eastAsia" w:ascii="宋体" w:hAnsi="宋体" w:cs="宋体"/>
                <w:color w:val="auto"/>
                <w:kern w:val="2"/>
                <w:szCs w:val="21"/>
                <w:lang w:bidi="ar"/>
              </w:rPr>
              <w:t>磋商小组对商务技术响应文件进行评审；</w:t>
            </w:r>
          </w:p>
          <w:p>
            <w:pPr>
              <w:numPr>
                <w:ilvl w:val="0"/>
                <w:numId w:val="6"/>
              </w:numPr>
              <w:spacing w:line="400" w:lineRule="exact"/>
              <w:ind w:firstLine="0"/>
              <w:rPr>
                <w:rFonts w:ascii="宋体" w:hAnsi="宋体" w:cs="宋体"/>
                <w:color w:val="auto"/>
                <w:kern w:val="2"/>
                <w:szCs w:val="21"/>
                <w:lang w:bidi="ar"/>
              </w:rPr>
            </w:pPr>
            <w:r>
              <w:rPr>
                <w:rFonts w:hint="eastAsia" w:ascii="宋体" w:hAnsi="宋体" w:cs="宋体"/>
                <w:color w:val="auto"/>
                <w:kern w:val="2"/>
                <w:szCs w:val="21"/>
              </w:rPr>
              <w:t>磋商小组分别与各供应商在线磋商并确定最终方案</w:t>
            </w:r>
            <w:r>
              <w:rPr>
                <w:rFonts w:hint="eastAsia" w:ascii="宋体" w:hAnsi="宋体" w:cs="宋体"/>
                <w:color w:val="auto"/>
                <w:kern w:val="2"/>
                <w:szCs w:val="21"/>
                <w:lang w:bidi="ar"/>
              </w:rPr>
              <w:t>；</w:t>
            </w:r>
          </w:p>
          <w:p>
            <w:pPr>
              <w:numPr>
                <w:ilvl w:val="0"/>
                <w:numId w:val="6"/>
              </w:numPr>
              <w:spacing w:line="400" w:lineRule="exact"/>
              <w:ind w:firstLine="0"/>
              <w:rPr>
                <w:rFonts w:ascii="宋体" w:hAnsi="宋体" w:cs="宋体"/>
                <w:color w:val="auto"/>
                <w:kern w:val="2"/>
                <w:szCs w:val="21"/>
                <w:lang w:bidi="ar"/>
              </w:rPr>
            </w:pPr>
            <w:r>
              <w:rPr>
                <w:rFonts w:hint="eastAsia" w:ascii="宋体" w:hAnsi="宋体" w:cs="宋体"/>
                <w:color w:val="auto"/>
                <w:kern w:val="2"/>
                <w:szCs w:val="21"/>
              </w:rPr>
              <w:t>供应商按照磋商文件的变动情况和磋商小组的要求重新提交响应文件</w:t>
            </w:r>
            <w:r>
              <w:rPr>
                <w:rFonts w:hint="eastAsia" w:ascii="宋体" w:hAnsi="宋体" w:cs="宋体"/>
                <w:color w:val="auto"/>
                <w:kern w:val="2"/>
                <w:szCs w:val="21"/>
                <w:lang w:bidi="ar"/>
              </w:rPr>
              <w:t>；</w:t>
            </w:r>
          </w:p>
          <w:p>
            <w:pPr>
              <w:numPr>
                <w:ilvl w:val="0"/>
                <w:numId w:val="6"/>
              </w:numPr>
              <w:spacing w:line="400" w:lineRule="exact"/>
              <w:ind w:firstLine="0"/>
              <w:rPr>
                <w:rFonts w:ascii="宋体" w:hAnsi="宋体" w:cs="宋体"/>
                <w:color w:val="auto"/>
                <w:kern w:val="2"/>
                <w:szCs w:val="21"/>
                <w:lang w:bidi="ar"/>
              </w:rPr>
            </w:pPr>
            <w:r>
              <w:rPr>
                <w:rFonts w:hint="eastAsia" w:ascii="宋体" w:hAnsi="宋体" w:cs="宋体"/>
                <w:color w:val="auto"/>
                <w:kern w:val="2"/>
                <w:szCs w:val="21"/>
              </w:rPr>
              <w:t>磋商小组要求所有实质性响应供应商进行线上最后报价</w:t>
            </w:r>
            <w:r>
              <w:rPr>
                <w:rFonts w:hint="eastAsia" w:ascii="宋体" w:hAnsi="宋体" w:cs="宋体"/>
                <w:color w:val="auto"/>
                <w:kern w:val="2"/>
                <w:szCs w:val="21"/>
                <w:lang w:bidi="ar"/>
              </w:rPr>
              <w:t>；</w:t>
            </w:r>
          </w:p>
          <w:p>
            <w:pPr>
              <w:numPr>
                <w:ilvl w:val="0"/>
                <w:numId w:val="6"/>
              </w:numPr>
              <w:spacing w:line="400" w:lineRule="exact"/>
              <w:ind w:firstLine="0"/>
              <w:rPr>
                <w:rFonts w:ascii="宋体" w:hAnsi="宋体" w:cs="宋体"/>
                <w:color w:val="auto"/>
                <w:kern w:val="2"/>
                <w:szCs w:val="21"/>
                <w:lang w:bidi="ar"/>
              </w:rPr>
            </w:pPr>
            <w:r>
              <w:rPr>
                <w:rFonts w:hint="eastAsia" w:ascii="宋体" w:hAnsi="宋体" w:cs="宋体"/>
                <w:color w:val="auto"/>
                <w:kern w:val="2"/>
                <w:szCs w:val="21"/>
                <w:lang w:bidi="ar"/>
              </w:rPr>
              <w:t>由磋商小组采用综合评分法对提交最后报价的供应商的响应文件和最后报价进行综合评分；</w:t>
            </w:r>
          </w:p>
          <w:p>
            <w:pPr>
              <w:numPr>
                <w:ilvl w:val="0"/>
                <w:numId w:val="6"/>
              </w:numPr>
              <w:spacing w:line="400" w:lineRule="exact"/>
              <w:ind w:firstLine="0"/>
              <w:rPr>
                <w:rFonts w:ascii="宋体" w:hAnsi="宋体" w:cs="宋体"/>
                <w:color w:val="auto"/>
                <w:kern w:val="2"/>
                <w:szCs w:val="21"/>
              </w:rPr>
            </w:pPr>
            <w:r>
              <w:rPr>
                <w:rFonts w:hint="eastAsia" w:ascii="宋体" w:hAnsi="宋体" w:cs="宋体"/>
                <w:color w:val="auto"/>
                <w:kern w:val="2"/>
                <w:szCs w:val="21"/>
                <w:lang w:bidi="ar"/>
              </w:rPr>
              <w:t>磋商小组根据综合评分情况，按照评审得分由高到低顺序推荐成交候选供应商；</w:t>
            </w:r>
          </w:p>
          <w:p>
            <w:pPr>
              <w:numPr>
                <w:ilvl w:val="0"/>
                <w:numId w:val="6"/>
              </w:numPr>
              <w:spacing w:line="400" w:lineRule="exact"/>
              <w:ind w:firstLine="0"/>
              <w:rPr>
                <w:rFonts w:ascii="宋体" w:hAnsi="宋体" w:cs="宋体"/>
                <w:color w:val="auto"/>
                <w:kern w:val="2"/>
                <w:szCs w:val="21"/>
              </w:rPr>
            </w:pPr>
            <w:r>
              <w:rPr>
                <w:rFonts w:hint="eastAsia" w:ascii="宋体" w:hAnsi="宋体" w:cs="宋体"/>
                <w:color w:val="auto"/>
                <w:kern w:val="2"/>
                <w:szCs w:val="21"/>
                <w:lang w:bidi="ar"/>
              </w:rPr>
              <w:t>在系统上公布评审结果。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9"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25</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磋商小组的组建</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磋商小组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评审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06"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26</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落实政府采购支持中小企业、监狱企业及残疾人福利性单位发展政策</w:t>
            </w:r>
          </w:p>
        </w:tc>
        <w:tc>
          <w:tcPr>
            <w:tcW w:w="7090" w:type="dxa"/>
            <w:vAlign w:val="center"/>
          </w:tcPr>
          <w:p>
            <w:pPr>
              <w:spacing w:line="360" w:lineRule="exact"/>
              <w:rPr>
                <w:color w:val="auto"/>
              </w:rPr>
            </w:pPr>
            <w:r>
              <w:rPr>
                <w:rFonts w:hint="eastAsia"/>
                <w:color w:val="auto"/>
              </w:rPr>
              <w:fldChar w:fldCharType="begin"/>
            </w:r>
            <w:r>
              <w:rPr>
                <w:rFonts w:hint="eastAsia"/>
                <w:color w:val="auto"/>
              </w:rPr>
              <w:instrText xml:space="preserve">eq \o\ac(□</w:instrText>
            </w:r>
            <w:r>
              <w:rPr>
                <w:rFonts w:hint="eastAsia"/>
                <w:color w:val="auto"/>
                <w:lang w:eastAsia="zh-CN"/>
              </w:rPr>
              <w:instrText xml:space="preserve">,</w:instrText>
            </w:r>
            <w:r>
              <w:rPr>
                <w:rFonts w:hint="eastAsia"/>
                <w:color w:val="auto"/>
                <w:position w:val="2"/>
                <w:sz w:val="13"/>
                <w:lang w:eastAsia="zh-CN"/>
              </w:rPr>
              <w:instrText xml:space="preserve">√</w:instrText>
            </w:r>
            <w:r>
              <w:rPr>
                <w:rFonts w:hint="eastAsia"/>
                <w:color w:val="auto"/>
              </w:rPr>
              <w:instrText xml:space="preserve">)</w:instrText>
            </w:r>
            <w:r>
              <w:rPr>
                <w:rFonts w:hint="eastAsia"/>
                <w:color w:val="auto"/>
              </w:rPr>
              <w:fldChar w:fldCharType="end"/>
            </w:r>
            <w:r>
              <w:rPr>
                <w:rFonts w:hint="eastAsia"/>
                <w:color w:val="auto"/>
              </w:rPr>
              <w:t xml:space="preserve"> 预留份额专门面向中小企业采购项目</w:t>
            </w:r>
          </w:p>
          <w:p>
            <w:pPr>
              <w:spacing w:line="360" w:lineRule="exact"/>
              <w:rPr>
                <w:color w:val="auto"/>
              </w:rPr>
            </w:pPr>
            <w:r>
              <w:rPr>
                <w:rFonts w:hint="eastAsia"/>
                <w:color w:val="auto"/>
              </w:rPr>
              <w:fldChar w:fldCharType="begin"/>
            </w:r>
            <w:r>
              <w:rPr>
                <w:rFonts w:hint="eastAsia"/>
                <w:color w:val="auto"/>
              </w:rPr>
              <w:instrText xml:space="preserve"> eq \o\ac(□)</w:instrText>
            </w:r>
            <w:r>
              <w:rPr>
                <w:rFonts w:hint="eastAsia"/>
                <w:color w:val="auto"/>
              </w:rPr>
              <w:fldChar w:fldCharType="end"/>
            </w:r>
            <w:r>
              <w:rPr>
                <w:rFonts w:hint="eastAsia"/>
                <w:color w:val="auto"/>
              </w:rPr>
              <w:t xml:space="preserve"> 未预留份额专门面向中小企业采购项目</w:t>
            </w:r>
          </w:p>
          <w:p>
            <w:pPr>
              <w:pStyle w:val="3"/>
              <w:rPr>
                <w:rFonts w:ascii="宋体" w:hAnsi="宋体" w:eastAsia="宋体" w:cs="宋体"/>
                <w:color w:val="auto"/>
                <w:sz w:val="21"/>
                <w:szCs w:val="21"/>
              </w:rPr>
            </w:pPr>
            <w:r>
              <w:rPr>
                <w:rFonts w:hint="eastAsia" w:ascii="宋体" w:hAnsi="宋体" w:eastAsia="宋体" w:cs="宋体"/>
                <w:color w:val="auto"/>
                <w:sz w:val="21"/>
                <w:szCs w:val="21"/>
              </w:rPr>
              <w:t>本项目所属行业：其他未列明行业。</w:t>
            </w:r>
          </w:p>
          <w:p>
            <w:pPr>
              <w:pStyle w:val="3"/>
              <w:rPr>
                <w:rFonts w:ascii="宋体" w:hAnsi="宋体" w:eastAsia="宋体" w:cs="宋体"/>
                <w:color w:val="auto"/>
                <w:sz w:val="21"/>
                <w:szCs w:val="21"/>
              </w:rPr>
            </w:pPr>
            <w:r>
              <w:rPr>
                <w:rFonts w:hint="eastAsia" w:ascii="宋体" w:hAnsi="宋体" w:eastAsia="宋体" w:cs="宋体"/>
                <w:color w:val="auto"/>
                <w:sz w:val="21"/>
                <w:szCs w:val="21"/>
              </w:rPr>
              <w:t>注：对于未预留份额专门面向中小企业采购的采购项目，以及预留份额项目中的非预留部分采购包，对小微企业报价给予 20% 的扣除，用扣除后的价格参加评审。</w:t>
            </w:r>
          </w:p>
          <w:p>
            <w:pPr>
              <w:pStyle w:val="3"/>
              <w:rPr>
                <w:rFonts w:ascii="宋体" w:hAnsi="宋体" w:eastAsia="宋体" w:cs="宋体"/>
                <w:color w:val="auto"/>
                <w:sz w:val="21"/>
                <w:szCs w:val="21"/>
              </w:rPr>
            </w:pPr>
            <w:r>
              <w:rPr>
                <w:rFonts w:hint="eastAsia" w:ascii="宋体" w:hAnsi="宋体" w:eastAsia="宋体" w:cs="宋体"/>
                <w:color w:val="auto"/>
                <w:sz w:val="21"/>
                <w:szCs w:val="21"/>
              </w:rPr>
              <w:t>监狱企业、残疾人福利性单位视同小型、微型企业，享受价格扣除。</w:t>
            </w:r>
          </w:p>
          <w:p>
            <w:pPr>
              <w:pStyle w:val="3"/>
              <w:rPr>
                <w:color w:val="auto"/>
              </w:rPr>
            </w:pPr>
            <w:r>
              <w:rPr>
                <w:rFonts w:hint="eastAsia" w:ascii="宋体" w:hAnsi="宋体" w:eastAsia="宋体" w:cs="宋体"/>
                <w:color w:val="auto"/>
                <w:sz w:val="21"/>
                <w:szCs w:val="21"/>
              </w:rPr>
              <w:t>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2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27</w:t>
            </w:r>
          </w:p>
        </w:tc>
        <w:tc>
          <w:tcPr>
            <w:tcW w:w="1920" w:type="dxa"/>
            <w:vAlign w:val="center"/>
          </w:tcPr>
          <w:p>
            <w:pPr>
              <w:pStyle w:val="247"/>
              <w:snapToGrid w:val="0"/>
              <w:spacing w:before="0" w:after="0" w:line="400" w:lineRule="exact"/>
              <w:jc w:val="center"/>
              <w:rPr>
                <w:rFonts w:ascii="宋体" w:hAnsi="宋体" w:cs="宋体"/>
                <w:b w:val="0"/>
                <w:color w:val="auto"/>
                <w:kern w:val="0"/>
                <w:sz w:val="21"/>
                <w:szCs w:val="21"/>
              </w:rPr>
            </w:pPr>
            <w:bookmarkStart w:id="21" w:name="_Toc9840"/>
            <w:bookmarkStart w:id="22" w:name="_Toc16073"/>
            <w:r>
              <w:rPr>
                <w:rFonts w:hint="eastAsia" w:ascii="宋体" w:hAnsi="宋体" w:cs="宋体"/>
                <w:b w:val="0"/>
                <w:color w:val="auto"/>
                <w:kern w:val="0"/>
                <w:sz w:val="21"/>
                <w:szCs w:val="21"/>
              </w:rPr>
              <w:t>环境标志产品</w:t>
            </w:r>
            <w:bookmarkEnd w:id="21"/>
            <w:bookmarkEnd w:id="22"/>
          </w:p>
          <w:p>
            <w:pPr>
              <w:pStyle w:val="247"/>
              <w:snapToGrid w:val="0"/>
              <w:spacing w:before="0" w:after="0" w:line="400" w:lineRule="exact"/>
              <w:jc w:val="center"/>
              <w:rPr>
                <w:rFonts w:ascii="宋体" w:hAnsi="宋体" w:cs="宋体"/>
                <w:color w:val="auto"/>
                <w:kern w:val="2"/>
                <w:szCs w:val="21"/>
              </w:rPr>
            </w:pPr>
            <w:bookmarkStart w:id="23" w:name="_Toc14887"/>
            <w:bookmarkStart w:id="24" w:name="_Toc28702"/>
            <w:r>
              <w:rPr>
                <w:rFonts w:hint="eastAsia" w:ascii="宋体" w:hAnsi="宋体" w:cs="宋体"/>
                <w:b w:val="0"/>
                <w:color w:val="auto"/>
                <w:kern w:val="0"/>
                <w:sz w:val="21"/>
                <w:szCs w:val="21"/>
              </w:rPr>
              <w:t>节能产品</w:t>
            </w:r>
            <w:bookmarkEnd w:id="23"/>
            <w:bookmarkEnd w:id="24"/>
          </w:p>
        </w:tc>
        <w:tc>
          <w:tcPr>
            <w:tcW w:w="7090" w:type="dxa"/>
            <w:vAlign w:val="center"/>
          </w:tcPr>
          <w:p>
            <w:pPr>
              <w:autoSpaceDE w:val="0"/>
              <w:autoSpaceDN w:val="0"/>
              <w:adjustRightInd w:val="0"/>
              <w:snapToGrid w:val="0"/>
              <w:spacing w:line="400" w:lineRule="exact"/>
              <w:ind w:right="105" w:rightChars="50"/>
              <w:rPr>
                <w:rFonts w:ascii="宋体" w:hAnsi="宋体" w:cs="宋体"/>
                <w:color w:val="auto"/>
                <w:szCs w:val="21"/>
              </w:rPr>
            </w:pPr>
            <w:r>
              <w:rPr>
                <w:rFonts w:hint="eastAsia" w:ascii="宋体" w:hAnsi="宋体" w:cs="宋体"/>
                <w:color w:val="auto"/>
                <w:szCs w:val="21"/>
              </w:rPr>
              <w:t>优先采购环境标志产品政策，节能产品政策</w:t>
            </w:r>
          </w:p>
          <w:p>
            <w:pPr>
              <w:autoSpaceDE w:val="0"/>
              <w:autoSpaceDN w:val="0"/>
              <w:adjustRightInd w:val="0"/>
              <w:snapToGrid w:val="0"/>
              <w:spacing w:line="400" w:lineRule="exact"/>
              <w:ind w:right="105" w:rightChars="50"/>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ascii="宋体" w:hAnsi="宋体" w:cs="宋体"/>
                <w:color w:val="auto"/>
                <w:szCs w:val="21"/>
              </w:rPr>
              <w:t>不适用：</w:t>
            </w:r>
          </w:p>
          <w:p>
            <w:pPr>
              <w:autoSpaceDE w:val="0"/>
              <w:autoSpaceDN w:val="0"/>
              <w:adjustRightInd w:val="0"/>
              <w:snapToGrid w:val="0"/>
              <w:spacing w:line="400" w:lineRule="exact"/>
              <w:ind w:right="105" w:rightChars="50"/>
              <w:rPr>
                <w:rFonts w:ascii="宋体" w:hAnsi="宋体" w:cs="宋体"/>
                <w:color w:val="auto"/>
                <w:kern w:val="2"/>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eq \o\ac(</w:instrText>
            </w:r>
            <w:r>
              <w:rPr>
                <w:rFonts w:hint="eastAsia" w:ascii="宋体" w:hAnsi="宋体" w:cs="宋体"/>
                <w:color w:val="auto"/>
                <w:position w:val="-4"/>
                <w:sz w:val="31"/>
                <w:szCs w:val="21"/>
              </w:rPr>
              <w:instrText xml:space="preserve">□</w:instrText>
            </w:r>
            <w:r>
              <w:rPr>
                <w:rFonts w:hint="eastAsia" w:ascii="宋体" w:hAnsi="宋体" w:cs="宋体"/>
                <w:color w:val="auto"/>
                <w:szCs w:val="21"/>
              </w:rPr>
              <w:instrText xml:space="preserve">,√)</w:instrText>
            </w:r>
            <w:r>
              <w:rPr>
                <w:rFonts w:hint="eastAsia" w:ascii="宋体" w:hAnsi="宋体" w:cs="宋体"/>
                <w:color w:val="auto"/>
                <w:szCs w:val="21"/>
              </w:rPr>
              <w:fldChar w:fldCharType="end"/>
            </w:r>
            <w:r>
              <w:rPr>
                <w:rFonts w:hint="eastAsia"/>
                <w:color w:val="auto"/>
                <w:szCs w:val="21"/>
              </w:rPr>
              <w:t xml:space="preserve">适用：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06"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28</w:t>
            </w:r>
          </w:p>
        </w:tc>
        <w:tc>
          <w:tcPr>
            <w:tcW w:w="1920" w:type="dxa"/>
            <w:vAlign w:val="center"/>
          </w:tcPr>
          <w:p>
            <w:pPr>
              <w:snapToGrid w:val="0"/>
              <w:spacing w:line="400" w:lineRule="exact"/>
              <w:jc w:val="center"/>
              <w:rPr>
                <w:rFonts w:ascii="宋体" w:hAnsi="宋体" w:cs="宋体"/>
                <w:color w:val="auto"/>
                <w:kern w:val="2"/>
                <w:szCs w:val="21"/>
              </w:rPr>
            </w:pPr>
            <w:r>
              <w:rPr>
                <w:rFonts w:hint="eastAsia" w:ascii="宋体" w:hAnsi="宋体" w:cs="宋体"/>
                <w:color w:val="auto"/>
                <w:kern w:val="2"/>
                <w:szCs w:val="21"/>
              </w:rPr>
              <w:t>信用记录</w:t>
            </w:r>
          </w:p>
        </w:tc>
        <w:tc>
          <w:tcPr>
            <w:tcW w:w="7090" w:type="dxa"/>
            <w:vAlign w:val="center"/>
          </w:tcPr>
          <w:p>
            <w:pPr>
              <w:spacing w:line="276" w:lineRule="auto"/>
              <w:rPr>
                <w:rFonts w:ascii="宋体" w:hAnsi="宋体" w:cs="Arial"/>
                <w:color w:val="auto"/>
                <w:kern w:val="2"/>
                <w:szCs w:val="21"/>
              </w:rPr>
            </w:pPr>
            <w:r>
              <w:rPr>
                <w:rFonts w:hint="eastAsia" w:ascii="宋体" w:hAnsi="宋体" w:cs="Arial"/>
                <w:color w:val="auto"/>
                <w:kern w:val="2"/>
                <w:szCs w:val="21"/>
              </w:rPr>
              <w:t>1、查询渠道与留存方式：采购代理机构登录“信用中国”（www.creditchina.gov.cn）、“中国政府采购网”（www.ccgp.gov.cn）、</w:t>
            </w:r>
            <w:r>
              <w:rPr>
                <w:rFonts w:hint="eastAsia" w:ascii="宋体" w:hAnsi="宋体" w:cs="宋体"/>
                <w:color w:val="auto"/>
                <w:kern w:val="2"/>
                <w:szCs w:val="21"/>
              </w:rPr>
              <w:t>国家企业信用信息公示系统（www.gsxt.gov.cn）</w:t>
            </w:r>
            <w:r>
              <w:rPr>
                <w:rFonts w:hint="eastAsia" w:ascii="宋体" w:hAnsi="宋体" w:cs="Arial"/>
                <w:color w:val="auto"/>
                <w:kern w:val="2"/>
                <w:szCs w:val="21"/>
              </w:rPr>
              <w:t>网站查询各磋商供应商信用记录，网页截图并打印存档。</w:t>
            </w:r>
          </w:p>
          <w:p>
            <w:pPr>
              <w:spacing w:line="276" w:lineRule="auto"/>
              <w:rPr>
                <w:rFonts w:ascii="宋体" w:hAnsi="宋体" w:cs="Arial"/>
                <w:color w:val="auto"/>
                <w:kern w:val="2"/>
                <w:szCs w:val="21"/>
              </w:rPr>
            </w:pPr>
            <w:r>
              <w:rPr>
                <w:rFonts w:hint="eastAsia" w:ascii="宋体" w:hAnsi="宋体" w:cs="Arial"/>
                <w:color w:val="auto"/>
                <w:kern w:val="2"/>
                <w:szCs w:val="21"/>
              </w:rPr>
              <w:t>2、磋商供应商信用信息查询截止时点：本项目磋商截止时间。</w:t>
            </w:r>
          </w:p>
          <w:p>
            <w:pPr>
              <w:spacing w:line="276" w:lineRule="auto"/>
              <w:rPr>
                <w:rFonts w:ascii="宋体" w:hAnsi="宋体" w:cs="Arial"/>
                <w:color w:val="auto"/>
                <w:kern w:val="2"/>
                <w:szCs w:val="21"/>
              </w:rPr>
            </w:pPr>
            <w:r>
              <w:rPr>
                <w:rFonts w:hint="eastAsia" w:ascii="宋体" w:hAnsi="宋体" w:cs="Arial"/>
                <w:color w:val="auto"/>
                <w:kern w:val="2"/>
                <w:szCs w:val="21"/>
              </w:rPr>
              <w:t>3、磋商供应商信用信息查询记录和证据留存的具体方式：网页截图打印；</w:t>
            </w:r>
          </w:p>
          <w:p>
            <w:pPr>
              <w:spacing w:line="400" w:lineRule="exact"/>
              <w:rPr>
                <w:rFonts w:ascii="宋体" w:hAnsi="宋体" w:cs="宋体"/>
                <w:color w:val="auto"/>
                <w:kern w:val="2"/>
                <w:szCs w:val="21"/>
              </w:rPr>
            </w:pPr>
            <w:r>
              <w:rPr>
                <w:rFonts w:hint="eastAsia" w:ascii="宋体" w:hAnsi="宋体" w:cs="Arial"/>
                <w:color w:val="auto"/>
                <w:kern w:val="2"/>
                <w:szCs w:val="21"/>
              </w:rPr>
              <w:t>4、不良信用记录指：被列入失信被执行人、重大税收违法案件当事人名单、政府采购严重违法失信行为记录名单及其他不符合《中华人民共和国政府采购法》第二十二条规定条件。存在不良信用记录的磋商供应商，将被拒绝参与政府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41"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29</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诚信履约管理</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合同签订后，采购人依法加强对合同履约进行管理，并在成交供应商服务等重要关节，如实填写《诚信评价反馈表》（表附合同条款中），及时向市公共资源交易中心报备。建立成交供应商诚信履约评价制度，结果纳入诚信档案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50" w:hRule="atLeast"/>
          <w:jc w:val="center"/>
        </w:trPr>
        <w:tc>
          <w:tcPr>
            <w:tcW w:w="645"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30</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解释权</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构成本磋商文件的各个组成文件应互为解释，互为说明；如有不明确或不一致，构成合同文件组成内容的，以合同文件约定内容为准；仅适用于磋商阶段的约定，按竞争性磋商公告、磋商供应商须知、评定办法、磋商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400" w:lineRule="exact"/>
              <w:ind w:firstLine="105" w:firstLineChars="50"/>
              <w:rPr>
                <w:rFonts w:ascii="宋体" w:hAnsi="宋体" w:cs="宋体"/>
                <w:color w:val="auto"/>
                <w:kern w:val="2"/>
                <w:szCs w:val="21"/>
              </w:rPr>
            </w:pPr>
            <w:r>
              <w:rPr>
                <w:rFonts w:hint="eastAsia" w:ascii="宋体" w:hAnsi="宋体" w:cs="宋体"/>
                <w:color w:val="auto"/>
                <w:kern w:val="2"/>
                <w:szCs w:val="21"/>
              </w:rPr>
              <w:t>31</w:t>
            </w:r>
          </w:p>
        </w:tc>
        <w:tc>
          <w:tcPr>
            <w:tcW w:w="1920" w:type="dxa"/>
            <w:vAlign w:val="center"/>
          </w:tcPr>
          <w:p>
            <w:pPr>
              <w:spacing w:line="400" w:lineRule="exact"/>
              <w:jc w:val="center"/>
              <w:rPr>
                <w:rFonts w:ascii="宋体" w:hAnsi="宋体" w:cs="宋体"/>
                <w:color w:val="auto"/>
                <w:kern w:val="2"/>
                <w:szCs w:val="21"/>
              </w:rPr>
            </w:pPr>
            <w:r>
              <w:rPr>
                <w:rFonts w:hint="eastAsia" w:ascii="宋体" w:hAnsi="宋体" w:cs="宋体"/>
                <w:color w:val="auto"/>
                <w:kern w:val="2"/>
                <w:szCs w:val="21"/>
              </w:rPr>
              <w:t xml:space="preserve">合同管理                                                                                                                                                                                                                                                                                                                                                                                                                                                                                                                                                                                                                                                                                                                                                                                                                                                                                                                                                                                                                                                                                                                                                                                                                                                                                                                                                                                                                                                                                                                                                                                                                                                                                                                                                                                                                                                                                                                                                                                                                                                                                                                                                                                                                                                                                                                                                                                                                                                                                                                                                                                                                                      </w:t>
            </w:r>
          </w:p>
        </w:tc>
        <w:tc>
          <w:tcPr>
            <w:tcW w:w="7090" w:type="dxa"/>
            <w:vAlign w:val="center"/>
          </w:tcPr>
          <w:p>
            <w:pPr>
              <w:spacing w:line="400" w:lineRule="exact"/>
              <w:rPr>
                <w:rFonts w:ascii="宋体" w:hAnsi="宋体" w:cs="宋体"/>
                <w:color w:val="auto"/>
                <w:kern w:val="2"/>
                <w:szCs w:val="21"/>
              </w:rPr>
            </w:pPr>
            <w:r>
              <w:rPr>
                <w:rFonts w:hint="eastAsia" w:ascii="宋体" w:hAnsi="宋体" w:cs="宋体"/>
                <w:color w:val="auto"/>
                <w:kern w:val="2"/>
                <w:szCs w:val="21"/>
              </w:rPr>
              <w:t>1.成交供应商与采购人签订合同后，二个工作日内将合同原件交给</w:t>
            </w:r>
            <w:r>
              <w:rPr>
                <w:rFonts w:hint="eastAsia" w:ascii="宋体" w:hAnsi="宋体" w:cs="宋体"/>
                <w:color w:val="auto"/>
                <w:kern w:val="2"/>
                <w:szCs w:val="21"/>
                <w:lang w:eastAsia="zh-CN"/>
              </w:rPr>
              <w:t>浙江中格工程项目管理有限公司</w:t>
            </w:r>
            <w:r>
              <w:rPr>
                <w:rFonts w:hint="eastAsia" w:ascii="宋体" w:hAnsi="宋体" w:cs="宋体"/>
                <w:color w:val="auto"/>
                <w:kern w:val="2"/>
                <w:szCs w:val="21"/>
              </w:rPr>
              <w:t>备案。</w:t>
            </w:r>
            <w:r>
              <w:rPr>
                <w:rFonts w:hint="eastAsia" w:ascii="宋体" w:hAnsi="宋体" w:cs="宋体"/>
                <w:b/>
                <w:bCs/>
                <w:color w:val="auto"/>
                <w:kern w:val="2"/>
                <w:szCs w:val="21"/>
              </w:rPr>
              <w:t>邮箱：</w:t>
            </w:r>
            <w:r>
              <w:rPr>
                <w:color w:val="auto"/>
              </w:rPr>
              <w:fldChar w:fldCharType="begin"/>
            </w:r>
            <w:r>
              <w:rPr>
                <w:color w:val="auto"/>
              </w:rPr>
              <w:instrText xml:space="preserve"> HYPERLINK "mailto:815743236@qq.com" </w:instrText>
            </w:r>
            <w:r>
              <w:rPr>
                <w:color w:val="auto"/>
              </w:rPr>
              <w:fldChar w:fldCharType="separate"/>
            </w:r>
            <w:r>
              <w:rPr>
                <w:rStyle w:val="54"/>
                <w:rFonts w:hint="eastAsia"/>
                <w:b/>
                <w:bCs/>
                <w:color w:val="auto"/>
                <w:kern w:val="2"/>
                <w:sz w:val="21"/>
                <w:szCs w:val="21"/>
                <w:lang w:eastAsia="zh-CN"/>
              </w:rPr>
              <w:t>2397491806</w:t>
            </w:r>
            <w:r>
              <w:rPr>
                <w:rStyle w:val="54"/>
                <w:rFonts w:hint="default"/>
                <w:b/>
                <w:bCs/>
                <w:color w:val="auto"/>
                <w:kern w:val="2"/>
                <w:sz w:val="21"/>
                <w:szCs w:val="21"/>
              </w:rPr>
              <w:t>@qq.com</w:t>
            </w:r>
            <w:r>
              <w:rPr>
                <w:rStyle w:val="54"/>
                <w:rFonts w:hint="default"/>
                <w:b/>
                <w:bCs/>
                <w:color w:val="auto"/>
                <w:kern w:val="2"/>
                <w:sz w:val="21"/>
                <w:szCs w:val="21"/>
              </w:rPr>
              <w:fldChar w:fldCharType="end"/>
            </w:r>
            <w:r>
              <w:rPr>
                <w:rFonts w:hint="eastAsia" w:ascii="宋体" w:hAnsi="宋体" w:cs="宋体"/>
                <w:b/>
                <w:bCs/>
                <w:color w:val="auto"/>
                <w:kern w:val="2"/>
                <w:szCs w:val="21"/>
              </w:rPr>
              <w:t>。</w:t>
            </w:r>
          </w:p>
          <w:p>
            <w:pPr>
              <w:spacing w:line="400" w:lineRule="exact"/>
              <w:rPr>
                <w:rFonts w:ascii="宋体" w:hAnsi="宋体" w:cs="宋体"/>
                <w:b/>
                <w:color w:val="auto"/>
                <w:kern w:val="2"/>
                <w:szCs w:val="21"/>
              </w:rPr>
            </w:pPr>
            <w:r>
              <w:rPr>
                <w:rFonts w:hint="eastAsia" w:ascii="宋体" w:hAnsi="宋体" w:cs="宋体"/>
                <w:color w:val="auto"/>
                <w:kern w:val="2"/>
                <w:szCs w:val="21"/>
              </w:rPr>
              <w:t>2.采购人在合同签订后二个工作日内要及时向财政监督管理部门申请备案。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59" w:hRule="atLeast"/>
          <w:jc w:val="center"/>
        </w:trPr>
        <w:tc>
          <w:tcPr>
            <w:tcW w:w="645" w:type="dxa"/>
            <w:vAlign w:val="center"/>
          </w:tcPr>
          <w:p>
            <w:pPr>
              <w:spacing w:line="400" w:lineRule="exact"/>
              <w:ind w:firstLine="105" w:firstLineChars="50"/>
              <w:rPr>
                <w:rFonts w:hint="default" w:ascii="宋体" w:hAnsi="宋体" w:eastAsia="宋体" w:cs="宋体"/>
                <w:color w:val="auto"/>
                <w:kern w:val="2"/>
                <w:szCs w:val="21"/>
                <w:lang w:val="en-US" w:eastAsia="zh-CN"/>
              </w:rPr>
            </w:pPr>
          </w:p>
        </w:tc>
        <w:tc>
          <w:tcPr>
            <w:tcW w:w="1920" w:type="dxa"/>
            <w:vAlign w:val="center"/>
          </w:tcPr>
          <w:p>
            <w:pPr>
              <w:spacing w:line="400" w:lineRule="exact"/>
              <w:jc w:val="center"/>
              <w:rPr>
                <w:rFonts w:hint="eastAsia" w:ascii="宋体" w:hAnsi="宋体" w:cs="宋体"/>
                <w:color w:val="auto"/>
                <w:kern w:val="2"/>
                <w:szCs w:val="21"/>
              </w:rPr>
            </w:pPr>
            <w:r>
              <w:rPr>
                <w:rFonts w:hint="eastAsia" w:ascii="宋体" w:hAnsi="宋体" w:cs="宋体"/>
                <w:b/>
                <w:color w:val="auto"/>
                <w:sz w:val="24"/>
                <w:highlight w:val="none"/>
              </w:rPr>
              <w:t xml:space="preserve"> 代理服务费</w:t>
            </w:r>
          </w:p>
        </w:tc>
        <w:tc>
          <w:tcPr>
            <w:tcW w:w="7090" w:type="dxa"/>
            <w:vAlign w:val="center"/>
          </w:tcPr>
          <w:p>
            <w:pPr>
              <w:spacing w:line="400" w:lineRule="exact"/>
              <w:rPr>
                <w:rFonts w:hint="eastAsia" w:ascii="宋体" w:hAnsi="宋体" w:cs="宋体"/>
                <w:color w:val="auto"/>
                <w:kern w:val="2"/>
                <w:szCs w:val="21"/>
              </w:rPr>
            </w:pPr>
            <w:r>
              <w:rPr>
                <w:rFonts w:hint="eastAsia" w:ascii="宋体" w:hAnsi="宋体" w:cs="宋体"/>
                <w:color w:val="auto"/>
                <w:szCs w:val="22"/>
                <w:highlight w:val="none"/>
              </w:rPr>
              <w:t>经采购人和采购代理机构双方协商，本次采购代理服务费由成交供应商支付，代理服务费按国家计委计价格[2002]1980号文件（附表一）</w:t>
            </w:r>
            <w:r>
              <w:rPr>
                <w:rFonts w:hint="eastAsia" w:ascii="宋体" w:hAnsi="宋体" w:cs="宋体"/>
                <w:color w:val="auto"/>
                <w:szCs w:val="22"/>
                <w:highlight w:val="none"/>
                <w:lang w:val="en-US" w:eastAsia="zh-CN"/>
              </w:rPr>
              <w:t>服务</w:t>
            </w:r>
            <w:r>
              <w:rPr>
                <w:rFonts w:hint="eastAsia" w:ascii="宋体" w:hAnsi="宋体" w:cs="宋体"/>
                <w:color w:val="auto"/>
                <w:szCs w:val="22"/>
                <w:highlight w:val="none"/>
              </w:rPr>
              <w:t>类收费标准收取，计费基数为中标价，</w:t>
            </w:r>
            <w:r>
              <w:rPr>
                <w:rFonts w:hint="eastAsia" w:ascii="宋体" w:hAnsi="宋体" w:cs="宋体"/>
                <w:color w:val="auto"/>
                <w:szCs w:val="22"/>
                <w:highlight w:val="none"/>
                <w:lang w:val="en-US" w:eastAsia="zh-CN"/>
              </w:rPr>
              <w:t>代理费用为23298元整</w:t>
            </w:r>
            <w:r>
              <w:rPr>
                <w:rFonts w:hint="eastAsia" w:ascii="宋体" w:hAnsi="宋体" w:cs="宋体"/>
                <w:color w:val="auto"/>
                <w:szCs w:val="22"/>
                <w:highlight w:val="none"/>
              </w:rPr>
              <w:t>。该费用必须在领取成交通知书时一次性付清，请磋商供应商在报价时予以考虑</w:t>
            </w:r>
          </w:p>
        </w:tc>
      </w:tr>
    </w:tbl>
    <w:p>
      <w:pPr>
        <w:rPr>
          <w:color w:val="auto"/>
        </w:rPr>
      </w:pPr>
    </w:p>
    <w:p>
      <w:pPr>
        <w:pStyle w:val="5"/>
        <w:spacing w:before="120" w:beforeLines="50" w:after="120" w:afterLines="50" w:line="240" w:lineRule="auto"/>
        <w:jc w:val="center"/>
        <w:rPr>
          <w:rFonts w:ascii="宋体" w:hAnsi="宋体" w:cs="宋体"/>
          <w:color w:val="auto"/>
          <w:sz w:val="24"/>
          <w:szCs w:val="24"/>
        </w:rPr>
      </w:pPr>
      <w:bookmarkStart w:id="25" w:name="_Toc19037"/>
      <w:bookmarkStart w:id="26" w:name="_Toc3782"/>
      <w:r>
        <w:rPr>
          <w:rFonts w:hint="eastAsia" w:ascii="宋体" w:hAnsi="宋体" w:cs="宋体"/>
          <w:color w:val="auto"/>
          <w:sz w:val="24"/>
          <w:szCs w:val="24"/>
        </w:rPr>
        <w:t>（二）总   则</w:t>
      </w:r>
      <w:bookmarkEnd w:id="25"/>
      <w:bookmarkEnd w:id="26"/>
    </w:p>
    <w:p>
      <w:pPr>
        <w:numPr>
          <w:ilvl w:val="0"/>
          <w:numId w:val="2"/>
        </w:numPr>
        <w:snapToGrid w:val="0"/>
        <w:spacing w:line="420" w:lineRule="exact"/>
        <w:ind w:left="120" w:hanging="120" w:hangingChars="50"/>
        <w:jc w:val="both"/>
        <w:rPr>
          <w:rFonts w:ascii="宋体" w:hAnsi="宋体" w:cs="宋体"/>
          <w:b/>
          <w:color w:val="auto"/>
          <w:sz w:val="24"/>
        </w:rPr>
      </w:pPr>
      <w:r>
        <w:rPr>
          <w:rFonts w:hint="eastAsia" w:ascii="宋体" w:hAnsi="宋体" w:cs="宋体"/>
          <w:b/>
          <w:color w:val="auto"/>
          <w:sz w:val="24"/>
        </w:rPr>
        <w:t>说明</w:t>
      </w:r>
    </w:p>
    <w:p>
      <w:pPr>
        <w:numPr>
          <w:ilvl w:val="1"/>
          <w:numId w:val="2"/>
        </w:numPr>
        <w:snapToGrid w:val="0"/>
        <w:spacing w:line="420" w:lineRule="exact"/>
        <w:jc w:val="both"/>
        <w:rPr>
          <w:rFonts w:ascii="宋体" w:hAnsi="宋体" w:cs="宋体"/>
          <w:color w:val="auto"/>
        </w:rPr>
      </w:pPr>
      <w:r>
        <w:rPr>
          <w:rFonts w:hint="eastAsia" w:ascii="宋体" w:hAnsi="宋体" w:cs="宋体"/>
          <w:color w:val="auto"/>
        </w:rPr>
        <w:t>本次竞争性磋商工作是按照《中华人民共和国政府采购法》、</w:t>
      </w:r>
      <w:r>
        <w:rPr>
          <w:rFonts w:hint="eastAsia" w:ascii="宋体" w:hAnsi="宋体" w:cs="宋体"/>
          <w:color w:val="auto"/>
          <w:szCs w:val="21"/>
        </w:rPr>
        <w:t>《政府采购竞争性磋商采购方式管理暂行办法》、</w:t>
      </w:r>
      <w:r>
        <w:rPr>
          <w:rFonts w:hint="eastAsia" w:ascii="宋体" w:hAnsi="宋体" w:cs="宋体"/>
          <w:color w:val="auto"/>
        </w:rPr>
        <w:t>浙江省及项目所在地的有关政府采购规定，结合本项目的实际，组织和实施。</w:t>
      </w:r>
    </w:p>
    <w:p>
      <w:pPr>
        <w:numPr>
          <w:ilvl w:val="0"/>
          <w:numId w:val="2"/>
        </w:numPr>
        <w:snapToGrid w:val="0"/>
        <w:spacing w:line="420" w:lineRule="exact"/>
        <w:jc w:val="both"/>
        <w:rPr>
          <w:rFonts w:ascii="宋体" w:hAnsi="宋体" w:cs="宋体"/>
          <w:b/>
          <w:color w:val="auto"/>
          <w:sz w:val="24"/>
        </w:rPr>
      </w:pPr>
      <w:r>
        <w:rPr>
          <w:rFonts w:hint="eastAsia" w:ascii="宋体" w:hAnsi="宋体" w:cs="宋体"/>
          <w:b/>
          <w:color w:val="auto"/>
          <w:sz w:val="24"/>
        </w:rPr>
        <w:t>定义及解释</w:t>
      </w:r>
    </w:p>
    <w:p>
      <w:pPr>
        <w:numPr>
          <w:ilvl w:val="1"/>
          <w:numId w:val="2"/>
        </w:numPr>
        <w:snapToGrid w:val="0"/>
        <w:spacing w:line="400" w:lineRule="atLeast"/>
        <w:jc w:val="both"/>
        <w:rPr>
          <w:rFonts w:ascii="宋体" w:hAnsi="宋体"/>
          <w:color w:val="auto"/>
        </w:rPr>
      </w:pPr>
      <w:r>
        <w:rPr>
          <w:rFonts w:hint="eastAsia" w:ascii="宋体" w:hAnsi="宋体"/>
          <w:color w:val="auto"/>
        </w:rPr>
        <w:t>采购人：</w:t>
      </w:r>
      <w:r>
        <w:rPr>
          <w:rFonts w:hint="eastAsia" w:ascii="宋体" w:hAnsi="宋体"/>
          <w:color w:val="auto"/>
          <w:szCs w:val="21"/>
          <w:lang w:eastAsia="zh-CN"/>
        </w:rPr>
        <w:t>瑞安市曹村镇人民政府</w:t>
      </w:r>
      <w:r>
        <w:rPr>
          <w:rFonts w:hint="eastAsia" w:ascii="宋体" w:hAnsi="宋体"/>
          <w:color w:val="auto"/>
          <w:szCs w:val="21"/>
        </w:rPr>
        <w:t>；</w:t>
      </w:r>
    </w:p>
    <w:p>
      <w:pPr>
        <w:numPr>
          <w:ilvl w:val="1"/>
          <w:numId w:val="2"/>
        </w:numPr>
        <w:snapToGrid w:val="0"/>
        <w:spacing w:line="400" w:lineRule="atLeast"/>
        <w:jc w:val="both"/>
        <w:rPr>
          <w:rFonts w:ascii="宋体" w:hAnsi="宋体"/>
          <w:color w:val="auto"/>
        </w:rPr>
      </w:pPr>
      <w:r>
        <w:rPr>
          <w:rFonts w:hint="eastAsia" w:ascii="宋体" w:hAnsi="宋体"/>
          <w:color w:val="auto"/>
        </w:rPr>
        <w:t>采购代理机构：</w:t>
      </w:r>
      <w:r>
        <w:rPr>
          <w:rFonts w:hint="eastAsia" w:ascii="宋体" w:hAnsi="宋体"/>
          <w:color w:val="auto"/>
          <w:lang w:eastAsia="zh-CN"/>
        </w:rPr>
        <w:t>浙江中格工程项目管理有限公司</w:t>
      </w:r>
      <w:r>
        <w:rPr>
          <w:rFonts w:hint="eastAsia" w:ascii="宋体" w:hAnsi="宋体"/>
          <w:color w:val="auto"/>
        </w:rPr>
        <w:t>；</w:t>
      </w:r>
    </w:p>
    <w:p>
      <w:pPr>
        <w:numPr>
          <w:ilvl w:val="1"/>
          <w:numId w:val="2"/>
        </w:numPr>
        <w:snapToGrid w:val="0"/>
        <w:spacing w:line="400" w:lineRule="atLeast"/>
        <w:jc w:val="both"/>
        <w:rPr>
          <w:rFonts w:ascii="Arial" w:hAnsi="Arial" w:cs="Arial"/>
          <w:color w:val="auto"/>
        </w:rPr>
      </w:pPr>
      <w:r>
        <w:rPr>
          <w:rFonts w:hint="eastAsia" w:ascii="Arial" w:hAnsi="Arial"/>
          <w:color w:val="auto"/>
        </w:rPr>
        <w:t>磋商供应商：磋商供应商是响应采购、参加磋商竞争的依法成立的供应商；</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成交供应商：系指在本次竞争性磋商中成交的磋商供应商；</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磋商小组：磋商小组是依《政府采购法》、《政府采购竞争性磋商采购方式管理暂行办法》组建的专门负责采购评审工作的临时性机构；</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合同：指由采购所产生的合同或合约文件。</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电子加密磋商响应文件：指通过“政采云电子交易客户端”完成磋商响应文件编制后生成并加密的数据电文形式的磋商响应文件。</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备份磋商响应文件：指与“电子加密磋商响应文件”同时生成的数据电文形式的电子文件（备份标书），其他方式编制的备份磋商响应文件视为无效备份磋商响应文件。</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电子签章：磋商供应商通过“政采购云平台”办理的CA锁进行的签章。</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磋商文件中的标题或题名仅起引导作用，而不应视为对磋商文件内容的理解和解释。</w:t>
      </w:r>
    </w:p>
    <w:p>
      <w:pPr>
        <w:numPr>
          <w:ilvl w:val="1"/>
          <w:numId w:val="2"/>
        </w:numPr>
        <w:snapToGrid w:val="0"/>
        <w:spacing w:line="420" w:lineRule="exact"/>
        <w:jc w:val="both"/>
        <w:rPr>
          <w:rFonts w:ascii="宋体" w:hAnsi="宋体" w:cs="宋体"/>
          <w:color w:val="auto"/>
        </w:rPr>
      </w:pPr>
      <w:r>
        <w:rPr>
          <w:rFonts w:hint="eastAsia" w:ascii="Arial" w:hAnsi="Arial" w:cs="Arial"/>
          <w:color w:val="auto"/>
        </w:rPr>
        <w:t>“书面形式”是指任何手写的、打印的或印刷的文件，包括电报和传真发送</w:t>
      </w:r>
      <w:r>
        <w:rPr>
          <w:rFonts w:hint="eastAsia" w:ascii="Arial" w:hAnsi="Arial"/>
          <w:color w:val="auto"/>
        </w:rPr>
        <w:t>。</w:t>
      </w:r>
    </w:p>
    <w:p>
      <w:pPr>
        <w:numPr>
          <w:ilvl w:val="0"/>
          <w:numId w:val="2"/>
        </w:numPr>
        <w:snapToGrid w:val="0"/>
        <w:spacing w:line="276" w:lineRule="auto"/>
        <w:jc w:val="both"/>
        <w:rPr>
          <w:rFonts w:ascii="宋体" w:hAnsi="宋体" w:cs="宋体"/>
          <w:b/>
          <w:color w:val="auto"/>
          <w:sz w:val="24"/>
        </w:rPr>
      </w:pPr>
      <w:r>
        <w:rPr>
          <w:rFonts w:hint="eastAsia" w:ascii="宋体" w:hAnsi="宋体" w:cs="宋体"/>
          <w:b/>
          <w:color w:val="auto"/>
          <w:sz w:val="24"/>
        </w:rPr>
        <w:t>合格的磋商供应商</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符合《中华人民共和国政府采购法》第二十二条规定；</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未被信用中国网站（www.creditchina.gov.cn）列入失信被执行人、重大税收违法件当事人名单，未被中国政府采购网（www.ccgp.gov.cn）列入政府采购严重违法失信行为记录名单；未被国家企业信用信息公示系统（www.gsxt.gov.cn）列入严重违法失信企业名单。</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落实政府采购政策需满足的资格要求：/。</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本项目的特定资格要求：同时具备①须具有建筑机电安装工程专业承包三级及以上资质；②须具有《医疗器械生产企业许可证》和《二类医疗器械经营企业备案证》；③供应商所投产品必须具有《中心供氧系统医疗器械产品注册证》和《中心吸引系统医疗器械产品注册证》和《医用空气压缩机或医用集中空气系统产品注册证》；④须有中华人民共和国特种设备安装改造维修许可证（压力管道GC2级及以上）及以上资质或中华人民共和国特种设备生产许可证（工业管道GC2级及以上）；⑤须有中华人民共和国特种设备设计许可证（压力管道GC2级及以上）及以上资质或中华人民共和国特种设备生产许可证（压力管道设计GC2级及以上）。</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中小企业认定</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供应商提供的货物、工程或者服务符合下列情形的，享受《政府采购促进中小企业发展管理办法》规定的中小企业扶持政策：</w:t>
      </w:r>
    </w:p>
    <w:p>
      <w:pPr>
        <w:snapToGrid w:val="0"/>
        <w:spacing w:line="400" w:lineRule="atLeast"/>
        <w:ind w:left="840" w:leftChars="400"/>
        <w:jc w:val="both"/>
        <w:rPr>
          <w:rFonts w:ascii="Arial" w:hAnsi="Arial" w:cs="Arial"/>
          <w:color w:val="auto"/>
        </w:rPr>
      </w:pPr>
      <w:r>
        <w:rPr>
          <w:rFonts w:hint="eastAsia" w:ascii="Arial" w:hAnsi="Arial" w:cs="Arial"/>
          <w:color w:val="auto"/>
        </w:rPr>
        <w:t>（一）在货物采购项目中，货物由中小企业制造，即货物由中小企业生产且使用该中小企业商号或者注册商标；</w:t>
      </w:r>
    </w:p>
    <w:p>
      <w:pPr>
        <w:snapToGrid w:val="0"/>
        <w:spacing w:line="400" w:lineRule="atLeast"/>
        <w:ind w:firstLine="840" w:firstLineChars="400"/>
        <w:jc w:val="both"/>
        <w:rPr>
          <w:rFonts w:ascii="Arial" w:hAnsi="Arial" w:cs="Arial"/>
          <w:color w:val="auto"/>
        </w:rPr>
      </w:pPr>
      <w:r>
        <w:rPr>
          <w:rFonts w:hint="eastAsia" w:ascii="Arial" w:hAnsi="Arial" w:cs="Arial"/>
          <w:color w:val="auto"/>
        </w:rPr>
        <w:t>（二）在工程采购项目中，工程由中小企业承建，即工程施工单位为中小企业；</w:t>
      </w:r>
    </w:p>
    <w:p>
      <w:pPr>
        <w:snapToGrid w:val="0"/>
        <w:spacing w:line="400" w:lineRule="atLeast"/>
        <w:ind w:left="840" w:leftChars="400"/>
        <w:jc w:val="both"/>
        <w:rPr>
          <w:rFonts w:ascii="Arial" w:hAnsi="Arial" w:cs="Arial"/>
          <w:color w:val="auto"/>
        </w:rPr>
      </w:pPr>
      <w:r>
        <w:rPr>
          <w:rFonts w:hint="eastAsia" w:ascii="Arial" w:hAnsi="Arial" w:cs="Arial"/>
          <w:color w:val="auto"/>
        </w:rPr>
        <w:t>（三）在服务采购项目中，服务由中小企业承接，即提供服务的人员为中小企业依照《中华人民共和国劳动合同法》订立劳动合同的从业人员。</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在货物采购项目中，供应商提供的货物既有中小企业制造货物，也有大型企业制造货物的，不享受中小企业扶持政策。</w:t>
      </w:r>
    </w:p>
    <w:p>
      <w:pPr>
        <w:numPr>
          <w:ilvl w:val="1"/>
          <w:numId w:val="2"/>
        </w:numPr>
        <w:snapToGrid w:val="0"/>
        <w:spacing w:line="400" w:lineRule="atLeast"/>
        <w:jc w:val="both"/>
        <w:rPr>
          <w:rFonts w:ascii="Arial" w:hAnsi="Arial" w:cs="Arial"/>
          <w:color w:val="auto"/>
        </w:rPr>
      </w:pPr>
      <w:r>
        <w:rPr>
          <w:rFonts w:hint="eastAsia" w:ascii="Arial" w:hAnsi="Arial" w:cs="Arial"/>
          <w:color w:val="auto"/>
        </w:rPr>
        <w:t>以联合体形式参加政府采购活动，联合体各方均为中小企业的，联合体视同中小企业。其中，联合体各方均为小微企业的，联合体视同小微企业。</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信用记录：</w:t>
      </w:r>
    </w:p>
    <w:p>
      <w:pPr>
        <w:numPr>
          <w:ilvl w:val="1"/>
          <w:numId w:val="2"/>
        </w:numPr>
        <w:snapToGrid w:val="0"/>
        <w:spacing w:line="380" w:lineRule="exact"/>
        <w:jc w:val="both"/>
        <w:rPr>
          <w:color w:val="auto"/>
        </w:rPr>
      </w:pPr>
      <w:r>
        <w:rPr>
          <w:rFonts w:hint="eastAsia"/>
          <w:color w:val="auto"/>
        </w:rPr>
        <w:t>信用信息查询的截止时点：磋商截止时间前。</w:t>
      </w:r>
    </w:p>
    <w:p>
      <w:pPr>
        <w:numPr>
          <w:ilvl w:val="1"/>
          <w:numId w:val="2"/>
        </w:numPr>
        <w:snapToGrid w:val="0"/>
        <w:spacing w:line="380" w:lineRule="exact"/>
        <w:jc w:val="both"/>
        <w:rPr>
          <w:color w:val="auto"/>
        </w:rPr>
      </w:pPr>
      <w:r>
        <w:rPr>
          <w:rFonts w:hint="eastAsia" w:ascii="宋体" w:hAnsi="宋体"/>
          <w:color w:val="auto"/>
          <w:szCs w:val="21"/>
        </w:rPr>
        <w:t>查询渠道与留存方式：采购代理机构登录“信用中国”（www.creditchina.gov.cn）、“中国政府采购网”（www.ccgp.gov.cn）、</w:t>
      </w:r>
      <w:r>
        <w:rPr>
          <w:rFonts w:hint="eastAsia" w:ascii="宋体" w:hAnsi="宋体" w:cs="宋体"/>
          <w:color w:val="auto"/>
          <w:szCs w:val="21"/>
        </w:rPr>
        <w:t>国家企业信用信息公示系统（www.gsxt.gov.cn）、</w:t>
      </w:r>
      <w:r>
        <w:rPr>
          <w:rFonts w:hint="eastAsia" w:ascii="宋体" w:hAnsi="宋体"/>
          <w:color w:val="auto"/>
          <w:szCs w:val="21"/>
        </w:rPr>
        <w:t>网站查询各供应商信用记录，网页截图并打印存档。</w:t>
      </w:r>
    </w:p>
    <w:p>
      <w:pPr>
        <w:pStyle w:val="242"/>
        <w:rPr>
          <w:rFonts w:hAnsi="宋体"/>
          <w:color w:val="auto"/>
          <w:szCs w:val="21"/>
        </w:rPr>
      </w:pPr>
      <w:r>
        <w:rPr>
          <w:rFonts w:hint="eastAsia" w:hAnsi="宋体"/>
          <w:color w:val="auto"/>
          <w:szCs w:val="21"/>
        </w:rPr>
        <w:t>4.3     不良信用记录指：被列入失信被执行人、重大税收违法案件当事人名单、政府采购严重</w:t>
      </w:r>
    </w:p>
    <w:p>
      <w:pPr>
        <w:pStyle w:val="242"/>
        <w:ind w:firstLine="840" w:firstLineChars="400"/>
        <w:rPr>
          <w:rFonts w:ascii="Arial" w:hAnsi="Arial"/>
          <w:color w:val="auto"/>
        </w:rPr>
      </w:pPr>
      <w:r>
        <w:rPr>
          <w:rFonts w:hint="eastAsia" w:hAnsi="宋体"/>
          <w:color w:val="auto"/>
          <w:szCs w:val="21"/>
        </w:rPr>
        <w:t>违法失信行为记录名单及其他</w:t>
      </w:r>
      <w:r>
        <w:rPr>
          <w:rFonts w:hint="eastAsia" w:ascii="Arial" w:hAnsi="Arial"/>
          <w:color w:val="auto"/>
        </w:rPr>
        <w:t>不符合《中华人民共和国政府采购法》第二十二条规定条</w:t>
      </w:r>
    </w:p>
    <w:p>
      <w:pPr>
        <w:pStyle w:val="242"/>
        <w:ind w:firstLine="840" w:firstLineChars="400"/>
        <w:rPr>
          <w:color w:val="auto"/>
        </w:rPr>
      </w:pPr>
      <w:r>
        <w:rPr>
          <w:rFonts w:hint="eastAsia" w:ascii="Arial" w:hAnsi="Arial"/>
          <w:color w:val="auto"/>
        </w:rPr>
        <w:t>件。存在不良信用记录的供应商，将被拒绝参与政府采购活动。</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保密与披露事项</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磋商供应商不得串通，以不正当的手段妨碍排挤其他磋商供应商，扰乱市场，破坏公平竞争原则。</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磋商供应商自获取磋商文件之日起，须承诺承担本竞争性磋商项目下保密义务，不得将本次竞争性磋商获得的信息向第三方外传。</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采购机构有权将磋商供应商提供的所有资料向其他政府部门或有关的非政府机构负责评审标书的人员或与评标有关的人员披露。</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采购机构有权在认为适当时，或在任何第三者提出要求（书面或其他方式）时，无须事先征求成交供应商同意而披露关于已订立合约的资料、成交供应商的名称及地址、成交服务的有关信息以及合约条款等。</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磋商费用</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磋商供应商应承担所有与编写和提交磋商响应文件有关的费用，不论磋商的结果如何，采购代理机构和采购人在任何情况下均无义务和责任承担这些费用。</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现场踏勘：</w:t>
      </w:r>
      <w:r>
        <w:rPr>
          <w:rFonts w:hint="eastAsia" w:ascii="宋体" w:hAnsi="宋体" w:cs="宋体"/>
          <w:color w:val="auto"/>
          <w:szCs w:val="21"/>
        </w:rPr>
        <w:t>自行前往</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磋商委托</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如磋商供应商代表不是法定代表人，须提供《法定代表人授权委托书》。</w:t>
      </w:r>
    </w:p>
    <w:p>
      <w:pPr>
        <w:pStyle w:val="5"/>
        <w:spacing w:before="120" w:beforeLines="50" w:after="120" w:afterLines="50" w:line="420" w:lineRule="exact"/>
        <w:jc w:val="center"/>
        <w:rPr>
          <w:rFonts w:ascii="宋体" w:hAnsi="宋体" w:cs="宋体"/>
          <w:color w:val="auto"/>
          <w:sz w:val="24"/>
          <w:szCs w:val="24"/>
        </w:rPr>
      </w:pPr>
      <w:bookmarkStart w:id="27" w:name="_Toc22813"/>
      <w:bookmarkStart w:id="28" w:name="_Toc28424"/>
      <w:r>
        <w:rPr>
          <w:rFonts w:hint="eastAsia" w:ascii="宋体" w:hAnsi="宋体" w:cs="宋体"/>
          <w:color w:val="auto"/>
          <w:sz w:val="24"/>
          <w:szCs w:val="24"/>
        </w:rPr>
        <w:t>（三）磋商文件说明</w:t>
      </w:r>
      <w:bookmarkEnd w:id="27"/>
      <w:bookmarkEnd w:id="28"/>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磋商文件构成</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磋商文件是用以阐明所需服务，以及竞争性磋商、磋商程序和相应的合同条款。“磋商文件”由下述部分组成：</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第一部分  竞争性磋商公告</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第二部分  磋商供应商须知</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第三部分  竞争性磋商内容及要求</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第四部分  合同条款</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第五部分  磋商响应文件格式</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第六部分  评定办法</w:t>
      </w:r>
    </w:p>
    <w:p>
      <w:pPr>
        <w:snapToGrid w:val="0"/>
        <w:spacing w:line="420" w:lineRule="exact"/>
        <w:ind w:left="840" w:leftChars="400"/>
        <w:jc w:val="both"/>
        <w:rPr>
          <w:rFonts w:ascii="宋体" w:hAnsi="宋体" w:cs="宋体"/>
          <w:color w:val="auto"/>
          <w:szCs w:val="21"/>
        </w:rPr>
      </w:pPr>
      <w:r>
        <w:rPr>
          <w:rFonts w:hint="eastAsia" w:ascii="宋体" w:hAnsi="宋体" w:cs="宋体"/>
          <w:color w:val="auto"/>
          <w:szCs w:val="21"/>
        </w:rPr>
        <w:t>第七部分  补充通知及答疑（若有）</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本磋商文件要求磋商供应商作出实质性响应的有关技术和商务条款，将在该条款前以“▲” 醒目标识。</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磋商文件的澄清</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任何要求对磋商文件进行澄清的磋商供应商，均应在答疑截止期规定时间以前以书面形式传真或寄送给采购代理机构。</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采购代理机构对已发出的磋商文件进行必要澄清或者修改的，将提交首次响应文件截止时间5日前在 “浙江省政府采购网”上发布更正公告。答复中包括原提出的问题，但不包括问题的来源。供应商登陆 “浙江省政府采购网”自行下载，该澄清和修改的内容作为磋商文件的组成部分。</w:t>
      </w:r>
    </w:p>
    <w:p>
      <w:pPr>
        <w:pStyle w:val="5"/>
        <w:spacing w:before="120" w:beforeLines="50" w:after="120" w:afterLines="50" w:line="420" w:lineRule="exact"/>
        <w:jc w:val="center"/>
        <w:rPr>
          <w:rFonts w:ascii="宋体" w:hAnsi="宋体" w:cs="宋体"/>
          <w:color w:val="auto"/>
          <w:sz w:val="24"/>
          <w:szCs w:val="24"/>
        </w:rPr>
      </w:pPr>
      <w:bookmarkStart w:id="29" w:name="_Toc23813"/>
      <w:bookmarkStart w:id="30" w:name="_Toc19043"/>
      <w:r>
        <w:rPr>
          <w:rFonts w:hint="eastAsia" w:ascii="宋体" w:hAnsi="宋体" w:cs="宋体"/>
          <w:color w:val="auto"/>
          <w:sz w:val="24"/>
          <w:szCs w:val="24"/>
        </w:rPr>
        <w:t>（四）磋商响应文件的编制</w:t>
      </w:r>
      <w:bookmarkEnd w:id="29"/>
      <w:bookmarkEnd w:id="30"/>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磋商响应文件的说明</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磋商响应文件应字迹清楚、内容齐全、不得涂改。如有修改，修改处须有法定代表人或其同一授权代表盖章（或签字）。</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供应商必须按磋商文件的要求提供相关技术参数、资料，包括采用的计量单位，并保证磋商响应文件的正确性和真实性，否则磋商小组将作出不利于其投标的评定。技术和商务如有偏离均应填写偏离表。不按磋商文件的要求提供的磋商响应文件可能导致无效。</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磋商响应文件的组成</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磋商供应商编写的磋商响应文件应包括下列部分：</w:t>
      </w:r>
    </w:p>
    <w:p>
      <w:pPr>
        <w:pStyle w:val="242"/>
        <w:rPr>
          <w:rFonts w:ascii="Calibri" w:hAnsi="Calibri"/>
          <w:b/>
          <w:bCs/>
          <w:color w:val="auto"/>
        </w:rPr>
      </w:pPr>
      <w:r>
        <w:rPr>
          <w:rFonts w:hint="eastAsia" w:ascii="Calibri" w:hAnsi="Calibri"/>
          <w:b/>
          <w:bCs/>
          <w:color w:val="auto"/>
        </w:rPr>
        <w:t>一、资格</w:t>
      </w:r>
      <w:r>
        <w:rPr>
          <w:rFonts w:hint="eastAsia"/>
          <w:b/>
          <w:bCs/>
          <w:color w:val="auto"/>
        </w:rPr>
        <w:t>响应</w:t>
      </w:r>
      <w:r>
        <w:rPr>
          <w:rFonts w:hint="eastAsia" w:ascii="Calibri" w:hAnsi="Calibri"/>
          <w:b/>
          <w:bCs/>
          <w:color w:val="auto"/>
        </w:rPr>
        <w:t>部分</w:t>
      </w:r>
    </w:p>
    <w:p>
      <w:pPr>
        <w:numPr>
          <w:ilvl w:val="0"/>
          <w:numId w:val="8"/>
        </w:numPr>
        <w:tabs>
          <w:tab w:val="left" w:pos="1260"/>
        </w:tabs>
        <w:snapToGrid w:val="0"/>
        <w:spacing w:line="400" w:lineRule="exact"/>
        <w:ind w:left="1066" w:leftChars="200" w:hanging="646" w:hangingChars="308"/>
        <w:jc w:val="both"/>
        <w:rPr>
          <w:rFonts w:ascii="宋体" w:hAnsi="宋体" w:cs="宋体"/>
          <w:color w:val="auto"/>
          <w:szCs w:val="21"/>
        </w:rPr>
      </w:pPr>
      <w:r>
        <w:rPr>
          <w:rFonts w:hint="eastAsia" w:ascii="宋体" w:hAnsi="宋体" w:cs="宋体"/>
          <w:color w:val="auto"/>
          <w:szCs w:val="21"/>
        </w:rPr>
        <w:t>关于资格、资质证明文件的声明函。                           （见第五部分附件一）</w:t>
      </w:r>
    </w:p>
    <w:p>
      <w:pPr>
        <w:pStyle w:val="3"/>
        <w:numPr>
          <w:ilvl w:val="0"/>
          <w:numId w:val="9"/>
        </w:numPr>
        <w:ind w:left="1058" w:leftChars="401" w:hanging="216" w:hangingChars="103"/>
        <w:rPr>
          <w:rFonts w:ascii="宋体" w:hAnsi="宋体" w:eastAsia="宋体" w:cs="宋体"/>
          <w:color w:val="auto"/>
          <w:kern w:val="0"/>
          <w:sz w:val="21"/>
          <w:szCs w:val="24"/>
        </w:rPr>
      </w:pPr>
      <w:r>
        <w:rPr>
          <w:rFonts w:hint="eastAsia" w:ascii="宋体" w:hAnsi="宋体" w:eastAsia="宋体" w:cs="宋体"/>
          <w:color w:val="auto"/>
          <w:kern w:val="0"/>
          <w:sz w:val="21"/>
          <w:szCs w:val="24"/>
        </w:rPr>
        <w:t>供应商有效的营业执照扫描件；</w:t>
      </w:r>
    </w:p>
    <w:p>
      <w:pPr>
        <w:pStyle w:val="3"/>
        <w:numPr>
          <w:ilvl w:val="0"/>
          <w:numId w:val="9"/>
        </w:numPr>
        <w:ind w:left="1058" w:leftChars="401" w:hanging="216" w:hangingChars="103"/>
        <w:rPr>
          <w:rFonts w:ascii="宋体" w:hAnsi="宋体" w:eastAsia="宋体" w:cs="宋体"/>
          <w:color w:val="auto"/>
          <w:kern w:val="0"/>
          <w:sz w:val="21"/>
          <w:szCs w:val="24"/>
        </w:rPr>
      </w:pPr>
      <w:r>
        <w:rPr>
          <w:rFonts w:hint="eastAsia" w:ascii="宋体" w:hAnsi="宋体" w:eastAsia="宋体" w:cs="宋体"/>
          <w:color w:val="auto"/>
          <w:kern w:val="0"/>
          <w:sz w:val="21"/>
          <w:szCs w:val="24"/>
        </w:rPr>
        <w:t>供应商相关资质证明文件扫描件；</w:t>
      </w:r>
    </w:p>
    <w:p>
      <w:pPr>
        <w:pStyle w:val="3"/>
        <w:numPr>
          <w:ilvl w:val="0"/>
          <w:numId w:val="9"/>
        </w:numPr>
        <w:ind w:left="1058" w:leftChars="401" w:hanging="216" w:hangingChars="103"/>
        <w:rPr>
          <w:rFonts w:ascii="宋体" w:hAnsi="宋体" w:eastAsia="宋体" w:cs="宋体"/>
          <w:color w:val="auto"/>
          <w:kern w:val="0"/>
          <w:sz w:val="21"/>
          <w:szCs w:val="24"/>
        </w:rPr>
      </w:pPr>
      <w:r>
        <w:rPr>
          <w:rFonts w:hint="eastAsia" w:ascii="宋体" w:hAnsi="宋体" w:eastAsia="宋体" w:cs="宋体"/>
          <w:color w:val="auto"/>
          <w:kern w:val="0"/>
          <w:sz w:val="21"/>
          <w:szCs w:val="24"/>
        </w:rPr>
        <w:t>供应商的其他证书扫描件（如有）。</w:t>
      </w:r>
    </w:p>
    <w:p>
      <w:pPr>
        <w:numPr>
          <w:ilvl w:val="0"/>
          <w:numId w:val="8"/>
        </w:numPr>
        <w:tabs>
          <w:tab w:val="left" w:pos="1260"/>
        </w:tabs>
        <w:snapToGrid w:val="0"/>
        <w:spacing w:line="400" w:lineRule="exact"/>
        <w:ind w:firstLine="216"/>
        <w:rPr>
          <w:rFonts w:ascii="宋体" w:hAnsi="宋体" w:cs="宋体"/>
          <w:color w:val="auto"/>
          <w:szCs w:val="21"/>
        </w:rPr>
      </w:pPr>
      <w:r>
        <w:rPr>
          <w:rFonts w:hint="eastAsia" w:ascii="宋体" w:hAnsi="宋体" w:cs="宋体"/>
          <w:bCs/>
          <w:color w:val="auto"/>
          <w:szCs w:val="24"/>
        </w:rPr>
        <w:t>关于符合《中华人民共和国政府采购法》第二十二条规定条件的承诺函。</w:t>
      </w:r>
      <w:r>
        <w:rPr>
          <w:rFonts w:hint="eastAsia" w:ascii="宋体" w:hAnsi="宋体" w:cs="宋体"/>
          <w:color w:val="auto"/>
          <w:szCs w:val="21"/>
        </w:rPr>
        <w:t>（见第五部分附件二）</w:t>
      </w:r>
    </w:p>
    <w:p>
      <w:pPr>
        <w:numPr>
          <w:ilvl w:val="0"/>
          <w:numId w:val="8"/>
        </w:numPr>
        <w:tabs>
          <w:tab w:val="left" w:pos="1260"/>
        </w:tabs>
        <w:snapToGrid w:val="0"/>
        <w:spacing w:line="360" w:lineRule="auto"/>
        <w:ind w:firstLine="216"/>
        <w:jc w:val="both"/>
        <w:rPr>
          <w:rFonts w:hint="eastAsia"/>
          <w:b/>
          <w:bCs/>
          <w:color w:val="auto"/>
        </w:rPr>
      </w:pPr>
      <w:r>
        <w:rPr>
          <w:rFonts w:hint="eastAsia" w:ascii="宋体" w:hAnsi="宋体" w:cs="宋体"/>
          <w:color w:val="auto"/>
          <w:szCs w:val="21"/>
        </w:rPr>
        <w:t>未被信用中国网站（www.creditchina.gov.cn）列入失信被执行人、重大税收违法案件当事人名单，未被中国政府采购网（www.ccgp.gov.cn）列入政府采购严重违法失信行为记录名单、未被全国企业信用信息公示系统（www.gsxt.gov.cn）列入严重违法失信企业名单。以采购代理机构在开标当日在“信用中国”（www.creditchina.gov.cn）、中国政府采购网（www.ccgp.gov.cn）、全国企业信用信息公示系统（www.gsxt.gov.cn）网页查询记录为准）。</w:t>
      </w:r>
    </w:p>
    <w:p>
      <w:pPr>
        <w:numPr>
          <w:ilvl w:val="0"/>
          <w:numId w:val="8"/>
        </w:numPr>
        <w:tabs>
          <w:tab w:val="left" w:pos="1260"/>
        </w:tabs>
        <w:snapToGrid w:val="0"/>
        <w:spacing w:line="360" w:lineRule="auto"/>
        <w:ind w:firstLine="216"/>
        <w:jc w:val="both"/>
        <w:rPr>
          <w:b/>
          <w:bCs/>
          <w:color w:val="auto"/>
        </w:rPr>
      </w:pPr>
      <w:r>
        <w:rPr>
          <w:rFonts w:hint="eastAsia" w:hAnsi="宋体" w:cs="宋体"/>
          <w:b/>
          <w:bCs/>
          <w:color w:val="auto"/>
        </w:rPr>
        <w:t>备注：以上所需的各种证书、证件、证明、执照等证明材料均须加盖供应商单位公章。</w:t>
      </w:r>
    </w:p>
    <w:p>
      <w:pPr>
        <w:pStyle w:val="242"/>
        <w:numPr>
          <w:ilvl w:val="0"/>
          <w:numId w:val="10"/>
        </w:numPr>
        <w:rPr>
          <w:rFonts w:ascii="Calibri" w:hAnsi="Calibri"/>
          <w:b/>
          <w:bCs/>
          <w:color w:val="auto"/>
        </w:rPr>
      </w:pPr>
      <w:r>
        <w:rPr>
          <w:rFonts w:hint="eastAsia" w:ascii="Calibri" w:hAnsi="Calibri"/>
          <w:b/>
          <w:bCs/>
          <w:color w:val="auto"/>
          <w:lang w:eastAsia="zh-CN"/>
        </w:rPr>
        <w:t>技术部分</w:t>
      </w:r>
    </w:p>
    <w:p>
      <w:pPr>
        <w:pStyle w:val="3"/>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（1） 法定代表人授权委托书；                                （见第五部分附件三-1）</w:t>
      </w:r>
    </w:p>
    <w:p>
      <w:pPr>
        <w:pStyle w:val="3"/>
        <w:ind w:firstLine="420" w:firstLineChars="200"/>
        <w:rPr>
          <w:rFonts w:ascii="宋体" w:hAnsi="宋体" w:eastAsia="宋体" w:cs="宋体"/>
          <w:color w:val="auto"/>
          <w:kern w:val="0"/>
          <w:sz w:val="21"/>
          <w:szCs w:val="21"/>
        </w:rPr>
      </w:pPr>
      <w:r>
        <w:rPr>
          <w:rFonts w:hint="eastAsia" w:ascii="宋体" w:hAnsi="宋体" w:eastAsia="宋体" w:cs="宋体"/>
          <w:color w:val="auto"/>
          <w:kern w:val="0"/>
          <w:sz w:val="21"/>
          <w:szCs w:val="21"/>
        </w:rPr>
        <w:t>（2） 法定代表人身份证明；                                  （见第五部分附件三-2）</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 xml:space="preserve">（3） 磋商函；                                              </w:t>
      </w:r>
      <w:r>
        <w:rPr>
          <w:rFonts w:hint="eastAsia" w:ascii="宋体" w:hAnsi="宋体" w:cs="宋体"/>
          <w:color w:val="auto"/>
          <w:sz w:val="22"/>
        </w:rPr>
        <w:t>（</w:t>
      </w:r>
      <w:r>
        <w:rPr>
          <w:rFonts w:hint="eastAsia" w:ascii="宋体" w:hAnsi="宋体" w:cs="宋体"/>
          <w:color w:val="auto"/>
        </w:rPr>
        <w:t>见第五部分附件四</w:t>
      </w:r>
      <w:r>
        <w:rPr>
          <w:rFonts w:hint="eastAsia" w:ascii="宋体" w:hAnsi="宋体" w:cs="宋体"/>
          <w:color w:val="auto"/>
          <w:sz w:val="22"/>
        </w:rPr>
        <w:t>）</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 xml:space="preserve">（4）供应商简介；  </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（5） 少量偏离表（技术与商务部分的偏离须分别填写，均放在此处，如不填写将视为对磋商</w:t>
      </w:r>
    </w:p>
    <w:p>
      <w:pPr>
        <w:tabs>
          <w:tab w:val="left" w:pos="412"/>
          <w:tab w:val="left" w:pos="1260"/>
        </w:tabs>
        <w:snapToGrid w:val="0"/>
        <w:spacing w:line="400" w:lineRule="exact"/>
        <w:ind w:firstLine="1050" w:firstLineChars="500"/>
        <w:jc w:val="both"/>
        <w:rPr>
          <w:rFonts w:hint="eastAsia" w:ascii="宋体" w:hAnsi="宋体" w:cs="宋体"/>
          <w:color w:val="auto"/>
          <w:szCs w:val="21"/>
        </w:rPr>
      </w:pPr>
      <w:r>
        <w:rPr>
          <w:rFonts w:hint="eastAsia" w:ascii="宋体" w:hAnsi="宋体" w:cs="宋体"/>
          <w:color w:val="auto"/>
          <w:szCs w:val="21"/>
        </w:rPr>
        <w:t xml:space="preserve">文件要求无偏差）  </w:t>
      </w:r>
      <w:r>
        <w:rPr>
          <w:rFonts w:hint="eastAsia" w:ascii="宋体" w:hAnsi="宋体" w:cs="宋体"/>
          <w:color w:val="auto"/>
          <w:szCs w:val="21"/>
          <w:lang w:val="en-US" w:eastAsia="zh-CN"/>
        </w:rPr>
        <w:t xml:space="preserve">                                      </w:t>
      </w:r>
      <w:r>
        <w:rPr>
          <w:rFonts w:hint="eastAsia" w:ascii="宋体" w:hAnsi="宋体" w:cs="宋体"/>
          <w:color w:val="auto"/>
          <w:szCs w:val="21"/>
        </w:rPr>
        <w:t>（见第五部分附件五）</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（6） 磋商供应商201</w:t>
      </w:r>
      <w:r>
        <w:rPr>
          <w:rFonts w:hint="eastAsia" w:ascii="宋体" w:hAnsi="宋体" w:cs="宋体"/>
          <w:color w:val="auto"/>
          <w:szCs w:val="21"/>
          <w:lang w:val="en-US" w:eastAsia="zh-CN"/>
        </w:rPr>
        <w:t>8</w:t>
      </w:r>
      <w:r>
        <w:rPr>
          <w:rFonts w:hint="eastAsia" w:ascii="宋体" w:hAnsi="宋体" w:cs="宋体"/>
          <w:color w:val="auto"/>
          <w:szCs w:val="21"/>
        </w:rPr>
        <w:t>年1月1日以来类似业绩情况一览表；        （见第五部分附件六）</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 xml:space="preserve">（7）拟详细产品供货清单；                                    </w:t>
      </w:r>
      <w:r>
        <w:rPr>
          <w:rFonts w:hint="eastAsia" w:ascii="宋体" w:hAnsi="宋体" w:cs="宋体"/>
          <w:color w:val="auto"/>
          <w:szCs w:val="21"/>
          <w:lang w:val="en-US" w:eastAsia="zh-CN"/>
        </w:rPr>
        <w:t xml:space="preserve"> </w:t>
      </w:r>
      <w:r>
        <w:rPr>
          <w:rFonts w:hint="eastAsia" w:ascii="宋体" w:hAnsi="宋体" w:cs="宋体"/>
          <w:color w:val="auto"/>
          <w:szCs w:val="21"/>
        </w:rPr>
        <w:t>（见第五部分附件七）</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（8） 技术响应表；                                              （见第五部分附件八）</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（9） 随机备品、备件、专用工具清单（如有）；                   （见第五部分附件九）</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 xml:space="preserve">（10） </w:t>
      </w:r>
      <w:r>
        <w:rPr>
          <w:rFonts w:hint="eastAsia" w:ascii="宋体" w:hAnsi="宋体" w:cs="宋体"/>
          <w:color w:val="auto"/>
          <w:szCs w:val="21"/>
          <w:lang w:val="en-US" w:eastAsia="zh-CN"/>
        </w:rPr>
        <w:t>供应商履约能力</w:t>
      </w:r>
      <w:r>
        <w:rPr>
          <w:rFonts w:hint="eastAsia" w:ascii="宋体" w:hAnsi="宋体" w:cs="宋体"/>
          <w:color w:val="auto"/>
          <w:szCs w:val="21"/>
        </w:rPr>
        <w:t>；</w:t>
      </w:r>
    </w:p>
    <w:p>
      <w:pPr>
        <w:tabs>
          <w:tab w:val="left" w:pos="412"/>
          <w:tab w:val="left" w:pos="1260"/>
        </w:tabs>
        <w:snapToGrid w:val="0"/>
        <w:spacing w:line="400" w:lineRule="exact"/>
        <w:ind w:firstLine="420" w:firstLineChars="200"/>
        <w:jc w:val="both"/>
        <w:rPr>
          <w:rFonts w:ascii="宋体" w:hAnsi="宋体" w:cs="宋体"/>
          <w:color w:val="auto"/>
          <w:szCs w:val="21"/>
        </w:rPr>
      </w:pPr>
      <w:r>
        <w:rPr>
          <w:rFonts w:hint="eastAsia" w:ascii="宋体" w:hAnsi="宋体" w:cs="宋体"/>
          <w:color w:val="auto"/>
          <w:szCs w:val="21"/>
        </w:rPr>
        <w:t xml:space="preserve">（11） </w:t>
      </w:r>
      <w:r>
        <w:rPr>
          <w:rFonts w:hint="eastAsia" w:ascii="宋体" w:hAnsi="宋体" w:cs="宋体"/>
          <w:color w:val="auto"/>
          <w:szCs w:val="21"/>
          <w:lang w:val="en-US" w:eastAsia="zh-CN"/>
        </w:rPr>
        <w:t>节能、环保产品</w:t>
      </w:r>
      <w:r>
        <w:rPr>
          <w:rFonts w:hint="eastAsia" w:ascii="宋体" w:hAnsi="宋体" w:cs="宋体"/>
          <w:color w:val="auto"/>
          <w:szCs w:val="21"/>
        </w:rPr>
        <w:t>；</w:t>
      </w:r>
    </w:p>
    <w:p>
      <w:pPr>
        <w:tabs>
          <w:tab w:val="left" w:pos="412"/>
          <w:tab w:val="left" w:pos="1260"/>
        </w:tabs>
        <w:snapToGrid w:val="0"/>
        <w:spacing w:line="400" w:lineRule="exact"/>
        <w:ind w:firstLine="420" w:firstLineChars="200"/>
        <w:jc w:val="both"/>
        <w:rPr>
          <w:rFonts w:hint="eastAsia" w:ascii="宋体" w:hAnsi="宋体" w:cs="宋体"/>
          <w:color w:val="auto"/>
          <w:szCs w:val="21"/>
        </w:rPr>
      </w:pPr>
      <w:r>
        <w:rPr>
          <w:rFonts w:hint="eastAsia" w:ascii="宋体" w:hAnsi="宋体" w:cs="宋体"/>
          <w:color w:val="auto"/>
          <w:szCs w:val="21"/>
        </w:rPr>
        <w:t>（12）</w:t>
      </w:r>
      <w:r>
        <w:rPr>
          <w:rFonts w:hint="eastAsia" w:ascii="宋体" w:hAnsi="宋体" w:cs="宋体"/>
          <w:color w:val="auto"/>
          <w:szCs w:val="21"/>
          <w:lang w:val="en-US" w:eastAsia="zh-CN"/>
        </w:rPr>
        <w:t>项目技术人员情况</w:t>
      </w:r>
      <w:r>
        <w:rPr>
          <w:rFonts w:hint="eastAsia" w:ascii="宋体" w:hAnsi="宋体" w:cs="宋体"/>
          <w:color w:val="auto"/>
          <w:szCs w:val="21"/>
        </w:rPr>
        <w:t xml:space="preserve">； </w:t>
      </w:r>
    </w:p>
    <w:p>
      <w:pPr>
        <w:tabs>
          <w:tab w:val="left" w:pos="412"/>
          <w:tab w:val="left" w:pos="1260"/>
        </w:tabs>
        <w:snapToGrid w:val="0"/>
        <w:spacing w:line="400" w:lineRule="exact"/>
        <w:ind w:firstLine="420" w:firstLineChars="200"/>
        <w:jc w:val="both"/>
        <w:rPr>
          <w:rFonts w:hint="eastAsia" w:ascii="宋体" w:hAnsi="宋体" w:cs="宋体"/>
          <w:color w:val="auto"/>
          <w:szCs w:val="21"/>
          <w:lang w:val="en-US" w:eastAsia="zh-CN"/>
        </w:rPr>
      </w:pPr>
      <w:r>
        <w:rPr>
          <w:rFonts w:hint="eastAsia" w:ascii="宋体" w:hAnsi="宋体" w:cs="宋体"/>
          <w:color w:val="auto"/>
          <w:szCs w:val="21"/>
          <w:lang w:val="en-US" w:eastAsia="zh-CN"/>
        </w:rPr>
        <w:t>（13）产品性能参数提供第三方出具的监测报告或者其他有效证明材料</w:t>
      </w:r>
    </w:p>
    <w:p>
      <w:pPr>
        <w:tabs>
          <w:tab w:val="left" w:pos="412"/>
          <w:tab w:val="left" w:pos="1260"/>
        </w:tabs>
        <w:snapToGrid w:val="0"/>
        <w:spacing w:line="400" w:lineRule="exact"/>
        <w:ind w:firstLine="420" w:firstLineChars="200"/>
        <w:jc w:val="both"/>
        <w:rPr>
          <w:rFonts w:hint="eastAsia" w:ascii="宋体" w:hAnsi="宋体" w:cs="宋体"/>
          <w:color w:val="auto"/>
          <w:szCs w:val="21"/>
          <w:lang w:val="en-US" w:eastAsia="zh-CN"/>
        </w:rPr>
      </w:pPr>
      <w:r>
        <w:rPr>
          <w:rFonts w:hint="eastAsia" w:ascii="宋体" w:hAnsi="宋体" w:cs="宋体"/>
          <w:color w:val="auto"/>
          <w:szCs w:val="21"/>
          <w:lang w:val="en-US" w:eastAsia="zh-CN"/>
        </w:rPr>
        <w:t>（14）</w:t>
      </w:r>
      <w:r>
        <w:rPr>
          <w:rFonts w:hint="eastAsia" w:ascii="宋体" w:hAnsi="宋体" w:cs="宋体"/>
          <w:color w:val="auto"/>
          <w:szCs w:val="21"/>
        </w:rPr>
        <w:t>磋商</w:t>
      </w:r>
      <w:r>
        <w:rPr>
          <w:rFonts w:hint="eastAsia" w:ascii="宋体" w:hAnsi="宋体" w:cs="宋体"/>
          <w:color w:val="auto"/>
          <w:szCs w:val="21"/>
          <w:lang w:val="en-US" w:eastAsia="zh-CN"/>
        </w:rPr>
        <w:t>合理化建议和改性措施</w:t>
      </w:r>
    </w:p>
    <w:p>
      <w:pPr>
        <w:tabs>
          <w:tab w:val="left" w:pos="412"/>
          <w:tab w:val="left" w:pos="1260"/>
        </w:tabs>
        <w:snapToGrid w:val="0"/>
        <w:spacing w:line="400" w:lineRule="exact"/>
        <w:ind w:firstLine="420" w:firstLineChars="200"/>
        <w:jc w:val="both"/>
        <w:rPr>
          <w:rFonts w:hint="eastAsia" w:ascii="宋体" w:hAnsi="宋体" w:cs="宋体"/>
          <w:color w:val="auto"/>
          <w:szCs w:val="21"/>
          <w:lang w:val="en-US" w:eastAsia="zh-CN"/>
        </w:rPr>
      </w:pPr>
      <w:r>
        <w:rPr>
          <w:rFonts w:hint="eastAsia" w:ascii="宋体" w:hAnsi="宋体" w:cs="宋体"/>
          <w:color w:val="auto"/>
          <w:szCs w:val="21"/>
          <w:lang w:val="en-US" w:eastAsia="zh-CN"/>
        </w:rPr>
        <w:t>（15）技术服务、培训</w:t>
      </w:r>
    </w:p>
    <w:p>
      <w:pPr>
        <w:tabs>
          <w:tab w:val="left" w:pos="412"/>
          <w:tab w:val="left" w:pos="1260"/>
        </w:tabs>
        <w:snapToGrid w:val="0"/>
        <w:spacing w:line="400" w:lineRule="exact"/>
        <w:ind w:firstLine="420" w:firstLineChars="200"/>
        <w:jc w:val="both"/>
        <w:rPr>
          <w:rFonts w:hint="eastAsia" w:ascii="宋体" w:hAnsi="宋体" w:cs="宋体"/>
          <w:color w:val="auto"/>
          <w:szCs w:val="21"/>
          <w:lang w:val="en-US" w:eastAsia="zh-CN"/>
        </w:rPr>
      </w:pPr>
      <w:r>
        <w:rPr>
          <w:rFonts w:hint="eastAsia" w:ascii="宋体" w:hAnsi="宋体" w:cs="宋体"/>
          <w:color w:val="auto"/>
          <w:szCs w:val="21"/>
          <w:lang w:val="en-US" w:eastAsia="zh-CN"/>
        </w:rPr>
        <w:t>（16）应对突发事情的响应及处理方案</w:t>
      </w:r>
    </w:p>
    <w:p>
      <w:pPr>
        <w:tabs>
          <w:tab w:val="left" w:pos="412"/>
          <w:tab w:val="left" w:pos="1260"/>
        </w:tabs>
        <w:snapToGrid w:val="0"/>
        <w:spacing w:line="400" w:lineRule="exact"/>
        <w:ind w:firstLine="420" w:firstLineChars="200"/>
        <w:jc w:val="both"/>
        <w:rPr>
          <w:rFonts w:hint="eastAsia" w:ascii="宋体" w:hAnsi="宋体" w:cs="宋体"/>
          <w:color w:val="auto"/>
          <w:szCs w:val="21"/>
          <w:lang w:val="en-US" w:eastAsia="zh-CN"/>
        </w:rPr>
      </w:pPr>
      <w:r>
        <w:rPr>
          <w:rFonts w:hint="eastAsia" w:ascii="宋体" w:hAnsi="宋体" w:cs="宋体"/>
          <w:color w:val="auto"/>
          <w:szCs w:val="21"/>
          <w:lang w:val="en-US" w:eastAsia="zh-CN"/>
        </w:rPr>
        <w:t>（17）项目实施方案</w:t>
      </w:r>
    </w:p>
    <w:p>
      <w:pPr>
        <w:tabs>
          <w:tab w:val="left" w:pos="412"/>
          <w:tab w:val="left" w:pos="1260"/>
        </w:tabs>
        <w:snapToGrid w:val="0"/>
        <w:spacing w:line="400" w:lineRule="exact"/>
        <w:ind w:firstLine="420" w:firstLineChars="200"/>
        <w:jc w:val="both"/>
        <w:rPr>
          <w:rFonts w:hint="default" w:ascii="宋体" w:hAnsi="宋体" w:cs="宋体"/>
          <w:color w:val="auto"/>
          <w:szCs w:val="21"/>
          <w:lang w:val="en-US" w:eastAsia="zh-CN"/>
        </w:rPr>
      </w:pPr>
      <w:r>
        <w:rPr>
          <w:rFonts w:hint="eastAsia" w:ascii="宋体" w:hAnsi="宋体" w:cs="宋体"/>
          <w:color w:val="auto"/>
          <w:szCs w:val="21"/>
          <w:lang w:val="en-US" w:eastAsia="zh-CN"/>
        </w:rPr>
        <w:t>（18）售后服务</w:t>
      </w:r>
    </w:p>
    <w:p>
      <w:pPr>
        <w:tabs>
          <w:tab w:val="left" w:pos="412"/>
          <w:tab w:val="left" w:pos="1260"/>
        </w:tabs>
        <w:snapToGrid w:val="0"/>
        <w:spacing w:line="400" w:lineRule="exact"/>
        <w:ind w:firstLine="420" w:firstLineChars="200"/>
        <w:jc w:val="both"/>
        <w:rPr>
          <w:rFonts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9</w:t>
      </w:r>
      <w:r>
        <w:rPr>
          <w:rFonts w:hint="eastAsia" w:ascii="宋体" w:hAnsi="宋体" w:cs="宋体"/>
          <w:color w:val="auto"/>
          <w:szCs w:val="21"/>
        </w:rPr>
        <w:t>）供应商认为需要提供的其它文件和资料。</w:t>
      </w:r>
    </w:p>
    <w:p>
      <w:pPr>
        <w:pStyle w:val="242"/>
        <w:rPr>
          <w:rFonts w:ascii="Calibri" w:hAnsi="Calibri"/>
          <w:b/>
          <w:bCs/>
          <w:color w:val="auto"/>
        </w:rPr>
      </w:pPr>
      <w:r>
        <w:rPr>
          <w:rFonts w:hint="eastAsia" w:ascii="Calibri" w:hAnsi="Calibri"/>
          <w:b/>
          <w:bCs/>
          <w:color w:val="auto"/>
        </w:rPr>
        <w:t>三、报价部分</w:t>
      </w:r>
    </w:p>
    <w:p>
      <w:pPr>
        <w:numPr>
          <w:ilvl w:val="0"/>
          <w:numId w:val="11"/>
        </w:numPr>
        <w:tabs>
          <w:tab w:val="left" w:pos="1260"/>
        </w:tabs>
        <w:snapToGrid w:val="0"/>
        <w:spacing w:line="400" w:lineRule="exact"/>
        <w:ind w:left="1066" w:leftChars="200" w:hanging="646" w:hangingChars="308"/>
        <w:jc w:val="both"/>
        <w:rPr>
          <w:rFonts w:ascii="宋体" w:hAnsi="宋体" w:cs="宋体"/>
          <w:color w:val="auto"/>
          <w:szCs w:val="21"/>
        </w:rPr>
      </w:pPr>
      <w:r>
        <w:rPr>
          <w:rFonts w:hint="eastAsia" w:ascii="宋体" w:hAnsi="宋体" w:cs="宋体"/>
          <w:color w:val="auto"/>
          <w:szCs w:val="21"/>
        </w:rPr>
        <w:t xml:space="preserve"> 报价一览表；                                      （见第五部分附件十）</w:t>
      </w:r>
    </w:p>
    <w:p>
      <w:pPr>
        <w:numPr>
          <w:ilvl w:val="0"/>
          <w:numId w:val="11"/>
        </w:numPr>
        <w:tabs>
          <w:tab w:val="left" w:pos="1260"/>
        </w:tabs>
        <w:snapToGrid w:val="0"/>
        <w:spacing w:line="400" w:lineRule="exact"/>
        <w:ind w:left="1066" w:leftChars="200" w:hanging="646" w:hangingChars="308"/>
        <w:jc w:val="both"/>
        <w:rPr>
          <w:rFonts w:ascii="宋体" w:hAnsi="宋体" w:cs="宋体"/>
          <w:color w:val="auto"/>
          <w:szCs w:val="21"/>
        </w:rPr>
      </w:pPr>
      <w:r>
        <w:rPr>
          <w:rFonts w:hint="eastAsia" w:ascii="宋体" w:hAnsi="宋体" w:cs="宋体"/>
          <w:color w:val="auto"/>
          <w:szCs w:val="21"/>
        </w:rPr>
        <w:t xml:space="preserve"> 报价明细表                                        （见第五部分附件十一）</w:t>
      </w:r>
    </w:p>
    <w:p>
      <w:pPr>
        <w:numPr>
          <w:ilvl w:val="0"/>
          <w:numId w:val="11"/>
        </w:numPr>
        <w:tabs>
          <w:tab w:val="left" w:pos="1260"/>
        </w:tabs>
        <w:snapToGrid w:val="0"/>
        <w:spacing w:line="400" w:lineRule="exact"/>
        <w:ind w:left="1066" w:leftChars="200" w:hanging="646" w:hangingChars="308"/>
        <w:jc w:val="both"/>
        <w:rPr>
          <w:rFonts w:ascii="宋体" w:hAnsi="宋体" w:cs="宋体"/>
          <w:color w:val="auto"/>
          <w:szCs w:val="21"/>
        </w:rPr>
      </w:pPr>
      <w:r>
        <w:rPr>
          <w:rFonts w:hint="eastAsia" w:ascii="宋体" w:hAnsi="宋体" w:cs="宋体"/>
          <w:color w:val="auto"/>
          <w:szCs w:val="21"/>
        </w:rPr>
        <w:t xml:space="preserve"> 中小企业声明函；                                       （见第五部分附件十二）</w:t>
      </w:r>
    </w:p>
    <w:p>
      <w:pPr>
        <w:numPr>
          <w:ilvl w:val="0"/>
          <w:numId w:val="11"/>
        </w:numPr>
        <w:tabs>
          <w:tab w:val="left" w:pos="1260"/>
        </w:tabs>
        <w:snapToGrid w:val="0"/>
        <w:spacing w:line="400" w:lineRule="exact"/>
        <w:ind w:left="1066" w:leftChars="200" w:hanging="646" w:hangingChars="308"/>
        <w:jc w:val="both"/>
        <w:rPr>
          <w:rFonts w:ascii="宋体" w:hAnsi="宋体" w:cs="宋体"/>
          <w:color w:val="auto"/>
          <w:szCs w:val="21"/>
        </w:rPr>
      </w:pPr>
      <w:r>
        <w:rPr>
          <w:rFonts w:hint="eastAsia" w:ascii="宋体" w:hAnsi="宋体" w:cs="宋体"/>
          <w:color w:val="auto"/>
          <w:szCs w:val="21"/>
        </w:rPr>
        <w:t xml:space="preserve"> 残疾人福利性单位声明函；（残疾人福利性单位投标时适用） （见第五部分附件十三）</w:t>
      </w:r>
    </w:p>
    <w:p>
      <w:pPr>
        <w:numPr>
          <w:ilvl w:val="0"/>
          <w:numId w:val="11"/>
        </w:numPr>
        <w:tabs>
          <w:tab w:val="left" w:pos="1260"/>
        </w:tabs>
        <w:snapToGrid w:val="0"/>
        <w:spacing w:line="400" w:lineRule="exact"/>
        <w:ind w:left="1066" w:leftChars="200" w:hanging="646" w:hangingChars="308"/>
        <w:jc w:val="both"/>
        <w:rPr>
          <w:color w:val="auto"/>
        </w:rPr>
      </w:pPr>
      <w:r>
        <w:rPr>
          <w:rFonts w:hint="eastAsia" w:ascii="宋体" w:hAnsi="宋体" w:cs="宋体"/>
          <w:color w:val="auto"/>
          <w:szCs w:val="21"/>
        </w:rPr>
        <w:t xml:space="preserve"> 省级以上监狱管理局、戒毒管理局（含新疆生产建设兵团）出具的属于监狱企业的证明文件；（监狱企业投标时适用）。</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磋商响应格式填写说明</w:t>
      </w:r>
    </w:p>
    <w:p>
      <w:pPr>
        <w:numPr>
          <w:ilvl w:val="1"/>
          <w:numId w:val="7"/>
        </w:numPr>
        <w:tabs>
          <w:tab w:val="left" w:pos="851"/>
        </w:tabs>
        <w:snapToGrid w:val="0"/>
        <w:spacing w:line="420" w:lineRule="exact"/>
        <w:jc w:val="both"/>
        <w:rPr>
          <w:rFonts w:ascii="宋体" w:hAnsi="宋体" w:cs="宋体"/>
          <w:b/>
          <w:bCs/>
          <w:color w:val="auto"/>
          <w:szCs w:val="21"/>
        </w:rPr>
      </w:pPr>
      <w:r>
        <w:rPr>
          <w:rFonts w:hint="eastAsia" w:ascii="宋体" w:hAnsi="宋体" w:cs="宋体"/>
          <w:b/>
          <w:bCs/>
          <w:color w:val="auto"/>
          <w:szCs w:val="21"/>
        </w:rPr>
        <w:t>磋商供应商应在认真阅读磋商文件所有内容的基础上，按照磋商文件中规定的格式和顺序编制电子加密响应文件并进行关联定位，混乱的编排或关联导致磋商响应文件被误读或磋商小组查找不到有效文件是磋商供应商的风险。</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磋商供应商必须保证磋商响应文件所提供的全部资料真实可靠，并接受采购人对其中任何资料进一步审查的要求。提供虚假证明的磋商供应商将被取消政府采购供应商资格，并在政府采购宣传媒体上予以公告。</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磋商有效期</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▲提交磋商响应文件截止日起60日历天，磋商响应文件应保持有效。磋商有效期比规定期限短的将被视为非响应磋商而予以否决。</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磋商报价</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磋商供应商提供的服务（货物）价格应该用人民币表示。磋商报价应包括完成服务所需的一切费用</w:t>
      </w:r>
      <w:r>
        <w:rPr>
          <w:rFonts w:hint="eastAsia" w:ascii="宋体" w:hAnsi="宋体"/>
          <w:color w:val="auto"/>
          <w:szCs w:val="21"/>
        </w:rPr>
        <w:t>。</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根据本次竞争性磋商采购工作要求，最后只允许有一个磋商报价，磋商供应商应在各自技术和商务占优势的基础上并充分考虑本项目的重要性，在磋商结束后提供给采购机构及采购人最优惠的磋商价格。各供应商提供的磋商响应文件如已完全响应本磋商文件技术和服务要求的，经采购人和磋商小组认定后，不再组织逐一磋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最后一轮报价时，其报价明细表中各项报价需另行明确，否则各项报价均按比例调整。每一轮报价需在规定时间内提交，否则视为放弃该轮报价，以上一轮报价为准。</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磋商响应文件的式样和签署</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供应商准备“电子加密响应文件”在线上传递交一份。供应商应按政采云平台供应商项目采购-电子招投标操作指南及本磋商文件要求制作。“备份响应文件”：磋商截止时间前以压缩文件形式加密发送至采购代理机构邮箱，并在接到在线解密通知后30分钟内发送压缩文件密码至采购代理机构邮箱（邮箱号码：</w:t>
      </w:r>
      <w:r>
        <w:rPr>
          <w:rFonts w:hint="eastAsia" w:ascii="宋体" w:hAnsi="宋体" w:cs="宋体"/>
          <w:color w:val="auto"/>
          <w:szCs w:val="21"/>
          <w:lang w:eastAsia="zh-CN"/>
        </w:rPr>
        <w:t>2397491806</w:t>
      </w:r>
      <w:r>
        <w:rPr>
          <w:rFonts w:hint="eastAsia" w:ascii="宋体" w:hAnsi="宋体" w:cs="宋体"/>
          <w:color w:val="auto"/>
          <w:szCs w:val="21"/>
        </w:rPr>
        <w:t>@qq.com）。</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《响应文件》的签章：电子签章，其中法定代表人和授权代表签字或盖章可书面签字或盖章后扫描至电子响应文件中上传。</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响应文件不得涂改和增删，如有修改错漏处，必须由同一签署人签字或盖章。</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响应文件因字迹潦草或表达不清所引起的后果由供应商负责。</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知识产权</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供应商应保证，采购人在中华人民共和国使用货物和服务的任何一部分时，免受第三方提出侵犯其专利权、商标权或其它知识产权的起诉。</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磋商供应商应对采购人在使用该产品时所涉及到的专利权负责，不损害采购人的利益。</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报价应包括所有应支付的对专利权和版权、设计或其他知识产权而需要向其他方支付的版税。</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串通行为认定：</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 xml:space="preserve">不同磋商供应商的磋商响应文件由同一单位或人员编制的； </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不同供应商委托同一单位或人员办理投标事宜的；</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 xml:space="preserve">不同磋商供应商的磋商响应文件中的内容出现非正常的一致，或者报价细目呈明显规律性变化，或在完全可比的情况下投标总价均高于市场平均价的； </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 xml:space="preserve">不同磋商供应商的授权代表为同一单位的工作人员的； </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不同磋商供应商的磋商响应文件相互混装，或在一个磋商供应商的磋商响应文件内遗留有其他磋商供应商的签名、盖章等不属于本磋商供应商参加政府采购必需的信息资料的；</w:t>
      </w:r>
    </w:p>
    <w:p>
      <w:pPr>
        <w:numPr>
          <w:ilvl w:val="0"/>
          <w:numId w:val="12"/>
        </w:numPr>
        <w:snapToGrid w:val="0"/>
        <w:spacing w:line="400" w:lineRule="exact"/>
        <w:ind w:left="993" w:hanging="567"/>
        <w:jc w:val="both"/>
        <w:rPr>
          <w:rFonts w:ascii="宋体" w:hAnsi="宋体" w:cs="宋体"/>
          <w:color w:val="auto"/>
        </w:rPr>
      </w:pPr>
      <w:r>
        <w:rPr>
          <w:rFonts w:hint="eastAsia" w:ascii="宋体" w:hAnsi="宋体" w:cs="宋体"/>
          <w:color w:val="auto"/>
        </w:rPr>
        <w:t xml:space="preserve">采购响应截止时间后，采购组织单位协助磋商供应商撤换或更改磋商响应文件的； </w:t>
      </w:r>
    </w:p>
    <w:p>
      <w:pPr>
        <w:numPr>
          <w:ilvl w:val="0"/>
          <w:numId w:val="12"/>
        </w:numPr>
        <w:snapToGrid w:val="0"/>
        <w:spacing w:line="400" w:lineRule="exact"/>
        <w:ind w:hanging="578"/>
        <w:jc w:val="both"/>
        <w:rPr>
          <w:rFonts w:ascii="宋体" w:hAnsi="宋体" w:cs="宋体"/>
          <w:color w:val="auto"/>
        </w:rPr>
      </w:pPr>
      <w:r>
        <w:rPr>
          <w:rFonts w:hint="eastAsia" w:ascii="宋体" w:hAnsi="宋体" w:cs="宋体"/>
          <w:color w:val="auto"/>
          <w:spacing w:val="-2"/>
        </w:rPr>
        <w:t>采购组织单位泄露有意向参加政府采购的磋商供应商名称、数量等应当保密的事项的</w:t>
      </w:r>
      <w:r>
        <w:rPr>
          <w:rFonts w:hint="eastAsia" w:ascii="宋体" w:hAnsi="宋体" w:cs="宋体"/>
          <w:color w:val="auto"/>
        </w:rPr>
        <w:t>；</w:t>
      </w:r>
    </w:p>
    <w:p>
      <w:pPr>
        <w:numPr>
          <w:ilvl w:val="0"/>
          <w:numId w:val="12"/>
        </w:numPr>
        <w:snapToGrid w:val="0"/>
        <w:spacing w:line="400" w:lineRule="exact"/>
        <w:ind w:hanging="578"/>
        <w:jc w:val="both"/>
        <w:rPr>
          <w:rFonts w:ascii="宋体" w:hAnsi="宋体" w:cs="宋体"/>
          <w:color w:val="auto"/>
          <w:spacing w:val="-4"/>
        </w:rPr>
      </w:pPr>
      <w:r>
        <w:rPr>
          <w:rFonts w:hint="eastAsia" w:ascii="宋体" w:hAnsi="宋体" w:cs="宋体"/>
          <w:color w:val="auto"/>
          <w:spacing w:val="-4"/>
        </w:rPr>
        <w:t>不同磋商供应商之间私下达成书面或口头协议，指定一家磋商供应商成交或轮流成交的；</w:t>
      </w:r>
    </w:p>
    <w:p>
      <w:pPr>
        <w:numPr>
          <w:ilvl w:val="0"/>
          <w:numId w:val="12"/>
        </w:numPr>
        <w:snapToGrid w:val="0"/>
        <w:spacing w:line="400" w:lineRule="exact"/>
        <w:ind w:hanging="578"/>
        <w:jc w:val="both"/>
        <w:rPr>
          <w:rFonts w:ascii="宋体" w:hAnsi="宋体" w:cs="宋体"/>
          <w:color w:val="auto"/>
        </w:rPr>
      </w:pPr>
      <w:r>
        <w:rPr>
          <w:rFonts w:hint="eastAsia" w:ascii="宋体" w:hAnsi="宋体" w:cs="宋体"/>
          <w:color w:val="auto"/>
        </w:rPr>
        <w:t>法律、法规或规章规定的其他串通行为。</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出现以下情形，中止电子交易活动：</w:t>
      </w:r>
    </w:p>
    <w:p>
      <w:pPr>
        <w:numPr>
          <w:ilvl w:val="0"/>
          <w:numId w:val="13"/>
        </w:numPr>
        <w:snapToGrid w:val="0"/>
        <w:spacing w:line="400" w:lineRule="exact"/>
        <w:ind w:left="420" w:leftChars="200"/>
        <w:jc w:val="both"/>
        <w:rPr>
          <w:rFonts w:ascii="宋体" w:hAnsi="宋体" w:cs="宋体"/>
          <w:color w:val="auto"/>
          <w:szCs w:val="22"/>
        </w:rPr>
      </w:pPr>
      <w:r>
        <w:rPr>
          <w:rFonts w:hint="eastAsia" w:ascii="宋体" w:hAnsi="宋体" w:cs="宋体"/>
          <w:color w:val="auto"/>
          <w:szCs w:val="22"/>
        </w:rPr>
        <w:t>电子交易平台发生故障而无法登录访问的；</w:t>
      </w:r>
    </w:p>
    <w:p>
      <w:pPr>
        <w:numPr>
          <w:ilvl w:val="0"/>
          <w:numId w:val="13"/>
        </w:numPr>
        <w:snapToGrid w:val="0"/>
        <w:spacing w:line="400" w:lineRule="exact"/>
        <w:ind w:left="420" w:leftChars="200"/>
        <w:jc w:val="both"/>
        <w:rPr>
          <w:rFonts w:ascii="宋体" w:hAnsi="宋体" w:cs="宋体"/>
          <w:color w:val="auto"/>
          <w:szCs w:val="22"/>
        </w:rPr>
      </w:pPr>
      <w:r>
        <w:rPr>
          <w:rFonts w:hint="eastAsia" w:ascii="宋体" w:hAnsi="宋体" w:cs="宋体"/>
          <w:color w:val="auto"/>
          <w:szCs w:val="22"/>
        </w:rPr>
        <w:t>电子交易平台应用或数据库出现错误，不能进行正常操作的；</w:t>
      </w:r>
    </w:p>
    <w:p>
      <w:pPr>
        <w:numPr>
          <w:ilvl w:val="0"/>
          <w:numId w:val="13"/>
        </w:numPr>
        <w:snapToGrid w:val="0"/>
        <w:spacing w:line="400" w:lineRule="exact"/>
        <w:ind w:left="420" w:leftChars="200"/>
        <w:jc w:val="both"/>
        <w:rPr>
          <w:rFonts w:ascii="宋体" w:hAnsi="宋体" w:cs="宋体"/>
          <w:color w:val="auto"/>
          <w:szCs w:val="22"/>
        </w:rPr>
      </w:pPr>
      <w:r>
        <w:rPr>
          <w:rFonts w:hint="eastAsia" w:ascii="宋体" w:hAnsi="宋体" w:cs="宋体"/>
          <w:color w:val="auto"/>
          <w:szCs w:val="22"/>
        </w:rPr>
        <w:t>电子交易平台发现严重安全漏洞，有潜在泄密危险的；</w:t>
      </w:r>
    </w:p>
    <w:p>
      <w:pPr>
        <w:numPr>
          <w:ilvl w:val="0"/>
          <w:numId w:val="13"/>
        </w:numPr>
        <w:snapToGrid w:val="0"/>
        <w:spacing w:line="400" w:lineRule="exact"/>
        <w:ind w:left="420" w:leftChars="200"/>
        <w:jc w:val="both"/>
        <w:rPr>
          <w:rFonts w:ascii="宋体" w:hAnsi="宋体" w:cs="宋体"/>
          <w:color w:val="auto"/>
          <w:szCs w:val="22"/>
        </w:rPr>
      </w:pPr>
      <w:r>
        <w:rPr>
          <w:rFonts w:hint="eastAsia" w:ascii="宋体" w:hAnsi="宋体" w:cs="宋体"/>
          <w:color w:val="auto"/>
          <w:szCs w:val="22"/>
        </w:rPr>
        <w:t>病毒发作导致不能进行正常操作的；</w:t>
      </w:r>
    </w:p>
    <w:p>
      <w:pPr>
        <w:numPr>
          <w:ilvl w:val="0"/>
          <w:numId w:val="13"/>
        </w:numPr>
        <w:snapToGrid w:val="0"/>
        <w:spacing w:line="400" w:lineRule="exact"/>
        <w:ind w:left="420" w:leftChars="200"/>
        <w:jc w:val="both"/>
        <w:rPr>
          <w:rFonts w:ascii="宋体" w:hAnsi="宋体" w:cs="宋体"/>
          <w:color w:val="auto"/>
          <w:szCs w:val="22"/>
        </w:rPr>
      </w:pPr>
      <w:r>
        <w:rPr>
          <w:rFonts w:hint="eastAsia" w:ascii="宋体" w:hAnsi="宋体" w:cs="宋体"/>
          <w:color w:val="auto"/>
          <w:szCs w:val="22"/>
        </w:rPr>
        <w:t>其他无法保证电子交易的公平、公正和安全的情况。</w:t>
      </w:r>
    </w:p>
    <w:p>
      <w:pPr>
        <w:snapToGrid w:val="0"/>
        <w:spacing w:line="420" w:lineRule="exact"/>
        <w:ind w:left="838" w:leftChars="399" w:firstLine="17" w:firstLineChars="8"/>
        <w:jc w:val="both"/>
        <w:rPr>
          <w:rFonts w:ascii="宋体" w:hAnsi="宋体" w:cs="宋体"/>
          <w:b/>
          <w:bCs/>
          <w:color w:val="auto"/>
          <w:szCs w:val="21"/>
        </w:rPr>
      </w:pPr>
      <w:r>
        <w:rPr>
          <w:rFonts w:hint="eastAsia" w:ascii="宋体" w:hAnsi="宋体" w:cs="宋体"/>
          <w:b/>
          <w:bCs/>
          <w:color w:val="auto"/>
          <w:szCs w:val="21"/>
        </w:rPr>
        <w:t>出现上述情形，不影响采购公平、公正性的，采购组织机构可以待上述情形消除后继续组织电子交易活动；若影响或可能影响采购公平、公正性的，则重新采购。</w:t>
      </w:r>
    </w:p>
    <w:p>
      <w:pPr>
        <w:pStyle w:val="5"/>
        <w:spacing w:before="120" w:beforeLines="50" w:after="120" w:afterLines="50" w:line="420" w:lineRule="exact"/>
        <w:jc w:val="center"/>
        <w:rPr>
          <w:rFonts w:ascii="宋体" w:hAnsi="宋体" w:cs="宋体"/>
          <w:color w:val="auto"/>
          <w:sz w:val="24"/>
          <w:szCs w:val="24"/>
        </w:rPr>
      </w:pPr>
      <w:bookmarkStart w:id="31" w:name="_Toc19183"/>
      <w:bookmarkStart w:id="32" w:name="_Toc23672"/>
      <w:r>
        <w:rPr>
          <w:rFonts w:hint="eastAsia" w:ascii="宋体" w:hAnsi="宋体" w:cs="宋体"/>
          <w:color w:val="auto"/>
          <w:sz w:val="24"/>
          <w:szCs w:val="24"/>
        </w:rPr>
        <w:t>（五）磋商响应文件的递交</w:t>
      </w:r>
      <w:bookmarkEnd w:id="31"/>
      <w:bookmarkEnd w:id="32"/>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响应文件的修改（补充）和撤回</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磋商截止时间前可以补充、修改或撤回响应文件。补充或者修改响应文件的，应当先行撤回原文件，补充、修改后重新递交。磋商截止时间前未完成递交的，视为撤回响应文件。</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磋商截止时间后，供应商不得修改（补充）或撤回其响应文件。</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磋商截止时间</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本次采购的磋商开始时间及磋商响应文件递交截止时间：见本磋商文件“竞争性磋商公告”。供应商应当在磋商文件规定的截止时间前完成电子加密响应文件及备份响应文件的递交，截止时间后递交的响应文件，将被拒收。</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在推迟了磋商开始时间的情况下，采购代理机构、采购人和磋商供应商受制约的所有权利和义务均应延长至新的截止时间。</w:t>
      </w:r>
    </w:p>
    <w:p>
      <w:pPr>
        <w:pStyle w:val="5"/>
        <w:numPr>
          <w:ilvl w:val="0"/>
          <w:numId w:val="14"/>
        </w:numPr>
        <w:spacing w:before="0" w:after="0" w:line="400" w:lineRule="exact"/>
        <w:jc w:val="center"/>
        <w:rPr>
          <w:rFonts w:ascii="宋体" w:hAnsi="宋体" w:cs="宋体"/>
          <w:color w:val="auto"/>
          <w:sz w:val="24"/>
          <w:szCs w:val="24"/>
        </w:rPr>
      </w:pPr>
      <w:bookmarkStart w:id="33" w:name="_Toc1381"/>
      <w:bookmarkStart w:id="34" w:name="_Toc24780"/>
      <w:r>
        <w:rPr>
          <w:rFonts w:hint="eastAsia" w:ascii="宋体" w:hAnsi="宋体" w:cs="宋体"/>
          <w:color w:val="auto"/>
          <w:sz w:val="24"/>
          <w:szCs w:val="24"/>
        </w:rPr>
        <w:t>磋商与评审</w:t>
      </w:r>
      <w:bookmarkEnd w:id="33"/>
      <w:bookmarkEnd w:id="34"/>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磋商时间和地点：见本磋商文件“竞争性磋商公告”。</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供应商应当在接到解密通知后30分钟内自行完成“电子加密响应文件”的在线解密。</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开标程序</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代理机构向各供应商发出电子加密响应文件【开始解密】通知，由供应商按磋商文件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numPr>
          <w:ilvl w:val="1"/>
          <w:numId w:val="7"/>
        </w:numPr>
        <w:tabs>
          <w:tab w:val="left" w:pos="851"/>
        </w:tabs>
        <w:snapToGrid w:val="0"/>
        <w:spacing w:line="420" w:lineRule="exact"/>
        <w:jc w:val="both"/>
        <w:rPr>
          <w:rFonts w:ascii="宋体" w:hAnsi="宋体" w:cs="宋体"/>
          <w:b/>
          <w:bCs/>
          <w:color w:val="auto"/>
          <w:szCs w:val="21"/>
        </w:rPr>
      </w:pPr>
      <w:r>
        <w:rPr>
          <w:rFonts w:hint="eastAsia" w:ascii="宋体" w:hAnsi="宋体" w:cs="宋体"/>
          <w:b/>
          <w:bCs/>
          <w:color w:val="auto"/>
          <w:szCs w:val="21"/>
        </w:rPr>
        <w:t>响应文件解密结束后，各供应商签署《政府采购活动现场确认声明书》，并在15分钟内以扫描件方式发送至代理机构邮箱：</w:t>
      </w:r>
      <w:r>
        <w:rPr>
          <w:rFonts w:hint="eastAsia" w:ascii="宋体" w:hAnsi="宋体" w:cs="宋体"/>
          <w:b/>
          <w:bCs/>
          <w:color w:val="auto"/>
          <w:szCs w:val="21"/>
          <w:lang w:eastAsia="zh-CN"/>
        </w:rPr>
        <w:t>2397491806</w:t>
      </w:r>
      <w:r>
        <w:rPr>
          <w:rFonts w:hint="eastAsia" w:ascii="宋体" w:hAnsi="宋体" w:cs="宋体"/>
          <w:b/>
          <w:bCs/>
          <w:color w:val="auto"/>
          <w:szCs w:val="21"/>
        </w:rPr>
        <w:t>@qq.com；</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由磋商小组根据法律法规和磋商文件的规定，检查响应文件提供的资格证明文件是否齐全、是否满足采购文件的要求，若资格审查不符合磋商文件要求，不进入后续评审阶段。</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磋商小组对响应文件进行符合性审查，符合性审查不通过的供应商，不再进入后续评审阶段。</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磋商小组认为需要磋商的，磋商小组与各供应商在线进行磋商并确定最终方案。</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供应商按照磋商文件的变动情况和磋商小组的要求重新提交响应文件。</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磋商小组在线要求所有实质性响应供应商进行最后报价。</w:t>
      </w:r>
      <w:r>
        <w:rPr>
          <w:rFonts w:hint="eastAsia" w:ascii="宋体" w:hAnsi="宋体" w:cs="宋体"/>
          <w:color w:val="auto"/>
          <w:szCs w:val="21"/>
        </w:rPr>
        <w:tab/>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由磋商小组采用综合评分法对提交最后报价的供应商的响应文件和最后报价进行综合评分。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磋商小组根据综合评分情况，按照评审得分由高到低顺序推荐成交候选供应商。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在系统上公布评审结果。</w:t>
      </w:r>
    </w:p>
    <w:p>
      <w:pPr>
        <w:spacing w:line="400" w:lineRule="exact"/>
        <w:ind w:firstLine="843" w:firstLineChars="400"/>
        <w:rPr>
          <w:rFonts w:ascii="宋体" w:hAnsi="宋体" w:cs="宋体"/>
          <w:b/>
          <w:bCs/>
          <w:color w:val="auto"/>
          <w:szCs w:val="21"/>
        </w:rPr>
      </w:pPr>
      <w:r>
        <w:rPr>
          <w:rFonts w:hint="eastAsia" w:ascii="宋体" w:hAnsi="宋体" w:cs="宋体"/>
          <w:b/>
          <w:bCs/>
          <w:color w:val="auto"/>
          <w:szCs w:val="21"/>
        </w:rPr>
        <w:t>特别说明：政采云公司如对电子化开标及评审程序有调整的，按调整后的程序操作。</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磋商小组</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本次采购依法组建磋商小组。磋商小组由采购人的代表和有关专家共3人及以上的单数组成，其中专家的人数不得少于成员总数的三分之二。</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磋商工作程序</w:t>
      </w:r>
    </w:p>
    <w:p>
      <w:pPr>
        <w:numPr>
          <w:ilvl w:val="1"/>
          <w:numId w:val="7"/>
        </w:numPr>
        <w:tabs>
          <w:tab w:val="left" w:pos="851"/>
        </w:tabs>
        <w:snapToGrid w:val="0"/>
        <w:spacing w:line="420" w:lineRule="exact"/>
        <w:jc w:val="both"/>
        <w:rPr>
          <w:rFonts w:ascii="宋体" w:hAnsi="宋体" w:cs="宋体"/>
          <w:b/>
          <w:bCs/>
          <w:color w:val="auto"/>
          <w:szCs w:val="21"/>
        </w:rPr>
      </w:pPr>
      <w:r>
        <w:rPr>
          <w:rFonts w:hint="eastAsia" w:ascii="宋体" w:hAnsi="宋体" w:cs="宋体"/>
          <w:color w:val="auto"/>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s="宋体"/>
          <w:b/>
          <w:bCs/>
          <w:color w:val="auto"/>
          <w:szCs w:val="21"/>
        </w:rPr>
        <w:t>磋商小组将通过“政府采购云平台”在线询标的形式要求磋商供应商在规定的时间内作出必要的澄清、说明或者补正。磋商供应商的澄清、说明或者补正应当通过“政府采购云平台”在线答复形式提交，并加盖单位公章，或者由法定代表人或其授权的代表签字。</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所有成员集中与单一磋商供应商分别进行磋商。磋商的顺序，按供应商解密响应文件时间的先后顺序进行在线磋商。在磋商中，磋商的任何一方不得透露与磋商有关的其他磋商供应商的技术资料、价格和其他信息。</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在磋商过程中，磋商小组可以根据磋商文件和磋商情况实质性变动采购需求中的技术、服务要求以及合同草案条款。对磋商文件作出的实质性变动是磋商文件的有效组成部分，供应商应当按照磋商文件的变动情况和磋商小组的要求重新提交响应文件，并由其法定代表人或授权代表签字或者加盖单位公章。由授权代表签字的，应当附法定代表人授权书。供应商为自然人的，应当由本人签字并附身份证明。各供应商提供的磋商响应文件如已完全响应本磋商响应文件技术和服务要求的，经采购人和磋商小组认定后，不再组织逐一磋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磋商结束后，磋商小组要求所有实质性响应的供应商在规定时间内在线提交最后报价。最后报价是供应商响应文件的有效组成部分。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如磋商小组一致认为某个磋商供应商的报价明显不合理，有降低服务质量、不能诚信履行及不正当竞争的可能时，磋商小组有权通知磋商供应商限期进行解释。若该磋商供应商未在规定期限内做出解释，或做出的解释不合理并拒绝改变，经磋商小组取得一致意见后，可确定拒绝该报价。</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评审</w:t>
      </w:r>
    </w:p>
    <w:p>
      <w:pPr>
        <w:numPr>
          <w:ilvl w:val="1"/>
          <w:numId w:val="7"/>
        </w:numPr>
        <w:tabs>
          <w:tab w:val="left" w:pos="851"/>
        </w:tabs>
        <w:snapToGrid w:val="0"/>
        <w:spacing w:line="420" w:lineRule="exact"/>
        <w:jc w:val="both"/>
        <w:rPr>
          <w:rFonts w:ascii="宋体" w:hAnsi="宋体" w:cs="宋体"/>
          <w:color w:val="auto"/>
          <w:szCs w:val="21"/>
        </w:rPr>
      </w:pPr>
      <w:bookmarkStart w:id="35" w:name="OLE_LINK30"/>
      <w:r>
        <w:rPr>
          <w:rFonts w:hint="eastAsia" w:ascii="宋体" w:hAnsi="宋体" w:cs="宋体"/>
          <w:color w:val="auto"/>
          <w:szCs w:val="21"/>
        </w:rPr>
        <w:t>资格性检查：磋商小组根据法律法规和磋商文件的规定，检查响应文件提供的资格证明文件是否齐全、是否满足磋商文件的要求。</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符合性检查</w:t>
      </w:r>
      <w:bookmarkEnd w:id="35"/>
      <w:r>
        <w:rPr>
          <w:rFonts w:hint="eastAsia" w:ascii="宋体" w:hAnsi="宋体" w:cs="宋体"/>
          <w:color w:val="auto"/>
          <w:szCs w:val="21"/>
        </w:rPr>
        <w:t>：磋商小组对符合资格的供应商进行符合性审查，以确定是否对磋商文件的实质性要求作出响应。</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在磋商时下列情况按照无效报价处理：</w:t>
      </w:r>
    </w:p>
    <w:p>
      <w:pPr>
        <w:numPr>
          <w:ilvl w:val="0"/>
          <w:numId w:val="15"/>
        </w:numPr>
        <w:tabs>
          <w:tab w:val="left" w:pos="1260"/>
        </w:tabs>
        <w:spacing w:line="400" w:lineRule="exact"/>
        <w:ind w:left="1268" w:leftChars="303" w:hanging="632" w:hangingChars="301"/>
        <w:rPr>
          <w:rFonts w:ascii="宋体" w:hAnsi="宋体" w:cs="宋体"/>
          <w:color w:val="auto"/>
        </w:rPr>
      </w:pPr>
      <w:r>
        <w:rPr>
          <w:rFonts w:hint="eastAsia" w:ascii="宋体" w:hAnsi="宋体" w:cs="宋体"/>
          <w:color w:val="auto"/>
        </w:rPr>
        <w:t>报价不是固定价的；</w:t>
      </w:r>
    </w:p>
    <w:p>
      <w:pPr>
        <w:numPr>
          <w:ilvl w:val="0"/>
          <w:numId w:val="15"/>
        </w:numPr>
        <w:tabs>
          <w:tab w:val="left" w:pos="1260"/>
        </w:tabs>
        <w:spacing w:line="400" w:lineRule="exact"/>
        <w:ind w:left="1268" w:leftChars="303" w:hanging="632" w:hangingChars="301"/>
        <w:rPr>
          <w:rFonts w:ascii="宋体" w:hAnsi="宋体" w:cs="宋体"/>
          <w:color w:val="auto"/>
          <w:szCs w:val="22"/>
        </w:rPr>
      </w:pPr>
      <w:r>
        <w:rPr>
          <w:rFonts w:hint="eastAsia" w:ascii="宋体" w:hAnsi="宋体" w:cs="宋体"/>
          <w:color w:val="auto"/>
        </w:rPr>
        <w:t>投标报价超过最高限价的；</w:t>
      </w:r>
    </w:p>
    <w:p>
      <w:pPr>
        <w:numPr>
          <w:ilvl w:val="0"/>
          <w:numId w:val="15"/>
        </w:numPr>
        <w:tabs>
          <w:tab w:val="left" w:pos="1260"/>
        </w:tabs>
        <w:spacing w:line="400" w:lineRule="exact"/>
        <w:ind w:left="1268" w:leftChars="303" w:hanging="632" w:hangingChars="301"/>
        <w:rPr>
          <w:rFonts w:ascii="宋体" w:hAnsi="宋体" w:cs="宋体"/>
          <w:color w:val="auto"/>
        </w:rPr>
      </w:pPr>
      <w:r>
        <w:rPr>
          <w:rFonts w:hint="eastAsia" w:ascii="宋体" w:hAnsi="宋体" w:cs="宋体"/>
          <w:color w:val="auto"/>
          <w:szCs w:val="22"/>
        </w:rPr>
        <w:t>投标报价出现前后不一致，又不接受评标委员会修正的；</w:t>
      </w:r>
    </w:p>
    <w:p>
      <w:pPr>
        <w:widowControl w:val="0"/>
        <w:numPr>
          <w:ilvl w:val="0"/>
          <w:numId w:val="15"/>
        </w:numPr>
        <w:tabs>
          <w:tab w:val="left" w:pos="993"/>
          <w:tab w:val="left" w:pos="1260"/>
        </w:tabs>
        <w:spacing w:line="400" w:lineRule="exact"/>
        <w:ind w:left="1268" w:leftChars="303" w:hanging="632" w:hangingChars="301"/>
        <w:jc w:val="both"/>
        <w:rPr>
          <w:rFonts w:ascii="宋体" w:hAnsi="宋体" w:cs="宋体"/>
          <w:color w:val="auto"/>
          <w:szCs w:val="22"/>
        </w:rPr>
      </w:pPr>
      <w:r>
        <w:rPr>
          <w:rFonts w:hint="eastAsia" w:ascii="宋体" w:hAnsi="宋体" w:cs="宋体"/>
          <w:color w:val="auto"/>
          <w:szCs w:val="21"/>
        </w:rPr>
        <w:t>投标截止时间止，供应商仅递交了“备份投标文件”而未将电子加密投标文件上传至“政府采购云平台”的；</w:t>
      </w:r>
    </w:p>
    <w:p>
      <w:pPr>
        <w:numPr>
          <w:ilvl w:val="0"/>
          <w:numId w:val="15"/>
        </w:numPr>
        <w:tabs>
          <w:tab w:val="left" w:pos="1260"/>
        </w:tabs>
        <w:spacing w:line="400" w:lineRule="exact"/>
        <w:ind w:left="1268" w:leftChars="303" w:hanging="632" w:hangingChars="301"/>
        <w:rPr>
          <w:rFonts w:ascii="宋体" w:hAnsi="宋体" w:cs="宋体"/>
          <w:color w:val="auto"/>
        </w:rPr>
      </w:pPr>
      <w:r>
        <w:rPr>
          <w:rFonts w:hint="eastAsia" w:ascii="宋体" w:hAnsi="宋体" w:cs="宋体"/>
          <w:color w:val="auto"/>
        </w:rPr>
        <w:t>主要采购服务的技术不满足采购内容及技术要求以及商务有重大偏离或保留的；</w:t>
      </w:r>
    </w:p>
    <w:p>
      <w:pPr>
        <w:numPr>
          <w:ilvl w:val="0"/>
          <w:numId w:val="15"/>
        </w:numPr>
        <w:tabs>
          <w:tab w:val="left" w:pos="1260"/>
          <w:tab w:val="left" w:pos="1276"/>
        </w:tabs>
        <w:spacing w:line="400" w:lineRule="exact"/>
        <w:ind w:left="1268" w:leftChars="303" w:hanging="632" w:hangingChars="301"/>
        <w:rPr>
          <w:rFonts w:ascii="宋体" w:hAnsi="宋体" w:cs="宋体"/>
          <w:color w:val="auto"/>
        </w:rPr>
      </w:pPr>
      <w:r>
        <w:rPr>
          <w:rFonts w:hint="eastAsia" w:ascii="宋体" w:hAnsi="宋体" w:cs="宋体"/>
          <w:color w:val="auto"/>
        </w:rPr>
        <w:t>磋商小组认为磋商响应文件未实质性响应磋商文件要求的；</w:t>
      </w:r>
    </w:p>
    <w:p>
      <w:pPr>
        <w:numPr>
          <w:ilvl w:val="0"/>
          <w:numId w:val="15"/>
        </w:numPr>
        <w:tabs>
          <w:tab w:val="left" w:pos="1260"/>
          <w:tab w:val="left" w:pos="1276"/>
        </w:tabs>
        <w:spacing w:line="400" w:lineRule="exact"/>
        <w:ind w:left="1268" w:leftChars="303" w:hanging="632" w:hangingChars="301"/>
        <w:rPr>
          <w:rFonts w:ascii="宋体" w:hAnsi="宋体" w:cs="宋体"/>
          <w:color w:val="auto"/>
        </w:rPr>
      </w:pPr>
      <w:r>
        <w:rPr>
          <w:rFonts w:hint="eastAsia" w:ascii="宋体" w:hAnsi="宋体" w:cs="宋体"/>
          <w:color w:val="auto"/>
        </w:rPr>
        <w:t>不具备磋商文件中规定资格要求的；</w:t>
      </w:r>
    </w:p>
    <w:p>
      <w:pPr>
        <w:numPr>
          <w:ilvl w:val="0"/>
          <w:numId w:val="15"/>
        </w:numPr>
        <w:tabs>
          <w:tab w:val="left" w:pos="1260"/>
          <w:tab w:val="left" w:pos="1276"/>
        </w:tabs>
        <w:spacing w:line="400" w:lineRule="exact"/>
        <w:rPr>
          <w:rFonts w:ascii="宋体" w:hAnsi="宋体" w:cs="宋体"/>
          <w:color w:val="auto"/>
        </w:rPr>
      </w:pPr>
      <w:r>
        <w:rPr>
          <w:rFonts w:hint="eastAsia" w:ascii="宋体" w:hAnsi="宋体" w:cs="宋体"/>
          <w:color w:val="auto"/>
        </w:rPr>
        <w:t>未按规定提供关于符合《中华人民共和国政府采购法》第二十二条规定条件的承诺函的；</w:t>
      </w:r>
    </w:p>
    <w:p>
      <w:pPr>
        <w:numPr>
          <w:ilvl w:val="0"/>
          <w:numId w:val="15"/>
        </w:numPr>
        <w:tabs>
          <w:tab w:val="left" w:pos="1260"/>
        </w:tabs>
        <w:spacing w:line="400" w:lineRule="exact"/>
        <w:ind w:left="1268" w:leftChars="303" w:hanging="632" w:hangingChars="301"/>
        <w:rPr>
          <w:rFonts w:ascii="宋体" w:hAnsi="宋体" w:cs="宋体"/>
          <w:color w:val="auto"/>
        </w:rPr>
      </w:pPr>
      <w:r>
        <w:rPr>
          <w:rFonts w:hint="eastAsia" w:ascii="宋体" w:hAnsi="宋体" w:cs="宋体"/>
          <w:color w:val="auto"/>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cs="宋体"/>
          <w:color w:val="auto"/>
        </w:rPr>
        <w:t xml:space="preserve"> </w:t>
      </w:r>
    </w:p>
    <w:p>
      <w:pPr>
        <w:numPr>
          <w:ilvl w:val="0"/>
          <w:numId w:val="15"/>
        </w:numPr>
        <w:tabs>
          <w:tab w:val="left" w:pos="1260"/>
          <w:tab w:val="left" w:pos="1276"/>
        </w:tabs>
        <w:spacing w:line="400" w:lineRule="exact"/>
        <w:ind w:left="1268" w:leftChars="303" w:hanging="632" w:hangingChars="301"/>
        <w:rPr>
          <w:rFonts w:ascii="宋体" w:hAnsi="宋体" w:cs="宋体"/>
          <w:color w:val="auto"/>
        </w:rPr>
      </w:pPr>
      <w:r>
        <w:rPr>
          <w:rFonts w:hint="eastAsia" w:ascii="宋体" w:hAnsi="宋体" w:cs="宋体"/>
          <w:color w:val="auto"/>
        </w:rPr>
        <w:t>不是法定代表人未在磋商响应文件中提供有效法定代表人授权委托书的；</w:t>
      </w:r>
    </w:p>
    <w:p>
      <w:pPr>
        <w:numPr>
          <w:ilvl w:val="0"/>
          <w:numId w:val="15"/>
        </w:numPr>
        <w:tabs>
          <w:tab w:val="left" w:pos="1260"/>
          <w:tab w:val="left" w:pos="1276"/>
        </w:tabs>
        <w:spacing w:line="400" w:lineRule="exact"/>
        <w:ind w:left="1268" w:leftChars="303" w:hanging="632" w:hangingChars="301"/>
        <w:rPr>
          <w:rFonts w:ascii="宋体" w:hAnsi="宋体" w:cs="宋体"/>
          <w:color w:val="auto"/>
        </w:rPr>
      </w:pPr>
      <w:r>
        <w:rPr>
          <w:rFonts w:hint="eastAsia" w:ascii="宋体" w:hAnsi="宋体" w:cs="宋体"/>
          <w:color w:val="auto"/>
        </w:rPr>
        <w:t>存在不良信用记录的；</w:t>
      </w:r>
    </w:p>
    <w:p>
      <w:pPr>
        <w:numPr>
          <w:ilvl w:val="0"/>
          <w:numId w:val="15"/>
        </w:numPr>
        <w:tabs>
          <w:tab w:val="left" w:pos="1260"/>
        </w:tabs>
        <w:spacing w:line="400" w:lineRule="exact"/>
        <w:ind w:left="1268" w:leftChars="303" w:hanging="632" w:hangingChars="301"/>
        <w:rPr>
          <w:rFonts w:ascii="宋体" w:hAnsi="宋体" w:cs="宋体"/>
          <w:color w:val="auto"/>
        </w:rPr>
      </w:pPr>
      <w:r>
        <w:rPr>
          <w:rFonts w:hint="eastAsia" w:ascii="宋体" w:hAnsi="宋体" w:cs="宋体"/>
          <w:color w:val="auto"/>
        </w:rPr>
        <w:t>磋商小组认为供应商的报价明显低于其他通过符合性审查供应商的报价，有可能影响服务质量或者不能诚信履约且不能在磋商现场证明其报价合理性的；</w:t>
      </w:r>
    </w:p>
    <w:p>
      <w:pPr>
        <w:numPr>
          <w:ilvl w:val="0"/>
          <w:numId w:val="15"/>
        </w:numPr>
        <w:tabs>
          <w:tab w:val="left" w:pos="709"/>
          <w:tab w:val="left" w:pos="1260"/>
        </w:tabs>
        <w:spacing w:line="400" w:lineRule="exact"/>
        <w:ind w:left="1268" w:leftChars="303" w:hanging="632" w:hangingChars="301"/>
        <w:rPr>
          <w:rFonts w:ascii="宋体" w:hAnsi="宋体" w:cs="宋体"/>
          <w:color w:val="auto"/>
        </w:rPr>
      </w:pPr>
      <w:r>
        <w:rPr>
          <w:rFonts w:hint="eastAsia" w:ascii="宋体" w:hAnsi="宋体" w:cs="宋体"/>
          <w:color w:val="auto"/>
        </w:rPr>
        <w:t>存在串标、弄虚作假情况的；</w:t>
      </w:r>
    </w:p>
    <w:p>
      <w:pPr>
        <w:numPr>
          <w:ilvl w:val="0"/>
          <w:numId w:val="15"/>
        </w:numPr>
        <w:tabs>
          <w:tab w:val="left" w:pos="1260"/>
          <w:tab w:val="left" w:pos="1276"/>
        </w:tabs>
        <w:spacing w:line="400" w:lineRule="exact"/>
        <w:ind w:left="1268" w:leftChars="303" w:hanging="632" w:hangingChars="301"/>
        <w:rPr>
          <w:rFonts w:ascii="宋体" w:hAnsi="宋体" w:cs="宋体"/>
          <w:color w:val="auto"/>
        </w:rPr>
      </w:pPr>
      <w:r>
        <w:rPr>
          <w:rFonts w:hint="eastAsia" w:ascii="宋体" w:hAnsi="宋体" w:cs="宋体"/>
          <w:color w:val="auto"/>
        </w:rPr>
        <w:t>被列入失信被执行人、重大税收违法案件当事人名单、政府采购严重违法失信行为记录名单；</w:t>
      </w:r>
    </w:p>
    <w:p>
      <w:pPr>
        <w:numPr>
          <w:ilvl w:val="0"/>
          <w:numId w:val="15"/>
        </w:numPr>
        <w:tabs>
          <w:tab w:val="left" w:pos="851"/>
          <w:tab w:val="left" w:pos="1260"/>
        </w:tabs>
        <w:spacing w:line="400" w:lineRule="exact"/>
        <w:ind w:left="1268" w:leftChars="303" w:hanging="632" w:hangingChars="301"/>
        <w:rPr>
          <w:rFonts w:ascii="宋体" w:hAnsi="宋体" w:cs="宋体"/>
          <w:color w:val="auto"/>
        </w:rPr>
      </w:pPr>
      <w:r>
        <w:rPr>
          <w:rFonts w:hint="eastAsia" w:ascii="宋体" w:hAnsi="宋体" w:cs="宋体"/>
          <w:color w:val="auto"/>
        </w:rPr>
        <w:t>不符合法律、法规和磋商文件中规定的其他实质性要求的。</w:t>
      </w:r>
    </w:p>
    <w:p>
      <w:pPr>
        <w:numPr>
          <w:ilvl w:val="1"/>
          <w:numId w:val="7"/>
        </w:numPr>
        <w:tabs>
          <w:tab w:val="left" w:pos="851"/>
        </w:tabs>
        <w:snapToGrid w:val="0"/>
        <w:spacing w:line="420" w:lineRule="exact"/>
        <w:jc w:val="both"/>
        <w:rPr>
          <w:rFonts w:ascii="宋体" w:hAnsi="宋体" w:cs="宋体"/>
          <w:b/>
          <w:bCs/>
          <w:color w:val="auto"/>
          <w:szCs w:val="21"/>
        </w:rPr>
      </w:pPr>
      <w:r>
        <w:rPr>
          <w:rFonts w:hint="eastAsia" w:ascii="宋体" w:hAnsi="宋体" w:cs="宋体"/>
          <w:b/>
          <w:bCs/>
          <w:color w:val="auto"/>
          <w:szCs w:val="21"/>
        </w:rPr>
        <w:t>适用于货物类采购：提供相同品牌产品且通过资格审查、符合性审查的不同磋商供应商参加同一合同项下投标的，按一家磋商供应商计算，评审后得分最高的同品牌磋商供应商获得成交供应商推荐资格；评审得分相同的，按以下规定确定一个磋商供应商获得成交供应商推荐资格：评审得分相同的，按照投标报价由低到高顺序推荐；评审得分且投标报价相同的，由磋商小组按照商务技术得分由高到低顺序推荐；评审得分、投标报价及商务技术得分均相同时，以政采云响应文件解密先后顺序确定。其他同品牌磋商供应商不作为成交候选人。</w:t>
      </w:r>
    </w:p>
    <w:p>
      <w:pPr>
        <w:snapToGrid w:val="0"/>
        <w:spacing w:line="420" w:lineRule="exact"/>
        <w:ind w:left="840" w:leftChars="400"/>
        <w:jc w:val="both"/>
        <w:rPr>
          <w:rFonts w:ascii="宋体" w:hAnsi="宋体" w:cs="宋体"/>
          <w:b/>
          <w:bCs/>
          <w:color w:val="auto"/>
          <w:szCs w:val="21"/>
        </w:rPr>
      </w:pPr>
      <w:r>
        <w:rPr>
          <w:rFonts w:hint="eastAsia" w:ascii="宋体" w:hAnsi="宋体" w:cs="宋体"/>
          <w:b/>
          <w:bCs/>
          <w:color w:val="auto"/>
          <w:szCs w:val="21"/>
        </w:rPr>
        <w:t>若项目为非单一产品采购项目，采购人根据项目技术构成、产品价格比重等确定核心产品，并在磋商文件第三部分采购清单中注明。核心产品的数量确定为多个时,所有核心产品均为相同品牌才视为核心产品品牌相同。多家磋商供应商提供的核心产品品牌相同的，按上述规定处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经磋商确定最终采购需求和提交最后报价的供应商后，由磋商小组采用综合评分法对提交最后报价的供应商的响应文件和最后报价进行综合评分。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应当根据综合评分情况，按照评审得分由高到低顺序推荐成交候选供应商，并编写评审报告。评审得分相同时，按照最后报价由低到高的顺序推荐。评审得分且最后报价相同的，按照商务技术得分由高到低顺序推荐。评审得分、最后报价及商务技术得分均相同时，以政采云响应文件解密先后顺序确定。</w:t>
      </w:r>
    </w:p>
    <w:p>
      <w:pPr>
        <w:numPr>
          <w:ilvl w:val="1"/>
          <w:numId w:val="7"/>
        </w:numPr>
        <w:tabs>
          <w:tab w:val="left" w:pos="851"/>
        </w:tabs>
        <w:snapToGrid w:val="0"/>
        <w:spacing w:line="420" w:lineRule="exact"/>
        <w:jc w:val="both"/>
        <w:rPr>
          <w:rFonts w:ascii="宋体" w:hAnsi="宋体" w:cs="宋体"/>
          <w:b/>
          <w:bCs/>
          <w:color w:val="auto"/>
          <w:szCs w:val="21"/>
        </w:rPr>
      </w:pPr>
      <w:r>
        <w:rPr>
          <w:rFonts w:hint="eastAsia" w:ascii="宋体" w:hAnsi="宋体" w:cs="宋体"/>
          <w:b/>
          <w:bCs/>
          <w:color w:val="auto"/>
          <w:szCs w:val="21"/>
        </w:rPr>
        <w:t>本项目磋商供应商如涉及事业单位、分公司的，负责人等同于法定代表人（采购文件以下同）</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成交供应商的确定</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采购代理机构在成交供应商确定后2个工作日内，在 “浙江省政府采购网”（http://zfcg.czt.zj.gov.cn/）发布成交结果公告，同时向成交供应商发出成交通知书。</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评标过程保密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磋商之后，直到授予磋商供应商合同止，凡是属于审查、澄清、评价和比较磋商的有关资料以及授标意向等，均不得向磋商供应商或其他无关的人员透露。</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否决任何或所有磋商的权利</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磋商小组经评审，认为所有磋商都不符合磋商文件要求的，可以否决所有磋商。</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如果成交候选供应商不能按照磋商文件要求及其磋商响应文件的承诺签订合同或其磋商响应文件与事实不符，影响采购的公平公开及合同的实施，采购人有权在授予合同前任何时候依照法定程序将合同授予成交备选供应商。如果成交备选供应商仍无法签订合同，采购人将依法不接受或拒绝任何投标，并宣布采购无效，对受影响的磋商供应商不承担任何责任，也无义务向受影响的磋商供应商解释采取这一行动的理由。</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质疑与投诉</w:t>
      </w:r>
    </w:p>
    <w:p>
      <w:pPr>
        <w:numPr>
          <w:ilvl w:val="1"/>
          <w:numId w:val="2"/>
        </w:numPr>
        <w:snapToGrid w:val="0"/>
        <w:spacing w:line="360" w:lineRule="auto"/>
        <w:jc w:val="both"/>
        <w:rPr>
          <w:rFonts w:ascii="Arial" w:hAnsi="Arial"/>
          <w:color w:val="auto"/>
        </w:rPr>
      </w:pPr>
      <w:r>
        <w:rPr>
          <w:rFonts w:hint="eastAsia" w:ascii="Arial" w:hAnsi="Arial"/>
          <w:color w:val="auto"/>
        </w:rPr>
        <w:t>磋商供应商认为磋商文件、磋商过程和成交结果使自己的合法权益受到损害的，应当在知道或者应知其权益受到损害之日起七个工作日内，以书面形式向采购人、采购代理机构提出质疑。</w:t>
      </w:r>
      <w:r>
        <w:rPr>
          <w:rFonts w:hint="eastAsia" w:ascii="宋体" w:hAnsi="宋体"/>
          <w:color w:val="auto"/>
          <w:szCs w:val="21"/>
        </w:rPr>
        <w:t>供应商应当在法定质疑期内须一次性提出针对同一采购程序环节的质疑，否则采购代理机构有权拒绝第一次质疑以外其他所有质疑。</w:t>
      </w:r>
      <w:r>
        <w:rPr>
          <w:rFonts w:hint="eastAsia" w:ascii="Arial" w:hAnsi="Arial"/>
          <w:color w:val="auto"/>
        </w:rPr>
        <w:t>磋商供应商对采购组织单位的质疑答复不满意或者采购组织单位未在规定时间内作出答复的，可以在答复期满后十五个工作日内向同级采购监管部门投诉。</w:t>
      </w:r>
    </w:p>
    <w:p>
      <w:pPr>
        <w:pStyle w:val="242"/>
        <w:numPr>
          <w:ilvl w:val="1"/>
          <w:numId w:val="2"/>
        </w:numPr>
        <w:spacing w:line="360" w:lineRule="auto"/>
        <w:rPr>
          <w:color w:val="auto"/>
        </w:rPr>
      </w:pPr>
      <w:r>
        <w:rPr>
          <w:rFonts w:hint="eastAsia" w:ascii="Arial" w:hAnsi="Arial"/>
          <w:color w:val="auto"/>
        </w:rPr>
        <w:t>对采购公告信息（含供应商资格条件）或网上下载的磋商文件提出质疑的，质疑期限自采购公告或磋商文件发布之日起计算。对实行申请获取的磋商文件提出质疑的，质疑期限自供应商申请获取磋商文件之日起计算，且应当在采购响应截止时间之前提出，否则，被质疑人可不予接受。</w:t>
      </w:r>
    </w:p>
    <w:p>
      <w:pPr>
        <w:pStyle w:val="242"/>
        <w:numPr>
          <w:ilvl w:val="1"/>
          <w:numId w:val="2"/>
        </w:numPr>
        <w:spacing w:line="360" w:lineRule="auto"/>
        <w:rPr>
          <w:rFonts w:ascii="Arial" w:hAnsi="Arial"/>
          <w:color w:val="auto"/>
        </w:rPr>
      </w:pPr>
      <w:r>
        <w:rPr>
          <w:rFonts w:hint="eastAsia" w:ascii="Arial" w:hAnsi="Arial"/>
          <w:color w:val="auto"/>
        </w:rPr>
        <w:t>质疑、投诉应当采用书面形式，质疑书、投诉书均应明确阐述磋商文件、磋商过程和成交结果中使自己合法权益受到损害的实质性内容，提供相关事实、依据和证据及其来源或线索，便于有关单位调查、答复和处理。</w:t>
      </w:r>
    </w:p>
    <w:p>
      <w:pPr>
        <w:numPr>
          <w:ilvl w:val="0"/>
          <w:numId w:val="16"/>
        </w:numPr>
        <w:tabs>
          <w:tab w:val="left" w:pos="425"/>
          <w:tab w:val="left" w:pos="1133"/>
        </w:tabs>
        <w:spacing w:line="360" w:lineRule="auto"/>
        <w:ind w:left="1453" w:leftChars="392" w:hanging="630" w:hangingChars="300"/>
        <w:rPr>
          <w:rFonts w:ascii="Arial" w:hAnsi="Arial"/>
          <w:color w:val="auto"/>
        </w:rPr>
      </w:pPr>
      <w:r>
        <w:rPr>
          <w:rFonts w:hint="eastAsia" w:ascii="Arial" w:hAnsi="Arial"/>
          <w:color w:val="auto"/>
        </w:rPr>
        <w:t>质疑受理机构：</w:t>
      </w:r>
      <w:r>
        <w:rPr>
          <w:rFonts w:hint="eastAsia" w:ascii="Arial" w:hAnsi="Arial"/>
          <w:color w:val="auto"/>
          <w:lang w:eastAsia="zh-CN"/>
        </w:rPr>
        <w:t>浙江中格工程项目管理有限公司</w:t>
      </w:r>
    </w:p>
    <w:p>
      <w:pPr>
        <w:tabs>
          <w:tab w:val="left" w:pos="425"/>
          <w:tab w:val="left" w:pos="1133"/>
        </w:tabs>
        <w:spacing w:line="360" w:lineRule="auto"/>
        <w:ind w:left="193" w:leftChars="92" w:firstLine="1260" w:firstLineChars="600"/>
        <w:rPr>
          <w:color w:val="auto"/>
        </w:rPr>
      </w:pPr>
      <w:r>
        <w:rPr>
          <w:rFonts w:hint="eastAsia" w:ascii="Arial" w:hAnsi="Arial"/>
          <w:color w:val="auto"/>
        </w:rPr>
        <w:t>受理地址：</w:t>
      </w:r>
      <w:r>
        <w:rPr>
          <w:rFonts w:hint="eastAsia" w:ascii="Arial" w:hAnsi="Arial"/>
          <w:color w:val="auto"/>
          <w:lang w:eastAsia="zh-CN"/>
        </w:rPr>
        <w:t>浙江省温州市瑞安市经济开发区毓蒙路1339号5楼</w:t>
      </w:r>
      <w:r>
        <w:rPr>
          <w:rFonts w:hint="eastAsia"/>
          <w:color w:val="auto"/>
        </w:rPr>
        <w:t xml:space="preserve">          </w:t>
      </w:r>
    </w:p>
    <w:p>
      <w:pPr>
        <w:tabs>
          <w:tab w:val="left" w:pos="425"/>
          <w:tab w:val="left" w:pos="1133"/>
        </w:tabs>
        <w:spacing w:line="360" w:lineRule="auto"/>
        <w:ind w:left="193" w:leftChars="92" w:firstLine="1260" w:firstLineChars="600"/>
        <w:rPr>
          <w:rFonts w:hint="eastAsia" w:eastAsia="宋体"/>
          <w:color w:val="auto"/>
          <w:lang w:eastAsia="zh-CN"/>
        </w:rPr>
      </w:pPr>
      <w:r>
        <w:rPr>
          <w:rFonts w:hint="eastAsia"/>
          <w:color w:val="auto"/>
        </w:rPr>
        <w:t>质疑联系人：</w:t>
      </w:r>
      <w:r>
        <w:rPr>
          <w:rFonts w:hint="eastAsia"/>
          <w:color w:val="auto"/>
          <w:lang w:eastAsia="zh-CN"/>
        </w:rPr>
        <w:t>王凤丹</w:t>
      </w:r>
    </w:p>
    <w:p>
      <w:pPr>
        <w:tabs>
          <w:tab w:val="left" w:pos="425"/>
          <w:tab w:val="left" w:pos="1133"/>
        </w:tabs>
        <w:spacing w:line="360" w:lineRule="auto"/>
        <w:ind w:left="1418"/>
        <w:rPr>
          <w:rFonts w:hint="eastAsia" w:ascii="Arial" w:hAnsi="Arial" w:eastAsia="宋体"/>
          <w:color w:val="auto"/>
          <w:lang w:eastAsia="zh-CN"/>
        </w:rPr>
      </w:pPr>
      <w:r>
        <w:rPr>
          <w:rFonts w:hint="eastAsia" w:ascii="Arial" w:hAnsi="Arial"/>
          <w:color w:val="auto"/>
        </w:rPr>
        <w:t>受理电话：</w:t>
      </w:r>
      <w:r>
        <w:rPr>
          <w:rFonts w:hint="eastAsia" w:ascii="宋体" w:hAnsi="宋体" w:cs="宋体"/>
          <w:color w:val="auto"/>
          <w:szCs w:val="21"/>
          <w:lang w:eastAsia="zh-CN"/>
        </w:rPr>
        <w:t>18267751999</w:t>
      </w:r>
    </w:p>
    <w:p>
      <w:pPr>
        <w:tabs>
          <w:tab w:val="left" w:pos="425"/>
          <w:tab w:val="left" w:pos="1133"/>
        </w:tabs>
        <w:spacing w:before="120" w:beforeLines="50" w:line="360" w:lineRule="auto"/>
        <w:ind w:firstLine="840" w:firstLineChars="400"/>
        <w:rPr>
          <w:rFonts w:ascii="Arial" w:hAnsi="Arial"/>
          <w:color w:val="auto"/>
        </w:rPr>
      </w:pPr>
      <w:r>
        <w:rPr>
          <w:rFonts w:hint="eastAsia" w:ascii="Arial" w:hAnsi="Arial"/>
          <w:color w:val="auto"/>
        </w:rPr>
        <w:t>（2）质疑受理单位：</w:t>
      </w:r>
      <w:r>
        <w:rPr>
          <w:rFonts w:hint="eastAsia" w:ascii="宋体" w:hAnsi="宋体" w:cs="宋体"/>
          <w:color w:val="auto"/>
          <w:szCs w:val="21"/>
          <w:lang w:eastAsia="zh-CN"/>
        </w:rPr>
        <w:t>瑞安市曹村镇人民政府</w:t>
      </w:r>
      <w:r>
        <w:rPr>
          <w:rFonts w:hint="eastAsia" w:ascii="宋体" w:hAnsi="宋体" w:cs="宋体"/>
          <w:color w:val="auto"/>
          <w:szCs w:val="21"/>
        </w:rPr>
        <w:t xml:space="preserve">  </w:t>
      </w:r>
    </w:p>
    <w:p>
      <w:pPr>
        <w:spacing w:line="360" w:lineRule="auto"/>
        <w:ind w:firstLine="360"/>
        <w:rPr>
          <w:rFonts w:hint="eastAsia" w:eastAsia="宋体" w:cs="宋体"/>
          <w:color w:val="auto"/>
          <w:szCs w:val="21"/>
          <w:lang w:eastAsia="zh-CN"/>
        </w:rPr>
      </w:pPr>
      <w:r>
        <w:rPr>
          <w:rFonts w:hint="eastAsia" w:ascii="Arial" w:hAnsi="Arial"/>
          <w:b/>
          <w:color w:val="auto"/>
        </w:rPr>
        <w:t xml:space="preserve">           </w:t>
      </w:r>
      <w:bookmarkStart w:id="36" w:name="_Toc37256471"/>
      <w:r>
        <w:rPr>
          <w:rFonts w:hint="eastAsia" w:ascii="Arial" w:hAnsi="Arial"/>
          <w:bCs/>
          <w:color w:val="auto"/>
        </w:rPr>
        <w:t>受理地址：</w:t>
      </w:r>
      <w:bookmarkEnd w:id="36"/>
      <w:r>
        <w:rPr>
          <w:rFonts w:hint="eastAsia" w:ascii="宋体" w:hAnsi="宋体" w:cs="宋体"/>
          <w:color w:val="auto"/>
          <w:kern w:val="2"/>
          <w:szCs w:val="21"/>
          <w:lang w:eastAsia="zh-CN"/>
        </w:rPr>
        <w:t>瑞安市曹村镇</w:t>
      </w:r>
    </w:p>
    <w:p>
      <w:pPr>
        <w:spacing w:line="360" w:lineRule="auto"/>
        <w:ind w:firstLine="360"/>
        <w:rPr>
          <w:rFonts w:hint="eastAsia" w:eastAsia="宋体"/>
          <w:color w:val="auto"/>
          <w:lang w:eastAsia="zh-CN"/>
        </w:rPr>
      </w:pPr>
      <w:r>
        <w:rPr>
          <w:rFonts w:hint="eastAsia"/>
          <w:color w:val="auto"/>
        </w:rPr>
        <w:t xml:space="preserve">           质疑受理人： </w:t>
      </w:r>
      <w:r>
        <w:rPr>
          <w:rFonts w:hint="eastAsia"/>
          <w:color w:val="auto"/>
          <w:lang w:eastAsia="zh-CN"/>
        </w:rPr>
        <w:t>吴先生</w:t>
      </w:r>
    </w:p>
    <w:p>
      <w:pPr>
        <w:tabs>
          <w:tab w:val="left" w:pos="425"/>
          <w:tab w:val="left" w:pos="1133"/>
        </w:tabs>
        <w:spacing w:line="360" w:lineRule="auto"/>
        <w:ind w:firstLine="1470" w:firstLineChars="700"/>
        <w:rPr>
          <w:rFonts w:hint="eastAsia" w:eastAsia="宋体"/>
          <w:color w:val="auto"/>
          <w:lang w:eastAsia="zh-CN"/>
        </w:rPr>
      </w:pPr>
      <w:r>
        <w:rPr>
          <w:rFonts w:hint="eastAsia" w:ascii="Arial" w:hAnsi="Arial"/>
          <w:bCs/>
          <w:color w:val="auto"/>
        </w:rPr>
        <w:t>受理电话：</w:t>
      </w:r>
      <w:r>
        <w:rPr>
          <w:rFonts w:hint="eastAsia" w:ascii="Arial" w:hAnsi="Arial"/>
          <w:color w:val="auto"/>
        </w:rPr>
        <w:t xml:space="preserve"> </w:t>
      </w:r>
      <w:r>
        <w:rPr>
          <w:rFonts w:hint="eastAsia" w:ascii="宋体" w:hAnsi="Courier New"/>
          <w:color w:val="auto"/>
          <w:kern w:val="2"/>
          <w:szCs w:val="24"/>
          <w:lang w:eastAsia="zh-CN"/>
        </w:rPr>
        <w:t>13575435238</w:t>
      </w:r>
    </w:p>
    <w:p>
      <w:pPr>
        <w:tabs>
          <w:tab w:val="left" w:pos="425"/>
          <w:tab w:val="left" w:pos="1133"/>
        </w:tabs>
        <w:spacing w:line="360" w:lineRule="auto"/>
        <w:ind w:firstLine="840" w:firstLineChars="400"/>
        <w:rPr>
          <w:rFonts w:ascii="Arial" w:hAnsi="Arial"/>
          <w:color w:val="auto"/>
        </w:rPr>
      </w:pPr>
      <w:r>
        <w:rPr>
          <w:rFonts w:hint="eastAsia" w:ascii="Arial" w:hAnsi="Arial"/>
          <w:color w:val="auto"/>
        </w:rPr>
        <w:t>（3）投诉受理机构：瑞安市财政局政府采购监管科</w:t>
      </w:r>
    </w:p>
    <w:p>
      <w:pPr>
        <w:tabs>
          <w:tab w:val="left" w:pos="425"/>
          <w:tab w:val="left" w:pos="1133"/>
        </w:tabs>
        <w:spacing w:line="360" w:lineRule="auto"/>
        <w:ind w:left="1418"/>
        <w:rPr>
          <w:rFonts w:ascii="Arial" w:hAnsi="Arial"/>
          <w:color w:val="auto"/>
        </w:rPr>
      </w:pPr>
      <w:r>
        <w:rPr>
          <w:rFonts w:hint="eastAsia" w:ascii="Arial" w:hAnsi="Arial"/>
          <w:color w:val="auto"/>
        </w:rPr>
        <w:t>投诉地址：瑞安市财政局大楼15楼</w:t>
      </w:r>
    </w:p>
    <w:p>
      <w:pPr>
        <w:tabs>
          <w:tab w:val="left" w:pos="425"/>
          <w:tab w:val="left" w:pos="1133"/>
        </w:tabs>
        <w:spacing w:line="360" w:lineRule="auto"/>
        <w:ind w:left="1418"/>
        <w:rPr>
          <w:color w:val="auto"/>
        </w:rPr>
      </w:pPr>
      <w:r>
        <w:rPr>
          <w:rFonts w:hint="eastAsia" w:ascii="Arial" w:hAnsi="Arial"/>
          <w:color w:val="auto"/>
        </w:rPr>
        <w:t>投诉电话：0577-65827570</w:t>
      </w:r>
    </w:p>
    <w:p>
      <w:pPr>
        <w:pStyle w:val="5"/>
        <w:numPr>
          <w:ilvl w:val="0"/>
          <w:numId w:val="14"/>
        </w:numPr>
        <w:spacing w:before="120" w:beforeLines="50" w:after="120" w:afterLines="50" w:line="420" w:lineRule="exact"/>
        <w:jc w:val="center"/>
        <w:rPr>
          <w:rFonts w:ascii="宋体" w:hAnsi="宋体" w:cs="宋体"/>
          <w:color w:val="auto"/>
          <w:sz w:val="24"/>
          <w:szCs w:val="24"/>
        </w:rPr>
      </w:pPr>
      <w:bookmarkStart w:id="37" w:name="_Toc28405"/>
      <w:bookmarkStart w:id="38" w:name="_Toc13860"/>
      <w:r>
        <w:rPr>
          <w:rFonts w:hint="eastAsia" w:ascii="宋体" w:hAnsi="宋体" w:cs="宋体"/>
          <w:color w:val="auto"/>
          <w:sz w:val="24"/>
          <w:szCs w:val="24"/>
        </w:rPr>
        <w:t>授予合同</w:t>
      </w:r>
      <w:bookmarkEnd w:id="37"/>
      <w:bookmarkEnd w:id="38"/>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成交通知</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在磋商有效期期满之前，采购机构将用书面形式向获接受的成交供应商发出书面的《成交通知书》。《成交通知书》将是合同的一个组成部分。</w:t>
      </w:r>
    </w:p>
    <w:p>
      <w:pPr>
        <w:numPr>
          <w:ilvl w:val="0"/>
          <w:numId w:val="2"/>
        </w:numPr>
        <w:snapToGrid w:val="0"/>
        <w:spacing w:line="420" w:lineRule="exact"/>
        <w:jc w:val="both"/>
        <w:rPr>
          <w:rFonts w:ascii="宋体" w:hAnsi="宋体" w:cs="宋体"/>
          <w:b/>
          <w:color w:val="auto"/>
          <w:sz w:val="24"/>
          <w:szCs w:val="22"/>
        </w:rPr>
      </w:pPr>
      <w:r>
        <w:rPr>
          <w:rFonts w:hint="eastAsia" w:ascii="宋体" w:hAnsi="宋体" w:cs="宋体"/>
          <w:b/>
          <w:color w:val="auto"/>
          <w:sz w:val="24"/>
          <w:szCs w:val="22"/>
        </w:rPr>
        <w:t>签订合同</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采购人与成交供应商应当在成交通知书发出之日起30日内，按照磋商文件确定的合同文本以及采购标的、规格型号、采购金额、采购数量、技术和服务要求等事项签订政府采购合同。</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磋商文件、成交供应商的磋商响应文件及其澄清文件等，均为签订经济合同的依据。</w:t>
      </w:r>
    </w:p>
    <w:p>
      <w:pPr>
        <w:numPr>
          <w:ilvl w:val="1"/>
          <w:numId w:val="7"/>
        </w:numPr>
        <w:tabs>
          <w:tab w:val="left" w:pos="851"/>
        </w:tabs>
        <w:snapToGrid w:val="0"/>
        <w:spacing w:line="420" w:lineRule="exact"/>
        <w:jc w:val="both"/>
        <w:rPr>
          <w:rFonts w:ascii="宋体" w:hAnsi="宋体" w:cs="宋体"/>
          <w:color w:val="auto"/>
          <w:szCs w:val="21"/>
        </w:rPr>
      </w:pPr>
      <w:r>
        <w:rPr>
          <w:rFonts w:hint="eastAsia" w:ascii="宋体" w:hAnsi="宋体" w:cs="宋体"/>
          <w:color w:val="auto"/>
          <w:szCs w:val="21"/>
        </w:rPr>
        <w:t>成交供应商拒绝签订政府采购合同的，采购人可以从评审报告提出的成交候选供应商中，按照排序由高到低的原则确定其他供应商作为成交供应商并签订政府采购合同，也可以重新开展采购活动。拒绝签订政府采购合同的成交供应商不得参加对该项目重新开展的采购活动。</w:t>
      </w:r>
    </w:p>
    <w:p>
      <w:pPr>
        <w:numPr>
          <w:ilvl w:val="0"/>
          <w:numId w:val="2"/>
        </w:numPr>
        <w:snapToGrid w:val="0"/>
        <w:spacing w:line="420" w:lineRule="exact"/>
        <w:jc w:val="both"/>
        <w:rPr>
          <w:rFonts w:ascii="宋体" w:hAnsi="宋体" w:cs="宋体"/>
          <w:b/>
          <w:color w:val="auto"/>
          <w:sz w:val="28"/>
          <w:szCs w:val="28"/>
        </w:rPr>
      </w:pPr>
      <w:r>
        <w:rPr>
          <w:rFonts w:hint="eastAsia" w:ascii="宋体" w:hAnsi="宋体" w:cs="宋体"/>
          <w:b/>
          <w:color w:val="auto"/>
          <w:sz w:val="28"/>
          <w:szCs w:val="28"/>
        </w:rPr>
        <w:t>代理服务费</w:t>
      </w:r>
    </w:p>
    <w:p>
      <w:pPr>
        <w:numPr>
          <w:ilvl w:val="1"/>
          <w:numId w:val="7"/>
        </w:numPr>
        <w:tabs>
          <w:tab w:val="left" w:pos="851"/>
        </w:tabs>
        <w:snapToGrid w:val="0"/>
        <w:spacing w:line="420" w:lineRule="exact"/>
        <w:jc w:val="both"/>
        <w:rPr>
          <w:rFonts w:ascii="宋体" w:hAnsi="宋体" w:cs="宋体"/>
          <w:color w:val="auto"/>
          <w:szCs w:val="21"/>
        </w:rPr>
      </w:pPr>
      <w:bookmarkStart w:id="39" w:name="_Toc306200953"/>
      <w:r>
        <w:rPr>
          <w:rFonts w:hint="eastAsia" w:ascii="宋体" w:hAnsi="宋体"/>
          <w:b/>
          <w:bCs/>
          <w:color w:val="auto"/>
        </w:rPr>
        <w:t>本次采购代理服务费由成交供应商支付，</w:t>
      </w:r>
      <w:r>
        <w:rPr>
          <w:rFonts w:hint="eastAsia" w:ascii="宋体" w:hAnsi="宋体"/>
          <w:b/>
          <w:bCs/>
          <w:color w:val="auto"/>
          <w:lang w:bidi="ar"/>
        </w:rPr>
        <w:t>按国家计委印发的《招标代理服务收费管理暂行办法》计价格【2002】1980号文件货物类的收费标准收取，不足</w:t>
      </w:r>
      <w:r>
        <w:rPr>
          <w:rFonts w:hint="eastAsia" w:ascii="宋体" w:hAnsi="宋体"/>
          <w:b/>
          <w:bCs/>
          <w:color w:val="auto"/>
          <w:lang w:val="en-US" w:eastAsia="zh-CN" w:bidi="ar"/>
        </w:rPr>
        <w:t>8000</w:t>
      </w:r>
      <w:r>
        <w:rPr>
          <w:rFonts w:hint="eastAsia" w:ascii="宋体" w:hAnsi="宋体"/>
          <w:b/>
          <w:bCs/>
          <w:color w:val="auto"/>
          <w:szCs w:val="22"/>
          <w:lang w:bidi="ar"/>
        </w:rPr>
        <w:t>元按</w:t>
      </w:r>
      <w:r>
        <w:rPr>
          <w:rFonts w:hint="eastAsia" w:ascii="宋体" w:hAnsi="宋体"/>
          <w:b/>
          <w:bCs/>
          <w:color w:val="auto"/>
          <w:szCs w:val="22"/>
          <w:lang w:val="en-US" w:eastAsia="zh-CN" w:bidi="ar"/>
        </w:rPr>
        <w:t>8000</w:t>
      </w:r>
      <w:r>
        <w:rPr>
          <w:rFonts w:hint="eastAsia" w:ascii="宋体" w:hAnsi="宋体"/>
          <w:b/>
          <w:bCs/>
          <w:color w:val="auto"/>
          <w:szCs w:val="22"/>
          <w:lang w:bidi="ar"/>
        </w:rPr>
        <w:t>元收取，采购代理服务费不在报价中单列（各磋商供应商应在报价中予以考虑）</w:t>
      </w:r>
    </w:p>
    <w:p>
      <w:pPr>
        <w:rPr>
          <w:rFonts w:ascii="宋体" w:hAnsi="宋体" w:cs="宋体"/>
          <w:color w:val="auto"/>
          <w:szCs w:val="21"/>
        </w:rPr>
      </w:pPr>
      <w:r>
        <w:rPr>
          <w:rFonts w:hint="eastAsia" w:ascii="宋体" w:hAnsi="宋体"/>
          <w:b/>
          <w:bCs/>
          <w:color w:val="auto"/>
          <w:szCs w:val="22"/>
          <w:lang w:bidi="ar"/>
        </w:rPr>
        <w:br w:type="page"/>
      </w:r>
    </w:p>
    <w:p>
      <w:pPr>
        <w:pStyle w:val="4"/>
        <w:keepNext w:val="0"/>
        <w:keepLines w:val="0"/>
        <w:spacing w:before="120" w:beforeLines="50" w:after="120" w:afterLines="50" w:line="400" w:lineRule="exact"/>
        <w:jc w:val="center"/>
        <w:rPr>
          <w:rFonts w:hAnsi="宋体" w:cs="宋体"/>
          <w:color w:val="auto"/>
          <w:sz w:val="28"/>
          <w:szCs w:val="36"/>
        </w:rPr>
      </w:pPr>
      <w:bookmarkStart w:id="40" w:name="_Toc18817"/>
      <w:r>
        <w:rPr>
          <w:rFonts w:hint="eastAsia" w:hAnsi="宋体" w:cs="宋体"/>
          <w:color w:val="auto"/>
          <w:sz w:val="28"/>
          <w:szCs w:val="36"/>
        </w:rPr>
        <w:t>第三部分  竞争性磋商内容及要求</w:t>
      </w:r>
      <w:bookmarkEnd w:id="40"/>
    </w:p>
    <w:bookmarkEnd w:id="39"/>
    <w:p>
      <w:pPr>
        <w:widowControl w:val="0"/>
        <w:tabs>
          <w:tab w:val="left" w:pos="567"/>
        </w:tabs>
        <w:snapToGrid w:val="0"/>
        <w:spacing w:line="400" w:lineRule="exact"/>
        <w:jc w:val="center"/>
        <w:rPr>
          <w:rFonts w:ascii="Arial" w:hAnsi="Arial" w:cs="Arial"/>
          <w:b/>
          <w:bCs/>
          <w:color w:val="auto"/>
          <w:sz w:val="24"/>
          <w:szCs w:val="24"/>
        </w:rPr>
      </w:pPr>
      <w:bookmarkStart w:id="41" w:name="_Toc475821545"/>
      <w:r>
        <w:rPr>
          <w:rFonts w:hint="eastAsia" w:ascii="Arial" w:hAnsi="Arial" w:cs="Arial"/>
          <w:b/>
          <w:bCs/>
          <w:color w:val="auto"/>
          <w:sz w:val="24"/>
          <w:szCs w:val="24"/>
        </w:rPr>
        <w:t>（一）概述</w:t>
      </w:r>
    </w:p>
    <w:p>
      <w:pPr>
        <w:widowControl w:val="0"/>
        <w:numPr>
          <w:ilvl w:val="1"/>
          <w:numId w:val="17"/>
        </w:numPr>
        <w:tabs>
          <w:tab w:val="left" w:pos="567"/>
          <w:tab w:val="clear" w:pos="950"/>
        </w:tabs>
        <w:snapToGrid w:val="0"/>
        <w:spacing w:line="400" w:lineRule="exact"/>
        <w:ind w:left="567" w:hanging="567"/>
        <w:jc w:val="both"/>
        <w:rPr>
          <w:rFonts w:ascii="Arial" w:hAnsi="Arial" w:cs="Arial"/>
          <w:color w:val="auto"/>
          <w:szCs w:val="21"/>
        </w:rPr>
      </w:pPr>
      <w:r>
        <w:rPr>
          <w:rFonts w:ascii="Arial" w:hAnsi="Arial" w:cs="Arial"/>
          <w:color w:val="auto"/>
          <w:szCs w:val="21"/>
        </w:rPr>
        <w:t>磋商供应商必须完成</w:t>
      </w:r>
      <w:r>
        <w:rPr>
          <w:rFonts w:hint="eastAsia" w:ascii="Arial" w:hAnsi="Arial" w:cs="Arial"/>
          <w:color w:val="auto"/>
          <w:szCs w:val="21"/>
        </w:rPr>
        <w:t>采购内容</w:t>
      </w:r>
      <w:r>
        <w:rPr>
          <w:rFonts w:ascii="Arial" w:hAnsi="Arial" w:cs="Arial"/>
          <w:color w:val="auto"/>
          <w:szCs w:val="21"/>
        </w:rPr>
        <w:t>和合同规定义务，不允许只对部分内容进行报价。</w:t>
      </w:r>
    </w:p>
    <w:p>
      <w:pPr>
        <w:widowControl w:val="0"/>
        <w:numPr>
          <w:ilvl w:val="1"/>
          <w:numId w:val="17"/>
        </w:numPr>
        <w:tabs>
          <w:tab w:val="left" w:pos="567"/>
          <w:tab w:val="clear" w:pos="950"/>
        </w:tabs>
        <w:snapToGrid w:val="0"/>
        <w:spacing w:line="400" w:lineRule="exact"/>
        <w:ind w:left="567" w:hanging="567"/>
        <w:jc w:val="both"/>
        <w:rPr>
          <w:rFonts w:ascii="Arial" w:hAnsi="Arial" w:cs="Arial"/>
          <w:color w:val="auto"/>
          <w:szCs w:val="21"/>
        </w:rPr>
      </w:pPr>
      <w:r>
        <w:rPr>
          <w:rFonts w:ascii="Arial" w:hAnsi="Arial" w:cs="Arial"/>
          <w:b/>
          <w:color w:val="auto"/>
          <w:szCs w:val="21"/>
        </w:rPr>
        <w:t>现场踏勘：各磋商供应商于投标截止时间前自行到现场进行踏勘 ，以获取本次投标所需的现场资料及数据，磋商供应商若未到现场踏勘，引起的一切后果均由其自行负责，由此造成投标价的偏差均不予调整。现场踏勘费用自理。</w:t>
      </w:r>
    </w:p>
    <w:p>
      <w:pPr>
        <w:widowControl w:val="0"/>
        <w:numPr>
          <w:ilvl w:val="1"/>
          <w:numId w:val="17"/>
        </w:numPr>
        <w:tabs>
          <w:tab w:val="left" w:pos="567"/>
          <w:tab w:val="clear" w:pos="950"/>
        </w:tabs>
        <w:snapToGrid w:val="0"/>
        <w:spacing w:line="400" w:lineRule="exact"/>
        <w:ind w:left="567" w:hanging="567"/>
        <w:jc w:val="both"/>
        <w:rPr>
          <w:rFonts w:ascii="Arial" w:hAnsi="Arial" w:cs="Arial"/>
          <w:color w:val="auto"/>
          <w:szCs w:val="21"/>
        </w:rPr>
      </w:pPr>
      <w:r>
        <w:rPr>
          <w:rFonts w:hint="eastAsia" w:ascii="Arial" w:hAnsi="Arial" w:cs="Arial"/>
          <w:bCs/>
          <w:color w:val="auto"/>
          <w:szCs w:val="21"/>
        </w:rPr>
        <w:t>磋商供应商需按磋商文件的要求完成采购工作。</w:t>
      </w:r>
      <w:r>
        <w:rPr>
          <w:rFonts w:ascii="Arial" w:hAnsi="Arial" w:cs="Arial"/>
          <w:bCs/>
          <w:color w:val="auto"/>
          <w:szCs w:val="21"/>
        </w:rPr>
        <w:t>按工作顺序提交所需的无论其是否被明细列在合同文件中的所有资料，提供的服务必须满足磋商文件中提出的相关要求。</w:t>
      </w:r>
    </w:p>
    <w:p>
      <w:pPr>
        <w:widowControl w:val="0"/>
        <w:numPr>
          <w:ilvl w:val="1"/>
          <w:numId w:val="17"/>
        </w:numPr>
        <w:tabs>
          <w:tab w:val="left" w:pos="567"/>
          <w:tab w:val="clear" w:pos="950"/>
        </w:tabs>
        <w:snapToGrid w:val="0"/>
        <w:spacing w:line="400" w:lineRule="exact"/>
        <w:ind w:left="567" w:hanging="567"/>
        <w:jc w:val="both"/>
        <w:rPr>
          <w:rFonts w:ascii="新宋体" w:hAnsi="新宋体" w:eastAsia="新宋体"/>
          <w:b/>
          <w:color w:val="auto"/>
          <w:szCs w:val="21"/>
        </w:rPr>
      </w:pPr>
      <w:r>
        <w:rPr>
          <w:rFonts w:ascii="Arial" w:hAnsi="Arial" w:cs="Arial"/>
          <w:color w:val="auto"/>
          <w:szCs w:val="21"/>
        </w:rPr>
        <w:t>在投标之前，磋商供应商须仔细阅读磋商文件，如发现有任何疑问、冲突或技术问题，磋商供应商在答疑截止时间前以书面形式向采购代理机构提出。逾期采购人不再作答复，有关风险及责任由磋商供应商自行承担。</w:t>
      </w:r>
    </w:p>
    <w:p>
      <w:pPr>
        <w:widowControl w:val="0"/>
        <w:numPr>
          <w:ilvl w:val="1"/>
          <w:numId w:val="17"/>
        </w:numPr>
        <w:tabs>
          <w:tab w:val="left" w:pos="567"/>
          <w:tab w:val="clear" w:pos="950"/>
        </w:tabs>
        <w:snapToGrid w:val="0"/>
        <w:spacing w:line="400" w:lineRule="exact"/>
        <w:ind w:left="567" w:hanging="567"/>
        <w:jc w:val="both"/>
        <w:rPr>
          <w:rFonts w:ascii="新宋体" w:hAnsi="新宋体" w:eastAsia="新宋体"/>
          <w:b/>
          <w:color w:val="auto"/>
          <w:szCs w:val="21"/>
        </w:rPr>
      </w:pPr>
      <w:r>
        <w:rPr>
          <w:rFonts w:hint="eastAsia"/>
          <w:bCs/>
          <w:color w:val="auto"/>
          <w:szCs w:val="21"/>
        </w:rPr>
        <w:t>本项目优先采购本国货物和服务，必须进行的技术引进和转让需符合国家政策和有利于国内行业的发展。项目中涉及到的设备、材料属于政府采购节能产品、环境标志产品的，要求符合相关规定。</w:t>
      </w:r>
    </w:p>
    <w:p>
      <w:pPr>
        <w:widowControl w:val="0"/>
        <w:numPr>
          <w:ilvl w:val="1"/>
          <w:numId w:val="17"/>
        </w:numPr>
        <w:tabs>
          <w:tab w:val="left" w:pos="567"/>
          <w:tab w:val="clear" w:pos="950"/>
        </w:tabs>
        <w:snapToGrid w:val="0"/>
        <w:spacing w:line="400" w:lineRule="exact"/>
        <w:ind w:left="567" w:hanging="567"/>
        <w:jc w:val="both"/>
        <w:rPr>
          <w:rFonts w:ascii="新宋体" w:hAnsi="新宋体" w:eastAsia="新宋体"/>
          <w:b/>
          <w:color w:val="auto"/>
          <w:szCs w:val="21"/>
        </w:rPr>
      </w:pPr>
      <w:r>
        <w:rPr>
          <w:rFonts w:hint="eastAsia"/>
          <w:color w:val="auto"/>
          <w:szCs w:val="21"/>
        </w:rPr>
        <w:t>磋商供应商提供的货物如为节能产品，须提供由《市场监管总局关于发布参与实施政府采购节能产品、环境标志产品认证机构名录的公告》（市场监管总局2019</w:t>
      </w:r>
      <w:bookmarkStart w:id="194" w:name="_GoBack"/>
      <w:bookmarkEnd w:id="194"/>
      <w:r>
        <w:rPr>
          <w:rFonts w:hint="eastAsia"/>
          <w:color w:val="auto"/>
          <w:szCs w:val="21"/>
        </w:rPr>
        <w:t>年第16号）文件指定节能产品认证机构（中国质量认证中心或北京赛西认证有限责任公司或中国网络安全审查技术与认证中心或广州赛宝认证中心服务有限公司）出具的、处于有效期之内的节能产品认证证书。</w:t>
      </w:r>
    </w:p>
    <w:p>
      <w:pPr>
        <w:widowControl w:val="0"/>
        <w:numPr>
          <w:ilvl w:val="1"/>
          <w:numId w:val="17"/>
        </w:numPr>
        <w:tabs>
          <w:tab w:val="left" w:pos="567"/>
          <w:tab w:val="clear" w:pos="950"/>
        </w:tabs>
        <w:snapToGrid w:val="0"/>
        <w:spacing w:line="400" w:lineRule="exact"/>
        <w:ind w:left="567" w:hanging="567"/>
        <w:jc w:val="both"/>
        <w:rPr>
          <w:rFonts w:ascii="新宋体" w:hAnsi="新宋体" w:eastAsia="新宋体"/>
          <w:b/>
          <w:color w:val="auto"/>
          <w:szCs w:val="21"/>
        </w:rPr>
      </w:pPr>
      <w:r>
        <w:rPr>
          <w:rFonts w:hint="eastAsia"/>
          <w:color w:val="auto"/>
          <w:szCs w:val="21"/>
        </w:rPr>
        <w:t>磋商供应商提供的货物如为节环境标志产品，须提供由《市场监管总局关于发布参与实施政府采购节能产品、环境标志产品认证机构名录的公告》（市场监管总局2019年第16号）文件指定的环境标志产品认证机构（中环联合（北京）认证中心有限公司或中标合信（北京）认证有限公司或中环协（北京）认证有限公司或天津华诚认证有限公司）出具的、处于有效期之内的环境标志产品认证证书。</w:t>
      </w:r>
    </w:p>
    <w:p>
      <w:pPr>
        <w:spacing w:before="120" w:after="120" w:line="360" w:lineRule="exact"/>
        <w:jc w:val="center"/>
        <w:rPr>
          <w:rStyle w:val="103"/>
          <w:b/>
          <w:bCs/>
          <w:color w:val="auto"/>
        </w:rPr>
      </w:pPr>
      <w:bookmarkStart w:id="42" w:name="_Toc1732760"/>
      <w:bookmarkStart w:id="43" w:name="_Toc534715368"/>
      <w:bookmarkStart w:id="44" w:name="_Toc534703929"/>
      <w:bookmarkStart w:id="45" w:name="_Toc23350"/>
      <w:bookmarkStart w:id="46" w:name="_Toc489608344"/>
      <w:bookmarkStart w:id="47" w:name="_Toc16586164"/>
      <w:bookmarkStart w:id="48" w:name="_Toc1732703"/>
      <w:bookmarkStart w:id="49" w:name="_Toc488242718"/>
      <w:bookmarkStart w:id="50" w:name="_Toc658"/>
      <w:bookmarkStart w:id="51" w:name="_Toc21347"/>
      <w:bookmarkStart w:id="52" w:name="_Toc534365176"/>
      <w:bookmarkStart w:id="53" w:name="_Toc21477"/>
      <w:r>
        <w:rPr>
          <w:rFonts w:hint="eastAsia" w:ascii="宋体" w:hAnsi="宋体"/>
          <w:b/>
          <w:color w:val="auto"/>
          <w:szCs w:val="21"/>
        </w:rPr>
        <w:t>（二）</w:t>
      </w:r>
      <w:bookmarkEnd w:id="42"/>
      <w:bookmarkEnd w:id="43"/>
      <w:bookmarkEnd w:id="44"/>
      <w:bookmarkEnd w:id="45"/>
      <w:bookmarkEnd w:id="46"/>
      <w:bookmarkEnd w:id="47"/>
      <w:bookmarkEnd w:id="48"/>
      <w:bookmarkEnd w:id="49"/>
      <w:bookmarkEnd w:id="50"/>
      <w:bookmarkEnd w:id="51"/>
      <w:bookmarkEnd w:id="52"/>
      <w:r>
        <w:rPr>
          <w:rFonts w:hint="eastAsia" w:ascii="宋体" w:hAnsi="宋体"/>
          <w:b/>
          <w:color w:val="auto"/>
          <w:szCs w:val="21"/>
        </w:rPr>
        <w:t>具</w:t>
      </w:r>
      <w:r>
        <w:rPr>
          <w:rStyle w:val="103"/>
          <w:rFonts w:hint="eastAsia" w:cs="宋体"/>
          <w:b/>
          <w:bCs/>
          <w:color w:val="auto"/>
        </w:rPr>
        <w:t>体技术要求及内容</w:t>
      </w:r>
    </w:p>
    <w:p>
      <w:pPr>
        <w:numPr>
          <w:ilvl w:val="0"/>
          <w:numId w:val="18"/>
        </w:numPr>
        <w:spacing w:line="360" w:lineRule="exact"/>
        <w:rPr>
          <w:rStyle w:val="103"/>
          <w:rFonts w:ascii="Arial" w:hAnsi="宋体"/>
          <w:b/>
          <w:bCs/>
          <w:color w:val="auto"/>
        </w:rPr>
      </w:pPr>
      <w:r>
        <w:rPr>
          <w:rStyle w:val="103"/>
          <w:rFonts w:hint="eastAsia" w:ascii="Arial" w:hAnsi="宋体" w:cs="宋体"/>
          <w:b/>
          <w:bCs/>
          <w:color w:val="auto"/>
        </w:rPr>
        <w:t>采购内容：</w:t>
      </w:r>
    </w:p>
    <w:p>
      <w:pPr>
        <w:spacing w:line="360" w:lineRule="exact"/>
        <w:ind w:left="420" w:firstLine="420" w:firstLineChars="200"/>
        <w:rPr>
          <w:rStyle w:val="103"/>
          <w:rFonts w:ascii="Arial" w:hAnsi="宋体"/>
          <w:color w:val="auto"/>
        </w:rPr>
      </w:pPr>
      <w:r>
        <w:rPr>
          <w:rStyle w:val="103"/>
          <w:rFonts w:hint="eastAsia" w:ascii="Arial" w:hAnsi="宋体" w:cs="宋体"/>
          <w:color w:val="auto"/>
        </w:rPr>
        <w:t>本次采购内容为本项目磋商文件和参考货物采购清单中的所有内容</w:t>
      </w:r>
      <w:r>
        <w:rPr>
          <w:rFonts w:hint="eastAsia" w:ascii="Arial" w:hAnsi="宋体" w:cs="宋体"/>
          <w:b/>
          <w:bCs/>
          <w:color w:val="auto"/>
        </w:rPr>
        <w:t>（具体数量及规格以图纸为准）</w:t>
      </w:r>
      <w:r>
        <w:rPr>
          <w:rStyle w:val="103"/>
          <w:rFonts w:hint="eastAsia" w:ascii="Arial" w:hAnsi="宋体" w:cs="宋体"/>
          <w:color w:val="auto"/>
        </w:rPr>
        <w:t>，包括</w:t>
      </w:r>
      <w:r>
        <w:rPr>
          <w:rStyle w:val="103"/>
          <w:rFonts w:hint="eastAsia" w:ascii="Arial" w:hAnsi="宋体" w:cs="宋体"/>
          <w:color w:val="auto"/>
          <w:lang w:eastAsia="zh-CN"/>
        </w:rPr>
        <w:t>曹村镇无废村镇试点（垃圾分类主题公园扩建二期）配套环保工程设备采购</w:t>
      </w:r>
      <w:r>
        <w:rPr>
          <w:rStyle w:val="103"/>
          <w:rFonts w:hint="eastAsia" w:ascii="Arial" w:hAnsi="宋体" w:cs="宋体"/>
          <w:color w:val="auto"/>
        </w:rPr>
        <w:t>等配套系统的设备材料供货、运输、卸货、保管、施工、安装调试、深化设计、检测并最终通过验收，具体内容详见货物采购清单及图纸。</w:t>
      </w:r>
    </w:p>
    <w:p>
      <w:pPr>
        <w:numPr>
          <w:ilvl w:val="0"/>
          <w:numId w:val="18"/>
        </w:numPr>
        <w:spacing w:line="360" w:lineRule="exact"/>
        <w:rPr>
          <w:rStyle w:val="103"/>
          <w:rFonts w:ascii="Arial" w:hAnsi="宋体"/>
          <w:b/>
          <w:bCs/>
          <w:color w:val="auto"/>
        </w:rPr>
      </w:pPr>
      <w:r>
        <w:rPr>
          <w:rStyle w:val="103"/>
          <w:rFonts w:hint="eastAsia" w:ascii="Arial" w:hAnsi="宋体" w:cs="宋体"/>
          <w:b/>
          <w:bCs/>
          <w:color w:val="auto"/>
        </w:rPr>
        <w:t>投标报价说明：</w:t>
      </w:r>
    </w:p>
    <w:p>
      <w:pPr>
        <w:numPr>
          <w:ilvl w:val="0"/>
          <w:numId w:val="19"/>
        </w:numPr>
        <w:spacing w:line="360" w:lineRule="exact"/>
        <w:ind w:left="420" w:firstLine="0"/>
        <w:rPr>
          <w:rStyle w:val="103"/>
          <w:rFonts w:ascii="宋体" w:hAnsi="宋体" w:cs="宋体"/>
          <w:color w:val="auto"/>
        </w:rPr>
      </w:pPr>
      <w:r>
        <w:rPr>
          <w:rFonts w:hint="eastAsia" w:ascii="宋体" w:hAnsi="宋体" w:cs="宋体"/>
          <w:color w:val="auto"/>
        </w:rPr>
        <w:t>本次招标项目采用</w:t>
      </w:r>
      <w:r>
        <w:rPr>
          <w:rFonts w:hint="eastAsia" w:ascii="宋体" w:hAnsi="宋体" w:cs="宋体"/>
          <w:color w:val="auto"/>
          <w:u w:val="single"/>
        </w:rPr>
        <w:t>固定总价</w:t>
      </w:r>
      <w:r>
        <w:rPr>
          <w:rFonts w:hint="eastAsia" w:ascii="宋体" w:hAnsi="宋体" w:cs="宋体"/>
          <w:color w:val="auto"/>
        </w:rPr>
        <w:t>报价。报价是磋商文件所确定的招标范围内的全部工作内容的价格体现，包括货物的采购、制造、检测、试验、至最终目的地的运费和保险费、现场仓储、税费以及安装、调试、测试、验收、技术服务（包括技术资料的提供）、垃圾清运、质保期内维护、质保期内售后服务、</w:t>
      </w:r>
      <w:r>
        <w:rPr>
          <w:rStyle w:val="103"/>
          <w:rFonts w:hint="eastAsia" w:ascii="Arial" w:hAnsi="宋体" w:cs="宋体"/>
          <w:color w:val="auto"/>
          <w:szCs w:val="21"/>
        </w:rPr>
        <w:t>施工安装过程中需</w:t>
      </w:r>
      <w:r>
        <w:rPr>
          <w:rFonts w:hint="eastAsia" w:ascii="宋体" w:hAnsi="宋体" w:cs="宋体"/>
          <w:bCs/>
          <w:color w:val="auto"/>
          <w:szCs w:val="21"/>
        </w:rPr>
        <w:t>开洞、修补、零星砌筑等零星工作增加的费用</w:t>
      </w:r>
      <w:r>
        <w:rPr>
          <w:rFonts w:hint="eastAsia" w:ascii="宋体" w:hAnsi="宋体" w:cs="宋体"/>
          <w:color w:val="auto"/>
        </w:rPr>
        <w:t>等完成合同所需的一切本身和不可或缺的所有工作开支、政策性文件规定等全部费用，如有遗漏，视同包括在其他项目中，单价不作调整，最终价格以实际结算为准。除发生下列因素可调整合同价外，不得以任何其他理由调整任何费用。</w:t>
      </w:r>
      <w:r>
        <w:rPr>
          <w:rStyle w:val="103"/>
          <w:rFonts w:hint="eastAsia" w:ascii="宋体" w:hAnsi="宋体" w:cs="宋体"/>
          <w:color w:val="auto"/>
        </w:rPr>
        <w:br w:type="textWrapping" w:clear="all"/>
      </w:r>
      <w:r>
        <w:rPr>
          <w:rStyle w:val="103"/>
          <w:rFonts w:hint="eastAsia" w:ascii="宋体" w:hAnsi="宋体" w:cs="宋体"/>
          <w:color w:val="auto"/>
        </w:rPr>
        <w:t>（1）采购人提出的货物数量变更，根据原中标单价计算变更费用。由投标供应商提出的合理化建议，需经得采购人同意，其费用不得变更。但属投标供应商投标漏项少算的设备及服务费用不得追补。</w:t>
      </w:r>
      <w:r>
        <w:rPr>
          <w:rStyle w:val="103"/>
          <w:rFonts w:hint="eastAsia" w:ascii="宋体" w:hAnsi="宋体" w:cs="宋体"/>
          <w:color w:val="auto"/>
        </w:rPr>
        <w:br w:type="textWrapping" w:clear="all"/>
      </w:r>
      <w:r>
        <w:rPr>
          <w:rStyle w:val="103"/>
          <w:rFonts w:hint="eastAsia" w:ascii="宋体" w:hAnsi="宋体" w:cs="宋体"/>
          <w:color w:val="auto"/>
        </w:rPr>
        <w:t>（2）发生不可抗力的因素造成费用增加使投标供应商直接损失的费用，经鉴定核准，采购人酌情予以一定补偿。但属投标供应商可以预见、预防，而投标供应商预防不力所造成的损失，不予补偿。其经济损失由投标供应商承担。</w:t>
      </w:r>
    </w:p>
    <w:p>
      <w:pPr>
        <w:numPr>
          <w:ilvl w:val="0"/>
          <w:numId w:val="19"/>
        </w:numPr>
        <w:spacing w:line="360" w:lineRule="exact"/>
        <w:ind w:left="420" w:firstLine="0"/>
        <w:rPr>
          <w:rFonts w:ascii="宋体" w:hAnsi="宋体" w:cs="宋体"/>
          <w:color w:val="auto"/>
        </w:rPr>
      </w:pPr>
      <w:r>
        <w:rPr>
          <w:rFonts w:hint="eastAsia" w:ascii="宋体" w:hAnsi="宋体" w:cs="宋体"/>
          <w:color w:val="auto"/>
        </w:rPr>
        <w:t>投标供应商的报价不仅应包括磋商文件提供的技术条款和图纸上所标明的，还应包括任何未明确标出的，但全套货物保证正常使用所不可缺少的配件及附件的全部费用。其中全部设备材料应说明名称、型号、数量、单价、总价、产地、厂商等。投标供应商按要求应列入而未列入货物材料清单的设备及材料，均认为已含在其设备材料清单中。</w:t>
      </w:r>
    </w:p>
    <w:p>
      <w:pPr>
        <w:numPr>
          <w:ilvl w:val="0"/>
          <w:numId w:val="19"/>
        </w:numPr>
        <w:spacing w:line="360" w:lineRule="exact"/>
        <w:ind w:left="420" w:firstLine="0"/>
        <w:rPr>
          <w:rFonts w:ascii="宋体" w:hAnsi="宋体" w:cs="宋体"/>
          <w:color w:val="auto"/>
        </w:rPr>
      </w:pPr>
      <w:r>
        <w:rPr>
          <w:rFonts w:hint="eastAsia" w:ascii="宋体" w:hAnsi="宋体" w:cs="宋体"/>
          <w:color w:val="auto"/>
        </w:rPr>
        <w:t>投标供应商的中标单价在合同实施期间不作调整，中标供应商不得以任何理由予以变更，除非采购人提出的设计变更。</w:t>
      </w:r>
    </w:p>
    <w:p>
      <w:pPr>
        <w:numPr>
          <w:ilvl w:val="0"/>
          <w:numId w:val="19"/>
        </w:numPr>
        <w:spacing w:line="360" w:lineRule="exact"/>
        <w:ind w:left="420" w:firstLine="0"/>
        <w:rPr>
          <w:rFonts w:ascii="宋体" w:hAnsi="宋体" w:cs="宋体"/>
          <w:color w:val="auto"/>
        </w:rPr>
      </w:pPr>
      <w:r>
        <w:rPr>
          <w:rFonts w:hint="eastAsia" w:ascii="宋体" w:hAnsi="宋体" w:cs="宋体"/>
          <w:color w:val="auto"/>
        </w:rPr>
        <w:t>允许投标供应商在满足磋商文件提出的技术要求的前提下，在投标价格不增加且能扩大使用功能的前提下，可提出合理化建议，做出其优越性、先进性等详细说明。</w:t>
      </w:r>
    </w:p>
    <w:p>
      <w:pPr>
        <w:numPr>
          <w:ilvl w:val="0"/>
          <w:numId w:val="19"/>
        </w:numPr>
        <w:spacing w:line="360" w:lineRule="exact"/>
        <w:ind w:left="420" w:firstLine="0"/>
        <w:rPr>
          <w:rFonts w:ascii="宋体" w:hAnsi="宋体" w:cs="宋体"/>
          <w:color w:val="auto"/>
        </w:rPr>
      </w:pPr>
      <w:r>
        <w:rPr>
          <w:rFonts w:hint="eastAsia" w:ascii="宋体" w:hAnsi="宋体" w:cs="宋体"/>
          <w:color w:val="auto"/>
        </w:rPr>
        <w:t>报价按设计要求材料进行报价，不能擅自更改；如有材料需要更改，必须经采购人签字确认，否则一切责任由供应商承担。</w:t>
      </w:r>
    </w:p>
    <w:p>
      <w:pPr>
        <w:numPr>
          <w:ilvl w:val="0"/>
          <w:numId w:val="19"/>
        </w:numPr>
        <w:spacing w:line="360" w:lineRule="exact"/>
        <w:ind w:left="420" w:firstLine="0"/>
        <w:rPr>
          <w:rFonts w:ascii="宋体" w:hAnsi="宋体" w:cs="宋体"/>
          <w:color w:val="auto"/>
        </w:rPr>
      </w:pPr>
      <w:r>
        <w:rPr>
          <w:rFonts w:hint="eastAsia" w:ascii="宋体" w:hAnsi="宋体" w:cs="宋体"/>
          <w:color w:val="auto"/>
        </w:rPr>
        <w:t>中标后每样货品需采购人验收合格后进行安装，并且提供合格证。</w:t>
      </w:r>
    </w:p>
    <w:p>
      <w:pPr>
        <w:numPr>
          <w:ilvl w:val="0"/>
          <w:numId w:val="18"/>
        </w:numPr>
        <w:spacing w:line="360" w:lineRule="exact"/>
        <w:rPr>
          <w:rStyle w:val="103"/>
          <w:rFonts w:ascii="Arial" w:hAnsi="宋体" w:cs="宋体"/>
          <w:b/>
          <w:bCs/>
          <w:color w:val="auto"/>
        </w:rPr>
      </w:pPr>
      <w:r>
        <w:rPr>
          <w:rStyle w:val="103"/>
          <w:rFonts w:hint="eastAsia" w:ascii="Arial" w:hAnsi="宋体" w:cs="宋体"/>
          <w:b/>
          <w:bCs/>
          <w:color w:val="auto"/>
        </w:rPr>
        <w:t>项目概述及技术规范：</w:t>
      </w:r>
    </w:p>
    <w:p>
      <w:pPr>
        <w:spacing w:line="400" w:lineRule="exact"/>
        <w:ind w:left="315" w:leftChars="150"/>
        <w:rPr>
          <w:rFonts w:ascii="宋体" w:hAnsi="宋体" w:cs="宋体"/>
          <w:color w:val="auto"/>
          <w:szCs w:val="21"/>
        </w:rPr>
      </w:pPr>
      <w:r>
        <w:rPr>
          <w:rFonts w:hint="eastAsia" w:ascii="宋体" w:hAnsi="宋体" w:cs="宋体"/>
          <w:color w:val="auto"/>
          <w:szCs w:val="21"/>
        </w:rPr>
        <w:t>1、工程概况</w:t>
      </w:r>
    </w:p>
    <w:p>
      <w:pPr>
        <w:spacing w:line="400" w:lineRule="exact"/>
        <w:ind w:left="315" w:leftChars="150"/>
        <w:rPr>
          <w:rFonts w:hint="eastAsia" w:ascii="宋体" w:hAnsi="宋体" w:eastAsia="宋体" w:cs="宋体"/>
          <w:color w:val="auto"/>
          <w:szCs w:val="21"/>
          <w:lang w:eastAsia="zh-CN"/>
        </w:rPr>
      </w:pPr>
      <w:r>
        <w:rPr>
          <w:rFonts w:hint="eastAsia" w:ascii="宋体" w:hAnsi="宋体" w:cs="宋体"/>
          <w:color w:val="auto"/>
          <w:szCs w:val="21"/>
        </w:rPr>
        <w:t>1.1工程名称：</w:t>
      </w:r>
      <w:r>
        <w:rPr>
          <w:rFonts w:hint="eastAsia" w:ascii="宋体" w:hAnsi="宋体" w:cs="宋体"/>
          <w:color w:val="auto"/>
          <w:szCs w:val="21"/>
          <w:lang w:eastAsia="zh-CN"/>
        </w:rPr>
        <w:t>曹村镇无废村镇试点（垃圾分类主题公园扩建二期）配套环保工程设备采购</w:t>
      </w:r>
    </w:p>
    <w:p>
      <w:pPr>
        <w:spacing w:line="400" w:lineRule="exact"/>
        <w:ind w:left="315" w:leftChars="150"/>
        <w:rPr>
          <w:rFonts w:ascii="宋体" w:hAnsi="宋体" w:cs="宋体"/>
          <w:color w:val="auto"/>
          <w:szCs w:val="21"/>
        </w:rPr>
      </w:pPr>
      <w:r>
        <w:rPr>
          <w:rFonts w:hint="eastAsia" w:ascii="宋体" w:hAnsi="宋体" w:cs="宋体"/>
          <w:color w:val="auto"/>
          <w:szCs w:val="21"/>
        </w:rPr>
        <w:t xml:space="preserve">1.2招标范围： </w:t>
      </w:r>
    </w:p>
    <w:p>
      <w:pPr>
        <w:spacing w:line="400" w:lineRule="exact"/>
        <w:ind w:left="315" w:leftChars="150" w:firstLine="210" w:firstLineChars="100"/>
        <w:rPr>
          <w:rFonts w:hint="eastAsia" w:ascii="宋体" w:hAnsi="宋体" w:cs="宋体"/>
          <w:color w:val="auto"/>
          <w:szCs w:val="21"/>
        </w:rPr>
      </w:pPr>
      <w:r>
        <w:rPr>
          <w:rFonts w:hint="eastAsia" w:ascii="宋体" w:hAnsi="宋体" w:cs="宋体"/>
          <w:color w:val="auto"/>
          <w:szCs w:val="21"/>
        </w:rPr>
        <w:t>1.2.1、本次招标范围（包括但不限于）</w:t>
      </w:r>
    </w:p>
    <w:tbl>
      <w:tblPr>
        <w:tblStyle w:val="46"/>
        <w:tblW w:w="94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679"/>
        <w:gridCol w:w="3652"/>
        <w:gridCol w:w="982"/>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规格、型号、技术参数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喷淋塔</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Ø2.5H5.0（m)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循环水泵</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Ø2.5H5.0（m)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四周围堰</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Ø2.5H5.0（m)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光催化活性炭一体机</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灯管120支，活性炭3120块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加药系统</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500L药剂桶+专业除臭剂，含加药泵</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8C-37kw</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风机隔音罩</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喷淋塔</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Ø1.0H3.0（m)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循环水泵</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Ø1.0H3.0（m)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四周围堰</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Ø1.0H3.0（m)</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光催化活性炭一体机</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灯管40支，活性炭780块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加药系统</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500L药剂桶+专业除臭剂，含加药泵</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PH/ORP</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4.5C-7.5kw</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风机隔音罩</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PH在线分析仪</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SIN-pH160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氨氮在线分析仪</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PCM300-NH3N</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采样器</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ZSC-VIB</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数据采集仪</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BG-DCE</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 在线分析仪</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PCM300-CODcr</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恶臭在线分析仪</w:t>
            </w:r>
          </w:p>
        </w:tc>
        <w:tc>
          <w:tcPr>
            <w:tcW w:w="3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MOT500-K3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在线监测设备安装调试费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管道及收集系统</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Φ300弯头、Φ300、Φ100、Φ100叉Φ0300、四周封闭集气罩、1.2米罩子、Φ300、Φ300叉Φ800、Φ300弯头、Φ800、Φ800弯头、雨帽Φ800、雨帽Φ300、检查口</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工程设备安装调试费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配电柜1</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37kw变频器1台催化18kw，3kw水泵2台，电缆管线铺设。</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配电柜2</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7.5kw变频器1台催化6kw，1.5kw水泵2台，，电缆管线铺设。</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路床（槽）整形</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1.部位:房前划线停车场；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2.压实度:符合设计及规范要求。</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碎石</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1.石料规格：级配碎石；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2.厚度：150mm厚。</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水泥混凝土</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1.混凝土强度等级：C25非泵送商品混凝土；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2.厚度：200mm厚；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3.含伸缩缝、养护、防滑、模板等相关工作内容。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现浇构件钢筋</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1.现浇构件带肋钢筋 螺纹钢HRB400。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挖沟槽土方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1.土壤类别：由投标单位自行测定；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2.挖土深度：详见施工图纸。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回填方</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1.填方材料品种：土方开挖后的原土；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2.密实度：符合设计要求；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3.报价考虑开挖土方场内运输费用。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实心砖墙</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1.砖品种、规格、强度等级：MU10水泥标准砖240×115×53mm；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2.砂浆强度等级、配合比：M7.5水泥砂浆。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墙面一般抹灰</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1.墙体类型：挡墙；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2.厚度、砂浆配合比：20mm厚1：3水泥砂浆。</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砖基础</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1.砖品种、规格、强度等级：MU10水泥标准砖240×115×53mm；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2.砂浆强度等级、配合比：M7.5水泥砂浆。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1.垫层材料种类、配合比、厚度：碎石垫层。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1.垫层材料种类、配合比、厚度：塘渣垫层。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垫层</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1.垫层材料种类、厚度：C20非泵送商品混凝土垫层；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2.报价含模板（面积=14.762㎡）。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带形基础</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1.混凝土种类：泵送商品混凝土C25；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2.报价含模板（面积=42.68㎡）。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构造柱</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1.混凝土种类：泵送商品混凝土C25；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2.报价含模板（面积=31.797㎡）。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基础梁</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1.混凝土种类：泵送商品混凝土C25；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2.报价含模板（面积=16.912㎡）。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现浇构件钢筋</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1.现浇构件带肋钢筋 圆钢HPB300。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现浇构件钢筋</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1.现浇构件带肋钢筋 螺纹钢HRB400。</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墙面脚手架</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1.钢管脚手架；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2.部位：挡墙。</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大型机械设备进出场及安拆</w:t>
            </w:r>
          </w:p>
        </w:tc>
        <w:tc>
          <w:tcPr>
            <w:tcW w:w="3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1.大型机械进出场费。</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spacing w:line="360" w:lineRule="auto"/>
        <w:rPr>
          <w:rFonts w:ascii="宋体" w:hAnsi="宋体" w:cs="宋体"/>
          <w:color w:val="0000FF"/>
          <w:szCs w:val="21"/>
        </w:rPr>
      </w:pPr>
    </w:p>
    <w:p>
      <w:pPr>
        <w:numPr>
          <w:ilvl w:val="0"/>
          <w:numId w:val="18"/>
        </w:numPr>
        <w:spacing w:line="360" w:lineRule="exact"/>
        <w:rPr>
          <w:rStyle w:val="103"/>
          <w:rFonts w:ascii="Arial" w:hAnsi="宋体" w:cs="宋体"/>
          <w:b/>
          <w:bCs/>
          <w:color w:val="auto"/>
        </w:rPr>
      </w:pPr>
      <w:r>
        <w:rPr>
          <w:rStyle w:val="103"/>
          <w:rFonts w:hint="eastAsia" w:ascii="Arial" w:hAnsi="宋体" w:cs="宋体"/>
          <w:b/>
          <w:bCs/>
          <w:color w:val="auto"/>
        </w:rPr>
        <w:t>主要设备材料品牌推荐表</w:t>
      </w:r>
    </w:p>
    <w:tbl>
      <w:tblPr>
        <w:tblStyle w:val="46"/>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015"/>
        <w:gridCol w:w="1725"/>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品牌一</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品牌二</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喷淋塔</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循环水泵</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光催化活性炭一体机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欣坤</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加药系统</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华瑞轩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风机隔音罩</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PH/ORP</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PH在线分析仪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氨氮在线分析仪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采样器</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COD 在线分析仪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恶臭在线分析仪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诺普泰克</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遥测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敏维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配电柜及元器件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人民电器</w:t>
            </w:r>
          </w:p>
        </w:tc>
      </w:tr>
    </w:tbl>
    <w:p>
      <w:pPr>
        <w:spacing w:line="360" w:lineRule="auto"/>
        <w:rPr>
          <w:rFonts w:ascii="宋体" w:hAnsi="宋体"/>
          <w:b/>
          <w:color w:val="auto"/>
          <w:szCs w:val="21"/>
        </w:rPr>
      </w:pPr>
      <w:r>
        <w:rPr>
          <w:rFonts w:ascii="宋体" w:hAnsi="宋体"/>
          <w:b/>
          <w:color w:val="auto"/>
          <w:szCs w:val="21"/>
        </w:rPr>
        <w:t>说明：</w:t>
      </w:r>
      <w:r>
        <w:rPr>
          <w:rFonts w:hint="eastAsia" w:ascii="宋体" w:hAnsi="宋体"/>
          <w:b/>
          <w:color w:val="auto"/>
          <w:szCs w:val="21"/>
        </w:rPr>
        <w:t>本招标项目采购人要求的关于本项目主要材料设备参考品牌见上表。参考品牌作为投标人投标报价的参考，投标人可以直接选用参考品牌，也可以自行另选品牌报价，但所选的品牌品质（品牌技术标准和质量等级）应当相当于或高于参考品牌。未经采购人确认擅自订货的，采购人对此不予计价。</w:t>
      </w:r>
    </w:p>
    <w:p>
      <w:pPr>
        <w:rPr>
          <w:color w:val="0000FF"/>
        </w:rPr>
      </w:pPr>
    </w:p>
    <w:p>
      <w:pPr>
        <w:numPr>
          <w:ilvl w:val="0"/>
          <w:numId w:val="18"/>
        </w:numPr>
        <w:spacing w:line="360" w:lineRule="exact"/>
        <w:rPr>
          <w:rStyle w:val="103"/>
          <w:rFonts w:ascii="Arial" w:hAnsi="宋体" w:cs="宋体"/>
          <w:b/>
          <w:bCs/>
          <w:color w:val="auto"/>
        </w:rPr>
      </w:pPr>
      <w:r>
        <w:rPr>
          <w:rStyle w:val="103"/>
          <w:rFonts w:hint="eastAsia" w:ascii="Arial" w:hAnsi="宋体" w:cs="宋体"/>
          <w:b/>
          <w:bCs/>
          <w:color w:val="auto"/>
        </w:rPr>
        <w:t>参考货物采购清单</w:t>
      </w:r>
    </w:p>
    <w:p>
      <w:pPr>
        <w:numPr>
          <w:ilvl w:val="0"/>
          <w:numId w:val="18"/>
        </w:numPr>
        <w:spacing w:line="360" w:lineRule="exact"/>
        <w:rPr>
          <w:rStyle w:val="103"/>
          <w:rFonts w:ascii="Arial" w:hAnsi="宋体" w:cs="宋体"/>
          <w:b/>
          <w:bCs/>
          <w:color w:val="auto"/>
        </w:rPr>
      </w:pPr>
      <w:r>
        <w:rPr>
          <w:rStyle w:val="103"/>
          <w:rFonts w:hint="eastAsia" w:ascii="Arial" w:hAnsi="宋体" w:cs="宋体"/>
          <w:b/>
          <w:bCs/>
          <w:color w:val="auto"/>
        </w:rPr>
        <w:t>商务要求：</w:t>
      </w:r>
    </w:p>
    <w:p>
      <w:pPr>
        <w:widowControl w:val="0"/>
        <w:numPr>
          <w:ilvl w:val="1"/>
          <w:numId w:val="20"/>
        </w:numPr>
        <w:tabs>
          <w:tab w:val="left" w:pos="851"/>
        </w:tabs>
        <w:spacing w:line="420" w:lineRule="exact"/>
        <w:ind w:firstLine="403"/>
        <w:jc w:val="both"/>
        <w:outlineLvl w:val="1"/>
        <w:rPr>
          <w:rFonts w:ascii="宋体" w:hAnsi="宋体" w:cs="宋体"/>
          <w:color w:val="auto"/>
          <w:szCs w:val="21"/>
        </w:rPr>
      </w:pPr>
      <w:bookmarkStart w:id="54" w:name="_Toc26485"/>
      <w:bookmarkStart w:id="55" w:name="_Toc9998"/>
      <w:r>
        <w:rPr>
          <w:rFonts w:hint="eastAsia" w:ascii="宋体" w:hAnsi="宋体" w:cs="宋体"/>
          <w:color w:val="auto"/>
          <w:szCs w:val="21"/>
        </w:rPr>
        <w:t>服务期：</w:t>
      </w:r>
      <w:r>
        <w:rPr>
          <w:rFonts w:hint="eastAsia" w:ascii="宋体" w:hAnsi="宋体" w:cs="宋体"/>
          <w:color w:val="auto"/>
          <w:szCs w:val="21"/>
          <w:lang w:eastAsia="zh-CN"/>
        </w:rPr>
        <w:t>45日历天，配合施工总承包工程进度</w:t>
      </w:r>
      <w:r>
        <w:rPr>
          <w:rFonts w:hint="eastAsia" w:ascii="宋体" w:hAnsi="宋体" w:cs="宋体"/>
          <w:color w:val="auto"/>
          <w:szCs w:val="21"/>
        </w:rPr>
        <w:t>。</w:t>
      </w:r>
      <w:bookmarkEnd w:id="54"/>
      <w:bookmarkEnd w:id="55"/>
    </w:p>
    <w:p>
      <w:pPr>
        <w:widowControl w:val="0"/>
        <w:numPr>
          <w:ilvl w:val="1"/>
          <w:numId w:val="20"/>
        </w:numPr>
        <w:tabs>
          <w:tab w:val="left" w:pos="851"/>
        </w:tabs>
        <w:spacing w:line="420" w:lineRule="exact"/>
        <w:ind w:firstLine="403"/>
        <w:jc w:val="both"/>
        <w:outlineLvl w:val="1"/>
        <w:rPr>
          <w:rFonts w:ascii="宋体" w:hAnsi="宋体" w:cs="宋体"/>
          <w:color w:val="auto"/>
          <w:szCs w:val="21"/>
        </w:rPr>
      </w:pPr>
      <w:bookmarkStart w:id="56" w:name="_Toc10645"/>
      <w:bookmarkStart w:id="57" w:name="_Toc3773"/>
      <w:r>
        <w:rPr>
          <w:rFonts w:hint="eastAsia" w:ascii="宋体" w:hAnsi="宋体" w:cs="宋体"/>
          <w:color w:val="auto"/>
          <w:szCs w:val="21"/>
        </w:rPr>
        <w:t>设备安装调试完成后必须辅导协助使用方懂得使用及主要设备基本维护，并保证售后服务承诺。</w:t>
      </w:r>
      <w:bookmarkEnd w:id="56"/>
      <w:bookmarkEnd w:id="57"/>
    </w:p>
    <w:p>
      <w:pPr>
        <w:widowControl w:val="0"/>
        <w:numPr>
          <w:ilvl w:val="1"/>
          <w:numId w:val="20"/>
        </w:numPr>
        <w:tabs>
          <w:tab w:val="left" w:pos="851"/>
        </w:tabs>
        <w:spacing w:line="420" w:lineRule="exact"/>
        <w:ind w:firstLine="403"/>
        <w:jc w:val="both"/>
        <w:outlineLvl w:val="1"/>
        <w:rPr>
          <w:rFonts w:ascii="宋体" w:hAnsi="宋体" w:cs="宋体"/>
          <w:color w:val="auto"/>
          <w:szCs w:val="21"/>
        </w:rPr>
      </w:pPr>
      <w:bookmarkStart w:id="58" w:name="_Toc27179"/>
      <w:bookmarkStart w:id="59" w:name="_Toc14252"/>
      <w:bookmarkStart w:id="60" w:name="_Toc12627"/>
      <w:bookmarkStart w:id="61" w:name="_Toc26907"/>
      <w:bookmarkStart w:id="62" w:name="_Toc9041"/>
      <w:r>
        <w:rPr>
          <w:rFonts w:hint="eastAsia" w:ascii="宋体" w:hAnsi="宋体" w:cs="宋体"/>
          <w:color w:val="auto"/>
          <w:szCs w:val="21"/>
        </w:rPr>
        <w:t>履约保证金： 成交供应商须提交相当于合同总价1%的履约保证金(以银行转账、转帐支票、银行汇票、保险或金融机构出具的保函等形式)；</w:t>
      </w:r>
      <w:bookmarkEnd w:id="58"/>
      <w:bookmarkEnd w:id="59"/>
    </w:p>
    <w:p>
      <w:pPr>
        <w:numPr>
          <w:ilvl w:val="0"/>
          <w:numId w:val="21"/>
        </w:numPr>
        <w:tabs>
          <w:tab w:val="left" w:pos="420"/>
        </w:tabs>
        <w:spacing w:line="420" w:lineRule="exact"/>
        <w:ind w:left="0" w:firstLine="425"/>
        <w:rPr>
          <w:rFonts w:ascii="宋体" w:hAnsi="宋体" w:cs="宋体"/>
          <w:color w:val="auto"/>
          <w:szCs w:val="21"/>
        </w:rPr>
      </w:pPr>
      <w:r>
        <w:rPr>
          <w:rFonts w:hint="eastAsia" w:ascii="宋体" w:hAnsi="宋体" w:cs="宋体"/>
          <w:color w:val="auto"/>
          <w:szCs w:val="21"/>
        </w:rPr>
        <w:t>若以银行转账、转帐支票、银行汇票形式提交的履约保证金在项目</w:t>
      </w:r>
      <w:r>
        <w:rPr>
          <w:rFonts w:hint="eastAsia"/>
          <w:color w:val="auto"/>
        </w:rPr>
        <w:t>验收合格后予以退还（无息）。如供应商存在违约或所供货物存在质量问题，采购人有权没收履约保证金。该款可在采购人应付给供应商的任何款项中直接扣除</w:t>
      </w:r>
      <w:r>
        <w:rPr>
          <w:rFonts w:hint="eastAsia" w:ascii="宋体" w:hAnsi="宋体" w:cs="宋体"/>
          <w:color w:val="auto"/>
          <w:szCs w:val="21"/>
        </w:rPr>
        <w:t>。</w:t>
      </w:r>
    </w:p>
    <w:p>
      <w:pPr>
        <w:numPr>
          <w:ilvl w:val="0"/>
          <w:numId w:val="21"/>
        </w:numPr>
        <w:tabs>
          <w:tab w:val="left" w:pos="420"/>
        </w:tabs>
        <w:spacing w:line="420" w:lineRule="exact"/>
        <w:ind w:left="0" w:firstLine="425"/>
        <w:rPr>
          <w:rFonts w:ascii="宋体" w:hAnsi="宋体" w:cs="宋体"/>
          <w:color w:val="auto"/>
          <w:szCs w:val="21"/>
        </w:rPr>
      </w:pPr>
      <w:r>
        <w:rPr>
          <w:rFonts w:hint="eastAsia" w:ascii="宋体" w:hAnsi="宋体" w:cs="宋体"/>
          <w:color w:val="auto"/>
          <w:szCs w:val="21"/>
        </w:rPr>
        <w:t>若采用银行保函、保险机构保证保险保单和融资担保公司保函形式提交至采购人，应满足以下几个条件：①保函开具方需开通官方网站进行在线查询功能。采购人通过开具方的官方网站进行在线查询后，可以确认真实性的，对原件进行收讫。否则，采购人有权不予收讫。②为见索即付保函：即在成交供应商没有实施合同或者未履行合同义务时，采购人不需要出具任何证明和理由，只要看到成交供应商违约，就可对保函进行收兑；③保函期限：若以保函形式提交的履约保证金的有效期：自生效日期起至保修期结束后终止；④如果保函出具机构要求分期出具保函的，则在前一份保函有效期满之日2个月前必须重新出具相同内容的保函；若不出具，采购人有权对保函进行收兑。</w:t>
      </w:r>
    </w:p>
    <w:p>
      <w:pPr>
        <w:widowControl w:val="0"/>
        <w:numPr>
          <w:ilvl w:val="1"/>
          <w:numId w:val="20"/>
        </w:numPr>
        <w:tabs>
          <w:tab w:val="left" w:pos="851"/>
        </w:tabs>
        <w:spacing w:line="420" w:lineRule="exact"/>
        <w:ind w:firstLine="403"/>
        <w:jc w:val="both"/>
        <w:outlineLvl w:val="1"/>
        <w:rPr>
          <w:color w:val="0000FF"/>
        </w:rPr>
      </w:pPr>
      <w:bookmarkStart w:id="63" w:name="_Toc10648"/>
      <w:bookmarkStart w:id="64" w:name="_Toc14842"/>
      <w:r>
        <w:rPr>
          <w:rFonts w:hint="eastAsia" w:ascii="宋体" w:hAnsi="宋体" w:cs="宋体"/>
          <w:color w:val="0000FF"/>
          <w:szCs w:val="21"/>
        </w:rPr>
        <w:t>付款方式：</w:t>
      </w:r>
      <w:bookmarkEnd w:id="63"/>
      <w:bookmarkEnd w:id="64"/>
      <w:r>
        <w:rPr>
          <w:rFonts w:hint="eastAsia"/>
          <w:color w:val="0000FF"/>
        </w:rPr>
        <w:t>①合同签订后7个工作日内（合同生效以及具备实施条件后），采购人向成交供应商支付合同总额的40%（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根据《浙江省财政厅关于进一步发挥政府采购政策功能全力推动经济稳进提升的通知》浙财采监[2022]3号文件））。②室内管道到货安装完毕并收到发票后7个工作日内（满足合同约定支付条件的）支付至合同价款的</w:t>
      </w:r>
      <w:r>
        <w:rPr>
          <w:rFonts w:hint="eastAsia"/>
          <w:color w:val="0000FF"/>
          <w:lang w:val="en-US" w:eastAsia="zh-CN"/>
        </w:rPr>
        <w:t>7</w:t>
      </w:r>
      <w:r>
        <w:rPr>
          <w:rFonts w:hint="eastAsia"/>
          <w:color w:val="0000FF"/>
        </w:rPr>
        <w:t>0%（含预付款）；③全部设备到货安装完毕经业主确认后，并收到发票后7个工作日内（满足合同约定支付条件的）支付至合同价款的</w:t>
      </w:r>
      <w:r>
        <w:rPr>
          <w:rFonts w:hint="eastAsia"/>
          <w:color w:val="0000FF"/>
          <w:lang w:val="en-US" w:eastAsia="zh-CN"/>
        </w:rPr>
        <w:t>9</w:t>
      </w:r>
      <w:r>
        <w:rPr>
          <w:rFonts w:hint="eastAsia"/>
          <w:color w:val="0000FF"/>
        </w:rPr>
        <w:t>5%；④竣工验收合格并办理结算后，采购人向成交供应商结清尾款。以上付款节点需以财政资金已经到位为前提。</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0000FF"/>
          <w:kern w:val="0"/>
          <w:sz w:val="21"/>
          <w:szCs w:val="21"/>
        </w:rPr>
        <w:t xml:space="preserve"> </w:t>
      </w:r>
      <w:r>
        <w:rPr>
          <w:rFonts w:hint="eastAsia" w:ascii="宋体" w:hAnsi="宋体" w:eastAsia="宋体" w:cs="宋体"/>
          <w:b/>
          <w:bCs/>
          <w:color w:val="auto"/>
          <w:kern w:val="0"/>
          <w:sz w:val="21"/>
          <w:szCs w:val="21"/>
        </w:rPr>
        <w:t>注：①预付款担保（采购人视中标供应商资信情况，可要求供应商向采购人开具预付款担保）：</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1）提交预付款担保的期限：供应商自采购人支付预付款7天前提供预付款担保。</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2）预付款担保的形式为：采用银行、保险机构出具的形式。保函为见索即付保函：即在供应商没有实施合同或者未履行合同义务时，采购人不需要出具任何证明和理由，只要看到供应商违约，就可对保函进行收兑。</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3）采购人在合同款中逐期扣回预付款后，预付款担保额度应相应减少，但剩余的预付款担保金额不得低于未被扣回的预付款金额。</w:t>
      </w:r>
    </w:p>
    <w:p>
      <w:pPr>
        <w:numPr>
          <w:ilvl w:val="0"/>
          <w:numId w:val="18"/>
        </w:numPr>
        <w:spacing w:line="360" w:lineRule="exact"/>
        <w:rPr>
          <w:rStyle w:val="103"/>
          <w:rFonts w:ascii="Arial" w:hAnsi="宋体" w:cs="宋体"/>
          <w:b/>
          <w:bCs/>
          <w:color w:val="auto"/>
        </w:rPr>
      </w:pPr>
      <w:r>
        <w:rPr>
          <w:rStyle w:val="103"/>
          <w:rFonts w:hint="eastAsia" w:ascii="Arial" w:hAnsi="宋体" w:cs="宋体"/>
          <w:b/>
          <w:bCs/>
          <w:color w:val="auto"/>
        </w:rPr>
        <w:t>其他要求</w:t>
      </w:r>
      <w:bookmarkEnd w:id="60"/>
      <w:bookmarkEnd w:id="61"/>
      <w:bookmarkEnd w:id="62"/>
    </w:p>
    <w:p>
      <w:pPr>
        <w:widowControl w:val="0"/>
        <w:numPr>
          <w:ilvl w:val="1"/>
          <w:numId w:val="22"/>
        </w:numPr>
        <w:tabs>
          <w:tab w:val="left" w:pos="851"/>
        </w:tabs>
        <w:spacing w:line="420" w:lineRule="exact"/>
        <w:ind w:firstLine="425"/>
        <w:jc w:val="both"/>
        <w:outlineLvl w:val="1"/>
        <w:rPr>
          <w:rFonts w:ascii="宋体" w:hAnsi="宋体" w:cs="宋体"/>
          <w:color w:val="auto"/>
          <w:szCs w:val="21"/>
        </w:rPr>
      </w:pPr>
      <w:bookmarkStart w:id="65" w:name="_Toc28531"/>
      <w:bookmarkStart w:id="66" w:name="_Toc6832"/>
      <w:r>
        <w:rPr>
          <w:rFonts w:hint="eastAsia" w:ascii="宋体" w:hAnsi="宋体" w:cs="宋体"/>
          <w:color w:val="auto"/>
          <w:szCs w:val="21"/>
        </w:rPr>
        <w:t>磋商文件中的技术要求不得被认为是详尽无遗的，无论规定与否，磋商供应商应提供采购人没有规定但磋商供应商认为完成本项目操作和使用，必要或必须的设备和材料，并应在报价明细表中一一列明；</w:t>
      </w:r>
      <w:bookmarkEnd w:id="65"/>
      <w:bookmarkEnd w:id="66"/>
    </w:p>
    <w:p>
      <w:pPr>
        <w:widowControl w:val="0"/>
        <w:numPr>
          <w:ilvl w:val="1"/>
          <w:numId w:val="22"/>
        </w:numPr>
        <w:tabs>
          <w:tab w:val="left" w:pos="851"/>
        </w:tabs>
        <w:spacing w:line="420" w:lineRule="exact"/>
        <w:ind w:firstLine="425"/>
        <w:jc w:val="both"/>
        <w:outlineLvl w:val="1"/>
        <w:rPr>
          <w:rFonts w:ascii="宋体" w:hAnsi="宋体" w:cs="宋体"/>
          <w:color w:val="auto"/>
          <w:szCs w:val="21"/>
        </w:rPr>
      </w:pPr>
      <w:bookmarkStart w:id="67" w:name="_Toc24697"/>
      <w:bookmarkStart w:id="68" w:name="_Toc16074"/>
      <w:r>
        <w:rPr>
          <w:rFonts w:hint="eastAsia" w:ascii="宋体" w:hAnsi="宋体" w:cs="宋体"/>
          <w:color w:val="auto"/>
          <w:szCs w:val="21"/>
        </w:rPr>
        <w:t>上述设备如无特别说明应为制造厂商出厂的原装配置。供应商应对清单中所列设备及其所有附件和配置进行报价，不允许只对其中部分设备或内容进行报价；</w:t>
      </w:r>
      <w:bookmarkEnd w:id="67"/>
      <w:bookmarkEnd w:id="68"/>
    </w:p>
    <w:p>
      <w:pPr>
        <w:widowControl w:val="0"/>
        <w:numPr>
          <w:ilvl w:val="1"/>
          <w:numId w:val="22"/>
        </w:numPr>
        <w:tabs>
          <w:tab w:val="left" w:pos="851"/>
        </w:tabs>
        <w:spacing w:line="420" w:lineRule="exact"/>
        <w:ind w:firstLine="425"/>
        <w:jc w:val="both"/>
        <w:outlineLvl w:val="1"/>
        <w:rPr>
          <w:rFonts w:ascii="宋体" w:hAnsi="宋体" w:cs="宋体"/>
          <w:color w:val="auto"/>
          <w:szCs w:val="21"/>
        </w:rPr>
      </w:pPr>
      <w:bookmarkStart w:id="69" w:name="_Toc21165"/>
      <w:bookmarkStart w:id="70" w:name="_Toc3681"/>
      <w:r>
        <w:rPr>
          <w:rFonts w:hint="eastAsia" w:ascii="宋体" w:hAnsi="宋体" w:cs="宋体"/>
          <w:color w:val="auto"/>
          <w:szCs w:val="21"/>
        </w:rPr>
        <w:t>磋商供应商的磋商响应文件应该真实、全面、完整，应提供完整的项目设计和实施方案，详细阐述对本项目总体要求的理解。包括：功能说明、性能指标及设备选型说明（质量、性能、价格、外观、体积等方面进行比较和选择的理由和过程），明确设备、材料的具体品牌、型号和数量，符合磋商文件的要求；</w:t>
      </w:r>
      <w:bookmarkEnd w:id="69"/>
      <w:bookmarkEnd w:id="70"/>
    </w:p>
    <w:p>
      <w:pPr>
        <w:widowControl w:val="0"/>
        <w:numPr>
          <w:ilvl w:val="1"/>
          <w:numId w:val="22"/>
        </w:numPr>
        <w:tabs>
          <w:tab w:val="left" w:pos="851"/>
        </w:tabs>
        <w:spacing w:line="420" w:lineRule="exact"/>
        <w:ind w:firstLine="425"/>
        <w:jc w:val="both"/>
        <w:outlineLvl w:val="1"/>
        <w:rPr>
          <w:color w:val="auto"/>
        </w:rPr>
      </w:pPr>
      <w:bookmarkStart w:id="71" w:name="_Toc23996"/>
      <w:bookmarkStart w:id="72" w:name="_Toc26519"/>
      <w:r>
        <w:rPr>
          <w:rFonts w:hint="eastAsia" w:ascii="宋体" w:hAnsi="宋体" w:cs="宋体"/>
          <w:color w:val="auto"/>
          <w:szCs w:val="21"/>
        </w:rPr>
        <w:t>磋商供应商可以根据实际经验，提出合理化建设，提供最优化方案，以满足整体系统运行需要；</w:t>
      </w:r>
      <w:bookmarkEnd w:id="71"/>
      <w:bookmarkEnd w:id="72"/>
    </w:p>
    <w:p>
      <w:pPr>
        <w:widowControl w:val="0"/>
        <w:numPr>
          <w:ilvl w:val="1"/>
          <w:numId w:val="22"/>
        </w:numPr>
        <w:tabs>
          <w:tab w:val="left" w:pos="851"/>
        </w:tabs>
        <w:spacing w:line="420" w:lineRule="exact"/>
        <w:ind w:firstLine="425"/>
        <w:jc w:val="both"/>
        <w:outlineLvl w:val="1"/>
        <w:rPr>
          <w:rFonts w:ascii="宋体" w:hAnsi="宋体" w:cs="宋体"/>
          <w:color w:val="auto"/>
          <w:szCs w:val="21"/>
        </w:rPr>
      </w:pPr>
      <w:bookmarkStart w:id="73" w:name="_Toc20759"/>
      <w:bookmarkStart w:id="74" w:name="_Toc17178"/>
      <w:r>
        <w:rPr>
          <w:rStyle w:val="103"/>
          <w:rFonts w:hint="eastAsia" w:ascii="宋体" w:hAnsi="宋体" w:cs="宋体"/>
          <w:color w:val="auto"/>
          <w:szCs w:val="21"/>
        </w:rPr>
        <w:t>★</w:t>
      </w:r>
      <w:r>
        <w:rPr>
          <w:rFonts w:ascii="宋体" w:hAnsi="宋体" w:cs="宋体"/>
          <w:color w:val="auto"/>
          <w:szCs w:val="21"/>
        </w:rPr>
        <w:t>号技术参数不作为无效标条款，用以证明设备材料质量及性能档次，缺项则影响技术评分</w:t>
      </w:r>
      <w:r>
        <w:rPr>
          <w:rFonts w:hint="eastAsia" w:ascii="宋体" w:hAnsi="宋体" w:cs="宋体"/>
          <w:color w:val="auto"/>
          <w:szCs w:val="21"/>
        </w:rPr>
        <w:t>；</w:t>
      </w:r>
      <w:bookmarkEnd w:id="73"/>
      <w:bookmarkEnd w:id="74"/>
    </w:p>
    <w:p>
      <w:pPr>
        <w:widowControl w:val="0"/>
        <w:numPr>
          <w:ilvl w:val="1"/>
          <w:numId w:val="22"/>
        </w:numPr>
        <w:tabs>
          <w:tab w:val="left" w:pos="851"/>
        </w:tabs>
        <w:spacing w:line="420" w:lineRule="exact"/>
        <w:ind w:firstLine="425"/>
        <w:jc w:val="both"/>
        <w:outlineLvl w:val="1"/>
        <w:rPr>
          <w:rFonts w:ascii="宋体" w:hAnsi="宋体" w:cs="宋体"/>
          <w:b/>
          <w:bCs/>
          <w:color w:val="auto"/>
          <w:szCs w:val="21"/>
        </w:rPr>
      </w:pPr>
      <w:bookmarkStart w:id="75" w:name="_Toc7003"/>
      <w:bookmarkStart w:id="76" w:name="_Toc12112"/>
      <w:r>
        <w:rPr>
          <w:rFonts w:hint="eastAsia" w:ascii="宋体" w:hAnsi="宋体" w:cs="宋体"/>
          <w:b/>
          <w:bCs/>
          <w:color w:val="auto"/>
          <w:szCs w:val="21"/>
        </w:rPr>
        <w:t>整体</w:t>
      </w:r>
      <w:r>
        <w:rPr>
          <w:rFonts w:ascii="宋体" w:hAnsi="宋体" w:cs="宋体"/>
          <w:b/>
          <w:bCs/>
          <w:color w:val="auto"/>
          <w:szCs w:val="21"/>
        </w:rPr>
        <w:t>质保期</w:t>
      </w:r>
      <w:r>
        <w:rPr>
          <w:rFonts w:hint="eastAsia" w:ascii="宋体" w:hAnsi="宋体" w:cs="宋体"/>
          <w:b/>
          <w:bCs/>
          <w:color w:val="auto"/>
          <w:szCs w:val="21"/>
        </w:rPr>
        <w:t>24</w:t>
      </w:r>
      <w:r>
        <w:rPr>
          <w:rFonts w:ascii="宋体" w:hAnsi="宋体" w:cs="宋体"/>
          <w:b/>
          <w:bCs/>
          <w:color w:val="auto"/>
          <w:szCs w:val="21"/>
        </w:rPr>
        <w:t>个月</w:t>
      </w:r>
      <w:r>
        <w:rPr>
          <w:rFonts w:hint="eastAsia" w:ascii="宋体" w:hAnsi="宋体" w:cs="宋体"/>
          <w:b/>
          <w:bCs/>
          <w:color w:val="auto"/>
          <w:szCs w:val="21"/>
        </w:rPr>
        <w:t>；</w:t>
      </w:r>
      <w:bookmarkEnd w:id="75"/>
      <w:bookmarkEnd w:id="76"/>
    </w:p>
    <w:p>
      <w:pPr>
        <w:widowControl w:val="0"/>
        <w:numPr>
          <w:ilvl w:val="1"/>
          <w:numId w:val="22"/>
        </w:numPr>
        <w:tabs>
          <w:tab w:val="left" w:pos="851"/>
        </w:tabs>
        <w:spacing w:line="420" w:lineRule="exact"/>
        <w:ind w:firstLine="425"/>
        <w:jc w:val="both"/>
        <w:outlineLvl w:val="1"/>
        <w:rPr>
          <w:rFonts w:ascii="宋体" w:hAnsi="宋体" w:cs="宋体"/>
          <w:color w:val="auto"/>
          <w:szCs w:val="21"/>
        </w:rPr>
      </w:pPr>
      <w:bookmarkStart w:id="77" w:name="_Toc17906"/>
      <w:bookmarkStart w:id="78" w:name="_Toc13746"/>
      <w:r>
        <w:rPr>
          <w:rFonts w:ascii="宋体" w:hAnsi="宋体" w:cs="宋体"/>
          <w:color w:val="auto"/>
          <w:szCs w:val="21"/>
        </w:rPr>
        <w:t>中标单位中标后需对图纸进行深化，并经采购人确认。</w:t>
      </w:r>
      <w:bookmarkEnd w:id="77"/>
      <w:bookmarkEnd w:id="78"/>
    </w:p>
    <w:p>
      <w:pPr>
        <w:widowControl w:val="0"/>
        <w:numPr>
          <w:ilvl w:val="1"/>
          <w:numId w:val="22"/>
        </w:numPr>
        <w:tabs>
          <w:tab w:val="left" w:pos="851"/>
        </w:tabs>
        <w:spacing w:line="420" w:lineRule="exact"/>
        <w:ind w:firstLine="425"/>
        <w:jc w:val="both"/>
        <w:outlineLvl w:val="1"/>
        <w:rPr>
          <w:rFonts w:ascii="宋体" w:hAnsi="宋体" w:cs="宋体"/>
          <w:color w:val="auto"/>
          <w:szCs w:val="21"/>
        </w:rPr>
        <w:sectPr>
          <w:footerReference r:id="rId3" w:type="default"/>
          <w:pgSz w:w="11906" w:h="16838"/>
          <w:pgMar w:top="2058" w:right="1418" w:bottom="1418" w:left="1418" w:header="851" w:footer="737" w:gutter="0"/>
          <w:pgNumType w:start="1"/>
          <w:cols w:space="720" w:num="1"/>
          <w:docGrid w:linePitch="312" w:charSpace="0"/>
        </w:sectPr>
      </w:pPr>
      <w:r>
        <w:rPr>
          <w:rFonts w:hint="eastAsia" w:ascii="宋体" w:hAnsi="宋体" w:cs="宋体"/>
          <w:color w:val="auto"/>
          <w:szCs w:val="21"/>
        </w:rPr>
        <w:t>投标报价中不计总承包服务费，但需服从总包单位的管理。如在施工安装过程中需总包单位配合开洞、修补、零星砌筑等工作增加的费用，或需总包单位提供总承包管理、协调及配合服务费以外的相关设备、设施等，由双方另行协商确定相关费用，费用由供应商支付给总包单位。</w:t>
      </w:r>
    </w:p>
    <w:p>
      <w:pPr>
        <w:pStyle w:val="4"/>
        <w:keepNext w:val="0"/>
        <w:keepLines w:val="0"/>
        <w:pageBreakBefore/>
        <w:spacing w:before="312" w:beforeLines="100" w:after="312" w:afterLines="100" w:line="400" w:lineRule="atLeast"/>
        <w:jc w:val="center"/>
        <w:rPr>
          <w:rFonts w:hAnsi="宋体"/>
          <w:color w:val="auto"/>
          <w:sz w:val="28"/>
          <w:szCs w:val="36"/>
        </w:rPr>
      </w:pPr>
      <w:bookmarkStart w:id="79" w:name="_Toc8109"/>
      <w:r>
        <w:rPr>
          <w:rFonts w:hint="eastAsia" w:hAnsi="宋体"/>
          <w:color w:val="auto"/>
          <w:sz w:val="28"/>
          <w:szCs w:val="36"/>
        </w:rPr>
        <w:t>第四部分  合同条款</w:t>
      </w:r>
      <w:bookmarkEnd w:id="53"/>
      <w:bookmarkEnd w:id="79"/>
    </w:p>
    <w:p>
      <w:pPr>
        <w:jc w:val="center"/>
        <w:rPr>
          <w:color w:val="auto"/>
          <w:szCs w:val="21"/>
        </w:rPr>
      </w:pPr>
      <w:r>
        <w:rPr>
          <w:rStyle w:val="49"/>
          <w:rFonts w:hint="eastAsia" w:ascii="宋体" w:hAnsi="宋体"/>
          <w:color w:val="auto"/>
          <w:szCs w:val="21"/>
        </w:rPr>
        <w:t>供  货  合  同</w:t>
      </w:r>
    </w:p>
    <w:p>
      <w:pPr>
        <w:snapToGrid w:val="0"/>
        <w:spacing w:line="360" w:lineRule="exact"/>
        <w:rPr>
          <w:rFonts w:ascii="宋体" w:hAnsi="宋体"/>
          <w:color w:val="auto"/>
          <w:szCs w:val="21"/>
        </w:rPr>
      </w:pPr>
      <w:r>
        <w:rPr>
          <w:rFonts w:hint="eastAsia" w:ascii="宋体" w:hAnsi="宋体"/>
          <w:color w:val="auto"/>
          <w:szCs w:val="21"/>
        </w:rPr>
        <w:t>甲方（委托方）：</w:t>
      </w:r>
      <w:r>
        <w:rPr>
          <w:rFonts w:hint="eastAsia" w:ascii="宋体" w:hAnsi="宋体"/>
          <w:color w:val="auto"/>
          <w:szCs w:val="21"/>
          <w:u w:val="single"/>
        </w:rPr>
        <w:t xml:space="preserve">                          </w:t>
      </w:r>
    </w:p>
    <w:p>
      <w:pPr>
        <w:snapToGrid w:val="0"/>
        <w:spacing w:line="360" w:lineRule="exact"/>
        <w:rPr>
          <w:rFonts w:ascii="宋体" w:hAnsi="宋体"/>
          <w:color w:val="auto"/>
          <w:szCs w:val="21"/>
        </w:rPr>
      </w:pPr>
      <w:r>
        <w:rPr>
          <w:rFonts w:hint="eastAsia" w:ascii="宋体" w:hAnsi="宋体"/>
          <w:color w:val="auto"/>
          <w:szCs w:val="21"/>
        </w:rPr>
        <w:t>乙方（受托方）：</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exact"/>
        <w:ind w:firstLine="420" w:firstLineChars="200"/>
        <w:rPr>
          <w:rFonts w:ascii="宋体" w:hAnsi="宋体"/>
          <w:color w:val="auto"/>
          <w:szCs w:val="21"/>
          <w:u w:val="single"/>
        </w:rPr>
      </w:pPr>
      <w:r>
        <w:rPr>
          <w:rFonts w:hint="eastAsia" w:ascii="宋体" w:hAnsi="宋体"/>
          <w:color w:val="auto"/>
          <w:szCs w:val="21"/>
        </w:rPr>
        <w:t>为了保护各方合法权益，根据《中华人民共和国政府采购法》、《政府采购货物和服务招标投标管理办法》、《中华人民共和国政府采购法实施条例》等相关法律法规的规定并严格遵循</w:t>
      </w:r>
      <w:r>
        <w:rPr>
          <w:rFonts w:hint="eastAsia" w:ascii="宋体" w:hAnsi="宋体" w:cs="Arial"/>
          <w:color w:val="auto"/>
          <w:szCs w:val="21"/>
          <w:u w:val="single"/>
          <w:lang w:eastAsia="zh-CN"/>
        </w:rPr>
        <w:t>曹村镇无废村镇试点（垃圾分类主题公园扩建二期）配套环保工程设备采购</w:t>
      </w:r>
      <w:r>
        <w:rPr>
          <w:rFonts w:hint="eastAsia" w:ascii="宋体" w:hAnsi="宋体"/>
          <w:color w:val="auto"/>
          <w:szCs w:val="21"/>
        </w:rPr>
        <w:t>项目 [项目编</w:t>
      </w:r>
      <w:r>
        <w:rPr>
          <w:rFonts w:hint="eastAsia" w:ascii="宋体" w:hAnsi="宋体"/>
          <w:color w:val="auto"/>
          <w:szCs w:val="21"/>
          <w:u w:val="single"/>
        </w:rPr>
        <w:t xml:space="preserve">号：            </w:t>
      </w:r>
      <w:r>
        <w:rPr>
          <w:rFonts w:hint="eastAsia" w:ascii="宋体" w:hAnsi="宋体"/>
          <w:color w:val="auto"/>
          <w:szCs w:val="21"/>
        </w:rPr>
        <w:t>采购文件中的相关规定，签订本合同，并共同遵守。</w:t>
      </w:r>
    </w:p>
    <w:p>
      <w:pPr>
        <w:snapToGrid w:val="0"/>
        <w:spacing w:line="360" w:lineRule="exact"/>
        <w:ind w:firstLine="210" w:firstLineChars="100"/>
        <w:rPr>
          <w:rFonts w:ascii="宋体" w:hAnsi="宋体"/>
          <w:color w:val="auto"/>
          <w:szCs w:val="21"/>
        </w:rPr>
      </w:pPr>
      <w:r>
        <w:rPr>
          <w:rFonts w:hint="eastAsia" w:ascii="宋体" w:hAnsi="宋体"/>
          <w:color w:val="auto"/>
          <w:szCs w:val="21"/>
        </w:rPr>
        <w:t>一、采购货物名称、型号、规格和主要配置、单价、数量、金额。</w:t>
      </w:r>
    </w:p>
    <w:tbl>
      <w:tblPr>
        <w:tblStyle w:val="46"/>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96"/>
        <w:gridCol w:w="2436"/>
        <w:gridCol w:w="734"/>
        <w:gridCol w:w="1075"/>
        <w:gridCol w:w="107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bottom"/>
          </w:tcPr>
          <w:p>
            <w:pPr>
              <w:snapToGrid w:val="0"/>
              <w:spacing w:line="360" w:lineRule="exact"/>
              <w:rPr>
                <w:rFonts w:ascii="宋体" w:hAnsi="宋体"/>
                <w:color w:val="auto"/>
                <w:szCs w:val="21"/>
              </w:rPr>
            </w:pPr>
            <w:r>
              <w:rPr>
                <w:rFonts w:hint="eastAsia" w:ascii="宋体" w:hAnsi="宋体"/>
                <w:color w:val="auto"/>
                <w:szCs w:val="21"/>
              </w:rPr>
              <w:t>序号</w:t>
            </w:r>
          </w:p>
        </w:tc>
        <w:tc>
          <w:tcPr>
            <w:tcW w:w="1696" w:type="dxa"/>
            <w:vAlign w:val="bottom"/>
          </w:tcPr>
          <w:p>
            <w:pPr>
              <w:snapToGrid w:val="0"/>
              <w:spacing w:line="360" w:lineRule="exact"/>
              <w:ind w:firstLine="210" w:firstLineChars="100"/>
              <w:rPr>
                <w:rFonts w:ascii="宋体" w:hAnsi="宋体"/>
                <w:color w:val="auto"/>
                <w:szCs w:val="21"/>
              </w:rPr>
            </w:pPr>
            <w:r>
              <w:rPr>
                <w:rFonts w:hint="eastAsia" w:ascii="宋体" w:hAnsi="宋体"/>
                <w:color w:val="auto"/>
                <w:szCs w:val="21"/>
              </w:rPr>
              <w:t>商品名称</w:t>
            </w:r>
          </w:p>
        </w:tc>
        <w:tc>
          <w:tcPr>
            <w:tcW w:w="2436" w:type="dxa"/>
            <w:vAlign w:val="bottom"/>
          </w:tcPr>
          <w:p>
            <w:pPr>
              <w:snapToGrid w:val="0"/>
              <w:spacing w:line="360" w:lineRule="exact"/>
              <w:ind w:firstLine="420" w:firstLineChars="200"/>
              <w:rPr>
                <w:rFonts w:ascii="宋体" w:hAnsi="宋体"/>
                <w:color w:val="auto"/>
                <w:szCs w:val="21"/>
              </w:rPr>
            </w:pPr>
            <w:r>
              <w:rPr>
                <w:rFonts w:hint="eastAsia" w:ascii="宋体" w:hAnsi="宋体"/>
                <w:color w:val="auto"/>
                <w:szCs w:val="21"/>
              </w:rPr>
              <w:t>规格型号</w:t>
            </w:r>
          </w:p>
        </w:tc>
        <w:tc>
          <w:tcPr>
            <w:tcW w:w="734" w:type="dxa"/>
            <w:vAlign w:val="bottom"/>
          </w:tcPr>
          <w:p>
            <w:pPr>
              <w:snapToGrid w:val="0"/>
              <w:spacing w:line="360" w:lineRule="exact"/>
              <w:rPr>
                <w:rFonts w:ascii="宋体" w:hAnsi="宋体"/>
                <w:color w:val="auto"/>
                <w:szCs w:val="21"/>
              </w:rPr>
            </w:pPr>
            <w:r>
              <w:rPr>
                <w:rFonts w:hint="eastAsia" w:ascii="宋体" w:hAnsi="宋体"/>
                <w:color w:val="auto"/>
                <w:szCs w:val="21"/>
              </w:rPr>
              <w:t>数量</w:t>
            </w:r>
          </w:p>
        </w:tc>
        <w:tc>
          <w:tcPr>
            <w:tcW w:w="1075" w:type="dxa"/>
            <w:vAlign w:val="bottom"/>
          </w:tcPr>
          <w:p>
            <w:pPr>
              <w:snapToGrid w:val="0"/>
              <w:spacing w:line="360" w:lineRule="exact"/>
              <w:ind w:firstLine="210" w:firstLineChars="100"/>
              <w:rPr>
                <w:rFonts w:ascii="宋体" w:hAnsi="宋体"/>
                <w:color w:val="auto"/>
                <w:szCs w:val="21"/>
              </w:rPr>
            </w:pPr>
            <w:r>
              <w:rPr>
                <w:rFonts w:hint="eastAsia" w:ascii="宋体" w:hAnsi="宋体"/>
                <w:color w:val="auto"/>
                <w:szCs w:val="21"/>
              </w:rPr>
              <w:t>单价</w:t>
            </w:r>
          </w:p>
        </w:tc>
        <w:tc>
          <w:tcPr>
            <w:tcW w:w="1075" w:type="dxa"/>
            <w:vAlign w:val="bottom"/>
          </w:tcPr>
          <w:p>
            <w:pPr>
              <w:snapToGrid w:val="0"/>
              <w:spacing w:line="360" w:lineRule="exact"/>
              <w:ind w:firstLine="210" w:firstLineChars="100"/>
              <w:rPr>
                <w:rFonts w:ascii="宋体" w:hAnsi="宋体"/>
                <w:color w:val="auto"/>
                <w:szCs w:val="21"/>
              </w:rPr>
            </w:pPr>
            <w:r>
              <w:rPr>
                <w:rFonts w:hint="eastAsia" w:ascii="宋体" w:hAnsi="宋体"/>
                <w:color w:val="auto"/>
                <w:szCs w:val="21"/>
              </w:rPr>
              <w:t>金额</w:t>
            </w:r>
          </w:p>
        </w:tc>
        <w:tc>
          <w:tcPr>
            <w:tcW w:w="1076" w:type="dxa"/>
            <w:vAlign w:val="bottom"/>
          </w:tcPr>
          <w:p>
            <w:pPr>
              <w:snapToGrid w:val="0"/>
              <w:spacing w:line="360" w:lineRule="exact"/>
              <w:ind w:firstLine="210" w:firstLineChars="100"/>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szCs w:val="21"/>
              </w:rPr>
            </w:pPr>
          </w:p>
        </w:tc>
        <w:tc>
          <w:tcPr>
            <w:tcW w:w="1696" w:type="dxa"/>
          </w:tcPr>
          <w:p>
            <w:pPr>
              <w:snapToGrid w:val="0"/>
              <w:spacing w:line="360" w:lineRule="exact"/>
              <w:ind w:firstLine="210" w:firstLineChars="100"/>
              <w:rPr>
                <w:rFonts w:ascii="宋体" w:hAnsi="宋体"/>
                <w:color w:val="auto"/>
                <w:szCs w:val="21"/>
              </w:rPr>
            </w:pPr>
          </w:p>
        </w:tc>
        <w:tc>
          <w:tcPr>
            <w:tcW w:w="2436" w:type="dxa"/>
          </w:tcPr>
          <w:p>
            <w:pPr>
              <w:snapToGrid w:val="0"/>
              <w:spacing w:line="360" w:lineRule="exact"/>
              <w:ind w:firstLine="210" w:firstLineChars="100"/>
              <w:rPr>
                <w:rFonts w:ascii="宋体" w:hAnsi="宋体"/>
                <w:color w:val="auto"/>
                <w:szCs w:val="21"/>
              </w:rPr>
            </w:pPr>
          </w:p>
        </w:tc>
        <w:tc>
          <w:tcPr>
            <w:tcW w:w="734"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6" w:type="dxa"/>
          </w:tcPr>
          <w:p>
            <w:pPr>
              <w:snapToGrid w:val="0"/>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szCs w:val="21"/>
              </w:rPr>
            </w:pPr>
          </w:p>
        </w:tc>
        <w:tc>
          <w:tcPr>
            <w:tcW w:w="1696" w:type="dxa"/>
          </w:tcPr>
          <w:p>
            <w:pPr>
              <w:snapToGrid w:val="0"/>
              <w:spacing w:line="360" w:lineRule="exact"/>
              <w:ind w:firstLine="210" w:firstLineChars="100"/>
              <w:rPr>
                <w:rFonts w:ascii="宋体" w:hAnsi="宋体"/>
                <w:color w:val="auto"/>
                <w:szCs w:val="21"/>
              </w:rPr>
            </w:pPr>
          </w:p>
        </w:tc>
        <w:tc>
          <w:tcPr>
            <w:tcW w:w="2436" w:type="dxa"/>
          </w:tcPr>
          <w:p>
            <w:pPr>
              <w:snapToGrid w:val="0"/>
              <w:spacing w:line="360" w:lineRule="exact"/>
              <w:ind w:firstLine="210" w:firstLineChars="100"/>
              <w:rPr>
                <w:rFonts w:ascii="宋体" w:hAnsi="宋体"/>
                <w:color w:val="auto"/>
                <w:szCs w:val="21"/>
              </w:rPr>
            </w:pPr>
          </w:p>
        </w:tc>
        <w:tc>
          <w:tcPr>
            <w:tcW w:w="734"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6" w:type="dxa"/>
          </w:tcPr>
          <w:p>
            <w:pPr>
              <w:snapToGrid w:val="0"/>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szCs w:val="21"/>
              </w:rPr>
            </w:pPr>
          </w:p>
        </w:tc>
        <w:tc>
          <w:tcPr>
            <w:tcW w:w="1696" w:type="dxa"/>
          </w:tcPr>
          <w:p>
            <w:pPr>
              <w:snapToGrid w:val="0"/>
              <w:spacing w:line="360" w:lineRule="exact"/>
              <w:ind w:firstLine="210" w:firstLineChars="100"/>
              <w:rPr>
                <w:rFonts w:ascii="宋体" w:hAnsi="宋体"/>
                <w:color w:val="auto"/>
                <w:szCs w:val="21"/>
              </w:rPr>
            </w:pPr>
          </w:p>
        </w:tc>
        <w:tc>
          <w:tcPr>
            <w:tcW w:w="2436" w:type="dxa"/>
          </w:tcPr>
          <w:p>
            <w:pPr>
              <w:snapToGrid w:val="0"/>
              <w:spacing w:line="360" w:lineRule="exact"/>
              <w:ind w:firstLine="210" w:firstLineChars="100"/>
              <w:rPr>
                <w:rFonts w:ascii="宋体" w:hAnsi="宋体"/>
                <w:color w:val="auto"/>
                <w:szCs w:val="21"/>
              </w:rPr>
            </w:pPr>
          </w:p>
        </w:tc>
        <w:tc>
          <w:tcPr>
            <w:tcW w:w="734"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6" w:type="dxa"/>
          </w:tcPr>
          <w:p>
            <w:pPr>
              <w:snapToGrid w:val="0"/>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szCs w:val="21"/>
              </w:rPr>
            </w:pPr>
          </w:p>
        </w:tc>
        <w:tc>
          <w:tcPr>
            <w:tcW w:w="1696" w:type="dxa"/>
          </w:tcPr>
          <w:p>
            <w:pPr>
              <w:snapToGrid w:val="0"/>
              <w:spacing w:line="360" w:lineRule="exact"/>
              <w:ind w:firstLine="210" w:firstLineChars="100"/>
              <w:rPr>
                <w:rFonts w:ascii="宋体" w:hAnsi="宋体"/>
                <w:color w:val="auto"/>
                <w:szCs w:val="21"/>
              </w:rPr>
            </w:pPr>
          </w:p>
        </w:tc>
        <w:tc>
          <w:tcPr>
            <w:tcW w:w="2436" w:type="dxa"/>
          </w:tcPr>
          <w:p>
            <w:pPr>
              <w:snapToGrid w:val="0"/>
              <w:spacing w:line="360" w:lineRule="exact"/>
              <w:ind w:firstLine="210" w:firstLineChars="100"/>
              <w:rPr>
                <w:rFonts w:ascii="宋体" w:hAnsi="宋体"/>
                <w:color w:val="auto"/>
                <w:szCs w:val="21"/>
              </w:rPr>
            </w:pPr>
          </w:p>
        </w:tc>
        <w:tc>
          <w:tcPr>
            <w:tcW w:w="734"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6" w:type="dxa"/>
          </w:tcPr>
          <w:p>
            <w:pPr>
              <w:snapToGrid w:val="0"/>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1" w:type="dxa"/>
          </w:tcPr>
          <w:p>
            <w:pPr>
              <w:snapToGrid w:val="0"/>
              <w:spacing w:line="360" w:lineRule="exact"/>
              <w:ind w:firstLine="210" w:firstLineChars="100"/>
              <w:rPr>
                <w:rFonts w:ascii="宋体" w:hAnsi="宋体"/>
                <w:color w:val="auto"/>
                <w:szCs w:val="21"/>
              </w:rPr>
            </w:pPr>
          </w:p>
        </w:tc>
        <w:tc>
          <w:tcPr>
            <w:tcW w:w="1696" w:type="dxa"/>
          </w:tcPr>
          <w:p>
            <w:pPr>
              <w:snapToGrid w:val="0"/>
              <w:spacing w:line="360" w:lineRule="exact"/>
              <w:ind w:firstLine="210" w:firstLineChars="100"/>
              <w:rPr>
                <w:rFonts w:ascii="宋体" w:hAnsi="宋体"/>
                <w:color w:val="auto"/>
                <w:szCs w:val="21"/>
              </w:rPr>
            </w:pPr>
          </w:p>
        </w:tc>
        <w:tc>
          <w:tcPr>
            <w:tcW w:w="2436" w:type="dxa"/>
          </w:tcPr>
          <w:p>
            <w:pPr>
              <w:snapToGrid w:val="0"/>
              <w:spacing w:line="360" w:lineRule="exact"/>
              <w:ind w:firstLine="210" w:firstLineChars="100"/>
              <w:rPr>
                <w:rFonts w:ascii="宋体" w:hAnsi="宋体"/>
                <w:color w:val="auto"/>
                <w:szCs w:val="21"/>
              </w:rPr>
            </w:pPr>
          </w:p>
        </w:tc>
        <w:tc>
          <w:tcPr>
            <w:tcW w:w="734"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5" w:type="dxa"/>
          </w:tcPr>
          <w:p>
            <w:pPr>
              <w:snapToGrid w:val="0"/>
              <w:spacing w:line="360" w:lineRule="exact"/>
              <w:ind w:firstLine="210" w:firstLineChars="100"/>
              <w:rPr>
                <w:rFonts w:ascii="宋体" w:hAnsi="宋体"/>
                <w:color w:val="auto"/>
                <w:szCs w:val="21"/>
              </w:rPr>
            </w:pPr>
          </w:p>
        </w:tc>
        <w:tc>
          <w:tcPr>
            <w:tcW w:w="1076" w:type="dxa"/>
          </w:tcPr>
          <w:p>
            <w:pPr>
              <w:snapToGrid w:val="0"/>
              <w:spacing w:line="360" w:lineRule="exact"/>
              <w:ind w:firstLine="210" w:firstLineChars="100"/>
              <w:rPr>
                <w:rFonts w:ascii="宋体" w:hAnsi="宋体"/>
                <w:color w:val="auto"/>
                <w:szCs w:val="21"/>
              </w:rPr>
            </w:pPr>
          </w:p>
        </w:tc>
      </w:tr>
    </w:tbl>
    <w:p>
      <w:pPr>
        <w:snapToGrid w:val="0"/>
        <w:spacing w:line="360" w:lineRule="exact"/>
        <w:ind w:firstLine="211" w:firstLineChars="100"/>
        <w:rPr>
          <w:rFonts w:ascii="宋体" w:hAnsi="宋体"/>
          <w:color w:val="auto"/>
          <w:szCs w:val="21"/>
        </w:rPr>
      </w:pPr>
      <w:r>
        <w:rPr>
          <w:rFonts w:hint="eastAsia" w:ascii="宋体" w:hAnsi="宋体"/>
          <w:b/>
          <w:bCs/>
          <w:color w:val="auto"/>
          <w:szCs w:val="21"/>
        </w:rPr>
        <w:t xml:space="preserve">合同总计（人民币）: </w:t>
      </w:r>
      <w:r>
        <w:rPr>
          <w:rFonts w:hint="eastAsia" w:ascii="宋体" w:hAnsi="宋体"/>
          <w:b/>
          <w:bCs/>
          <w:color w:val="auto"/>
          <w:szCs w:val="21"/>
          <w:u w:val="single"/>
        </w:rPr>
        <w:t xml:space="preserve">             </w:t>
      </w:r>
      <w:r>
        <w:rPr>
          <w:rFonts w:ascii="宋体" w:hAnsi="宋体"/>
          <w:b/>
          <w:bCs/>
          <w:color w:val="auto"/>
          <w:szCs w:val="21"/>
          <w:u w:val="single"/>
        </w:rPr>
        <w:t xml:space="preserve"> </w:t>
      </w:r>
      <w:r>
        <w:rPr>
          <w:rFonts w:hint="eastAsia" w:ascii="宋体" w:hAnsi="宋体"/>
          <w:b/>
          <w:bCs/>
          <w:color w:val="auto"/>
          <w:szCs w:val="21"/>
        </w:rPr>
        <w:t xml:space="preserve">大写:                  </w:t>
      </w:r>
    </w:p>
    <w:p>
      <w:pPr>
        <w:snapToGrid w:val="0"/>
        <w:spacing w:line="360" w:lineRule="exact"/>
        <w:ind w:firstLine="210" w:firstLineChars="100"/>
        <w:rPr>
          <w:rFonts w:ascii="宋体" w:hAnsi="宋体"/>
          <w:color w:val="auto"/>
          <w:szCs w:val="21"/>
        </w:rPr>
      </w:pPr>
      <w:r>
        <w:rPr>
          <w:rFonts w:hint="eastAsia" w:ascii="宋体" w:hAnsi="宋体"/>
          <w:color w:val="auto"/>
          <w:szCs w:val="21"/>
        </w:rPr>
        <w:t>注：</w:t>
      </w:r>
      <w:r>
        <w:rPr>
          <w:rFonts w:hint="eastAsia" w:ascii="宋体" w:hAnsi="宋体"/>
          <w:bCs/>
          <w:color w:val="auto"/>
          <w:szCs w:val="21"/>
        </w:rPr>
        <w:t>本次招标项目采用固定总价报价。报价是磋商文件所确定的招标范围内的全部工作内容的价格体现，包括货物的采购、制造、深化设计、检测、试验、至最终目的地的运费和保险费、现场仓储、税费以及安装、调试、测试、验收、技术服务（包括技术资料的提供）、垃圾清运、质保期内维护、质保期内售后服务、</w:t>
      </w:r>
      <w:r>
        <w:rPr>
          <w:rStyle w:val="103"/>
          <w:rFonts w:hint="eastAsia" w:ascii="Arial" w:hAnsi="宋体" w:cs="宋体"/>
          <w:color w:val="auto"/>
          <w:szCs w:val="21"/>
        </w:rPr>
        <w:t>施工安装过程中需</w:t>
      </w:r>
      <w:r>
        <w:rPr>
          <w:rFonts w:hint="eastAsia" w:ascii="宋体" w:hAnsi="宋体" w:cs="宋体"/>
          <w:bCs/>
          <w:color w:val="auto"/>
          <w:szCs w:val="21"/>
        </w:rPr>
        <w:t>开洞、修补、零星砌筑等零星工作增加的费用</w:t>
      </w:r>
      <w:r>
        <w:rPr>
          <w:rFonts w:hint="eastAsia" w:ascii="宋体" w:hAnsi="宋体"/>
          <w:bCs/>
          <w:color w:val="auto"/>
          <w:szCs w:val="21"/>
        </w:rPr>
        <w:t>等完成合同所需的一切本身和不可或缺的所有工作开支、政策性文件规定等全部费用，如有遗漏，视同包括在其他项目中，合同总价和单价均不作调整。除发生下列因素可调整合同价外，不得以任何其他理由调整任何费用。</w:t>
      </w:r>
    </w:p>
    <w:p>
      <w:pPr>
        <w:snapToGrid w:val="0"/>
        <w:spacing w:line="360" w:lineRule="exact"/>
        <w:ind w:left="315" w:leftChars="100" w:hanging="105" w:hangingChars="50"/>
        <w:rPr>
          <w:rFonts w:ascii="宋体" w:hAnsi="宋体"/>
          <w:color w:val="auto"/>
          <w:szCs w:val="21"/>
        </w:rPr>
      </w:pPr>
      <w:r>
        <w:rPr>
          <w:rFonts w:hint="eastAsia" w:ascii="宋体" w:hAnsi="宋体"/>
          <w:color w:val="auto"/>
          <w:szCs w:val="21"/>
        </w:rPr>
        <w:t>二、交（提）货时间、地点、方式：</w:t>
      </w:r>
      <w:r>
        <w:rPr>
          <w:rFonts w:hint="eastAsia" w:ascii="宋体" w:hAnsi="宋体" w:cs="宋体"/>
          <w:color w:val="auto"/>
          <w:szCs w:val="21"/>
        </w:rPr>
        <w:t>乙方</w:t>
      </w:r>
      <w:r>
        <w:rPr>
          <w:rFonts w:hint="eastAsia" w:ascii="宋体" w:hAnsi="宋体"/>
          <w:color w:val="auto"/>
          <w:szCs w:val="21"/>
        </w:rPr>
        <w:t>于</w:t>
      </w:r>
      <w:r>
        <w:rPr>
          <w:rFonts w:hint="eastAsia" w:ascii="宋体" w:hAnsi="宋体" w:cs="宋体"/>
          <w:color w:val="auto"/>
          <w:szCs w:val="21"/>
        </w:rPr>
        <w:t>合同签订并接到甲方通知后</w:t>
      </w:r>
      <w:r>
        <w:rPr>
          <w:rFonts w:hint="eastAsia" w:ascii="宋体" w:hAnsi="宋体"/>
          <w:color w:val="auto"/>
          <w:szCs w:val="21"/>
          <w:u w:val="single"/>
        </w:rPr>
        <w:t xml:space="preserve">              </w:t>
      </w:r>
      <w:r>
        <w:rPr>
          <w:rFonts w:hint="eastAsia" w:ascii="宋体" w:hAnsi="宋体"/>
          <w:color w:val="auto"/>
          <w:szCs w:val="21"/>
        </w:rPr>
        <w:t xml:space="preserve">天内将货物送至甲方指定地点。 </w:t>
      </w:r>
    </w:p>
    <w:p>
      <w:pPr>
        <w:snapToGrid w:val="0"/>
        <w:spacing w:line="360" w:lineRule="exact"/>
        <w:ind w:left="315" w:leftChars="100" w:hanging="105" w:hangingChars="50"/>
        <w:rPr>
          <w:rFonts w:ascii="宋体" w:hAnsi="宋体"/>
          <w:color w:val="auto"/>
          <w:szCs w:val="21"/>
        </w:rPr>
      </w:pPr>
      <w:r>
        <w:rPr>
          <w:rFonts w:hint="eastAsia" w:ascii="宋体" w:hAnsi="宋体"/>
          <w:color w:val="auto"/>
          <w:szCs w:val="21"/>
        </w:rPr>
        <w:t xml:space="preserve"> 1、乙方应在交货前向甲方提供交货计划；</w:t>
      </w:r>
    </w:p>
    <w:p>
      <w:pPr>
        <w:snapToGrid w:val="0"/>
        <w:spacing w:line="360" w:lineRule="exact"/>
        <w:ind w:left="315" w:leftChars="150"/>
        <w:rPr>
          <w:rFonts w:ascii="宋体" w:hAnsi="宋体"/>
          <w:color w:val="auto"/>
          <w:szCs w:val="21"/>
        </w:rPr>
      </w:pPr>
      <w:r>
        <w:rPr>
          <w:rFonts w:hint="eastAsia" w:ascii="宋体" w:hAnsi="宋体"/>
          <w:color w:val="auto"/>
          <w:szCs w:val="21"/>
        </w:rPr>
        <w:t>2、运输、保险和装卸</w:t>
      </w:r>
      <w:r>
        <w:rPr>
          <w:rFonts w:hint="eastAsia"/>
          <w:color w:val="auto"/>
        </w:rPr>
        <w:t>的费用和风险均由乙方承担</w:t>
      </w:r>
      <w:r>
        <w:rPr>
          <w:rFonts w:hint="eastAsia" w:ascii="宋体" w:hAnsi="宋体"/>
          <w:color w:val="auto"/>
          <w:szCs w:val="21"/>
        </w:rPr>
        <w:t>。</w:t>
      </w:r>
    </w:p>
    <w:p>
      <w:pPr>
        <w:snapToGrid w:val="0"/>
        <w:spacing w:line="360" w:lineRule="exact"/>
        <w:ind w:firstLine="210" w:firstLineChars="100"/>
        <w:rPr>
          <w:rFonts w:ascii="宋体" w:hAnsi="宋体"/>
          <w:color w:val="auto"/>
          <w:szCs w:val="21"/>
        </w:rPr>
      </w:pPr>
      <w:r>
        <w:rPr>
          <w:rFonts w:hint="eastAsia" w:ascii="宋体" w:hAnsi="宋体"/>
          <w:color w:val="auto"/>
          <w:szCs w:val="21"/>
        </w:rPr>
        <w:t>三、验收标准及提出异议时间：</w:t>
      </w:r>
    </w:p>
    <w:p>
      <w:pPr>
        <w:snapToGrid w:val="0"/>
        <w:spacing w:line="360" w:lineRule="exact"/>
        <w:ind w:firstLine="210" w:firstLineChars="100"/>
        <w:rPr>
          <w:rFonts w:ascii="宋体" w:hAnsi="宋体"/>
          <w:color w:val="auto"/>
          <w:szCs w:val="21"/>
        </w:rPr>
      </w:pPr>
      <w:r>
        <w:rPr>
          <w:rFonts w:hint="eastAsia" w:ascii="宋体" w:hAnsi="宋体"/>
          <w:color w:val="auto"/>
          <w:szCs w:val="21"/>
        </w:rPr>
        <w:t>1、开箱检验时双方皆应派员参加。</w:t>
      </w:r>
    </w:p>
    <w:p>
      <w:pPr>
        <w:snapToGrid w:val="0"/>
        <w:spacing w:line="360" w:lineRule="exact"/>
        <w:ind w:firstLine="210" w:firstLineChars="100"/>
        <w:rPr>
          <w:rFonts w:ascii="宋体" w:hAnsi="宋体"/>
          <w:color w:val="auto"/>
          <w:szCs w:val="21"/>
        </w:rPr>
      </w:pPr>
      <w:r>
        <w:rPr>
          <w:rFonts w:hint="eastAsia" w:ascii="宋体" w:hAnsi="宋体"/>
          <w:color w:val="auto"/>
          <w:szCs w:val="21"/>
        </w:rPr>
        <w:t>2、验收标准：</w:t>
      </w:r>
    </w:p>
    <w:p>
      <w:pPr>
        <w:snapToGrid w:val="0"/>
        <w:spacing w:line="360" w:lineRule="exact"/>
        <w:ind w:firstLine="210" w:firstLineChars="100"/>
        <w:rPr>
          <w:rFonts w:ascii="宋体" w:hAnsi="宋体"/>
          <w:color w:val="auto"/>
          <w:szCs w:val="21"/>
        </w:rPr>
      </w:pPr>
      <w:r>
        <w:rPr>
          <w:rFonts w:hint="eastAsia" w:ascii="宋体" w:hAnsi="宋体"/>
          <w:color w:val="auto"/>
          <w:szCs w:val="21"/>
        </w:rPr>
        <w:t>（1）装箱单、质量合格证书、保修证书、产品使用说明书及其它随箱的技术资料；</w:t>
      </w:r>
    </w:p>
    <w:p>
      <w:pPr>
        <w:snapToGrid w:val="0"/>
        <w:spacing w:line="360" w:lineRule="exact"/>
        <w:ind w:firstLine="210" w:firstLineChars="100"/>
        <w:rPr>
          <w:rFonts w:ascii="宋体" w:hAnsi="宋体"/>
          <w:color w:val="auto"/>
          <w:szCs w:val="21"/>
        </w:rPr>
      </w:pPr>
      <w:r>
        <w:rPr>
          <w:rFonts w:hint="eastAsia" w:ascii="宋体" w:hAnsi="宋体"/>
          <w:color w:val="auto"/>
          <w:szCs w:val="21"/>
        </w:rPr>
        <w:t>（2）乙方保证一次开箱合格率大于 98% （百分之九十八）。</w:t>
      </w:r>
    </w:p>
    <w:p>
      <w:pPr>
        <w:snapToGrid w:val="0"/>
        <w:spacing w:line="360" w:lineRule="exact"/>
        <w:ind w:firstLine="210" w:firstLineChars="100"/>
        <w:rPr>
          <w:rFonts w:ascii="宋体" w:hAnsi="宋体"/>
          <w:color w:val="auto"/>
          <w:szCs w:val="21"/>
        </w:rPr>
      </w:pPr>
      <w:r>
        <w:rPr>
          <w:rFonts w:hint="eastAsia" w:ascii="宋体" w:hAnsi="宋体"/>
          <w:color w:val="auto"/>
          <w:szCs w:val="21"/>
        </w:rPr>
        <w:t>3、若检验时发现货物数量不足、规格与合同要求不符或开箱时虽然货物外包装完好无损，但箱内货物短缺或损伤，双方应签署书面证明，乙方应根据该证明及时补足或更换。补足或更换的货物应在签署货损证明之日起七日内运达甲方指定地点，相关费用由乙方承担。</w:t>
      </w:r>
    </w:p>
    <w:p>
      <w:pPr>
        <w:snapToGrid w:val="0"/>
        <w:spacing w:line="360" w:lineRule="exact"/>
        <w:ind w:firstLine="210" w:firstLineChars="100"/>
        <w:rPr>
          <w:rFonts w:ascii="宋体" w:hAnsi="宋体"/>
          <w:color w:val="auto"/>
          <w:szCs w:val="21"/>
        </w:rPr>
      </w:pPr>
      <w:r>
        <w:rPr>
          <w:rFonts w:hint="eastAsia" w:ascii="宋体" w:hAnsi="宋体"/>
          <w:color w:val="auto"/>
          <w:szCs w:val="21"/>
        </w:rPr>
        <w:t>4、乙方保证向甲方提供的技术资料是清晰的、正确的、完整的。甲方在清点时如发现缺失，乙方应在接到甲方通知后七日内予以补足。</w:t>
      </w:r>
    </w:p>
    <w:p>
      <w:pPr>
        <w:snapToGrid w:val="0"/>
        <w:spacing w:line="360" w:lineRule="exact"/>
        <w:ind w:firstLine="210" w:firstLineChars="100"/>
        <w:rPr>
          <w:rFonts w:ascii="宋体" w:hAnsi="宋体"/>
          <w:color w:val="auto"/>
          <w:szCs w:val="21"/>
        </w:rPr>
      </w:pPr>
      <w:r>
        <w:rPr>
          <w:rFonts w:hint="eastAsia" w:ascii="宋体" w:hAnsi="宋体"/>
          <w:color w:val="auto"/>
          <w:szCs w:val="21"/>
        </w:rPr>
        <w:t>5、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七日内以书面形式通知乙方，乙方应在收到甲方通知后七日内免费更换有缺陷的货物或部件，相关费用由乙方承担。</w:t>
      </w:r>
    </w:p>
    <w:p>
      <w:pPr>
        <w:snapToGrid w:val="0"/>
        <w:spacing w:line="360" w:lineRule="exact"/>
        <w:ind w:firstLine="210" w:firstLineChars="100"/>
        <w:rPr>
          <w:rFonts w:ascii="宋体" w:hAnsi="宋体"/>
          <w:color w:val="auto"/>
          <w:szCs w:val="21"/>
        </w:rPr>
      </w:pPr>
      <w:r>
        <w:rPr>
          <w:rFonts w:hint="eastAsia" w:ascii="宋体" w:hAnsi="宋体"/>
          <w:color w:val="auto"/>
          <w:szCs w:val="21"/>
        </w:rPr>
        <w:t>6、甲方应将货物验收单同发票一起入账，作为甲方采购的凭证。</w:t>
      </w:r>
    </w:p>
    <w:p>
      <w:pPr>
        <w:snapToGrid w:val="0"/>
        <w:spacing w:line="360" w:lineRule="exact"/>
        <w:ind w:firstLine="210" w:firstLineChars="100"/>
        <w:rPr>
          <w:rFonts w:ascii="宋体" w:hAnsi="宋体"/>
          <w:color w:val="auto"/>
          <w:szCs w:val="21"/>
        </w:rPr>
      </w:pPr>
      <w:r>
        <w:rPr>
          <w:rFonts w:hint="eastAsia" w:ascii="宋体" w:hAnsi="宋体"/>
          <w:color w:val="auto"/>
          <w:szCs w:val="21"/>
        </w:rPr>
        <w:t>四、质量标准及保修：</w:t>
      </w:r>
    </w:p>
    <w:p>
      <w:pPr>
        <w:snapToGrid w:val="0"/>
        <w:spacing w:line="360" w:lineRule="exact"/>
        <w:ind w:firstLine="210" w:firstLineChars="100"/>
        <w:rPr>
          <w:rFonts w:ascii="宋体" w:hAnsi="宋体"/>
          <w:color w:val="auto"/>
          <w:szCs w:val="21"/>
        </w:rPr>
      </w:pPr>
      <w:r>
        <w:rPr>
          <w:rFonts w:hint="eastAsia" w:ascii="宋体" w:hAnsi="宋体"/>
          <w:color w:val="auto"/>
          <w:szCs w:val="21"/>
        </w:rPr>
        <w:t>1、乙方保证提供的货物皆为符合国家标准的合格产品，且承诺为甲方提供符合或高于国家标准的服务。</w:t>
      </w:r>
    </w:p>
    <w:p>
      <w:pPr>
        <w:snapToGrid w:val="0"/>
        <w:spacing w:line="360" w:lineRule="exact"/>
        <w:ind w:firstLine="210" w:firstLineChars="100"/>
        <w:rPr>
          <w:rFonts w:ascii="宋体" w:hAnsi="宋体"/>
          <w:color w:val="auto"/>
          <w:szCs w:val="21"/>
        </w:rPr>
      </w:pPr>
      <w:r>
        <w:rPr>
          <w:rFonts w:hint="eastAsia" w:ascii="宋体" w:hAnsi="宋体"/>
          <w:color w:val="auto"/>
          <w:szCs w:val="21"/>
        </w:rPr>
        <w:t>2、乙方保证提供给甲方的货物是货物生产厂商原造的，全新、未使用过的，是用一流的工艺和优质材料制造而成的，并完全符合甲方在采购时提出的工作需要。</w:t>
      </w:r>
      <w:r>
        <w:rPr>
          <w:rFonts w:ascii="宋体" w:hAnsi="宋体"/>
          <w:color w:val="auto"/>
          <w:szCs w:val="21"/>
        </w:rPr>
        <w:t xml:space="preserve"> </w:t>
      </w:r>
    </w:p>
    <w:p>
      <w:pPr>
        <w:snapToGrid w:val="0"/>
        <w:spacing w:line="360" w:lineRule="exact"/>
        <w:ind w:firstLine="210" w:firstLineChars="100"/>
        <w:rPr>
          <w:rFonts w:ascii="宋体" w:hAnsi="宋体"/>
          <w:color w:val="auto"/>
          <w:szCs w:val="21"/>
        </w:rPr>
      </w:pPr>
      <w:r>
        <w:rPr>
          <w:rFonts w:hint="eastAsia" w:ascii="宋体" w:hAnsi="宋体"/>
          <w:color w:val="auto"/>
          <w:szCs w:val="21"/>
        </w:rPr>
        <w:t>3、货物的保修期自双方签署货物验收单之日起算。</w:t>
      </w:r>
      <w:r>
        <w:rPr>
          <w:rFonts w:ascii="宋体" w:hAnsi="宋体"/>
          <w:color w:val="auto"/>
          <w:szCs w:val="21"/>
        </w:rPr>
        <w:t xml:space="preserve"> </w:t>
      </w:r>
    </w:p>
    <w:p>
      <w:pPr>
        <w:snapToGrid w:val="0"/>
        <w:spacing w:line="360" w:lineRule="exact"/>
        <w:ind w:firstLine="210" w:firstLineChars="100"/>
        <w:rPr>
          <w:rFonts w:ascii="宋体" w:hAnsi="宋体"/>
          <w:color w:val="auto"/>
          <w:szCs w:val="21"/>
        </w:rPr>
      </w:pPr>
      <w:r>
        <w:rPr>
          <w:rFonts w:hint="eastAsia" w:ascii="宋体" w:hAnsi="宋体"/>
          <w:color w:val="auto"/>
          <w:szCs w:val="21"/>
        </w:rPr>
        <w:t>4、如因货物在使用中因人为因素而引起的缺陷，或因甲方人员维护不当而损坏的货物或零部件，乙方不负保修责任，乙方可以提供更换或修理服务，由此引起的费用由甲方负担。</w:t>
      </w:r>
      <w:r>
        <w:rPr>
          <w:rFonts w:ascii="宋体" w:hAnsi="宋体"/>
          <w:color w:val="auto"/>
          <w:szCs w:val="21"/>
        </w:rPr>
        <w:t xml:space="preserve"> </w:t>
      </w:r>
    </w:p>
    <w:p>
      <w:pPr>
        <w:snapToGrid w:val="0"/>
        <w:spacing w:line="360" w:lineRule="exact"/>
        <w:ind w:firstLine="210" w:firstLineChars="100"/>
        <w:rPr>
          <w:rFonts w:ascii="宋体" w:hAnsi="宋体"/>
          <w:color w:val="auto"/>
          <w:szCs w:val="21"/>
        </w:rPr>
      </w:pPr>
      <w:r>
        <w:rPr>
          <w:rFonts w:hint="eastAsia" w:ascii="宋体" w:hAnsi="宋体"/>
          <w:color w:val="auto"/>
          <w:szCs w:val="21"/>
        </w:rPr>
        <w:t>5、如因乙方提供的货物有缺陷，或乙方提供的技术资料有错误，或乙方在现场的技术人员指导有错误而使货物不能达到合同规定的指标和技术性能，乙方应负责修理或更换有缺陷和损坏的货物，使货物运行指标和技术性能达到合同规定</w:t>
      </w:r>
      <w:r>
        <w:rPr>
          <w:rFonts w:ascii="宋体" w:hAnsi="宋体"/>
          <w:color w:val="auto"/>
          <w:szCs w:val="21"/>
        </w:rPr>
        <w:t xml:space="preserve"> </w:t>
      </w:r>
      <w:r>
        <w:rPr>
          <w:rFonts w:hint="eastAsia" w:ascii="宋体" w:hAnsi="宋体"/>
          <w:color w:val="auto"/>
          <w:szCs w:val="21"/>
        </w:rPr>
        <w:t>, 由此引起的全部费用由乙方承担。</w:t>
      </w:r>
      <w:r>
        <w:rPr>
          <w:rFonts w:ascii="宋体" w:hAnsi="宋体"/>
          <w:color w:val="auto"/>
          <w:szCs w:val="21"/>
        </w:rPr>
        <w:t xml:space="preserve"> </w:t>
      </w:r>
    </w:p>
    <w:p>
      <w:pPr>
        <w:snapToGrid w:val="0"/>
        <w:spacing w:line="360" w:lineRule="exact"/>
        <w:ind w:firstLine="210" w:firstLineChars="100"/>
        <w:rPr>
          <w:rFonts w:ascii="宋体" w:hAnsi="宋体"/>
          <w:color w:val="auto"/>
          <w:szCs w:val="21"/>
        </w:rPr>
      </w:pPr>
      <w:r>
        <w:rPr>
          <w:rFonts w:hint="eastAsia" w:ascii="宋体" w:hAnsi="宋体"/>
          <w:color w:val="auto"/>
          <w:szCs w:val="21"/>
        </w:rPr>
        <w:t>6、在合同货物保修期内，如果由于乙方更换、修理和续补货物，而造成货物不得不停止使用，货物保修期应依照停止使用的实际时间加以延长，如因此给甲方造成损失，乙方应负责赔偿。</w:t>
      </w:r>
    </w:p>
    <w:p>
      <w:pPr>
        <w:snapToGrid w:val="0"/>
        <w:spacing w:line="360" w:lineRule="exact"/>
        <w:ind w:firstLine="210" w:firstLineChars="100"/>
        <w:rPr>
          <w:rFonts w:ascii="宋体" w:hAnsi="宋体"/>
          <w:color w:val="auto"/>
          <w:szCs w:val="21"/>
        </w:rPr>
      </w:pPr>
      <w:r>
        <w:rPr>
          <w:rFonts w:hint="eastAsia" w:ascii="宋体" w:hAnsi="宋体"/>
          <w:color w:val="auto"/>
          <w:szCs w:val="21"/>
        </w:rPr>
        <w:t>7、采购的货物需要修复时，乙方应温州及附近地区8小时内、其它地区24小时内派人到达现场处理问题，直至甲方满意为止。</w:t>
      </w:r>
    </w:p>
    <w:p>
      <w:pPr>
        <w:snapToGrid w:val="0"/>
        <w:spacing w:line="360" w:lineRule="exact"/>
        <w:ind w:firstLine="210" w:firstLineChars="100"/>
        <w:rPr>
          <w:rFonts w:ascii="宋体" w:hAnsi="宋体"/>
          <w:color w:val="0000FF"/>
          <w:szCs w:val="21"/>
        </w:rPr>
      </w:pPr>
      <w:r>
        <w:rPr>
          <w:rFonts w:hint="eastAsia" w:ascii="宋体" w:hAnsi="宋体"/>
          <w:color w:val="auto"/>
          <w:szCs w:val="21"/>
        </w:rPr>
        <w:t>五、付款方式及期限：</w:t>
      </w:r>
    </w:p>
    <w:p>
      <w:pPr>
        <w:snapToGrid w:val="0"/>
        <w:spacing w:line="360" w:lineRule="exact"/>
        <w:ind w:firstLine="210" w:firstLineChars="100"/>
        <w:rPr>
          <w:rFonts w:ascii="宋体" w:hAnsi="宋体"/>
          <w:color w:val="auto"/>
          <w:szCs w:val="21"/>
        </w:rPr>
      </w:pPr>
      <w:r>
        <w:rPr>
          <w:rFonts w:hint="eastAsia" w:ascii="宋体" w:hAnsi="宋体"/>
          <w:color w:val="auto"/>
          <w:szCs w:val="21"/>
        </w:rPr>
        <w:t>1、履约保证金</w:t>
      </w:r>
    </w:p>
    <w:p>
      <w:pPr>
        <w:snapToGrid w:val="0"/>
        <w:spacing w:line="360" w:lineRule="exact"/>
        <w:ind w:firstLine="420" w:firstLineChars="200"/>
        <w:rPr>
          <w:rFonts w:ascii="宋体" w:hAnsi="宋体"/>
          <w:color w:val="auto"/>
          <w:szCs w:val="21"/>
        </w:rPr>
      </w:pPr>
      <w:r>
        <w:rPr>
          <w:rFonts w:hint="eastAsia" w:ascii="宋体" w:hAnsi="宋体"/>
          <w:color w:val="auto"/>
          <w:szCs w:val="21"/>
        </w:rPr>
        <w:t>成交供应商须提交相当于合同总价1%的履约保证金(以银行转账、转帐支票、银行汇票、保险或金融机构出具的保函等形式)；</w:t>
      </w:r>
    </w:p>
    <w:p>
      <w:pPr>
        <w:snapToGrid w:val="0"/>
        <w:spacing w:line="360" w:lineRule="exact"/>
        <w:ind w:firstLine="420" w:firstLineChars="200"/>
        <w:rPr>
          <w:rFonts w:ascii="宋体" w:hAnsi="宋体"/>
          <w:color w:val="auto"/>
          <w:szCs w:val="21"/>
        </w:rPr>
      </w:pPr>
      <w:r>
        <w:rPr>
          <w:rFonts w:hint="eastAsia" w:ascii="宋体" w:hAnsi="宋体"/>
          <w:color w:val="auto"/>
          <w:szCs w:val="21"/>
        </w:rPr>
        <w:t>若以银行转账、转帐支票、银行汇票形式提交的履约保证金在项目验收结束后予以退还（无息）。</w:t>
      </w:r>
    </w:p>
    <w:p>
      <w:pPr>
        <w:snapToGrid w:val="0"/>
        <w:spacing w:line="360" w:lineRule="exact"/>
        <w:ind w:firstLine="420" w:firstLineChars="200"/>
        <w:rPr>
          <w:rFonts w:ascii="宋体" w:hAnsi="宋体"/>
          <w:color w:val="auto"/>
          <w:szCs w:val="21"/>
        </w:rPr>
      </w:pPr>
      <w:r>
        <w:rPr>
          <w:rFonts w:hint="eastAsia" w:ascii="宋体" w:hAnsi="宋体"/>
          <w:color w:val="auto"/>
          <w:szCs w:val="21"/>
        </w:rPr>
        <w:t>若采用银行保函、保险机构保证保险保单和融资担保公司保函形式提交至采购人，应满足以下几个条件：①保函开具方需开通官方网站进行在线查询功能。采购人通过开具方的官方网站进行在线查询后，可以确认真实性的，对原件进行收讫。否则，采购人有权不予收讫。②为见索即付保函：即在成交供应商没有实施合同或者未履行合同义务时，采购人不需要出具任何证明和理由，只要看到成交供应商违约，就可对保函进行收兑；③保函期限：若以保函形式提交的履约保证金的有效期：自生效日期起至保修期结束后终止；④如果保函出具机构要求分期出具保函的，则在前一份保函有效期满之日2个月前必须重新出具相同内容的保函；若不出具，采购人有权对保函进行收兑。</w:t>
      </w:r>
    </w:p>
    <w:p>
      <w:pPr>
        <w:snapToGrid w:val="0"/>
        <w:spacing w:line="360" w:lineRule="exact"/>
        <w:ind w:firstLine="210" w:firstLineChars="100"/>
        <w:rPr>
          <w:rFonts w:ascii="宋体" w:hAnsi="宋体"/>
          <w:color w:val="0000FF"/>
          <w:szCs w:val="21"/>
        </w:rPr>
      </w:pPr>
      <w:r>
        <w:rPr>
          <w:rFonts w:hint="eastAsia" w:ascii="宋体" w:hAnsi="宋体"/>
          <w:color w:val="auto"/>
          <w:szCs w:val="21"/>
        </w:rPr>
        <w:t>2、付款方式</w:t>
      </w:r>
    </w:p>
    <w:p>
      <w:pPr>
        <w:widowControl w:val="0"/>
        <w:numPr>
          <w:ilvl w:val="1"/>
          <w:numId w:val="23"/>
        </w:numPr>
        <w:tabs>
          <w:tab w:val="left" w:pos="851"/>
        </w:tabs>
        <w:snapToGrid w:val="0"/>
        <w:spacing w:line="400" w:lineRule="exact"/>
        <w:jc w:val="both"/>
        <w:outlineLvl w:val="1"/>
        <w:rPr>
          <w:rFonts w:ascii="宋体" w:hAnsi="宋体"/>
          <w:color w:val="0000FF"/>
          <w:szCs w:val="21"/>
        </w:rPr>
      </w:pPr>
      <w:r>
        <w:rPr>
          <w:rFonts w:hint="eastAsia"/>
          <w:color w:val="0000FF"/>
        </w:rPr>
        <w:t>①合同签订后7个工作日内（合同生效以及具备实施条件后），甲方向乙方支付合同总额的40%（在签订合同时，乙方明确表示无需预付款或者主动要求降低预付款比例的，甲方可不适用前述规定。甲方可根据项目特点、供应商信用等情况，决定是否要求乙方提交银行、保险公司等金融机构出具的预付款保函或其他担保措施。（（根据《浙江省财政厅关于进一步发挥政府采购政策功能全力推动经济稳进提升的通知》浙财采监[2022]3号文件））。②室内管道到货安装完毕并收到发票后7个工作日内（满足合同约定支付条件的）支付至合同价款的</w:t>
      </w:r>
      <w:r>
        <w:rPr>
          <w:rFonts w:hint="eastAsia"/>
          <w:color w:val="0000FF"/>
          <w:lang w:val="en-US" w:eastAsia="zh-CN"/>
        </w:rPr>
        <w:t>7</w:t>
      </w:r>
      <w:r>
        <w:rPr>
          <w:rFonts w:hint="eastAsia"/>
          <w:color w:val="0000FF"/>
        </w:rPr>
        <w:t>0%（含预付款）；③全部设备到货安装完毕经甲方确认后，并收到发票后7个工作日内（满足合同约定支付条件的）支付至合同价款的</w:t>
      </w:r>
      <w:r>
        <w:rPr>
          <w:rFonts w:hint="eastAsia"/>
          <w:color w:val="0000FF"/>
          <w:lang w:val="en-US" w:eastAsia="zh-CN"/>
        </w:rPr>
        <w:t>9</w:t>
      </w:r>
      <w:r>
        <w:rPr>
          <w:rFonts w:hint="eastAsia"/>
          <w:color w:val="0000FF"/>
        </w:rPr>
        <w:t>5%；④竣工验收合格并办理结算后，甲方向乙方结清尾款。以上付款节点需以财政资金已经到位为前提。</w:t>
      </w:r>
    </w:p>
    <w:p>
      <w:pPr>
        <w:pStyle w:val="3"/>
        <w:ind w:firstLine="210" w:firstLineChars="100"/>
        <w:rPr>
          <w:rFonts w:ascii="宋体" w:hAnsi="宋体" w:eastAsia="宋体" w:cs="宋体"/>
          <w:b/>
          <w:bCs/>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b/>
          <w:bCs/>
          <w:color w:val="auto"/>
          <w:kern w:val="0"/>
          <w:sz w:val="21"/>
          <w:szCs w:val="21"/>
        </w:rPr>
        <w:t>注：①预付款担保（采购人视中标供应商资信情况，可要求供应商向采购人开具预付款担保），预付款担保格式详见附件：</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1）提交预付款担保的期限：供应商自采购人支付预付款7天前提供预付款担保。</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2）预付款担保的形式为：采用银行、保险机构出具的形式。保函为见索即付保函：即在供应商没有实施合同或者未履行合同义务时，采购人不需要出具任何证明和理由，只要看到供应商违约，就可对保函进行收兑。</w:t>
      </w:r>
    </w:p>
    <w:p>
      <w:pPr>
        <w:pStyle w:val="3"/>
        <w:ind w:firstLine="211" w:firstLineChars="100"/>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3）采购人在合同款中逐期扣回预付款后，预付款担保额度应相应减少，但剩余的预付款担保金额不得低于未被扣回的预付款金额。</w:t>
      </w:r>
    </w:p>
    <w:p>
      <w:pPr>
        <w:snapToGrid w:val="0"/>
        <w:spacing w:line="400" w:lineRule="exact"/>
        <w:ind w:left="210"/>
        <w:rPr>
          <w:rFonts w:ascii="宋体" w:hAnsi="宋体"/>
          <w:color w:val="auto"/>
          <w:szCs w:val="21"/>
        </w:rPr>
      </w:pPr>
      <w:r>
        <w:rPr>
          <w:rFonts w:hint="eastAsia" w:ascii="宋体" w:hAnsi="宋体"/>
          <w:color w:val="auto"/>
          <w:szCs w:val="21"/>
        </w:rPr>
        <w:t>六、总包服务费</w:t>
      </w:r>
    </w:p>
    <w:p>
      <w:pPr>
        <w:widowControl w:val="0"/>
        <w:tabs>
          <w:tab w:val="left" w:pos="851"/>
        </w:tabs>
        <w:spacing w:line="420" w:lineRule="exact"/>
        <w:ind w:firstLine="422" w:firstLineChars="200"/>
        <w:jc w:val="both"/>
        <w:outlineLvl w:val="1"/>
        <w:rPr>
          <w:color w:val="auto"/>
        </w:rPr>
      </w:pPr>
      <w:r>
        <w:rPr>
          <w:rFonts w:hint="eastAsia" w:ascii="宋体" w:hAnsi="宋体" w:cs="宋体"/>
          <w:b/>
          <w:bCs/>
          <w:color w:val="auto"/>
          <w:szCs w:val="21"/>
        </w:rPr>
        <w:t>在合同价款中不计总承包服务费，但需服从总包单位的管理。如在施工安装过程中需总包单位配合开洞、修补、零星砌筑等工作增加的费用，或需总包单位提供总承包管理、协调及配合服务费以外的相关设备、设施等，由双方另行协商确定相关费用，费用由供应商支付给总包单位。</w:t>
      </w:r>
    </w:p>
    <w:p>
      <w:pPr>
        <w:snapToGrid w:val="0"/>
        <w:spacing w:line="400" w:lineRule="exact"/>
        <w:ind w:firstLine="210" w:firstLineChars="100"/>
        <w:rPr>
          <w:rFonts w:ascii="宋体" w:hAnsi="宋体"/>
          <w:color w:val="auto"/>
          <w:szCs w:val="21"/>
        </w:rPr>
      </w:pPr>
      <w:r>
        <w:rPr>
          <w:rFonts w:hint="eastAsia" w:ascii="宋体" w:hAnsi="宋体"/>
          <w:color w:val="auto"/>
          <w:szCs w:val="21"/>
        </w:rPr>
        <w:t>七、违约责任：</w:t>
      </w:r>
    </w:p>
    <w:p>
      <w:pPr>
        <w:snapToGrid w:val="0"/>
        <w:spacing w:line="360" w:lineRule="exact"/>
        <w:ind w:firstLine="210" w:firstLineChars="100"/>
        <w:rPr>
          <w:rFonts w:ascii="宋体" w:hAnsi="宋体"/>
          <w:color w:val="auto"/>
          <w:szCs w:val="21"/>
        </w:rPr>
      </w:pPr>
      <w:r>
        <w:rPr>
          <w:rFonts w:hint="eastAsia" w:ascii="宋体" w:hAnsi="宋体"/>
          <w:color w:val="auto"/>
          <w:szCs w:val="21"/>
        </w:rPr>
        <w:t>1、如果乙方未按照合同规定的要求交付合同货物和提供服务，或乙方在收到甲方要求更换有缺陷的货物或部件的通知后七日内或在乙方签署货损证明后七日内没有补足或更换货物、或交货仍不符合要求；或乙方未能履行合同规定的任何其他义务时，甲方有权并直接向乙方发出违约通知书，并选择下列一种或多种方式要求乙方承担违约责任：</w:t>
      </w:r>
    </w:p>
    <w:p>
      <w:pPr>
        <w:snapToGrid w:val="0"/>
        <w:spacing w:line="360" w:lineRule="exact"/>
        <w:ind w:firstLine="210" w:firstLineChars="100"/>
        <w:rPr>
          <w:rFonts w:ascii="宋体" w:hAnsi="宋体"/>
          <w:color w:val="auto"/>
          <w:szCs w:val="21"/>
        </w:rPr>
      </w:pPr>
      <w:r>
        <w:rPr>
          <w:rFonts w:hint="eastAsia" w:ascii="宋体" w:hAnsi="宋体"/>
          <w:color w:val="auto"/>
          <w:szCs w:val="21"/>
        </w:rPr>
        <w:t>1）在甲方同意延长的期限内交付全部货物、提供服务并承担由此给甲方造成的一切损失。</w:t>
      </w:r>
    </w:p>
    <w:p>
      <w:pPr>
        <w:snapToGrid w:val="0"/>
        <w:spacing w:line="360" w:lineRule="exact"/>
        <w:ind w:firstLine="210" w:firstLineChars="100"/>
        <w:rPr>
          <w:rFonts w:ascii="宋体" w:hAnsi="宋体"/>
          <w:color w:val="auto"/>
          <w:szCs w:val="21"/>
        </w:rPr>
      </w:pPr>
      <w:r>
        <w:rPr>
          <w:rFonts w:hint="eastAsia" w:ascii="宋体" w:hAnsi="宋体"/>
          <w:color w:val="auto"/>
          <w:szCs w:val="21"/>
        </w:rPr>
        <w:t>2）在甲方规定的时间内，用符合合同规定的规格、质量和性能要求的新零件、部件或货物来更换有缺陷的零件、部件和货物，或修补缺陷部分以达到合同规定的要求，乙方应承担由此发生的一切费用和风险。此时，相关货物的质量保修期也应相应延长。</w:t>
      </w:r>
    </w:p>
    <w:p>
      <w:pPr>
        <w:snapToGrid w:val="0"/>
        <w:spacing w:line="360" w:lineRule="exact"/>
        <w:ind w:firstLine="210" w:firstLineChars="100"/>
        <w:rPr>
          <w:rFonts w:ascii="宋体" w:hAnsi="宋体"/>
          <w:color w:val="auto"/>
          <w:szCs w:val="21"/>
        </w:rPr>
      </w:pPr>
      <w:r>
        <w:rPr>
          <w:rFonts w:hint="eastAsia" w:ascii="宋体" w:hAnsi="宋体"/>
          <w:color w:val="auto"/>
          <w:szCs w:val="21"/>
        </w:rPr>
        <w:t>3）根据货物低劣程度、损坏程度以及使甲方所遭受的损失，经双方商定降低货物的价格或赔偿甲方所遭受的损失。</w:t>
      </w:r>
    </w:p>
    <w:p>
      <w:pPr>
        <w:snapToGrid w:val="0"/>
        <w:spacing w:line="360" w:lineRule="exact"/>
        <w:ind w:firstLine="210" w:firstLineChars="100"/>
        <w:rPr>
          <w:rFonts w:ascii="宋体" w:hAnsi="宋体"/>
          <w:color w:val="auto"/>
          <w:szCs w:val="21"/>
        </w:rPr>
      </w:pPr>
      <w:r>
        <w:rPr>
          <w:rFonts w:hint="eastAsia" w:ascii="宋体" w:hAnsi="宋体"/>
          <w:color w:val="auto"/>
          <w:szCs w:val="21"/>
        </w:rPr>
        <w:t>4）乙方同意退货，并按合同规定的同种货币将甲方所退货物的全部价款退还给甲方，并承担由此发生的一切损失和费用。</w:t>
      </w:r>
    </w:p>
    <w:p>
      <w:pPr>
        <w:snapToGrid w:val="0"/>
        <w:spacing w:line="360" w:lineRule="exact"/>
        <w:ind w:firstLine="210" w:firstLineChars="100"/>
        <w:rPr>
          <w:rFonts w:ascii="宋体" w:hAnsi="宋体"/>
          <w:color w:val="auto"/>
          <w:szCs w:val="21"/>
        </w:rPr>
      </w:pPr>
      <w:r>
        <w:rPr>
          <w:rFonts w:hint="eastAsia" w:ascii="宋体" w:hAnsi="宋体"/>
          <w:color w:val="auto"/>
          <w:szCs w:val="21"/>
        </w:rPr>
        <w:t>5）甲方有权部分或全部解除合同并要求乙方赔偿由此造成的损失。此时甲方可采取必要的补救措施，相关费用由乙方承担。</w:t>
      </w:r>
    </w:p>
    <w:p>
      <w:pPr>
        <w:snapToGrid w:val="0"/>
        <w:spacing w:line="360" w:lineRule="exact"/>
        <w:ind w:firstLine="210" w:firstLineChars="100"/>
        <w:rPr>
          <w:rFonts w:ascii="宋体" w:hAnsi="宋体"/>
          <w:color w:val="auto"/>
          <w:szCs w:val="21"/>
        </w:rPr>
      </w:pPr>
      <w:r>
        <w:rPr>
          <w:rFonts w:hint="eastAsia" w:ascii="宋体" w:hAnsi="宋体"/>
          <w:color w:val="auto"/>
          <w:szCs w:val="21"/>
        </w:rPr>
        <w:t>2、如果乙方在收到甲方的违约通知书后七日内未作答复也没有按照甲方选择的方式承担违约责任，则甲方有权从尚未支付的合同价款中</w:t>
      </w:r>
      <w:r>
        <w:rPr>
          <w:rFonts w:hint="eastAsia"/>
          <w:color w:val="auto"/>
        </w:rPr>
        <w:t>扣回违约金或索赔金额</w:t>
      </w:r>
      <w:r>
        <w:rPr>
          <w:rFonts w:hint="eastAsia" w:ascii="宋体" w:hAnsi="宋体"/>
          <w:color w:val="auto"/>
          <w:szCs w:val="21"/>
        </w:rPr>
        <w:t>。如果这些金额不足以补偿，甲方有权向乙方提出不足部分的赔偿要求。</w:t>
      </w:r>
    </w:p>
    <w:p>
      <w:pPr>
        <w:snapToGrid w:val="0"/>
        <w:spacing w:line="360" w:lineRule="exact"/>
        <w:ind w:firstLine="210" w:firstLineChars="100"/>
        <w:rPr>
          <w:rFonts w:ascii="宋体" w:hAnsi="宋体"/>
          <w:color w:val="auto"/>
          <w:szCs w:val="21"/>
        </w:rPr>
      </w:pPr>
      <w:r>
        <w:rPr>
          <w:rFonts w:hint="eastAsia" w:ascii="宋体" w:hAnsi="宋体"/>
          <w:color w:val="auto"/>
          <w:szCs w:val="21"/>
        </w:rPr>
        <w:t>3、如乙方延期交货，每逾期一日，罚款1000元整，逾期超过30日，甲方有权解除合同，并要求违约方赔偿由此造成的损失。</w:t>
      </w:r>
    </w:p>
    <w:p>
      <w:pPr>
        <w:snapToGrid w:val="0"/>
        <w:spacing w:line="360" w:lineRule="exact"/>
        <w:ind w:firstLine="210" w:firstLineChars="100"/>
        <w:rPr>
          <w:rFonts w:ascii="宋体" w:hAnsi="宋体"/>
          <w:color w:val="auto"/>
          <w:szCs w:val="21"/>
        </w:rPr>
      </w:pPr>
      <w:r>
        <w:rPr>
          <w:rFonts w:hint="eastAsia" w:ascii="宋体" w:hAnsi="宋体"/>
          <w:color w:val="auto"/>
          <w:szCs w:val="21"/>
        </w:rPr>
        <w:t>4、如甲方无故解除合同，应向乙方支付合同金额 5% 的违约金；如乙方无故解除合同或有其他违约行为，应向对方支付合同金额10% 的违约金。</w:t>
      </w:r>
    </w:p>
    <w:p>
      <w:pPr>
        <w:snapToGrid w:val="0"/>
        <w:spacing w:line="360" w:lineRule="exact"/>
        <w:ind w:firstLine="210" w:firstLineChars="100"/>
        <w:rPr>
          <w:rFonts w:ascii="宋体" w:hAnsi="宋体"/>
          <w:color w:val="auto"/>
          <w:szCs w:val="21"/>
        </w:rPr>
      </w:pPr>
      <w:r>
        <w:rPr>
          <w:rFonts w:hint="eastAsia" w:ascii="宋体" w:hAnsi="宋体"/>
          <w:color w:val="auto"/>
          <w:szCs w:val="21"/>
        </w:rPr>
        <w:t>5、货物为假冒伪劣产品的，乙方应按照合同金额双倍赔偿给甲方造成的损失。</w:t>
      </w:r>
    </w:p>
    <w:p>
      <w:pPr>
        <w:snapToGrid w:val="0"/>
        <w:spacing w:line="360" w:lineRule="exact"/>
        <w:ind w:firstLine="210" w:firstLineChars="100"/>
        <w:rPr>
          <w:rFonts w:ascii="宋体" w:hAnsi="宋体"/>
          <w:color w:val="auto"/>
          <w:szCs w:val="21"/>
        </w:rPr>
      </w:pPr>
      <w:r>
        <w:rPr>
          <w:rFonts w:hint="eastAsia" w:ascii="宋体" w:hAnsi="宋体"/>
          <w:color w:val="auto"/>
          <w:szCs w:val="21"/>
        </w:rPr>
        <w:t>八、因本合同而引起的纠纷采用以下方式解决：1、双方协商解决（  ）；2、</w:t>
      </w:r>
      <w:r>
        <w:rPr>
          <w:rFonts w:hint="eastAsia"/>
          <w:color w:val="auto"/>
        </w:rPr>
        <w:t>向甲方所在地人民法院起诉</w:t>
      </w:r>
      <w:r>
        <w:rPr>
          <w:rFonts w:hint="eastAsia" w:ascii="宋体" w:hAnsi="宋体"/>
          <w:color w:val="auto"/>
          <w:szCs w:val="21"/>
        </w:rPr>
        <w:t>。</w:t>
      </w:r>
    </w:p>
    <w:p>
      <w:pPr>
        <w:snapToGrid w:val="0"/>
        <w:spacing w:line="360" w:lineRule="exact"/>
        <w:ind w:firstLine="210" w:firstLineChars="100"/>
        <w:rPr>
          <w:rFonts w:ascii="宋体" w:hAnsi="宋体"/>
          <w:color w:val="auto"/>
          <w:szCs w:val="21"/>
        </w:rPr>
      </w:pPr>
      <w:r>
        <w:rPr>
          <w:rFonts w:hint="eastAsia" w:ascii="宋体" w:hAnsi="宋体"/>
          <w:color w:val="auto"/>
          <w:szCs w:val="21"/>
        </w:rPr>
        <w:t>（根据《中华人民共和国仲裁法》的规定，第3、4 项只能选择一种。）</w:t>
      </w:r>
    </w:p>
    <w:p>
      <w:pPr>
        <w:snapToGrid w:val="0"/>
        <w:spacing w:line="360" w:lineRule="exact"/>
        <w:ind w:firstLine="210" w:firstLineChars="100"/>
        <w:rPr>
          <w:rFonts w:ascii="宋体" w:hAnsi="宋体"/>
          <w:color w:val="auto"/>
          <w:szCs w:val="21"/>
        </w:rPr>
      </w:pPr>
      <w:r>
        <w:rPr>
          <w:rFonts w:hint="eastAsia" w:ascii="宋体" w:hAnsi="宋体"/>
          <w:color w:val="auto"/>
          <w:szCs w:val="21"/>
        </w:rPr>
        <w:t>九、其他约定事项：</w:t>
      </w:r>
    </w:p>
    <w:p>
      <w:pPr>
        <w:snapToGrid w:val="0"/>
        <w:spacing w:line="360" w:lineRule="exact"/>
        <w:ind w:firstLine="210" w:firstLineChars="100"/>
        <w:rPr>
          <w:rFonts w:ascii="宋体" w:hAnsi="宋体"/>
          <w:color w:val="auto"/>
          <w:szCs w:val="21"/>
        </w:rPr>
      </w:pPr>
      <w:r>
        <w:rPr>
          <w:rFonts w:hint="eastAsia" w:ascii="宋体" w:hAnsi="宋体"/>
          <w:color w:val="auto"/>
          <w:szCs w:val="21"/>
        </w:rPr>
        <w:t>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napToGrid w:val="0"/>
        <w:spacing w:line="360" w:lineRule="exact"/>
        <w:ind w:firstLine="210" w:firstLineChars="100"/>
        <w:rPr>
          <w:rFonts w:ascii="宋体" w:hAnsi="宋体"/>
          <w:color w:val="auto"/>
          <w:szCs w:val="21"/>
        </w:rPr>
      </w:pPr>
      <w:r>
        <w:rPr>
          <w:rFonts w:hint="eastAsia" w:ascii="宋体" w:hAnsi="宋体"/>
          <w:color w:val="auto"/>
          <w:szCs w:val="21"/>
        </w:rPr>
        <w:t>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napToGrid w:val="0"/>
        <w:spacing w:line="360" w:lineRule="exact"/>
        <w:ind w:firstLine="210" w:firstLineChars="100"/>
        <w:rPr>
          <w:rFonts w:ascii="宋体" w:hAnsi="宋体"/>
          <w:color w:val="auto"/>
          <w:szCs w:val="21"/>
        </w:rPr>
      </w:pPr>
      <w:r>
        <w:rPr>
          <w:rFonts w:hint="eastAsia" w:ascii="宋体" w:hAnsi="宋体"/>
          <w:color w:val="auto"/>
          <w:szCs w:val="21"/>
        </w:rPr>
        <w:t>3、本项目（项目编号：   ）磋商文件以及磋商响应文件、询标记录是本合同不可分割的组成部分，本合同未尽事宜从其规定。</w:t>
      </w:r>
    </w:p>
    <w:p>
      <w:pPr>
        <w:snapToGrid w:val="0"/>
        <w:spacing w:line="360" w:lineRule="exact"/>
        <w:ind w:firstLine="210" w:firstLineChars="100"/>
        <w:rPr>
          <w:rFonts w:ascii="宋体" w:hAnsi="宋体"/>
          <w:color w:val="auto"/>
          <w:szCs w:val="21"/>
        </w:rPr>
      </w:pPr>
      <w:r>
        <w:rPr>
          <w:rFonts w:hint="eastAsia" w:ascii="宋体" w:hAnsi="宋体"/>
          <w:color w:val="auto"/>
          <w:szCs w:val="21"/>
        </w:rPr>
        <w:t>4、本合同一式六份，乙方、甲方、采购机构各二份，由乙方在合同生效后三日内向采购机构上报。</w:t>
      </w:r>
    </w:p>
    <w:p>
      <w:pPr>
        <w:snapToGrid w:val="0"/>
        <w:spacing w:line="360" w:lineRule="exact"/>
        <w:ind w:firstLine="210" w:firstLineChars="100"/>
        <w:rPr>
          <w:rFonts w:ascii="宋体" w:hAnsi="宋体"/>
          <w:color w:val="auto"/>
          <w:szCs w:val="21"/>
        </w:rPr>
      </w:pPr>
      <w:r>
        <w:rPr>
          <w:rFonts w:hint="eastAsia" w:ascii="宋体" w:hAnsi="宋体"/>
          <w:color w:val="auto"/>
          <w:szCs w:val="21"/>
        </w:rPr>
        <w:t>5、本合同经供需双方签字、盖章后生效。</w:t>
      </w:r>
    </w:p>
    <w:p>
      <w:pPr>
        <w:spacing w:line="400" w:lineRule="exact"/>
        <w:ind w:firstLine="437"/>
        <w:rPr>
          <w:b/>
          <w:color w:val="auto"/>
          <w:szCs w:val="21"/>
        </w:rPr>
      </w:pPr>
    </w:p>
    <w:p>
      <w:pPr>
        <w:spacing w:line="400" w:lineRule="exact"/>
        <w:ind w:firstLine="437"/>
        <w:rPr>
          <w:b/>
          <w:color w:val="auto"/>
          <w:szCs w:val="21"/>
        </w:rPr>
      </w:pPr>
    </w:p>
    <w:p>
      <w:pPr>
        <w:spacing w:line="400" w:lineRule="exact"/>
        <w:ind w:firstLine="437"/>
        <w:rPr>
          <w:rFonts w:ascii="宋体" w:hAnsi="宋体"/>
          <w:color w:val="auto"/>
          <w:szCs w:val="21"/>
        </w:rPr>
      </w:pPr>
      <w:r>
        <w:rPr>
          <w:rFonts w:hint="eastAsia"/>
          <w:b/>
          <w:color w:val="auto"/>
          <w:szCs w:val="21"/>
        </w:rPr>
        <w:t>甲方</w:t>
      </w:r>
      <w:r>
        <w:rPr>
          <w:rFonts w:hint="eastAsia" w:ascii="宋体" w:hAnsi="宋体"/>
          <w:color w:val="auto"/>
          <w:szCs w:val="21"/>
        </w:rPr>
        <w:t xml:space="preserve">：（公章）                       </w:t>
      </w:r>
      <w:r>
        <w:rPr>
          <w:rFonts w:hint="eastAsia"/>
          <w:b/>
          <w:color w:val="auto"/>
          <w:szCs w:val="21"/>
        </w:rPr>
        <w:t>乙方</w:t>
      </w:r>
      <w:r>
        <w:rPr>
          <w:rFonts w:hint="eastAsia" w:ascii="宋体" w:hAnsi="宋体"/>
          <w:color w:val="auto"/>
          <w:szCs w:val="21"/>
        </w:rPr>
        <w:t>：（公章）</w:t>
      </w:r>
    </w:p>
    <w:p>
      <w:pPr>
        <w:spacing w:line="400" w:lineRule="exact"/>
        <w:ind w:firstLine="437"/>
        <w:rPr>
          <w:rFonts w:ascii="宋体" w:hAnsi="宋体"/>
          <w:color w:val="auto"/>
          <w:szCs w:val="21"/>
        </w:rPr>
      </w:pPr>
      <w:r>
        <w:rPr>
          <w:rFonts w:hint="eastAsia"/>
          <w:b/>
          <w:color w:val="auto"/>
          <w:szCs w:val="21"/>
        </w:rPr>
        <w:t>法定代表人</w:t>
      </w:r>
      <w:r>
        <w:rPr>
          <w:rFonts w:hint="eastAsia" w:ascii="宋体" w:hAnsi="宋体"/>
          <w:color w:val="auto"/>
          <w:szCs w:val="21"/>
        </w:rPr>
        <w:t xml:space="preserve">:（签字或盖章）            </w:t>
      </w:r>
      <w:r>
        <w:rPr>
          <w:rFonts w:hint="eastAsia"/>
          <w:b/>
          <w:color w:val="auto"/>
          <w:szCs w:val="21"/>
        </w:rPr>
        <w:t>法定代表人</w:t>
      </w:r>
      <w:r>
        <w:rPr>
          <w:rFonts w:hint="eastAsia" w:ascii="宋体" w:hAnsi="宋体"/>
          <w:color w:val="auto"/>
          <w:szCs w:val="21"/>
        </w:rPr>
        <w:t>: （签字或盖章）</w:t>
      </w:r>
    </w:p>
    <w:p>
      <w:pPr>
        <w:spacing w:line="400" w:lineRule="exact"/>
        <w:ind w:firstLine="437"/>
        <w:rPr>
          <w:rFonts w:ascii="宋体" w:hAnsi="宋体"/>
          <w:color w:val="auto"/>
          <w:szCs w:val="21"/>
        </w:rPr>
      </w:pPr>
      <w:r>
        <w:rPr>
          <w:rFonts w:hint="eastAsia"/>
          <w:b/>
          <w:color w:val="auto"/>
          <w:szCs w:val="21"/>
        </w:rPr>
        <w:t>委托代理人：</w:t>
      </w:r>
      <w:r>
        <w:rPr>
          <w:rFonts w:hint="eastAsia" w:ascii="宋体" w:hAnsi="宋体"/>
          <w:color w:val="auto"/>
          <w:szCs w:val="21"/>
        </w:rPr>
        <w:t xml:space="preserve">（签字或盖章）           </w:t>
      </w:r>
      <w:r>
        <w:rPr>
          <w:rFonts w:hint="eastAsia"/>
          <w:b/>
          <w:color w:val="auto"/>
          <w:szCs w:val="21"/>
        </w:rPr>
        <w:t>委托代理人：</w:t>
      </w:r>
      <w:r>
        <w:rPr>
          <w:rFonts w:hint="eastAsia" w:ascii="宋体" w:hAnsi="宋体"/>
          <w:color w:val="auto"/>
          <w:szCs w:val="21"/>
        </w:rPr>
        <w:t>（签字或盖章）</w:t>
      </w:r>
    </w:p>
    <w:p>
      <w:pPr>
        <w:spacing w:line="400" w:lineRule="exact"/>
        <w:ind w:firstLine="437"/>
        <w:rPr>
          <w:rFonts w:ascii="宋体" w:hAnsi="宋体"/>
          <w:color w:val="auto"/>
          <w:szCs w:val="21"/>
        </w:rPr>
      </w:pPr>
      <w:r>
        <w:rPr>
          <w:rFonts w:hint="eastAsia" w:ascii="宋体" w:hAnsi="宋体"/>
          <w:color w:val="auto"/>
          <w:szCs w:val="21"/>
        </w:rPr>
        <w:t>地址：                               地址：</w:t>
      </w:r>
    </w:p>
    <w:p>
      <w:pPr>
        <w:spacing w:line="400" w:lineRule="exact"/>
        <w:ind w:firstLine="437"/>
        <w:rPr>
          <w:rFonts w:ascii="宋体" w:hAnsi="宋体"/>
          <w:color w:val="auto"/>
          <w:szCs w:val="21"/>
        </w:rPr>
      </w:pPr>
      <w:r>
        <w:rPr>
          <w:rFonts w:hint="eastAsia" w:ascii="宋体" w:hAnsi="宋体"/>
          <w:color w:val="auto"/>
          <w:szCs w:val="21"/>
        </w:rPr>
        <w:t>邮政编码：                           邮政编码：</w:t>
      </w:r>
    </w:p>
    <w:p>
      <w:pPr>
        <w:spacing w:line="400" w:lineRule="exact"/>
        <w:ind w:firstLine="437"/>
        <w:rPr>
          <w:rFonts w:ascii="宋体" w:hAnsi="宋体"/>
          <w:color w:val="auto"/>
          <w:szCs w:val="21"/>
        </w:rPr>
      </w:pPr>
      <w:r>
        <w:rPr>
          <w:rFonts w:hint="eastAsia" w:ascii="宋体" w:hAnsi="宋体"/>
          <w:color w:val="auto"/>
          <w:szCs w:val="21"/>
        </w:rPr>
        <w:t>电话：                               电话：</w:t>
      </w:r>
    </w:p>
    <w:p>
      <w:pPr>
        <w:spacing w:line="400" w:lineRule="exact"/>
        <w:ind w:firstLine="437"/>
        <w:rPr>
          <w:rFonts w:ascii="宋体" w:hAnsi="宋体"/>
          <w:color w:val="auto"/>
          <w:szCs w:val="21"/>
        </w:rPr>
      </w:pPr>
      <w:r>
        <w:rPr>
          <w:rFonts w:hint="eastAsia" w:ascii="宋体" w:hAnsi="宋体"/>
          <w:color w:val="auto"/>
          <w:szCs w:val="21"/>
        </w:rPr>
        <w:t>传真：                               传真：</w:t>
      </w:r>
    </w:p>
    <w:p>
      <w:pPr>
        <w:spacing w:line="400" w:lineRule="exact"/>
        <w:ind w:firstLine="437"/>
        <w:rPr>
          <w:rFonts w:ascii="宋体" w:hAnsi="宋体"/>
          <w:color w:val="auto"/>
          <w:szCs w:val="21"/>
        </w:rPr>
      </w:pPr>
      <w:r>
        <w:rPr>
          <w:rFonts w:hint="eastAsia" w:ascii="宋体" w:hAnsi="宋体"/>
          <w:color w:val="auto"/>
          <w:szCs w:val="21"/>
        </w:rPr>
        <w:t>开户银行：                           开户银行：</w:t>
      </w:r>
    </w:p>
    <w:p>
      <w:pPr>
        <w:spacing w:line="400" w:lineRule="exact"/>
        <w:ind w:firstLine="437"/>
        <w:rPr>
          <w:rFonts w:ascii="宋体" w:hAnsi="宋体"/>
          <w:color w:val="auto"/>
          <w:szCs w:val="21"/>
        </w:rPr>
      </w:pPr>
      <w:r>
        <w:rPr>
          <w:rFonts w:hint="eastAsia" w:ascii="宋体" w:hAnsi="宋体"/>
          <w:color w:val="auto"/>
          <w:szCs w:val="21"/>
        </w:rPr>
        <w:t>帐号：                               帐号：</w:t>
      </w:r>
    </w:p>
    <w:p>
      <w:pPr>
        <w:spacing w:before="156" w:beforeLines="50" w:after="156" w:afterLines="50" w:line="440" w:lineRule="exact"/>
        <w:rPr>
          <w:rFonts w:ascii="宋体" w:hAnsi="宋体"/>
          <w:color w:val="auto"/>
          <w:szCs w:val="21"/>
        </w:rPr>
      </w:pPr>
    </w:p>
    <w:p>
      <w:pPr>
        <w:spacing w:before="156" w:beforeLines="50" w:after="156" w:afterLines="50" w:line="440" w:lineRule="exact"/>
        <w:rPr>
          <w:rFonts w:ascii="宋体" w:hAnsi="宋体"/>
          <w:color w:val="auto"/>
          <w:szCs w:val="21"/>
        </w:rPr>
      </w:pPr>
      <w:r>
        <w:rPr>
          <w:rFonts w:hint="eastAsia" w:ascii="宋体" w:hAnsi="宋体"/>
          <w:b/>
          <w:color w:val="auto"/>
          <w:szCs w:val="21"/>
        </w:rPr>
        <w:t>注：本合同作为示范文本，具体以中标供应商与采购人所签定正式合同为准。</w:t>
      </w:r>
    </w:p>
    <w:p>
      <w:pPr>
        <w:spacing w:before="156" w:beforeLines="50" w:after="156" w:afterLines="50" w:line="440" w:lineRule="exact"/>
        <w:rPr>
          <w:rFonts w:ascii="宋体" w:hAnsi="宋体"/>
          <w:color w:val="auto"/>
          <w:szCs w:val="21"/>
        </w:rPr>
      </w:pPr>
    </w:p>
    <w:p>
      <w:pPr>
        <w:pStyle w:val="8"/>
        <w:rPr>
          <w:rFonts w:ascii="宋体" w:hAnsi="宋体"/>
          <w:color w:val="auto"/>
          <w:sz w:val="21"/>
          <w:szCs w:val="21"/>
        </w:rPr>
      </w:pPr>
    </w:p>
    <w:p>
      <w:pPr>
        <w:rPr>
          <w:rFonts w:ascii="宋体" w:hAnsi="宋体"/>
          <w:color w:val="auto"/>
          <w:szCs w:val="21"/>
        </w:rPr>
      </w:pPr>
    </w:p>
    <w:p>
      <w:pPr>
        <w:spacing w:before="156" w:beforeLines="50" w:after="156" w:afterLines="50" w:line="440" w:lineRule="exact"/>
        <w:rPr>
          <w:b/>
          <w:color w:val="auto"/>
          <w:szCs w:val="21"/>
        </w:rPr>
      </w:pPr>
      <w:r>
        <w:rPr>
          <w:rFonts w:hint="eastAsia" w:ascii="宋体" w:hAnsi="宋体"/>
          <w:color w:val="auto"/>
          <w:szCs w:val="21"/>
        </w:rPr>
        <w:t xml:space="preserve">附件   </w:t>
      </w:r>
      <w:r>
        <w:rPr>
          <w:rFonts w:hint="eastAsia"/>
          <w:b/>
          <w:color w:val="auto"/>
          <w:szCs w:val="21"/>
        </w:rPr>
        <w:t>预付款担保格式</w:t>
      </w:r>
    </w:p>
    <w:p>
      <w:pPr>
        <w:spacing w:before="156" w:beforeLines="50" w:after="156" w:afterLines="50" w:line="360" w:lineRule="auto"/>
        <w:jc w:val="center"/>
        <w:rPr>
          <w:b/>
          <w:color w:val="auto"/>
          <w:sz w:val="28"/>
          <w:szCs w:val="28"/>
        </w:rPr>
      </w:pPr>
      <w:r>
        <w:rPr>
          <w:b/>
          <w:color w:val="auto"/>
          <w:sz w:val="28"/>
          <w:szCs w:val="28"/>
        </w:rPr>
        <w:t>预付款担保</w:t>
      </w:r>
    </w:p>
    <w:p>
      <w:pPr>
        <w:spacing w:line="360" w:lineRule="auto"/>
        <w:ind w:firstLine="420"/>
        <w:rPr>
          <w:color w:val="auto"/>
          <w:szCs w:val="21"/>
        </w:rPr>
      </w:pP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 </w:t>
      </w:r>
      <w:r>
        <w:rPr>
          <w:color w:val="auto"/>
          <w:szCs w:val="21"/>
        </w:rPr>
        <w:t xml:space="preserve"> （发包人名称）：</w:t>
      </w:r>
    </w:p>
    <w:p>
      <w:pPr>
        <w:spacing w:line="360" w:lineRule="auto"/>
        <w:ind w:firstLine="420"/>
        <w:rPr>
          <w:color w:val="auto"/>
          <w:szCs w:val="21"/>
        </w:rPr>
      </w:pPr>
    </w:p>
    <w:p>
      <w:pPr>
        <w:spacing w:line="360" w:lineRule="auto"/>
        <w:ind w:firstLine="420"/>
        <w:rPr>
          <w:color w:val="auto"/>
          <w:szCs w:val="21"/>
        </w:rPr>
      </w:pPr>
      <w:r>
        <w:rPr>
          <w:color w:val="auto"/>
          <w:szCs w:val="21"/>
        </w:rPr>
        <w:t>根据</w:t>
      </w:r>
      <w:r>
        <w:rPr>
          <w:color w:val="auto"/>
          <w:szCs w:val="21"/>
          <w:u w:val="single"/>
        </w:rPr>
        <w:t xml:space="preserve">                 </w:t>
      </w:r>
      <w:r>
        <w:rPr>
          <w:color w:val="auto"/>
          <w:szCs w:val="21"/>
        </w:rPr>
        <w:t>（承包人名称）（以下称</w:t>
      </w:r>
      <w:r>
        <w:rPr>
          <w:rFonts w:hint="eastAsia"/>
          <w:color w:val="auto"/>
          <w:szCs w:val="21"/>
        </w:rPr>
        <w:t>“</w:t>
      </w:r>
      <w:r>
        <w:rPr>
          <w:color w:val="auto"/>
          <w:szCs w:val="21"/>
        </w:rPr>
        <w:t>承包人</w:t>
      </w:r>
      <w:r>
        <w:rPr>
          <w:rFonts w:hint="eastAsia"/>
          <w:color w:val="auto"/>
          <w:szCs w:val="21"/>
        </w:rPr>
        <w:t>”</w:t>
      </w:r>
      <w:r>
        <w:rPr>
          <w:color w:val="auto"/>
          <w:szCs w:val="21"/>
        </w:rPr>
        <w:t>）与</w:t>
      </w:r>
      <w:r>
        <w:rPr>
          <w:color w:val="auto"/>
          <w:szCs w:val="21"/>
          <w:u w:val="single"/>
        </w:rPr>
        <w:t xml:space="preserve">               </w:t>
      </w:r>
      <w:r>
        <w:rPr>
          <w:color w:val="auto"/>
          <w:szCs w:val="21"/>
        </w:rPr>
        <w:t>（发包人名称）（以下简称</w:t>
      </w:r>
      <w:r>
        <w:rPr>
          <w:rFonts w:hint="eastAsia"/>
          <w:color w:val="auto"/>
          <w:szCs w:val="21"/>
        </w:rPr>
        <w:t>“</w:t>
      </w:r>
      <w:r>
        <w:rPr>
          <w:color w:val="auto"/>
          <w:szCs w:val="21"/>
        </w:rPr>
        <w:t>发包人</w:t>
      </w:r>
      <w:r>
        <w:rPr>
          <w:rFonts w:hint="eastAsia"/>
          <w:color w:val="auto"/>
          <w:szCs w:val="21"/>
        </w:rPr>
        <w:t>”</w:t>
      </w:r>
      <w:r>
        <w:rPr>
          <w:color w:val="auto"/>
          <w:szCs w:val="21"/>
        </w:rPr>
        <w:t>）于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日签订的</w:t>
      </w:r>
      <w:r>
        <w:rPr>
          <w:color w:val="auto"/>
          <w:szCs w:val="21"/>
          <w:u w:val="single"/>
        </w:rPr>
        <w:t xml:space="preserve">                   </w:t>
      </w:r>
      <w:r>
        <w:rPr>
          <w:color w:val="auto"/>
          <w:szCs w:val="21"/>
        </w:rPr>
        <w:t>（工程名称）《合同》，承包人按约定的金额向</w:t>
      </w:r>
      <w:r>
        <w:rPr>
          <w:rFonts w:hint="eastAsia"/>
          <w:color w:val="auto"/>
          <w:szCs w:val="21"/>
        </w:rPr>
        <w:t>你方</w:t>
      </w:r>
      <w:r>
        <w:rPr>
          <w:color w:val="auto"/>
          <w:szCs w:val="21"/>
        </w:rPr>
        <w:t>提交一份预付款担保，即有权得到</w:t>
      </w:r>
      <w:r>
        <w:rPr>
          <w:rFonts w:hint="eastAsia"/>
          <w:color w:val="auto"/>
          <w:szCs w:val="21"/>
        </w:rPr>
        <w:t>你方</w:t>
      </w:r>
      <w:r>
        <w:rPr>
          <w:color w:val="auto"/>
          <w:szCs w:val="21"/>
        </w:rPr>
        <w:t>支付相等金额的预付款。我方愿意就你方提供给承包人的预付款</w:t>
      </w:r>
      <w:r>
        <w:rPr>
          <w:rFonts w:hint="eastAsia"/>
          <w:color w:val="auto"/>
          <w:szCs w:val="21"/>
        </w:rPr>
        <w:t>为承包人</w:t>
      </w:r>
      <w:r>
        <w:rPr>
          <w:color w:val="auto"/>
          <w:szCs w:val="21"/>
        </w:rPr>
        <w:t>提供连带责任担保。</w:t>
      </w:r>
    </w:p>
    <w:p>
      <w:pPr>
        <w:spacing w:line="360" w:lineRule="auto"/>
        <w:ind w:firstLine="420"/>
        <w:rPr>
          <w:color w:val="auto"/>
          <w:szCs w:val="21"/>
        </w:rPr>
      </w:pPr>
      <w:r>
        <w:rPr>
          <w:rFonts w:hint="eastAsia"/>
          <w:color w:val="auto"/>
          <w:szCs w:val="21"/>
        </w:rPr>
        <w:t xml:space="preserve">1. </w:t>
      </w:r>
      <w:r>
        <w:rPr>
          <w:color w:val="auto"/>
          <w:szCs w:val="21"/>
        </w:rPr>
        <w:t>担保金额人民币（大写）</w:t>
      </w:r>
      <w:r>
        <w:rPr>
          <w:color w:val="auto"/>
          <w:szCs w:val="21"/>
          <w:u w:val="single"/>
        </w:rPr>
        <w:t xml:space="preserve">                </w:t>
      </w:r>
      <w:r>
        <w:rPr>
          <w:rFonts w:hint="eastAsia"/>
          <w:color w:val="auto"/>
          <w:szCs w:val="21"/>
        </w:rPr>
        <w:t>元</w:t>
      </w:r>
      <w:r>
        <w:rPr>
          <w:color w:val="auto"/>
          <w:szCs w:val="21"/>
        </w:rPr>
        <w:t>（¥</w:t>
      </w:r>
      <w:r>
        <w:rPr>
          <w:color w:val="auto"/>
          <w:szCs w:val="21"/>
          <w:u w:val="single"/>
        </w:rPr>
        <w:t xml:space="preserve">             </w:t>
      </w:r>
      <w:r>
        <w:rPr>
          <w:color w:val="auto"/>
          <w:szCs w:val="21"/>
        </w:rPr>
        <w:t>）。</w:t>
      </w:r>
    </w:p>
    <w:p>
      <w:pPr>
        <w:spacing w:line="360" w:lineRule="auto"/>
        <w:ind w:firstLine="420"/>
        <w:rPr>
          <w:color w:val="auto"/>
          <w:szCs w:val="21"/>
        </w:rPr>
      </w:pPr>
      <w:r>
        <w:rPr>
          <w:rFonts w:hint="eastAsia"/>
          <w:color w:val="auto"/>
          <w:szCs w:val="21"/>
        </w:rPr>
        <w:t xml:space="preserve">2. </w:t>
      </w:r>
      <w:r>
        <w:rPr>
          <w:color w:val="auto"/>
          <w:szCs w:val="21"/>
        </w:rPr>
        <w:t>担保有效期自预付款支付给承包人起生效，至</w:t>
      </w:r>
      <w:r>
        <w:rPr>
          <w:rFonts w:hint="eastAsia"/>
          <w:color w:val="auto"/>
          <w:szCs w:val="21"/>
        </w:rPr>
        <w:t>你方</w:t>
      </w:r>
      <w:r>
        <w:rPr>
          <w:color w:val="auto"/>
          <w:szCs w:val="21"/>
        </w:rPr>
        <w:t>签发的</w:t>
      </w:r>
      <w:r>
        <w:rPr>
          <w:rFonts w:hint="eastAsia"/>
          <w:color w:val="auto"/>
          <w:szCs w:val="21"/>
        </w:rPr>
        <w:t>进</w:t>
      </w:r>
      <w:r>
        <w:rPr>
          <w:color w:val="auto"/>
          <w:szCs w:val="21"/>
        </w:rPr>
        <w:t>度款支付证书说明已完全扣清止。</w:t>
      </w:r>
    </w:p>
    <w:p>
      <w:pPr>
        <w:spacing w:line="360" w:lineRule="auto"/>
        <w:ind w:firstLine="420"/>
        <w:rPr>
          <w:color w:val="auto"/>
          <w:szCs w:val="21"/>
        </w:rPr>
      </w:pPr>
      <w:r>
        <w:rPr>
          <w:rFonts w:hint="eastAsia"/>
          <w:color w:val="auto"/>
          <w:szCs w:val="21"/>
        </w:rPr>
        <w:t xml:space="preserve">3. </w:t>
      </w:r>
      <w:r>
        <w:rPr>
          <w:color w:val="auto"/>
          <w:szCs w:val="21"/>
        </w:rPr>
        <w:t>在本保函有效期内，因承包人违反合同约定的义务而要求</w:t>
      </w:r>
      <w:r>
        <w:rPr>
          <w:rFonts w:hint="eastAsia"/>
          <w:color w:val="auto"/>
          <w:szCs w:val="21"/>
        </w:rPr>
        <w:t>收</w:t>
      </w:r>
      <w:r>
        <w:rPr>
          <w:color w:val="auto"/>
          <w:szCs w:val="21"/>
        </w:rPr>
        <w:t>回预付款时，我方在收到你方的书面通知后，在７天内无条件支付。但本保函的担保金额，在任何时候不应超过预付款金额减去</w:t>
      </w:r>
      <w:r>
        <w:rPr>
          <w:rFonts w:hint="eastAsia"/>
          <w:color w:val="auto"/>
          <w:szCs w:val="21"/>
        </w:rPr>
        <w:t>你方</w:t>
      </w:r>
      <w:r>
        <w:rPr>
          <w:color w:val="auto"/>
          <w:szCs w:val="21"/>
        </w:rPr>
        <w:t>按合同约定在向承包人签发的进度款支付证书中扣除的金额。</w:t>
      </w:r>
    </w:p>
    <w:p>
      <w:pPr>
        <w:spacing w:line="360" w:lineRule="auto"/>
        <w:ind w:firstLine="420"/>
        <w:rPr>
          <w:color w:val="auto"/>
          <w:szCs w:val="21"/>
        </w:rPr>
      </w:pPr>
      <w:r>
        <w:rPr>
          <w:rFonts w:hint="eastAsia"/>
          <w:color w:val="auto"/>
          <w:szCs w:val="21"/>
        </w:rPr>
        <w:t>4. 你方</w:t>
      </w:r>
      <w:r>
        <w:rPr>
          <w:color w:val="auto"/>
          <w:szCs w:val="21"/>
        </w:rPr>
        <w:t>和承包人按合同约定变更合同时，我方承担本保函规定的义务不变。</w:t>
      </w:r>
    </w:p>
    <w:p>
      <w:pPr>
        <w:spacing w:line="360" w:lineRule="auto"/>
        <w:ind w:firstLine="420"/>
        <w:rPr>
          <w:color w:val="auto"/>
          <w:szCs w:val="21"/>
        </w:rPr>
      </w:pPr>
      <w:r>
        <w:rPr>
          <w:rFonts w:hint="eastAsia"/>
          <w:color w:val="auto"/>
          <w:szCs w:val="21"/>
        </w:rPr>
        <w:t xml:space="preserve">5. </w:t>
      </w:r>
      <w:r>
        <w:rPr>
          <w:color w:val="auto"/>
          <w:szCs w:val="21"/>
        </w:rPr>
        <w:t>因本保函发生的纠纷，可由双方协商解决，协商不成的，任何一方均可提请</w:t>
      </w:r>
      <w:r>
        <w:rPr>
          <w:color w:val="auto"/>
          <w:szCs w:val="21"/>
          <w:u w:val="single"/>
        </w:rPr>
        <w:t xml:space="preserve">        </w:t>
      </w:r>
      <w:r>
        <w:rPr>
          <w:color w:val="auto"/>
          <w:szCs w:val="21"/>
        </w:rPr>
        <w:t>仲裁委员会仲裁。</w:t>
      </w:r>
    </w:p>
    <w:p>
      <w:pPr>
        <w:spacing w:line="360" w:lineRule="auto"/>
        <w:ind w:firstLine="420"/>
        <w:rPr>
          <w:color w:val="auto"/>
          <w:szCs w:val="21"/>
        </w:rPr>
      </w:pPr>
      <w:r>
        <w:rPr>
          <w:rFonts w:hint="eastAsia"/>
          <w:color w:val="auto"/>
          <w:szCs w:val="21"/>
        </w:rPr>
        <w:t xml:space="preserve">6. </w:t>
      </w:r>
      <w:r>
        <w:rPr>
          <w:color w:val="auto"/>
          <w:szCs w:val="21"/>
        </w:rPr>
        <w:t>本保函自我方法定代表人（或其授权代理人）签字并加盖公章之日起生效。</w:t>
      </w:r>
    </w:p>
    <w:p>
      <w:pPr>
        <w:spacing w:line="360" w:lineRule="auto"/>
        <w:ind w:firstLine="420"/>
        <w:rPr>
          <w:color w:val="auto"/>
          <w:szCs w:val="21"/>
        </w:rPr>
      </w:pPr>
    </w:p>
    <w:p>
      <w:pPr>
        <w:spacing w:line="360" w:lineRule="auto"/>
        <w:ind w:firstLine="420"/>
        <w:rPr>
          <w:color w:val="auto"/>
          <w:szCs w:val="21"/>
        </w:rPr>
      </w:pPr>
    </w:p>
    <w:p>
      <w:pPr>
        <w:spacing w:line="360" w:lineRule="auto"/>
        <w:ind w:firstLine="420"/>
        <w:rPr>
          <w:color w:val="auto"/>
          <w:szCs w:val="21"/>
        </w:rPr>
      </w:pPr>
      <w:r>
        <w:rPr>
          <w:color w:val="auto"/>
          <w:szCs w:val="21"/>
        </w:rPr>
        <w:t>担保人：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（盖单位章）</w:t>
      </w:r>
    </w:p>
    <w:p>
      <w:pPr>
        <w:spacing w:line="360" w:lineRule="auto"/>
        <w:ind w:firstLine="42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360" w:lineRule="auto"/>
        <w:ind w:firstLine="420"/>
        <w:rPr>
          <w:color w:val="auto"/>
          <w:szCs w:val="21"/>
        </w:rPr>
      </w:pPr>
      <w:r>
        <w:rPr>
          <w:color w:val="auto"/>
          <w:szCs w:val="21"/>
        </w:rPr>
        <w:t>地    址：</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color w:val="auto"/>
          <w:szCs w:val="21"/>
          <w:u w:val="single"/>
        </w:rPr>
        <w:tab/>
      </w:r>
    </w:p>
    <w:p>
      <w:pPr>
        <w:spacing w:line="360" w:lineRule="auto"/>
        <w:ind w:firstLine="420"/>
        <w:rPr>
          <w:color w:val="auto"/>
          <w:szCs w:val="21"/>
          <w:u w:val="single"/>
        </w:rPr>
      </w:pPr>
      <w:r>
        <w:rPr>
          <w:color w:val="auto"/>
          <w:szCs w:val="21"/>
        </w:rPr>
        <w:t>邮政编码：</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color w:val="auto"/>
          <w:szCs w:val="21"/>
          <w:u w:val="single"/>
        </w:rPr>
        <w:tab/>
      </w:r>
    </w:p>
    <w:p>
      <w:pPr>
        <w:spacing w:line="360" w:lineRule="auto"/>
        <w:ind w:firstLine="420"/>
        <w:rPr>
          <w:color w:val="auto"/>
          <w:szCs w:val="21"/>
          <w:u w:val="single"/>
        </w:rPr>
      </w:pPr>
      <w:r>
        <w:rPr>
          <w:color w:val="auto"/>
          <w:szCs w:val="21"/>
        </w:rPr>
        <w:t>电    话：</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color w:val="auto"/>
          <w:szCs w:val="21"/>
          <w:u w:val="single"/>
        </w:rPr>
        <w:tab/>
      </w:r>
    </w:p>
    <w:p>
      <w:pPr>
        <w:spacing w:line="360" w:lineRule="auto"/>
        <w:ind w:firstLine="420"/>
        <w:rPr>
          <w:color w:val="auto"/>
          <w:szCs w:val="21"/>
          <w:u w:val="single"/>
        </w:rPr>
      </w:pPr>
      <w:r>
        <w:rPr>
          <w:color w:val="auto"/>
          <w:szCs w:val="21"/>
        </w:rPr>
        <w:t>传    真：</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r>
        <w:rPr>
          <w:color w:val="auto"/>
          <w:szCs w:val="21"/>
          <w:u w:val="single"/>
        </w:rPr>
        <w:tab/>
      </w:r>
      <w:r>
        <w:rPr>
          <w:color w:val="auto"/>
          <w:szCs w:val="21"/>
          <w:u w:val="single"/>
        </w:rPr>
        <w:tab/>
      </w:r>
      <w:r>
        <w:rPr>
          <w:color w:val="auto"/>
          <w:szCs w:val="21"/>
          <w:u w:val="single"/>
        </w:rPr>
        <w:tab/>
      </w:r>
    </w:p>
    <w:p>
      <w:pPr>
        <w:spacing w:line="360" w:lineRule="auto"/>
        <w:ind w:firstLine="420"/>
        <w:rPr>
          <w:color w:val="auto"/>
          <w:szCs w:val="21"/>
        </w:rPr>
      </w:pPr>
      <w:r>
        <w:rPr>
          <w:color w:val="auto"/>
          <w:szCs w:val="21"/>
        </w:rPr>
        <w:t xml:space="preserve">  </w:t>
      </w:r>
    </w:p>
    <w:p>
      <w:pPr>
        <w:spacing w:line="360" w:lineRule="auto"/>
        <w:ind w:firstLine="420"/>
        <w:rPr>
          <w:color w:val="auto"/>
          <w:szCs w:val="21"/>
          <w:u w:val="single"/>
        </w:rPr>
      </w:pPr>
    </w:p>
    <w:p>
      <w:pPr>
        <w:spacing w:line="360" w:lineRule="auto"/>
        <w:ind w:firstLine="420"/>
        <w:jc w:val="right"/>
        <w:rPr>
          <w:color w:val="auto"/>
          <w:szCs w:val="21"/>
        </w:rPr>
      </w:pPr>
      <w:r>
        <w:rPr>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napToGrid w:val="0"/>
        <w:spacing w:line="360" w:lineRule="exact"/>
        <w:ind w:firstLine="210" w:firstLineChars="100"/>
        <w:rPr>
          <w:rFonts w:ascii="宋体" w:hAnsi="宋体"/>
          <w:color w:val="auto"/>
          <w:szCs w:val="21"/>
        </w:rPr>
      </w:pPr>
    </w:p>
    <w:bookmarkEnd w:id="41"/>
    <w:p>
      <w:pPr>
        <w:pStyle w:val="21"/>
        <w:rPr>
          <w:rFonts w:ascii="宋体" w:hAnsi="宋体" w:cs="宋体"/>
          <w:b/>
          <w:color w:val="auto"/>
          <w:sz w:val="28"/>
          <w:szCs w:val="28"/>
        </w:rPr>
      </w:pPr>
      <w:r>
        <w:rPr>
          <w:rFonts w:hint="eastAsia" w:ascii="宋体" w:hAnsi="宋体" w:cs="宋体"/>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320675</wp:posOffset>
                </wp:positionV>
                <wp:extent cx="1209675" cy="328295"/>
                <wp:effectExtent l="0" t="0" r="9525" b="14605"/>
                <wp:wrapNone/>
                <wp:docPr id="1" name="文本框 2"/>
                <wp:cNvGraphicFramePr/>
                <a:graphic xmlns:a="http://schemas.openxmlformats.org/drawingml/2006/main">
                  <a:graphicData uri="http://schemas.microsoft.com/office/word/2010/wordprocessingShape">
                    <wps:wsp>
                      <wps:cNvSpPr txBox="1"/>
                      <wps:spPr>
                        <a:xfrm>
                          <a:off x="0" y="0"/>
                          <a:ext cx="1209675" cy="328295"/>
                        </a:xfrm>
                        <a:prstGeom prst="rect">
                          <a:avLst/>
                        </a:prstGeom>
                        <a:solidFill>
                          <a:srgbClr val="FFFFFF"/>
                        </a:solidFill>
                        <a:ln>
                          <a:noFill/>
                        </a:ln>
                      </wps:spPr>
                      <wps:txbx>
                        <w:txbxContent>
                          <w:p>
                            <w:pPr>
                              <w:spacing w:line="320" w:lineRule="exact"/>
                            </w:pPr>
                            <w:r>
                              <w:rPr>
                                <w:rFonts w:hint="eastAsia" w:eastAsia="黑体"/>
                                <w:sz w:val="24"/>
                              </w:rPr>
                              <w:t>NO：</w:t>
                            </w:r>
                          </w:p>
                        </w:txbxContent>
                      </wps:txbx>
                      <wps:bodyPr wrap="square" upright="1"/>
                    </wps:wsp>
                  </a:graphicData>
                </a:graphic>
              </wp:anchor>
            </w:drawing>
          </mc:Choice>
          <mc:Fallback>
            <w:pict>
              <v:shape id="文本框 2" o:spid="_x0000_s1026" o:spt="202" type="#_x0000_t202" style="position:absolute;left:0pt;margin-left:361.85pt;margin-top:25.25pt;height:25.85pt;width:95.25pt;z-index:251662336;mso-width-relative:page;mso-height-relative:page;" fillcolor="#FFFFFF" filled="t" stroked="f" coordsize="21600,21600" o:gfxdata="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EmzxbYAAAACgEAAA8AAAAAAAAAAQAgAAAAIgAAAGRycy9k&#10;b3ducmV2LnhtbFBLAQIUABQAAAAIAIdO4kBV939xyQEAAIUDAAAOAAAAAAAAAAEAIAAAACcBAABk&#10;cnMvZTJvRG9jLnhtbFBLBQYAAAAABgAGAFkBAABiBQAAAAA=&#10;">
                <v:fill on="t" focussize="0,0"/>
                <v:stroke on="f"/>
                <v:imagedata o:title=""/>
                <o:lock v:ext="edit" aspectratio="f"/>
                <v:textbox>
                  <w:txbxContent>
                    <w:p>
                      <w:pPr>
                        <w:spacing w:line="320" w:lineRule="exact"/>
                      </w:pPr>
                      <w:r>
                        <w:rPr>
                          <w:rFonts w:hint="eastAsia" w:eastAsia="黑体"/>
                          <w:sz w:val="24"/>
                        </w:rPr>
                        <w:t>NO：</w:t>
                      </w:r>
                    </w:p>
                  </w:txbxContent>
                </v:textbox>
              </v:shape>
            </w:pict>
          </mc:Fallback>
        </mc:AlternateContent>
      </w:r>
      <w:r>
        <w:rPr>
          <w:rFonts w:hint="eastAsia" w:ascii="宋体" w:hAnsi="宋体" w:cs="宋体"/>
          <w:b/>
          <w:color w:val="auto"/>
          <w:sz w:val="28"/>
          <w:szCs w:val="28"/>
        </w:rPr>
        <w:t>附件:</w:t>
      </w:r>
    </w:p>
    <w:p>
      <w:pPr>
        <w:snapToGrid w:val="0"/>
        <w:spacing w:before="156" w:beforeLines="50" w:after="156" w:afterLines="50"/>
        <w:jc w:val="center"/>
        <w:rPr>
          <w:rFonts w:ascii="宋体" w:hAnsi="宋体" w:cs="宋体"/>
          <w:b/>
          <w:bCs/>
          <w:color w:val="auto"/>
          <w:sz w:val="30"/>
          <w:szCs w:val="30"/>
        </w:rPr>
      </w:pPr>
      <w:r>
        <w:rPr>
          <w:rFonts w:hint="eastAsia" w:ascii="宋体" w:hAnsi="宋体" w:cs="宋体"/>
          <w:b/>
          <w:bCs/>
          <w:color w:val="auto"/>
          <w:sz w:val="30"/>
          <w:szCs w:val="30"/>
        </w:rPr>
        <w:t>瑞安市政府采购项目诚信评价反馈表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20"/>
        <w:gridCol w:w="3205"/>
        <w:gridCol w:w="9"/>
        <w:gridCol w:w="1081"/>
        <w:gridCol w:w="3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84" w:type="dxa"/>
            <w:gridSpan w:val="2"/>
            <w:vAlign w:val="center"/>
          </w:tcPr>
          <w:p>
            <w:pPr>
              <w:rPr>
                <w:rFonts w:ascii="宋体" w:hAnsi="宋体" w:cs="宋体"/>
                <w:color w:val="auto"/>
                <w:kern w:val="2"/>
                <w:szCs w:val="21"/>
              </w:rPr>
            </w:pPr>
            <w:r>
              <w:rPr>
                <w:rFonts w:hint="eastAsia" w:ascii="宋体" w:hAnsi="宋体" w:cs="宋体"/>
                <w:color w:val="auto"/>
                <w:kern w:val="2"/>
                <w:szCs w:val="21"/>
              </w:rPr>
              <w:t>采购单位</w:t>
            </w:r>
          </w:p>
        </w:tc>
        <w:tc>
          <w:tcPr>
            <w:tcW w:w="3205" w:type="dxa"/>
            <w:vAlign w:val="center"/>
          </w:tcPr>
          <w:p>
            <w:pPr>
              <w:rPr>
                <w:rFonts w:ascii="宋体" w:hAnsi="宋体" w:cs="宋体"/>
                <w:color w:val="auto"/>
                <w:kern w:val="2"/>
                <w:szCs w:val="21"/>
              </w:rPr>
            </w:pPr>
          </w:p>
        </w:tc>
        <w:tc>
          <w:tcPr>
            <w:tcW w:w="1090" w:type="dxa"/>
            <w:gridSpan w:val="2"/>
            <w:vAlign w:val="center"/>
          </w:tcPr>
          <w:p>
            <w:pPr>
              <w:rPr>
                <w:rFonts w:ascii="宋体" w:hAnsi="宋体" w:cs="宋体"/>
                <w:color w:val="auto"/>
                <w:kern w:val="2"/>
                <w:szCs w:val="21"/>
              </w:rPr>
            </w:pPr>
            <w:r>
              <w:rPr>
                <w:rFonts w:hint="eastAsia" w:ascii="宋体" w:hAnsi="宋体" w:cs="宋体"/>
                <w:color w:val="auto"/>
                <w:kern w:val="2"/>
                <w:szCs w:val="21"/>
              </w:rPr>
              <w:t>联系方式</w:t>
            </w:r>
          </w:p>
        </w:tc>
        <w:tc>
          <w:tcPr>
            <w:tcW w:w="3607" w:type="dxa"/>
            <w:vAlign w:val="center"/>
          </w:tcPr>
          <w:p>
            <w:pPr>
              <w:rPr>
                <w:rFonts w:ascii="宋体" w:hAnsi="宋体" w:cs="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384" w:type="dxa"/>
            <w:gridSpan w:val="2"/>
            <w:vAlign w:val="center"/>
          </w:tcPr>
          <w:p>
            <w:pPr>
              <w:rPr>
                <w:rFonts w:ascii="宋体" w:hAnsi="宋体" w:cs="宋体"/>
                <w:color w:val="auto"/>
                <w:kern w:val="2"/>
                <w:szCs w:val="21"/>
              </w:rPr>
            </w:pPr>
            <w:r>
              <w:rPr>
                <w:rFonts w:hint="eastAsia" w:ascii="宋体" w:hAnsi="宋体" w:cs="宋体"/>
                <w:color w:val="auto"/>
                <w:kern w:val="2"/>
                <w:szCs w:val="21"/>
              </w:rPr>
              <w:t>项目名称</w:t>
            </w:r>
          </w:p>
        </w:tc>
        <w:tc>
          <w:tcPr>
            <w:tcW w:w="3205" w:type="dxa"/>
            <w:vAlign w:val="center"/>
          </w:tcPr>
          <w:p>
            <w:pPr>
              <w:rPr>
                <w:rFonts w:ascii="宋体" w:hAnsi="宋体" w:cs="宋体"/>
                <w:color w:val="auto"/>
                <w:kern w:val="2"/>
                <w:szCs w:val="21"/>
              </w:rPr>
            </w:pPr>
          </w:p>
        </w:tc>
        <w:tc>
          <w:tcPr>
            <w:tcW w:w="1090" w:type="dxa"/>
            <w:gridSpan w:val="2"/>
            <w:vAlign w:val="center"/>
          </w:tcPr>
          <w:p>
            <w:pPr>
              <w:rPr>
                <w:rFonts w:ascii="宋体" w:hAnsi="宋体" w:cs="宋体"/>
                <w:color w:val="auto"/>
                <w:kern w:val="2"/>
                <w:szCs w:val="21"/>
              </w:rPr>
            </w:pPr>
            <w:r>
              <w:rPr>
                <w:rFonts w:hint="eastAsia" w:ascii="宋体" w:hAnsi="宋体" w:cs="宋体"/>
                <w:color w:val="auto"/>
                <w:kern w:val="2"/>
                <w:szCs w:val="21"/>
              </w:rPr>
              <w:t>项目编号</w:t>
            </w:r>
          </w:p>
        </w:tc>
        <w:tc>
          <w:tcPr>
            <w:tcW w:w="3607" w:type="dxa"/>
            <w:vAlign w:val="center"/>
          </w:tcPr>
          <w:p>
            <w:pPr>
              <w:rPr>
                <w:rFonts w:ascii="宋体" w:hAnsi="宋体" w:cs="宋体"/>
                <w:color w:val="auto"/>
                <w:kern w:val="2"/>
                <w:szCs w:val="21"/>
              </w:rPr>
            </w:pPr>
            <w:r>
              <w:rPr>
                <w:rFonts w:hint="eastAsia" w:ascii="宋体" w:hAnsi="宋体" w:cs="宋体"/>
                <w:color w:val="auto"/>
                <w:kern w:val="2"/>
                <w:szCs w:val="21"/>
                <w:lang w:eastAsia="zh-CN"/>
              </w:rPr>
              <w:t>ZGCG20222008</w:t>
            </w:r>
            <w:r>
              <w:rPr>
                <w:rFonts w:hint="eastAsia" w:ascii="宋体" w:hAnsi="宋体" w:cs="宋体"/>
                <w:color w:val="auto"/>
                <w:kern w:val="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384" w:type="dxa"/>
            <w:gridSpan w:val="2"/>
            <w:vAlign w:val="center"/>
          </w:tcPr>
          <w:p>
            <w:pPr>
              <w:rPr>
                <w:rFonts w:ascii="宋体" w:hAnsi="宋体" w:cs="宋体"/>
                <w:color w:val="auto"/>
                <w:kern w:val="2"/>
                <w:szCs w:val="21"/>
              </w:rPr>
            </w:pPr>
            <w:r>
              <w:rPr>
                <w:rFonts w:hint="eastAsia" w:ascii="宋体" w:hAnsi="宋体" w:cs="宋体"/>
                <w:color w:val="auto"/>
                <w:kern w:val="2"/>
                <w:szCs w:val="21"/>
              </w:rPr>
              <w:t>成交供应商</w:t>
            </w:r>
          </w:p>
        </w:tc>
        <w:tc>
          <w:tcPr>
            <w:tcW w:w="3205" w:type="dxa"/>
            <w:vAlign w:val="center"/>
          </w:tcPr>
          <w:p>
            <w:pPr>
              <w:rPr>
                <w:rFonts w:ascii="宋体" w:hAnsi="宋体" w:cs="宋体"/>
                <w:color w:val="auto"/>
                <w:kern w:val="2"/>
                <w:szCs w:val="21"/>
              </w:rPr>
            </w:pPr>
          </w:p>
        </w:tc>
        <w:tc>
          <w:tcPr>
            <w:tcW w:w="1090" w:type="dxa"/>
            <w:gridSpan w:val="2"/>
            <w:vAlign w:val="center"/>
          </w:tcPr>
          <w:p>
            <w:pPr>
              <w:rPr>
                <w:rFonts w:ascii="宋体" w:hAnsi="宋体" w:cs="宋体"/>
                <w:color w:val="auto"/>
                <w:kern w:val="2"/>
                <w:szCs w:val="21"/>
              </w:rPr>
            </w:pPr>
            <w:r>
              <w:rPr>
                <w:rFonts w:hint="eastAsia" w:ascii="宋体" w:hAnsi="宋体" w:cs="宋体"/>
                <w:color w:val="auto"/>
                <w:kern w:val="2"/>
                <w:szCs w:val="21"/>
              </w:rPr>
              <w:t>成交金额</w:t>
            </w:r>
          </w:p>
        </w:tc>
        <w:tc>
          <w:tcPr>
            <w:tcW w:w="3607" w:type="dxa"/>
            <w:vAlign w:val="center"/>
          </w:tcPr>
          <w:p>
            <w:pPr>
              <w:rPr>
                <w:rFonts w:ascii="宋体" w:hAnsi="宋体" w:cs="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84" w:type="dxa"/>
            <w:gridSpan w:val="2"/>
            <w:tcBorders>
              <w:bottom w:val="single" w:color="auto" w:sz="4" w:space="0"/>
            </w:tcBorders>
            <w:vAlign w:val="center"/>
          </w:tcPr>
          <w:p>
            <w:pPr>
              <w:rPr>
                <w:rFonts w:ascii="宋体" w:hAnsi="宋体" w:cs="宋体"/>
                <w:color w:val="auto"/>
                <w:kern w:val="2"/>
                <w:szCs w:val="21"/>
              </w:rPr>
            </w:pPr>
            <w:r>
              <w:rPr>
                <w:rFonts w:hint="eastAsia" w:ascii="宋体" w:hAnsi="宋体" w:cs="宋体"/>
                <w:color w:val="auto"/>
                <w:kern w:val="2"/>
                <w:szCs w:val="21"/>
              </w:rPr>
              <w:t>代理机构</w:t>
            </w:r>
          </w:p>
        </w:tc>
        <w:tc>
          <w:tcPr>
            <w:tcW w:w="3205" w:type="dxa"/>
            <w:vAlign w:val="center"/>
          </w:tcPr>
          <w:p>
            <w:pPr>
              <w:rPr>
                <w:rFonts w:ascii="宋体" w:hAnsi="宋体" w:cs="宋体"/>
                <w:color w:val="auto"/>
                <w:kern w:val="2"/>
                <w:szCs w:val="21"/>
              </w:rPr>
            </w:pPr>
          </w:p>
        </w:tc>
        <w:tc>
          <w:tcPr>
            <w:tcW w:w="1090" w:type="dxa"/>
            <w:gridSpan w:val="2"/>
            <w:vAlign w:val="center"/>
          </w:tcPr>
          <w:p>
            <w:pPr>
              <w:jc w:val="center"/>
              <w:rPr>
                <w:rFonts w:ascii="宋体" w:hAnsi="宋体" w:cs="宋体"/>
                <w:color w:val="auto"/>
                <w:kern w:val="2"/>
                <w:szCs w:val="21"/>
              </w:rPr>
            </w:pPr>
            <w:r>
              <w:rPr>
                <w:rFonts w:hint="eastAsia" w:ascii="宋体" w:hAnsi="宋体" w:cs="宋体"/>
                <w:color w:val="auto"/>
                <w:kern w:val="2"/>
                <w:szCs w:val="21"/>
              </w:rPr>
              <w:t>定标时间</w:t>
            </w:r>
          </w:p>
        </w:tc>
        <w:tc>
          <w:tcPr>
            <w:tcW w:w="3607" w:type="dxa"/>
            <w:vAlign w:val="center"/>
          </w:tcPr>
          <w:p>
            <w:pPr>
              <w:ind w:firstLine="420" w:firstLineChars="200"/>
              <w:rPr>
                <w:rFonts w:ascii="宋体" w:hAnsi="宋体" w:cs="宋体"/>
                <w:color w:val="auto"/>
                <w:kern w:val="2"/>
                <w:szCs w:val="21"/>
              </w:rPr>
            </w:pPr>
            <w:r>
              <w:rPr>
                <w:rFonts w:hint="eastAsia" w:ascii="宋体" w:hAnsi="宋体" w:cs="宋体"/>
                <w:color w:val="auto"/>
                <w:kern w:val="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9286" w:type="dxa"/>
            <w:gridSpan w:val="6"/>
            <w:tcBorders>
              <w:bottom w:val="single" w:color="auto" w:sz="4" w:space="0"/>
            </w:tcBorders>
            <w:vAlign w:val="center"/>
          </w:tcPr>
          <w:p>
            <w:pPr>
              <w:jc w:val="center"/>
              <w:rPr>
                <w:rFonts w:ascii="宋体" w:hAnsi="宋体" w:cs="宋体"/>
                <w:b/>
                <w:bCs/>
                <w:color w:val="auto"/>
                <w:kern w:val="2"/>
                <w:szCs w:val="21"/>
              </w:rPr>
            </w:pPr>
            <w:r>
              <w:rPr>
                <w:rFonts w:hint="eastAsia" w:ascii="宋体" w:hAnsi="宋体" w:cs="宋体"/>
                <w:b/>
                <w:bCs/>
                <w:color w:val="auto"/>
                <w:kern w:val="2"/>
                <w:szCs w:val="21"/>
              </w:rPr>
              <w:t>以   下  内  容  由  采  购  单  位  填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84" w:type="dxa"/>
            <w:gridSpan w:val="2"/>
            <w:tcBorders>
              <w:bottom w:val="single" w:color="auto" w:sz="4" w:space="0"/>
            </w:tcBorders>
            <w:vAlign w:val="center"/>
          </w:tcPr>
          <w:p>
            <w:pPr>
              <w:jc w:val="center"/>
              <w:rPr>
                <w:rFonts w:ascii="宋体" w:hAnsi="宋体" w:cs="宋体"/>
                <w:b/>
                <w:bCs/>
                <w:color w:val="auto"/>
                <w:kern w:val="2"/>
                <w:szCs w:val="21"/>
              </w:rPr>
            </w:pPr>
            <w:r>
              <w:rPr>
                <w:rFonts w:hint="eastAsia" w:ascii="宋体" w:hAnsi="宋体" w:cs="宋体"/>
                <w:color w:val="auto"/>
                <w:kern w:val="2"/>
                <w:szCs w:val="21"/>
              </w:rPr>
              <w:t>合同签订时间</w:t>
            </w:r>
          </w:p>
        </w:tc>
        <w:tc>
          <w:tcPr>
            <w:tcW w:w="3214" w:type="dxa"/>
            <w:gridSpan w:val="2"/>
            <w:tcBorders>
              <w:bottom w:val="single" w:color="auto" w:sz="4" w:space="0"/>
            </w:tcBorders>
            <w:vAlign w:val="center"/>
          </w:tcPr>
          <w:p>
            <w:pPr>
              <w:jc w:val="center"/>
              <w:rPr>
                <w:rFonts w:ascii="宋体" w:hAnsi="宋体" w:cs="宋体"/>
                <w:b/>
                <w:bCs/>
                <w:color w:val="auto"/>
                <w:kern w:val="2"/>
                <w:szCs w:val="21"/>
              </w:rPr>
            </w:pPr>
          </w:p>
        </w:tc>
        <w:tc>
          <w:tcPr>
            <w:tcW w:w="1081" w:type="dxa"/>
            <w:tcBorders>
              <w:bottom w:val="single" w:color="auto" w:sz="4" w:space="0"/>
            </w:tcBorders>
            <w:vAlign w:val="center"/>
          </w:tcPr>
          <w:p>
            <w:pPr>
              <w:jc w:val="center"/>
              <w:rPr>
                <w:rFonts w:ascii="宋体" w:hAnsi="宋体" w:cs="宋体"/>
                <w:b/>
                <w:bCs/>
                <w:color w:val="auto"/>
                <w:kern w:val="2"/>
                <w:szCs w:val="21"/>
              </w:rPr>
            </w:pPr>
            <w:r>
              <w:rPr>
                <w:rFonts w:hint="eastAsia" w:ascii="宋体" w:hAnsi="宋体" w:cs="宋体"/>
                <w:color w:val="auto"/>
                <w:kern w:val="2"/>
                <w:szCs w:val="21"/>
              </w:rPr>
              <w:t>验收完成时间</w:t>
            </w:r>
          </w:p>
        </w:tc>
        <w:tc>
          <w:tcPr>
            <w:tcW w:w="3607" w:type="dxa"/>
            <w:tcBorders>
              <w:bottom w:val="single" w:color="auto" w:sz="4" w:space="0"/>
            </w:tcBorders>
            <w:vAlign w:val="center"/>
          </w:tcPr>
          <w:p>
            <w:pPr>
              <w:jc w:val="center"/>
              <w:rPr>
                <w:rFonts w:ascii="宋体" w:hAnsi="宋体" w:cs="宋体"/>
                <w:b/>
                <w:bCs/>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84" w:type="dxa"/>
            <w:gridSpan w:val="2"/>
            <w:tcBorders>
              <w:bottom w:val="single" w:color="auto" w:sz="4" w:space="0"/>
            </w:tcBorders>
            <w:vAlign w:val="center"/>
          </w:tcPr>
          <w:p>
            <w:pPr>
              <w:jc w:val="center"/>
              <w:rPr>
                <w:rFonts w:ascii="宋体" w:hAnsi="宋体" w:cs="宋体"/>
                <w:color w:val="auto"/>
                <w:kern w:val="2"/>
                <w:szCs w:val="21"/>
              </w:rPr>
            </w:pPr>
            <w:r>
              <w:rPr>
                <w:rFonts w:hint="eastAsia" w:ascii="宋体" w:hAnsi="宋体" w:cs="宋体"/>
                <w:color w:val="auto"/>
                <w:kern w:val="2"/>
                <w:szCs w:val="21"/>
              </w:rPr>
              <w:t>政府采购标签</w:t>
            </w:r>
          </w:p>
        </w:tc>
        <w:tc>
          <w:tcPr>
            <w:tcW w:w="3214" w:type="dxa"/>
            <w:gridSpan w:val="2"/>
            <w:tcBorders>
              <w:bottom w:val="single" w:color="auto" w:sz="4" w:space="0"/>
            </w:tcBorders>
            <w:vAlign w:val="center"/>
          </w:tcPr>
          <w:p>
            <w:pPr>
              <w:jc w:val="center"/>
              <w:rPr>
                <w:rFonts w:ascii="宋体" w:hAnsi="宋体" w:cs="宋体"/>
                <w:b/>
                <w:bCs/>
                <w:color w:val="auto"/>
                <w:kern w:val="2"/>
                <w:szCs w:val="21"/>
              </w:rPr>
            </w:pPr>
            <w:r>
              <w:rPr>
                <w:rFonts w:hint="eastAsia" w:ascii="宋体" w:hAnsi="宋体" w:cs="宋体"/>
                <w:b/>
                <w:bCs/>
                <w:color w:val="auto"/>
                <w:kern w:val="2"/>
                <w:szCs w:val="21"/>
              </w:rPr>
              <w:t>有/无</w:t>
            </w:r>
          </w:p>
        </w:tc>
        <w:tc>
          <w:tcPr>
            <w:tcW w:w="1081" w:type="dxa"/>
            <w:tcBorders>
              <w:bottom w:val="single" w:color="auto" w:sz="4" w:space="0"/>
            </w:tcBorders>
            <w:vAlign w:val="center"/>
          </w:tcPr>
          <w:p>
            <w:pPr>
              <w:jc w:val="center"/>
              <w:rPr>
                <w:rFonts w:ascii="宋体" w:hAnsi="宋体" w:cs="宋体"/>
                <w:color w:val="auto"/>
                <w:kern w:val="2"/>
                <w:szCs w:val="21"/>
              </w:rPr>
            </w:pPr>
            <w:r>
              <w:rPr>
                <w:rFonts w:hint="eastAsia" w:ascii="宋体" w:hAnsi="宋体" w:cs="宋体"/>
                <w:color w:val="auto"/>
                <w:kern w:val="2"/>
                <w:szCs w:val="21"/>
              </w:rPr>
              <w:t>协助验收</w:t>
            </w:r>
          </w:p>
        </w:tc>
        <w:tc>
          <w:tcPr>
            <w:tcW w:w="3607" w:type="dxa"/>
            <w:tcBorders>
              <w:bottom w:val="single" w:color="auto" w:sz="4" w:space="0"/>
            </w:tcBorders>
            <w:vAlign w:val="center"/>
          </w:tcPr>
          <w:p>
            <w:pPr>
              <w:jc w:val="center"/>
              <w:rPr>
                <w:rFonts w:ascii="宋体" w:hAnsi="宋体" w:cs="宋体"/>
                <w:b/>
                <w:bCs/>
                <w:color w:val="auto"/>
                <w:kern w:val="2"/>
                <w:szCs w:val="21"/>
              </w:rPr>
            </w:pPr>
            <w:r>
              <w:rPr>
                <w:rFonts w:hint="eastAsia" w:ascii="宋体" w:hAnsi="宋体" w:cs="宋体"/>
                <w:b/>
                <w:bCs/>
                <w:color w:val="auto"/>
                <w:kern w:val="2"/>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464" w:type="dxa"/>
            <w:vMerge w:val="restart"/>
            <w:vAlign w:val="center"/>
          </w:tcPr>
          <w:p>
            <w:pPr>
              <w:rPr>
                <w:rFonts w:ascii="宋体" w:hAnsi="宋体" w:cs="宋体"/>
                <w:color w:val="auto"/>
                <w:kern w:val="2"/>
                <w:szCs w:val="21"/>
              </w:rPr>
            </w:pPr>
            <w:r>
              <w:rPr>
                <w:rFonts w:hint="eastAsia" w:ascii="宋体" w:hAnsi="宋体" w:cs="宋体"/>
                <w:color w:val="auto"/>
                <w:kern w:val="2"/>
                <w:szCs w:val="21"/>
              </w:rPr>
              <w:t>采购单位对本次政府采购的评价意见</w:t>
            </w:r>
          </w:p>
        </w:tc>
        <w:tc>
          <w:tcPr>
            <w:tcW w:w="8822" w:type="dxa"/>
            <w:gridSpan w:val="5"/>
            <w:vAlign w:val="center"/>
          </w:tcPr>
          <w:p>
            <w:pPr>
              <w:ind w:firstLine="420" w:firstLineChars="200"/>
              <w:rPr>
                <w:rFonts w:ascii="宋体" w:hAnsi="宋体" w:cs="宋体"/>
                <w:color w:val="auto"/>
                <w:kern w:val="2"/>
                <w:szCs w:val="21"/>
              </w:rPr>
            </w:pPr>
            <w:r>
              <w:rPr>
                <w:rFonts w:hint="eastAsia" w:ascii="宋体" w:hAnsi="宋体" w:cs="宋体"/>
                <w:color w:val="auto"/>
                <w:kern w:val="2"/>
                <w:szCs w:val="21"/>
              </w:rPr>
              <w:t xml:space="preserve">请如实填写您对本次政府采购的项目（货物、服务、工程）在价格、质量、服务方面的意见（在结论上打“ </w:t>
            </w:r>
            <w:r>
              <w:rPr>
                <w:rFonts w:hint="eastAsia" w:ascii="宋体" w:hAnsi="宋体" w:cs="宋体"/>
                <w:b/>
                <w:bCs/>
                <w:color w:val="auto"/>
                <w:kern w:val="2"/>
                <w:szCs w:val="21"/>
              </w:rPr>
              <w:t>√</w:t>
            </w:r>
            <w:r>
              <w:rPr>
                <w:rFonts w:hint="eastAsia" w:ascii="宋体" w:hAnsi="宋体" w:cs="宋体"/>
                <w:color w:val="auto"/>
                <w:kern w:val="2"/>
                <w:szCs w:val="21"/>
              </w:rPr>
              <w:t>”）。</w:t>
            </w:r>
          </w:p>
          <w:p>
            <w:pPr>
              <w:widowControl w:val="0"/>
              <w:numPr>
                <w:ilvl w:val="0"/>
                <w:numId w:val="24"/>
              </w:numPr>
              <w:jc w:val="both"/>
              <w:rPr>
                <w:rFonts w:ascii="宋体" w:hAnsi="宋体" w:cs="宋体"/>
                <w:color w:val="auto"/>
                <w:kern w:val="2"/>
                <w:szCs w:val="21"/>
              </w:rPr>
            </w:pPr>
            <w:r>
              <w:rPr>
                <w:rFonts w:hint="eastAsia" w:ascii="宋体" w:hAnsi="宋体" w:cs="宋体"/>
                <w:color w:val="auto"/>
                <w:kern w:val="2"/>
                <w:szCs w:val="21"/>
              </w:rPr>
              <w:t>对成交供应商的评价意见</w:t>
            </w:r>
          </w:p>
          <w:p>
            <w:pPr>
              <w:ind w:left="210" w:leftChars="100"/>
              <w:rPr>
                <w:rFonts w:ascii="宋体" w:hAnsi="宋体" w:cs="宋体"/>
                <w:b/>
                <w:bCs/>
                <w:color w:val="auto"/>
                <w:kern w:val="2"/>
                <w:szCs w:val="21"/>
              </w:rPr>
            </w:pPr>
            <w:r>
              <w:rPr>
                <w:rFonts w:hint="eastAsia" w:ascii="宋体" w:hAnsi="宋体" w:cs="宋体"/>
                <w:b/>
                <w:bCs/>
                <w:color w:val="auto"/>
                <w:kern w:val="2"/>
                <w:szCs w:val="21"/>
              </w:rPr>
              <w:t>1、价格   A、优 B、良  C、好  D、一般   E、差</w:t>
            </w:r>
          </w:p>
          <w:p>
            <w:pPr>
              <w:ind w:left="210" w:leftChars="100"/>
              <w:rPr>
                <w:rFonts w:ascii="宋体" w:hAnsi="宋体" w:cs="宋体"/>
                <w:b/>
                <w:bCs/>
                <w:color w:val="auto"/>
                <w:kern w:val="2"/>
                <w:szCs w:val="21"/>
              </w:rPr>
            </w:pPr>
            <w:r>
              <w:rPr>
                <w:rFonts w:hint="eastAsia" w:ascii="宋体" w:hAnsi="宋体" w:cs="宋体"/>
                <w:b/>
                <w:bCs/>
                <w:color w:val="auto"/>
                <w:kern w:val="2"/>
                <w:szCs w:val="21"/>
              </w:rPr>
              <w:t>2、质量   A、优 B、良  C、好  D、一般   E、差</w:t>
            </w:r>
          </w:p>
          <w:p>
            <w:pPr>
              <w:ind w:left="210" w:leftChars="100"/>
              <w:rPr>
                <w:rFonts w:ascii="宋体" w:hAnsi="宋体" w:cs="宋体"/>
                <w:b/>
                <w:bCs/>
                <w:color w:val="auto"/>
                <w:kern w:val="2"/>
                <w:szCs w:val="21"/>
              </w:rPr>
            </w:pPr>
            <w:r>
              <w:rPr>
                <w:rFonts w:hint="eastAsia" w:ascii="宋体" w:hAnsi="宋体" w:cs="宋体"/>
                <w:b/>
                <w:bCs/>
                <w:color w:val="auto"/>
                <w:kern w:val="2"/>
                <w:szCs w:val="21"/>
              </w:rPr>
              <w:t>3、服务   A、优 B、良  C、好  D、一般   E、差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464" w:type="dxa"/>
            <w:vMerge w:val="continue"/>
            <w:vAlign w:val="center"/>
          </w:tcPr>
          <w:p>
            <w:pPr>
              <w:rPr>
                <w:rFonts w:ascii="宋体" w:hAnsi="宋体" w:cs="宋体"/>
                <w:color w:val="auto"/>
                <w:kern w:val="2"/>
                <w:szCs w:val="21"/>
              </w:rPr>
            </w:pPr>
          </w:p>
        </w:tc>
        <w:tc>
          <w:tcPr>
            <w:tcW w:w="8822" w:type="dxa"/>
            <w:gridSpan w:val="5"/>
            <w:vAlign w:val="center"/>
          </w:tcPr>
          <w:p>
            <w:pPr>
              <w:rPr>
                <w:rFonts w:ascii="宋体" w:hAnsi="宋体" w:cs="宋体"/>
                <w:color w:val="auto"/>
                <w:kern w:val="2"/>
                <w:szCs w:val="21"/>
              </w:rPr>
            </w:pPr>
            <w:r>
              <w:rPr>
                <w:rFonts w:hint="eastAsia" w:ascii="宋体" w:hAnsi="宋体" w:cs="宋体"/>
                <w:color w:val="auto"/>
                <w:kern w:val="2"/>
                <w:szCs w:val="21"/>
              </w:rPr>
              <w:t>二、对成交供应商诚信总体评价：A、优（90-100）B、良（80-90）C、好（70-80）D、一般（60-70）E、差（60以下）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4" w:hRule="atLeast"/>
          <w:jc w:val="center"/>
        </w:trPr>
        <w:tc>
          <w:tcPr>
            <w:tcW w:w="464" w:type="dxa"/>
            <w:vMerge w:val="continue"/>
            <w:vAlign w:val="center"/>
          </w:tcPr>
          <w:p>
            <w:pPr>
              <w:rPr>
                <w:rFonts w:ascii="宋体" w:hAnsi="宋体" w:cs="宋体"/>
                <w:color w:val="auto"/>
                <w:kern w:val="2"/>
                <w:szCs w:val="21"/>
              </w:rPr>
            </w:pPr>
          </w:p>
        </w:tc>
        <w:tc>
          <w:tcPr>
            <w:tcW w:w="8822" w:type="dxa"/>
            <w:gridSpan w:val="5"/>
          </w:tcPr>
          <w:p>
            <w:pPr>
              <w:rPr>
                <w:rFonts w:ascii="宋体" w:hAnsi="宋体" w:cs="宋体"/>
                <w:color w:val="auto"/>
                <w:kern w:val="2"/>
                <w:szCs w:val="21"/>
              </w:rPr>
            </w:pPr>
            <w:r>
              <w:rPr>
                <w:rFonts w:hint="eastAsia" w:ascii="宋体" w:hAnsi="宋体" w:cs="宋体"/>
                <w:color w:val="auto"/>
                <w:kern w:val="2"/>
                <w:szCs w:val="21"/>
              </w:rPr>
              <w:t>三、您若有政府采购方面的建议和措施，请说明（可附页说明）：</w:t>
            </w:r>
          </w:p>
          <w:p>
            <w:pPr>
              <w:ind w:left="210" w:leftChars="100"/>
              <w:rPr>
                <w:rFonts w:ascii="宋体" w:hAnsi="宋体" w:cs="宋体"/>
                <w:b/>
                <w:bCs/>
                <w:color w:val="auto"/>
                <w:kern w:val="2"/>
                <w:szCs w:val="21"/>
              </w:rPr>
            </w:pPr>
            <w:r>
              <w:rPr>
                <w:rFonts w:hint="eastAsia" w:ascii="宋体" w:hAnsi="宋体" w:cs="宋体"/>
                <w:b/>
                <w:bCs/>
                <w:color w:val="auto"/>
                <w:kern w:val="2"/>
                <w:szCs w:val="21"/>
              </w:rPr>
              <w:t>1、</w:t>
            </w:r>
          </w:p>
          <w:p>
            <w:pPr>
              <w:ind w:left="210" w:leftChars="100"/>
              <w:rPr>
                <w:rFonts w:ascii="宋体" w:hAnsi="宋体" w:cs="宋体"/>
                <w:b/>
                <w:bCs/>
                <w:color w:val="auto"/>
                <w:kern w:val="2"/>
                <w:szCs w:val="21"/>
              </w:rPr>
            </w:pPr>
          </w:p>
          <w:p>
            <w:pPr>
              <w:ind w:left="210" w:leftChars="100"/>
              <w:rPr>
                <w:rFonts w:ascii="宋体" w:hAnsi="宋体" w:cs="宋体"/>
                <w:b/>
                <w:bCs/>
                <w:color w:val="auto"/>
                <w:kern w:val="2"/>
                <w:szCs w:val="21"/>
              </w:rPr>
            </w:pPr>
            <w:r>
              <w:rPr>
                <w:rFonts w:hint="eastAsia" w:ascii="宋体" w:hAnsi="宋体" w:cs="宋体"/>
                <w:b/>
                <w:bCs/>
                <w:color w:val="auto"/>
                <w:kern w:val="2"/>
                <w:szCs w:val="21"/>
              </w:rPr>
              <w:t>2、</w:t>
            </w:r>
          </w:p>
          <w:p>
            <w:pPr>
              <w:ind w:left="210" w:leftChars="100"/>
              <w:rPr>
                <w:rFonts w:ascii="宋体" w:hAnsi="宋体" w:cs="宋体"/>
                <w:b/>
                <w:bCs/>
                <w:color w:val="auto"/>
                <w:kern w:val="2"/>
                <w:szCs w:val="21"/>
              </w:rPr>
            </w:pPr>
          </w:p>
          <w:p>
            <w:pPr>
              <w:ind w:left="210" w:leftChars="100"/>
              <w:rPr>
                <w:rFonts w:ascii="宋体" w:hAnsi="宋体" w:cs="宋体"/>
                <w:b/>
                <w:bCs/>
                <w:color w:val="auto"/>
                <w:kern w:val="2"/>
                <w:szCs w:val="21"/>
              </w:rPr>
            </w:pPr>
            <w:r>
              <w:rPr>
                <w:rFonts w:hint="eastAsia" w:ascii="宋体" w:hAnsi="宋体" w:cs="宋体"/>
                <w:b/>
                <w:bCs/>
                <w:color w:val="auto"/>
                <w:kern w:val="2"/>
                <w:szCs w:val="21"/>
              </w:rPr>
              <w:t>3</w:t>
            </w:r>
            <w:r>
              <w:rPr>
                <w:rFonts w:hint="eastAsia" w:ascii="宋体" w:hAnsi="宋体" w:cs="宋体"/>
                <w:color w:val="auto"/>
                <w:kern w:val="2"/>
                <w:szCs w:val="21"/>
              </w:rPr>
              <w:t>、</w:t>
            </w:r>
          </w:p>
          <w:p>
            <w:pPr>
              <w:ind w:left="210" w:leftChars="100"/>
              <w:rPr>
                <w:rFonts w:ascii="宋体" w:hAnsi="宋体" w:cs="宋体"/>
                <w:b/>
                <w:bCs/>
                <w:color w:val="auto"/>
                <w:kern w:val="2"/>
                <w:szCs w:val="21"/>
              </w:rPr>
            </w:pPr>
          </w:p>
          <w:p>
            <w:pPr>
              <w:ind w:left="210" w:leftChars="100"/>
              <w:rPr>
                <w:rFonts w:ascii="宋体" w:hAnsi="宋体" w:cs="宋体"/>
                <w:b/>
                <w:bCs/>
                <w:color w:val="auto"/>
                <w:kern w:val="2"/>
                <w:szCs w:val="21"/>
              </w:rPr>
            </w:pPr>
          </w:p>
          <w:p>
            <w:pPr>
              <w:ind w:left="210" w:leftChars="100"/>
              <w:rPr>
                <w:rFonts w:ascii="宋体" w:hAnsi="宋体" w:cs="宋体"/>
                <w:b/>
                <w:bCs/>
                <w:color w:val="auto"/>
                <w:kern w:val="2"/>
                <w:szCs w:val="21"/>
              </w:rPr>
            </w:pPr>
          </w:p>
          <w:p>
            <w:pPr>
              <w:ind w:left="210" w:leftChars="100"/>
              <w:rPr>
                <w:rFonts w:ascii="宋体" w:hAnsi="宋体" w:cs="宋体"/>
                <w:color w:val="auto"/>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464" w:type="dxa"/>
            <w:vMerge w:val="continue"/>
            <w:tcBorders>
              <w:bottom w:val="single" w:color="auto" w:sz="4" w:space="0"/>
            </w:tcBorders>
            <w:vAlign w:val="center"/>
          </w:tcPr>
          <w:p>
            <w:pPr>
              <w:rPr>
                <w:rFonts w:ascii="宋体" w:hAnsi="宋体" w:cs="宋体"/>
                <w:color w:val="auto"/>
                <w:kern w:val="2"/>
                <w:szCs w:val="21"/>
              </w:rPr>
            </w:pPr>
          </w:p>
        </w:tc>
        <w:tc>
          <w:tcPr>
            <w:tcW w:w="8822" w:type="dxa"/>
            <w:gridSpan w:val="5"/>
            <w:tcBorders>
              <w:bottom w:val="single" w:color="auto" w:sz="4" w:space="0"/>
            </w:tcBorders>
            <w:vAlign w:val="center"/>
          </w:tcPr>
          <w:p>
            <w:pPr>
              <w:rPr>
                <w:rFonts w:ascii="宋体" w:hAnsi="宋体" w:cs="宋体"/>
                <w:color w:val="auto"/>
                <w:kern w:val="2"/>
                <w:szCs w:val="21"/>
              </w:rPr>
            </w:pPr>
            <w:r>
              <w:rPr>
                <w:rFonts w:hint="eastAsia" w:ascii="宋体" w:hAnsi="宋体" w:cs="宋体"/>
                <w:color w:val="auto"/>
                <w:kern w:val="2"/>
                <w:szCs w:val="21"/>
              </w:rPr>
              <w:t>（此表由采购单位填写，主要对成交供应商在项目履约过程中的诚信情况及项目验收后项目总体履约（满意度）进行评价，此表务必在项目验收完成后三日内交回公共资源交易中心）</w:t>
            </w:r>
          </w:p>
          <w:p>
            <w:pPr>
              <w:rPr>
                <w:rFonts w:ascii="宋体" w:hAnsi="宋体" w:cs="宋体"/>
                <w:color w:val="auto"/>
                <w:kern w:val="2"/>
                <w:szCs w:val="21"/>
              </w:rPr>
            </w:pPr>
          </w:p>
          <w:p>
            <w:pPr>
              <w:jc w:val="right"/>
              <w:rPr>
                <w:rFonts w:ascii="宋体" w:hAnsi="宋体" w:cs="宋体"/>
                <w:color w:val="auto"/>
                <w:kern w:val="2"/>
                <w:szCs w:val="21"/>
              </w:rPr>
            </w:pPr>
            <w:r>
              <w:rPr>
                <w:rFonts w:hint="eastAsia" w:ascii="宋体" w:hAnsi="宋体" w:cs="宋体"/>
                <w:color w:val="auto"/>
                <w:kern w:val="2"/>
                <w:szCs w:val="21"/>
              </w:rPr>
              <w:t>采购单位确认：（盖章）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464" w:type="dxa"/>
            <w:tcBorders>
              <w:top w:val="single" w:color="auto" w:sz="4" w:space="0"/>
              <w:bottom w:val="single" w:color="auto" w:sz="4" w:space="0"/>
            </w:tcBorders>
          </w:tcPr>
          <w:p>
            <w:pPr>
              <w:ind w:firstLine="210" w:firstLineChars="100"/>
              <w:rPr>
                <w:rFonts w:ascii="宋体" w:hAnsi="宋体" w:cs="宋体"/>
                <w:color w:val="auto"/>
                <w:kern w:val="2"/>
                <w:szCs w:val="21"/>
              </w:rPr>
            </w:pPr>
            <w:r>
              <w:rPr>
                <w:rFonts w:hint="eastAsia" w:ascii="宋体" w:hAnsi="宋体" w:cs="宋体"/>
                <w:color w:val="auto"/>
                <w:kern w:val="2"/>
                <w:szCs w:val="21"/>
              </w:rPr>
              <w:t xml:space="preserve">     备注</w:t>
            </w:r>
          </w:p>
        </w:tc>
        <w:tc>
          <w:tcPr>
            <w:tcW w:w="8822" w:type="dxa"/>
            <w:gridSpan w:val="5"/>
            <w:tcBorders>
              <w:top w:val="single" w:color="auto" w:sz="4" w:space="0"/>
              <w:bottom w:val="single" w:color="auto" w:sz="4" w:space="0"/>
            </w:tcBorders>
            <w:vAlign w:val="center"/>
          </w:tcPr>
          <w:tbl>
            <w:tblPr>
              <w:tblStyle w:val="46"/>
              <w:tblW w:w="0" w:type="auto"/>
              <w:tblInd w:w="0" w:type="dxa"/>
              <w:tblLayout w:type="fixed"/>
              <w:tblCellMar>
                <w:top w:w="57" w:type="dxa"/>
                <w:left w:w="108" w:type="dxa"/>
                <w:bottom w:w="57" w:type="dxa"/>
                <w:right w:w="108" w:type="dxa"/>
              </w:tblCellMar>
            </w:tblPr>
            <w:tblGrid>
              <w:gridCol w:w="2659"/>
              <w:gridCol w:w="3087"/>
              <w:gridCol w:w="2874"/>
            </w:tblGrid>
            <w:tr>
              <w:tblPrEx>
                <w:tblCellMar>
                  <w:top w:w="57" w:type="dxa"/>
                  <w:left w:w="108" w:type="dxa"/>
                  <w:bottom w:w="57" w:type="dxa"/>
                  <w:right w:w="108" w:type="dxa"/>
                </w:tblCellMar>
              </w:tblPrEx>
              <w:trPr>
                <w:trHeight w:val="348" w:hRule="atLeast"/>
              </w:trPr>
              <w:tc>
                <w:tcPr>
                  <w:tcW w:w="2659" w:type="dxa"/>
                  <w:vMerge w:val="restart"/>
                </w:tcPr>
                <w:p>
                  <w:pPr>
                    <w:rPr>
                      <w:rFonts w:ascii="宋体" w:hAnsi="宋体" w:cs="宋体"/>
                      <w:color w:val="auto"/>
                      <w:kern w:val="2"/>
                      <w:szCs w:val="21"/>
                    </w:rPr>
                  </w:pPr>
                  <w:r>
                    <w:rPr>
                      <w:rFonts w:hint="eastAsia" w:ascii="宋体" w:hAnsi="宋体" w:cs="宋体"/>
                      <w:color w:val="auto"/>
                      <w:kern w:val="2"/>
                      <w:szCs w:val="21"/>
                    </w:rPr>
                    <w:t>瑞安市公共资源交易中心</w:t>
                  </w:r>
                </w:p>
              </w:tc>
              <w:tc>
                <w:tcPr>
                  <w:tcW w:w="3087" w:type="dxa"/>
                </w:tcPr>
                <w:p>
                  <w:pPr>
                    <w:rPr>
                      <w:rFonts w:ascii="宋体" w:hAnsi="宋体" w:cs="宋体"/>
                      <w:color w:val="auto"/>
                      <w:kern w:val="2"/>
                      <w:szCs w:val="21"/>
                    </w:rPr>
                  </w:pPr>
                  <w:r>
                    <w:rPr>
                      <w:rFonts w:hint="eastAsia" w:ascii="宋体" w:hAnsi="宋体" w:cs="宋体"/>
                      <w:color w:val="auto"/>
                      <w:kern w:val="2"/>
                      <w:szCs w:val="21"/>
                    </w:rPr>
                    <w:t>地址：瑞安市满庭芳大楼三楼</w:t>
                  </w:r>
                </w:p>
              </w:tc>
              <w:tc>
                <w:tcPr>
                  <w:tcW w:w="2874" w:type="dxa"/>
                </w:tcPr>
                <w:p>
                  <w:pPr>
                    <w:rPr>
                      <w:rFonts w:ascii="宋体" w:hAnsi="宋体" w:cs="宋体"/>
                      <w:color w:val="auto"/>
                      <w:kern w:val="2"/>
                      <w:szCs w:val="21"/>
                    </w:rPr>
                  </w:pPr>
                  <w:r>
                    <w:rPr>
                      <w:rFonts w:hint="eastAsia" w:ascii="宋体" w:hAnsi="宋体" w:cs="宋体"/>
                      <w:color w:val="auto"/>
                      <w:kern w:val="2"/>
                      <w:szCs w:val="21"/>
                    </w:rPr>
                    <w:t>联系电话：0577-65879521</w:t>
                  </w:r>
                </w:p>
              </w:tc>
            </w:tr>
            <w:tr>
              <w:tblPrEx>
                <w:tblCellMar>
                  <w:top w:w="57" w:type="dxa"/>
                  <w:left w:w="108" w:type="dxa"/>
                  <w:bottom w:w="57" w:type="dxa"/>
                  <w:right w:w="108" w:type="dxa"/>
                </w:tblCellMar>
              </w:tblPrEx>
              <w:trPr>
                <w:trHeight w:val="348" w:hRule="atLeast"/>
              </w:trPr>
              <w:tc>
                <w:tcPr>
                  <w:tcW w:w="2659" w:type="dxa"/>
                  <w:vMerge w:val="continue"/>
                </w:tcPr>
                <w:p>
                  <w:pPr>
                    <w:rPr>
                      <w:rFonts w:ascii="宋体" w:hAnsi="宋体" w:cs="宋体"/>
                      <w:color w:val="auto"/>
                      <w:kern w:val="2"/>
                      <w:szCs w:val="21"/>
                    </w:rPr>
                  </w:pPr>
                </w:p>
              </w:tc>
              <w:tc>
                <w:tcPr>
                  <w:tcW w:w="3087" w:type="dxa"/>
                </w:tcPr>
                <w:p>
                  <w:pPr>
                    <w:rPr>
                      <w:rFonts w:ascii="宋体" w:hAnsi="宋体" w:cs="宋体"/>
                      <w:color w:val="auto"/>
                      <w:kern w:val="2"/>
                      <w:szCs w:val="21"/>
                    </w:rPr>
                  </w:pPr>
                  <w:r>
                    <w:rPr>
                      <w:rFonts w:hint="eastAsia" w:ascii="宋体" w:hAnsi="宋体" w:cs="宋体"/>
                      <w:color w:val="auto"/>
                      <w:kern w:val="2"/>
                      <w:szCs w:val="21"/>
                    </w:rPr>
                    <w:t>传真：0577-65879523</w:t>
                  </w:r>
                </w:p>
              </w:tc>
              <w:tc>
                <w:tcPr>
                  <w:tcW w:w="2874" w:type="dxa"/>
                </w:tcPr>
                <w:p>
                  <w:pPr>
                    <w:rPr>
                      <w:rFonts w:ascii="宋体" w:hAnsi="宋体" w:cs="宋体"/>
                      <w:color w:val="auto"/>
                      <w:kern w:val="2"/>
                      <w:szCs w:val="21"/>
                    </w:rPr>
                  </w:pPr>
                  <w:r>
                    <w:rPr>
                      <w:rFonts w:hint="eastAsia" w:ascii="宋体" w:hAnsi="宋体" w:cs="宋体"/>
                      <w:color w:val="auto"/>
                      <w:kern w:val="2"/>
                      <w:szCs w:val="21"/>
                    </w:rPr>
                    <w:t>网址：</w:t>
                  </w:r>
                  <w:r>
                    <w:rPr>
                      <w:color w:val="auto"/>
                    </w:rPr>
                    <w:fldChar w:fldCharType="begin"/>
                  </w:r>
                  <w:r>
                    <w:rPr>
                      <w:color w:val="auto"/>
                    </w:rPr>
                    <w:instrText xml:space="preserve"> HYPERLINK "http://www.raztb.com" </w:instrText>
                  </w:r>
                  <w:r>
                    <w:rPr>
                      <w:color w:val="auto"/>
                    </w:rPr>
                    <w:fldChar w:fldCharType="separate"/>
                  </w:r>
                  <w:r>
                    <w:rPr>
                      <w:rStyle w:val="54"/>
                      <w:rFonts w:hint="default"/>
                      <w:color w:val="auto"/>
                      <w:kern w:val="2"/>
                      <w:sz w:val="21"/>
                      <w:szCs w:val="21"/>
                    </w:rPr>
                    <w:t>www.raztb.com</w:t>
                  </w:r>
                  <w:r>
                    <w:rPr>
                      <w:rStyle w:val="54"/>
                      <w:rFonts w:hint="default"/>
                      <w:color w:val="auto"/>
                      <w:kern w:val="2"/>
                      <w:sz w:val="21"/>
                      <w:szCs w:val="21"/>
                    </w:rPr>
                    <w:fldChar w:fldCharType="end"/>
                  </w:r>
                </w:p>
              </w:tc>
            </w:tr>
          </w:tbl>
          <w:p>
            <w:pPr>
              <w:rPr>
                <w:rFonts w:ascii="宋体" w:hAnsi="宋体" w:cs="宋体"/>
                <w:color w:val="auto"/>
                <w:kern w:val="2"/>
                <w:szCs w:val="21"/>
              </w:rPr>
            </w:pPr>
          </w:p>
        </w:tc>
      </w:tr>
    </w:tbl>
    <w:p>
      <w:pPr>
        <w:pStyle w:val="4"/>
        <w:keepNext w:val="0"/>
        <w:keepLines w:val="0"/>
        <w:spacing w:before="156" w:beforeLines="50" w:after="156" w:afterLines="50" w:line="400" w:lineRule="exact"/>
        <w:jc w:val="center"/>
        <w:rPr>
          <w:rFonts w:hAnsi="宋体" w:cs="宋体"/>
          <w:color w:val="auto"/>
          <w:sz w:val="28"/>
          <w:szCs w:val="36"/>
        </w:rPr>
      </w:pPr>
    </w:p>
    <w:p>
      <w:pPr>
        <w:pStyle w:val="4"/>
        <w:keepNext w:val="0"/>
        <w:keepLines w:val="0"/>
        <w:spacing w:before="156" w:beforeLines="50" w:after="156" w:afterLines="50" w:line="400" w:lineRule="exact"/>
        <w:jc w:val="center"/>
        <w:rPr>
          <w:rFonts w:hAnsi="宋体" w:cs="宋体"/>
          <w:color w:val="auto"/>
          <w:sz w:val="28"/>
          <w:szCs w:val="36"/>
        </w:rPr>
      </w:pPr>
      <w:bookmarkStart w:id="80" w:name="_Toc27465"/>
      <w:r>
        <w:rPr>
          <w:rFonts w:hint="eastAsia" w:hAnsi="宋体" w:cs="宋体"/>
          <w:color w:val="auto"/>
          <w:sz w:val="28"/>
          <w:szCs w:val="36"/>
        </w:rPr>
        <w:t>第五部分  磋商响应文件格式</w:t>
      </w:r>
      <w:bookmarkEnd w:id="80"/>
    </w:p>
    <w:p>
      <w:pPr>
        <w:snapToGrid w:val="0"/>
        <w:spacing w:before="624" w:beforeLines="200" w:after="156" w:afterLines="50"/>
        <w:jc w:val="center"/>
        <w:rPr>
          <w:rFonts w:ascii="宋体" w:hAnsi="宋体" w:cs="宋体"/>
          <w:b/>
          <w:bCs/>
          <w:color w:val="auto"/>
          <w:sz w:val="28"/>
        </w:rPr>
      </w:pPr>
      <w:r>
        <w:rPr>
          <w:rFonts w:hint="eastAsia" w:ascii="宋体" w:hAnsi="宋体" w:cs="宋体"/>
          <w:b/>
          <w:bCs/>
          <w:color w:val="auto"/>
          <w:sz w:val="28"/>
        </w:rPr>
        <w:t>磋商供应商提交磋商响应文件须知</w:t>
      </w:r>
    </w:p>
    <w:p>
      <w:pPr>
        <w:snapToGrid w:val="0"/>
        <w:jc w:val="center"/>
        <w:rPr>
          <w:rFonts w:ascii="宋体" w:hAnsi="宋体" w:cs="宋体"/>
          <w:color w:val="auto"/>
          <w:sz w:val="28"/>
          <w:szCs w:val="21"/>
        </w:rPr>
      </w:pPr>
    </w:p>
    <w:p>
      <w:pPr>
        <w:pStyle w:val="143"/>
        <w:numPr>
          <w:ilvl w:val="1"/>
          <w:numId w:val="25"/>
        </w:numPr>
        <w:snapToGrid w:val="0"/>
        <w:spacing w:line="400" w:lineRule="exact"/>
        <w:ind w:left="431" w:hanging="431" w:firstLineChars="0"/>
        <w:jc w:val="both"/>
        <w:rPr>
          <w:rFonts w:ascii="宋体" w:hAnsi="宋体" w:cs="宋体"/>
          <w:color w:val="auto"/>
          <w:szCs w:val="22"/>
        </w:rPr>
      </w:pPr>
      <w:r>
        <w:rPr>
          <w:rFonts w:hint="eastAsia" w:ascii="宋体" w:hAnsi="宋体" w:cs="宋体"/>
          <w:color w:val="auto"/>
          <w:szCs w:val="22"/>
        </w:rPr>
        <w:t>磋商供应商应严格按照磋商响应文件的组成提交下述规定的全部格式文件以及其他有关资料，混乱的编排导致磋商响应文件被误读或采购机构、磋商小组查找不到有效文件是磋商供应商的风险。</w:t>
      </w:r>
    </w:p>
    <w:p>
      <w:pPr>
        <w:pStyle w:val="143"/>
        <w:numPr>
          <w:ilvl w:val="1"/>
          <w:numId w:val="25"/>
        </w:numPr>
        <w:snapToGrid w:val="0"/>
        <w:spacing w:line="400" w:lineRule="exact"/>
        <w:ind w:left="431" w:hanging="431" w:firstLineChars="0"/>
        <w:jc w:val="both"/>
        <w:rPr>
          <w:rFonts w:ascii="宋体" w:hAnsi="宋体" w:cs="宋体"/>
          <w:color w:val="auto"/>
          <w:szCs w:val="22"/>
        </w:rPr>
      </w:pPr>
      <w:r>
        <w:rPr>
          <w:rFonts w:hint="eastAsia" w:ascii="宋体" w:hAnsi="宋体" w:cs="宋体"/>
          <w:color w:val="auto"/>
          <w:szCs w:val="22"/>
        </w:rPr>
        <w:t>所附表格中要求回答的全部问题和/或信息都必须正面回答。</w:t>
      </w:r>
    </w:p>
    <w:p>
      <w:pPr>
        <w:pStyle w:val="143"/>
        <w:numPr>
          <w:ilvl w:val="1"/>
          <w:numId w:val="25"/>
        </w:numPr>
        <w:snapToGrid w:val="0"/>
        <w:spacing w:line="400" w:lineRule="exact"/>
        <w:ind w:left="431" w:hanging="431" w:firstLineChars="0"/>
        <w:jc w:val="both"/>
        <w:rPr>
          <w:rFonts w:ascii="宋体" w:hAnsi="宋体" w:cs="宋体"/>
          <w:color w:val="auto"/>
          <w:szCs w:val="22"/>
        </w:rPr>
      </w:pPr>
      <w:r>
        <w:rPr>
          <w:rFonts w:hint="eastAsia" w:ascii="宋体" w:hAnsi="宋体" w:cs="宋体"/>
          <w:color w:val="auto"/>
          <w:szCs w:val="22"/>
        </w:rPr>
        <w:t>本资格声明的签字人应保证全部声明和问题的回答是真实的和准确的。</w:t>
      </w:r>
    </w:p>
    <w:p>
      <w:pPr>
        <w:pStyle w:val="143"/>
        <w:numPr>
          <w:ilvl w:val="1"/>
          <w:numId w:val="25"/>
        </w:numPr>
        <w:snapToGrid w:val="0"/>
        <w:spacing w:line="400" w:lineRule="exact"/>
        <w:ind w:left="431" w:hanging="431" w:firstLineChars="0"/>
        <w:jc w:val="both"/>
        <w:rPr>
          <w:rFonts w:ascii="宋体" w:hAnsi="宋体" w:cs="宋体"/>
          <w:color w:val="auto"/>
          <w:szCs w:val="22"/>
        </w:rPr>
      </w:pPr>
      <w:r>
        <w:rPr>
          <w:rFonts w:hint="eastAsia" w:ascii="宋体" w:hAnsi="宋体" w:cs="宋体"/>
          <w:color w:val="auto"/>
          <w:szCs w:val="22"/>
        </w:rPr>
        <w:t>采购机构将应用磋商供应商提交的资料根据自己的判断和考虑决定磋商供应商履行合同的合格性及能力。</w:t>
      </w:r>
    </w:p>
    <w:p>
      <w:pPr>
        <w:pStyle w:val="143"/>
        <w:numPr>
          <w:ilvl w:val="1"/>
          <w:numId w:val="25"/>
        </w:numPr>
        <w:snapToGrid w:val="0"/>
        <w:spacing w:line="400" w:lineRule="exact"/>
        <w:ind w:left="431" w:hanging="431" w:firstLineChars="0"/>
        <w:jc w:val="both"/>
        <w:rPr>
          <w:rFonts w:ascii="宋体" w:hAnsi="宋体" w:cs="宋体"/>
          <w:color w:val="auto"/>
          <w:szCs w:val="22"/>
        </w:rPr>
      </w:pPr>
      <w:r>
        <w:rPr>
          <w:rFonts w:hint="eastAsia" w:ascii="宋体" w:hAnsi="宋体" w:cs="宋体"/>
          <w:color w:val="auto"/>
          <w:szCs w:val="22"/>
        </w:rPr>
        <w:t>磋商供应商提交的材料将被保密保存，但不退还。</w:t>
      </w:r>
    </w:p>
    <w:p>
      <w:pPr>
        <w:pStyle w:val="143"/>
        <w:numPr>
          <w:ilvl w:val="1"/>
          <w:numId w:val="25"/>
        </w:numPr>
        <w:snapToGrid w:val="0"/>
        <w:spacing w:line="400" w:lineRule="exact"/>
        <w:ind w:left="431" w:hanging="431" w:firstLineChars="0"/>
        <w:jc w:val="both"/>
        <w:rPr>
          <w:rFonts w:ascii="宋体" w:hAnsi="宋体" w:cs="宋体"/>
          <w:color w:val="auto"/>
        </w:rPr>
      </w:pPr>
      <w:r>
        <w:rPr>
          <w:rFonts w:hint="eastAsia" w:ascii="宋体" w:hAnsi="宋体" w:cs="宋体"/>
          <w:color w:val="auto"/>
          <w:szCs w:val="22"/>
        </w:rPr>
        <w:t>全部文件应按磋商供应商须知中规定的语言和份数提交。</w:t>
      </w:r>
    </w:p>
    <w:p>
      <w:pPr>
        <w:pStyle w:val="143"/>
        <w:snapToGrid w:val="0"/>
        <w:spacing w:line="400" w:lineRule="exact"/>
        <w:ind w:left="851" w:firstLine="0" w:firstLineChars="0"/>
        <w:rPr>
          <w:rFonts w:ascii="宋体" w:hAnsi="宋体" w:cs="宋体"/>
          <w:color w:val="auto"/>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pStyle w:val="21"/>
        <w:rPr>
          <w:color w:val="auto"/>
        </w:rPr>
      </w:pPr>
    </w:p>
    <w:p>
      <w:pPr>
        <w:rPr>
          <w:color w:val="auto"/>
        </w:rPr>
      </w:pPr>
    </w:p>
    <w:p>
      <w:pPr>
        <w:pStyle w:val="8"/>
        <w:rPr>
          <w:color w:val="auto"/>
        </w:rPr>
      </w:pPr>
    </w:p>
    <w:p>
      <w:pPr>
        <w:pStyle w:val="21"/>
        <w:rPr>
          <w:color w:val="auto"/>
        </w:rPr>
      </w:pPr>
    </w:p>
    <w:p>
      <w:pPr>
        <w:pStyle w:val="21"/>
        <w:rPr>
          <w:color w:val="auto"/>
        </w:rPr>
      </w:pPr>
    </w:p>
    <w:p>
      <w:pPr>
        <w:rPr>
          <w:rFonts w:ascii="宋体" w:hAnsi="宋体" w:cs="宋体"/>
          <w:color w:val="auto"/>
          <w:szCs w:val="21"/>
        </w:rPr>
      </w:pPr>
    </w:p>
    <w:p>
      <w:pPr>
        <w:jc w:val="center"/>
        <w:outlineLvl w:val="1"/>
        <w:rPr>
          <w:rFonts w:ascii="宋体" w:hAnsi="宋体" w:cs="宋体"/>
          <w:b/>
          <w:bCs/>
          <w:color w:val="auto"/>
          <w:sz w:val="28"/>
          <w:szCs w:val="36"/>
        </w:rPr>
      </w:pPr>
      <w:bookmarkStart w:id="81" w:name="_Toc10492"/>
      <w:bookmarkStart w:id="82" w:name="_Toc1178"/>
      <w:bookmarkStart w:id="83" w:name="_Toc4327"/>
      <w:bookmarkStart w:id="84" w:name="_Toc27037134"/>
      <w:bookmarkStart w:id="85" w:name="_Toc27035995"/>
      <w:bookmarkStart w:id="86" w:name="_Toc486931326"/>
      <w:bookmarkStart w:id="87" w:name="_Toc6671"/>
      <w:r>
        <w:rPr>
          <w:rFonts w:hint="eastAsia" w:ascii="宋体" w:hAnsi="宋体" w:cs="宋体"/>
          <w:b/>
          <w:bCs/>
          <w:color w:val="auto"/>
          <w:sz w:val="28"/>
          <w:szCs w:val="36"/>
        </w:rPr>
        <w:t>附件一  资格、资质证明文件</w:t>
      </w:r>
      <w:bookmarkEnd w:id="81"/>
      <w:bookmarkEnd w:id="82"/>
      <w:bookmarkEnd w:id="83"/>
      <w:r>
        <w:rPr>
          <w:rFonts w:hint="eastAsia" w:ascii="宋体" w:hAnsi="宋体" w:cs="宋体"/>
          <w:b/>
          <w:bCs/>
          <w:color w:val="auto"/>
          <w:sz w:val="28"/>
          <w:szCs w:val="36"/>
        </w:rPr>
        <w:t xml:space="preserve"> </w:t>
      </w:r>
    </w:p>
    <w:p>
      <w:pPr>
        <w:spacing w:before="312" w:beforeLines="100" w:after="156" w:afterLines="50"/>
        <w:ind w:right="-11"/>
        <w:jc w:val="center"/>
        <w:rPr>
          <w:b/>
          <w:bCs/>
          <w:color w:val="auto"/>
          <w:sz w:val="24"/>
          <w:szCs w:val="24"/>
        </w:rPr>
      </w:pPr>
      <w:r>
        <w:rPr>
          <w:rFonts w:hint="eastAsia"/>
          <w:b/>
          <w:bCs/>
          <w:color w:val="auto"/>
          <w:sz w:val="24"/>
          <w:szCs w:val="24"/>
        </w:rPr>
        <w:t>（一） 关于资格、资质证明文件的声明函</w:t>
      </w:r>
    </w:p>
    <w:p>
      <w:pPr>
        <w:pStyle w:val="10"/>
        <w:overflowPunct w:val="0"/>
        <w:spacing w:line="360" w:lineRule="auto"/>
        <w:ind w:right="-21" w:rightChars="-10" w:firstLine="0"/>
        <w:rPr>
          <w:rFonts w:ascii="宋体" w:hAnsi="宋体"/>
          <w:color w:val="auto"/>
        </w:rPr>
      </w:pPr>
    </w:p>
    <w:p>
      <w:pPr>
        <w:pStyle w:val="10"/>
        <w:overflowPunct w:val="0"/>
        <w:spacing w:line="360" w:lineRule="auto"/>
        <w:ind w:right="-21" w:rightChars="-10" w:firstLine="0"/>
        <w:rPr>
          <w:rFonts w:ascii="宋体" w:hAnsi="宋体"/>
          <w:color w:val="auto"/>
        </w:rPr>
      </w:pPr>
      <w:r>
        <w:rPr>
          <w:rFonts w:hint="eastAsia" w:ascii="宋体" w:hAnsi="宋体"/>
          <w:color w:val="auto"/>
          <w:lang w:eastAsia="zh-CN"/>
        </w:rPr>
        <w:t>瑞安市曹村镇人民政府</w:t>
      </w:r>
      <w:r>
        <w:rPr>
          <w:rFonts w:hint="eastAsia" w:ascii="宋体" w:hAnsi="宋体"/>
          <w:color w:val="auto"/>
        </w:rPr>
        <w:t xml:space="preserve"> ：</w:t>
      </w:r>
    </w:p>
    <w:p>
      <w:pPr>
        <w:pStyle w:val="10"/>
        <w:overflowPunct w:val="0"/>
        <w:spacing w:line="360" w:lineRule="auto"/>
        <w:ind w:right="-21" w:rightChars="-10" w:firstLine="480"/>
        <w:rPr>
          <w:rFonts w:ascii="宋体" w:hAnsi="宋体"/>
          <w:color w:val="auto"/>
        </w:rPr>
      </w:pPr>
    </w:p>
    <w:p>
      <w:pPr>
        <w:pStyle w:val="10"/>
        <w:overflowPunct w:val="0"/>
        <w:spacing w:line="360" w:lineRule="auto"/>
        <w:ind w:right="-21" w:rightChars="-10" w:firstLine="480"/>
        <w:rPr>
          <w:rFonts w:ascii="宋体" w:hAnsi="宋体"/>
          <w:color w:val="auto"/>
        </w:rPr>
      </w:pPr>
      <w:r>
        <w:rPr>
          <w:rFonts w:ascii="宋体" w:hAnsi="宋体"/>
          <w:color w:val="auto"/>
        </w:rPr>
        <w:t xml:space="preserve"> </w:t>
      </w:r>
      <w:r>
        <w:rPr>
          <w:rFonts w:hint="eastAsia" w:ascii="宋体" w:hAnsi="宋体"/>
          <w:color w:val="auto"/>
        </w:rPr>
        <w:t>本公司愿就由贵单位组织实施的</w:t>
      </w:r>
      <w:r>
        <w:rPr>
          <w:rFonts w:hint="eastAsia" w:ascii="宋体" w:hAnsi="宋体"/>
          <w:color w:val="auto"/>
          <w:u w:val="single"/>
        </w:rPr>
        <w:t xml:space="preserve">                       （</w:t>
      </w:r>
      <w:r>
        <w:rPr>
          <w:rFonts w:hint="eastAsia" w:ascii="宋体" w:hAnsi="宋体"/>
          <w:color w:val="auto"/>
        </w:rPr>
        <w:t>项目编号：</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的采购活动进行响应。本公司所提交的磋商响应文件中所有关于磋商资格的文件、证明和陈述均是真实的、准确的。若与真实情况不符，本公司愿意承担由此而产生的一切后果。</w:t>
      </w:r>
    </w:p>
    <w:p>
      <w:pPr>
        <w:pStyle w:val="10"/>
        <w:overflowPunct w:val="0"/>
        <w:spacing w:line="360" w:lineRule="auto"/>
        <w:ind w:right="-21" w:rightChars="-10" w:firstLine="480"/>
        <w:rPr>
          <w:rFonts w:ascii="宋体" w:hAnsi="宋体"/>
          <w:color w:val="auto"/>
        </w:rPr>
      </w:pPr>
    </w:p>
    <w:p>
      <w:pPr>
        <w:tabs>
          <w:tab w:val="left" w:pos="4635"/>
        </w:tabs>
        <w:spacing w:line="360" w:lineRule="auto"/>
        <w:ind w:left="3826" w:leftChars="1822" w:right="840"/>
        <w:rPr>
          <w:rFonts w:ascii="Arial" w:hAnsi="Arial"/>
          <w:color w:val="auto"/>
        </w:rPr>
      </w:pPr>
    </w:p>
    <w:p>
      <w:pPr>
        <w:tabs>
          <w:tab w:val="left" w:pos="4635"/>
        </w:tabs>
        <w:spacing w:line="360" w:lineRule="auto"/>
        <w:ind w:left="3826" w:leftChars="1822" w:right="840"/>
        <w:rPr>
          <w:rFonts w:ascii="Arial" w:hAnsi="Arial"/>
          <w:color w:val="auto"/>
        </w:rPr>
      </w:pPr>
    </w:p>
    <w:p>
      <w:pPr>
        <w:spacing w:before="312" w:beforeLines="100" w:after="312" w:afterLines="100" w:line="400" w:lineRule="atLeast"/>
        <w:ind w:left="4620" w:leftChars="2200"/>
        <w:rPr>
          <w:rFonts w:ascii="宋体" w:hAnsi="宋体"/>
          <w:color w:val="auto"/>
          <w:szCs w:val="21"/>
        </w:rPr>
      </w:pPr>
      <w:r>
        <w:rPr>
          <w:rFonts w:hint="eastAsia" w:ascii="宋体" w:hAnsi="宋体"/>
          <w:color w:val="auto"/>
          <w:szCs w:val="21"/>
        </w:rPr>
        <w:t>磋商供应商（公章）：</w:t>
      </w:r>
    </w:p>
    <w:p>
      <w:pPr>
        <w:spacing w:before="312" w:beforeLines="100" w:after="312" w:afterLines="100" w:line="400" w:lineRule="atLeast"/>
        <w:ind w:left="4620" w:leftChars="2200"/>
        <w:rPr>
          <w:rFonts w:ascii="宋体" w:hAnsi="宋体"/>
          <w:color w:val="auto"/>
          <w:szCs w:val="21"/>
        </w:rPr>
      </w:pPr>
      <w:r>
        <w:rPr>
          <w:rFonts w:hint="eastAsia" w:ascii="宋体" w:hAnsi="宋体"/>
          <w:color w:val="auto"/>
          <w:szCs w:val="21"/>
        </w:rPr>
        <w:t>法定代表人或授权代表（签字或盖章）：</w:t>
      </w:r>
    </w:p>
    <w:p>
      <w:pPr>
        <w:spacing w:before="312" w:beforeLines="100" w:after="312" w:afterLines="100" w:line="400" w:lineRule="atLeast"/>
        <w:ind w:left="4620" w:leftChars="2200"/>
        <w:rPr>
          <w:rFonts w:ascii="宋体" w:hAnsi="宋体"/>
          <w:color w:val="auto"/>
          <w:szCs w:val="21"/>
        </w:rPr>
      </w:pPr>
      <w:r>
        <w:rPr>
          <w:rFonts w:hint="eastAsia" w:ascii="宋体" w:hAnsi="宋体"/>
          <w:color w:val="auto"/>
          <w:szCs w:val="21"/>
        </w:rPr>
        <w:t>日      期：    年   月     日</w:t>
      </w:r>
    </w:p>
    <w:p>
      <w:pPr>
        <w:spacing w:before="312" w:beforeLines="100" w:after="156" w:afterLines="50"/>
        <w:ind w:right="-11"/>
        <w:rPr>
          <w:b/>
          <w:bCs/>
          <w:color w:val="auto"/>
          <w:sz w:val="24"/>
          <w:szCs w:val="24"/>
        </w:rPr>
      </w:pPr>
    </w:p>
    <w:p>
      <w:pPr>
        <w:spacing w:before="312" w:beforeLines="100" w:after="156" w:afterLines="50"/>
        <w:ind w:right="-11"/>
        <w:jc w:val="center"/>
        <w:rPr>
          <w:b/>
          <w:bCs/>
          <w:color w:val="auto"/>
          <w:sz w:val="24"/>
          <w:szCs w:val="24"/>
        </w:rPr>
      </w:pPr>
      <w:r>
        <w:rPr>
          <w:rFonts w:hint="eastAsia"/>
          <w:b/>
          <w:bCs/>
          <w:color w:val="auto"/>
          <w:sz w:val="24"/>
          <w:szCs w:val="24"/>
        </w:rPr>
        <w:t>（二） 其它证明文件</w:t>
      </w:r>
    </w:p>
    <w:p>
      <w:pPr>
        <w:pStyle w:val="242"/>
        <w:spacing w:line="360" w:lineRule="auto"/>
        <w:rPr>
          <w:rFonts w:hAnsi="宋体" w:cs="宋体"/>
          <w:b/>
          <w:bCs/>
          <w:color w:val="auto"/>
        </w:rPr>
      </w:pPr>
      <w:r>
        <w:rPr>
          <w:rFonts w:hint="eastAsia" w:hAnsi="宋体" w:cs="宋体"/>
          <w:b/>
          <w:bCs/>
          <w:color w:val="auto"/>
        </w:rPr>
        <w:t>1）供应商有效的营业执照扫描件；</w:t>
      </w:r>
    </w:p>
    <w:p>
      <w:pPr>
        <w:pStyle w:val="242"/>
        <w:spacing w:line="360" w:lineRule="auto"/>
        <w:rPr>
          <w:rFonts w:hAnsi="宋体" w:cs="宋体"/>
          <w:b/>
          <w:bCs/>
          <w:color w:val="auto"/>
        </w:rPr>
      </w:pPr>
      <w:r>
        <w:rPr>
          <w:rFonts w:hint="eastAsia" w:hAnsi="宋体" w:cs="宋体"/>
          <w:b/>
          <w:bCs/>
          <w:color w:val="auto"/>
        </w:rPr>
        <w:t>2）供应商相关资质证明文件扫描件；</w:t>
      </w:r>
    </w:p>
    <w:p>
      <w:pPr>
        <w:pStyle w:val="242"/>
        <w:spacing w:line="360" w:lineRule="auto"/>
        <w:rPr>
          <w:rFonts w:hAnsi="宋体" w:cs="宋体"/>
          <w:b/>
          <w:bCs/>
          <w:color w:val="auto"/>
        </w:rPr>
      </w:pPr>
      <w:r>
        <w:rPr>
          <w:rFonts w:hint="eastAsia" w:hAnsi="宋体" w:cs="宋体"/>
          <w:b/>
          <w:bCs/>
          <w:color w:val="auto"/>
        </w:rPr>
        <w:t>3）供应商的其他证书扫描件（如有）。</w:t>
      </w:r>
    </w:p>
    <w:p>
      <w:pPr>
        <w:pStyle w:val="242"/>
        <w:spacing w:line="360" w:lineRule="auto"/>
        <w:rPr>
          <w:rFonts w:hAnsi="宋体" w:cs="宋体"/>
          <w:b/>
          <w:bCs/>
          <w:color w:val="auto"/>
        </w:rPr>
      </w:pPr>
      <w:r>
        <w:rPr>
          <w:rFonts w:hint="eastAsia" w:hAnsi="宋体" w:cs="宋体"/>
          <w:b/>
          <w:bCs/>
          <w:color w:val="auto"/>
        </w:rPr>
        <w:t>备注：以上所需的各种证书、证件、证明、执照等证明材料均须加盖供应商单位公章。</w:t>
      </w:r>
    </w:p>
    <w:p>
      <w:pPr>
        <w:pStyle w:val="3"/>
        <w:rPr>
          <w:color w:val="auto"/>
        </w:rPr>
      </w:pPr>
    </w:p>
    <w:p>
      <w:pPr>
        <w:pStyle w:val="2"/>
        <w:ind w:firstLine="210"/>
        <w:rPr>
          <w:color w:val="auto"/>
        </w:rPr>
      </w:pPr>
    </w:p>
    <w:p>
      <w:pPr>
        <w:rPr>
          <w:color w:val="auto"/>
        </w:rPr>
      </w:pPr>
    </w:p>
    <w:p>
      <w:pPr>
        <w:pStyle w:val="2"/>
        <w:ind w:firstLine="210"/>
        <w:rPr>
          <w:color w:val="auto"/>
        </w:rPr>
      </w:pPr>
    </w:p>
    <w:p>
      <w:pPr>
        <w:rPr>
          <w:color w:val="auto"/>
        </w:rPr>
      </w:pPr>
    </w:p>
    <w:p>
      <w:pPr>
        <w:pStyle w:val="8"/>
        <w:rPr>
          <w:color w:val="auto"/>
        </w:rPr>
      </w:pPr>
    </w:p>
    <w:p>
      <w:pPr>
        <w:pStyle w:val="3"/>
        <w:rPr>
          <w:color w:val="auto"/>
        </w:rPr>
      </w:pPr>
    </w:p>
    <w:p>
      <w:pPr>
        <w:pStyle w:val="2"/>
        <w:ind w:firstLine="210"/>
        <w:rPr>
          <w:color w:val="auto"/>
        </w:rPr>
      </w:pPr>
    </w:p>
    <w:p>
      <w:pPr>
        <w:jc w:val="center"/>
        <w:outlineLvl w:val="1"/>
        <w:rPr>
          <w:rFonts w:ascii="宋体" w:hAnsi="宋体" w:cs="宋体"/>
          <w:b/>
          <w:bCs/>
          <w:color w:val="auto"/>
          <w:sz w:val="28"/>
          <w:szCs w:val="36"/>
        </w:rPr>
      </w:pPr>
      <w:bookmarkStart w:id="88" w:name="_Toc495673652"/>
      <w:bookmarkStart w:id="89" w:name="_Toc28485"/>
      <w:bookmarkStart w:id="90" w:name="_Toc27037141"/>
      <w:bookmarkStart w:id="91" w:name="_Toc25704"/>
      <w:bookmarkStart w:id="92" w:name="_Toc20550"/>
      <w:bookmarkStart w:id="93" w:name="_Toc13275"/>
      <w:bookmarkStart w:id="94" w:name="_Toc27036002"/>
      <w:bookmarkStart w:id="95" w:name="_Toc11419"/>
      <w:bookmarkStart w:id="96" w:name="_Toc19839"/>
      <w:bookmarkStart w:id="97" w:name="_Toc402258850"/>
      <w:bookmarkStart w:id="98" w:name="_Toc387128399"/>
      <w:bookmarkStart w:id="99" w:name="_Toc364232512"/>
      <w:bookmarkStart w:id="100" w:name="_Toc18079"/>
      <w:bookmarkStart w:id="101" w:name="_Toc433019965"/>
      <w:bookmarkStart w:id="102" w:name="_Toc27035997"/>
      <w:bookmarkStart w:id="103" w:name="_Toc27037136"/>
      <w:bookmarkStart w:id="104" w:name="_Toc18181"/>
      <w:bookmarkStart w:id="105" w:name="_Toc486931328"/>
      <w:r>
        <w:rPr>
          <w:rFonts w:hint="eastAsia" w:ascii="宋体" w:hAnsi="宋体" w:cs="宋体"/>
          <w:b/>
          <w:bCs/>
          <w:color w:val="auto"/>
          <w:sz w:val="28"/>
          <w:szCs w:val="36"/>
        </w:rPr>
        <w:t>附件</w:t>
      </w:r>
      <w:bookmarkEnd w:id="88"/>
      <w:r>
        <w:rPr>
          <w:rFonts w:hint="eastAsia" w:ascii="宋体" w:hAnsi="宋体" w:cs="宋体"/>
          <w:b/>
          <w:bCs/>
          <w:color w:val="auto"/>
          <w:sz w:val="28"/>
          <w:szCs w:val="36"/>
        </w:rPr>
        <w:t xml:space="preserve">二   </w:t>
      </w:r>
      <w:bookmarkEnd w:id="89"/>
      <w:bookmarkEnd w:id="90"/>
      <w:bookmarkEnd w:id="91"/>
      <w:bookmarkEnd w:id="92"/>
      <w:bookmarkEnd w:id="93"/>
      <w:bookmarkEnd w:id="94"/>
      <w:bookmarkEnd w:id="95"/>
      <w:r>
        <w:rPr>
          <w:rFonts w:hint="eastAsia" w:ascii="宋体" w:hAnsi="宋体" w:cs="宋体"/>
          <w:b/>
          <w:bCs/>
          <w:color w:val="auto"/>
          <w:sz w:val="28"/>
          <w:szCs w:val="36"/>
        </w:rPr>
        <w:t>关于符合《中华人民共和国政府采购法》第二十二条</w:t>
      </w:r>
      <w:bookmarkEnd w:id="96"/>
    </w:p>
    <w:p>
      <w:pPr>
        <w:jc w:val="center"/>
        <w:outlineLvl w:val="1"/>
        <w:rPr>
          <w:rFonts w:ascii="宋体" w:hAnsi="宋体" w:cs="宋体"/>
          <w:b/>
          <w:bCs/>
          <w:color w:val="auto"/>
          <w:sz w:val="28"/>
          <w:szCs w:val="36"/>
        </w:rPr>
      </w:pPr>
      <w:bookmarkStart w:id="106" w:name="_Toc18829"/>
      <w:r>
        <w:rPr>
          <w:rFonts w:hint="eastAsia" w:ascii="宋体" w:hAnsi="宋体" w:cs="宋体"/>
          <w:b/>
          <w:bCs/>
          <w:color w:val="auto"/>
          <w:sz w:val="28"/>
          <w:szCs w:val="36"/>
        </w:rPr>
        <w:t>规定条件的承诺函</w:t>
      </w:r>
      <w:bookmarkEnd w:id="106"/>
    </w:p>
    <w:bookmarkEnd w:id="97"/>
    <w:bookmarkEnd w:id="98"/>
    <w:bookmarkEnd w:id="99"/>
    <w:bookmarkEnd w:id="100"/>
    <w:bookmarkEnd w:id="101"/>
    <w:p>
      <w:pPr>
        <w:snapToGrid w:val="0"/>
        <w:spacing w:before="156" w:beforeLines="50" w:after="50" w:line="276" w:lineRule="auto"/>
        <w:rPr>
          <w:rFonts w:ascii="Arial" w:hAnsi="Arial" w:cs="Arial"/>
          <w:color w:val="auto"/>
          <w:szCs w:val="21"/>
        </w:rPr>
      </w:pPr>
    </w:p>
    <w:p>
      <w:pPr>
        <w:snapToGrid w:val="0"/>
        <w:spacing w:before="156" w:beforeLines="50" w:after="50" w:line="276" w:lineRule="auto"/>
        <w:rPr>
          <w:rFonts w:ascii="宋体" w:hAnsi="Calibri" w:cs="宋体"/>
          <w:b/>
          <w:color w:val="auto"/>
          <w:sz w:val="22"/>
          <w:szCs w:val="22"/>
        </w:rPr>
      </w:pPr>
      <w:r>
        <w:rPr>
          <w:rFonts w:hint="eastAsia" w:ascii="Arial" w:hAnsi="Arial" w:cs="Arial"/>
          <w:color w:val="auto"/>
          <w:szCs w:val="21"/>
          <w:lang w:eastAsia="zh-CN"/>
        </w:rPr>
        <w:t>瑞安市曹村镇人民政府</w:t>
      </w:r>
      <w:r>
        <w:rPr>
          <w:rFonts w:hint="eastAsia" w:ascii="Arial" w:hAnsi="Arial" w:cs="Arial"/>
          <w:color w:val="auto"/>
          <w:szCs w:val="21"/>
        </w:rPr>
        <w:t xml:space="preserve"> ：</w:t>
      </w:r>
    </w:p>
    <w:p>
      <w:pPr>
        <w:pStyle w:val="10"/>
        <w:overflowPunct w:val="0"/>
        <w:spacing w:line="360" w:lineRule="auto"/>
        <w:ind w:right="-21" w:rightChars="-10" w:firstLineChars="200"/>
        <w:rPr>
          <w:rFonts w:ascii="宋体" w:hAnsi="宋体"/>
          <w:color w:val="auto"/>
        </w:rPr>
      </w:pPr>
      <w:r>
        <w:rPr>
          <w:rFonts w:hint="eastAsia" w:ascii="宋体" w:hAnsi="宋体"/>
          <w:color w:val="auto"/>
        </w:rPr>
        <w:t>我公司参与</w:t>
      </w:r>
      <w:r>
        <w:rPr>
          <w:rFonts w:hint="eastAsia" w:ascii="宋体" w:hAnsi="宋体"/>
          <w:color w:val="auto"/>
          <w:u w:val="single"/>
        </w:rPr>
        <w:t>项目名称                                 （</w:t>
      </w:r>
      <w:r>
        <w:rPr>
          <w:rFonts w:hint="eastAsia" w:ascii="宋体" w:hAnsi="宋体"/>
          <w:color w:val="auto"/>
        </w:rPr>
        <w:t>项目编号：    ）投标，</w:t>
      </w:r>
    </w:p>
    <w:p>
      <w:pPr>
        <w:pStyle w:val="10"/>
        <w:overflowPunct w:val="0"/>
        <w:spacing w:line="360" w:lineRule="auto"/>
        <w:ind w:right="-21" w:rightChars="-10" w:firstLine="0"/>
        <w:rPr>
          <w:rFonts w:ascii="宋体" w:hAnsi="宋体"/>
          <w:color w:val="auto"/>
        </w:rPr>
      </w:pPr>
      <w:r>
        <w:rPr>
          <w:rFonts w:hint="eastAsia" w:ascii="宋体" w:hAnsi="宋体"/>
          <w:color w:val="auto"/>
        </w:rPr>
        <w:t>郑重承诺具备以下条件：</w:t>
      </w:r>
    </w:p>
    <w:p>
      <w:pPr>
        <w:pStyle w:val="10"/>
        <w:overflowPunct w:val="0"/>
        <w:spacing w:line="360" w:lineRule="auto"/>
        <w:ind w:right="-21" w:rightChars="-10" w:firstLine="0"/>
        <w:rPr>
          <w:rFonts w:ascii="宋体" w:hAnsi="宋体"/>
          <w:color w:val="auto"/>
        </w:rPr>
      </w:pPr>
      <w:r>
        <w:rPr>
          <w:rFonts w:hint="eastAsia" w:ascii="宋体" w:hAnsi="宋体"/>
          <w:color w:val="auto"/>
        </w:rPr>
        <w:t>（一）具有独立承担民事责任的能力；</w:t>
      </w:r>
    </w:p>
    <w:p>
      <w:pPr>
        <w:pStyle w:val="10"/>
        <w:overflowPunct w:val="0"/>
        <w:spacing w:line="360" w:lineRule="auto"/>
        <w:ind w:right="-21" w:rightChars="-10" w:firstLine="0"/>
        <w:rPr>
          <w:rFonts w:ascii="宋体" w:hAnsi="宋体"/>
          <w:color w:val="auto"/>
        </w:rPr>
      </w:pPr>
      <w:r>
        <w:rPr>
          <w:rFonts w:hint="eastAsia" w:ascii="宋体" w:hAnsi="宋体"/>
          <w:color w:val="auto"/>
        </w:rPr>
        <w:t>（二）具有良好的商业信誉和健全的财务会计制度；</w:t>
      </w:r>
    </w:p>
    <w:p>
      <w:pPr>
        <w:pStyle w:val="10"/>
        <w:overflowPunct w:val="0"/>
        <w:spacing w:line="360" w:lineRule="auto"/>
        <w:ind w:right="-21" w:rightChars="-10" w:firstLine="0"/>
        <w:rPr>
          <w:rFonts w:ascii="宋体" w:hAnsi="宋体"/>
          <w:color w:val="auto"/>
        </w:rPr>
      </w:pPr>
      <w:r>
        <w:rPr>
          <w:rFonts w:hint="eastAsia" w:ascii="宋体" w:hAnsi="宋体"/>
          <w:color w:val="auto"/>
        </w:rPr>
        <w:t>（三）具有履行合同所必需的设备和专业技术能力；</w:t>
      </w:r>
    </w:p>
    <w:p>
      <w:pPr>
        <w:pStyle w:val="10"/>
        <w:overflowPunct w:val="0"/>
        <w:spacing w:line="360" w:lineRule="auto"/>
        <w:ind w:right="-21" w:rightChars="-10" w:firstLine="0"/>
        <w:rPr>
          <w:rFonts w:ascii="宋体" w:hAnsi="宋体"/>
          <w:color w:val="auto"/>
        </w:rPr>
      </w:pPr>
      <w:r>
        <w:rPr>
          <w:rFonts w:hint="eastAsia" w:ascii="宋体" w:hAnsi="宋体"/>
          <w:color w:val="auto"/>
        </w:rPr>
        <w:t>（四）有依法缴纳税收和社会保障资金的良好记录；</w:t>
      </w:r>
    </w:p>
    <w:p>
      <w:pPr>
        <w:pStyle w:val="10"/>
        <w:overflowPunct w:val="0"/>
        <w:spacing w:line="360" w:lineRule="auto"/>
        <w:ind w:right="-21" w:rightChars="-10" w:firstLine="0"/>
        <w:rPr>
          <w:rFonts w:ascii="宋体" w:hAnsi="宋体"/>
          <w:color w:val="auto"/>
        </w:rPr>
      </w:pPr>
      <w:r>
        <w:rPr>
          <w:rFonts w:hint="eastAsia" w:ascii="宋体" w:hAnsi="宋体"/>
          <w:color w:val="auto"/>
        </w:rPr>
        <w:t>（五）参加政府采购活动前三年内，在经营活动中没有重大违法记录；</w:t>
      </w:r>
    </w:p>
    <w:p>
      <w:pPr>
        <w:pStyle w:val="10"/>
        <w:overflowPunct w:val="0"/>
        <w:spacing w:line="360" w:lineRule="auto"/>
        <w:ind w:right="-21" w:rightChars="-10" w:firstLine="0"/>
        <w:rPr>
          <w:rFonts w:ascii="宋体" w:hAnsi="宋体"/>
          <w:color w:val="auto"/>
        </w:rPr>
      </w:pPr>
      <w:r>
        <w:rPr>
          <w:rFonts w:hint="eastAsia" w:ascii="宋体" w:hAnsi="宋体"/>
          <w:color w:val="auto"/>
        </w:rPr>
        <w:t>（六）法律、行政法规规定的其他条件。</w:t>
      </w:r>
    </w:p>
    <w:p>
      <w:pPr>
        <w:pStyle w:val="10"/>
        <w:overflowPunct w:val="0"/>
        <w:spacing w:line="360" w:lineRule="auto"/>
        <w:ind w:right="-21" w:rightChars="-10" w:firstLine="422" w:firstLineChars="200"/>
        <w:rPr>
          <w:rFonts w:ascii="宋体" w:hAnsi="宋体"/>
          <w:color w:val="auto"/>
        </w:rPr>
      </w:pPr>
      <w:r>
        <w:rPr>
          <w:rFonts w:hint="eastAsia" w:ascii="宋体" w:hAnsi="宋体"/>
          <w:b/>
          <w:color w:val="auto"/>
        </w:rPr>
        <w:t>本公司对上述承诺的真实性负责。上述承诺如有虚假，将按“提供虚假材料谋取中标、成交”情形，由采购人取消我公司任何资格（投标/中标/签订合同），且由采购单位/采购代理机构报告至政府采购监管部门</w:t>
      </w:r>
      <w:r>
        <w:rPr>
          <w:rFonts w:hint="eastAsia" w:ascii="宋体" w:hAnsi="宋体"/>
          <w:color w:val="auto"/>
        </w:rPr>
        <w:t>。一经监管部门查证属实，将按照《中华人民共和国政府采购法》第七十七条“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规定予以处理。</w:t>
      </w:r>
    </w:p>
    <w:p>
      <w:pPr>
        <w:pStyle w:val="10"/>
        <w:overflowPunct w:val="0"/>
        <w:spacing w:line="360" w:lineRule="auto"/>
        <w:ind w:right="-21" w:rightChars="-10" w:firstLine="0"/>
        <w:rPr>
          <w:rFonts w:ascii="宋体" w:hAnsi="宋体"/>
          <w:color w:val="auto"/>
        </w:rPr>
      </w:pPr>
      <w:r>
        <w:rPr>
          <w:rFonts w:hint="eastAsia" w:ascii="宋体" w:hAnsi="宋体"/>
          <w:color w:val="auto"/>
        </w:rPr>
        <w:t>我单位已知晓前述法律规定，对此无任何异议。</w:t>
      </w:r>
    </w:p>
    <w:p>
      <w:pPr>
        <w:pStyle w:val="10"/>
        <w:overflowPunct w:val="0"/>
        <w:spacing w:line="360" w:lineRule="auto"/>
        <w:ind w:right="-21" w:rightChars="-10" w:firstLine="0"/>
        <w:rPr>
          <w:rFonts w:ascii="宋体" w:hAnsi="宋体"/>
          <w:color w:val="auto"/>
        </w:rPr>
      </w:pP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10"/>
        <w:overflowPunct w:val="0"/>
        <w:spacing w:line="360" w:lineRule="auto"/>
        <w:ind w:right="-21" w:rightChars="-10" w:firstLine="0"/>
        <w:rPr>
          <w:rFonts w:ascii="宋体" w:hAnsi="宋体"/>
          <w:color w:val="auto"/>
        </w:rPr>
      </w:pPr>
    </w:p>
    <w:p>
      <w:pPr>
        <w:spacing w:before="312" w:beforeLines="100" w:after="312" w:afterLines="100" w:line="400" w:lineRule="atLeast"/>
        <w:ind w:left="4615" w:hanging="4615" w:hangingChars="2189"/>
        <w:rPr>
          <w:rFonts w:ascii="宋体" w:hAnsi="宋体"/>
          <w:b/>
          <w:color w:val="auto"/>
        </w:rPr>
      </w:pPr>
      <w:r>
        <w:rPr>
          <w:rFonts w:hint="eastAsia" w:ascii="宋体" w:hAnsi="宋体"/>
          <w:b/>
          <w:color w:val="auto"/>
        </w:rPr>
        <w:t>注：1、▲本承诺函必须提供。</w:t>
      </w:r>
    </w:p>
    <w:p>
      <w:pPr>
        <w:pStyle w:val="2"/>
        <w:ind w:firstLine="210"/>
        <w:rPr>
          <w:color w:val="auto"/>
        </w:rPr>
      </w:pPr>
      <w:r>
        <w:rPr>
          <w:color w:val="auto"/>
        </w:rPr>
        <w:br w:type="page"/>
      </w:r>
    </w:p>
    <w:bookmarkEnd w:id="102"/>
    <w:bookmarkEnd w:id="103"/>
    <w:bookmarkEnd w:id="104"/>
    <w:bookmarkEnd w:id="105"/>
    <w:p>
      <w:pPr>
        <w:jc w:val="center"/>
        <w:outlineLvl w:val="1"/>
        <w:rPr>
          <w:rFonts w:ascii="宋体" w:hAnsi="宋体" w:cs="宋体"/>
          <w:b/>
          <w:bCs/>
          <w:color w:val="auto"/>
          <w:sz w:val="28"/>
          <w:szCs w:val="36"/>
        </w:rPr>
      </w:pPr>
      <w:bookmarkStart w:id="107" w:name="_Toc2548"/>
      <w:bookmarkStart w:id="108" w:name="_Toc20815"/>
      <w:bookmarkStart w:id="109" w:name="_Toc12049"/>
      <w:r>
        <w:rPr>
          <w:rFonts w:hint="eastAsia" w:ascii="宋体" w:hAnsi="宋体" w:cs="宋体"/>
          <w:b/>
          <w:bCs/>
          <w:color w:val="auto"/>
          <w:sz w:val="28"/>
          <w:szCs w:val="36"/>
        </w:rPr>
        <w:t>附件三-1  法定代表人授权委托书</w:t>
      </w:r>
      <w:bookmarkEnd w:id="84"/>
      <w:bookmarkEnd w:id="85"/>
      <w:bookmarkEnd w:id="86"/>
      <w:bookmarkEnd w:id="87"/>
      <w:bookmarkEnd w:id="107"/>
      <w:bookmarkEnd w:id="108"/>
      <w:bookmarkEnd w:id="109"/>
    </w:p>
    <w:p>
      <w:pPr>
        <w:spacing w:line="276" w:lineRule="auto"/>
        <w:rPr>
          <w:rFonts w:ascii="宋体" w:hAnsi="宋体"/>
          <w:bCs/>
          <w:color w:val="auto"/>
        </w:rPr>
      </w:pPr>
    </w:p>
    <w:p>
      <w:pPr>
        <w:spacing w:line="276" w:lineRule="auto"/>
        <w:rPr>
          <w:rFonts w:ascii="宋体"/>
          <w:bCs/>
          <w:color w:val="auto"/>
        </w:rPr>
      </w:pPr>
      <w:r>
        <w:rPr>
          <w:rFonts w:hint="eastAsia" w:ascii="宋体" w:hAnsi="宋体"/>
          <w:bCs/>
          <w:color w:val="auto"/>
        </w:rPr>
        <w:t>瑞安市政府投资工程建设中心、 瑞安市残疾人联合会 ：</w:t>
      </w:r>
    </w:p>
    <w:p>
      <w:pPr>
        <w:spacing w:line="276" w:lineRule="auto"/>
        <w:ind w:firstLine="426" w:firstLineChars="203"/>
        <w:rPr>
          <w:rFonts w:ascii="宋体"/>
          <w:color w:val="auto"/>
        </w:rPr>
      </w:pPr>
      <w:r>
        <w:rPr>
          <w:rFonts w:hint="eastAsia" w:ascii="宋体" w:hAnsi="宋体"/>
          <w:color w:val="auto"/>
        </w:rPr>
        <w:t>本授权委托书声明：我</w:t>
      </w:r>
      <w:r>
        <w:rPr>
          <w:rFonts w:ascii="宋体" w:hAnsi="宋体"/>
          <w:color w:val="auto"/>
          <w:u w:val="single"/>
        </w:rPr>
        <w:t xml:space="preserve">      </w:t>
      </w:r>
      <w:r>
        <w:rPr>
          <w:rFonts w:hint="eastAsia" w:ascii="宋体" w:hAnsi="宋体"/>
          <w:color w:val="auto"/>
        </w:rPr>
        <w:t>（法人代表姓名）系</w:t>
      </w:r>
      <w:r>
        <w:rPr>
          <w:rFonts w:ascii="宋体" w:hAnsi="宋体"/>
          <w:color w:val="auto"/>
          <w:u w:val="single"/>
        </w:rPr>
        <w:t xml:space="preserve">                       </w:t>
      </w:r>
      <w:r>
        <w:rPr>
          <w:rFonts w:hint="eastAsia" w:ascii="宋体" w:hAnsi="宋体"/>
          <w:color w:val="auto"/>
          <w:u w:val="single"/>
        </w:rPr>
        <w:t>（磋商供应商名称）</w:t>
      </w:r>
      <w:r>
        <w:rPr>
          <w:rFonts w:hint="eastAsia" w:ascii="宋体" w:hAnsi="宋体"/>
          <w:color w:val="auto"/>
        </w:rPr>
        <w:t>的法定代表人，现授权委托本单位正式职工</w:t>
      </w:r>
      <w:r>
        <w:rPr>
          <w:rFonts w:ascii="宋体" w:hAnsi="宋体"/>
          <w:color w:val="auto"/>
          <w:u w:val="single"/>
        </w:rPr>
        <w:t xml:space="preserve">    </w:t>
      </w:r>
      <w:r>
        <w:rPr>
          <w:rFonts w:hint="eastAsia" w:ascii="宋体" w:hAnsi="宋体"/>
          <w:color w:val="auto"/>
          <w:u w:val="single"/>
        </w:rPr>
        <w:t>（授权代表姓名）</w:t>
      </w:r>
      <w:r>
        <w:rPr>
          <w:rFonts w:ascii="宋体" w:hAnsi="宋体"/>
          <w:color w:val="auto"/>
          <w:u w:val="single"/>
        </w:rPr>
        <w:t xml:space="preserve">    </w:t>
      </w:r>
      <w:r>
        <w:rPr>
          <w:rFonts w:hint="eastAsia" w:ascii="宋体" w:hAnsi="宋体"/>
          <w:color w:val="auto"/>
        </w:rPr>
        <w:t>为我公司法定代表人授权代表，参加贵处组织的</w:t>
      </w:r>
      <w:r>
        <w:rPr>
          <w:rFonts w:hint="eastAsia" w:ascii="宋体" w:hAnsi="宋体"/>
          <w:color w:val="auto"/>
          <w:u w:val="single"/>
        </w:rPr>
        <w:t>（项目编号）</w:t>
      </w:r>
      <w:r>
        <w:rPr>
          <w:rFonts w:ascii="宋体" w:hAnsi="宋体"/>
          <w:color w:val="auto"/>
          <w:u w:val="single"/>
        </w:rPr>
        <w:t xml:space="preserve">    </w:t>
      </w:r>
      <w:r>
        <w:rPr>
          <w:rFonts w:hint="eastAsia" w:ascii="宋体" w:hAnsi="宋体"/>
          <w:color w:val="auto"/>
        </w:rPr>
        <w:t>项目投标，全权处理本次招投标活动中的一切事宜，并代表我方全权办理针对上述项目的投标、开标、评标、签约等具体事务和签署相关文件。</w:t>
      </w:r>
      <w:r>
        <w:rPr>
          <w:rFonts w:ascii="宋体" w:hAnsi="宋体"/>
          <w:color w:val="auto"/>
        </w:rPr>
        <w:t xml:space="preserve">   </w:t>
      </w:r>
    </w:p>
    <w:p>
      <w:pPr>
        <w:spacing w:line="276" w:lineRule="auto"/>
        <w:ind w:left="283" w:leftChars="135" w:firstLine="140" w:firstLineChars="67"/>
        <w:rPr>
          <w:rFonts w:ascii="宋体"/>
          <w:color w:val="auto"/>
        </w:rPr>
      </w:pPr>
      <w:r>
        <w:rPr>
          <w:rFonts w:hint="eastAsia" w:ascii="宋体" w:hAnsi="宋体"/>
          <w:color w:val="auto"/>
        </w:rPr>
        <w:t>我方对被授权人的签名负全部责任。</w:t>
      </w:r>
    </w:p>
    <w:p>
      <w:pPr>
        <w:spacing w:line="276" w:lineRule="auto"/>
        <w:ind w:firstLine="420" w:firstLineChars="200"/>
        <w:rPr>
          <w:rFonts w:ascii="宋体"/>
          <w:color w:val="auto"/>
        </w:rPr>
      </w:pPr>
      <w:r>
        <w:rPr>
          <w:rFonts w:hint="eastAsia" w:ascii="宋体" w:hAnsi="宋体"/>
          <w:color w:val="auto"/>
        </w:rPr>
        <w:t>在撤销授权的书面通知以前，本授权委托书一直有效。被授权人在授权委托书有效期内签署的所有文件不因授权的撤销而失效。</w:t>
      </w:r>
    </w:p>
    <w:p>
      <w:pPr>
        <w:spacing w:line="276" w:lineRule="auto"/>
        <w:ind w:firstLine="420" w:firstLineChars="200"/>
        <w:rPr>
          <w:rFonts w:ascii="宋体"/>
          <w:color w:val="auto"/>
        </w:rPr>
      </w:pPr>
      <w:r>
        <w:rPr>
          <w:rFonts w:hint="eastAsia" w:ascii="宋体" w:hAnsi="宋体"/>
          <w:color w:val="auto"/>
        </w:rPr>
        <w:t>授权代表无转委托权，特此委托。</w:t>
      </w:r>
    </w:p>
    <w:p>
      <w:pPr>
        <w:spacing w:line="276" w:lineRule="auto"/>
        <w:ind w:firstLine="697"/>
        <w:rPr>
          <w:rFonts w:ascii="宋体"/>
          <w:color w:val="auto"/>
        </w:rPr>
      </w:pPr>
    </w:p>
    <w:p>
      <w:pPr>
        <w:spacing w:before="312" w:beforeLines="100" w:after="312" w:afterLines="100" w:line="400" w:lineRule="atLeast"/>
        <w:ind w:firstLine="697"/>
        <w:rPr>
          <w:rFonts w:ascii="宋体"/>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140970</wp:posOffset>
                </wp:positionV>
                <wp:extent cx="2451100" cy="3395980"/>
                <wp:effectExtent l="4445" t="4445" r="20955" b="9525"/>
                <wp:wrapNone/>
                <wp:docPr id="2" name="文本框 4"/>
                <wp:cNvGraphicFramePr/>
                <a:graphic xmlns:a="http://schemas.openxmlformats.org/drawingml/2006/main">
                  <a:graphicData uri="http://schemas.microsoft.com/office/word/2010/wordprocessingShape">
                    <wps:wsp>
                      <wps:cNvSpPr txBox="1"/>
                      <wps:spPr>
                        <a:xfrm>
                          <a:off x="0" y="0"/>
                          <a:ext cx="2451100" cy="339598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
                          <w:p/>
                          <w:p/>
                          <w:p/>
                          <w:p>
                            <w:pPr>
                              <w:jc w:val="center"/>
                            </w:pPr>
                            <w:r>
                              <w:rPr>
                                <w:rFonts w:hint="eastAsia"/>
                              </w:rPr>
                              <w:t>授权代表身份证扫描件（正反两面）</w:t>
                            </w:r>
                          </w:p>
                        </w:txbxContent>
                      </wps:txbx>
                      <wps:bodyPr wrap="square" upright="1"/>
                    </wps:wsp>
                  </a:graphicData>
                </a:graphic>
              </wp:anchor>
            </w:drawing>
          </mc:Choice>
          <mc:Fallback>
            <w:pict>
              <v:shape id="文本框 4" o:spid="_x0000_s1026" o:spt="202" type="#_x0000_t202" style="position:absolute;left:0pt;margin-left:0.35pt;margin-top:11.1pt;height:267.4pt;width:193pt;z-index:251663360;mso-width-relative:page;mso-height-relative:page;" fillcolor="#FFFFFF" filled="t" stroked="t" coordsize="21600,21600" o:gfxdata="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xOWdYAAAAHAQAADwAA&#10;AAAAAAABACAAAAAiAAAAZHJzL2Rvd25yZXYueG1sUEsBAhQAFAAAAAgAh07iQF3u1uwYAgAARQQA&#10;AA4AAAAAAAAAAQAgAAAAJQEAAGRycy9lMm9Eb2MueG1sUEsFBgAAAAAGAAYAWQEAAK8FAAAAAA==&#10;">
                <v:fill on="t" focussize="0,0"/>
                <v:stroke color="#000000" joinstyle="miter"/>
                <v:imagedata o:title=""/>
                <o:lock v:ext="edit" aspectratio="f"/>
                <v:textbox>
                  <w:txbxContent>
                    <w:p/>
                    <w:p/>
                    <w:p/>
                    <w:p/>
                    <w:p/>
                    <w:p/>
                    <w:p/>
                    <w:p/>
                    <w:p/>
                    <w:p>
                      <w:pPr>
                        <w:jc w:val="center"/>
                      </w:pPr>
                      <w:r>
                        <w:rPr>
                          <w:rFonts w:hint="eastAsia"/>
                        </w:rPr>
                        <w:t>授权代表身份证扫描件（正反两面）</w:t>
                      </w:r>
                    </w:p>
                  </w:txbxContent>
                </v:textbox>
              </v:shape>
            </w:pict>
          </mc:Fallback>
        </mc:AlternateContent>
      </w:r>
    </w:p>
    <w:p>
      <w:pPr>
        <w:spacing w:before="312" w:beforeLines="100" w:after="312" w:afterLines="100" w:line="400" w:lineRule="atLeast"/>
        <w:ind w:left="2100" w:leftChars="1000" w:firstLine="1898" w:firstLineChars="904"/>
        <w:rPr>
          <w:rFonts w:ascii="宋体"/>
          <w:color w:val="auto"/>
          <w:szCs w:val="21"/>
          <w:u w:val="single"/>
        </w:rPr>
      </w:pPr>
      <w:r>
        <w:rPr>
          <w:rFonts w:hint="eastAsia" w:ascii="宋体" w:hAnsi="宋体"/>
          <w:color w:val="auto"/>
          <w:szCs w:val="21"/>
        </w:rPr>
        <w:t>授权代表：</w:t>
      </w:r>
      <w:r>
        <w:rPr>
          <w:rFonts w:ascii="宋体" w:hAnsi="宋体"/>
          <w:color w:val="auto"/>
          <w:szCs w:val="21"/>
          <w:u w:val="single"/>
        </w:rPr>
        <w:t xml:space="preserve">         </w:t>
      </w:r>
      <w:r>
        <w:rPr>
          <w:rFonts w:hint="eastAsia" w:ascii="宋体" w:hAnsi="宋体"/>
          <w:color w:val="auto"/>
          <w:szCs w:val="21"/>
        </w:rPr>
        <w:t>性别</w:t>
      </w:r>
      <w:r>
        <w:rPr>
          <w:rFonts w:ascii="宋体" w:hAnsi="宋体"/>
          <w:color w:val="auto"/>
          <w:szCs w:val="21"/>
        </w:rPr>
        <w:t xml:space="preserve"> </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p>
    <w:p>
      <w:pPr>
        <w:spacing w:before="312" w:beforeLines="100" w:after="312" w:afterLines="100" w:line="400" w:lineRule="atLeast"/>
        <w:ind w:left="2100" w:leftChars="1000" w:firstLine="1898" w:firstLineChars="904"/>
        <w:rPr>
          <w:rFonts w:ascii="宋体"/>
          <w:color w:val="auto"/>
          <w:szCs w:val="21"/>
          <w:u w:val="single"/>
        </w:rPr>
      </w:pPr>
      <w:r>
        <w:rPr>
          <w:rFonts w:hint="eastAsia" w:ascii="宋体" w:hAnsi="宋体"/>
          <w:color w:val="auto"/>
          <w:szCs w:val="21"/>
        </w:rPr>
        <w:t>身份证号码：</w:t>
      </w:r>
      <w:r>
        <w:rPr>
          <w:rFonts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ascii="宋体" w:hAnsi="宋体"/>
          <w:color w:val="auto"/>
          <w:szCs w:val="21"/>
          <w:u w:val="single"/>
        </w:rPr>
        <w:t xml:space="preserve">    </w:t>
      </w:r>
    </w:p>
    <w:p>
      <w:pPr>
        <w:spacing w:before="312" w:beforeLines="100" w:after="312" w:afterLines="100" w:line="400" w:lineRule="atLeast"/>
        <w:ind w:left="2100" w:leftChars="1000" w:firstLine="1898" w:firstLineChars="904"/>
        <w:rPr>
          <w:rFonts w:ascii="宋体"/>
          <w:color w:val="auto"/>
          <w:szCs w:val="21"/>
          <w:u w:val="single"/>
        </w:rPr>
      </w:pPr>
      <w:r>
        <w:rPr>
          <w:rFonts w:hint="eastAsia" w:ascii="宋体" w:hAnsi="宋体"/>
          <w:color w:val="auto"/>
          <w:szCs w:val="21"/>
        </w:rPr>
        <w:t>详细通讯地址：</w:t>
      </w:r>
      <w:r>
        <w:rPr>
          <w:rFonts w:ascii="宋体" w:hAnsi="宋体"/>
          <w:color w:val="auto"/>
          <w:szCs w:val="21"/>
          <w:u w:val="single"/>
        </w:rPr>
        <w:t xml:space="preserve">              </w:t>
      </w:r>
      <w:r>
        <w:rPr>
          <w:rFonts w:hint="eastAsia"/>
          <w:color w:val="auto"/>
          <w:szCs w:val="21"/>
        </w:rPr>
        <w:t>邮政编码：</w:t>
      </w:r>
      <w:r>
        <w:rPr>
          <w:rFonts w:ascii="宋体" w:hAnsi="宋体"/>
          <w:color w:val="auto"/>
          <w:szCs w:val="21"/>
          <w:u w:val="single"/>
        </w:rPr>
        <w:t xml:space="preserve">         </w:t>
      </w:r>
    </w:p>
    <w:p>
      <w:pPr>
        <w:spacing w:before="312" w:beforeLines="100" w:after="312" w:afterLines="100" w:line="400" w:lineRule="atLeast"/>
        <w:ind w:left="2100" w:leftChars="1000" w:firstLine="1898" w:firstLineChars="904"/>
        <w:rPr>
          <w:color w:val="auto"/>
          <w:szCs w:val="21"/>
          <w:u w:val="single"/>
        </w:rPr>
      </w:pPr>
      <w:r>
        <w:rPr>
          <w:rFonts w:hint="eastAsia"/>
          <w:color w:val="auto"/>
          <w:szCs w:val="21"/>
        </w:rPr>
        <w:t xml:space="preserve">手机号码： </w:t>
      </w:r>
      <w:r>
        <w:rPr>
          <w:rFonts w:hint="eastAsia"/>
          <w:color w:val="auto"/>
          <w:szCs w:val="21"/>
          <w:u w:val="single"/>
        </w:rPr>
        <w:t xml:space="preserve">              </w:t>
      </w:r>
      <w:r>
        <w:rPr>
          <w:rFonts w:hint="eastAsia"/>
          <w:color w:val="auto"/>
          <w:szCs w:val="21"/>
        </w:rPr>
        <w:t xml:space="preserve">  电子邮箱：</w:t>
      </w:r>
      <w:r>
        <w:rPr>
          <w:rFonts w:hint="eastAsia"/>
          <w:color w:val="auto"/>
          <w:szCs w:val="21"/>
          <w:u w:val="single"/>
        </w:rPr>
        <w:t xml:space="preserve">            </w:t>
      </w:r>
    </w:p>
    <w:p>
      <w:pPr>
        <w:spacing w:before="312" w:beforeLines="100" w:after="312" w:afterLines="100" w:line="400" w:lineRule="atLeast"/>
        <w:ind w:left="2100" w:leftChars="1000" w:firstLine="1898" w:firstLineChars="904"/>
        <w:rPr>
          <w:color w:val="auto"/>
          <w:szCs w:val="21"/>
          <w:u w:val="single"/>
        </w:rPr>
      </w:pPr>
      <w:r>
        <w:rPr>
          <w:rFonts w:hint="eastAsia"/>
          <w:color w:val="auto"/>
          <w:szCs w:val="21"/>
        </w:rPr>
        <w:t>电话：</w:t>
      </w:r>
      <w:r>
        <w:rPr>
          <w:color w:val="auto"/>
          <w:szCs w:val="21"/>
          <w:u w:val="single"/>
        </w:rPr>
        <w:t xml:space="preserve">            </w:t>
      </w:r>
      <w:r>
        <w:rPr>
          <w:rFonts w:hint="eastAsia"/>
          <w:color w:val="auto"/>
          <w:szCs w:val="21"/>
        </w:rPr>
        <w:t>传真：</w:t>
      </w:r>
      <w:r>
        <w:rPr>
          <w:color w:val="auto"/>
          <w:szCs w:val="21"/>
          <w:u w:val="single"/>
        </w:rPr>
        <w:t xml:space="preserve">             </w:t>
      </w:r>
    </w:p>
    <w:p>
      <w:pPr>
        <w:spacing w:before="312" w:beforeLines="100" w:after="312" w:afterLines="100" w:line="400" w:lineRule="atLeast"/>
        <w:ind w:left="2100" w:leftChars="1000" w:firstLine="1898" w:firstLineChars="904"/>
        <w:rPr>
          <w:rFonts w:ascii="宋体"/>
          <w:color w:val="auto"/>
          <w:szCs w:val="21"/>
        </w:rPr>
      </w:pPr>
      <w:r>
        <w:rPr>
          <w:rFonts w:hint="eastAsia" w:ascii="宋体" w:hAnsi="宋体"/>
          <w:color w:val="auto"/>
          <w:szCs w:val="21"/>
        </w:rPr>
        <w:t>磋商供应商：</w:t>
      </w:r>
      <w:r>
        <w:rPr>
          <w:rFonts w:ascii="宋体" w:hAnsi="宋体"/>
          <w:color w:val="auto"/>
          <w:szCs w:val="21"/>
          <w:u w:val="single"/>
        </w:rPr>
        <w:t xml:space="preserve">                       </w:t>
      </w:r>
      <w:r>
        <w:rPr>
          <w:rFonts w:hint="eastAsia" w:ascii="宋体" w:hAnsi="宋体"/>
          <w:color w:val="auto"/>
          <w:szCs w:val="21"/>
          <w:u w:val="single"/>
        </w:rPr>
        <w:t>（</w:t>
      </w:r>
      <w:r>
        <w:rPr>
          <w:rFonts w:hint="eastAsia" w:ascii="宋体" w:hAnsi="宋体"/>
          <w:color w:val="auto"/>
          <w:u w:val="single"/>
        </w:rPr>
        <w:t>盖公章</w:t>
      </w:r>
      <w:r>
        <w:rPr>
          <w:rFonts w:hint="eastAsia" w:ascii="宋体" w:hAnsi="宋体"/>
          <w:color w:val="auto"/>
          <w:szCs w:val="21"/>
          <w:u w:val="single"/>
        </w:rPr>
        <w:t>）</w:t>
      </w:r>
    </w:p>
    <w:p>
      <w:pPr>
        <w:spacing w:before="312" w:beforeLines="100" w:after="312" w:afterLines="100" w:line="400" w:lineRule="atLeast"/>
        <w:ind w:left="2100" w:leftChars="1000" w:right="420" w:firstLine="1898" w:firstLineChars="904"/>
        <w:rPr>
          <w:rFonts w:ascii="宋体"/>
          <w:color w:val="auto"/>
          <w:szCs w:val="21"/>
        </w:rPr>
      </w:pPr>
      <w:r>
        <w:rPr>
          <w:rFonts w:hint="eastAsia"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（签字或盖章）</w:t>
      </w:r>
    </w:p>
    <w:p>
      <w:pPr>
        <w:spacing w:before="312" w:beforeLines="100" w:after="312" w:afterLines="100" w:line="400" w:lineRule="atLeast"/>
        <w:ind w:firstLine="3150" w:firstLineChars="1500"/>
        <w:jc w:val="right"/>
        <w:rPr>
          <w:rFonts w:ascii="宋体"/>
          <w:color w:val="auto"/>
          <w:szCs w:val="21"/>
        </w:rPr>
      </w:pPr>
      <w:r>
        <w:rPr>
          <w:rFonts w:hint="eastAsia" w:ascii="宋体" w:hAnsi="宋体"/>
          <w:color w:val="auto"/>
          <w:szCs w:val="21"/>
        </w:rPr>
        <w:t>授权委托日期：</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rPr>
        <w:t xml:space="preserve"> </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p>
    <w:p>
      <w:pPr>
        <w:tabs>
          <w:tab w:val="left" w:pos="4532"/>
        </w:tabs>
        <w:spacing w:line="360" w:lineRule="auto"/>
        <w:rPr>
          <w:b/>
          <w:color w:val="auto"/>
        </w:rPr>
      </w:pPr>
    </w:p>
    <w:p>
      <w:pPr>
        <w:pStyle w:val="21"/>
        <w:rPr>
          <w:b/>
          <w:color w:val="auto"/>
        </w:rPr>
      </w:pPr>
    </w:p>
    <w:p>
      <w:pPr>
        <w:pStyle w:val="21"/>
        <w:rPr>
          <w:b/>
          <w:color w:val="auto"/>
        </w:rPr>
      </w:pPr>
    </w:p>
    <w:p>
      <w:pPr>
        <w:rPr>
          <w:color w:val="auto"/>
        </w:rPr>
      </w:pPr>
    </w:p>
    <w:p>
      <w:pPr>
        <w:pStyle w:val="8"/>
        <w:rPr>
          <w:color w:val="auto"/>
        </w:rPr>
      </w:pPr>
    </w:p>
    <w:p>
      <w:pPr>
        <w:pStyle w:val="21"/>
        <w:rPr>
          <w:b/>
          <w:color w:val="auto"/>
        </w:rPr>
      </w:pPr>
    </w:p>
    <w:p>
      <w:pPr>
        <w:jc w:val="center"/>
        <w:outlineLvl w:val="1"/>
        <w:rPr>
          <w:rFonts w:ascii="宋体" w:hAnsi="宋体" w:cs="宋体"/>
          <w:b/>
          <w:bCs/>
          <w:color w:val="auto"/>
          <w:sz w:val="28"/>
          <w:szCs w:val="36"/>
        </w:rPr>
      </w:pPr>
      <w:bookmarkStart w:id="110" w:name="_Toc27037135"/>
      <w:bookmarkStart w:id="111" w:name="_Toc27035996"/>
      <w:bookmarkStart w:id="112" w:name="_Toc486931327"/>
      <w:bookmarkStart w:id="113" w:name="_Toc29170"/>
      <w:bookmarkStart w:id="114" w:name="_Toc23603"/>
      <w:bookmarkStart w:id="115" w:name="_Toc11604"/>
      <w:bookmarkStart w:id="116" w:name="_Toc2675"/>
      <w:r>
        <w:rPr>
          <w:rFonts w:hint="eastAsia" w:ascii="宋体" w:hAnsi="宋体" w:cs="宋体"/>
          <w:b/>
          <w:bCs/>
          <w:color w:val="auto"/>
          <w:sz w:val="28"/>
          <w:szCs w:val="36"/>
        </w:rPr>
        <w:t>附件三-2  法定代表人身份证明</w:t>
      </w:r>
      <w:bookmarkEnd w:id="110"/>
      <w:bookmarkEnd w:id="111"/>
      <w:bookmarkEnd w:id="112"/>
      <w:bookmarkEnd w:id="113"/>
      <w:bookmarkEnd w:id="114"/>
      <w:bookmarkEnd w:id="115"/>
      <w:bookmarkEnd w:id="116"/>
    </w:p>
    <w:p>
      <w:pPr>
        <w:rPr>
          <w:color w:val="auto"/>
        </w:rPr>
      </w:pPr>
    </w:p>
    <w:p>
      <w:pPr>
        <w:spacing w:line="400" w:lineRule="exact"/>
        <w:ind w:firstLine="420" w:firstLineChars="200"/>
        <w:rPr>
          <w:rFonts w:ascii="Arial" w:hAnsi="Arial" w:cs="Arial"/>
          <w:color w:val="auto"/>
          <w:szCs w:val="21"/>
        </w:rPr>
      </w:pPr>
      <w:r>
        <w:rPr>
          <w:rFonts w:hint="eastAsia" w:ascii="Arial" w:hAnsi="Arial" w:cs="Arial"/>
          <w:color w:val="auto"/>
          <w:szCs w:val="21"/>
        </w:rPr>
        <w:t>申</w:t>
      </w:r>
      <w:r>
        <w:rPr>
          <w:rFonts w:ascii="Arial" w:hAnsi="Arial" w:cs="Arial"/>
          <w:color w:val="auto"/>
          <w:szCs w:val="21"/>
        </w:rPr>
        <w:t xml:space="preserve"> </w:t>
      </w:r>
      <w:r>
        <w:rPr>
          <w:rFonts w:hint="eastAsia" w:ascii="Arial" w:hAnsi="Arial" w:cs="Arial"/>
          <w:color w:val="auto"/>
          <w:szCs w:val="21"/>
        </w:rPr>
        <w:t>请</w:t>
      </w:r>
      <w:r>
        <w:rPr>
          <w:rFonts w:ascii="Arial" w:hAnsi="Arial" w:cs="Arial"/>
          <w:color w:val="auto"/>
          <w:szCs w:val="21"/>
        </w:rPr>
        <w:t xml:space="preserve"> </w:t>
      </w:r>
      <w:r>
        <w:rPr>
          <w:rFonts w:hint="eastAsia" w:ascii="Arial" w:hAnsi="Arial" w:cs="Arial"/>
          <w:color w:val="auto"/>
          <w:szCs w:val="21"/>
        </w:rPr>
        <w:t>人：</w:t>
      </w:r>
      <w:r>
        <w:rPr>
          <w:rFonts w:ascii="Arial" w:hAnsi="Arial" w:cs="Arial"/>
          <w:color w:val="auto"/>
          <w:szCs w:val="21"/>
          <w:u w:val="single"/>
        </w:rPr>
        <w:t xml:space="preserve">                                                       </w:t>
      </w:r>
    </w:p>
    <w:p>
      <w:pPr>
        <w:spacing w:line="400" w:lineRule="exact"/>
        <w:ind w:firstLine="420" w:firstLineChars="200"/>
        <w:rPr>
          <w:rFonts w:ascii="Arial" w:hAnsi="Arial" w:cs="Arial"/>
          <w:color w:val="auto"/>
          <w:szCs w:val="21"/>
          <w:u w:val="single"/>
        </w:rPr>
      </w:pPr>
      <w:r>
        <w:rPr>
          <w:rFonts w:hint="eastAsia" w:ascii="Arial" w:hAnsi="Arial" w:cs="Arial"/>
          <w:color w:val="auto"/>
          <w:szCs w:val="21"/>
        </w:rPr>
        <w:t>单位性质：</w:t>
      </w:r>
      <w:r>
        <w:rPr>
          <w:rFonts w:ascii="Arial" w:hAnsi="Arial" w:cs="Arial"/>
          <w:color w:val="auto"/>
          <w:szCs w:val="21"/>
          <w:u w:val="single"/>
        </w:rPr>
        <w:t xml:space="preserve">                                                       </w:t>
      </w:r>
    </w:p>
    <w:p>
      <w:pPr>
        <w:spacing w:line="400" w:lineRule="exact"/>
        <w:ind w:firstLine="420" w:firstLineChars="200"/>
        <w:rPr>
          <w:rFonts w:ascii="Arial" w:hAnsi="Arial" w:cs="Arial"/>
          <w:color w:val="auto"/>
          <w:szCs w:val="21"/>
        </w:rPr>
      </w:pPr>
      <w:r>
        <w:rPr>
          <w:rFonts w:hint="eastAsia" w:ascii="Arial" w:hAnsi="Arial" w:cs="Arial"/>
          <w:color w:val="auto"/>
          <w:szCs w:val="21"/>
        </w:rPr>
        <w:t>地</w:t>
      </w:r>
      <w:r>
        <w:rPr>
          <w:rFonts w:ascii="Arial" w:hAnsi="Arial" w:cs="Arial"/>
          <w:color w:val="auto"/>
          <w:szCs w:val="21"/>
        </w:rPr>
        <w:t xml:space="preserve">    </w:t>
      </w:r>
      <w:r>
        <w:rPr>
          <w:rFonts w:hint="eastAsia" w:ascii="Arial" w:hAnsi="Arial" w:cs="Arial"/>
          <w:color w:val="auto"/>
          <w:szCs w:val="21"/>
        </w:rPr>
        <w:t>址：</w:t>
      </w:r>
      <w:r>
        <w:rPr>
          <w:rFonts w:ascii="Arial" w:hAnsi="Arial" w:cs="Arial"/>
          <w:color w:val="auto"/>
          <w:szCs w:val="21"/>
          <w:u w:val="single"/>
        </w:rPr>
        <w:t xml:space="preserve">                                                       </w:t>
      </w:r>
    </w:p>
    <w:p>
      <w:pPr>
        <w:spacing w:line="400" w:lineRule="exact"/>
        <w:ind w:firstLine="420" w:firstLineChars="200"/>
        <w:rPr>
          <w:rFonts w:ascii="Arial" w:hAnsi="Arial" w:cs="Arial"/>
          <w:color w:val="auto"/>
          <w:szCs w:val="21"/>
        </w:rPr>
      </w:pPr>
      <w:r>
        <w:rPr>
          <w:rFonts w:hint="eastAsia" w:ascii="Arial" w:hAnsi="Arial" w:cs="Arial"/>
          <w:color w:val="auto"/>
          <w:szCs w:val="21"/>
        </w:rPr>
        <w:t>成立时间：</w:t>
      </w:r>
      <w:r>
        <w:rPr>
          <w:rFonts w:ascii="Arial" w:hAnsi="Arial" w:cs="Arial"/>
          <w:color w:val="auto"/>
          <w:szCs w:val="21"/>
          <w:u w:val="single"/>
        </w:rPr>
        <w:t xml:space="preserve">          </w:t>
      </w:r>
      <w:r>
        <w:rPr>
          <w:rFonts w:hint="eastAsia" w:ascii="Arial" w:hAnsi="Arial" w:cs="Arial"/>
          <w:color w:val="auto"/>
          <w:szCs w:val="21"/>
        </w:rPr>
        <w:t>年</w:t>
      </w:r>
      <w:r>
        <w:rPr>
          <w:rFonts w:ascii="Arial" w:hAnsi="Arial" w:cs="Arial"/>
          <w:color w:val="auto"/>
          <w:szCs w:val="21"/>
          <w:u w:val="single"/>
        </w:rPr>
        <w:t xml:space="preserve">          </w:t>
      </w:r>
      <w:r>
        <w:rPr>
          <w:rFonts w:hint="eastAsia" w:ascii="Arial" w:hAnsi="Arial" w:cs="Arial"/>
          <w:color w:val="auto"/>
          <w:szCs w:val="21"/>
        </w:rPr>
        <w:t>月</w:t>
      </w:r>
      <w:r>
        <w:rPr>
          <w:rFonts w:ascii="Arial" w:hAnsi="Arial" w:cs="Arial"/>
          <w:color w:val="auto"/>
          <w:szCs w:val="21"/>
          <w:u w:val="single"/>
        </w:rPr>
        <w:t xml:space="preserve">          </w:t>
      </w:r>
      <w:r>
        <w:rPr>
          <w:rFonts w:hint="eastAsia" w:ascii="Arial" w:hAnsi="Arial" w:cs="Arial"/>
          <w:color w:val="auto"/>
          <w:szCs w:val="21"/>
        </w:rPr>
        <w:t>日</w:t>
      </w:r>
    </w:p>
    <w:p>
      <w:pPr>
        <w:spacing w:line="400" w:lineRule="exact"/>
        <w:ind w:firstLine="420" w:firstLineChars="200"/>
        <w:rPr>
          <w:rFonts w:ascii="Arial" w:hAnsi="Arial" w:cs="Arial"/>
          <w:color w:val="auto"/>
          <w:szCs w:val="21"/>
        </w:rPr>
      </w:pPr>
      <w:r>
        <w:rPr>
          <w:rFonts w:hint="eastAsia" w:ascii="Arial" w:hAnsi="Arial" w:cs="Arial"/>
          <w:color w:val="auto"/>
          <w:szCs w:val="21"/>
        </w:rPr>
        <w:t>经营期限：</w:t>
      </w:r>
      <w:r>
        <w:rPr>
          <w:rFonts w:ascii="Arial" w:hAnsi="Arial" w:cs="Arial"/>
          <w:color w:val="auto"/>
          <w:szCs w:val="21"/>
          <w:u w:val="single"/>
        </w:rPr>
        <w:t xml:space="preserve">                                                       </w:t>
      </w:r>
    </w:p>
    <w:p>
      <w:pPr>
        <w:spacing w:line="400" w:lineRule="exact"/>
        <w:ind w:firstLine="420" w:firstLineChars="200"/>
        <w:rPr>
          <w:rFonts w:ascii="Arial" w:hAnsi="Arial" w:cs="Arial"/>
          <w:color w:val="auto"/>
          <w:szCs w:val="21"/>
        </w:rPr>
      </w:pPr>
      <w:r>
        <w:rPr>
          <w:rFonts w:hint="eastAsia" w:ascii="Arial" w:hAnsi="Arial" w:cs="Arial"/>
          <w:color w:val="auto"/>
          <w:szCs w:val="21"/>
        </w:rPr>
        <w:t>姓</w:t>
      </w:r>
      <w:r>
        <w:rPr>
          <w:rFonts w:ascii="Arial" w:hAnsi="Arial" w:cs="Arial"/>
          <w:color w:val="auto"/>
          <w:szCs w:val="21"/>
        </w:rPr>
        <w:t xml:space="preserve">    </w:t>
      </w:r>
      <w:r>
        <w:rPr>
          <w:rFonts w:hint="eastAsia" w:ascii="Arial" w:hAnsi="Arial" w:cs="Arial"/>
          <w:color w:val="auto"/>
          <w:szCs w:val="21"/>
        </w:rPr>
        <w:t>名：</w:t>
      </w:r>
      <w:r>
        <w:rPr>
          <w:rFonts w:ascii="Arial" w:hAnsi="Arial" w:cs="Arial"/>
          <w:color w:val="auto"/>
          <w:szCs w:val="21"/>
          <w:u w:val="single"/>
        </w:rPr>
        <w:t xml:space="preserve">             </w:t>
      </w:r>
      <w:r>
        <w:rPr>
          <w:rFonts w:hint="eastAsia" w:ascii="Arial" w:hAnsi="Arial" w:cs="Arial"/>
          <w:color w:val="auto"/>
          <w:szCs w:val="21"/>
        </w:rPr>
        <w:t>性</w:t>
      </w:r>
      <w:r>
        <w:rPr>
          <w:rFonts w:ascii="Arial" w:hAnsi="Arial" w:cs="Arial"/>
          <w:color w:val="auto"/>
          <w:szCs w:val="21"/>
        </w:rPr>
        <w:t xml:space="preserve">    </w:t>
      </w:r>
      <w:r>
        <w:rPr>
          <w:rFonts w:hint="eastAsia" w:ascii="Arial" w:hAnsi="Arial" w:cs="Arial"/>
          <w:color w:val="auto"/>
          <w:szCs w:val="21"/>
        </w:rPr>
        <w:t>别：</w:t>
      </w:r>
      <w:r>
        <w:rPr>
          <w:rFonts w:ascii="Arial" w:hAnsi="Arial" w:cs="Arial"/>
          <w:color w:val="auto"/>
          <w:szCs w:val="21"/>
          <w:u w:val="single"/>
        </w:rPr>
        <w:t xml:space="preserve">               </w:t>
      </w:r>
    </w:p>
    <w:p>
      <w:pPr>
        <w:spacing w:line="400" w:lineRule="exact"/>
        <w:ind w:firstLine="420" w:firstLineChars="200"/>
        <w:rPr>
          <w:rFonts w:ascii="Arial" w:hAnsi="Arial" w:cs="Arial"/>
          <w:color w:val="auto"/>
          <w:szCs w:val="21"/>
          <w:u w:val="single"/>
        </w:rPr>
      </w:pPr>
      <w:r>
        <w:rPr>
          <w:rFonts w:hint="eastAsia" w:ascii="Arial" w:hAnsi="Arial" w:cs="Arial"/>
          <w:color w:val="auto"/>
          <w:szCs w:val="21"/>
        </w:rPr>
        <w:t>年</w:t>
      </w:r>
      <w:r>
        <w:rPr>
          <w:rFonts w:ascii="Arial" w:hAnsi="Arial" w:cs="Arial"/>
          <w:color w:val="auto"/>
          <w:szCs w:val="21"/>
        </w:rPr>
        <w:t xml:space="preserve">    </w:t>
      </w:r>
      <w:r>
        <w:rPr>
          <w:rFonts w:hint="eastAsia" w:ascii="Arial" w:hAnsi="Arial" w:cs="Arial"/>
          <w:color w:val="auto"/>
          <w:szCs w:val="21"/>
        </w:rPr>
        <w:t>龄：</w:t>
      </w:r>
      <w:r>
        <w:rPr>
          <w:rFonts w:ascii="Arial" w:hAnsi="Arial" w:cs="Arial"/>
          <w:color w:val="auto"/>
          <w:szCs w:val="21"/>
          <w:u w:val="single"/>
        </w:rPr>
        <w:t xml:space="preserve">             </w:t>
      </w:r>
      <w:r>
        <w:rPr>
          <w:rFonts w:hint="eastAsia" w:ascii="Arial" w:hAnsi="Arial" w:cs="Arial"/>
          <w:color w:val="auto"/>
          <w:szCs w:val="21"/>
        </w:rPr>
        <w:t>职</w:t>
      </w:r>
      <w:r>
        <w:rPr>
          <w:rFonts w:ascii="Arial" w:hAnsi="Arial" w:cs="Arial"/>
          <w:color w:val="auto"/>
          <w:szCs w:val="21"/>
        </w:rPr>
        <w:t xml:space="preserve">    </w:t>
      </w:r>
      <w:r>
        <w:rPr>
          <w:rFonts w:hint="eastAsia" w:ascii="Arial" w:hAnsi="Arial" w:cs="Arial"/>
          <w:color w:val="auto"/>
          <w:szCs w:val="21"/>
        </w:rPr>
        <w:t>务：</w:t>
      </w:r>
      <w:r>
        <w:rPr>
          <w:rFonts w:ascii="Arial" w:hAnsi="Arial" w:cs="Arial"/>
          <w:color w:val="auto"/>
          <w:szCs w:val="21"/>
          <w:u w:val="single"/>
        </w:rPr>
        <w:t xml:space="preserve">               </w:t>
      </w:r>
    </w:p>
    <w:p>
      <w:pPr>
        <w:pStyle w:val="21"/>
        <w:spacing w:after="0" w:line="400" w:lineRule="exact"/>
        <w:rPr>
          <w:color w:val="auto"/>
        </w:rPr>
      </w:pPr>
      <w:r>
        <w:rPr>
          <w:rFonts w:hint="eastAsia" w:ascii="Arial" w:hAnsi="Arial" w:cs="Arial"/>
          <w:color w:val="auto"/>
          <w:szCs w:val="21"/>
        </w:rPr>
        <w:t>手机号码</w:t>
      </w:r>
      <w:r>
        <w:rPr>
          <w:rFonts w:hint="eastAsia" w:ascii="Arial" w:hAnsi="Arial" w:cs="Arial"/>
          <w:color w:val="auto"/>
          <w:szCs w:val="21"/>
          <w:u w:val="single"/>
        </w:rPr>
        <w:t xml:space="preserve">：             </w:t>
      </w:r>
      <w:r>
        <w:rPr>
          <w:rFonts w:hint="eastAsia" w:ascii="Arial" w:hAnsi="Arial" w:cs="Arial"/>
          <w:color w:val="auto"/>
          <w:szCs w:val="21"/>
        </w:rPr>
        <w:t>电子邮箱：</w:t>
      </w:r>
      <w:r>
        <w:rPr>
          <w:rFonts w:hint="eastAsia" w:ascii="Arial" w:hAnsi="Arial" w:cs="Arial"/>
          <w:color w:val="auto"/>
          <w:szCs w:val="21"/>
          <w:u w:val="single"/>
        </w:rPr>
        <w:t xml:space="preserve">               </w:t>
      </w:r>
    </w:p>
    <w:p>
      <w:pPr>
        <w:spacing w:line="400" w:lineRule="exact"/>
        <w:ind w:firstLine="420" w:firstLineChars="200"/>
        <w:rPr>
          <w:rFonts w:ascii="Arial" w:hAnsi="Arial" w:cs="Arial"/>
          <w:color w:val="auto"/>
          <w:szCs w:val="21"/>
        </w:rPr>
      </w:pPr>
      <w:r>
        <w:rPr>
          <w:rFonts w:hint="eastAsia" w:ascii="Arial" w:hAnsi="Arial" w:cs="Arial"/>
          <w:color w:val="auto"/>
          <w:szCs w:val="21"/>
        </w:rPr>
        <w:t>系</w:t>
      </w:r>
      <w:r>
        <w:rPr>
          <w:rFonts w:ascii="Arial" w:hAnsi="Arial" w:cs="Arial"/>
          <w:color w:val="auto"/>
          <w:szCs w:val="21"/>
          <w:u w:val="single"/>
        </w:rPr>
        <w:t xml:space="preserve">                                </w:t>
      </w:r>
      <w:r>
        <w:rPr>
          <w:rFonts w:hint="eastAsia" w:ascii="Arial" w:hAnsi="Arial" w:cs="Arial"/>
          <w:color w:val="auto"/>
          <w:szCs w:val="21"/>
        </w:rPr>
        <w:t>（申请人名称）的法定代表人。</w:t>
      </w:r>
    </w:p>
    <w:p>
      <w:pPr>
        <w:spacing w:line="400" w:lineRule="exact"/>
        <w:ind w:firstLine="420" w:firstLineChars="200"/>
        <w:rPr>
          <w:rFonts w:ascii="Arial" w:hAnsi="Arial" w:cs="Arial"/>
          <w:color w:val="auto"/>
          <w:szCs w:val="21"/>
        </w:rPr>
      </w:pPr>
      <w:r>
        <w:rPr>
          <w:rFonts w:hint="eastAsia" w:ascii="Arial" w:hAnsi="Arial" w:cs="Arial"/>
          <w:color w:val="auto"/>
          <w:szCs w:val="21"/>
        </w:rPr>
        <w:t>特此证明。</w:t>
      </w:r>
    </w:p>
    <w:p>
      <w:pPr>
        <w:spacing w:line="360" w:lineRule="exact"/>
        <w:ind w:firstLine="420" w:firstLineChars="200"/>
        <w:rPr>
          <w:rFonts w:ascii="Arial" w:hAnsi="Arial" w:cs="Arial"/>
          <w:color w:val="auto"/>
          <w:szCs w:val="21"/>
        </w:rPr>
      </w:pPr>
    </w:p>
    <w:p>
      <w:pPr>
        <w:spacing w:line="360" w:lineRule="auto"/>
        <w:ind w:firstLine="420" w:firstLineChars="200"/>
        <w:rPr>
          <w:rFonts w:ascii="宋体"/>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2533650</wp:posOffset>
                </wp:positionH>
                <wp:positionV relativeFrom="paragraph">
                  <wp:posOffset>1905</wp:posOffset>
                </wp:positionV>
                <wp:extent cx="3286125" cy="2476500"/>
                <wp:effectExtent l="4445" t="4445" r="5080" b="14605"/>
                <wp:wrapNone/>
                <wp:docPr id="3" name="文本框 72"/>
                <wp:cNvGraphicFramePr/>
                <a:graphic xmlns:a="http://schemas.openxmlformats.org/drawingml/2006/main">
                  <a:graphicData uri="http://schemas.microsoft.com/office/word/2010/wordprocessingShape">
                    <wps:wsp>
                      <wps:cNvSpPr txBox="1"/>
                      <wps:spPr>
                        <a:xfrm>
                          <a:off x="0" y="0"/>
                          <a:ext cx="3286125" cy="2476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法定代表人身份证扫描件粘贴处（正反两面）：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wps:txbx>
                      <wps:bodyPr wrap="square" upright="1"/>
                    </wps:wsp>
                  </a:graphicData>
                </a:graphic>
              </wp:anchor>
            </w:drawing>
          </mc:Choice>
          <mc:Fallback>
            <w:pict>
              <v:shape id="文本框 72" o:spid="_x0000_s1026" o:spt="202" type="#_x0000_t202" style="position:absolute;left:0pt;margin-left:199.5pt;margin-top:0.15pt;height:195pt;width:258.75pt;z-index:251664384;mso-width-relative:page;mso-height-relative:page;" fillcolor="#FFFFFF" filled="t" stroked="t" coordsize="21600,21600" o:gfxdata="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hU+YPXAAAACAEAAA8A&#10;AAAAAAAAAQAgAAAAIgAAAGRycy9kb3ducmV2LnhtbFBLAQIUABQAAAAIAIdO4kANPul9GAIAAEYE&#10;AAAOAAAAAAAAAAEAIAAAACYBAABkcnMvZTJvRG9jLnhtbFBLBQYAAAAABgAGAFkBAACwBQAAAAA=&#10;">
                <v:fill on="t" focussize="0,0"/>
                <v:stroke color="#000000" joinstyle="miter"/>
                <v:imagedata o:title=""/>
                <o:lock v:ext="edit" aspectratio="f"/>
                <v:textbox>
                  <w:txbxContent>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r>
                        <w:rPr>
                          <w:rFonts w:hint="eastAsia" w:ascii="新宋体" w:hAnsi="新宋体" w:eastAsia="新宋体"/>
                          <w:sz w:val="22"/>
                        </w:rPr>
                        <w:t>法定代表人身份证扫描件粘贴处（正反两面）：</w:t>
                      </w: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rPr>
                          <w:rFonts w:ascii="新宋体" w:hAnsi="新宋体" w:eastAsia="新宋体"/>
                          <w:sz w:val="22"/>
                        </w:rPr>
                      </w:pPr>
                    </w:p>
                    <w:p>
                      <w:pPr>
                        <w:jc w:val="center"/>
                      </w:pPr>
                    </w:p>
                    <w:p/>
                    <w:p/>
                    <w:p/>
                    <w:p/>
                    <w:p/>
                    <w:p/>
                  </w:txbxContent>
                </v:textbox>
              </v:shape>
            </w:pict>
          </mc:Fallback>
        </mc:AlternateContent>
      </w:r>
      <w:r>
        <w:rPr>
          <w:rFonts w:hint="eastAsia" w:ascii="宋体" w:hAnsi="宋体"/>
          <w:color w:val="auto"/>
        </w:rPr>
        <w:t>附：</w:t>
      </w:r>
    </w:p>
    <w:p>
      <w:pPr>
        <w:rPr>
          <w:rFonts w:ascii="Arial" w:hAnsi="Arial" w:cs="Arial"/>
          <w:color w:val="auto"/>
          <w:szCs w:val="21"/>
        </w:rPr>
      </w:pPr>
    </w:p>
    <w:p>
      <w:pPr>
        <w:rPr>
          <w:rFonts w:ascii="Arial" w:hAnsi="Arial" w:cs="Arial"/>
          <w:color w:val="auto"/>
          <w:szCs w:val="21"/>
        </w:rPr>
      </w:pPr>
    </w:p>
    <w:p>
      <w:pPr>
        <w:rPr>
          <w:rFonts w:ascii="Arial" w:hAnsi="Arial" w:cs="Arial"/>
          <w:color w:val="auto"/>
          <w:szCs w:val="21"/>
        </w:rPr>
      </w:pPr>
    </w:p>
    <w:p>
      <w:pPr>
        <w:jc w:val="right"/>
        <w:rPr>
          <w:rFonts w:ascii="Arial" w:hAnsi="Arial" w:cs="Arial"/>
          <w:color w:val="auto"/>
          <w:szCs w:val="21"/>
        </w:rPr>
      </w:pPr>
      <w:r>
        <w:rPr>
          <w:rFonts w:hint="eastAsia" w:ascii="Arial" w:hAnsi="Arial" w:cs="Arial"/>
          <w:color w:val="auto"/>
          <w:szCs w:val="21"/>
        </w:rPr>
        <w:t>申请人：</w:t>
      </w:r>
      <w:r>
        <w:rPr>
          <w:rFonts w:ascii="Arial" w:hAnsi="Arial" w:cs="Arial"/>
          <w:color w:val="auto"/>
          <w:szCs w:val="21"/>
          <w:u w:val="single"/>
        </w:rPr>
        <w:t xml:space="preserve">                     </w:t>
      </w:r>
      <w:r>
        <w:rPr>
          <w:rFonts w:hint="eastAsia" w:ascii="Arial" w:hAnsi="Arial" w:cs="Arial"/>
          <w:color w:val="auto"/>
          <w:szCs w:val="21"/>
        </w:rPr>
        <w:t>（盖单位章）</w:t>
      </w:r>
    </w:p>
    <w:p>
      <w:pPr>
        <w:jc w:val="right"/>
        <w:rPr>
          <w:rFonts w:ascii="Arial" w:hAnsi="Arial" w:cs="Arial"/>
          <w:color w:val="auto"/>
          <w:szCs w:val="21"/>
        </w:rPr>
      </w:pPr>
    </w:p>
    <w:p>
      <w:pPr>
        <w:wordWrap w:val="0"/>
        <w:jc w:val="right"/>
        <w:rPr>
          <w:rFonts w:ascii="Arial" w:hAnsi="Arial" w:cs="Arial"/>
          <w:color w:val="auto"/>
        </w:rPr>
      </w:pPr>
      <w:r>
        <w:rPr>
          <w:rFonts w:ascii="Arial" w:hAnsi="Arial" w:cs="Arial"/>
          <w:color w:val="auto"/>
          <w:szCs w:val="21"/>
          <w:u w:val="single"/>
        </w:rPr>
        <w:t xml:space="preserve">        </w:t>
      </w:r>
      <w:r>
        <w:rPr>
          <w:rFonts w:hint="eastAsia" w:ascii="Arial" w:hAnsi="Arial" w:cs="Arial"/>
          <w:color w:val="auto"/>
          <w:szCs w:val="21"/>
        </w:rPr>
        <w:t>年</w:t>
      </w:r>
      <w:r>
        <w:rPr>
          <w:rFonts w:ascii="Arial" w:hAnsi="Arial" w:cs="Arial"/>
          <w:color w:val="auto"/>
          <w:szCs w:val="21"/>
          <w:u w:val="single"/>
        </w:rPr>
        <w:t xml:space="preserve">        </w:t>
      </w:r>
      <w:r>
        <w:rPr>
          <w:rFonts w:hint="eastAsia" w:ascii="Arial" w:hAnsi="Arial" w:cs="Arial"/>
          <w:color w:val="auto"/>
          <w:szCs w:val="21"/>
        </w:rPr>
        <w:t>月</w:t>
      </w:r>
      <w:r>
        <w:rPr>
          <w:rFonts w:ascii="Arial" w:hAnsi="Arial" w:cs="Arial"/>
          <w:color w:val="auto"/>
          <w:szCs w:val="21"/>
          <w:u w:val="single"/>
        </w:rPr>
        <w:t xml:space="preserve">        </w:t>
      </w:r>
      <w:r>
        <w:rPr>
          <w:rFonts w:hint="eastAsia" w:ascii="Arial" w:hAnsi="Arial" w:cs="Arial"/>
          <w:color w:val="auto"/>
          <w:szCs w:val="21"/>
        </w:rPr>
        <w:t>日</w:t>
      </w:r>
      <w:r>
        <w:rPr>
          <w:rFonts w:ascii="Arial" w:hAnsi="Arial" w:cs="Arial"/>
          <w:color w:val="auto"/>
          <w:szCs w:val="21"/>
        </w:rPr>
        <w:t xml:space="preserve">           </w:t>
      </w:r>
    </w:p>
    <w:p>
      <w:pPr>
        <w:tabs>
          <w:tab w:val="left" w:pos="4532"/>
        </w:tabs>
        <w:spacing w:line="360" w:lineRule="auto"/>
        <w:rPr>
          <w:rFonts w:ascii="Arial" w:hAnsi="Arial" w:cs="Arial"/>
          <w:color w:val="auto"/>
        </w:rPr>
      </w:pPr>
    </w:p>
    <w:p>
      <w:pPr>
        <w:rPr>
          <w:color w:val="auto"/>
        </w:rPr>
      </w:pPr>
    </w:p>
    <w:p>
      <w:pPr>
        <w:rPr>
          <w:color w:val="auto"/>
        </w:rPr>
      </w:pPr>
    </w:p>
    <w:p>
      <w:pPr>
        <w:rPr>
          <w:color w:val="auto"/>
        </w:rPr>
      </w:pPr>
    </w:p>
    <w:p>
      <w:pPr>
        <w:rPr>
          <w:color w:val="auto"/>
        </w:rPr>
      </w:pPr>
    </w:p>
    <w:p>
      <w:pPr>
        <w:rPr>
          <w:color w:val="auto"/>
        </w:rPr>
      </w:pPr>
    </w:p>
    <w:p>
      <w:pPr>
        <w:tabs>
          <w:tab w:val="left" w:pos="720"/>
          <w:tab w:val="left" w:pos="900"/>
        </w:tabs>
        <w:spacing w:line="360" w:lineRule="auto"/>
        <w:ind w:firstLine="4624" w:firstLineChars="2202"/>
        <w:rPr>
          <w:rFonts w:ascii="宋体"/>
          <w:color w:val="auto"/>
        </w:rPr>
      </w:pPr>
    </w:p>
    <w:p>
      <w:pPr>
        <w:tabs>
          <w:tab w:val="left" w:pos="720"/>
          <w:tab w:val="left" w:pos="900"/>
        </w:tabs>
        <w:spacing w:line="360" w:lineRule="auto"/>
        <w:ind w:firstLine="4624" w:firstLineChars="2202"/>
        <w:rPr>
          <w:rFonts w:ascii="宋体"/>
          <w:color w:val="auto"/>
        </w:rPr>
      </w:pPr>
      <w:r>
        <w:rPr>
          <w:rFonts w:hint="eastAsia" w:ascii="宋体" w:hAnsi="宋体"/>
          <w:color w:val="auto"/>
        </w:rPr>
        <w:t>磋商供应商：</w:t>
      </w:r>
      <w:r>
        <w:rPr>
          <w:rFonts w:ascii="宋体" w:hAnsi="宋体"/>
          <w:color w:val="auto"/>
          <w:u w:val="single"/>
        </w:rPr>
        <w:t xml:space="preserve">             </w:t>
      </w:r>
      <w:r>
        <w:rPr>
          <w:rFonts w:hint="eastAsia" w:ascii="宋体" w:hAnsi="宋体"/>
          <w:color w:val="auto"/>
          <w:u w:val="single"/>
        </w:rPr>
        <w:t>（盖公章）</w:t>
      </w:r>
    </w:p>
    <w:p>
      <w:pPr>
        <w:tabs>
          <w:tab w:val="left" w:pos="720"/>
          <w:tab w:val="left" w:pos="900"/>
        </w:tabs>
        <w:spacing w:line="360" w:lineRule="auto"/>
        <w:ind w:firstLine="4624" w:firstLineChars="2202"/>
        <w:rPr>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r>
        <w:rPr>
          <w:rFonts w:ascii="宋体" w:hAnsi="宋体"/>
          <w:color w:val="auto"/>
          <w:u w:val="single"/>
        </w:rPr>
        <w:t xml:space="preserve">      </w:t>
      </w:r>
      <w:r>
        <w:rPr>
          <w:rFonts w:hint="eastAsia" w:ascii="宋体" w:hAnsi="宋体"/>
          <w:color w:val="auto"/>
        </w:rPr>
        <w:t>年</w:t>
      </w:r>
      <w:r>
        <w:rPr>
          <w:rFonts w:ascii="宋体" w:hAnsi="宋体"/>
          <w:color w:val="auto"/>
          <w:u w:val="single"/>
        </w:rPr>
        <w:t xml:space="preserve">     </w:t>
      </w:r>
      <w:r>
        <w:rPr>
          <w:rFonts w:hint="eastAsia" w:ascii="宋体" w:hAnsi="宋体"/>
          <w:color w:val="auto"/>
        </w:rPr>
        <w:t>月</w:t>
      </w:r>
      <w:r>
        <w:rPr>
          <w:rFonts w:ascii="宋体" w:hAnsi="宋体"/>
          <w:color w:val="auto"/>
          <w:u w:val="single"/>
        </w:rPr>
        <w:t xml:space="preserve">     </w:t>
      </w:r>
      <w:r>
        <w:rPr>
          <w:rFonts w:hint="eastAsia" w:ascii="宋体" w:hAnsi="宋体"/>
          <w:color w:val="auto"/>
        </w:rPr>
        <w:t>日</w:t>
      </w:r>
    </w:p>
    <w:p>
      <w:pPr>
        <w:pStyle w:val="2"/>
        <w:ind w:firstLine="210"/>
        <w:rPr>
          <w:color w:val="auto"/>
        </w:rPr>
      </w:pPr>
    </w:p>
    <w:p>
      <w:pPr>
        <w:pStyle w:val="2"/>
        <w:ind w:firstLine="210"/>
        <w:rPr>
          <w:color w:val="auto"/>
        </w:rPr>
      </w:pPr>
    </w:p>
    <w:p>
      <w:pPr>
        <w:pStyle w:val="2"/>
        <w:ind w:firstLine="0" w:firstLineChars="0"/>
        <w:rPr>
          <w:color w:val="auto"/>
        </w:rPr>
      </w:pPr>
    </w:p>
    <w:p>
      <w:pPr>
        <w:rPr>
          <w:color w:val="auto"/>
        </w:rPr>
      </w:pPr>
    </w:p>
    <w:p>
      <w:pPr>
        <w:pStyle w:val="5"/>
        <w:keepNext w:val="0"/>
        <w:keepLines w:val="0"/>
        <w:pageBreakBefore/>
        <w:widowControl w:val="0"/>
        <w:tabs>
          <w:tab w:val="left" w:pos="840"/>
        </w:tabs>
        <w:adjustRightInd w:val="0"/>
        <w:snapToGrid w:val="0"/>
        <w:spacing w:before="312" w:beforeLines="100" w:after="312" w:afterLines="100" w:line="240" w:lineRule="auto"/>
        <w:jc w:val="center"/>
        <w:rPr>
          <w:rFonts w:hAnsi="宋体"/>
          <w:color w:val="auto"/>
          <w:sz w:val="28"/>
          <w:szCs w:val="36"/>
        </w:rPr>
      </w:pPr>
      <w:bookmarkStart w:id="117" w:name="_Toc4730"/>
      <w:bookmarkStart w:id="118" w:name="_Toc21307"/>
      <w:bookmarkStart w:id="119" w:name="_Toc373927642"/>
      <w:r>
        <w:rPr>
          <w:rFonts w:hint="eastAsia" w:hAnsi="宋体"/>
          <w:color w:val="auto"/>
          <w:sz w:val="28"/>
          <w:szCs w:val="36"/>
        </w:rPr>
        <w:t>附件四  磋 商 函</w:t>
      </w:r>
      <w:bookmarkEnd w:id="117"/>
      <w:bookmarkEnd w:id="118"/>
    </w:p>
    <w:p>
      <w:pPr>
        <w:spacing w:line="360" w:lineRule="auto"/>
        <w:jc w:val="both"/>
        <w:rPr>
          <w:rFonts w:ascii="宋体" w:hAnsi="宋体"/>
          <w:b/>
          <w:bCs/>
          <w:color w:val="auto"/>
          <w:u w:val="single"/>
        </w:rPr>
      </w:pPr>
      <w:r>
        <w:rPr>
          <w:rFonts w:hint="eastAsia" w:ascii="宋体" w:hAnsi="宋体"/>
          <w:b/>
          <w:bCs/>
          <w:color w:val="auto"/>
          <w:u w:val="single"/>
          <w:lang w:eastAsia="zh-CN"/>
        </w:rPr>
        <w:t>瑞安市曹村镇人民政府</w:t>
      </w:r>
      <w:r>
        <w:rPr>
          <w:rFonts w:hint="eastAsia" w:ascii="宋体" w:hAnsi="宋体"/>
          <w:b/>
          <w:bCs/>
          <w:color w:val="auto"/>
          <w:u w:val="single"/>
        </w:rPr>
        <w:t>：</w:t>
      </w:r>
    </w:p>
    <w:p>
      <w:pPr>
        <w:spacing w:line="360" w:lineRule="auto"/>
        <w:ind w:firstLine="411" w:firstLineChars="196"/>
        <w:jc w:val="both"/>
        <w:rPr>
          <w:color w:val="auto"/>
        </w:rPr>
      </w:pPr>
      <w:r>
        <w:rPr>
          <w:rFonts w:hint="eastAsia"/>
          <w:color w:val="auto"/>
          <w:u w:val="single"/>
        </w:rPr>
        <w:t xml:space="preserve">（磋商供应商全称）  </w:t>
      </w:r>
      <w:r>
        <w:rPr>
          <w:rFonts w:hint="eastAsia"/>
          <w:color w:val="auto"/>
        </w:rPr>
        <w:t xml:space="preserve"> 授权 </w:t>
      </w:r>
      <w:r>
        <w:rPr>
          <w:rFonts w:hint="eastAsia"/>
          <w:color w:val="auto"/>
          <w:u w:val="single"/>
        </w:rPr>
        <w:t xml:space="preserve">   （授权代表名称、职务、职称）    </w:t>
      </w:r>
      <w:r>
        <w:rPr>
          <w:rFonts w:hint="eastAsia"/>
          <w:color w:val="auto"/>
        </w:rPr>
        <w:t xml:space="preserve"> 为本公司授权代表，参加贵方组织的</w:t>
      </w:r>
      <w:r>
        <w:rPr>
          <w:rFonts w:hint="eastAsia" w:ascii="宋体" w:hAnsi="宋体"/>
          <w:color w:val="auto"/>
          <w:u w:val="single"/>
          <w:lang w:eastAsia="zh-CN"/>
        </w:rPr>
        <w:t>曹村镇无废村镇试点（垃圾分类主题公园扩建二期）配套环保工程设备采购</w:t>
      </w:r>
      <w:r>
        <w:rPr>
          <w:rFonts w:hint="eastAsia" w:ascii="宋体" w:hAnsi="宋体"/>
          <w:color w:val="auto"/>
        </w:rPr>
        <w:t>（项目编号:</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）竞争</w:t>
      </w:r>
      <w:r>
        <w:rPr>
          <w:rFonts w:hint="eastAsia"/>
          <w:color w:val="auto"/>
        </w:rPr>
        <w:t>性磋商采购的有关活动，进行磋商。为此：</w:t>
      </w:r>
    </w:p>
    <w:p>
      <w:pPr>
        <w:pStyle w:val="143"/>
        <w:numPr>
          <w:ilvl w:val="1"/>
          <w:numId w:val="26"/>
        </w:numPr>
        <w:spacing w:line="360" w:lineRule="auto"/>
        <w:ind w:left="851" w:firstLineChars="0"/>
        <w:rPr>
          <w:rFonts w:ascii="宋体" w:hAnsi="宋体"/>
          <w:color w:val="auto"/>
        </w:rPr>
      </w:pPr>
      <w:r>
        <w:rPr>
          <w:rFonts w:hint="eastAsia" w:ascii="宋体" w:hAnsi="宋体"/>
          <w:color w:val="auto"/>
        </w:rPr>
        <w:t>提供磋商须知规定的全部磋商响应文件。</w:t>
      </w:r>
    </w:p>
    <w:p>
      <w:pPr>
        <w:pStyle w:val="143"/>
        <w:spacing w:line="360" w:lineRule="auto"/>
        <w:ind w:left="850" w:leftChars="405" w:firstLine="0" w:firstLineChars="0"/>
        <w:rPr>
          <w:rFonts w:ascii="宋体" w:hAnsi="宋体"/>
          <w:color w:val="auto"/>
        </w:rPr>
      </w:pPr>
      <w:r>
        <w:rPr>
          <w:rFonts w:hint="eastAsia" w:ascii="宋体" w:hAnsi="宋体"/>
          <w:color w:val="auto"/>
        </w:rPr>
        <w:t>据此函，签字人兹宣布同意如下：</w:t>
      </w:r>
    </w:p>
    <w:p>
      <w:pPr>
        <w:pStyle w:val="143"/>
        <w:numPr>
          <w:ilvl w:val="2"/>
          <w:numId w:val="26"/>
        </w:numPr>
        <w:spacing w:line="360" w:lineRule="auto"/>
        <w:ind w:left="1276" w:firstLineChars="0"/>
        <w:rPr>
          <w:rFonts w:ascii="宋体"/>
          <w:color w:val="auto"/>
        </w:rPr>
      </w:pPr>
      <w:r>
        <w:rPr>
          <w:rFonts w:hint="eastAsia"/>
          <w:color w:val="auto"/>
          <w:szCs w:val="21"/>
        </w:rPr>
        <w:t>该项目的磋商报价</w:t>
      </w:r>
      <w:r>
        <w:rPr>
          <w:rFonts w:hint="eastAsia" w:ascii="宋体" w:hAnsi="宋体"/>
          <w:color w:val="auto"/>
        </w:rPr>
        <w:t xml:space="preserve">以最后轮报价为准（报价一览表附后）； </w:t>
      </w:r>
    </w:p>
    <w:p>
      <w:pPr>
        <w:pStyle w:val="143"/>
        <w:numPr>
          <w:ilvl w:val="2"/>
          <w:numId w:val="26"/>
        </w:numPr>
        <w:spacing w:line="360" w:lineRule="auto"/>
        <w:ind w:left="1276" w:firstLineChars="0"/>
        <w:rPr>
          <w:color w:val="auto"/>
        </w:rPr>
      </w:pPr>
      <w:r>
        <w:rPr>
          <w:rFonts w:hint="eastAsia"/>
          <w:color w:val="auto"/>
        </w:rPr>
        <w:t>保证遵守竞争性磋商磋商文件中的有关规定。</w:t>
      </w:r>
    </w:p>
    <w:p>
      <w:pPr>
        <w:pStyle w:val="143"/>
        <w:numPr>
          <w:ilvl w:val="2"/>
          <w:numId w:val="26"/>
        </w:numPr>
        <w:spacing w:line="360" w:lineRule="auto"/>
        <w:ind w:left="1276" w:firstLineChars="0"/>
        <w:rPr>
          <w:color w:val="auto"/>
        </w:rPr>
      </w:pPr>
      <w:r>
        <w:rPr>
          <w:rFonts w:hint="eastAsia"/>
          <w:color w:val="auto"/>
        </w:rPr>
        <w:t>保证严格执行双方所签的服务合同，并承担全部规定的责任义务。</w:t>
      </w:r>
    </w:p>
    <w:p>
      <w:pPr>
        <w:pStyle w:val="143"/>
        <w:numPr>
          <w:ilvl w:val="2"/>
          <w:numId w:val="26"/>
        </w:numPr>
        <w:spacing w:line="360" w:lineRule="auto"/>
        <w:ind w:left="1276" w:firstLineChars="0"/>
        <w:rPr>
          <w:color w:val="auto"/>
        </w:rPr>
      </w:pPr>
      <w:r>
        <w:rPr>
          <w:rFonts w:hint="eastAsia"/>
          <w:color w:val="auto"/>
        </w:rPr>
        <w:t>磋商供应商已详细审查全部竞争性磋商磋商文件，包括竞争性磋商采购补充文件（如果有的话）。我们完全理解并同意放弃对这方面有不明及误解的权力。</w:t>
      </w:r>
    </w:p>
    <w:p>
      <w:pPr>
        <w:pStyle w:val="143"/>
        <w:numPr>
          <w:ilvl w:val="2"/>
          <w:numId w:val="26"/>
        </w:numPr>
        <w:spacing w:line="360" w:lineRule="auto"/>
        <w:ind w:left="1276" w:firstLineChars="0"/>
        <w:rPr>
          <w:color w:val="auto"/>
        </w:rPr>
      </w:pPr>
      <w:r>
        <w:rPr>
          <w:rFonts w:hint="eastAsia"/>
          <w:color w:val="auto"/>
        </w:rPr>
        <w:t>愿意向贵方提供任何与该项磋商有关的数据、情况和技术资料，完全理解贵方不一定接受最低价的磋商或收到的任何磋商。</w:t>
      </w:r>
    </w:p>
    <w:p>
      <w:pPr>
        <w:pStyle w:val="143"/>
        <w:numPr>
          <w:ilvl w:val="2"/>
          <w:numId w:val="26"/>
        </w:numPr>
        <w:spacing w:line="360" w:lineRule="auto"/>
        <w:ind w:left="1276" w:firstLineChars="0"/>
        <w:rPr>
          <w:color w:val="auto"/>
        </w:rPr>
      </w:pPr>
      <w:r>
        <w:rPr>
          <w:rFonts w:hint="eastAsia"/>
          <w:color w:val="auto"/>
        </w:rPr>
        <w:t>本磋商自磋商截止时间之日起</w:t>
      </w:r>
      <w:r>
        <w:rPr>
          <w:rFonts w:hint="eastAsia"/>
          <w:color w:val="auto"/>
          <w:u w:val="single"/>
        </w:rPr>
        <w:t>60</w:t>
      </w:r>
      <w:r>
        <w:rPr>
          <w:rFonts w:hint="eastAsia"/>
          <w:color w:val="auto"/>
        </w:rPr>
        <w:t>日历天有效。</w:t>
      </w:r>
    </w:p>
    <w:p>
      <w:pPr>
        <w:pStyle w:val="143"/>
        <w:numPr>
          <w:ilvl w:val="2"/>
          <w:numId w:val="26"/>
        </w:numPr>
        <w:spacing w:line="360" w:lineRule="auto"/>
        <w:ind w:left="1276" w:firstLineChars="0"/>
        <w:rPr>
          <w:color w:val="auto"/>
          <w:szCs w:val="21"/>
        </w:rPr>
      </w:pPr>
      <w:r>
        <w:rPr>
          <w:rFonts w:hint="eastAsia"/>
          <w:color w:val="auto"/>
          <w:szCs w:val="21"/>
        </w:rPr>
        <w:t>与本磋商有关的正式通讯地址为：</w:t>
      </w:r>
      <w:r>
        <w:rPr>
          <w:rFonts w:hint="eastAsia"/>
          <w:color w:val="auto"/>
          <w:szCs w:val="21"/>
          <w:u w:val="single"/>
        </w:rPr>
        <w:t xml:space="preserve">                                           </w:t>
      </w:r>
    </w:p>
    <w:p>
      <w:pPr>
        <w:spacing w:line="360" w:lineRule="auto"/>
        <w:ind w:left="1276"/>
        <w:rPr>
          <w:rFonts w:ascii="宋体" w:hAnsi="宋体"/>
          <w:color w:val="auto"/>
        </w:rPr>
      </w:pPr>
      <w:r>
        <w:rPr>
          <w:rFonts w:hint="eastAsia" w:ascii="宋体" w:hAnsi="宋体"/>
          <w:color w:val="auto"/>
        </w:rPr>
        <w:t>邮编：</w:t>
      </w:r>
      <w:r>
        <w:rPr>
          <w:rFonts w:hint="eastAsia" w:ascii="宋体" w:hAnsi="宋体"/>
          <w:color w:val="auto"/>
          <w:u w:val="single"/>
        </w:rPr>
        <w:t xml:space="preserve">              </w:t>
      </w:r>
      <w:r>
        <w:rPr>
          <w:rFonts w:hint="eastAsia" w:ascii="宋体" w:hAnsi="宋体"/>
          <w:color w:val="auto"/>
        </w:rPr>
        <w:t>电话：</w:t>
      </w:r>
      <w:r>
        <w:rPr>
          <w:rFonts w:hint="eastAsia" w:ascii="宋体" w:hAnsi="宋体"/>
          <w:color w:val="auto"/>
          <w:u w:val="single"/>
        </w:rPr>
        <w:t xml:space="preserve">                     </w:t>
      </w:r>
      <w:r>
        <w:rPr>
          <w:rFonts w:hint="eastAsia" w:ascii="宋体" w:hAnsi="宋体"/>
          <w:color w:val="auto"/>
        </w:rPr>
        <w:t>传真：</w:t>
      </w:r>
      <w:r>
        <w:rPr>
          <w:rFonts w:hint="eastAsia" w:ascii="宋体" w:hAnsi="宋体"/>
          <w:color w:val="auto"/>
          <w:u w:val="single"/>
        </w:rPr>
        <w:t xml:space="preserve">                   </w:t>
      </w:r>
      <w:r>
        <w:rPr>
          <w:rFonts w:hint="eastAsia" w:ascii="宋体" w:hAnsi="宋体"/>
          <w:color w:val="auto"/>
        </w:rPr>
        <w:t xml:space="preserve">                    </w:t>
      </w:r>
    </w:p>
    <w:p>
      <w:pPr>
        <w:spacing w:line="480" w:lineRule="auto"/>
        <w:ind w:firstLine="5250" w:firstLineChars="2500"/>
        <w:rPr>
          <w:rFonts w:ascii="Arial" w:hAnsi="Arial"/>
          <w:color w:val="auto"/>
        </w:rPr>
      </w:pPr>
    </w:p>
    <w:p>
      <w:pPr>
        <w:spacing w:line="480" w:lineRule="auto"/>
        <w:ind w:firstLine="5250" w:firstLineChars="2500"/>
        <w:rPr>
          <w:rFonts w:ascii="Arial" w:hAnsi="Arial"/>
          <w:color w:val="auto"/>
        </w:rPr>
      </w:pP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5"/>
        <w:tabs>
          <w:tab w:val="left" w:pos="840"/>
        </w:tabs>
        <w:jc w:val="center"/>
        <w:rPr>
          <w:rFonts w:ascii="宋体" w:hAnsi="宋体"/>
          <w:color w:val="auto"/>
          <w:sz w:val="28"/>
        </w:rPr>
        <w:sectPr>
          <w:footerReference r:id="rId4" w:type="default"/>
          <w:pgSz w:w="11906" w:h="16838"/>
          <w:pgMar w:top="1246" w:right="1406" w:bottom="1134" w:left="1575" w:header="680" w:footer="992" w:gutter="0"/>
          <w:cols w:space="720" w:num="1"/>
          <w:docGrid w:type="lines" w:linePitch="312" w:charSpace="0"/>
        </w:sectPr>
      </w:pPr>
    </w:p>
    <w:p>
      <w:pPr>
        <w:pStyle w:val="5"/>
        <w:keepNext w:val="0"/>
        <w:keepLines w:val="0"/>
        <w:pageBreakBefore/>
        <w:widowControl w:val="0"/>
        <w:tabs>
          <w:tab w:val="left" w:pos="840"/>
        </w:tabs>
        <w:adjustRightInd w:val="0"/>
        <w:snapToGrid w:val="0"/>
        <w:spacing w:before="312" w:beforeLines="100" w:after="312" w:afterLines="100" w:line="240" w:lineRule="auto"/>
        <w:jc w:val="center"/>
        <w:rPr>
          <w:rFonts w:hAnsi="宋体"/>
          <w:color w:val="auto"/>
          <w:sz w:val="28"/>
          <w:szCs w:val="36"/>
        </w:rPr>
      </w:pPr>
      <w:bookmarkStart w:id="120" w:name="_Toc27772"/>
      <w:bookmarkStart w:id="121" w:name="_Toc15965"/>
      <w:r>
        <w:rPr>
          <w:rFonts w:hint="eastAsia" w:hAnsi="宋体"/>
          <w:color w:val="auto"/>
          <w:sz w:val="28"/>
          <w:szCs w:val="36"/>
        </w:rPr>
        <w:t>附件五 建议与少量偏离表</w:t>
      </w:r>
      <w:bookmarkEnd w:id="120"/>
      <w:bookmarkEnd w:id="121"/>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893"/>
        <w:gridCol w:w="4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3" w:type="dxa"/>
            <w:tcBorders>
              <w:top w:val="single" w:color="auto" w:sz="12" w:space="0"/>
              <w:bottom w:val="single" w:color="auto" w:sz="12" w:space="0"/>
            </w:tcBorders>
            <w:vAlign w:val="center"/>
          </w:tcPr>
          <w:p>
            <w:pPr>
              <w:jc w:val="center"/>
              <w:rPr>
                <w:rFonts w:ascii="宋体" w:hAnsi="宋体" w:cs="宋体"/>
                <w:b/>
                <w:bCs/>
                <w:color w:val="auto"/>
              </w:rPr>
            </w:pPr>
            <w:r>
              <w:rPr>
                <w:rFonts w:hint="eastAsia" w:ascii="宋体" w:hAnsi="宋体" w:cs="宋体"/>
                <w:b/>
                <w:bCs/>
                <w:color w:val="auto"/>
              </w:rPr>
              <w:t>序号</w:t>
            </w:r>
          </w:p>
        </w:tc>
        <w:tc>
          <w:tcPr>
            <w:tcW w:w="3893" w:type="dxa"/>
            <w:tcBorders>
              <w:top w:val="single" w:color="auto" w:sz="12" w:space="0"/>
              <w:bottom w:val="single" w:color="auto" w:sz="12" w:space="0"/>
            </w:tcBorders>
            <w:vAlign w:val="center"/>
          </w:tcPr>
          <w:p>
            <w:pPr>
              <w:jc w:val="center"/>
              <w:rPr>
                <w:rFonts w:ascii="宋体" w:hAnsi="宋体" w:cs="宋体"/>
                <w:b/>
                <w:bCs/>
                <w:color w:val="auto"/>
              </w:rPr>
            </w:pPr>
            <w:r>
              <w:rPr>
                <w:rFonts w:hint="eastAsia" w:ascii="宋体" w:hAnsi="宋体" w:cs="宋体"/>
                <w:b/>
                <w:bCs/>
                <w:color w:val="auto"/>
              </w:rPr>
              <w:t>磋商文件重述</w:t>
            </w:r>
          </w:p>
        </w:tc>
        <w:tc>
          <w:tcPr>
            <w:tcW w:w="4024" w:type="dxa"/>
            <w:tcBorders>
              <w:top w:val="single" w:color="auto" w:sz="12" w:space="0"/>
              <w:bottom w:val="single" w:color="auto" w:sz="12" w:space="0"/>
            </w:tcBorders>
            <w:vAlign w:val="center"/>
          </w:tcPr>
          <w:p>
            <w:pPr>
              <w:jc w:val="center"/>
              <w:rPr>
                <w:rFonts w:ascii="宋体" w:hAnsi="宋体" w:cs="宋体"/>
                <w:b/>
                <w:bCs/>
                <w:color w:val="auto"/>
              </w:rPr>
            </w:pPr>
            <w:r>
              <w:rPr>
                <w:rFonts w:hint="eastAsia" w:ascii="宋体" w:hAnsi="宋体" w:cs="宋体"/>
                <w:b/>
                <w:bCs/>
                <w:color w:val="auto"/>
              </w:rPr>
              <w:t>磋商响应文件偏离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7" w:hRule="atLeast"/>
          <w:jc w:val="center"/>
        </w:trPr>
        <w:tc>
          <w:tcPr>
            <w:tcW w:w="993" w:type="dxa"/>
            <w:tcBorders>
              <w:top w:val="single" w:color="auto" w:sz="12" w:space="0"/>
            </w:tcBorders>
          </w:tcPr>
          <w:p>
            <w:pPr>
              <w:ind w:firstLine="592"/>
              <w:rPr>
                <w:rFonts w:ascii="宋体" w:hAnsi="宋体" w:cs="宋体"/>
                <w:color w:val="auto"/>
              </w:rPr>
            </w:pPr>
          </w:p>
        </w:tc>
        <w:tc>
          <w:tcPr>
            <w:tcW w:w="3893" w:type="dxa"/>
            <w:tcBorders>
              <w:top w:val="single" w:color="auto" w:sz="12" w:space="0"/>
            </w:tcBorders>
          </w:tcPr>
          <w:p>
            <w:pPr>
              <w:ind w:firstLine="592"/>
              <w:rPr>
                <w:rFonts w:ascii="宋体" w:hAnsi="宋体" w:cs="宋体"/>
                <w:color w:val="auto"/>
              </w:rPr>
            </w:pPr>
          </w:p>
        </w:tc>
        <w:tc>
          <w:tcPr>
            <w:tcW w:w="4024" w:type="dxa"/>
            <w:tcBorders>
              <w:top w:val="single" w:color="auto" w:sz="12" w:space="0"/>
            </w:tcBorders>
          </w:tcPr>
          <w:p>
            <w:pPr>
              <w:ind w:firstLine="592"/>
              <w:rPr>
                <w:rFonts w:ascii="宋体" w:hAnsi="宋体" w:cs="宋体"/>
                <w:color w:val="auto"/>
              </w:rPr>
            </w:pPr>
          </w:p>
        </w:tc>
      </w:tr>
    </w:tbl>
    <w:p>
      <w:pPr>
        <w:autoSpaceDE w:val="0"/>
        <w:autoSpaceDN w:val="0"/>
        <w:adjustRightInd w:val="0"/>
        <w:spacing w:line="460" w:lineRule="exact"/>
        <w:ind w:firstLine="550" w:firstLineChars="250"/>
        <w:rPr>
          <w:rFonts w:asciiTheme="minorEastAsia" w:hAnsiTheme="minorEastAsia" w:eastAsiaTheme="minorEastAsia"/>
          <w:color w:val="auto"/>
          <w:sz w:val="22"/>
          <w:szCs w:val="22"/>
          <w:lang w:val="zh-CN"/>
        </w:rPr>
      </w:pPr>
      <w:r>
        <w:rPr>
          <w:rFonts w:hint="eastAsia" w:asciiTheme="minorEastAsia" w:hAnsiTheme="minorEastAsia" w:eastAsiaTheme="minorEastAsia"/>
          <w:color w:val="auto"/>
          <w:sz w:val="22"/>
          <w:szCs w:val="22"/>
          <w:lang w:val="zh-CN"/>
        </w:rPr>
        <w:t>注：1、响应文件提供的技术参数对应采购文件如有偏离的均需在偏离表中列出，如没有列出的视为完全响应采购文件的要求。</w:t>
      </w:r>
    </w:p>
    <w:p>
      <w:pPr>
        <w:autoSpaceDE w:val="0"/>
        <w:autoSpaceDN w:val="0"/>
        <w:adjustRightInd w:val="0"/>
        <w:spacing w:line="460" w:lineRule="exact"/>
        <w:ind w:firstLine="440" w:firstLineChars="200"/>
        <w:rPr>
          <w:rFonts w:asciiTheme="minorEastAsia" w:hAnsiTheme="minorEastAsia" w:eastAsiaTheme="minorEastAsia"/>
          <w:color w:val="auto"/>
          <w:sz w:val="22"/>
          <w:szCs w:val="22"/>
          <w:lang w:val="zh-CN"/>
        </w:rPr>
      </w:pPr>
      <w:r>
        <w:rPr>
          <w:rFonts w:hint="eastAsia" w:asciiTheme="minorEastAsia" w:hAnsiTheme="minorEastAsia" w:eastAsiaTheme="minorEastAsia"/>
          <w:color w:val="auto"/>
          <w:sz w:val="22"/>
          <w:szCs w:val="22"/>
          <w:lang w:val="zh-CN"/>
        </w:rPr>
        <w:t>2、本表可以延续。</w:t>
      </w:r>
    </w:p>
    <w:p>
      <w:pPr>
        <w:spacing w:line="480" w:lineRule="auto"/>
        <w:ind w:firstLine="4605"/>
        <w:rPr>
          <w:rFonts w:ascii="宋体" w:hAnsi="宋体"/>
          <w:color w:val="auto"/>
        </w:rPr>
      </w:pPr>
    </w:p>
    <w:p>
      <w:pPr>
        <w:pStyle w:val="10"/>
        <w:overflowPunct w:val="0"/>
        <w:spacing w:line="360" w:lineRule="auto"/>
        <w:ind w:right="-21" w:rightChars="-10" w:firstLine="4830" w:firstLineChars="2300"/>
        <w:rPr>
          <w:rFonts w:ascii="宋体" w:hAnsi="宋体"/>
          <w:color w:val="auto"/>
        </w:rPr>
      </w:pPr>
      <w:bookmarkStart w:id="122" w:name="_Toc453158714"/>
      <w:bookmarkStart w:id="123" w:name="_Toc486931332"/>
      <w:bookmarkStart w:id="124" w:name="_Toc384303166"/>
      <w:bookmarkStart w:id="125" w:name="_Toc384303171"/>
      <w:bookmarkStart w:id="126" w:name="_Toc433019964"/>
      <w:bookmarkStart w:id="127" w:name="_Toc14715"/>
      <w:bookmarkStart w:id="128" w:name="_Toc402258849"/>
      <w:bookmarkStart w:id="129" w:name="_Toc433808004"/>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3"/>
        <w:rPr>
          <w:rFonts w:hint="eastAsia"/>
          <w:color w:val="0000FF"/>
        </w:rPr>
      </w:pPr>
    </w:p>
    <w:p>
      <w:pPr>
        <w:rPr>
          <w:rFonts w:hint="eastAsia"/>
          <w:color w:val="0000FF"/>
        </w:rPr>
      </w:pPr>
    </w:p>
    <w:p>
      <w:pPr>
        <w:pStyle w:val="8"/>
        <w:rPr>
          <w:color w:val="0000FF"/>
        </w:rPr>
      </w:pPr>
    </w:p>
    <w:bookmarkEnd w:id="122"/>
    <w:bookmarkEnd w:id="123"/>
    <w:bookmarkEnd w:id="124"/>
    <w:bookmarkEnd w:id="125"/>
    <w:bookmarkEnd w:id="126"/>
    <w:bookmarkEnd w:id="127"/>
    <w:bookmarkEnd w:id="128"/>
    <w:bookmarkEnd w:id="129"/>
    <w:p>
      <w:pPr>
        <w:jc w:val="center"/>
        <w:outlineLvl w:val="1"/>
        <w:rPr>
          <w:rFonts w:ascii="Cambria" w:hAnsi="宋体"/>
          <w:b/>
          <w:bCs/>
          <w:color w:val="FF0000"/>
          <w:sz w:val="28"/>
          <w:szCs w:val="36"/>
        </w:rPr>
      </w:pPr>
      <w:bookmarkStart w:id="130" w:name="_Toc18345"/>
      <w:bookmarkStart w:id="131" w:name="_Toc5471"/>
      <w:r>
        <w:rPr>
          <w:rFonts w:hint="eastAsia" w:ascii="Cambria" w:hAnsi="宋体"/>
          <w:b/>
          <w:bCs/>
          <w:color w:val="FF0000"/>
          <w:sz w:val="28"/>
          <w:szCs w:val="36"/>
        </w:rPr>
        <w:t xml:space="preserve">附件六 </w:t>
      </w:r>
      <w:bookmarkEnd w:id="130"/>
      <w:r>
        <w:rPr>
          <w:rFonts w:hint="eastAsia" w:ascii="Cambria" w:hAnsi="宋体"/>
          <w:b/>
          <w:bCs/>
          <w:color w:val="FF0000"/>
          <w:sz w:val="28"/>
          <w:szCs w:val="36"/>
        </w:rPr>
        <w:t>磋商供应商201</w:t>
      </w:r>
      <w:r>
        <w:rPr>
          <w:rFonts w:hint="eastAsia" w:ascii="Cambria" w:hAnsi="宋体"/>
          <w:b/>
          <w:bCs/>
          <w:color w:val="FF0000"/>
          <w:sz w:val="28"/>
          <w:szCs w:val="36"/>
          <w:lang w:val="en-US" w:eastAsia="zh-CN"/>
        </w:rPr>
        <w:t>8</w:t>
      </w:r>
      <w:r>
        <w:rPr>
          <w:rFonts w:hint="eastAsia" w:ascii="Cambria" w:hAnsi="宋体"/>
          <w:b/>
          <w:bCs/>
          <w:color w:val="FF0000"/>
          <w:sz w:val="28"/>
          <w:szCs w:val="36"/>
        </w:rPr>
        <w:t>年1月1日以来类似业绩情况一览表</w:t>
      </w:r>
      <w:bookmarkEnd w:id="131"/>
    </w:p>
    <w:p>
      <w:pPr>
        <w:spacing w:line="400" w:lineRule="atLeast"/>
        <w:rPr>
          <w:rFonts w:ascii="宋体" w:hAnsi="宋体" w:cs="宋体"/>
          <w:color w:val="FF0000"/>
          <w:szCs w:val="21"/>
        </w:rPr>
      </w:pPr>
      <w:r>
        <w:rPr>
          <w:rFonts w:hint="eastAsia" w:ascii="宋体" w:hAnsi="宋体" w:cs="宋体"/>
          <w:b/>
          <w:color w:val="FF0000"/>
          <w:szCs w:val="21"/>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567"/>
        <w:gridCol w:w="1549"/>
        <w:gridCol w:w="123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400" w:lineRule="atLeast"/>
              <w:jc w:val="center"/>
              <w:rPr>
                <w:rFonts w:ascii="宋体" w:hAnsi="宋体" w:cs="宋体"/>
                <w:b/>
                <w:bCs/>
                <w:color w:val="FF0000"/>
                <w:szCs w:val="21"/>
                <w:lang w:val="zh-CN"/>
              </w:rPr>
            </w:pPr>
            <w:r>
              <w:rPr>
                <w:rFonts w:hint="eastAsia" w:ascii="宋体" w:hAnsi="宋体" w:cs="宋体"/>
                <w:b/>
                <w:bCs/>
                <w:color w:val="FF0000"/>
                <w:szCs w:val="21"/>
                <w:lang w:val="zh-CN"/>
              </w:rPr>
              <w:t>用户名称</w:t>
            </w:r>
          </w:p>
        </w:tc>
        <w:tc>
          <w:tcPr>
            <w:tcW w:w="25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400" w:lineRule="atLeast"/>
              <w:jc w:val="center"/>
              <w:rPr>
                <w:rFonts w:ascii="宋体" w:hAnsi="宋体" w:cs="宋体"/>
                <w:b/>
                <w:bCs/>
                <w:color w:val="FF0000"/>
                <w:szCs w:val="21"/>
                <w:lang w:val="zh-CN"/>
              </w:rPr>
            </w:pPr>
            <w:r>
              <w:rPr>
                <w:rFonts w:hint="eastAsia" w:ascii="宋体" w:hAnsi="宋体" w:cs="宋体"/>
                <w:b/>
                <w:bCs/>
                <w:color w:val="FF0000"/>
                <w:szCs w:val="21"/>
                <w:lang w:val="zh-CN"/>
              </w:rPr>
              <w:t>地址、联系电话</w:t>
            </w:r>
          </w:p>
        </w:tc>
        <w:tc>
          <w:tcPr>
            <w:tcW w:w="1549"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rFonts w:ascii="宋体" w:hAnsi="宋体" w:cs="宋体"/>
                <w:b/>
                <w:bCs/>
                <w:color w:val="FF0000"/>
                <w:szCs w:val="21"/>
                <w:lang w:val="zh-CN"/>
              </w:rPr>
            </w:pPr>
            <w:r>
              <w:rPr>
                <w:rFonts w:hint="eastAsia" w:ascii="宋体" w:hAnsi="宋体" w:cs="宋体"/>
                <w:b/>
                <w:bCs/>
                <w:color w:val="FF0000"/>
                <w:szCs w:val="21"/>
                <w:lang w:val="zh-CN"/>
              </w:rPr>
              <w:t>合同起止时间</w:t>
            </w:r>
          </w:p>
        </w:tc>
        <w:tc>
          <w:tcPr>
            <w:tcW w:w="1234" w:type="dxa"/>
            <w:tcBorders>
              <w:top w:val="single" w:color="auto" w:sz="12" w:space="0"/>
              <w:left w:val="single" w:color="auto" w:sz="4" w:space="0"/>
              <w:right w:val="single" w:color="auto" w:sz="4" w:space="0"/>
            </w:tcBorders>
            <w:vAlign w:val="center"/>
          </w:tcPr>
          <w:p>
            <w:pPr>
              <w:autoSpaceDE w:val="0"/>
              <w:autoSpaceDN w:val="0"/>
              <w:adjustRightInd w:val="0"/>
              <w:spacing w:line="400" w:lineRule="atLeast"/>
              <w:jc w:val="center"/>
              <w:rPr>
                <w:rFonts w:ascii="宋体" w:hAnsi="宋体" w:cs="宋体"/>
                <w:b/>
                <w:bCs/>
                <w:color w:val="FF0000"/>
                <w:szCs w:val="21"/>
                <w:lang w:val="zh-CN"/>
              </w:rPr>
            </w:pPr>
            <w:r>
              <w:rPr>
                <w:rFonts w:hint="eastAsia" w:ascii="宋体" w:hAnsi="宋体" w:cs="宋体"/>
                <w:b/>
                <w:bCs/>
                <w:color w:val="FF0000"/>
                <w:szCs w:val="21"/>
                <w:lang w:val="zh-CN"/>
              </w:rPr>
              <w:t>合同金额</w:t>
            </w:r>
          </w:p>
          <w:p>
            <w:pPr>
              <w:autoSpaceDE w:val="0"/>
              <w:autoSpaceDN w:val="0"/>
              <w:adjustRightInd w:val="0"/>
              <w:spacing w:line="400" w:lineRule="atLeast"/>
              <w:jc w:val="center"/>
              <w:rPr>
                <w:rFonts w:ascii="宋体" w:hAnsi="宋体" w:cs="宋体"/>
                <w:bCs/>
                <w:color w:val="FF0000"/>
                <w:szCs w:val="21"/>
                <w:lang w:val="zh-CN"/>
              </w:rPr>
            </w:pPr>
            <w:r>
              <w:rPr>
                <w:rFonts w:hint="eastAsia" w:ascii="宋体" w:hAnsi="宋体" w:cs="宋体"/>
                <w:b/>
                <w:bCs/>
                <w:color w:val="FF0000"/>
                <w:szCs w:val="21"/>
                <w:lang w:val="zh-CN"/>
              </w:rPr>
              <w:t>（万元）</w:t>
            </w:r>
          </w:p>
        </w:tc>
        <w:tc>
          <w:tcPr>
            <w:tcW w:w="1567"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pacing w:line="400" w:lineRule="atLeast"/>
              <w:jc w:val="center"/>
              <w:rPr>
                <w:rFonts w:ascii="宋体" w:hAnsi="宋体" w:cs="宋体"/>
                <w:b/>
                <w:bCs/>
                <w:color w:val="FF0000"/>
                <w:szCs w:val="21"/>
                <w:lang w:val="zh-CN"/>
              </w:rPr>
            </w:pPr>
            <w:r>
              <w:rPr>
                <w:rFonts w:hint="eastAsia" w:ascii="宋体" w:hAnsi="宋体" w:cs="宋体"/>
                <w:b/>
                <w:bCs/>
                <w:color w:val="FF0000"/>
                <w:szCs w:val="21"/>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151" w:type="dxa"/>
            <w:tcBorders>
              <w:top w:val="single" w:color="auto" w:sz="4" w:space="0"/>
              <w:left w:val="single" w:color="auto" w:sz="12"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25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49"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234" w:type="dxa"/>
            <w:tcBorders>
              <w:left w:val="single" w:color="auto" w:sz="4" w:space="0"/>
              <w:right w:val="single" w:color="auto" w:sz="4" w:space="0"/>
            </w:tcBorders>
          </w:tcPr>
          <w:p>
            <w:pPr>
              <w:autoSpaceDE w:val="0"/>
              <w:autoSpaceDN w:val="0"/>
              <w:adjustRightInd w:val="0"/>
              <w:spacing w:line="400" w:lineRule="atLeast"/>
              <w:rPr>
                <w:rFonts w:ascii="宋体" w:hAnsi="宋体" w:cs="宋体"/>
                <w:color w:val="FF0000"/>
                <w:szCs w:val="21"/>
                <w:lang w:val="zh-CN"/>
              </w:rPr>
            </w:pPr>
          </w:p>
        </w:tc>
        <w:tc>
          <w:tcPr>
            <w:tcW w:w="1567" w:type="dxa"/>
            <w:tcBorders>
              <w:top w:val="single" w:color="auto" w:sz="4" w:space="0"/>
              <w:left w:val="single" w:color="auto" w:sz="4" w:space="0"/>
              <w:bottom w:val="single" w:color="auto" w:sz="4" w:space="0"/>
              <w:right w:val="single" w:color="auto" w:sz="12" w:space="0"/>
            </w:tcBorders>
          </w:tcPr>
          <w:p>
            <w:pPr>
              <w:autoSpaceDE w:val="0"/>
              <w:autoSpaceDN w:val="0"/>
              <w:adjustRightInd w:val="0"/>
              <w:spacing w:line="400" w:lineRule="atLeast"/>
              <w:rPr>
                <w:rFonts w:ascii="宋体" w:hAnsi="宋体" w:cs="宋体"/>
                <w:color w:val="FF0000"/>
                <w:szCs w:val="21"/>
                <w:lang w:val="zh-CN"/>
              </w:rPr>
            </w:pPr>
          </w:p>
        </w:tc>
      </w:tr>
    </w:tbl>
    <w:p>
      <w:pPr>
        <w:autoSpaceDE w:val="0"/>
        <w:autoSpaceDN w:val="0"/>
        <w:adjustRightInd w:val="0"/>
        <w:rPr>
          <w:rFonts w:ascii="宋体" w:hAnsi="宋体" w:cs="宋体"/>
          <w:b/>
          <w:bCs/>
          <w:color w:val="FF0000"/>
          <w:szCs w:val="21"/>
          <w:lang w:val="zh-CN"/>
        </w:rPr>
      </w:pPr>
      <w:r>
        <w:rPr>
          <w:rFonts w:hint="eastAsia" w:ascii="宋体" w:hAnsi="宋体" w:cs="宋体"/>
          <w:b/>
          <w:color w:val="FF0000"/>
          <w:sz w:val="22"/>
        </w:rPr>
        <w:t>注：</w:t>
      </w:r>
      <w:r>
        <w:rPr>
          <w:rFonts w:hint="eastAsia" w:ascii="宋体" w:hAnsi="宋体" w:cs="宋体"/>
          <w:color w:val="FF0000"/>
          <w:sz w:val="22"/>
          <w:lang w:val="zh-CN"/>
        </w:rPr>
        <w:t xml:space="preserve"> </w:t>
      </w:r>
      <w:r>
        <w:rPr>
          <w:rFonts w:hint="eastAsia" w:ascii="宋体" w:hAnsi="宋体" w:cs="宋体"/>
          <w:color w:val="FF0000"/>
          <w:szCs w:val="21"/>
          <w:lang w:val="zh-CN"/>
        </w:rPr>
        <w:t>合同有效性认定：</w:t>
      </w:r>
      <w:r>
        <w:rPr>
          <w:rFonts w:hint="eastAsia" w:ascii="宋体" w:hAnsi="宋体"/>
          <w:color w:val="FF0000"/>
          <w:spacing w:val="4"/>
          <w:szCs w:val="21"/>
        </w:rPr>
        <w:t>1、以合同签订时间为准；2、提供中标通知书和合同扫描件加盖单位公章，或者合同和任一期进度款发票扫描件加盖单位公章。</w:t>
      </w:r>
    </w:p>
    <w:p>
      <w:pPr>
        <w:tabs>
          <w:tab w:val="left" w:pos="4635"/>
        </w:tabs>
        <w:spacing w:line="360" w:lineRule="auto"/>
        <w:ind w:left="3826" w:leftChars="1822" w:right="840"/>
        <w:rPr>
          <w:rFonts w:ascii="宋体" w:hAnsi="宋体" w:cs="宋体"/>
          <w:color w:val="FF0000"/>
        </w:rPr>
      </w:pPr>
    </w:p>
    <w:p>
      <w:pPr>
        <w:autoSpaceDE w:val="0"/>
        <w:autoSpaceDN w:val="0"/>
        <w:adjustRightInd w:val="0"/>
        <w:rPr>
          <w:rFonts w:ascii="宋体" w:hAnsi="宋体"/>
          <w:color w:val="FF0000"/>
          <w:lang w:val="zh-CN"/>
        </w:rPr>
      </w:pPr>
      <w:r>
        <w:rPr>
          <w:rFonts w:hint="eastAsia" w:ascii="宋体" w:hAnsi="宋体"/>
          <w:color w:val="FF0000"/>
        </w:rPr>
        <w:t>。</w:t>
      </w:r>
    </w:p>
    <w:p>
      <w:pPr>
        <w:pStyle w:val="10"/>
        <w:overflowPunct w:val="0"/>
        <w:spacing w:line="360" w:lineRule="auto"/>
        <w:ind w:right="-21" w:rightChars="-10" w:firstLine="4830" w:firstLineChars="2300"/>
        <w:rPr>
          <w:rFonts w:ascii="宋体" w:hAnsi="宋体"/>
          <w:color w:val="FF0000"/>
        </w:rPr>
      </w:pPr>
      <w:r>
        <w:rPr>
          <w:rFonts w:hint="eastAsia" w:ascii="宋体" w:hAnsi="宋体"/>
          <w:color w:val="FF0000"/>
        </w:rPr>
        <w:t>磋商供应商（公章）：</w:t>
      </w:r>
    </w:p>
    <w:p>
      <w:pPr>
        <w:pStyle w:val="10"/>
        <w:overflowPunct w:val="0"/>
        <w:spacing w:line="360" w:lineRule="auto"/>
        <w:ind w:right="-21" w:rightChars="-10" w:firstLine="4830" w:firstLineChars="2300"/>
        <w:rPr>
          <w:rFonts w:ascii="宋体" w:hAnsi="宋体"/>
          <w:color w:val="FF0000"/>
        </w:rPr>
      </w:pPr>
      <w:r>
        <w:rPr>
          <w:rFonts w:hint="eastAsia" w:ascii="宋体" w:hAnsi="宋体"/>
          <w:color w:val="FF0000"/>
        </w:rPr>
        <w:t>法定代表人或授权代表（签字或盖章）：</w:t>
      </w:r>
    </w:p>
    <w:p>
      <w:pPr>
        <w:pStyle w:val="10"/>
        <w:overflowPunct w:val="0"/>
        <w:spacing w:line="360" w:lineRule="auto"/>
        <w:ind w:right="-21" w:rightChars="-10" w:firstLine="4830" w:firstLineChars="2300"/>
        <w:rPr>
          <w:rFonts w:ascii="宋体" w:hAnsi="宋体"/>
          <w:color w:val="FF0000"/>
        </w:rPr>
      </w:pPr>
      <w:r>
        <w:rPr>
          <w:rFonts w:hint="eastAsia" w:ascii="宋体" w:hAnsi="宋体"/>
          <w:color w:val="FF0000"/>
        </w:rPr>
        <w:t>日期：   年  月  日</w:t>
      </w:r>
    </w:p>
    <w:p>
      <w:pPr>
        <w:spacing w:before="312" w:beforeLines="100" w:after="312" w:afterLines="100" w:line="400" w:lineRule="atLeast"/>
        <w:ind w:left="4620" w:leftChars="2200"/>
        <w:rPr>
          <w:rFonts w:ascii="宋体" w:hAnsi="宋体" w:cs="Arial Unicode MS"/>
          <w:color w:val="0000FF"/>
          <w:sz w:val="22"/>
        </w:rPr>
      </w:pPr>
    </w:p>
    <w:p>
      <w:pPr>
        <w:pStyle w:val="4"/>
        <w:pageBreakBefore/>
        <w:spacing w:line="415" w:lineRule="auto"/>
        <w:jc w:val="center"/>
        <w:rPr>
          <w:color w:val="auto"/>
          <w:sz w:val="28"/>
          <w:szCs w:val="28"/>
        </w:rPr>
      </w:pPr>
      <w:bookmarkStart w:id="132" w:name="_Toc27037147"/>
      <w:bookmarkStart w:id="133" w:name="_Toc12829"/>
      <w:bookmarkStart w:id="134" w:name="_Toc17832"/>
      <w:bookmarkStart w:id="135" w:name="_Toc28041"/>
      <w:bookmarkStart w:id="136" w:name="_Toc28212"/>
      <w:bookmarkStart w:id="137" w:name="_Toc27036008"/>
      <w:bookmarkStart w:id="138" w:name="_Toc11697"/>
      <w:bookmarkStart w:id="139" w:name="_Toc452058299"/>
      <w:bookmarkStart w:id="140" w:name="_Toc384303162"/>
      <w:bookmarkStart w:id="141" w:name="_Toc294538198"/>
      <w:bookmarkStart w:id="142" w:name="_Toc486931329"/>
      <w:r>
        <w:rPr>
          <w:rFonts w:hint="eastAsia" w:hAnsi="宋体"/>
          <w:color w:val="auto"/>
          <w:sz w:val="28"/>
          <w:szCs w:val="36"/>
        </w:rPr>
        <w:t xml:space="preserve">附件七 </w:t>
      </w:r>
      <w:bookmarkEnd w:id="132"/>
      <w:bookmarkEnd w:id="133"/>
      <w:bookmarkEnd w:id="134"/>
      <w:bookmarkEnd w:id="135"/>
      <w:bookmarkEnd w:id="136"/>
      <w:bookmarkEnd w:id="137"/>
      <w:r>
        <w:rPr>
          <w:rFonts w:hint="eastAsia"/>
          <w:color w:val="auto"/>
          <w:sz w:val="28"/>
        </w:rPr>
        <w:t xml:space="preserve"> </w:t>
      </w:r>
      <w:r>
        <w:rPr>
          <w:rFonts w:hint="eastAsia"/>
          <w:color w:val="auto"/>
          <w:sz w:val="28"/>
          <w:szCs w:val="28"/>
        </w:rPr>
        <w:t>拟详细产品供货清单</w:t>
      </w:r>
      <w:bookmarkEnd w:id="138"/>
    </w:p>
    <w:p>
      <w:pPr>
        <w:spacing w:before="156" w:beforeLines="50" w:line="400" w:lineRule="exact"/>
        <w:rPr>
          <w:b/>
          <w:bCs/>
          <w:color w:val="auto"/>
          <w:szCs w:val="21"/>
        </w:rPr>
      </w:pPr>
      <w:r>
        <w:rPr>
          <w:rFonts w:hint="eastAsia"/>
          <w:color w:val="auto"/>
          <w:szCs w:val="21"/>
        </w:rPr>
        <w:t>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690"/>
        <w:gridCol w:w="1445"/>
        <w:gridCol w:w="1440"/>
        <w:gridCol w:w="1225"/>
        <w:gridCol w:w="910"/>
        <w:gridCol w:w="1029"/>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序号</w:t>
            </w:r>
          </w:p>
        </w:tc>
        <w:tc>
          <w:tcPr>
            <w:tcW w:w="1690"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设备名称</w:t>
            </w:r>
          </w:p>
        </w:tc>
        <w:tc>
          <w:tcPr>
            <w:tcW w:w="1445"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型号规格</w:t>
            </w:r>
          </w:p>
        </w:tc>
        <w:tc>
          <w:tcPr>
            <w:tcW w:w="1440"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品牌</w:t>
            </w:r>
          </w:p>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生产厂商</w:t>
            </w:r>
          </w:p>
        </w:tc>
        <w:tc>
          <w:tcPr>
            <w:tcW w:w="1225" w:type="dxa"/>
            <w:vAlign w:val="center"/>
          </w:tcPr>
          <w:p>
            <w:pPr>
              <w:tabs>
                <w:tab w:val="left" w:pos="6551"/>
              </w:tabs>
              <w:jc w:val="center"/>
              <w:rPr>
                <w:rFonts w:ascii="新宋体" w:hAnsi="新宋体" w:eastAsia="新宋体"/>
                <w:b/>
                <w:bCs/>
                <w:color w:val="auto"/>
                <w:szCs w:val="21"/>
              </w:rPr>
            </w:pPr>
            <w:r>
              <w:rPr>
                <w:rFonts w:ascii="Arial" w:hAnsi="Arial" w:cs="Arial"/>
                <w:b/>
                <w:bCs/>
                <w:color w:val="auto"/>
                <w:szCs w:val="21"/>
              </w:rPr>
              <w:t>详细配置说明</w:t>
            </w:r>
          </w:p>
        </w:tc>
        <w:tc>
          <w:tcPr>
            <w:tcW w:w="910"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单位</w:t>
            </w:r>
          </w:p>
        </w:tc>
        <w:tc>
          <w:tcPr>
            <w:tcW w:w="1029" w:type="dxa"/>
            <w:vAlign w:val="center"/>
          </w:tcPr>
          <w:p>
            <w:pPr>
              <w:ind w:left="105" w:leftChars="50"/>
              <w:jc w:val="center"/>
              <w:rPr>
                <w:rFonts w:ascii="Arial" w:hAnsi="Arial" w:cs="Arial"/>
                <w:b/>
                <w:color w:val="auto"/>
                <w:szCs w:val="21"/>
              </w:rPr>
            </w:pPr>
            <w:r>
              <w:rPr>
                <w:rFonts w:hint="eastAsia" w:ascii="新宋体" w:hAnsi="新宋体" w:eastAsia="新宋体"/>
                <w:b/>
                <w:bCs/>
                <w:color w:val="auto"/>
                <w:szCs w:val="21"/>
              </w:rPr>
              <w:t>数量</w:t>
            </w:r>
          </w:p>
        </w:tc>
        <w:tc>
          <w:tcPr>
            <w:tcW w:w="1091" w:type="dxa"/>
            <w:vAlign w:val="center"/>
          </w:tcPr>
          <w:p>
            <w:pPr>
              <w:tabs>
                <w:tab w:val="left" w:pos="6551"/>
              </w:tabs>
              <w:jc w:val="center"/>
              <w:rPr>
                <w:rFonts w:ascii="新宋体" w:hAnsi="新宋体" w:eastAsia="新宋体"/>
                <w:b/>
                <w:bCs/>
                <w:color w:val="auto"/>
                <w:szCs w:val="21"/>
              </w:rPr>
            </w:pPr>
            <w:r>
              <w:rPr>
                <w:rFonts w:hint="eastAsia" w:ascii="新宋体" w:hAnsi="新宋体" w:eastAsia="新宋体"/>
                <w:b/>
                <w:bCs/>
                <w:color w:val="auto"/>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jc w:val="center"/>
              <w:rPr>
                <w:rFonts w:ascii="新宋体" w:hAnsi="新宋体" w:eastAsia="新宋体"/>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dxa"/>
            <w:vAlign w:val="center"/>
          </w:tcPr>
          <w:p>
            <w:pPr>
              <w:tabs>
                <w:tab w:val="left" w:pos="6551"/>
              </w:tabs>
              <w:jc w:val="center"/>
              <w:rPr>
                <w:rFonts w:ascii="新宋体" w:hAnsi="新宋体" w:eastAsia="新宋体"/>
                <w:bCs/>
                <w:color w:val="auto"/>
                <w:szCs w:val="21"/>
              </w:rPr>
            </w:pPr>
          </w:p>
        </w:tc>
        <w:tc>
          <w:tcPr>
            <w:tcW w:w="1690" w:type="dxa"/>
            <w:vAlign w:val="center"/>
          </w:tcPr>
          <w:p>
            <w:pPr>
              <w:tabs>
                <w:tab w:val="left" w:pos="6551"/>
              </w:tabs>
              <w:jc w:val="center"/>
              <w:rPr>
                <w:rFonts w:ascii="新宋体" w:hAnsi="新宋体" w:eastAsia="新宋体"/>
                <w:bCs/>
                <w:color w:val="auto"/>
                <w:szCs w:val="21"/>
              </w:rPr>
            </w:pPr>
          </w:p>
        </w:tc>
        <w:tc>
          <w:tcPr>
            <w:tcW w:w="1445" w:type="dxa"/>
            <w:vAlign w:val="center"/>
          </w:tcPr>
          <w:p>
            <w:pPr>
              <w:tabs>
                <w:tab w:val="left" w:pos="6551"/>
              </w:tabs>
              <w:jc w:val="center"/>
              <w:rPr>
                <w:rFonts w:ascii="新宋体" w:hAnsi="新宋体" w:eastAsia="新宋体"/>
                <w:bCs/>
                <w:color w:val="auto"/>
                <w:szCs w:val="21"/>
              </w:rPr>
            </w:pPr>
          </w:p>
        </w:tc>
        <w:tc>
          <w:tcPr>
            <w:tcW w:w="1440" w:type="dxa"/>
            <w:vAlign w:val="center"/>
          </w:tcPr>
          <w:p>
            <w:pPr>
              <w:tabs>
                <w:tab w:val="left" w:pos="6551"/>
              </w:tabs>
              <w:jc w:val="center"/>
              <w:rPr>
                <w:rFonts w:ascii="新宋体" w:hAnsi="新宋体" w:eastAsia="新宋体"/>
                <w:bCs/>
                <w:color w:val="auto"/>
                <w:szCs w:val="21"/>
              </w:rPr>
            </w:pPr>
          </w:p>
        </w:tc>
        <w:tc>
          <w:tcPr>
            <w:tcW w:w="1225" w:type="dxa"/>
            <w:vAlign w:val="center"/>
          </w:tcPr>
          <w:p>
            <w:pPr>
              <w:tabs>
                <w:tab w:val="left" w:pos="6551"/>
              </w:tabs>
              <w:jc w:val="center"/>
              <w:rPr>
                <w:rFonts w:ascii="新宋体" w:hAnsi="新宋体" w:eastAsia="新宋体"/>
                <w:bCs/>
                <w:color w:val="auto"/>
                <w:szCs w:val="21"/>
              </w:rPr>
            </w:pPr>
          </w:p>
        </w:tc>
        <w:tc>
          <w:tcPr>
            <w:tcW w:w="910" w:type="dxa"/>
            <w:vAlign w:val="center"/>
          </w:tcPr>
          <w:p>
            <w:pPr>
              <w:tabs>
                <w:tab w:val="left" w:pos="6551"/>
              </w:tabs>
              <w:jc w:val="center"/>
              <w:rPr>
                <w:rFonts w:ascii="新宋体" w:hAnsi="新宋体" w:eastAsia="新宋体"/>
                <w:bCs/>
                <w:color w:val="auto"/>
                <w:szCs w:val="21"/>
              </w:rPr>
            </w:pPr>
          </w:p>
        </w:tc>
        <w:tc>
          <w:tcPr>
            <w:tcW w:w="1029" w:type="dxa"/>
            <w:vAlign w:val="center"/>
          </w:tcPr>
          <w:p>
            <w:pPr>
              <w:tabs>
                <w:tab w:val="left" w:pos="6551"/>
              </w:tabs>
              <w:ind w:firstLine="413" w:firstLineChars="196"/>
              <w:jc w:val="center"/>
              <w:rPr>
                <w:rFonts w:ascii="新宋体" w:hAnsi="新宋体" w:eastAsia="新宋体"/>
                <w:b/>
                <w:bCs/>
                <w:color w:val="auto"/>
                <w:szCs w:val="21"/>
              </w:rPr>
            </w:pPr>
          </w:p>
        </w:tc>
        <w:tc>
          <w:tcPr>
            <w:tcW w:w="1091" w:type="dxa"/>
            <w:vAlign w:val="center"/>
          </w:tcPr>
          <w:p>
            <w:pPr>
              <w:tabs>
                <w:tab w:val="left" w:pos="6551"/>
              </w:tabs>
              <w:jc w:val="center"/>
              <w:rPr>
                <w:rFonts w:ascii="新宋体" w:hAnsi="新宋体" w:eastAsia="新宋体"/>
                <w:bCs/>
                <w:color w:val="auto"/>
                <w:szCs w:val="21"/>
              </w:rPr>
            </w:pPr>
          </w:p>
        </w:tc>
      </w:tr>
    </w:tbl>
    <w:p>
      <w:pPr>
        <w:tabs>
          <w:tab w:val="left" w:pos="6551"/>
        </w:tabs>
        <w:spacing w:line="460" w:lineRule="exact"/>
        <w:ind w:left="517" w:hanging="517" w:hangingChars="245"/>
        <w:rPr>
          <w:rFonts w:ascii="新宋体" w:hAnsi="新宋体" w:eastAsia="新宋体"/>
          <w:b/>
          <w:color w:val="auto"/>
          <w:szCs w:val="21"/>
        </w:rPr>
      </w:pPr>
      <w:r>
        <w:rPr>
          <w:rFonts w:hint="eastAsia" w:ascii="新宋体" w:hAnsi="新宋体" w:eastAsia="新宋体"/>
          <w:b/>
          <w:color w:val="auto"/>
          <w:szCs w:val="21"/>
        </w:rPr>
        <w:t>注：1、</w:t>
      </w:r>
      <w:r>
        <w:rPr>
          <w:rFonts w:hint="eastAsia" w:ascii="_x000B__x000C_" w:hAnsi="_x000B__x000C_"/>
          <w:color w:val="auto"/>
          <w:szCs w:val="21"/>
        </w:rPr>
        <w:t>▲</w:t>
      </w:r>
      <w:r>
        <w:rPr>
          <w:rFonts w:hint="eastAsia" w:ascii="新宋体" w:hAnsi="新宋体" w:eastAsia="新宋体"/>
          <w:b/>
          <w:color w:val="auto"/>
          <w:szCs w:val="21"/>
        </w:rPr>
        <w:t>不提供设备清单将视为没有实质性响应磋商文件。</w:t>
      </w:r>
    </w:p>
    <w:p>
      <w:pPr>
        <w:tabs>
          <w:tab w:val="left" w:pos="525"/>
        </w:tabs>
        <w:rPr>
          <w:color w:val="auto"/>
        </w:rPr>
      </w:pPr>
    </w:p>
    <w:p>
      <w:pPr>
        <w:rPr>
          <w:color w:val="auto"/>
        </w:rPr>
      </w:pPr>
    </w:p>
    <w:p>
      <w:pPr>
        <w:pStyle w:val="10"/>
        <w:overflowPunct w:val="0"/>
        <w:spacing w:line="360" w:lineRule="auto"/>
        <w:ind w:right="-21" w:rightChars="-10" w:firstLine="4830" w:firstLineChars="2300"/>
        <w:rPr>
          <w:rFonts w:ascii="宋体" w:hAnsi="宋体"/>
          <w:color w:val="auto"/>
        </w:rPr>
      </w:pPr>
      <w:bookmarkStart w:id="143" w:name="_Toc27037148"/>
      <w:bookmarkStart w:id="144" w:name="_Toc2325"/>
      <w:bookmarkStart w:id="145" w:name="_Toc15984"/>
      <w:bookmarkStart w:id="146" w:name="_Toc27036009"/>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spacing w:before="312" w:beforeLines="100" w:after="156" w:afterLines="50"/>
        <w:ind w:right="-11"/>
        <w:jc w:val="center"/>
        <w:rPr>
          <w:rFonts w:ascii="宋体" w:hAnsi="宋体" w:cs="宋体"/>
          <w:b/>
          <w:bCs/>
          <w:color w:val="auto"/>
          <w:sz w:val="28"/>
          <w:szCs w:val="36"/>
        </w:rPr>
      </w:pPr>
    </w:p>
    <w:p>
      <w:pPr>
        <w:pStyle w:val="2"/>
        <w:ind w:firstLine="210"/>
        <w:rPr>
          <w:color w:val="auto"/>
        </w:rPr>
      </w:pPr>
    </w:p>
    <w:p>
      <w:pPr>
        <w:pStyle w:val="21"/>
        <w:rPr>
          <w:color w:val="auto"/>
        </w:rPr>
      </w:pPr>
    </w:p>
    <w:bookmarkEnd w:id="139"/>
    <w:bookmarkEnd w:id="140"/>
    <w:bookmarkEnd w:id="141"/>
    <w:bookmarkEnd w:id="142"/>
    <w:bookmarkEnd w:id="143"/>
    <w:bookmarkEnd w:id="144"/>
    <w:bookmarkEnd w:id="145"/>
    <w:bookmarkEnd w:id="146"/>
    <w:p>
      <w:pPr>
        <w:pStyle w:val="4"/>
        <w:pageBreakBefore/>
        <w:spacing w:line="415" w:lineRule="auto"/>
        <w:jc w:val="center"/>
        <w:rPr>
          <w:bCs/>
          <w:color w:val="auto"/>
          <w:sz w:val="28"/>
          <w:szCs w:val="28"/>
        </w:rPr>
      </w:pPr>
      <w:bookmarkStart w:id="147" w:name="_Toc7333"/>
      <w:bookmarkStart w:id="148" w:name="_Toc6398"/>
      <w:bookmarkStart w:id="149" w:name="_Toc15346"/>
      <w:r>
        <w:rPr>
          <w:rFonts w:hint="eastAsia" w:hAnsi="宋体"/>
          <w:color w:val="auto"/>
          <w:sz w:val="28"/>
          <w:szCs w:val="36"/>
        </w:rPr>
        <w:t xml:space="preserve">附件八  </w:t>
      </w:r>
      <w:bookmarkEnd w:id="147"/>
      <w:r>
        <w:rPr>
          <w:rFonts w:hint="eastAsia"/>
          <w:bCs/>
          <w:color w:val="auto"/>
          <w:sz w:val="28"/>
          <w:szCs w:val="28"/>
        </w:rPr>
        <w:t>技术响应表</w:t>
      </w:r>
      <w:bookmarkEnd w:id="148"/>
    </w:p>
    <w:p>
      <w:pPr>
        <w:spacing w:before="156" w:beforeLines="50" w:after="156" w:afterLines="50" w:line="400" w:lineRule="exact"/>
        <w:rPr>
          <w:b/>
          <w:bCs/>
          <w:color w:val="auto"/>
          <w:szCs w:val="21"/>
        </w:rPr>
      </w:pPr>
      <w:r>
        <w:rPr>
          <w:rFonts w:hint="eastAsia"/>
          <w:color w:val="auto"/>
          <w:szCs w:val="21"/>
        </w:rPr>
        <w:t>项目名称：</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46"/>
        <w:gridCol w:w="5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925" w:type="dxa"/>
            <w:tcBorders>
              <w:top w:val="single" w:color="auto" w:sz="12" w:space="0"/>
              <w:bottom w:val="single" w:color="auto" w:sz="12" w:space="0"/>
            </w:tcBorders>
            <w:vAlign w:val="center"/>
          </w:tcPr>
          <w:p>
            <w:pPr>
              <w:spacing w:line="380" w:lineRule="exact"/>
              <w:jc w:val="center"/>
              <w:rPr>
                <w:rFonts w:ascii="Arial" w:hAnsi="Arial" w:cs="Arial"/>
                <w:color w:val="auto"/>
                <w:szCs w:val="21"/>
              </w:rPr>
            </w:pPr>
            <w:r>
              <w:rPr>
                <w:rFonts w:hint="eastAsia" w:ascii="Arial" w:hAnsi="宋体" w:cs="Arial"/>
                <w:color w:val="auto"/>
                <w:szCs w:val="21"/>
              </w:rPr>
              <w:t>序号</w:t>
            </w:r>
          </w:p>
        </w:tc>
        <w:tc>
          <w:tcPr>
            <w:tcW w:w="2846" w:type="dxa"/>
            <w:tcBorders>
              <w:top w:val="single" w:color="auto" w:sz="12" w:space="0"/>
              <w:bottom w:val="single" w:color="auto" w:sz="12" w:space="0"/>
            </w:tcBorders>
            <w:vAlign w:val="center"/>
          </w:tcPr>
          <w:p>
            <w:pPr>
              <w:spacing w:line="380" w:lineRule="exact"/>
              <w:jc w:val="center"/>
              <w:rPr>
                <w:rFonts w:ascii="Arial" w:hAnsi="Arial" w:cs="Arial"/>
                <w:color w:val="auto"/>
                <w:szCs w:val="21"/>
              </w:rPr>
            </w:pPr>
            <w:r>
              <w:rPr>
                <w:rFonts w:hint="eastAsia" w:ascii="Arial" w:hAnsi="宋体" w:cs="Arial"/>
                <w:color w:val="auto"/>
                <w:szCs w:val="21"/>
              </w:rPr>
              <w:t>设备名称</w:t>
            </w:r>
          </w:p>
        </w:tc>
        <w:tc>
          <w:tcPr>
            <w:tcW w:w="5472" w:type="dxa"/>
            <w:tcBorders>
              <w:top w:val="single" w:color="auto" w:sz="12" w:space="0"/>
              <w:bottom w:val="single" w:color="auto" w:sz="12" w:space="0"/>
            </w:tcBorders>
            <w:vAlign w:val="center"/>
          </w:tcPr>
          <w:p>
            <w:pPr>
              <w:spacing w:line="380" w:lineRule="exact"/>
              <w:jc w:val="center"/>
              <w:rPr>
                <w:rFonts w:ascii="Arial" w:hAnsi="Arial" w:cs="Arial"/>
                <w:color w:val="auto"/>
                <w:szCs w:val="21"/>
              </w:rPr>
            </w:pPr>
            <w:r>
              <w:rPr>
                <w:rFonts w:ascii="Arial" w:hAnsi="宋体" w:cs="Arial"/>
                <w:bCs/>
                <w:color w:val="auto"/>
                <w:szCs w:val="21"/>
              </w:rPr>
              <w:t>参数或技术描述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tcBorders>
              <w:top w:val="single" w:color="auto" w:sz="12" w:space="0"/>
            </w:tcBorders>
            <w:vAlign w:val="center"/>
          </w:tcPr>
          <w:p>
            <w:pPr>
              <w:spacing w:line="380" w:lineRule="exact"/>
              <w:jc w:val="center"/>
              <w:rPr>
                <w:rFonts w:ascii="宋体"/>
                <w:color w:val="auto"/>
                <w:szCs w:val="21"/>
              </w:rPr>
            </w:pPr>
            <w:r>
              <w:rPr>
                <w:rFonts w:ascii="宋体" w:hAnsi="宋体"/>
                <w:color w:val="auto"/>
                <w:szCs w:val="21"/>
              </w:rPr>
              <w:t>1</w:t>
            </w:r>
          </w:p>
        </w:tc>
        <w:tc>
          <w:tcPr>
            <w:tcW w:w="2846" w:type="dxa"/>
            <w:tcBorders>
              <w:top w:val="single" w:color="auto" w:sz="12" w:space="0"/>
            </w:tcBorders>
            <w:vAlign w:val="center"/>
          </w:tcPr>
          <w:p>
            <w:pPr>
              <w:jc w:val="center"/>
              <w:rPr>
                <w:rFonts w:ascii="宋体" w:cs="宋体"/>
                <w:color w:val="auto"/>
                <w:szCs w:val="21"/>
              </w:rPr>
            </w:pPr>
          </w:p>
        </w:tc>
        <w:tc>
          <w:tcPr>
            <w:tcW w:w="5472" w:type="dxa"/>
            <w:tcBorders>
              <w:top w:val="single" w:color="auto" w:sz="12" w:space="0"/>
            </w:tcBorders>
            <w:vAlign w:val="center"/>
          </w:tcPr>
          <w:p>
            <w:pPr>
              <w:ind w:firstLine="592"/>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2</w:t>
            </w:r>
          </w:p>
        </w:tc>
        <w:tc>
          <w:tcPr>
            <w:tcW w:w="2846" w:type="dxa"/>
            <w:vAlign w:val="center"/>
          </w:tcPr>
          <w:p>
            <w:pPr>
              <w:jc w:val="center"/>
              <w:rPr>
                <w:rFonts w:ascii="宋体" w:cs="宋体"/>
                <w:color w:val="auto"/>
                <w:szCs w:val="21"/>
              </w:rPr>
            </w:pPr>
          </w:p>
        </w:tc>
        <w:tc>
          <w:tcPr>
            <w:tcW w:w="5472" w:type="dxa"/>
            <w:vAlign w:val="center"/>
          </w:tcPr>
          <w:p>
            <w:pPr>
              <w:ind w:firstLine="592"/>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3</w:t>
            </w:r>
          </w:p>
        </w:tc>
        <w:tc>
          <w:tcPr>
            <w:tcW w:w="2846" w:type="dxa"/>
            <w:vAlign w:val="center"/>
          </w:tcPr>
          <w:p>
            <w:pPr>
              <w:jc w:val="center"/>
              <w:rPr>
                <w:rFonts w:ascii="宋体" w:cs="宋体"/>
                <w:color w:val="auto"/>
                <w:szCs w:val="21"/>
              </w:rPr>
            </w:pPr>
          </w:p>
        </w:tc>
        <w:tc>
          <w:tcPr>
            <w:tcW w:w="5472" w:type="dxa"/>
            <w:vAlign w:val="center"/>
          </w:tcPr>
          <w:p>
            <w:pPr>
              <w:ind w:firstLine="592"/>
              <w:jc w:val="center"/>
              <w:rPr>
                <w:rFonts w:asci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4</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5</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6</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7</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8</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9</w:t>
            </w:r>
          </w:p>
        </w:tc>
        <w:tc>
          <w:tcPr>
            <w:tcW w:w="2846" w:type="dxa"/>
            <w:vAlign w:val="center"/>
          </w:tcPr>
          <w:p>
            <w:pPr>
              <w:jc w:val="center"/>
              <w:rPr>
                <w:rFonts w:ascii="宋体" w:cs="宋体"/>
                <w:color w:val="auto"/>
                <w:szCs w:val="21"/>
              </w:rPr>
            </w:pPr>
          </w:p>
        </w:tc>
        <w:tc>
          <w:tcPr>
            <w:tcW w:w="5472" w:type="dxa"/>
            <w:vAlign w:val="center"/>
          </w:tcPr>
          <w:p>
            <w:pPr>
              <w:ind w:firstLine="592"/>
              <w:jc w:val="center"/>
              <w:rPr>
                <w:rStyle w:val="55"/>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25" w:type="dxa"/>
            <w:vAlign w:val="center"/>
          </w:tcPr>
          <w:p>
            <w:pPr>
              <w:spacing w:line="380" w:lineRule="exact"/>
              <w:jc w:val="center"/>
              <w:rPr>
                <w:rFonts w:ascii="宋体"/>
                <w:color w:val="auto"/>
                <w:szCs w:val="21"/>
              </w:rPr>
            </w:pPr>
            <w:r>
              <w:rPr>
                <w:rFonts w:ascii="宋体" w:hAnsi="宋体"/>
                <w:color w:val="auto"/>
                <w:szCs w:val="21"/>
              </w:rPr>
              <w:t>10</w:t>
            </w:r>
          </w:p>
        </w:tc>
        <w:tc>
          <w:tcPr>
            <w:tcW w:w="2846" w:type="dxa"/>
            <w:vAlign w:val="center"/>
          </w:tcPr>
          <w:p>
            <w:pPr>
              <w:jc w:val="center"/>
              <w:rPr>
                <w:rFonts w:ascii="宋体" w:cs="宋体"/>
                <w:color w:val="auto"/>
                <w:szCs w:val="21"/>
              </w:rPr>
            </w:pPr>
            <w:r>
              <w:rPr>
                <w:rFonts w:hint="eastAsia" w:ascii="宋体" w:cs="宋体"/>
                <w:color w:val="auto"/>
                <w:szCs w:val="21"/>
              </w:rPr>
              <w:t>...</w:t>
            </w:r>
          </w:p>
        </w:tc>
        <w:tc>
          <w:tcPr>
            <w:tcW w:w="5472" w:type="dxa"/>
            <w:vAlign w:val="center"/>
          </w:tcPr>
          <w:p>
            <w:pPr>
              <w:ind w:firstLine="592"/>
              <w:jc w:val="center"/>
              <w:rPr>
                <w:rStyle w:val="55"/>
                <w:color w:val="auto"/>
              </w:rPr>
            </w:pPr>
            <w:r>
              <w:rPr>
                <w:rFonts w:hint="eastAsia" w:ascii="宋体" w:cs="宋体"/>
                <w:color w:val="auto"/>
                <w:szCs w:val="21"/>
              </w:rPr>
              <w:t>...</w:t>
            </w:r>
          </w:p>
        </w:tc>
      </w:tr>
    </w:tbl>
    <w:p>
      <w:pPr>
        <w:spacing w:line="360" w:lineRule="exact"/>
        <w:rPr>
          <w:rFonts w:ascii="宋体"/>
          <w:color w:val="auto"/>
          <w:szCs w:val="21"/>
        </w:rPr>
      </w:pPr>
      <w:r>
        <w:rPr>
          <w:rFonts w:hint="eastAsia"/>
          <w:b/>
          <w:color w:val="auto"/>
          <w:szCs w:val="21"/>
        </w:rPr>
        <w:t>注：</w:t>
      </w:r>
      <w:r>
        <w:rPr>
          <w:rFonts w:ascii="宋体" w:hAnsi="宋体"/>
          <w:color w:val="auto"/>
          <w:szCs w:val="21"/>
        </w:rPr>
        <w:t>1</w:t>
      </w:r>
      <w:r>
        <w:rPr>
          <w:rFonts w:hint="eastAsia" w:ascii="宋体" w:hAnsi="宋体"/>
          <w:color w:val="auto"/>
          <w:szCs w:val="21"/>
        </w:rPr>
        <w:t>、必须按照所投产品实际参数详细填写</w:t>
      </w:r>
      <w:r>
        <w:rPr>
          <w:rFonts w:ascii="宋体"/>
          <w:color w:val="auto"/>
          <w:szCs w:val="21"/>
        </w:rPr>
        <w:t>,</w:t>
      </w:r>
      <w:r>
        <w:rPr>
          <w:rFonts w:hint="eastAsia" w:ascii="宋体" w:hAnsi="宋体"/>
          <w:color w:val="auto"/>
          <w:szCs w:val="21"/>
        </w:rPr>
        <w:t>照抄磋商文件或不如实填写</w:t>
      </w:r>
      <w:r>
        <w:rPr>
          <w:rFonts w:ascii="宋体"/>
          <w:color w:val="auto"/>
          <w:szCs w:val="21"/>
        </w:rPr>
        <w:t>,</w:t>
      </w:r>
      <w:r>
        <w:rPr>
          <w:rFonts w:hint="eastAsia" w:ascii="宋体" w:hAnsi="宋体"/>
          <w:color w:val="auto"/>
          <w:szCs w:val="21"/>
        </w:rPr>
        <w:t>磋商小组有可能做出不利于投标供应商的评定。</w:t>
      </w:r>
    </w:p>
    <w:p>
      <w:pPr>
        <w:spacing w:line="360" w:lineRule="exact"/>
        <w:rPr>
          <w:rFonts w:ascii="宋体"/>
          <w:color w:val="auto"/>
          <w:szCs w:val="21"/>
        </w:rPr>
      </w:pPr>
      <w:r>
        <w:rPr>
          <w:rFonts w:ascii="宋体" w:hAnsi="宋体"/>
          <w:color w:val="auto"/>
          <w:szCs w:val="21"/>
        </w:rPr>
        <w:t>2</w:t>
      </w:r>
      <w:r>
        <w:rPr>
          <w:rFonts w:hint="eastAsia" w:ascii="宋体" w:hAnsi="宋体"/>
          <w:color w:val="auto"/>
          <w:szCs w:val="21"/>
        </w:rPr>
        <w:t>、所投产品的技术指标应提供相应文字说明、图片、相关证明文件。</w:t>
      </w:r>
    </w:p>
    <w:p>
      <w:pPr>
        <w:spacing w:line="360" w:lineRule="exact"/>
        <w:rPr>
          <w:rFonts w:ascii="宋体"/>
          <w:color w:val="auto"/>
          <w:szCs w:val="21"/>
        </w:rPr>
      </w:pPr>
      <w:r>
        <w:rPr>
          <w:rFonts w:ascii="宋体" w:hAnsi="宋体"/>
          <w:color w:val="auto"/>
          <w:szCs w:val="21"/>
        </w:rPr>
        <w:t>3</w:t>
      </w:r>
      <w:r>
        <w:rPr>
          <w:rFonts w:hint="eastAsia" w:ascii="宋体" w:hAnsi="宋体"/>
          <w:color w:val="auto"/>
          <w:szCs w:val="21"/>
        </w:rPr>
        <w:t>、所投产品提供检测报告复印件加盖公章。</w:t>
      </w:r>
    </w:p>
    <w:p>
      <w:pPr>
        <w:spacing w:line="360" w:lineRule="exact"/>
        <w:rPr>
          <w:rFonts w:ascii="宋体"/>
          <w:color w:val="auto"/>
          <w:szCs w:val="21"/>
        </w:rPr>
      </w:pPr>
      <w:r>
        <w:rPr>
          <w:rFonts w:ascii="宋体" w:hAnsi="宋体"/>
          <w:color w:val="auto"/>
          <w:szCs w:val="21"/>
        </w:rPr>
        <w:t>4</w:t>
      </w:r>
      <w:r>
        <w:rPr>
          <w:rFonts w:hint="eastAsia" w:ascii="宋体" w:hAnsi="宋体"/>
          <w:color w:val="auto"/>
          <w:szCs w:val="21"/>
        </w:rPr>
        <w:t>、</w:t>
      </w:r>
      <w:r>
        <w:rPr>
          <w:rFonts w:hint="eastAsia" w:ascii="_x000B__x000C_" w:hAnsi="_x000B__x000C_"/>
          <w:color w:val="auto"/>
          <w:szCs w:val="21"/>
        </w:rPr>
        <w:t>▲</w:t>
      </w:r>
      <w:r>
        <w:rPr>
          <w:rFonts w:hint="eastAsia" w:ascii="宋体" w:hAnsi="宋体"/>
          <w:color w:val="auto"/>
          <w:szCs w:val="21"/>
        </w:rPr>
        <w:t>本表必须提供，不提供此表格将被视为没有实质性响应磋商文件。</w:t>
      </w:r>
    </w:p>
    <w:p>
      <w:pPr>
        <w:spacing w:after="156" w:afterLines="50" w:line="400" w:lineRule="exact"/>
        <w:ind w:firstLine="3780" w:firstLineChars="1800"/>
        <w:rPr>
          <w:rFonts w:ascii="宋体"/>
          <w:color w:val="auto"/>
          <w:szCs w:val="21"/>
        </w:rPr>
      </w:pPr>
    </w:p>
    <w:p>
      <w:pPr>
        <w:tabs>
          <w:tab w:val="left" w:pos="1200"/>
        </w:tabs>
        <w:spacing w:line="360" w:lineRule="exact"/>
        <w:ind w:left="1200"/>
        <w:rPr>
          <w:rFonts w:ascii="宋体" w:hAnsi="宋体"/>
          <w:color w:val="auto"/>
          <w:szCs w:val="21"/>
        </w:rPr>
      </w:pPr>
    </w:p>
    <w:p>
      <w:pPr>
        <w:pStyle w:val="10"/>
        <w:overflowPunct w:val="0"/>
        <w:spacing w:line="360" w:lineRule="auto"/>
        <w:ind w:right="-21" w:rightChars="-10" w:firstLine="4830" w:firstLineChars="2300"/>
        <w:rPr>
          <w:rFonts w:ascii="宋体" w:hAnsi="宋体"/>
          <w:color w:val="auto"/>
        </w:rPr>
      </w:pPr>
      <w:bookmarkStart w:id="150" w:name="_Toc31989"/>
      <w:bookmarkStart w:id="151" w:name="_Toc12989"/>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4"/>
        <w:pageBreakBefore/>
        <w:spacing w:line="415" w:lineRule="auto"/>
        <w:jc w:val="center"/>
        <w:rPr>
          <w:color w:val="auto"/>
          <w:sz w:val="28"/>
          <w:szCs w:val="28"/>
        </w:rPr>
      </w:pPr>
      <w:r>
        <w:rPr>
          <w:rFonts w:hint="eastAsia" w:hAnsi="宋体"/>
          <w:color w:val="auto"/>
          <w:sz w:val="28"/>
          <w:szCs w:val="36"/>
        </w:rPr>
        <w:t xml:space="preserve">附件九 </w:t>
      </w:r>
      <w:bookmarkEnd w:id="149"/>
      <w:bookmarkEnd w:id="150"/>
      <w:r>
        <w:rPr>
          <w:rFonts w:hint="eastAsia" w:hAnsi="宋体"/>
          <w:color w:val="auto"/>
          <w:sz w:val="28"/>
          <w:szCs w:val="36"/>
        </w:rPr>
        <w:t xml:space="preserve">  </w:t>
      </w:r>
      <w:r>
        <w:rPr>
          <w:rFonts w:hint="eastAsia" w:hAnsi="宋体"/>
          <w:color w:val="auto"/>
          <w:sz w:val="28"/>
          <w:szCs w:val="28"/>
        </w:rPr>
        <w:t>随机备品、备件、专用工具清单（如有）</w:t>
      </w:r>
      <w:bookmarkEnd w:id="151"/>
    </w:p>
    <w:p>
      <w:pPr>
        <w:spacing w:before="156" w:beforeLines="50"/>
        <w:ind w:right="-11"/>
        <w:rPr>
          <w:rFonts w:ascii="Arial" w:hAnsi="Arial" w:cs="Arial"/>
          <w:b/>
          <w:bCs/>
          <w:color w:val="auto"/>
          <w:szCs w:val="21"/>
        </w:rPr>
      </w:pPr>
      <w:r>
        <w:rPr>
          <w:rFonts w:ascii="Arial" w:hAnsi="宋体" w:cs="Arial"/>
          <w:color w:val="auto"/>
          <w:szCs w:val="21"/>
        </w:rPr>
        <w:t>项目编号：</w:t>
      </w:r>
      <w:r>
        <w:rPr>
          <w:rFonts w:ascii="Arial" w:hAnsi="Arial" w:cs="Arial"/>
          <w:b/>
          <w:bCs/>
          <w:color w:val="auto"/>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46"/>
        <w:gridCol w:w="2116"/>
        <w:gridCol w:w="1307"/>
        <w:gridCol w:w="186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57" w:type="dxa"/>
            <w:shd w:val="clear" w:color="auto" w:fill="FFFFFF"/>
            <w:vAlign w:val="center"/>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序号</w:t>
            </w:r>
          </w:p>
        </w:tc>
        <w:tc>
          <w:tcPr>
            <w:tcW w:w="1746" w:type="dxa"/>
            <w:shd w:val="clear" w:color="auto" w:fill="FFFFFF"/>
            <w:vAlign w:val="center"/>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名  称</w:t>
            </w:r>
          </w:p>
        </w:tc>
        <w:tc>
          <w:tcPr>
            <w:tcW w:w="2116" w:type="dxa"/>
            <w:shd w:val="clear" w:color="auto" w:fill="FFFFFF"/>
            <w:vAlign w:val="center"/>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规格型号</w:t>
            </w:r>
          </w:p>
        </w:tc>
        <w:tc>
          <w:tcPr>
            <w:tcW w:w="1307" w:type="dxa"/>
            <w:shd w:val="clear" w:color="auto" w:fill="FFFFFF"/>
            <w:vAlign w:val="center"/>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数量</w:t>
            </w:r>
          </w:p>
        </w:tc>
        <w:tc>
          <w:tcPr>
            <w:tcW w:w="1869" w:type="dxa"/>
            <w:shd w:val="clear" w:color="auto" w:fill="FFFFFF"/>
            <w:vAlign w:val="center"/>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原产地/制造商</w:t>
            </w:r>
          </w:p>
        </w:tc>
        <w:tc>
          <w:tcPr>
            <w:tcW w:w="1103" w:type="dxa"/>
            <w:shd w:val="clear" w:color="auto" w:fill="FFFFFF"/>
          </w:tcPr>
          <w:p>
            <w:pPr>
              <w:spacing w:line="400" w:lineRule="exact"/>
              <w:jc w:val="center"/>
              <w:rPr>
                <w:rFonts w:ascii="新宋体" w:hAnsi="新宋体" w:eastAsia="新宋体"/>
                <w:b/>
                <w:bCs/>
                <w:color w:val="auto"/>
                <w:szCs w:val="21"/>
              </w:rPr>
            </w:pPr>
            <w:r>
              <w:rPr>
                <w:rFonts w:hint="eastAsia" w:ascii="新宋体" w:hAnsi="新宋体" w:eastAsia="新宋体"/>
                <w:b/>
                <w:bCs/>
                <w:color w:val="auto"/>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 w:type="dxa"/>
            <w:vAlign w:val="center"/>
          </w:tcPr>
          <w:p>
            <w:pPr>
              <w:spacing w:line="400" w:lineRule="exact"/>
              <w:jc w:val="center"/>
              <w:rPr>
                <w:rFonts w:ascii="新宋体" w:hAnsi="新宋体" w:eastAsia="新宋体"/>
                <w:color w:val="auto"/>
                <w:szCs w:val="21"/>
              </w:rPr>
            </w:pPr>
          </w:p>
        </w:tc>
        <w:tc>
          <w:tcPr>
            <w:tcW w:w="1746" w:type="dxa"/>
          </w:tcPr>
          <w:p>
            <w:pPr>
              <w:spacing w:line="400" w:lineRule="exact"/>
              <w:rPr>
                <w:rFonts w:ascii="新宋体" w:hAnsi="新宋体" w:eastAsia="新宋体"/>
                <w:color w:val="auto"/>
                <w:szCs w:val="21"/>
              </w:rPr>
            </w:pPr>
          </w:p>
        </w:tc>
        <w:tc>
          <w:tcPr>
            <w:tcW w:w="2116" w:type="dxa"/>
          </w:tcPr>
          <w:p>
            <w:pPr>
              <w:spacing w:line="400" w:lineRule="exact"/>
              <w:rPr>
                <w:rFonts w:ascii="新宋体" w:hAnsi="新宋体" w:eastAsia="新宋体"/>
                <w:color w:val="auto"/>
                <w:szCs w:val="21"/>
              </w:rPr>
            </w:pPr>
          </w:p>
        </w:tc>
        <w:tc>
          <w:tcPr>
            <w:tcW w:w="1307" w:type="dxa"/>
          </w:tcPr>
          <w:p>
            <w:pPr>
              <w:spacing w:line="400" w:lineRule="exact"/>
              <w:rPr>
                <w:rFonts w:ascii="新宋体" w:hAnsi="新宋体" w:eastAsia="新宋体"/>
                <w:color w:val="auto"/>
                <w:szCs w:val="21"/>
              </w:rPr>
            </w:pPr>
          </w:p>
        </w:tc>
        <w:tc>
          <w:tcPr>
            <w:tcW w:w="1869" w:type="dxa"/>
          </w:tcPr>
          <w:p>
            <w:pPr>
              <w:spacing w:line="400" w:lineRule="exact"/>
              <w:rPr>
                <w:rFonts w:ascii="新宋体" w:hAnsi="新宋体" w:eastAsia="新宋体"/>
                <w:color w:val="auto"/>
                <w:szCs w:val="21"/>
              </w:rPr>
            </w:pPr>
          </w:p>
        </w:tc>
        <w:tc>
          <w:tcPr>
            <w:tcW w:w="1103" w:type="dxa"/>
          </w:tcPr>
          <w:p>
            <w:pPr>
              <w:spacing w:line="400" w:lineRule="exact"/>
              <w:rPr>
                <w:rFonts w:ascii="新宋体" w:hAnsi="新宋体" w:eastAsia="新宋体"/>
                <w:color w:val="auto"/>
                <w:szCs w:val="21"/>
              </w:rPr>
            </w:pPr>
          </w:p>
        </w:tc>
      </w:tr>
    </w:tbl>
    <w:p>
      <w:pPr>
        <w:pStyle w:val="10"/>
        <w:spacing w:line="400" w:lineRule="exact"/>
        <w:ind w:firstLine="0"/>
        <w:rPr>
          <w:rFonts w:ascii="宋体" w:hAnsi="宋体"/>
          <w:color w:val="auto"/>
          <w:szCs w:val="21"/>
        </w:rPr>
      </w:pPr>
      <w:r>
        <w:rPr>
          <w:rFonts w:hint="eastAsia" w:ascii="宋体" w:hAnsi="宋体"/>
          <w:color w:val="auto"/>
          <w:szCs w:val="21"/>
        </w:rPr>
        <w:t>注：  1. 本表所列为随设备所带的附件及备品备件。</w:t>
      </w:r>
    </w:p>
    <w:p>
      <w:pPr>
        <w:pStyle w:val="10"/>
        <w:spacing w:line="400" w:lineRule="exact"/>
        <w:ind w:firstLine="569" w:firstLineChars="271"/>
        <w:rPr>
          <w:rFonts w:ascii="宋体" w:hAnsi="宋体"/>
          <w:color w:val="auto"/>
          <w:szCs w:val="21"/>
        </w:rPr>
      </w:pPr>
      <w:r>
        <w:rPr>
          <w:rFonts w:hint="eastAsia" w:ascii="宋体" w:hAnsi="宋体"/>
          <w:color w:val="auto"/>
          <w:szCs w:val="21"/>
        </w:rPr>
        <w:t>2. 本表中所列价格应计入投标报价。</w:t>
      </w:r>
    </w:p>
    <w:p>
      <w:pPr>
        <w:pStyle w:val="10"/>
        <w:spacing w:line="400" w:lineRule="exact"/>
        <w:ind w:firstLine="573" w:firstLineChars="273"/>
        <w:rPr>
          <w:rFonts w:ascii="宋体" w:hAnsi="宋体"/>
          <w:color w:val="auto"/>
          <w:szCs w:val="21"/>
        </w:rPr>
      </w:pPr>
      <w:r>
        <w:rPr>
          <w:rFonts w:hint="eastAsia" w:ascii="宋体" w:hAnsi="宋体"/>
          <w:color w:val="auto"/>
          <w:szCs w:val="21"/>
        </w:rPr>
        <w:t>3. 此表仅提供了表格形式，磋商供应商应根据需要准备足够数量的表格来填写。</w:t>
      </w:r>
    </w:p>
    <w:p>
      <w:pPr>
        <w:pStyle w:val="10"/>
        <w:spacing w:line="400" w:lineRule="exact"/>
        <w:ind w:firstLine="573" w:firstLineChars="273"/>
        <w:rPr>
          <w:rFonts w:ascii="Arial" w:hAnsi="Arial"/>
          <w:color w:val="auto"/>
          <w:szCs w:val="21"/>
        </w:rPr>
      </w:pPr>
      <w:r>
        <w:rPr>
          <w:rFonts w:hint="eastAsia" w:ascii="宋体" w:hAnsi="宋体"/>
          <w:color w:val="auto"/>
          <w:szCs w:val="21"/>
        </w:rPr>
        <w:t>4. 设备验收时，实到的随机备品备件的产地等应与此一览表一一对应。</w:t>
      </w:r>
    </w:p>
    <w:p>
      <w:pPr>
        <w:tabs>
          <w:tab w:val="left" w:pos="4635"/>
        </w:tabs>
        <w:spacing w:line="360" w:lineRule="auto"/>
        <w:ind w:left="3826" w:leftChars="1822" w:right="840"/>
        <w:rPr>
          <w:rFonts w:ascii="宋体" w:hAnsi="宋体" w:cs="Arial Unicode MS"/>
          <w:color w:val="auto"/>
        </w:rPr>
      </w:pPr>
    </w:p>
    <w:p>
      <w:pPr>
        <w:tabs>
          <w:tab w:val="left" w:pos="4635"/>
        </w:tabs>
        <w:spacing w:line="360" w:lineRule="auto"/>
        <w:ind w:left="3826" w:leftChars="1822" w:right="840"/>
        <w:rPr>
          <w:rFonts w:ascii="宋体" w:hAnsi="宋体" w:cs="Arial Unicode MS"/>
          <w:color w:val="auto"/>
        </w:rPr>
      </w:pPr>
    </w:p>
    <w:p>
      <w:pPr>
        <w:pStyle w:val="10"/>
        <w:overflowPunct w:val="0"/>
        <w:spacing w:line="360" w:lineRule="auto"/>
        <w:ind w:right="-21" w:rightChars="-10" w:firstLine="4830" w:firstLineChars="2300"/>
        <w:rPr>
          <w:rFonts w:ascii="宋体" w:hAnsi="宋体"/>
          <w:color w:val="auto"/>
        </w:rPr>
      </w:pPr>
      <w:bookmarkStart w:id="152" w:name="_Toc10558"/>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4"/>
        <w:pageBreakBefore/>
        <w:spacing w:line="415" w:lineRule="auto"/>
        <w:jc w:val="center"/>
        <w:rPr>
          <w:color w:val="auto"/>
          <w:sz w:val="28"/>
          <w:szCs w:val="28"/>
        </w:rPr>
      </w:pPr>
      <w:r>
        <w:rPr>
          <w:rFonts w:hint="eastAsia" w:hAnsi="宋体"/>
          <w:color w:val="auto"/>
          <w:sz w:val="28"/>
          <w:szCs w:val="36"/>
        </w:rPr>
        <w:t>附件十 报价一览表</w:t>
      </w:r>
      <w:bookmarkEnd w:id="152"/>
    </w:p>
    <w:p>
      <w:pPr>
        <w:pStyle w:val="10"/>
        <w:spacing w:line="400" w:lineRule="exact"/>
        <w:ind w:firstLine="0"/>
        <w:rPr>
          <w:color w:val="auto"/>
          <w:szCs w:val="21"/>
        </w:rPr>
      </w:pPr>
      <w:r>
        <w:rPr>
          <w:rFonts w:hint="eastAsia" w:ascii="宋体" w:hAnsi="宋体" w:cs="Arial Unicode MS"/>
          <w:color w:val="auto"/>
          <w:sz w:val="24"/>
          <w:szCs w:val="24"/>
        </w:rPr>
        <w:t xml:space="preserve">   </w:t>
      </w:r>
      <w:r>
        <w:rPr>
          <w:rFonts w:hint="eastAsia"/>
          <w:color w:val="auto"/>
          <w:szCs w:val="21"/>
        </w:rPr>
        <w:t>项目编号：</w:t>
      </w:r>
    </w:p>
    <w:tbl>
      <w:tblPr>
        <w:tblStyle w:val="4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2235"/>
        <w:gridCol w:w="1620"/>
        <w:gridCol w:w="148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389" w:type="dxa"/>
            <w:vAlign w:val="center"/>
          </w:tcPr>
          <w:p>
            <w:pPr>
              <w:jc w:val="center"/>
              <w:rPr>
                <w:rFonts w:ascii="Arial" w:hAnsi="Arial" w:eastAsia="新宋体" w:cs="Arial"/>
                <w:b/>
                <w:color w:val="auto"/>
                <w:szCs w:val="21"/>
              </w:rPr>
            </w:pPr>
            <w:r>
              <w:rPr>
                <w:rFonts w:hint="eastAsia" w:ascii="Arial" w:hAnsi="Arial" w:eastAsia="新宋体" w:cs="Arial"/>
                <w:b/>
                <w:color w:val="auto"/>
                <w:szCs w:val="21"/>
              </w:rPr>
              <w:t>项目名称</w:t>
            </w:r>
          </w:p>
        </w:tc>
        <w:tc>
          <w:tcPr>
            <w:tcW w:w="2235" w:type="dxa"/>
            <w:vAlign w:val="center"/>
          </w:tcPr>
          <w:p>
            <w:pPr>
              <w:jc w:val="center"/>
              <w:rPr>
                <w:rFonts w:ascii="Arial" w:hAnsi="Arial" w:eastAsia="新宋体" w:cs="Arial"/>
                <w:b/>
                <w:color w:val="auto"/>
                <w:szCs w:val="21"/>
              </w:rPr>
            </w:pPr>
            <w:r>
              <w:rPr>
                <w:rFonts w:hint="eastAsia" w:ascii="Arial" w:hAnsi="Arial" w:eastAsia="新宋体" w:cs="Arial"/>
                <w:b/>
                <w:color w:val="auto"/>
                <w:szCs w:val="21"/>
              </w:rPr>
              <w:t>投标报价</w:t>
            </w:r>
          </w:p>
          <w:p>
            <w:pPr>
              <w:jc w:val="center"/>
              <w:rPr>
                <w:rFonts w:ascii="Arial" w:hAnsi="Arial" w:eastAsia="新宋体" w:cs="Arial"/>
                <w:b/>
                <w:color w:val="auto"/>
                <w:szCs w:val="21"/>
              </w:rPr>
            </w:pPr>
            <w:r>
              <w:rPr>
                <w:rFonts w:hint="eastAsia" w:ascii="Arial" w:hAnsi="Arial" w:eastAsia="新宋体" w:cs="Arial"/>
                <w:b/>
                <w:color w:val="auto"/>
                <w:szCs w:val="21"/>
              </w:rPr>
              <w:t>(人民币元)</w:t>
            </w:r>
          </w:p>
        </w:tc>
        <w:tc>
          <w:tcPr>
            <w:tcW w:w="1620" w:type="dxa"/>
            <w:vAlign w:val="center"/>
          </w:tcPr>
          <w:p>
            <w:pPr>
              <w:jc w:val="center"/>
              <w:rPr>
                <w:rFonts w:ascii="Arial" w:hAnsi="Arial" w:eastAsia="新宋体" w:cs="Arial"/>
                <w:b/>
                <w:color w:val="auto"/>
                <w:szCs w:val="21"/>
              </w:rPr>
            </w:pPr>
            <w:r>
              <w:rPr>
                <w:rFonts w:hint="eastAsia" w:ascii="Arial" w:hAnsi="Arial" w:eastAsia="新宋体" w:cs="Arial"/>
                <w:b/>
                <w:color w:val="auto"/>
                <w:szCs w:val="21"/>
              </w:rPr>
              <w:t>项目负责人</w:t>
            </w:r>
          </w:p>
        </w:tc>
        <w:tc>
          <w:tcPr>
            <w:tcW w:w="1486" w:type="dxa"/>
            <w:vAlign w:val="center"/>
          </w:tcPr>
          <w:p>
            <w:pPr>
              <w:jc w:val="center"/>
              <w:rPr>
                <w:color w:val="auto"/>
                <w:szCs w:val="21"/>
              </w:rPr>
            </w:pPr>
            <w:r>
              <w:rPr>
                <w:rFonts w:hint="eastAsia" w:ascii="Arial" w:hAnsi="Arial" w:eastAsia="新宋体" w:cs="Arial"/>
                <w:b/>
                <w:color w:val="auto"/>
                <w:szCs w:val="21"/>
              </w:rPr>
              <w:t>服务期</w:t>
            </w:r>
          </w:p>
        </w:tc>
        <w:tc>
          <w:tcPr>
            <w:tcW w:w="1556" w:type="dxa"/>
            <w:vAlign w:val="center"/>
          </w:tcPr>
          <w:p>
            <w:pPr>
              <w:jc w:val="center"/>
              <w:rPr>
                <w:color w:val="auto"/>
                <w:szCs w:val="21"/>
              </w:rPr>
            </w:pPr>
            <w:r>
              <w:rPr>
                <w:rFonts w:hint="eastAsia" w:ascii="Arial" w:hAnsi="Arial" w:eastAsia="新宋体" w:cs="Arial"/>
                <w:b/>
                <w:color w:val="auto"/>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389" w:type="dxa"/>
            <w:vAlign w:val="center"/>
          </w:tcPr>
          <w:p>
            <w:pPr>
              <w:jc w:val="center"/>
              <w:rPr>
                <w:rFonts w:hint="eastAsia" w:eastAsia="宋体"/>
                <w:color w:val="auto"/>
                <w:szCs w:val="21"/>
                <w:lang w:eastAsia="zh-CN"/>
              </w:rPr>
            </w:pPr>
            <w:r>
              <w:rPr>
                <w:rFonts w:hint="eastAsia"/>
                <w:color w:val="auto"/>
                <w:szCs w:val="21"/>
                <w:lang w:eastAsia="zh-CN"/>
              </w:rPr>
              <w:t>曹村镇无废村镇试点（垃圾分类主题公园扩建二期）配套环保工程设备采购</w:t>
            </w:r>
          </w:p>
        </w:tc>
        <w:tc>
          <w:tcPr>
            <w:tcW w:w="2235" w:type="dxa"/>
            <w:vAlign w:val="center"/>
          </w:tcPr>
          <w:p>
            <w:pPr>
              <w:rPr>
                <w:rFonts w:hint="eastAsia"/>
                <w:color w:val="auto"/>
                <w:szCs w:val="21"/>
              </w:rPr>
            </w:pPr>
            <w:r>
              <w:rPr>
                <w:rFonts w:hint="eastAsia"/>
                <w:color w:val="auto"/>
                <w:szCs w:val="21"/>
              </w:rPr>
              <w:t>小写：</w:t>
            </w:r>
          </w:p>
          <w:p>
            <w:pPr>
              <w:rPr>
                <w:color w:val="auto"/>
              </w:rPr>
            </w:pPr>
            <w:r>
              <w:rPr>
                <w:rFonts w:hint="eastAsia"/>
                <w:color w:val="auto"/>
                <w:szCs w:val="21"/>
              </w:rPr>
              <w:t>大写：</w:t>
            </w:r>
          </w:p>
        </w:tc>
        <w:tc>
          <w:tcPr>
            <w:tcW w:w="1620" w:type="dxa"/>
            <w:vAlign w:val="center"/>
          </w:tcPr>
          <w:p>
            <w:pPr>
              <w:rPr>
                <w:color w:val="auto"/>
                <w:szCs w:val="21"/>
              </w:rPr>
            </w:pPr>
          </w:p>
        </w:tc>
        <w:tc>
          <w:tcPr>
            <w:tcW w:w="1486" w:type="dxa"/>
            <w:vAlign w:val="center"/>
          </w:tcPr>
          <w:p>
            <w:pPr>
              <w:jc w:val="center"/>
              <w:rPr>
                <w:color w:val="auto"/>
                <w:szCs w:val="21"/>
              </w:rPr>
            </w:pPr>
          </w:p>
        </w:tc>
        <w:tc>
          <w:tcPr>
            <w:tcW w:w="1556" w:type="dxa"/>
            <w:vAlign w:val="center"/>
          </w:tcPr>
          <w:p>
            <w:pPr>
              <w:rPr>
                <w:color w:val="auto"/>
                <w:szCs w:val="21"/>
              </w:rPr>
            </w:pPr>
          </w:p>
        </w:tc>
      </w:tr>
    </w:tbl>
    <w:p>
      <w:pPr>
        <w:spacing w:line="360" w:lineRule="exact"/>
        <w:rPr>
          <w:rFonts w:ascii="宋体" w:hAnsi="宋体"/>
          <w:color w:val="auto"/>
          <w:szCs w:val="21"/>
        </w:rPr>
      </w:pPr>
      <w:r>
        <w:rPr>
          <w:rFonts w:hint="eastAsia" w:ascii="宋体" w:hAnsi="宋体"/>
          <w:color w:val="auto"/>
          <w:szCs w:val="21"/>
        </w:rPr>
        <w:t>备注：</w:t>
      </w:r>
    </w:p>
    <w:p>
      <w:pPr>
        <w:spacing w:line="360" w:lineRule="exact"/>
        <w:rPr>
          <w:rFonts w:ascii="宋体" w:hAnsi="宋体"/>
          <w:color w:val="auto"/>
          <w:szCs w:val="21"/>
        </w:rPr>
      </w:pPr>
      <w:r>
        <w:rPr>
          <w:rFonts w:hint="eastAsia" w:ascii="宋体" w:hAnsi="宋体"/>
          <w:color w:val="auto"/>
          <w:szCs w:val="21"/>
        </w:rPr>
        <w:t>1、</w:t>
      </w:r>
      <w:r>
        <w:rPr>
          <w:rFonts w:hint="eastAsia" w:ascii="Arial" w:hAnsi="宋体" w:cs="Arial"/>
          <w:color w:val="auto"/>
          <w:szCs w:val="21"/>
        </w:rPr>
        <w:t>本项目采用固定总价报价。报价是磋商文件所确定的招标范围内的全部工作内容的价格体现，包括货物的采购、制造、检测、试验、至最终目的地的运费和保险费、现场仓储、税费以及安装、调试、测试、验收、技术服务（包括技术资料的提供）、垃圾清运、质保期内维护、质保期内售后服务、</w:t>
      </w:r>
      <w:r>
        <w:rPr>
          <w:rStyle w:val="103"/>
          <w:rFonts w:hint="eastAsia" w:ascii="Arial" w:hAnsi="宋体" w:cs="宋体"/>
          <w:color w:val="auto"/>
          <w:szCs w:val="21"/>
        </w:rPr>
        <w:t>施工安装过程中需</w:t>
      </w:r>
      <w:r>
        <w:rPr>
          <w:rFonts w:hint="eastAsia" w:ascii="宋体" w:hAnsi="宋体" w:cs="宋体"/>
          <w:bCs/>
          <w:color w:val="auto"/>
          <w:szCs w:val="21"/>
        </w:rPr>
        <w:t>开洞、修补、零星砌筑等零星工作增加的费用</w:t>
      </w:r>
      <w:r>
        <w:rPr>
          <w:rFonts w:hint="eastAsia" w:ascii="Arial" w:hAnsi="宋体" w:cs="Arial"/>
          <w:color w:val="auto"/>
          <w:szCs w:val="21"/>
        </w:rPr>
        <w:t>等完成合同所需的一切本身和不可或缺的所有工作开支、政策性文件规定等全部费用，如有遗漏，视同包括在其他项目中，合同总价和单价均不作调整。除发生下列因素可调整合同价外，不得以任何其他理由调整任何费用。</w:t>
      </w:r>
    </w:p>
    <w:p>
      <w:pPr>
        <w:spacing w:line="360" w:lineRule="exact"/>
        <w:rPr>
          <w:rFonts w:ascii="宋体" w:hAnsi="宋体"/>
          <w:color w:val="auto"/>
          <w:szCs w:val="21"/>
        </w:rPr>
      </w:pPr>
      <w:r>
        <w:rPr>
          <w:rFonts w:hint="eastAsia" w:ascii="宋体" w:hAnsi="宋体"/>
          <w:color w:val="auto"/>
          <w:szCs w:val="21"/>
        </w:rPr>
        <w:t>2、该表中投标报价应与“附件十一 报价明细表”中合计总价金额相一致。</w:t>
      </w:r>
    </w:p>
    <w:p>
      <w:pPr>
        <w:spacing w:line="360" w:lineRule="exact"/>
        <w:rPr>
          <w:rFonts w:ascii="宋体" w:hAnsi="宋体"/>
          <w:color w:val="auto"/>
          <w:szCs w:val="21"/>
        </w:rPr>
      </w:pPr>
      <w:r>
        <w:rPr>
          <w:rFonts w:hint="eastAsia" w:ascii="宋体" w:hAnsi="宋体" w:eastAsia="新宋体"/>
          <w:color w:val="auto"/>
          <w:szCs w:val="21"/>
        </w:rPr>
        <w:t>3、</w:t>
      </w:r>
      <w:r>
        <w:rPr>
          <w:rFonts w:hint="eastAsia" w:ascii="新宋体" w:hAnsi="新宋体" w:eastAsia="新宋体"/>
          <w:color w:val="auto"/>
          <w:szCs w:val="21"/>
        </w:rPr>
        <w:t>此</w:t>
      </w:r>
      <w:r>
        <w:rPr>
          <w:rFonts w:hint="eastAsia" w:hAnsi="宋体" w:cs="Arial Unicode MS"/>
          <w:color w:val="auto"/>
          <w:szCs w:val="21"/>
        </w:rPr>
        <w:t>表不得自行增减内容，不提供此表的报价，视为没有实质性响应磋商文件要求</w:t>
      </w:r>
    </w:p>
    <w:p>
      <w:pPr>
        <w:pStyle w:val="10"/>
        <w:spacing w:line="400" w:lineRule="exact"/>
        <w:ind w:firstLine="573" w:firstLineChars="273"/>
        <w:rPr>
          <w:rFonts w:ascii="Arial" w:hAnsi="Arial"/>
          <w:color w:val="auto"/>
          <w:szCs w:val="21"/>
        </w:rPr>
      </w:pPr>
    </w:p>
    <w:p>
      <w:pPr>
        <w:pStyle w:val="10"/>
        <w:overflowPunct w:val="0"/>
        <w:spacing w:line="360" w:lineRule="auto"/>
        <w:ind w:right="-21" w:rightChars="-10" w:firstLine="4830" w:firstLineChars="2300"/>
        <w:rPr>
          <w:rFonts w:hint="eastAsia" w:ascii="宋体" w:hAnsi="宋体"/>
          <w:color w:val="auto"/>
        </w:rPr>
      </w:pPr>
      <w:bookmarkStart w:id="153" w:name="_Toc486931330"/>
      <w:bookmarkStart w:id="154" w:name="_Toc30317"/>
      <w:bookmarkStart w:id="155" w:name="_Toc532889186"/>
      <w:bookmarkStart w:id="156" w:name="_Toc13936"/>
      <w:bookmarkStart w:id="157" w:name="_Toc433019960"/>
      <w:bookmarkStart w:id="158" w:name="_Toc12233"/>
    </w:p>
    <w:p>
      <w:pPr>
        <w:pStyle w:val="10"/>
        <w:overflowPunct w:val="0"/>
        <w:spacing w:line="360" w:lineRule="auto"/>
        <w:ind w:right="-21" w:rightChars="-10" w:firstLine="4830" w:firstLineChars="2300"/>
        <w:rPr>
          <w:rFonts w:hint="eastAsia" w:ascii="宋体" w:hAnsi="宋体"/>
          <w:color w:val="auto"/>
        </w:rPr>
      </w:pP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4"/>
        <w:widowControl/>
        <w:numPr>
          <w:ilvl w:val="1"/>
          <w:numId w:val="0"/>
        </w:numPr>
        <w:tabs>
          <w:tab w:val="left" w:pos="575"/>
          <w:tab w:val="left" w:pos="576"/>
          <w:tab w:val="left" w:pos="900"/>
          <w:tab w:val="left" w:pos="4406"/>
        </w:tabs>
        <w:adjustRightInd/>
        <w:snapToGrid/>
        <w:spacing w:after="156" w:afterLines="50" w:line="400" w:lineRule="exact"/>
        <w:jc w:val="center"/>
        <w:rPr>
          <w:rFonts w:hint="eastAsia" w:hAnsi="宋体" w:cs="宋体"/>
          <w:color w:val="auto"/>
          <w:sz w:val="28"/>
          <w:szCs w:val="36"/>
        </w:rPr>
      </w:pPr>
    </w:p>
    <w:p>
      <w:pPr>
        <w:rPr>
          <w:rFonts w:hint="eastAsia"/>
          <w:color w:val="auto"/>
        </w:rPr>
      </w:pPr>
    </w:p>
    <w:p>
      <w:pPr>
        <w:pStyle w:val="8"/>
        <w:rPr>
          <w:rFonts w:hint="eastAsia"/>
          <w:color w:val="auto"/>
        </w:rPr>
      </w:pPr>
    </w:p>
    <w:p>
      <w:pPr>
        <w:rPr>
          <w:rFonts w:hint="eastAsia"/>
          <w:color w:val="auto"/>
        </w:rPr>
      </w:pPr>
    </w:p>
    <w:p>
      <w:pPr>
        <w:pStyle w:val="8"/>
        <w:rPr>
          <w:rFonts w:hint="eastAsia"/>
          <w:color w:val="auto"/>
        </w:rPr>
      </w:pPr>
    </w:p>
    <w:p>
      <w:pPr>
        <w:pStyle w:val="4"/>
        <w:widowControl/>
        <w:numPr>
          <w:ilvl w:val="1"/>
          <w:numId w:val="0"/>
        </w:numPr>
        <w:tabs>
          <w:tab w:val="left" w:pos="575"/>
          <w:tab w:val="left" w:pos="576"/>
          <w:tab w:val="left" w:pos="900"/>
          <w:tab w:val="left" w:pos="4406"/>
        </w:tabs>
        <w:adjustRightInd/>
        <w:snapToGrid/>
        <w:spacing w:after="156" w:afterLines="50" w:line="400" w:lineRule="exact"/>
        <w:jc w:val="center"/>
        <w:rPr>
          <w:rFonts w:hint="eastAsia" w:hAnsi="宋体" w:cs="宋体"/>
          <w:color w:val="auto"/>
          <w:sz w:val="28"/>
          <w:szCs w:val="36"/>
        </w:rPr>
      </w:pPr>
    </w:p>
    <w:p>
      <w:pPr>
        <w:rPr>
          <w:rFonts w:hint="eastAsia" w:hAnsi="宋体" w:cs="宋体"/>
          <w:color w:val="auto"/>
          <w:sz w:val="28"/>
          <w:szCs w:val="36"/>
        </w:rPr>
      </w:pPr>
    </w:p>
    <w:p>
      <w:pPr>
        <w:pStyle w:val="8"/>
        <w:rPr>
          <w:rFonts w:hint="eastAsia"/>
          <w:color w:val="auto"/>
        </w:rPr>
      </w:pPr>
    </w:p>
    <w:p>
      <w:pPr>
        <w:pStyle w:val="4"/>
        <w:widowControl/>
        <w:numPr>
          <w:ilvl w:val="1"/>
          <w:numId w:val="0"/>
        </w:numPr>
        <w:tabs>
          <w:tab w:val="left" w:pos="575"/>
          <w:tab w:val="left" w:pos="576"/>
          <w:tab w:val="left" w:pos="900"/>
          <w:tab w:val="left" w:pos="4406"/>
        </w:tabs>
        <w:adjustRightInd/>
        <w:snapToGrid/>
        <w:spacing w:after="156" w:afterLines="50" w:line="400" w:lineRule="exact"/>
        <w:jc w:val="center"/>
        <w:rPr>
          <w:rFonts w:hAnsi="宋体"/>
          <w:color w:val="auto"/>
          <w:sz w:val="28"/>
          <w:szCs w:val="36"/>
        </w:rPr>
      </w:pPr>
      <w:r>
        <w:rPr>
          <w:rFonts w:hint="eastAsia" w:hAnsi="宋体" w:cs="宋体"/>
          <w:color w:val="auto"/>
          <w:sz w:val="28"/>
          <w:szCs w:val="36"/>
        </w:rPr>
        <w:t>附件</w:t>
      </w:r>
      <w:bookmarkEnd w:id="153"/>
      <w:r>
        <w:rPr>
          <w:rFonts w:hint="eastAsia" w:hAnsi="宋体" w:cs="宋体"/>
          <w:color w:val="auto"/>
          <w:sz w:val="28"/>
          <w:szCs w:val="36"/>
        </w:rPr>
        <w:t xml:space="preserve">十一    </w:t>
      </w:r>
      <w:bookmarkEnd w:id="154"/>
      <w:bookmarkEnd w:id="155"/>
      <w:bookmarkStart w:id="159" w:name="_Toc486931331"/>
      <w:r>
        <w:rPr>
          <w:rFonts w:hint="eastAsia" w:hAnsi="宋体" w:cs="宋体"/>
          <w:color w:val="auto"/>
          <w:sz w:val="28"/>
          <w:szCs w:val="36"/>
        </w:rPr>
        <w:t>报</w:t>
      </w:r>
      <w:r>
        <w:rPr>
          <w:rFonts w:hint="eastAsia" w:hAnsi="宋体"/>
          <w:color w:val="auto"/>
          <w:sz w:val="28"/>
          <w:szCs w:val="36"/>
        </w:rPr>
        <w:t>价明细表</w:t>
      </w:r>
      <w:bookmarkEnd w:id="156"/>
    </w:p>
    <w:bookmarkEnd w:id="157"/>
    <w:bookmarkEnd w:id="158"/>
    <w:bookmarkEnd w:id="159"/>
    <w:p>
      <w:pPr>
        <w:rPr>
          <w:rFonts w:ascii="Arial" w:hAnsi="Arial" w:cs="Arial"/>
          <w:color w:val="auto"/>
          <w:szCs w:val="21"/>
        </w:rPr>
      </w:pPr>
      <w:r>
        <w:rPr>
          <w:rFonts w:ascii="Arial" w:hAnsi="Arial" w:eastAsia="新宋体" w:cs="Arial"/>
          <w:b/>
          <w:color w:val="auto"/>
          <w:szCs w:val="21"/>
        </w:rPr>
        <w:t>项目名称：</w:t>
      </w:r>
      <w:r>
        <w:rPr>
          <w:rFonts w:ascii="Arial" w:hAnsi="Arial" w:cs="Arial"/>
          <w:color w:val="auto"/>
          <w:szCs w:val="21"/>
        </w:rPr>
        <w:t xml:space="preserve">                                           </w:t>
      </w:r>
      <w:r>
        <w:rPr>
          <w:rFonts w:ascii="Arial" w:hAnsi="Arial" w:cs="Arial"/>
          <w:b/>
          <w:color w:val="auto"/>
          <w:szCs w:val="21"/>
        </w:rPr>
        <w:t xml:space="preserve">项目编号: </w:t>
      </w:r>
      <w:r>
        <w:rPr>
          <w:rFonts w:ascii="Arial" w:hAnsi="Arial" w:cs="Arial"/>
          <w:color w:val="auto"/>
          <w:szCs w:val="21"/>
        </w:rPr>
        <w:t xml:space="preserve">    </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32"/>
        <w:gridCol w:w="1084"/>
        <w:gridCol w:w="1560"/>
        <w:gridCol w:w="1497"/>
        <w:gridCol w:w="1320"/>
        <w:gridCol w:w="1385"/>
        <w:gridCol w:w="88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ascii="Arial" w:hAnsi="Arial" w:cs="Arial"/>
                <w:color w:val="auto"/>
                <w:szCs w:val="21"/>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ascii="Arial" w:hAnsi="Arial" w:cs="Arial"/>
                <w:color w:val="auto"/>
                <w:szCs w:val="21"/>
              </w:rPr>
              <w:t>设备名称</w:t>
            </w:r>
          </w:p>
        </w:tc>
        <w:tc>
          <w:tcPr>
            <w:tcW w:w="1084" w:type="dxa"/>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ascii="Arial" w:hAnsi="Arial" w:cs="Arial"/>
                <w:color w:val="auto"/>
                <w:szCs w:val="21"/>
              </w:rPr>
              <w:t>规格型号</w:t>
            </w:r>
          </w:p>
        </w:tc>
        <w:tc>
          <w:tcPr>
            <w:tcW w:w="1560" w:type="dxa"/>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ascii="Arial" w:hAnsi="Arial" w:cs="Arial"/>
                <w:color w:val="auto"/>
                <w:szCs w:val="21"/>
              </w:rPr>
              <w:t>品牌/产地</w:t>
            </w:r>
          </w:p>
        </w:tc>
        <w:tc>
          <w:tcPr>
            <w:tcW w:w="1497" w:type="dxa"/>
            <w:tcBorders>
              <w:top w:val="single" w:color="auto" w:sz="4" w:space="0"/>
              <w:left w:val="single" w:color="auto" w:sz="4" w:space="0"/>
              <w:bottom w:val="single" w:color="auto" w:sz="4" w:space="0"/>
              <w:right w:val="single" w:color="auto" w:sz="4" w:space="0"/>
            </w:tcBorders>
            <w:vAlign w:val="center"/>
          </w:tcPr>
          <w:p>
            <w:pPr>
              <w:ind w:right="-11"/>
              <w:jc w:val="center"/>
              <w:rPr>
                <w:rFonts w:ascii="Arial" w:hAnsi="Arial" w:cs="Arial"/>
                <w:color w:val="auto"/>
                <w:szCs w:val="21"/>
              </w:rPr>
            </w:pPr>
            <w:r>
              <w:rPr>
                <w:rFonts w:hint="eastAsia" w:ascii="Arial" w:hAnsi="Arial" w:cs="Arial"/>
                <w:color w:val="auto"/>
                <w:szCs w:val="21"/>
              </w:rPr>
              <w:t>出厂单价</w:t>
            </w:r>
          </w:p>
          <w:p>
            <w:pPr>
              <w:ind w:right="-11"/>
              <w:jc w:val="center"/>
              <w:rPr>
                <w:color w:val="auto"/>
                <w:szCs w:val="21"/>
              </w:rPr>
            </w:pPr>
            <w:r>
              <w:rPr>
                <w:rFonts w:hint="eastAsia" w:ascii="Arial" w:hAnsi="Arial" w:cs="Arial"/>
                <w:color w:val="auto"/>
                <w:szCs w:val="21"/>
              </w:rPr>
              <w:t>（含税）</w:t>
            </w:r>
          </w:p>
        </w:tc>
        <w:tc>
          <w:tcPr>
            <w:tcW w:w="1320" w:type="dxa"/>
            <w:tcBorders>
              <w:top w:val="single" w:color="auto" w:sz="4" w:space="0"/>
              <w:left w:val="single" w:color="auto" w:sz="4" w:space="0"/>
              <w:bottom w:val="single" w:color="auto" w:sz="4" w:space="0"/>
              <w:right w:val="single" w:color="auto" w:sz="4" w:space="0"/>
            </w:tcBorders>
            <w:vAlign w:val="center"/>
          </w:tcPr>
          <w:p>
            <w:pPr>
              <w:ind w:right="-11"/>
              <w:jc w:val="center"/>
              <w:rPr>
                <w:rFonts w:ascii="Arial" w:hAnsi="Arial" w:cs="Arial"/>
                <w:color w:val="auto"/>
                <w:szCs w:val="21"/>
              </w:rPr>
            </w:pPr>
            <w:r>
              <w:rPr>
                <w:rFonts w:hint="eastAsia" w:ascii="Arial" w:hAnsi="Arial" w:cs="Arial"/>
                <w:color w:val="auto"/>
                <w:szCs w:val="21"/>
              </w:rPr>
              <w:t>数量</w:t>
            </w:r>
          </w:p>
        </w:tc>
        <w:tc>
          <w:tcPr>
            <w:tcW w:w="1385" w:type="dxa"/>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ascii="Arial" w:hAnsi="Arial" w:cs="Arial"/>
                <w:color w:val="auto"/>
                <w:szCs w:val="21"/>
              </w:rPr>
              <w:t>合计</w:t>
            </w:r>
          </w:p>
        </w:tc>
        <w:tc>
          <w:tcPr>
            <w:tcW w:w="891" w:type="dxa"/>
            <w:gridSpan w:val="2"/>
            <w:tcBorders>
              <w:top w:val="single" w:color="auto" w:sz="4" w:space="0"/>
              <w:left w:val="single" w:color="auto" w:sz="4" w:space="0"/>
              <w:bottom w:val="single" w:color="auto" w:sz="4" w:space="0"/>
              <w:right w:val="single" w:color="auto" w:sz="4" w:space="0"/>
            </w:tcBorders>
            <w:vAlign w:val="center"/>
          </w:tcPr>
          <w:p>
            <w:pPr>
              <w:ind w:right="-11"/>
              <w:jc w:val="center"/>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c>
          <w:tcPr>
            <w:tcW w:w="891"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ind w:right="-11"/>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both"/>
              <w:rPr>
                <w:color w:val="auto"/>
                <w:szCs w:val="21"/>
              </w:rPr>
            </w:pPr>
            <w:r>
              <w:rPr>
                <w:rFonts w:hint="eastAsia" w:ascii="Arial" w:hAnsi="Arial" w:cs="Arial"/>
                <w:color w:val="auto"/>
                <w:szCs w:val="21"/>
              </w:rPr>
              <w:t>运杂及保险费（含装卸）</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both"/>
              <w:rPr>
                <w:color w:val="auto"/>
                <w:szCs w:val="21"/>
              </w:rPr>
            </w:pPr>
            <w:r>
              <w:rPr>
                <w:rFonts w:hint="eastAsia" w:ascii="Arial" w:hAnsi="Arial" w:cs="Arial"/>
                <w:color w:val="auto"/>
                <w:szCs w:val="21"/>
              </w:rPr>
              <w:t>随机附件、备品备件、专用工具费</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ind w:right="-11"/>
              <w:jc w:val="both"/>
              <w:rPr>
                <w:rFonts w:ascii="Arial" w:hAnsi="Arial" w:cs="Arial"/>
                <w:color w:val="auto"/>
                <w:szCs w:val="21"/>
              </w:rPr>
            </w:pPr>
            <w:r>
              <w:rPr>
                <w:rFonts w:hint="eastAsia" w:ascii="Arial" w:hAnsi="Arial" w:cs="Arial"/>
                <w:color w:val="auto"/>
                <w:szCs w:val="21"/>
              </w:rPr>
              <w:t>指导安装、调试费</w:t>
            </w:r>
          </w:p>
          <w:p>
            <w:pPr>
              <w:spacing w:before="156" w:beforeLines="50" w:after="156" w:afterLines="50"/>
              <w:ind w:right="-10"/>
              <w:jc w:val="both"/>
              <w:rPr>
                <w:color w:val="auto"/>
                <w:szCs w:val="21"/>
              </w:rPr>
            </w:pPr>
            <w:r>
              <w:rPr>
                <w:rFonts w:hint="eastAsia" w:ascii="Arial" w:hAnsi="Arial" w:cs="Arial"/>
                <w:color w:val="auto"/>
                <w:szCs w:val="21"/>
              </w:rPr>
              <w:t>（包括：设备的测试、调试、验收等费用）</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both"/>
              <w:rPr>
                <w:color w:val="auto"/>
                <w:szCs w:val="21"/>
              </w:rPr>
            </w:pPr>
            <w:r>
              <w:rPr>
                <w:rFonts w:hint="eastAsia" w:ascii="Arial" w:hAnsi="Arial" w:cs="Arial"/>
                <w:color w:val="auto"/>
                <w:szCs w:val="21"/>
              </w:rPr>
              <w:t>技术服务、售后服务费</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both"/>
              <w:rPr>
                <w:color w:val="auto"/>
                <w:szCs w:val="21"/>
              </w:rPr>
            </w:pPr>
            <w:r>
              <w:rPr>
                <w:rFonts w:hint="eastAsia" w:ascii="Arial" w:hAnsi="Arial" w:cs="Arial"/>
                <w:color w:val="auto"/>
                <w:szCs w:val="21"/>
              </w:rPr>
              <w:t>其他相关费用</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5" w:hRule="atLeast"/>
          <w:jc w:val="center"/>
        </w:trPr>
        <w:tc>
          <w:tcPr>
            <w:tcW w:w="4786"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both"/>
              <w:rPr>
                <w:color w:val="auto"/>
                <w:szCs w:val="21"/>
              </w:rPr>
            </w:pPr>
            <w:r>
              <w:rPr>
                <w:rFonts w:hint="eastAsia" w:ascii="Arial" w:hAnsi="Arial" w:cs="Arial"/>
                <w:color w:val="auto"/>
                <w:szCs w:val="21"/>
              </w:rPr>
              <w:t>合计总价</w:t>
            </w:r>
          </w:p>
        </w:tc>
        <w:tc>
          <w:tcPr>
            <w:tcW w:w="5082"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right="-10"/>
              <w:jc w:val="center"/>
              <w:rPr>
                <w:color w:val="auto"/>
                <w:szCs w:val="21"/>
              </w:rPr>
            </w:pPr>
          </w:p>
        </w:tc>
      </w:tr>
    </w:tbl>
    <w:p>
      <w:pPr>
        <w:ind w:leftChars="-200" w:hanging="420" w:hangingChars="200"/>
        <w:rPr>
          <w:rFonts w:ascii="Arial" w:hAnsi="Arial" w:cs="Arial"/>
          <w:color w:val="auto"/>
          <w:szCs w:val="21"/>
        </w:rPr>
      </w:pPr>
      <w:r>
        <w:rPr>
          <w:rFonts w:ascii="Arial" w:hAnsi="Arial" w:cs="Arial"/>
          <w:color w:val="auto"/>
          <w:szCs w:val="21"/>
        </w:rPr>
        <w:t>说明：</w:t>
      </w:r>
      <w:r>
        <w:rPr>
          <w:rFonts w:hint="eastAsia" w:ascii="Arial" w:hAnsi="Arial" w:cs="Arial"/>
          <w:color w:val="auto"/>
          <w:szCs w:val="21"/>
        </w:rPr>
        <w:t>1、本表仅供参考，各磋商供应商可根据投标方案自行编制</w:t>
      </w:r>
      <w:r>
        <w:rPr>
          <w:rFonts w:hint="eastAsia" w:ascii="宋体" w:hAnsi="宋体"/>
          <w:color w:val="auto"/>
          <w:szCs w:val="21"/>
        </w:rPr>
        <w:t>报价明细表</w:t>
      </w:r>
      <w:r>
        <w:rPr>
          <w:rFonts w:hint="eastAsia" w:ascii="Arial" w:hAnsi="Arial" w:cs="Arial"/>
          <w:color w:val="auto"/>
          <w:szCs w:val="21"/>
        </w:rPr>
        <w:t>；</w:t>
      </w:r>
    </w:p>
    <w:p>
      <w:pPr>
        <w:ind w:right="-11" w:firstLine="218" w:firstLineChars="104"/>
        <w:rPr>
          <w:rFonts w:ascii="Arial" w:hAnsi="Arial" w:cs="Arial"/>
          <w:color w:val="auto"/>
          <w:szCs w:val="21"/>
        </w:rPr>
      </w:pPr>
      <w:r>
        <w:rPr>
          <w:rFonts w:hint="eastAsia" w:ascii="Arial" w:hAnsi="Arial" w:cs="Arial"/>
          <w:color w:val="auto"/>
          <w:szCs w:val="21"/>
        </w:rPr>
        <w:t>2、</w:t>
      </w:r>
      <w:r>
        <w:rPr>
          <w:rFonts w:ascii="Arial" w:hAnsi="Arial" w:cs="Arial"/>
          <w:color w:val="auto"/>
          <w:szCs w:val="21"/>
        </w:rPr>
        <w:t>不提供详细</w:t>
      </w:r>
      <w:r>
        <w:rPr>
          <w:rFonts w:hint="eastAsia" w:ascii="宋体" w:hAnsi="宋体"/>
          <w:color w:val="auto"/>
          <w:szCs w:val="21"/>
        </w:rPr>
        <w:t>报价明细表</w:t>
      </w:r>
      <w:r>
        <w:rPr>
          <w:rFonts w:hint="eastAsia" w:ascii="Arial" w:hAnsi="Arial" w:cs="Arial"/>
          <w:color w:val="auto"/>
          <w:szCs w:val="21"/>
        </w:rPr>
        <w:t>的</w:t>
      </w:r>
      <w:r>
        <w:rPr>
          <w:rFonts w:ascii="Arial" w:hAnsi="Arial" w:cs="Arial"/>
          <w:color w:val="auto"/>
          <w:szCs w:val="21"/>
        </w:rPr>
        <w:t>将视为没有实质性响应磋商文件。</w:t>
      </w:r>
    </w:p>
    <w:p>
      <w:pPr>
        <w:ind w:right="-11" w:firstLine="218" w:firstLineChars="104"/>
        <w:rPr>
          <w:rFonts w:ascii="宋体" w:hAnsi="宋体"/>
          <w:color w:val="auto"/>
          <w:szCs w:val="21"/>
        </w:rPr>
      </w:pPr>
      <w:r>
        <w:rPr>
          <w:rFonts w:hint="eastAsia" w:ascii="Arial" w:hAnsi="Arial" w:cs="Arial"/>
          <w:color w:val="auto"/>
          <w:szCs w:val="21"/>
        </w:rPr>
        <w:t>3、</w:t>
      </w:r>
      <w:r>
        <w:rPr>
          <w:rFonts w:hint="eastAsia" w:ascii="宋体" w:hAnsi="宋体"/>
          <w:color w:val="auto"/>
          <w:szCs w:val="21"/>
        </w:rPr>
        <w:t>此表总计价应与“附件十报价一览表”投标报价相一致。</w:t>
      </w:r>
    </w:p>
    <w:p>
      <w:pPr>
        <w:spacing w:before="312" w:beforeLines="100" w:after="312" w:afterLines="100" w:line="400" w:lineRule="atLeast"/>
        <w:ind w:left="4620" w:leftChars="2200"/>
        <w:rPr>
          <w:rFonts w:ascii="宋体" w:hAnsi="宋体" w:cs="宋体"/>
          <w:color w:val="auto"/>
          <w:szCs w:val="21"/>
        </w:rPr>
      </w:pPr>
    </w:p>
    <w:p>
      <w:pPr>
        <w:pStyle w:val="10"/>
        <w:spacing w:line="400" w:lineRule="exact"/>
        <w:ind w:firstLine="573" w:firstLineChars="273"/>
        <w:rPr>
          <w:rFonts w:ascii="Arial" w:hAnsi="Arial"/>
          <w:color w:val="auto"/>
          <w:szCs w:val="21"/>
        </w:rPr>
      </w:pP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tabs>
          <w:tab w:val="left" w:pos="4635"/>
        </w:tabs>
        <w:spacing w:line="360" w:lineRule="auto"/>
        <w:ind w:left="3826" w:leftChars="1822"/>
        <w:rPr>
          <w:color w:val="auto"/>
        </w:rPr>
        <w:sectPr>
          <w:footerReference r:id="rId5" w:type="default"/>
          <w:pgSz w:w="11906" w:h="16838"/>
          <w:pgMar w:top="1246" w:right="1406" w:bottom="1134" w:left="1575" w:header="680" w:footer="992" w:gutter="0"/>
          <w:cols w:space="720" w:num="1"/>
          <w:docGrid w:type="lines" w:linePitch="312" w:charSpace="0"/>
        </w:sectPr>
      </w:pPr>
    </w:p>
    <w:p>
      <w:pPr>
        <w:pStyle w:val="21"/>
        <w:rPr>
          <w:rFonts w:ascii="宋体" w:hAnsi="宋体"/>
          <w:color w:val="auto"/>
          <w:szCs w:val="21"/>
        </w:rPr>
      </w:pPr>
    </w:p>
    <w:bookmarkEnd w:id="119"/>
    <w:p>
      <w:pPr>
        <w:jc w:val="center"/>
        <w:outlineLvl w:val="1"/>
        <w:rPr>
          <w:rFonts w:ascii="宋体" w:hAnsi="宋体" w:cs="宋体"/>
          <w:b/>
          <w:bCs/>
          <w:color w:val="auto"/>
          <w:sz w:val="28"/>
          <w:szCs w:val="36"/>
        </w:rPr>
      </w:pPr>
      <w:bookmarkStart w:id="160" w:name="_Toc27036003"/>
      <w:bookmarkStart w:id="161" w:name="_Toc15685"/>
      <w:bookmarkStart w:id="162" w:name="_Toc27037142"/>
      <w:bookmarkStart w:id="163" w:name="_Toc18868"/>
      <w:bookmarkStart w:id="164" w:name="_Toc26129"/>
      <w:bookmarkStart w:id="165" w:name="_Toc16635"/>
      <w:bookmarkStart w:id="166" w:name="_Toc18667"/>
      <w:bookmarkStart w:id="167" w:name="_Toc433808006"/>
      <w:bookmarkStart w:id="168" w:name="_Toc499802203"/>
      <w:bookmarkStart w:id="169" w:name="_Toc486931334"/>
      <w:bookmarkStart w:id="170" w:name="_Toc453158716"/>
      <w:bookmarkStart w:id="171" w:name="_Toc384303168"/>
      <w:r>
        <w:rPr>
          <w:rFonts w:hint="eastAsia" w:ascii="宋体" w:hAnsi="宋体" w:cs="宋体"/>
          <w:b/>
          <w:bCs/>
          <w:color w:val="auto"/>
          <w:sz w:val="28"/>
          <w:szCs w:val="36"/>
        </w:rPr>
        <w:t>附件</w:t>
      </w:r>
      <w:bookmarkEnd w:id="160"/>
      <w:bookmarkEnd w:id="161"/>
      <w:bookmarkEnd w:id="162"/>
      <w:bookmarkEnd w:id="163"/>
      <w:bookmarkEnd w:id="164"/>
      <w:r>
        <w:rPr>
          <w:rFonts w:hint="eastAsia" w:ascii="宋体" w:hAnsi="宋体" w:cs="宋体"/>
          <w:b/>
          <w:bCs/>
          <w:color w:val="auto"/>
          <w:sz w:val="28"/>
          <w:szCs w:val="36"/>
        </w:rPr>
        <w:t>十二  中小企业声明函（货物）</w:t>
      </w:r>
      <w:bookmarkEnd w:id="165"/>
      <w:bookmarkEnd w:id="166"/>
    </w:p>
    <w:p>
      <w:pPr>
        <w:spacing w:before="100" w:beforeAutospacing="1" w:after="100" w:afterAutospacing="1"/>
        <w:jc w:val="center"/>
        <w:rPr>
          <w:rFonts w:ascii="宋体" w:cs="宋体"/>
          <w:color w:val="auto"/>
          <w:szCs w:val="21"/>
        </w:rPr>
      </w:pPr>
    </w:p>
    <w:bookmarkEnd w:id="167"/>
    <w:bookmarkEnd w:id="168"/>
    <w:bookmarkEnd w:id="169"/>
    <w:bookmarkEnd w:id="170"/>
    <w:bookmarkEnd w:id="171"/>
    <w:p>
      <w:pPr>
        <w:spacing w:line="360" w:lineRule="auto"/>
        <w:ind w:right="6" w:firstLine="420" w:firstLineChars="200"/>
        <w:rPr>
          <w:rFonts w:ascii="宋体" w:hAnsi="宋体"/>
          <w:color w:val="auto"/>
        </w:rPr>
      </w:pPr>
      <w:r>
        <w:rPr>
          <w:rFonts w:ascii="宋体" w:hAnsi="宋体"/>
          <w:color w:val="auto"/>
        </w:rPr>
        <w:t>本公司</w:t>
      </w:r>
      <w:r>
        <w:rPr>
          <w:rFonts w:hint="eastAsia" w:ascii="宋体" w:hAnsi="宋体"/>
          <w:color w:val="auto"/>
        </w:rPr>
        <w:t>（</w:t>
      </w:r>
      <w:r>
        <w:rPr>
          <w:rFonts w:ascii="宋体" w:hAnsi="宋体"/>
          <w:color w:val="auto"/>
        </w:rPr>
        <w:t>联合体）郑重声明，根据《政府采购促进中小企业发展管理办法》（财库﹝2020﹞46号）的规定，本公司（联合体）参加</w:t>
      </w:r>
      <w:r>
        <w:rPr>
          <w:rFonts w:ascii="宋体" w:hAnsi="宋体"/>
          <w:color w:val="auto"/>
          <w:u w:val="single"/>
        </w:rPr>
        <w:t>（单位名称）</w:t>
      </w:r>
      <w:r>
        <w:rPr>
          <w:rFonts w:ascii="宋体" w:hAnsi="宋体"/>
          <w:color w:val="auto"/>
        </w:rPr>
        <w:t>的</w:t>
      </w:r>
      <w:r>
        <w:rPr>
          <w:rFonts w:ascii="宋体" w:hAnsi="宋体"/>
          <w:color w:val="auto"/>
          <w:u w:val="single"/>
        </w:rPr>
        <w:t>（项目名称）</w:t>
      </w:r>
      <w:r>
        <w:rPr>
          <w:rFonts w:ascii="宋体" w:hAnsi="宋体"/>
          <w:color w:val="auto"/>
        </w:rPr>
        <w:t>采购活动，</w:t>
      </w:r>
      <w:r>
        <w:rPr>
          <w:rFonts w:hint="eastAsia" w:ascii="宋体" w:hAnsi="宋体"/>
          <w:color w:val="auto"/>
        </w:rPr>
        <w:t>提供</w:t>
      </w:r>
      <w:r>
        <w:rPr>
          <w:rFonts w:ascii="宋体" w:hAnsi="宋体"/>
          <w:color w:val="auto"/>
        </w:rPr>
        <w:t>的货物全部由</w:t>
      </w:r>
      <w:r>
        <w:rPr>
          <w:rFonts w:hint="eastAsia" w:ascii="宋体" w:hAnsi="宋体"/>
          <w:color w:val="auto"/>
        </w:rPr>
        <w:t>符合政策要求的中小企业制造。</w:t>
      </w:r>
      <w:r>
        <w:rPr>
          <w:rFonts w:ascii="宋体" w:hAnsi="宋体"/>
          <w:color w:val="auto"/>
        </w:rPr>
        <w:t xml:space="preserve">相关企业（含联合体中的中小企业、签订分包意向协议的中小企业） 的具体情况如下： </w:t>
      </w:r>
    </w:p>
    <w:p>
      <w:pPr>
        <w:spacing w:line="360" w:lineRule="auto"/>
        <w:ind w:right="6" w:firstLine="420" w:firstLineChars="200"/>
        <w:rPr>
          <w:rFonts w:ascii="宋体" w:hAnsi="宋体"/>
          <w:color w:val="auto"/>
        </w:rPr>
      </w:pPr>
      <w:r>
        <w:rPr>
          <w:rFonts w:hint="eastAsia" w:ascii="宋体" w:hAnsi="宋体"/>
          <w:color w:val="auto"/>
        </w:rPr>
        <w:t>1.</w:t>
      </w:r>
      <w:r>
        <w:rPr>
          <w:rFonts w:ascii="宋体" w:hAnsi="宋体"/>
          <w:color w:val="auto"/>
          <w:u w:val="single"/>
        </w:rPr>
        <w:t>（标的名称）</w:t>
      </w:r>
      <w:r>
        <w:rPr>
          <w:rFonts w:ascii="宋体" w:hAnsi="宋体"/>
          <w:color w:val="auto"/>
        </w:rPr>
        <w:t>，属于</w:t>
      </w:r>
      <w:r>
        <w:rPr>
          <w:rFonts w:ascii="宋体" w:hAnsi="宋体"/>
          <w:color w:val="auto"/>
          <w:u w:val="single"/>
        </w:rPr>
        <w:t>（采购文件中明确的所属行业）</w:t>
      </w:r>
      <w:r>
        <w:rPr>
          <w:rFonts w:hint="eastAsia" w:ascii="宋体" w:hAnsi="宋体"/>
          <w:color w:val="auto"/>
        </w:rPr>
        <w:t>行业</w:t>
      </w:r>
      <w:r>
        <w:rPr>
          <w:rFonts w:ascii="宋体" w:hAnsi="宋体"/>
          <w:color w:val="auto"/>
        </w:rPr>
        <w:t>；</w:t>
      </w:r>
      <w:r>
        <w:rPr>
          <w:rFonts w:hint="eastAsia" w:ascii="宋体" w:hAnsi="宋体"/>
          <w:color w:val="auto"/>
        </w:rPr>
        <w:t>制造商为</w:t>
      </w:r>
      <w:r>
        <w:rPr>
          <w:rFonts w:ascii="宋体" w:hAnsi="宋体"/>
          <w:color w:val="auto"/>
        </w:rPr>
        <w:t>（企业名称），从业人员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w:t>
      </w:r>
      <w:r>
        <w:rPr>
          <w:rFonts w:ascii="宋体" w:hAnsi="宋体" w:cs="宋体"/>
          <w:color w:val="auto"/>
          <w:sz w:val="24"/>
          <w:szCs w:val="24"/>
          <w:vertAlign w:val="superscript"/>
        </w:rPr>
        <w:t>1</w:t>
      </w:r>
      <w:r>
        <w:rPr>
          <w:rFonts w:ascii="宋体" w:hAnsi="宋体"/>
          <w:color w:val="auto"/>
        </w:rPr>
        <w:t>，属于</w:t>
      </w:r>
      <w:r>
        <w:rPr>
          <w:rFonts w:ascii="宋体" w:hAnsi="宋体"/>
          <w:color w:val="auto"/>
          <w:u w:val="single"/>
        </w:rPr>
        <w:t>（中型企业、小型企业、微型企业）</w:t>
      </w:r>
      <w:r>
        <w:rPr>
          <w:rFonts w:ascii="宋体" w:hAnsi="宋体"/>
          <w:color w:val="auto"/>
        </w:rPr>
        <w:t xml:space="preserve">； </w:t>
      </w:r>
    </w:p>
    <w:p>
      <w:pPr>
        <w:spacing w:line="360" w:lineRule="auto"/>
        <w:ind w:right="6" w:firstLine="420" w:firstLineChars="200"/>
        <w:rPr>
          <w:rFonts w:ascii="宋体" w:hAnsi="宋体"/>
          <w:color w:val="auto"/>
        </w:rPr>
      </w:pPr>
      <w:r>
        <w:rPr>
          <w:rFonts w:hint="eastAsia" w:ascii="宋体" w:hAnsi="宋体"/>
          <w:color w:val="auto"/>
        </w:rPr>
        <w:t>2.</w:t>
      </w:r>
      <w:r>
        <w:rPr>
          <w:rFonts w:ascii="宋体" w:hAnsi="宋体"/>
          <w:color w:val="auto"/>
          <w:u w:val="single"/>
        </w:rPr>
        <w:t>（标的名称）</w:t>
      </w:r>
      <w:r>
        <w:rPr>
          <w:rFonts w:ascii="宋体" w:hAnsi="宋体"/>
          <w:color w:val="auto"/>
        </w:rPr>
        <w:t>，属于</w:t>
      </w:r>
      <w:r>
        <w:rPr>
          <w:rFonts w:ascii="宋体" w:hAnsi="宋体"/>
          <w:color w:val="auto"/>
          <w:u w:val="single"/>
        </w:rPr>
        <w:t>（采购文件中明确的所属行业）</w:t>
      </w:r>
      <w:r>
        <w:rPr>
          <w:rFonts w:hint="eastAsia" w:ascii="宋体" w:hAnsi="宋体"/>
          <w:color w:val="auto"/>
        </w:rPr>
        <w:t>行业</w:t>
      </w:r>
      <w:r>
        <w:rPr>
          <w:rFonts w:ascii="宋体" w:hAnsi="宋体"/>
          <w:color w:val="auto"/>
        </w:rPr>
        <w:t>；</w:t>
      </w:r>
      <w:r>
        <w:rPr>
          <w:rFonts w:hint="eastAsia" w:ascii="宋体" w:hAnsi="宋体"/>
          <w:color w:val="auto"/>
        </w:rPr>
        <w:t>制造商为</w:t>
      </w:r>
      <w:r>
        <w:rPr>
          <w:rFonts w:ascii="宋体" w:hAnsi="宋体"/>
          <w:color w:val="auto"/>
        </w:rPr>
        <w:t>（企业名称），从业人员</w:t>
      </w:r>
      <w:r>
        <w:rPr>
          <w:rFonts w:hint="eastAsia" w:ascii="宋体" w:hAnsi="宋体"/>
          <w:color w:val="auto"/>
          <w:u w:val="single"/>
        </w:rPr>
        <w:t xml:space="preserve">    </w:t>
      </w:r>
      <w:r>
        <w:rPr>
          <w:rFonts w:ascii="宋体" w:hAnsi="宋体"/>
          <w:color w:val="auto"/>
        </w:rPr>
        <w:t>人，营业收入为</w:t>
      </w:r>
      <w:r>
        <w:rPr>
          <w:rFonts w:hint="eastAsia" w:ascii="宋体" w:hAnsi="宋体"/>
          <w:color w:val="auto"/>
          <w:u w:val="single"/>
        </w:rPr>
        <w:t xml:space="preserve">    </w:t>
      </w:r>
      <w:r>
        <w:rPr>
          <w:rFonts w:ascii="宋体" w:hAnsi="宋体"/>
          <w:color w:val="auto"/>
        </w:rPr>
        <w:t>万元，资产总额为</w:t>
      </w:r>
      <w:r>
        <w:rPr>
          <w:rFonts w:hint="eastAsia" w:ascii="宋体" w:hAnsi="宋体"/>
          <w:color w:val="auto"/>
          <w:u w:val="single"/>
        </w:rPr>
        <w:t xml:space="preserve">     </w:t>
      </w:r>
      <w:r>
        <w:rPr>
          <w:rFonts w:ascii="宋体" w:hAnsi="宋体"/>
          <w:color w:val="auto"/>
        </w:rPr>
        <w:t>万元</w:t>
      </w:r>
      <w:r>
        <w:rPr>
          <w:rFonts w:ascii="宋体" w:hAnsi="宋体" w:cs="宋体"/>
          <w:color w:val="auto"/>
          <w:sz w:val="24"/>
          <w:szCs w:val="24"/>
          <w:vertAlign w:val="superscript"/>
        </w:rPr>
        <w:t>1</w:t>
      </w:r>
      <w:r>
        <w:rPr>
          <w:rFonts w:ascii="宋体" w:hAnsi="宋体"/>
          <w:color w:val="auto"/>
        </w:rPr>
        <w:t>，属于</w:t>
      </w:r>
      <w:r>
        <w:rPr>
          <w:rFonts w:ascii="宋体" w:hAnsi="宋体"/>
          <w:color w:val="auto"/>
          <w:u w:val="single"/>
        </w:rPr>
        <w:t>（中型企业、小型企业、微型企业）</w:t>
      </w:r>
      <w:r>
        <w:rPr>
          <w:rFonts w:ascii="宋体" w:hAnsi="宋体"/>
          <w:color w:val="auto"/>
        </w:rPr>
        <w:t>；</w:t>
      </w:r>
    </w:p>
    <w:p>
      <w:pPr>
        <w:spacing w:line="360" w:lineRule="auto"/>
        <w:ind w:right="6" w:firstLine="420" w:firstLineChars="200"/>
        <w:rPr>
          <w:rFonts w:ascii="宋体" w:hAnsi="宋体"/>
          <w:color w:val="auto"/>
        </w:rPr>
      </w:pPr>
      <w:r>
        <w:rPr>
          <w:rFonts w:ascii="宋体" w:hAnsi="宋体"/>
          <w:color w:val="auto"/>
        </w:rPr>
        <w:t xml:space="preserve"> …… </w:t>
      </w:r>
    </w:p>
    <w:p>
      <w:pPr>
        <w:spacing w:line="360" w:lineRule="auto"/>
        <w:ind w:right="6" w:firstLine="420" w:firstLineChars="200"/>
        <w:rPr>
          <w:rFonts w:ascii="宋体" w:hAnsi="宋体"/>
          <w:color w:val="auto"/>
        </w:rPr>
      </w:pPr>
      <w:r>
        <w:rPr>
          <w:rFonts w:ascii="宋体" w:hAnsi="宋体"/>
          <w:color w:val="auto"/>
        </w:rPr>
        <w:t>以上企业，不属于大企业的分支机构，不存在控股股东为大企业的情形，也不存在与大企业的负责人为同一人的情形。</w:t>
      </w:r>
    </w:p>
    <w:p>
      <w:pPr>
        <w:spacing w:line="360" w:lineRule="auto"/>
        <w:ind w:firstLine="315" w:firstLineChars="150"/>
        <w:outlineLvl w:val="1"/>
        <w:rPr>
          <w:rFonts w:ascii="宋体" w:hAnsi="宋体"/>
          <w:color w:val="auto"/>
        </w:rPr>
      </w:pPr>
      <w:bookmarkStart w:id="172" w:name="_Toc1682"/>
      <w:bookmarkStart w:id="173" w:name="_Toc32441"/>
      <w:r>
        <w:rPr>
          <w:rFonts w:ascii="宋体" w:hAnsi="宋体"/>
          <w:color w:val="auto"/>
        </w:rPr>
        <w:t>本企业对上述声明内容的真实性负责。如有虚假，将依法承担相应责任。</w:t>
      </w:r>
      <w:bookmarkEnd w:id="172"/>
      <w:bookmarkEnd w:id="173"/>
    </w:p>
    <w:p>
      <w:pPr>
        <w:spacing w:line="360" w:lineRule="auto"/>
        <w:jc w:val="center"/>
        <w:outlineLvl w:val="1"/>
        <w:rPr>
          <w:rFonts w:ascii="宋体" w:hAnsi="宋体"/>
          <w:color w:val="auto"/>
        </w:rPr>
      </w:pPr>
    </w:p>
    <w:p>
      <w:pPr>
        <w:pStyle w:val="21"/>
        <w:spacing w:line="360" w:lineRule="auto"/>
        <w:rPr>
          <w:color w:val="auto"/>
        </w:rPr>
      </w:pPr>
    </w:p>
    <w:p>
      <w:pPr>
        <w:spacing w:before="240" w:beforeLines="100" w:after="240" w:afterLines="100"/>
        <w:ind w:left="4620" w:leftChars="2200"/>
        <w:rPr>
          <w:rFonts w:ascii="宋体" w:hAnsi="宋体"/>
          <w:color w:val="auto"/>
          <w:szCs w:val="21"/>
        </w:rPr>
      </w:pPr>
    </w:p>
    <w:p>
      <w:pPr>
        <w:spacing w:before="240" w:beforeLines="100" w:after="240" w:afterLines="100"/>
        <w:ind w:left="4620" w:leftChars="2200"/>
        <w:rPr>
          <w:rFonts w:ascii="宋体" w:hAnsi="宋体"/>
          <w:color w:val="auto"/>
          <w:szCs w:val="21"/>
        </w:rPr>
      </w:pP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pStyle w:val="21"/>
        <w:rPr>
          <w:color w:val="auto"/>
        </w:rPr>
      </w:pPr>
    </w:p>
    <w:p>
      <w:pPr>
        <w:pStyle w:val="21"/>
        <w:rPr>
          <w:color w:val="auto"/>
        </w:rPr>
      </w:pPr>
    </w:p>
    <w:p>
      <w:pPr>
        <w:pStyle w:val="21"/>
        <w:rPr>
          <w:color w:val="auto"/>
        </w:rPr>
      </w:pPr>
    </w:p>
    <w:p>
      <w:pPr>
        <w:pStyle w:val="21"/>
        <w:rPr>
          <w:color w:val="auto"/>
        </w:rPr>
      </w:pPr>
    </w:p>
    <w:p>
      <w:pPr>
        <w:jc w:val="center"/>
        <w:outlineLvl w:val="1"/>
        <w:rPr>
          <w:rFonts w:ascii="宋体" w:hAnsi="宋体"/>
          <w:color w:val="auto"/>
        </w:rPr>
      </w:pPr>
    </w:p>
    <w:p>
      <w:pPr>
        <w:jc w:val="center"/>
        <w:outlineLvl w:val="1"/>
        <w:rPr>
          <w:rFonts w:ascii="宋体" w:hAnsi="宋体"/>
          <w:color w:val="auto"/>
        </w:rPr>
      </w:pPr>
    </w:p>
    <w:p>
      <w:pPr>
        <w:pStyle w:val="21"/>
        <w:ind w:left="0" w:leftChars="0"/>
        <w:rPr>
          <w:rFonts w:ascii="宋体" w:hAnsi="宋体" w:cs="宋体"/>
          <w:color w:val="auto"/>
          <w:sz w:val="18"/>
          <w:szCs w:val="18"/>
        </w:rPr>
      </w:pPr>
      <w:r>
        <w:rPr>
          <w:rFonts w:hint="eastAsia" w:ascii="宋体" w:hAnsi="宋体" w:cs="宋体"/>
          <w:color w:val="auto"/>
          <w:sz w:val="18"/>
          <w:szCs w:val="18"/>
        </w:rPr>
        <w:t>注：1、从业人员、营业收入、资产总额填报上一年度数据，无上一年度数据的新成立企业可不填报；</w:t>
      </w:r>
    </w:p>
    <w:p>
      <w:pPr>
        <w:jc w:val="center"/>
        <w:outlineLvl w:val="1"/>
        <w:rPr>
          <w:color w:val="auto"/>
        </w:rPr>
      </w:pPr>
      <w:r>
        <w:rPr>
          <w:color w:val="auto"/>
        </w:rPr>
        <w:br w:type="page"/>
      </w:r>
      <w:bookmarkStart w:id="174" w:name="_Toc27036004"/>
      <w:bookmarkStart w:id="175" w:name="_Toc27306"/>
      <w:bookmarkStart w:id="176" w:name="_Toc518546796"/>
      <w:bookmarkStart w:id="177" w:name="_Toc448"/>
      <w:bookmarkStart w:id="178" w:name="_Toc27037143"/>
      <w:bookmarkStart w:id="179" w:name="_Toc19071"/>
      <w:bookmarkStart w:id="180" w:name="_Toc831"/>
      <w:r>
        <w:rPr>
          <w:rFonts w:hint="eastAsia" w:ascii="宋体" w:hAnsi="宋体" w:cs="宋体"/>
          <w:b/>
          <w:bCs/>
          <w:color w:val="auto"/>
          <w:sz w:val="28"/>
          <w:szCs w:val="36"/>
        </w:rPr>
        <w:t>附件</w:t>
      </w:r>
      <w:bookmarkStart w:id="181" w:name="OLE_LINK14"/>
      <w:bookmarkStart w:id="182" w:name="OLE_LINK13"/>
      <w:r>
        <w:rPr>
          <w:rFonts w:hint="eastAsia" w:ascii="宋体" w:hAnsi="宋体" w:cs="宋体"/>
          <w:b/>
          <w:bCs/>
          <w:color w:val="auto"/>
          <w:sz w:val="28"/>
          <w:szCs w:val="36"/>
        </w:rPr>
        <w:t>十三  残疾人福利性单位声明函</w:t>
      </w:r>
      <w:bookmarkEnd w:id="174"/>
      <w:bookmarkEnd w:id="175"/>
      <w:bookmarkEnd w:id="176"/>
      <w:bookmarkEnd w:id="177"/>
      <w:bookmarkEnd w:id="178"/>
      <w:bookmarkEnd w:id="179"/>
      <w:bookmarkEnd w:id="180"/>
    </w:p>
    <w:bookmarkEnd w:id="181"/>
    <w:bookmarkEnd w:id="182"/>
    <w:p>
      <w:pPr>
        <w:spacing w:line="588" w:lineRule="exact"/>
        <w:rPr>
          <w:rFonts w:ascii="仿宋_GB2312" w:eastAsia="仿宋_GB2312"/>
          <w:b/>
          <w:color w:val="auto"/>
          <w:spacing w:val="6"/>
          <w:sz w:val="30"/>
          <w:szCs w:val="30"/>
        </w:rPr>
      </w:pPr>
    </w:p>
    <w:p>
      <w:pPr>
        <w:spacing w:line="588" w:lineRule="exact"/>
        <w:ind w:firstLine="420" w:firstLineChars="200"/>
        <w:rPr>
          <w:rFonts w:ascii="宋体"/>
          <w:color w:val="auto"/>
        </w:rPr>
      </w:pPr>
      <w:r>
        <w:rPr>
          <w:rFonts w:hint="eastAsia" w:ascii="宋体" w:hAnsi="宋体"/>
          <w:color w:val="auto"/>
        </w:rPr>
        <w:t>本单位郑重声明，根据《财政部</w:t>
      </w:r>
      <w:r>
        <w:rPr>
          <w:rFonts w:ascii="宋体" w:hAnsi="宋体"/>
          <w:color w:val="auto"/>
        </w:rPr>
        <w:t xml:space="preserve"> </w:t>
      </w:r>
      <w:r>
        <w:rPr>
          <w:rFonts w:hint="eastAsia" w:ascii="宋体" w:hAnsi="宋体"/>
          <w:color w:val="auto"/>
        </w:rPr>
        <w:t>民政部</w:t>
      </w:r>
      <w:r>
        <w:rPr>
          <w:rFonts w:ascii="宋体" w:hAnsi="宋体"/>
          <w:color w:val="auto"/>
        </w:rPr>
        <w:t xml:space="preserve"> </w:t>
      </w:r>
      <w:r>
        <w:rPr>
          <w:rFonts w:hint="eastAsia" w:ascii="宋体" w:hAnsi="宋体"/>
          <w:color w:val="auto"/>
        </w:rPr>
        <w:t>中国残疾人联合会关于促进残疾人就业政府采购政策的通知》（财库〔</w:t>
      </w:r>
      <w:r>
        <w:rPr>
          <w:rFonts w:ascii="宋体" w:hAnsi="宋体"/>
          <w:color w:val="auto"/>
        </w:rPr>
        <w:t>2017</w:t>
      </w:r>
      <w:r>
        <w:rPr>
          <w:rFonts w:hint="eastAsia" w:ascii="宋体" w:hAnsi="宋体"/>
          <w:color w:val="auto"/>
        </w:rPr>
        <w:t>〕</w:t>
      </w:r>
      <w:r>
        <w:rPr>
          <w:rFonts w:ascii="宋体" w:hAnsi="宋体"/>
          <w:color w:val="auto"/>
        </w:rPr>
        <w:t>141</w:t>
      </w:r>
      <w:r>
        <w:rPr>
          <w:rFonts w:hint="eastAsia" w:ascii="宋体" w:hAnsi="宋体"/>
          <w:color w:val="auto"/>
        </w:rPr>
        <w:t>号）的规定，本单位为符合条件的残疾人福利性单位，且本单位参加</w:t>
      </w:r>
      <w:r>
        <w:rPr>
          <w:rFonts w:hint="eastAsia" w:ascii="宋体" w:hAnsi="宋体"/>
          <w:color w:val="auto"/>
          <w:u w:val="single"/>
        </w:rPr>
        <w:t xml:space="preserve">             </w:t>
      </w:r>
      <w:r>
        <w:rPr>
          <w:rFonts w:hint="eastAsia" w:ascii="宋体" w:hAnsi="宋体"/>
          <w:color w:val="auto"/>
        </w:rPr>
        <w:t>单位的</w:t>
      </w:r>
      <w:r>
        <w:rPr>
          <w:rFonts w:hint="eastAsia" w:ascii="宋体" w:hAnsi="宋体"/>
          <w:color w:val="auto"/>
          <w:u w:val="single"/>
        </w:rPr>
        <w:t xml:space="preserve">               </w:t>
      </w:r>
      <w:r>
        <w:rPr>
          <w:rFonts w:hint="eastAsia" w:ascii="宋体" w:hAnsi="宋体"/>
          <w:color w:val="auto"/>
        </w:rPr>
        <w:t>项目采购活动提供本单位制造的货物（由本单位承担工程</w:t>
      </w:r>
      <w:r>
        <w:rPr>
          <w:rFonts w:ascii="宋体" w:hAnsi="宋体"/>
          <w:color w:val="auto"/>
        </w:rPr>
        <w:t>/</w:t>
      </w:r>
      <w:r>
        <w:rPr>
          <w:rFonts w:hint="eastAsia" w:ascii="宋体" w:hAnsi="宋体"/>
          <w:color w:val="auto"/>
        </w:rPr>
        <w:t>提供服务），或者提供其他残疾人福利性单位制造的货物（不包括使用非残疾人福利性单位注册商标的货物）。</w:t>
      </w:r>
    </w:p>
    <w:p>
      <w:pPr>
        <w:spacing w:line="588" w:lineRule="exact"/>
        <w:ind w:firstLine="420" w:firstLineChars="200"/>
        <w:rPr>
          <w:rFonts w:ascii="宋体"/>
          <w:color w:val="auto"/>
        </w:rPr>
      </w:pPr>
      <w:r>
        <w:rPr>
          <w:rFonts w:hint="eastAsia" w:ascii="宋体" w:hAnsi="宋体"/>
          <w:color w:val="auto"/>
        </w:rPr>
        <w:t>本单位对上述声明的真实性负责。如有虚假，将依法承担相应责任。</w:t>
      </w:r>
    </w:p>
    <w:p>
      <w:pPr>
        <w:spacing w:line="588" w:lineRule="exact"/>
        <w:ind w:firstLine="624" w:firstLineChars="200"/>
        <w:rPr>
          <w:rFonts w:ascii="仿宋_GB2312" w:eastAsia="仿宋_GB2312"/>
          <w:color w:val="auto"/>
          <w:spacing w:val="6"/>
          <w:sz w:val="30"/>
          <w:szCs w:val="30"/>
        </w:rPr>
      </w:pPr>
    </w:p>
    <w:p>
      <w:pPr>
        <w:spacing w:line="588" w:lineRule="exact"/>
        <w:ind w:firstLine="624" w:firstLineChars="200"/>
        <w:rPr>
          <w:rFonts w:ascii="仿宋_GB2312" w:eastAsia="仿宋_GB2312"/>
          <w:color w:val="auto"/>
          <w:spacing w:val="6"/>
          <w:sz w:val="30"/>
          <w:szCs w:val="30"/>
        </w:rPr>
      </w:pPr>
    </w:p>
    <w:p>
      <w:pPr>
        <w:rPr>
          <w:color w:val="auto"/>
        </w:rPr>
      </w:pPr>
      <w:r>
        <w:rPr>
          <w:rFonts w:ascii="仿宋_GB2312" w:eastAsia="仿宋_GB2312"/>
          <w:color w:val="auto"/>
          <w:spacing w:val="6"/>
          <w:sz w:val="30"/>
          <w:szCs w:val="30"/>
        </w:rPr>
        <w:t xml:space="preserve">                        </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磋商供应商（公章）：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法定代表人或授权代表（签字或盖章）：</w:t>
      </w:r>
    </w:p>
    <w:p>
      <w:pPr>
        <w:pStyle w:val="10"/>
        <w:overflowPunct w:val="0"/>
        <w:spacing w:line="360" w:lineRule="auto"/>
        <w:ind w:right="-21" w:rightChars="-10" w:firstLine="4830" w:firstLineChars="2300"/>
        <w:rPr>
          <w:rFonts w:ascii="宋体" w:hAnsi="宋体"/>
          <w:color w:val="auto"/>
        </w:rPr>
      </w:pPr>
      <w:r>
        <w:rPr>
          <w:rFonts w:hint="eastAsia" w:ascii="宋体" w:hAnsi="宋体"/>
          <w:color w:val="auto"/>
        </w:rPr>
        <w:t>日期：   年  月  日</w:t>
      </w:r>
    </w:p>
    <w:p>
      <w:pPr>
        <w:rPr>
          <w:rFonts w:ascii="宋体"/>
          <w:color w:val="auto"/>
        </w:rPr>
      </w:pPr>
    </w:p>
    <w:p>
      <w:pPr>
        <w:rPr>
          <w:rFonts w:ascii="宋体"/>
          <w:color w:val="auto"/>
        </w:rPr>
      </w:pPr>
    </w:p>
    <w:p>
      <w:pPr>
        <w:rPr>
          <w:rFonts w:ascii="宋体"/>
          <w:color w:val="auto"/>
        </w:rPr>
      </w:pPr>
    </w:p>
    <w:p>
      <w:pPr>
        <w:numPr>
          <w:ilvl w:val="0"/>
          <w:numId w:val="27"/>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残疾人福利性单位视同小型、微型企业，享受价格扣除。</w:t>
      </w:r>
    </w:p>
    <w:p>
      <w:pPr>
        <w:numPr>
          <w:ilvl w:val="0"/>
          <w:numId w:val="27"/>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残疾人福利性单位属于小型、微型企业的，不重复享受政策。</w:t>
      </w:r>
    </w:p>
    <w:p>
      <w:pPr>
        <w:numPr>
          <w:ilvl w:val="0"/>
          <w:numId w:val="27"/>
        </w:numPr>
        <w:tabs>
          <w:tab w:val="left" w:pos="420"/>
          <w:tab w:val="clear" w:pos="1244"/>
        </w:tabs>
        <w:spacing w:before="100" w:beforeAutospacing="1" w:after="100" w:afterAutospacing="1" w:line="432" w:lineRule="auto"/>
        <w:ind w:hanging="1244"/>
        <w:rPr>
          <w:rFonts w:hAnsi="宋体"/>
          <w:b/>
          <w:color w:val="auto"/>
          <w:szCs w:val="21"/>
        </w:rPr>
      </w:pPr>
      <w:r>
        <w:rPr>
          <w:rFonts w:hint="eastAsia" w:hAnsi="宋体"/>
          <w:b/>
          <w:color w:val="auto"/>
          <w:szCs w:val="21"/>
        </w:rPr>
        <w:t>如成交供应商声明为残疾人福利性单位，本声明函将随中标结果同时公告，接受社会监督。</w:t>
      </w:r>
    </w:p>
    <w:p>
      <w:pPr>
        <w:pStyle w:val="4"/>
        <w:keepNext w:val="0"/>
        <w:keepLines w:val="0"/>
        <w:spacing w:before="120" w:beforeLines="50" w:after="120" w:afterLines="50" w:line="400" w:lineRule="exact"/>
        <w:jc w:val="center"/>
        <w:rPr>
          <w:rFonts w:hAnsi="宋体" w:cs="宋体"/>
          <w:color w:val="auto"/>
          <w:sz w:val="28"/>
          <w:szCs w:val="36"/>
        </w:rPr>
      </w:pPr>
    </w:p>
    <w:p>
      <w:pPr>
        <w:pStyle w:val="4"/>
        <w:keepNext w:val="0"/>
        <w:keepLines w:val="0"/>
        <w:spacing w:before="120" w:beforeLines="50" w:after="120" w:afterLines="50" w:line="400" w:lineRule="exact"/>
        <w:jc w:val="center"/>
        <w:rPr>
          <w:rFonts w:hAnsi="宋体" w:cs="宋体"/>
          <w:color w:val="auto"/>
          <w:sz w:val="28"/>
          <w:szCs w:val="36"/>
        </w:rPr>
      </w:pPr>
    </w:p>
    <w:p>
      <w:pPr>
        <w:rPr>
          <w:rFonts w:hAnsi="宋体" w:cs="宋体"/>
          <w:color w:val="auto"/>
          <w:sz w:val="28"/>
          <w:szCs w:val="36"/>
        </w:rPr>
      </w:pPr>
    </w:p>
    <w:p>
      <w:pPr>
        <w:pStyle w:val="3"/>
        <w:rPr>
          <w:rFonts w:hint="eastAsia" w:hAnsi="宋体" w:cs="宋体"/>
          <w:color w:val="auto"/>
          <w:sz w:val="28"/>
          <w:szCs w:val="36"/>
        </w:rPr>
      </w:pPr>
    </w:p>
    <w:p>
      <w:pPr>
        <w:rPr>
          <w:color w:val="auto"/>
        </w:rPr>
      </w:pPr>
    </w:p>
    <w:p>
      <w:pPr>
        <w:pStyle w:val="2"/>
        <w:ind w:firstLine="280"/>
        <w:rPr>
          <w:rFonts w:hAnsi="宋体" w:cs="宋体"/>
          <w:color w:val="auto"/>
          <w:sz w:val="28"/>
          <w:szCs w:val="36"/>
        </w:rPr>
      </w:pPr>
    </w:p>
    <w:p>
      <w:pPr>
        <w:pStyle w:val="36"/>
        <w:rPr>
          <w:rFonts w:hAnsi="宋体" w:cs="宋体"/>
          <w:color w:val="auto"/>
          <w:sz w:val="28"/>
          <w:szCs w:val="36"/>
        </w:rPr>
      </w:pPr>
    </w:p>
    <w:p>
      <w:pPr>
        <w:rPr>
          <w:color w:val="auto"/>
        </w:rPr>
      </w:pPr>
    </w:p>
    <w:p>
      <w:pPr>
        <w:pStyle w:val="3"/>
        <w:rPr>
          <w:color w:val="auto"/>
        </w:rPr>
      </w:pPr>
    </w:p>
    <w:p>
      <w:pPr>
        <w:pStyle w:val="4"/>
        <w:keepNext w:val="0"/>
        <w:keepLines w:val="0"/>
        <w:spacing w:before="120" w:beforeLines="50" w:after="120" w:afterLines="50" w:line="400" w:lineRule="exact"/>
        <w:jc w:val="center"/>
        <w:rPr>
          <w:rFonts w:hAnsi="宋体" w:cs="宋体"/>
          <w:color w:val="auto"/>
          <w:sz w:val="28"/>
          <w:szCs w:val="36"/>
        </w:rPr>
      </w:pPr>
      <w:bookmarkStart w:id="183" w:name="_Toc24576"/>
      <w:r>
        <w:rPr>
          <w:rFonts w:hint="eastAsia" w:hAnsi="宋体" w:cs="宋体"/>
          <w:color w:val="auto"/>
          <w:sz w:val="28"/>
          <w:szCs w:val="36"/>
        </w:rPr>
        <w:t>第六部分  评定办法</w:t>
      </w:r>
      <w:bookmarkEnd w:id="183"/>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根据《中华人民共和国政府采购法》和本项目磋商文件，按照公平、公正、科学、择优的原则选择成交供应商，特制定本办法。</w:t>
      </w:r>
    </w:p>
    <w:p>
      <w:pPr>
        <w:spacing w:line="400" w:lineRule="exact"/>
        <w:ind w:firstLine="422" w:firstLineChars="200"/>
        <w:rPr>
          <w:rFonts w:ascii="宋体" w:hAnsi="宋体" w:cs="宋体"/>
          <w:b/>
          <w:bCs/>
          <w:color w:val="auto"/>
          <w:kern w:val="28"/>
        </w:rPr>
      </w:pPr>
      <w:r>
        <w:rPr>
          <w:rFonts w:hint="eastAsia" w:ascii="宋体" w:hAnsi="宋体" w:cs="宋体"/>
          <w:b/>
          <w:bCs/>
          <w:color w:val="auto"/>
          <w:kern w:val="28"/>
        </w:rPr>
        <w:t>一、 评定原则</w:t>
      </w:r>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评审工作遵循公平、公正、民主、科学的原则和诚实、信誉、效率的服务原则。本着科学、严谨的态度，认真进行评审，择优选定服务单位。确保服务质量，节约投资，最大限度的保护当事人权益，严格按照磋商文件的商务、技术要求，对磋商响应文件进行综合评定，编写评标报告。评定人员必须严格遵守保密规定，不得泄漏评定的有关情况，不得索贿受贿，不得接受吃请和礼品，不得参加影响公正评标的有关活动。磋商供应商不得以任何方式干扰采购工作的进行，一经发现其磋商响应文件将被否决。</w:t>
      </w:r>
    </w:p>
    <w:p>
      <w:pPr>
        <w:spacing w:line="400" w:lineRule="exact"/>
        <w:ind w:firstLine="422" w:firstLineChars="200"/>
        <w:rPr>
          <w:rFonts w:ascii="宋体" w:hAnsi="宋体" w:cs="宋体"/>
          <w:b/>
          <w:bCs/>
          <w:color w:val="auto"/>
          <w:kern w:val="28"/>
        </w:rPr>
      </w:pPr>
      <w:r>
        <w:rPr>
          <w:rFonts w:hint="eastAsia" w:ascii="宋体" w:hAnsi="宋体" w:cs="宋体"/>
          <w:b/>
          <w:bCs/>
          <w:color w:val="auto"/>
          <w:kern w:val="28"/>
        </w:rPr>
        <w:t>二、评标组织</w:t>
      </w:r>
    </w:p>
    <w:p>
      <w:pPr>
        <w:spacing w:line="400" w:lineRule="exact"/>
        <w:ind w:firstLine="420" w:firstLineChars="200"/>
        <w:rPr>
          <w:rFonts w:ascii="宋体" w:hAnsi="宋体"/>
          <w:color w:val="auto"/>
          <w:szCs w:val="21"/>
        </w:rPr>
      </w:pPr>
      <w:r>
        <w:rPr>
          <w:rFonts w:hint="eastAsia" w:ascii="宋体" w:hAnsi="宋体" w:cs="Arial"/>
          <w:bCs/>
          <w:color w:val="auto"/>
          <w:kern w:val="28"/>
        </w:rPr>
        <w:t>开标后，由磋商小组对磋商响应文件进行资格性检查和符合性检查，凡磋商供应商资格不符合磋商文件要求、磋商响应文件实质性内容和格式严重不符合有关规定或不响应磋商文件要求者，经磋商小组认定作为无效投标，不再进入后续磋商。</w:t>
      </w:r>
      <w:r>
        <w:rPr>
          <w:rFonts w:hint="eastAsia" w:ascii="宋体" w:hAnsi="宋体"/>
          <w:color w:val="auto"/>
          <w:szCs w:val="21"/>
        </w:rPr>
        <w:t>需要磋商的，磋商小组与各供应商在线进行磋商并确定最终方案。供应商按照磋商文件的变动情况和磋商小组的要求重新提交响应文件。</w:t>
      </w:r>
      <w:r>
        <w:rPr>
          <w:rFonts w:hint="eastAsia" w:ascii="宋体" w:hAnsi="宋体" w:cs="宋体"/>
          <w:color w:val="auto"/>
          <w:szCs w:val="21"/>
          <w:lang w:bidi="ar"/>
        </w:rPr>
        <w:t>由磋商小组采用综合评分法对提交最后报价的供应商的响应文件和最后报价进行综合评分。</w:t>
      </w:r>
    </w:p>
    <w:p>
      <w:pPr>
        <w:spacing w:line="360" w:lineRule="exact"/>
        <w:ind w:firstLine="420" w:firstLineChars="200"/>
        <w:rPr>
          <w:rFonts w:ascii="宋体" w:hAnsi="宋体" w:cs="宋体"/>
          <w:bCs/>
          <w:color w:val="auto"/>
          <w:kern w:val="28"/>
        </w:rPr>
      </w:pPr>
      <w:r>
        <w:rPr>
          <w:rFonts w:hint="eastAsia" w:ascii="宋体" w:hAnsi="宋体" w:cs="Arial"/>
          <w:color w:val="auto"/>
          <w:kern w:val="28"/>
        </w:rPr>
        <w:t>在采购过程中或评审过程中符合要求的磋商供应商小于3家的，按《政府采购竞争性磋商采购方式管理办法》（财库[2014]214号）文件以及财政部（《关于政府采购竞争性磋商采购方式管理暂行办法有关问题的补充通知》（财库[2015]124号））文件规定执行。</w:t>
      </w:r>
      <w:r>
        <w:rPr>
          <w:rFonts w:hint="eastAsia" w:ascii="宋体" w:hAnsi="宋体" w:cs="宋体"/>
          <w:bCs/>
          <w:color w:val="auto"/>
          <w:kern w:val="28"/>
        </w:rPr>
        <w:t xml:space="preserve"> </w:t>
      </w:r>
    </w:p>
    <w:p>
      <w:pPr>
        <w:spacing w:line="400" w:lineRule="exact"/>
        <w:ind w:firstLine="422" w:firstLineChars="200"/>
        <w:rPr>
          <w:rFonts w:ascii="宋体" w:hAnsi="宋体" w:cs="宋体"/>
          <w:b/>
          <w:bCs/>
          <w:color w:val="auto"/>
          <w:kern w:val="28"/>
        </w:rPr>
      </w:pPr>
      <w:r>
        <w:rPr>
          <w:rFonts w:hint="eastAsia" w:ascii="宋体" w:hAnsi="宋体" w:cs="宋体"/>
          <w:b/>
          <w:bCs/>
          <w:color w:val="auto"/>
          <w:kern w:val="28"/>
        </w:rPr>
        <w:t>三、评定办法</w:t>
      </w:r>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本次评标采用综合评分法，总分为100分，其中报价部分30分、</w:t>
      </w:r>
      <w:r>
        <w:rPr>
          <w:rFonts w:hint="eastAsia" w:ascii="宋体" w:hAnsi="宋体" w:cs="宋体"/>
          <w:bCs/>
          <w:color w:val="auto"/>
          <w:kern w:val="28"/>
          <w:lang w:eastAsia="zh-CN"/>
        </w:rPr>
        <w:t>技术部分</w:t>
      </w:r>
      <w:r>
        <w:rPr>
          <w:rFonts w:hint="eastAsia" w:ascii="宋体" w:hAnsi="宋体" w:cs="宋体"/>
          <w:bCs/>
          <w:color w:val="auto"/>
          <w:kern w:val="28"/>
        </w:rPr>
        <w:t>70分。合格供应商的评标得分为各项目汇总得分。评分过程中数值计算采用四舍五入法，并保留小数2位。</w:t>
      </w:r>
    </w:p>
    <w:p>
      <w:pPr>
        <w:spacing w:line="400" w:lineRule="exact"/>
        <w:ind w:firstLine="420" w:firstLineChars="200"/>
        <w:rPr>
          <w:rFonts w:ascii="宋体" w:hAnsi="宋体" w:cs="宋体"/>
          <w:bCs/>
          <w:color w:val="auto"/>
          <w:kern w:val="28"/>
          <w:szCs w:val="22"/>
        </w:rPr>
      </w:pPr>
      <w:r>
        <w:rPr>
          <w:rFonts w:hint="eastAsia" w:ascii="宋体" w:hAnsi="宋体" w:cs="宋体"/>
          <w:bCs/>
          <w:color w:val="auto"/>
          <w:kern w:val="28"/>
          <w:szCs w:val="22"/>
        </w:rPr>
        <w:t>评标价的确定：</w:t>
      </w:r>
    </w:p>
    <w:p>
      <w:pPr>
        <w:spacing w:line="400" w:lineRule="exact"/>
        <w:ind w:firstLine="420" w:firstLineChars="200"/>
        <w:rPr>
          <w:rFonts w:ascii="宋体" w:hAnsi="宋体" w:cs="宋体"/>
          <w:bCs/>
          <w:color w:val="auto"/>
          <w:kern w:val="28"/>
          <w:szCs w:val="22"/>
        </w:rPr>
      </w:pPr>
      <w:r>
        <w:rPr>
          <w:rFonts w:hint="eastAsia" w:ascii="宋体" w:hAnsi="宋体" w:cs="宋体"/>
          <w:bCs/>
          <w:color w:val="auto"/>
          <w:kern w:val="28"/>
          <w:szCs w:val="22"/>
        </w:rPr>
        <w:t>1、初审时发现价格计算有误，将按下述原则修正：</w:t>
      </w:r>
    </w:p>
    <w:p>
      <w:pPr>
        <w:numPr>
          <w:ilvl w:val="0"/>
          <w:numId w:val="28"/>
        </w:numPr>
        <w:tabs>
          <w:tab w:val="left" w:pos="420"/>
          <w:tab w:val="left" w:pos="1060"/>
          <w:tab w:val="clear" w:pos="1560"/>
        </w:tabs>
        <w:snapToGrid w:val="0"/>
        <w:spacing w:line="400" w:lineRule="exact"/>
        <w:ind w:left="1058" w:leftChars="200" w:hanging="638" w:hangingChars="304"/>
        <w:rPr>
          <w:rFonts w:ascii="宋体" w:hAnsi="宋体" w:cs="宋体"/>
          <w:color w:val="auto"/>
          <w:szCs w:val="22"/>
        </w:rPr>
      </w:pPr>
      <w:r>
        <w:rPr>
          <w:rFonts w:hint="eastAsia" w:ascii="Arial" w:hAnsi="Arial"/>
          <w:color w:val="auto"/>
          <w:szCs w:val="22"/>
        </w:rPr>
        <w:t>响应文件中首轮报价一览表的内容与响应文件中相应内容不一致的，以首轮报价一览表为准；</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大写金额和小写金额不一致的，以大写金额为准；</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单价金额小数点或者百分比有明显错位的，以最后报价一览表的总价为准，并修正单价；</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总价金额与按单价汇总金额不一致的，以单价金额计算结果为准。</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如磋商响应文件正本与副本表示的有差别，以正本为准，修正副本。</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如以文字表示的数据与数字表示的有差别，以文字为准修正数字。</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u w:val="wave"/>
        </w:rPr>
        <w:t>▲如磋商供应商缺漏项价格比例达到投标报价的5%（含）以上时，属于重大偏离，磋商小组将对其投标按无效标处理。</w:t>
      </w:r>
    </w:p>
    <w:p>
      <w:pPr>
        <w:numPr>
          <w:ilvl w:val="0"/>
          <w:numId w:val="28"/>
        </w:numPr>
        <w:tabs>
          <w:tab w:val="left" w:pos="420"/>
          <w:tab w:val="left" w:pos="993"/>
          <w:tab w:val="left" w:pos="1134"/>
        </w:tabs>
        <w:snapToGrid w:val="0"/>
        <w:spacing w:line="400" w:lineRule="exact"/>
        <w:ind w:left="0" w:firstLine="420" w:firstLineChars="200"/>
        <w:rPr>
          <w:rFonts w:ascii="宋体" w:hAnsi="宋体" w:cs="宋体"/>
          <w:color w:val="auto"/>
          <w:szCs w:val="22"/>
        </w:rPr>
      </w:pPr>
      <w:r>
        <w:rPr>
          <w:rFonts w:hint="eastAsia" w:ascii="宋体" w:hAnsi="宋体" w:cs="宋体"/>
          <w:color w:val="auto"/>
          <w:szCs w:val="22"/>
        </w:rPr>
        <w:t>如磋商供应商的磋商响应文件前后矛盾，磋商小组将作出不利于磋商供应商的修正。</w:t>
      </w:r>
    </w:p>
    <w:p>
      <w:pPr>
        <w:spacing w:line="400" w:lineRule="exact"/>
        <w:ind w:firstLine="420" w:firstLineChars="200"/>
        <w:rPr>
          <w:rFonts w:ascii="宋体" w:hAnsi="宋体" w:cs="宋体"/>
          <w:bCs/>
          <w:color w:val="auto"/>
          <w:kern w:val="28"/>
          <w:szCs w:val="22"/>
        </w:rPr>
      </w:pPr>
      <w:r>
        <w:rPr>
          <w:rFonts w:hint="eastAsia" w:ascii="宋体" w:hAnsi="宋体" w:cs="宋体"/>
          <w:bCs/>
          <w:color w:val="auto"/>
          <w:kern w:val="28"/>
          <w:szCs w:val="22"/>
        </w:rPr>
        <w:t>注（1）~（3）同时出现两种以上不一致的，按照前款规定的顺序修正。修正后的报价按照相关法律规定经磋商供应商确认后产生约束力，磋商供应商不确认的，其投标无效。</w:t>
      </w:r>
    </w:p>
    <w:p>
      <w:pPr>
        <w:spacing w:line="360" w:lineRule="exact"/>
        <w:ind w:firstLine="420" w:firstLineChars="200"/>
        <w:rPr>
          <w:rFonts w:ascii="宋体" w:hAnsi="宋体" w:cs="宋体"/>
          <w:bCs/>
          <w:color w:val="auto"/>
          <w:kern w:val="28"/>
        </w:rPr>
      </w:pPr>
      <w:r>
        <w:rPr>
          <w:rFonts w:hint="eastAsia" w:ascii="宋体" w:hAnsi="宋体" w:cs="宋体"/>
          <w:bCs/>
          <w:color w:val="auto"/>
          <w:kern w:val="28"/>
        </w:rPr>
        <w:t>磋商程序详见第二部分磋商供应商须知“（六）磋商与评审”</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463"/>
        <w:gridCol w:w="3156"/>
        <w:gridCol w:w="294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92" w:type="dxa"/>
            <w:vAlign w:val="center"/>
          </w:tcPr>
          <w:p>
            <w:pPr>
              <w:spacing w:line="360" w:lineRule="exact"/>
              <w:ind w:right="3"/>
              <w:jc w:val="center"/>
              <w:rPr>
                <w:rFonts w:ascii="宋体" w:hAnsi="宋体" w:cs="宋体"/>
                <w:b/>
                <w:bCs/>
                <w:color w:val="auto"/>
                <w:szCs w:val="21"/>
              </w:rPr>
            </w:pPr>
            <w:r>
              <w:rPr>
                <w:rFonts w:hint="eastAsia" w:ascii="宋体" w:hAnsi="宋体" w:cs="宋体"/>
                <w:b/>
                <w:bCs/>
                <w:color w:val="auto"/>
                <w:szCs w:val="21"/>
              </w:rPr>
              <w:t>序号</w:t>
            </w:r>
          </w:p>
        </w:tc>
        <w:tc>
          <w:tcPr>
            <w:tcW w:w="1463" w:type="dxa"/>
            <w:vAlign w:val="center"/>
          </w:tcPr>
          <w:p>
            <w:pPr>
              <w:spacing w:line="360" w:lineRule="exact"/>
              <w:ind w:right="3"/>
              <w:jc w:val="center"/>
              <w:rPr>
                <w:rFonts w:ascii="宋体" w:hAnsi="宋体" w:cs="宋体"/>
                <w:b/>
                <w:bCs/>
                <w:color w:val="auto"/>
                <w:szCs w:val="21"/>
              </w:rPr>
            </w:pPr>
            <w:r>
              <w:rPr>
                <w:rFonts w:hint="eastAsia" w:ascii="宋体" w:hAnsi="宋体" w:cs="宋体"/>
                <w:b/>
                <w:bCs/>
                <w:color w:val="auto"/>
                <w:szCs w:val="21"/>
              </w:rPr>
              <w:t>评审类型</w:t>
            </w:r>
          </w:p>
        </w:tc>
        <w:tc>
          <w:tcPr>
            <w:tcW w:w="3156" w:type="dxa"/>
            <w:vAlign w:val="center"/>
          </w:tcPr>
          <w:p>
            <w:pPr>
              <w:pStyle w:val="10"/>
              <w:spacing w:line="360" w:lineRule="exact"/>
              <w:ind w:firstLine="0"/>
              <w:jc w:val="center"/>
              <w:rPr>
                <w:rFonts w:ascii="宋体" w:hAnsi="宋体" w:cs="宋体"/>
                <w:b/>
                <w:bCs/>
                <w:color w:val="auto"/>
                <w:szCs w:val="21"/>
              </w:rPr>
            </w:pPr>
            <w:r>
              <w:rPr>
                <w:rFonts w:hint="eastAsia" w:ascii="宋体" w:hAnsi="宋体" w:cs="宋体"/>
                <w:b/>
                <w:bCs/>
                <w:color w:val="auto"/>
                <w:szCs w:val="21"/>
              </w:rPr>
              <w:t>评审内容</w:t>
            </w:r>
          </w:p>
        </w:tc>
        <w:tc>
          <w:tcPr>
            <w:tcW w:w="4249" w:type="dxa"/>
            <w:gridSpan w:val="2"/>
            <w:vAlign w:val="center"/>
          </w:tcPr>
          <w:p>
            <w:pPr>
              <w:pStyle w:val="10"/>
              <w:spacing w:line="360" w:lineRule="exact"/>
              <w:ind w:firstLine="0"/>
              <w:jc w:val="center"/>
              <w:rPr>
                <w:rFonts w:ascii="宋体" w:hAnsi="宋体" w:cs="宋体"/>
                <w:b/>
                <w:bCs/>
                <w:color w:val="auto"/>
                <w:szCs w:val="21"/>
              </w:rPr>
            </w:pPr>
            <w:r>
              <w:rPr>
                <w:rFonts w:hint="eastAsia" w:ascii="宋体" w:hAnsi="宋体" w:cs="宋体"/>
                <w:b/>
                <w:bCs/>
                <w:color w:val="auto"/>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92" w:type="dxa"/>
            <w:vAlign w:val="center"/>
          </w:tcPr>
          <w:p>
            <w:pPr>
              <w:spacing w:line="360" w:lineRule="exact"/>
              <w:ind w:right="3"/>
              <w:jc w:val="center"/>
              <w:rPr>
                <w:rFonts w:ascii="宋体" w:hAnsi="宋体" w:cs="宋体"/>
                <w:color w:val="auto"/>
                <w:spacing w:val="4"/>
                <w:szCs w:val="21"/>
              </w:rPr>
            </w:pPr>
            <w:r>
              <w:rPr>
                <w:rFonts w:hint="eastAsia" w:ascii="宋体" w:hAnsi="宋体" w:cs="宋体"/>
                <w:color w:val="auto"/>
                <w:spacing w:val="4"/>
                <w:szCs w:val="21"/>
              </w:rPr>
              <w:t>1</w:t>
            </w:r>
          </w:p>
        </w:tc>
        <w:tc>
          <w:tcPr>
            <w:tcW w:w="1463" w:type="dxa"/>
            <w:vAlign w:val="center"/>
          </w:tcPr>
          <w:p>
            <w:pPr>
              <w:spacing w:line="320" w:lineRule="exact"/>
              <w:ind w:right="3"/>
              <w:jc w:val="center"/>
              <w:rPr>
                <w:rFonts w:ascii="宋体" w:hAnsi="宋体" w:cs="宋体"/>
                <w:b/>
                <w:color w:val="auto"/>
                <w:spacing w:val="4"/>
                <w:szCs w:val="21"/>
              </w:rPr>
            </w:pPr>
            <w:r>
              <w:rPr>
                <w:rFonts w:hint="eastAsia" w:ascii="宋体" w:hAnsi="宋体" w:cs="宋体"/>
                <w:b/>
                <w:color w:val="auto"/>
                <w:szCs w:val="21"/>
              </w:rPr>
              <w:t>资格</w:t>
            </w:r>
            <w:r>
              <w:rPr>
                <w:rFonts w:hint="eastAsia" w:ascii="宋体" w:hAnsi="宋体" w:cs="宋体"/>
                <w:b/>
                <w:bCs/>
                <w:color w:val="auto"/>
                <w:kern w:val="28"/>
                <w:szCs w:val="21"/>
              </w:rPr>
              <w:t>性检查</w:t>
            </w:r>
          </w:p>
        </w:tc>
        <w:tc>
          <w:tcPr>
            <w:tcW w:w="3156" w:type="dxa"/>
            <w:vAlign w:val="center"/>
          </w:tcPr>
          <w:p>
            <w:pPr>
              <w:pStyle w:val="10"/>
              <w:ind w:firstLine="0"/>
              <w:jc w:val="center"/>
              <w:rPr>
                <w:rFonts w:ascii="宋体" w:hAnsi="宋体" w:cs="宋体"/>
                <w:color w:val="auto"/>
                <w:szCs w:val="21"/>
              </w:rPr>
            </w:pPr>
            <w:r>
              <w:rPr>
                <w:rFonts w:hint="eastAsia" w:ascii="宋体" w:hAnsi="宋体" w:cs="宋体"/>
                <w:color w:val="auto"/>
                <w:szCs w:val="21"/>
              </w:rPr>
              <w:t>基本资格</w:t>
            </w:r>
          </w:p>
        </w:tc>
        <w:tc>
          <w:tcPr>
            <w:tcW w:w="4249" w:type="dxa"/>
            <w:gridSpan w:val="2"/>
            <w:vAlign w:val="center"/>
          </w:tcPr>
          <w:p>
            <w:pPr>
              <w:pStyle w:val="10"/>
              <w:spacing w:line="360" w:lineRule="auto"/>
              <w:ind w:firstLine="0"/>
              <w:rPr>
                <w:rFonts w:ascii="宋体" w:hAnsi="宋体" w:cs="宋体"/>
                <w:color w:val="auto"/>
                <w:szCs w:val="21"/>
              </w:rPr>
            </w:pPr>
            <w:r>
              <w:rPr>
                <w:rFonts w:hint="eastAsia" w:ascii="宋体" w:hAnsi="宋体" w:cs="宋体"/>
                <w:color w:val="auto"/>
                <w:szCs w:val="21"/>
              </w:rPr>
              <w:t>（1）符合《中华人民共和国政府采购法》第二十二条的要求；</w:t>
            </w:r>
          </w:p>
          <w:p>
            <w:pPr>
              <w:pStyle w:val="10"/>
              <w:spacing w:line="360" w:lineRule="auto"/>
              <w:ind w:firstLine="0"/>
              <w:rPr>
                <w:rFonts w:ascii="宋体" w:hAnsi="宋体" w:cs="宋体"/>
                <w:color w:val="auto"/>
                <w:szCs w:val="21"/>
              </w:rPr>
            </w:pPr>
            <w:r>
              <w:rPr>
                <w:rFonts w:hint="eastAsia" w:ascii="宋体" w:hAnsi="宋体" w:cs="宋体"/>
                <w:color w:val="auto"/>
                <w:szCs w:val="21"/>
              </w:rPr>
              <w:t>（2）未被信用中国网站（www.creditchina.gov.cn）列入失信被执行人、重大税收违法件当事人名单，未被中国政府采购网（www.ccgp.gov.cn）列入政府采购严重违法失信行为记录名单、未被国家企业信用信息公示系统（www.gsxt.gov.cn）列入严重违法失信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692" w:type="dxa"/>
            <w:vMerge w:val="restart"/>
            <w:vAlign w:val="center"/>
          </w:tcPr>
          <w:p>
            <w:pPr>
              <w:spacing w:line="360" w:lineRule="exact"/>
              <w:ind w:right="3"/>
              <w:jc w:val="center"/>
              <w:rPr>
                <w:rFonts w:ascii="宋体" w:hAnsi="宋体" w:cs="宋体"/>
                <w:color w:val="auto"/>
                <w:szCs w:val="21"/>
              </w:rPr>
            </w:pPr>
            <w:r>
              <w:rPr>
                <w:rFonts w:hint="eastAsia" w:ascii="宋体" w:hAnsi="宋体" w:cs="宋体"/>
                <w:color w:val="auto"/>
                <w:szCs w:val="21"/>
              </w:rPr>
              <w:t>2</w:t>
            </w:r>
          </w:p>
        </w:tc>
        <w:tc>
          <w:tcPr>
            <w:tcW w:w="1463" w:type="dxa"/>
            <w:vMerge w:val="restart"/>
            <w:vAlign w:val="center"/>
          </w:tcPr>
          <w:p>
            <w:pPr>
              <w:spacing w:line="320" w:lineRule="exact"/>
              <w:ind w:right="3"/>
              <w:jc w:val="center"/>
              <w:rPr>
                <w:rFonts w:ascii="宋体" w:hAnsi="宋体" w:cs="宋体"/>
                <w:b/>
                <w:color w:val="auto"/>
                <w:szCs w:val="21"/>
              </w:rPr>
            </w:pPr>
            <w:r>
              <w:rPr>
                <w:rFonts w:hint="eastAsia" w:ascii="宋体" w:hAnsi="宋体" w:cs="宋体"/>
                <w:b/>
                <w:bCs/>
                <w:color w:val="auto"/>
                <w:kern w:val="28"/>
                <w:szCs w:val="21"/>
              </w:rPr>
              <w:t>符合性检查</w:t>
            </w:r>
          </w:p>
        </w:tc>
        <w:tc>
          <w:tcPr>
            <w:tcW w:w="3156" w:type="dxa"/>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供应商名称</w:t>
            </w:r>
          </w:p>
        </w:tc>
        <w:tc>
          <w:tcPr>
            <w:tcW w:w="4249" w:type="dxa"/>
            <w:gridSpan w:val="2"/>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trPr>
        <w:tc>
          <w:tcPr>
            <w:tcW w:w="692" w:type="dxa"/>
            <w:vMerge w:val="continue"/>
            <w:vAlign w:val="center"/>
          </w:tcPr>
          <w:p>
            <w:pPr>
              <w:spacing w:line="360" w:lineRule="exact"/>
              <w:ind w:right="3"/>
              <w:jc w:val="center"/>
              <w:rPr>
                <w:rFonts w:ascii="宋体" w:hAnsi="宋体" w:cs="宋体"/>
                <w:color w:val="auto"/>
                <w:szCs w:val="21"/>
              </w:rPr>
            </w:pPr>
          </w:p>
        </w:tc>
        <w:tc>
          <w:tcPr>
            <w:tcW w:w="1463" w:type="dxa"/>
            <w:vMerge w:val="continue"/>
            <w:vAlign w:val="center"/>
          </w:tcPr>
          <w:p>
            <w:pPr>
              <w:spacing w:line="320" w:lineRule="exact"/>
              <w:ind w:right="3"/>
              <w:jc w:val="center"/>
              <w:rPr>
                <w:rFonts w:ascii="宋体" w:hAnsi="宋体" w:cs="宋体"/>
                <w:color w:val="auto"/>
                <w:szCs w:val="21"/>
              </w:rPr>
            </w:pPr>
          </w:p>
        </w:tc>
        <w:tc>
          <w:tcPr>
            <w:tcW w:w="3156" w:type="dxa"/>
            <w:tcBorders>
              <w:top w:val="single" w:color="auto" w:sz="4" w:space="0"/>
              <w:bottom w:val="single" w:color="auto" w:sz="4" w:space="0"/>
            </w:tcBorders>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磋商响应函签字盖章</w:t>
            </w:r>
          </w:p>
        </w:tc>
        <w:tc>
          <w:tcPr>
            <w:tcW w:w="4249" w:type="dxa"/>
            <w:gridSpan w:val="2"/>
            <w:vAlign w:val="center"/>
          </w:tcPr>
          <w:p>
            <w:pPr>
              <w:pStyle w:val="10"/>
              <w:spacing w:line="320" w:lineRule="exact"/>
              <w:ind w:firstLine="0"/>
              <w:jc w:val="center"/>
              <w:rPr>
                <w:rFonts w:ascii="宋体" w:hAnsi="宋体" w:cs="宋体"/>
                <w:color w:val="auto"/>
                <w:szCs w:val="21"/>
              </w:rPr>
            </w:pPr>
            <w:r>
              <w:rPr>
                <w:rFonts w:hint="eastAsia" w:ascii="Arial" w:hAnsi="Arial" w:eastAsia="新宋体" w:cs="Arial"/>
                <w:color w:val="auto"/>
                <w:kern w:val="2"/>
                <w:szCs w:val="21"/>
              </w:rPr>
              <w:t>有法定代表人或其委托代理人（签字或盖章）并加盖单位公章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692" w:type="dxa"/>
            <w:vMerge w:val="continue"/>
            <w:vAlign w:val="center"/>
          </w:tcPr>
          <w:p>
            <w:pPr>
              <w:spacing w:line="360" w:lineRule="exact"/>
              <w:ind w:right="3"/>
              <w:jc w:val="center"/>
              <w:rPr>
                <w:rFonts w:ascii="宋体" w:hAnsi="宋体" w:cs="宋体"/>
                <w:color w:val="auto"/>
                <w:szCs w:val="21"/>
              </w:rPr>
            </w:pPr>
          </w:p>
        </w:tc>
        <w:tc>
          <w:tcPr>
            <w:tcW w:w="1463" w:type="dxa"/>
            <w:vMerge w:val="continue"/>
            <w:vAlign w:val="center"/>
          </w:tcPr>
          <w:p>
            <w:pPr>
              <w:spacing w:line="320" w:lineRule="exact"/>
              <w:ind w:right="3"/>
              <w:jc w:val="center"/>
              <w:rPr>
                <w:rFonts w:ascii="宋体" w:hAnsi="宋体" w:cs="宋体"/>
                <w:color w:val="auto"/>
                <w:szCs w:val="21"/>
              </w:rPr>
            </w:pPr>
          </w:p>
        </w:tc>
        <w:tc>
          <w:tcPr>
            <w:tcW w:w="3156" w:type="dxa"/>
            <w:tcBorders>
              <w:top w:val="single" w:color="auto" w:sz="4" w:space="0"/>
              <w:bottom w:val="single" w:color="auto" w:sz="4" w:space="0"/>
            </w:tcBorders>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磋商响应文件格式</w:t>
            </w:r>
          </w:p>
        </w:tc>
        <w:tc>
          <w:tcPr>
            <w:tcW w:w="4249" w:type="dxa"/>
            <w:gridSpan w:val="2"/>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符合第五部分“磋商响应文件格式”的要求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92" w:type="dxa"/>
            <w:vMerge w:val="continue"/>
            <w:vAlign w:val="center"/>
          </w:tcPr>
          <w:p>
            <w:pPr>
              <w:spacing w:line="360" w:lineRule="exact"/>
              <w:ind w:right="3"/>
              <w:jc w:val="center"/>
              <w:rPr>
                <w:rFonts w:ascii="宋体" w:hAnsi="宋体" w:cs="宋体"/>
                <w:color w:val="auto"/>
                <w:szCs w:val="21"/>
              </w:rPr>
            </w:pPr>
          </w:p>
        </w:tc>
        <w:tc>
          <w:tcPr>
            <w:tcW w:w="1463" w:type="dxa"/>
            <w:vMerge w:val="continue"/>
            <w:vAlign w:val="center"/>
          </w:tcPr>
          <w:p>
            <w:pPr>
              <w:spacing w:line="320" w:lineRule="exact"/>
              <w:ind w:right="3"/>
              <w:jc w:val="center"/>
              <w:rPr>
                <w:rFonts w:ascii="宋体" w:hAnsi="宋体" w:cs="宋体"/>
                <w:color w:val="auto"/>
                <w:szCs w:val="21"/>
              </w:rPr>
            </w:pPr>
          </w:p>
        </w:tc>
        <w:tc>
          <w:tcPr>
            <w:tcW w:w="3156" w:type="dxa"/>
            <w:tcBorders>
              <w:top w:val="single" w:color="auto" w:sz="4" w:space="0"/>
              <w:bottom w:val="single" w:color="auto" w:sz="4" w:space="0"/>
            </w:tcBorders>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投标有效期</w:t>
            </w:r>
          </w:p>
        </w:tc>
        <w:tc>
          <w:tcPr>
            <w:tcW w:w="4249" w:type="dxa"/>
            <w:gridSpan w:val="2"/>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不少于60日历天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92" w:type="dxa"/>
            <w:vMerge w:val="continue"/>
            <w:vAlign w:val="center"/>
          </w:tcPr>
          <w:p>
            <w:pPr>
              <w:spacing w:line="360" w:lineRule="exact"/>
              <w:ind w:right="3"/>
              <w:jc w:val="center"/>
              <w:rPr>
                <w:rFonts w:ascii="宋体" w:hAnsi="宋体" w:cs="宋体"/>
                <w:color w:val="auto"/>
                <w:szCs w:val="21"/>
              </w:rPr>
            </w:pPr>
          </w:p>
        </w:tc>
        <w:tc>
          <w:tcPr>
            <w:tcW w:w="1463" w:type="dxa"/>
            <w:vMerge w:val="continue"/>
            <w:vAlign w:val="center"/>
          </w:tcPr>
          <w:p>
            <w:pPr>
              <w:spacing w:line="320" w:lineRule="exact"/>
              <w:ind w:right="3"/>
              <w:jc w:val="center"/>
              <w:rPr>
                <w:rFonts w:ascii="宋体" w:hAnsi="宋体" w:cs="宋体"/>
                <w:color w:val="auto"/>
                <w:szCs w:val="21"/>
              </w:rPr>
            </w:pPr>
          </w:p>
        </w:tc>
        <w:tc>
          <w:tcPr>
            <w:tcW w:w="3156" w:type="dxa"/>
            <w:tcBorders>
              <w:top w:val="single" w:color="auto" w:sz="4" w:space="0"/>
              <w:bottom w:val="single" w:color="auto" w:sz="4" w:space="0"/>
            </w:tcBorders>
            <w:vAlign w:val="center"/>
          </w:tcPr>
          <w:p>
            <w:pPr>
              <w:pStyle w:val="10"/>
              <w:spacing w:line="320" w:lineRule="exact"/>
              <w:ind w:firstLine="0"/>
              <w:jc w:val="center"/>
              <w:rPr>
                <w:rFonts w:ascii="宋体" w:hAnsi="宋体" w:cs="宋体"/>
                <w:color w:val="auto"/>
                <w:szCs w:val="21"/>
              </w:rPr>
            </w:pPr>
            <w:r>
              <w:rPr>
                <w:rFonts w:hint="eastAsia" w:ascii="宋体" w:hAnsi="宋体" w:cs="宋体"/>
                <w:color w:val="auto"/>
                <w:szCs w:val="21"/>
              </w:rPr>
              <w:t>服务期</w:t>
            </w:r>
          </w:p>
        </w:tc>
        <w:tc>
          <w:tcPr>
            <w:tcW w:w="4249" w:type="dxa"/>
            <w:gridSpan w:val="2"/>
            <w:vAlign w:val="center"/>
          </w:tcPr>
          <w:p>
            <w:pPr>
              <w:ind w:firstLine="1155" w:firstLineChars="550"/>
              <w:rPr>
                <w:rFonts w:ascii="宋体" w:hAnsi="宋体" w:cs="宋体"/>
                <w:color w:val="auto"/>
                <w:szCs w:val="21"/>
              </w:rPr>
            </w:pPr>
            <w:r>
              <w:rPr>
                <w:rFonts w:hint="eastAsia" w:ascii="宋体" w:hAnsi="宋体" w:cs="宋体"/>
                <w:color w:val="auto"/>
                <w:szCs w:val="21"/>
              </w:rPr>
              <w:t>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92" w:type="dxa"/>
            <w:vMerge w:val="continue"/>
            <w:vAlign w:val="center"/>
          </w:tcPr>
          <w:p>
            <w:pPr>
              <w:spacing w:line="360" w:lineRule="exact"/>
              <w:ind w:right="3"/>
              <w:jc w:val="center"/>
              <w:rPr>
                <w:rFonts w:ascii="宋体" w:hAnsi="宋体" w:cs="宋体"/>
                <w:color w:val="auto"/>
                <w:szCs w:val="21"/>
              </w:rPr>
            </w:pPr>
          </w:p>
        </w:tc>
        <w:tc>
          <w:tcPr>
            <w:tcW w:w="1463" w:type="dxa"/>
            <w:vMerge w:val="continue"/>
            <w:vAlign w:val="center"/>
          </w:tcPr>
          <w:p>
            <w:pPr>
              <w:spacing w:line="320" w:lineRule="exact"/>
              <w:ind w:right="3"/>
              <w:jc w:val="center"/>
              <w:rPr>
                <w:rFonts w:ascii="宋体" w:hAnsi="宋体" w:cs="宋体"/>
                <w:color w:val="auto"/>
                <w:szCs w:val="21"/>
              </w:rPr>
            </w:pPr>
          </w:p>
        </w:tc>
        <w:tc>
          <w:tcPr>
            <w:tcW w:w="3156" w:type="dxa"/>
            <w:tcBorders>
              <w:top w:val="single" w:color="auto" w:sz="4" w:space="0"/>
              <w:bottom w:val="single" w:color="auto" w:sz="4" w:space="0"/>
            </w:tcBorders>
            <w:vAlign w:val="center"/>
          </w:tcPr>
          <w:p>
            <w:pPr>
              <w:pStyle w:val="10"/>
              <w:spacing w:line="360" w:lineRule="exact"/>
              <w:ind w:firstLine="0"/>
              <w:jc w:val="center"/>
              <w:rPr>
                <w:rFonts w:ascii="Arial" w:hAnsi="Arial" w:eastAsia="新宋体" w:cs="Arial"/>
                <w:color w:val="auto"/>
                <w:kern w:val="2"/>
                <w:szCs w:val="21"/>
              </w:rPr>
            </w:pPr>
            <w:r>
              <w:rPr>
                <w:rFonts w:hint="eastAsia" w:ascii="Arial" w:hAnsi="Arial" w:eastAsia="新宋体" w:cs="Arial"/>
                <w:color w:val="auto"/>
                <w:kern w:val="2"/>
                <w:szCs w:val="21"/>
              </w:rPr>
              <w:t>报价唯一</w:t>
            </w:r>
          </w:p>
        </w:tc>
        <w:tc>
          <w:tcPr>
            <w:tcW w:w="4249" w:type="dxa"/>
            <w:gridSpan w:val="2"/>
            <w:vAlign w:val="center"/>
          </w:tcPr>
          <w:p>
            <w:pPr>
              <w:spacing w:line="276" w:lineRule="auto"/>
              <w:rPr>
                <w:rFonts w:ascii="Calibri" w:hAnsi="Calibri"/>
                <w:color w:val="auto"/>
                <w:kern w:val="2"/>
                <w:szCs w:val="21"/>
              </w:rPr>
            </w:pPr>
            <w:r>
              <w:rPr>
                <w:rFonts w:hint="eastAsia" w:ascii="Calibri" w:hAnsi="Calibri"/>
                <w:color w:val="auto"/>
                <w:kern w:val="2"/>
                <w:szCs w:val="21"/>
              </w:rPr>
              <w:t>只能有一个有效报价，不得出现下列情形之一：</w:t>
            </w:r>
          </w:p>
          <w:p>
            <w:pPr>
              <w:spacing w:line="276" w:lineRule="auto"/>
              <w:rPr>
                <w:rFonts w:ascii="Calibri" w:hAnsi="Calibri"/>
                <w:color w:val="auto"/>
                <w:kern w:val="2"/>
                <w:szCs w:val="21"/>
              </w:rPr>
            </w:pPr>
            <w:r>
              <w:rPr>
                <w:rFonts w:hint="eastAsia" w:ascii="Calibri" w:hAnsi="Calibri"/>
                <w:color w:val="auto"/>
                <w:kern w:val="2"/>
                <w:szCs w:val="21"/>
              </w:rPr>
              <w:t>1、磋商供应商递交两份或多份内容不同的磋商响应文件；</w:t>
            </w:r>
          </w:p>
          <w:p>
            <w:pPr>
              <w:spacing w:line="276" w:lineRule="auto"/>
              <w:rPr>
                <w:rFonts w:ascii="Calibri" w:hAnsi="Calibri"/>
                <w:color w:val="auto"/>
                <w:kern w:val="2"/>
                <w:szCs w:val="21"/>
              </w:rPr>
            </w:pPr>
            <w:r>
              <w:rPr>
                <w:rFonts w:hint="eastAsia" w:ascii="Calibri" w:hAnsi="Calibri"/>
                <w:color w:val="auto"/>
                <w:kern w:val="2"/>
                <w:szCs w:val="21"/>
              </w:rPr>
              <w:t>2、在一份磋商响应文件中对同一招标项目报价有两个或多个报价，且未声明哪一个有效；</w:t>
            </w:r>
          </w:p>
          <w:p>
            <w:pPr>
              <w:spacing w:line="276" w:lineRule="auto"/>
              <w:rPr>
                <w:rFonts w:ascii="Calibri" w:hAnsi="Calibri"/>
                <w:color w:val="auto"/>
                <w:kern w:val="2"/>
                <w:szCs w:val="21"/>
              </w:rPr>
            </w:pPr>
            <w:r>
              <w:rPr>
                <w:rFonts w:hint="eastAsia" w:ascii="Calibri" w:hAnsi="Calibri"/>
                <w:color w:val="auto"/>
                <w:kern w:val="2"/>
                <w:szCs w:val="21"/>
              </w:rPr>
              <w:t>3、磋商响应文件中报价一览表的报价与报价明细表的合计总价不一致。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692" w:type="dxa"/>
            <w:vAlign w:val="center"/>
          </w:tcPr>
          <w:p>
            <w:pPr>
              <w:spacing w:line="360" w:lineRule="exact"/>
              <w:ind w:right="3"/>
              <w:jc w:val="center"/>
              <w:rPr>
                <w:rFonts w:ascii="宋体" w:hAnsi="宋体" w:cs="宋体"/>
                <w:color w:val="auto"/>
                <w:szCs w:val="21"/>
              </w:rPr>
            </w:pPr>
            <w:r>
              <w:rPr>
                <w:rFonts w:hint="eastAsia" w:ascii="宋体" w:hAnsi="宋体" w:cs="宋体"/>
                <w:color w:val="auto"/>
                <w:szCs w:val="21"/>
              </w:rPr>
              <w:t>3</w:t>
            </w:r>
          </w:p>
        </w:tc>
        <w:tc>
          <w:tcPr>
            <w:tcW w:w="1463" w:type="dxa"/>
            <w:vAlign w:val="center"/>
          </w:tcPr>
          <w:p>
            <w:pPr>
              <w:spacing w:line="360" w:lineRule="exact"/>
              <w:ind w:right="3"/>
              <w:jc w:val="center"/>
              <w:rPr>
                <w:rFonts w:ascii="宋体" w:hAnsi="宋体" w:cs="宋体"/>
                <w:b/>
                <w:color w:val="auto"/>
                <w:szCs w:val="21"/>
              </w:rPr>
            </w:pPr>
            <w:r>
              <w:rPr>
                <w:rFonts w:hint="eastAsia" w:ascii="宋体" w:hAnsi="宋体" w:cs="宋体"/>
                <w:b/>
                <w:color w:val="auto"/>
                <w:szCs w:val="21"/>
              </w:rPr>
              <w:t>无效标条款</w:t>
            </w:r>
          </w:p>
        </w:tc>
        <w:tc>
          <w:tcPr>
            <w:tcW w:w="7405" w:type="dxa"/>
            <w:gridSpan w:val="3"/>
            <w:tcBorders>
              <w:top w:val="single" w:color="auto" w:sz="4" w:space="0"/>
            </w:tcBorders>
            <w:vAlign w:val="center"/>
          </w:tcPr>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报价不是固定价的；</w:t>
            </w:r>
          </w:p>
          <w:p>
            <w:pPr>
              <w:numPr>
                <w:ilvl w:val="0"/>
                <w:numId w:val="29"/>
              </w:numPr>
              <w:tabs>
                <w:tab w:val="left" w:pos="640"/>
              </w:tabs>
              <w:ind w:left="643" w:hanging="642" w:hangingChars="306"/>
              <w:rPr>
                <w:rFonts w:ascii="宋体" w:hAnsi="宋体" w:cs="宋体"/>
                <w:color w:val="auto"/>
                <w:szCs w:val="22"/>
              </w:rPr>
            </w:pPr>
            <w:r>
              <w:rPr>
                <w:rFonts w:hint="eastAsia" w:ascii="宋体" w:hAnsi="宋体" w:cs="宋体"/>
                <w:color w:val="auto"/>
              </w:rPr>
              <w:t>投标报价超过最高限价的；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szCs w:val="22"/>
              </w:rPr>
              <w:t>投标报价出现前后不一致，又不接受评标委员会修正的；</w:t>
            </w:r>
          </w:p>
          <w:p>
            <w:pPr>
              <w:widowControl w:val="0"/>
              <w:numPr>
                <w:ilvl w:val="0"/>
                <w:numId w:val="29"/>
              </w:numPr>
              <w:tabs>
                <w:tab w:val="left" w:pos="640"/>
                <w:tab w:val="left" w:pos="993"/>
              </w:tabs>
              <w:ind w:left="643" w:hanging="642" w:hangingChars="306"/>
              <w:jc w:val="both"/>
              <w:rPr>
                <w:rFonts w:ascii="宋体" w:hAnsi="宋体" w:cs="宋体"/>
                <w:color w:val="auto"/>
                <w:szCs w:val="22"/>
              </w:rPr>
            </w:pPr>
            <w:r>
              <w:rPr>
                <w:rFonts w:hint="eastAsia" w:ascii="宋体" w:hAnsi="宋体" w:cs="宋体"/>
                <w:color w:val="auto"/>
                <w:szCs w:val="21"/>
              </w:rPr>
              <w:t>投标截止时间止，供应商仅递交了“备份投标文件”而未将电子加密投标文件上传至“政府采购云平台”的；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主要采购服务的技术不满足采购内容及技术要求以及商务有重大偏离或保留的；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磋商小组认为磋商响应文件未实质性响应磋商文件要求的；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不具备磋商文件中规定资格要求的；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未按规定提供</w:t>
            </w:r>
            <w:r>
              <w:rPr>
                <w:rFonts w:hint="eastAsia" w:ascii="宋体" w:hAnsi="宋体" w:cs="宋体"/>
                <w:bCs/>
                <w:color w:val="auto"/>
                <w:szCs w:val="24"/>
              </w:rPr>
              <w:t>关于符合《中华人民共和国政府采购法》第二十二条规定条件的承诺函的</w:t>
            </w:r>
            <w:r>
              <w:rPr>
                <w:rFonts w:hint="eastAsia" w:ascii="宋体" w:hAnsi="宋体" w:cs="宋体"/>
                <w:color w:val="auto"/>
              </w:rPr>
              <w:t>；</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szCs w:val="21"/>
              </w:rPr>
              <w:t>磋商响应文件中需签字或盖章的地方未加盖磋商供应商单位全称的电子签章，或使用投标专用章、合同章等类似图章代替，或未经法定代表人或其委托代理人签字或盖章；</w:t>
            </w:r>
            <w:r>
              <w:rPr>
                <w:rFonts w:hint="eastAsia" w:ascii="宋体" w:hAnsi="宋体" w:cs="宋体"/>
                <w:color w:val="auto"/>
              </w:rPr>
              <w:t xml:space="preserve"> </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不是法定代表人未在磋商响应文件中提供有效法定代表人授权委托书的；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存在不良信用记录的；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磋商小组认为供应商的报价明显低于其他通过符合性审查供应商的报价，有可能影响服务质量或者不能诚信履约且不能在磋商现场证明其报价合理性的；</w:t>
            </w:r>
          </w:p>
          <w:p>
            <w:pPr>
              <w:numPr>
                <w:ilvl w:val="0"/>
                <w:numId w:val="29"/>
              </w:numPr>
              <w:tabs>
                <w:tab w:val="left" w:pos="640"/>
                <w:tab w:val="left" w:pos="709"/>
              </w:tabs>
              <w:ind w:left="643" w:hanging="642" w:hangingChars="306"/>
              <w:rPr>
                <w:rFonts w:ascii="宋体" w:hAnsi="宋体" w:cs="宋体"/>
                <w:color w:val="auto"/>
              </w:rPr>
            </w:pPr>
            <w:r>
              <w:rPr>
                <w:rFonts w:hint="eastAsia" w:ascii="宋体" w:hAnsi="宋体" w:cs="宋体"/>
                <w:color w:val="auto"/>
              </w:rPr>
              <w:t>存在串标、弄虚作假情况的；</w:t>
            </w:r>
          </w:p>
          <w:p>
            <w:pPr>
              <w:numPr>
                <w:ilvl w:val="0"/>
                <w:numId w:val="29"/>
              </w:numPr>
              <w:tabs>
                <w:tab w:val="left" w:pos="640"/>
              </w:tabs>
              <w:ind w:left="643" w:hanging="642" w:hangingChars="306"/>
              <w:rPr>
                <w:rFonts w:ascii="宋体" w:hAnsi="宋体" w:cs="宋体"/>
                <w:color w:val="auto"/>
              </w:rPr>
            </w:pPr>
            <w:r>
              <w:rPr>
                <w:rFonts w:hint="eastAsia" w:ascii="宋体" w:hAnsi="宋体" w:cs="宋体"/>
                <w:color w:val="auto"/>
              </w:rPr>
              <w:t>被列入失信被执行人、重大税收违法案件当事人名单、政府采购严重违法失信行为记录名单；</w:t>
            </w:r>
          </w:p>
          <w:p>
            <w:pPr>
              <w:numPr>
                <w:ilvl w:val="0"/>
                <w:numId w:val="29"/>
              </w:numPr>
              <w:tabs>
                <w:tab w:val="left" w:pos="640"/>
                <w:tab w:val="left" w:pos="851"/>
              </w:tabs>
              <w:ind w:left="643" w:hanging="642" w:hangingChars="306"/>
              <w:rPr>
                <w:rFonts w:ascii="宋体" w:hAnsi="宋体" w:cs="宋体"/>
                <w:color w:val="auto"/>
              </w:rPr>
            </w:pPr>
            <w:r>
              <w:rPr>
                <w:rFonts w:hint="eastAsia" w:ascii="宋体" w:hAnsi="宋体" w:cs="宋体"/>
                <w:color w:val="auto"/>
              </w:rPr>
              <w:t>不符合法律、法规和磋商文件中规定的其他实质性要求的。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2" w:type="dxa"/>
            <w:vAlign w:val="center"/>
          </w:tcPr>
          <w:p>
            <w:pPr>
              <w:spacing w:line="360" w:lineRule="exact"/>
              <w:jc w:val="center"/>
              <w:rPr>
                <w:rFonts w:ascii="宋体" w:hAnsi="宋体" w:cs="宋体"/>
                <w:b/>
                <w:bCs/>
                <w:color w:val="auto"/>
                <w:kern w:val="28"/>
              </w:rPr>
            </w:pPr>
            <w:r>
              <w:rPr>
                <w:rFonts w:hint="eastAsia" w:ascii="宋体" w:hAnsi="宋体" w:cs="宋体"/>
                <w:b/>
                <w:bCs/>
                <w:color w:val="auto"/>
                <w:kern w:val="28"/>
              </w:rPr>
              <w:t>序号</w:t>
            </w:r>
          </w:p>
        </w:tc>
        <w:tc>
          <w:tcPr>
            <w:tcW w:w="1463" w:type="dxa"/>
            <w:vAlign w:val="center"/>
          </w:tcPr>
          <w:p>
            <w:pPr>
              <w:spacing w:line="360" w:lineRule="exact"/>
              <w:jc w:val="center"/>
              <w:rPr>
                <w:rFonts w:ascii="宋体" w:hAnsi="宋体" w:cs="宋体"/>
                <w:b/>
                <w:bCs/>
                <w:color w:val="auto"/>
                <w:kern w:val="28"/>
              </w:rPr>
            </w:pPr>
            <w:r>
              <w:rPr>
                <w:rFonts w:hint="eastAsia" w:ascii="宋体" w:hAnsi="宋体" w:cs="宋体"/>
                <w:b/>
                <w:bCs/>
                <w:color w:val="auto"/>
                <w:kern w:val="28"/>
              </w:rPr>
              <w:t>评审内容及分值</w:t>
            </w:r>
          </w:p>
        </w:tc>
        <w:tc>
          <w:tcPr>
            <w:tcW w:w="6105" w:type="dxa"/>
            <w:gridSpan w:val="2"/>
            <w:vAlign w:val="center"/>
          </w:tcPr>
          <w:p>
            <w:pPr>
              <w:spacing w:line="360" w:lineRule="exact"/>
              <w:jc w:val="center"/>
              <w:rPr>
                <w:rFonts w:ascii="宋体" w:hAnsi="宋体" w:cs="宋体"/>
                <w:b/>
                <w:bCs/>
                <w:color w:val="auto"/>
                <w:kern w:val="28"/>
              </w:rPr>
            </w:pPr>
            <w:r>
              <w:rPr>
                <w:rFonts w:hint="eastAsia" w:ascii="宋体" w:hAnsi="宋体" w:cs="宋体"/>
                <w:b/>
                <w:bCs/>
                <w:color w:val="auto"/>
                <w:kern w:val="28"/>
              </w:rPr>
              <w:t>评分细则</w:t>
            </w:r>
          </w:p>
        </w:tc>
        <w:tc>
          <w:tcPr>
            <w:tcW w:w="1300" w:type="dxa"/>
            <w:vAlign w:val="center"/>
          </w:tcPr>
          <w:p>
            <w:pPr>
              <w:spacing w:line="360" w:lineRule="exact"/>
              <w:jc w:val="center"/>
              <w:rPr>
                <w:rFonts w:ascii="宋体" w:hAnsi="宋体" w:cs="宋体"/>
                <w:b/>
                <w:bCs/>
                <w:color w:val="auto"/>
                <w:kern w:val="28"/>
              </w:rPr>
            </w:pPr>
            <w:r>
              <w:rPr>
                <w:rFonts w:hint="eastAsia" w:ascii="宋体" w:hAnsi="宋体" w:cs="宋体"/>
                <w:b/>
                <w:bCs/>
                <w:color w:val="auto"/>
                <w:kern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92" w:type="dxa"/>
            <w:vAlign w:val="center"/>
          </w:tcPr>
          <w:p>
            <w:pPr>
              <w:spacing w:line="350" w:lineRule="exact"/>
              <w:jc w:val="center"/>
              <w:rPr>
                <w:rFonts w:ascii="宋体" w:hAnsi="宋体" w:cs="宋体"/>
                <w:b/>
                <w:color w:val="auto"/>
                <w:kern w:val="28"/>
              </w:rPr>
            </w:pPr>
            <w:r>
              <w:rPr>
                <w:rFonts w:hint="eastAsia" w:ascii="宋体" w:hAnsi="宋体" w:cs="宋体"/>
                <w:b/>
                <w:color w:val="auto"/>
                <w:kern w:val="28"/>
              </w:rPr>
              <w:t>4</w:t>
            </w:r>
          </w:p>
        </w:tc>
        <w:tc>
          <w:tcPr>
            <w:tcW w:w="1463" w:type="dxa"/>
            <w:vAlign w:val="center"/>
          </w:tcPr>
          <w:p>
            <w:pPr>
              <w:spacing w:line="350" w:lineRule="exact"/>
              <w:jc w:val="center"/>
              <w:rPr>
                <w:rFonts w:ascii="宋体" w:hAnsi="宋体" w:cs="宋体"/>
                <w:b/>
                <w:color w:val="auto"/>
                <w:kern w:val="28"/>
              </w:rPr>
            </w:pPr>
            <w:r>
              <w:rPr>
                <w:rFonts w:hint="eastAsia" w:ascii="宋体" w:hAnsi="宋体" w:cs="宋体"/>
                <w:b/>
                <w:color w:val="auto"/>
                <w:kern w:val="28"/>
              </w:rPr>
              <w:t>报价评分</w:t>
            </w:r>
          </w:p>
        </w:tc>
        <w:tc>
          <w:tcPr>
            <w:tcW w:w="6105" w:type="dxa"/>
            <w:gridSpan w:val="2"/>
            <w:vAlign w:val="center"/>
          </w:tcPr>
          <w:p>
            <w:pPr>
              <w:rPr>
                <w:color w:val="auto"/>
              </w:rPr>
            </w:pPr>
            <w:r>
              <w:rPr>
                <w:rFonts w:hint="eastAsia"/>
                <w:color w:val="auto"/>
              </w:rPr>
              <w:t>本项目最高限价为：</w:t>
            </w:r>
            <w:r>
              <w:rPr>
                <w:rFonts w:hint="eastAsia"/>
                <w:color w:val="auto"/>
                <w:lang w:eastAsia="zh-CN"/>
              </w:rPr>
              <w:t>1754375</w:t>
            </w:r>
            <w:r>
              <w:rPr>
                <w:rFonts w:hint="eastAsia"/>
                <w:color w:val="auto"/>
              </w:rPr>
              <w:t>元（超过最高限价的为无效投标）。</w:t>
            </w:r>
          </w:p>
          <w:p>
            <w:pPr>
              <w:rPr>
                <w:color w:val="auto"/>
              </w:rPr>
            </w:pPr>
            <w:r>
              <w:rPr>
                <w:rFonts w:hint="eastAsia"/>
                <w:color w:val="auto"/>
              </w:rPr>
              <w:t>报价得分：</w:t>
            </w:r>
          </w:p>
          <w:p>
            <w:pPr>
              <w:snapToGrid w:val="0"/>
              <w:spacing w:line="340" w:lineRule="exact"/>
              <w:rPr>
                <w:color w:val="auto"/>
              </w:rPr>
            </w:pPr>
            <w:r>
              <w:rPr>
                <w:rFonts w:hint="eastAsia"/>
                <w:color w:val="auto"/>
              </w:rPr>
              <w:t>资格及符合性审查通过的投标人参加报价评分。</w:t>
            </w:r>
          </w:p>
          <w:p>
            <w:pPr>
              <w:snapToGrid w:val="0"/>
              <w:spacing w:line="340" w:lineRule="exact"/>
              <w:rPr>
                <w:color w:val="auto"/>
              </w:rPr>
            </w:pPr>
            <w:r>
              <w:rPr>
                <w:rFonts w:hint="eastAsia"/>
                <w:color w:val="auto"/>
              </w:rPr>
              <w:t>进入报价程序的全部有效投标人中的最低投标报价作为评分基准值。投标人商务报价与基准值对比，计算出商务报价评分值：</w:t>
            </w:r>
          </w:p>
          <w:p>
            <w:pPr>
              <w:numPr>
                <w:ilvl w:val="0"/>
                <w:numId w:val="24"/>
              </w:numPr>
              <w:tabs>
                <w:tab w:val="left" w:pos="1134"/>
              </w:tabs>
              <w:snapToGrid w:val="0"/>
              <w:spacing w:line="360" w:lineRule="exact"/>
              <w:ind w:firstLine="274"/>
              <w:rPr>
                <w:color w:val="auto"/>
              </w:rPr>
            </w:pPr>
            <w:r>
              <w:rPr>
                <w:rFonts w:hint="eastAsia"/>
                <w:color w:val="auto"/>
              </w:rPr>
              <w:t>全部有效投标人中最低投标报价作为评标基准价。</w:t>
            </w:r>
          </w:p>
          <w:p>
            <w:pPr>
              <w:numPr>
                <w:ilvl w:val="0"/>
                <w:numId w:val="24"/>
              </w:numPr>
              <w:tabs>
                <w:tab w:val="left" w:pos="1134"/>
              </w:tabs>
              <w:snapToGrid w:val="0"/>
              <w:spacing w:line="360" w:lineRule="exact"/>
              <w:ind w:firstLine="274"/>
              <w:rPr>
                <w:color w:val="auto"/>
              </w:rPr>
            </w:pPr>
            <w:r>
              <w:rPr>
                <w:rFonts w:hint="eastAsia"/>
                <w:color w:val="auto"/>
              </w:rPr>
              <w:t>各投标人投标报价与评标基准价对比，计算各投标人的商务报价得分：</w:t>
            </w:r>
          </w:p>
          <w:p>
            <w:pPr>
              <w:numPr>
                <w:ilvl w:val="0"/>
                <w:numId w:val="30"/>
              </w:numPr>
              <w:tabs>
                <w:tab w:val="left" w:pos="982"/>
                <w:tab w:val="clear" w:pos="420"/>
              </w:tabs>
              <w:snapToGrid w:val="0"/>
              <w:spacing w:line="340" w:lineRule="exact"/>
              <w:ind w:left="1672" w:hanging="540"/>
              <w:rPr>
                <w:color w:val="auto"/>
              </w:rPr>
            </w:pPr>
            <w:r>
              <w:rPr>
                <w:rFonts w:hint="eastAsia"/>
                <w:color w:val="auto"/>
              </w:rPr>
              <w:t>等于评标基准价的得满分30分；</w:t>
            </w:r>
          </w:p>
          <w:p>
            <w:pPr>
              <w:numPr>
                <w:ilvl w:val="0"/>
                <w:numId w:val="30"/>
              </w:numPr>
              <w:tabs>
                <w:tab w:val="left" w:pos="982"/>
                <w:tab w:val="clear" w:pos="420"/>
              </w:tabs>
              <w:snapToGrid w:val="0"/>
              <w:spacing w:line="340" w:lineRule="exact"/>
              <w:ind w:left="1672" w:hanging="540"/>
              <w:rPr>
                <w:color w:val="auto"/>
              </w:rPr>
            </w:pPr>
            <w:r>
              <w:rPr>
                <w:rFonts w:hint="eastAsia"/>
                <w:color w:val="auto"/>
              </w:rPr>
              <w:t>其他投标人的商务报价得分按下面公式计算得出：投标人的商务报价得分=（评标基准价/投标报价）×30分；</w:t>
            </w:r>
          </w:p>
          <w:p>
            <w:pPr>
              <w:numPr>
                <w:ilvl w:val="0"/>
                <w:numId w:val="30"/>
              </w:numPr>
              <w:tabs>
                <w:tab w:val="left" w:pos="982"/>
                <w:tab w:val="clear" w:pos="420"/>
              </w:tabs>
              <w:snapToGrid w:val="0"/>
              <w:spacing w:line="340" w:lineRule="exact"/>
              <w:ind w:left="1672" w:hanging="540"/>
              <w:rPr>
                <w:color w:val="auto"/>
              </w:rPr>
            </w:pPr>
            <w:r>
              <w:rPr>
                <w:rFonts w:hint="eastAsia"/>
                <w:color w:val="auto"/>
              </w:rPr>
              <w:t>如有投标价超过最高限价，则该投标人作无效标处理；</w:t>
            </w:r>
          </w:p>
          <w:p>
            <w:pPr>
              <w:spacing w:line="350" w:lineRule="exact"/>
              <w:rPr>
                <w:color w:val="auto"/>
              </w:rPr>
            </w:pPr>
            <w:r>
              <w:rPr>
                <w:rFonts w:hint="eastAsia"/>
                <w:color w:val="auto"/>
              </w:rPr>
              <w:t>商务报价得分计算保留小数2位，第三位四舍五入。</w:t>
            </w:r>
          </w:p>
          <w:p>
            <w:pPr>
              <w:widowControl w:val="0"/>
              <w:tabs>
                <w:tab w:val="left" w:pos="0"/>
              </w:tabs>
              <w:snapToGrid w:val="0"/>
              <w:spacing w:line="360" w:lineRule="exact"/>
              <w:rPr>
                <w:rFonts w:ascii="宋体" w:hAnsi="宋体" w:cs="宋体"/>
                <w:color w:val="auto"/>
                <w:szCs w:val="21"/>
              </w:rPr>
            </w:pPr>
            <w:r>
              <w:rPr>
                <w:rFonts w:hint="eastAsia" w:ascii="宋体" w:hAnsi="宋体" w:cs="宋体"/>
                <w:bCs/>
                <w:color w:val="auto"/>
                <w:szCs w:val="21"/>
              </w:rPr>
              <w:t>1、根据</w:t>
            </w:r>
            <w:r>
              <w:rPr>
                <w:rFonts w:hint="eastAsia" w:ascii="宋体" w:hAnsi="宋体" w:cs="宋体"/>
                <w:color w:val="auto"/>
                <w:szCs w:val="21"/>
              </w:rPr>
              <w:t>《政府采购促进中小</w:t>
            </w:r>
            <w:r>
              <w:rPr>
                <w:rFonts w:hint="eastAsia" w:ascii="宋体" w:hAnsi="宋体" w:cs="宋体"/>
                <w:color w:val="auto"/>
                <w:spacing w:val="-11"/>
                <w:szCs w:val="21"/>
              </w:rPr>
              <w:t>企业发展管理办法》（财库</w:t>
            </w:r>
            <w:r>
              <w:rPr>
                <w:rFonts w:hint="eastAsia" w:ascii="宋体" w:hAnsi="宋体" w:cs="宋体"/>
                <w:color w:val="auto"/>
                <w:spacing w:val="2"/>
                <w:szCs w:val="21"/>
              </w:rPr>
              <w:t>﹝</w:t>
            </w:r>
            <w:r>
              <w:rPr>
                <w:rFonts w:hint="eastAsia" w:ascii="宋体" w:hAnsi="宋体" w:cs="宋体"/>
                <w:color w:val="auto"/>
                <w:spacing w:val="1"/>
                <w:szCs w:val="21"/>
              </w:rPr>
              <w:t>2020</w:t>
            </w:r>
            <w:r>
              <w:rPr>
                <w:rFonts w:hint="eastAsia" w:ascii="宋体" w:hAnsi="宋体" w:cs="宋体"/>
                <w:color w:val="auto"/>
                <w:spacing w:val="4"/>
                <w:szCs w:val="21"/>
              </w:rPr>
              <w:t>﹞</w:t>
            </w:r>
            <w:r>
              <w:rPr>
                <w:rFonts w:hint="eastAsia" w:ascii="宋体" w:hAnsi="宋体" w:cs="宋体"/>
                <w:color w:val="auto"/>
                <w:spacing w:val="1"/>
                <w:szCs w:val="21"/>
              </w:rPr>
              <w:t>46</w:t>
            </w:r>
            <w:r>
              <w:rPr>
                <w:rFonts w:hint="eastAsia" w:ascii="宋体" w:hAnsi="宋体" w:cs="宋体"/>
                <w:color w:val="auto"/>
                <w:spacing w:val="2"/>
                <w:szCs w:val="21"/>
              </w:rPr>
              <w:t xml:space="preserve"> </w:t>
            </w:r>
            <w:r>
              <w:rPr>
                <w:rFonts w:hint="eastAsia" w:ascii="宋体" w:hAnsi="宋体" w:cs="宋体"/>
                <w:color w:val="auto"/>
                <w:spacing w:val="3"/>
                <w:szCs w:val="21"/>
              </w:rPr>
              <w:t>号）</w:t>
            </w:r>
            <w:r>
              <w:rPr>
                <w:rFonts w:hint="eastAsia" w:ascii="宋体" w:hAnsi="宋体" w:cs="宋体"/>
                <w:color w:val="auto"/>
                <w:szCs w:val="21"/>
              </w:rPr>
              <w:t>文件及《财政部、司法部关于政府采购支持监狱企业发展有关问题的通知》（财库〔2014〕68号）文件，对小型和微型企业的价格给予20%的扣除，用扣除后的价格参与评审。监狱企业视同小型、微型企业。本项目的扣除比例为：小型、微型企业扣除</w:t>
            </w:r>
            <w:r>
              <w:rPr>
                <w:rFonts w:hint="eastAsia" w:ascii="宋体" w:hAnsi="宋体" w:cs="宋体"/>
                <w:b/>
                <w:bCs/>
                <w:color w:val="auto"/>
                <w:szCs w:val="21"/>
                <w:u w:val="single"/>
              </w:rPr>
              <w:t xml:space="preserve">20 </w:t>
            </w:r>
            <w:r>
              <w:rPr>
                <w:rFonts w:hint="eastAsia" w:ascii="宋体" w:hAnsi="宋体" w:cs="宋体"/>
                <w:color w:val="auto"/>
                <w:szCs w:val="21"/>
              </w:rPr>
              <w:t>%。小型和微型企业是指磋商响应文件中提供中小企业声明函且符合《政府采购促进中小</w:t>
            </w:r>
            <w:r>
              <w:rPr>
                <w:rFonts w:hint="eastAsia" w:ascii="宋体" w:hAnsi="宋体" w:cs="宋体"/>
                <w:color w:val="auto"/>
                <w:spacing w:val="-11"/>
                <w:szCs w:val="21"/>
              </w:rPr>
              <w:t>企业发展管理办法》（财库</w:t>
            </w:r>
            <w:r>
              <w:rPr>
                <w:rFonts w:hint="eastAsia" w:ascii="宋体" w:hAnsi="宋体" w:cs="宋体"/>
                <w:color w:val="auto"/>
                <w:spacing w:val="2"/>
                <w:szCs w:val="21"/>
              </w:rPr>
              <w:t>﹝</w:t>
            </w:r>
            <w:r>
              <w:rPr>
                <w:rFonts w:hint="eastAsia" w:ascii="宋体" w:hAnsi="宋体" w:cs="宋体"/>
                <w:color w:val="auto"/>
                <w:spacing w:val="1"/>
                <w:szCs w:val="21"/>
              </w:rPr>
              <w:t>2020</w:t>
            </w:r>
            <w:r>
              <w:rPr>
                <w:rFonts w:hint="eastAsia" w:ascii="宋体" w:hAnsi="宋体" w:cs="宋体"/>
                <w:color w:val="auto"/>
                <w:spacing w:val="4"/>
                <w:szCs w:val="21"/>
              </w:rPr>
              <w:t>﹞</w:t>
            </w:r>
            <w:r>
              <w:rPr>
                <w:rFonts w:hint="eastAsia" w:ascii="宋体" w:hAnsi="宋体" w:cs="宋体"/>
                <w:color w:val="auto"/>
                <w:spacing w:val="1"/>
                <w:szCs w:val="21"/>
              </w:rPr>
              <w:t>46</w:t>
            </w:r>
            <w:r>
              <w:rPr>
                <w:rFonts w:hint="eastAsia" w:ascii="宋体" w:hAnsi="宋体" w:cs="宋体"/>
                <w:color w:val="auto"/>
                <w:spacing w:val="2"/>
                <w:szCs w:val="21"/>
              </w:rPr>
              <w:t xml:space="preserve"> </w:t>
            </w:r>
            <w:r>
              <w:rPr>
                <w:rFonts w:hint="eastAsia" w:ascii="宋体" w:hAnsi="宋体" w:cs="宋体"/>
                <w:color w:val="auto"/>
                <w:spacing w:val="3"/>
                <w:szCs w:val="21"/>
              </w:rPr>
              <w:t>号）</w:t>
            </w:r>
            <w:r>
              <w:rPr>
                <w:rFonts w:hint="eastAsia" w:ascii="宋体" w:hAnsi="宋体" w:cs="宋体"/>
                <w:color w:val="auto"/>
                <w:szCs w:val="21"/>
              </w:rPr>
              <w:t>规定的要求并符合国家统计局印发的《统计上大中小微型企业划分办法（2017）》规定的小、微企业的划型标准规定。监狱企业参加政府采购活动时，应当提供由省级以上监狱管理局、戒毒管理局（含新疆生产建设兵团）出具的属于监狱企业的证明文件。</w:t>
            </w:r>
          </w:p>
          <w:p>
            <w:pPr>
              <w:pStyle w:val="8"/>
              <w:rPr>
                <w:color w:val="auto"/>
              </w:rPr>
            </w:pPr>
            <w:r>
              <w:rPr>
                <w:rFonts w:hint="eastAsia" w:ascii="宋体" w:hAnsi="宋体" w:cs="宋体"/>
                <w:color w:val="auto"/>
                <w:sz w:val="21"/>
                <w:szCs w:val="21"/>
              </w:rPr>
              <w:t>3、根据浙财采监〔2012〕11号文件，在投标截止时间之前已注册并加入“浙江省政府采购供应商库”且符合财政部、工业和信息化部关于《政府采购促进中小</w:t>
            </w:r>
            <w:r>
              <w:rPr>
                <w:rFonts w:hint="eastAsia" w:ascii="宋体" w:hAnsi="宋体" w:cs="宋体"/>
                <w:color w:val="auto"/>
                <w:spacing w:val="-11"/>
                <w:sz w:val="21"/>
                <w:szCs w:val="21"/>
              </w:rPr>
              <w:t>企业发展管理办法》（财库</w:t>
            </w:r>
            <w:r>
              <w:rPr>
                <w:rFonts w:hint="eastAsia" w:ascii="宋体" w:hAnsi="宋体" w:cs="宋体"/>
                <w:color w:val="auto"/>
                <w:spacing w:val="2"/>
                <w:sz w:val="21"/>
                <w:szCs w:val="21"/>
              </w:rPr>
              <w:t>﹝</w:t>
            </w:r>
            <w:r>
              <w:rPr>
                <w:rFonts w:hint="eastAsia" w:ascii="宋体" w:hAnsi="宋体" w:cs="宋体"/>
                <w:color w:val="auto"/>
                <w:spacing w:val="1"/>
                <w:sz w:val="21"/>
                <w:szCs w:val="21"/>
              </w:rPr>
              <w:t>2020</w:t>
            </w:r>
            <w:r>
              <w:rPr>
                <w:rFonts w:hint="eastAsia" w:ascii="宋体" w:hAnsi="宋体" w:cs="宋体"/>
                <w:color w:val="auto"/>
                <w:spacing w:val="4"/>
                <w:sz w:val="21"/>
                <w:szCs w:val="21"/>
              </w:rPr>
              <w:t>﹞</w:t>
            </w:r>
            <w:r>
              <w:rPr>
                <w:rFonts w:hint="eastAsia" w:ascii="宋体" w:hAnsi="宋体" w:cs="宋体"/>
                <w:color w:val="auto"/>
                <w:spacing w:val="1"/>
                <w:sz w:val="21"/>
                <w:szCs w:val="21"/>
              </w:rPr>
              <w:t>46</w:t>
            </w:r>
            <w:r>
              <w:rPr>
                <w:rFonts w:hint="eastAsia" w:ascii="宋体" w:hAnsi="宋体" w:cs="宋体"/>
                <w:color w:val="auto"/>
                <w:spacing w:val="2"/>
                <w:sz w:val="21"/>
                <w:szCs w:val="21"/>
              </w:rPr>
              <w:t xml:space="preserve"> </w:t>
            </w:r>
            <w:r>
              <w:rPr>
                <w:rFonts w:hint="eastAsia" w:ascii="宋体" w:hAnsi="宋体" w:cs="宋体"/>
                <w:color w:val="auto"/>
                <w:spacing w:val="3"/>
                <w:sz w:val="21"/>
                <w:szCs w:val="21"/>
              </w:rPr>
              <w:t>号）</w:t>
            </w:r>
            <w:r>
              <w:rPr>
                <w:rFonts w:hint="eastAsia" w:ascii="宋体" w:hAnsi="宋体" w:cs="宋体"/>
                <w:color w:val="auto"/>
                <w:sz w:val="21"/>
                <w:szCs w:val="21"/>
              </w:rPr>
              <w:t>规定的中小企业（含微型企业）条件的，在参加本项目投标活动时可享受《暂行办法》规定的优惠政策。</w:t>
            </w:r>
          </w:p>
        </w:tc>
        <w:tc>
          <w:tcPr>
            <w:tcW w:w="1300" w:type="dxa"/>
            <w:vAlign w:val="center"/>
          </w:tcPr>
          <w:p>
            <w:pPr>
              <w:spacing w:line="350" w:lineRule="exact"/>
              <w:rPr>
                <w:rFonts w:ascii="宋体" w:hAnsi="宋体" w:cs="宋体"/>
                <w:bCs/>
                <w:color w:val="auto"/>
                <w:kern w:val="28"/>
              </w:rPr>
            </w:pPr>
            <w:r>
              <w:rPr>
                <w:rFonts w:hint="eastAsia" w:ascii="宋体" w:hAnsi="宋体" w:cs="宋体"/>
                <w:bCs/>
                <w:color w:val="auto"/>
                <w:kern w:val="28"/>
              </w:rPr>
              <w:t>计算以最后投标报价为依据。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92" w:type="dxa"/>
            <w:tcBorders>
              <w:top w:val="single" w:color="auto" w:sz="4" w:space="0"/>
              <w:left w:val="single" w:color="auto" w:sz="4" w:space="0"/>
              <w:bottom w:val="single" w:color="auto" w:sz="4" w:space="0"/>
              <w:right w:val="single" w:color="auto" w:sz="4" w:space="0"/>
            </w:tcBorders>
            <w:vAlign w:val="center"/>
          </w:tcPr>
          <w:p>
            <w:pPr>
              <w:spacing w:line="350" w:lineRule="exact"/>
              <w:ind w:right="3"/>
              <w:jc w:val="center"/>
              <w:rPr>
                <w:rFonts w:ascii="宋体" w:hAnsi="宋体" w:cs="宋体"/>
                <w:b/>
                <w:color w:val="auto"/>
                <w:szCs w:val="21"/>
              </w:rPr>
            </w:pPr>
            <w:r>
              <w:rPr>
                <w:rFonts w:hint="eastAsia" w:ascii="宋体" w:hAnsi="宋体" w:cs="宋体"/>
                <w:b/>
                <w:color w:val="auto"/>
                <w:szCs w:val="21"/>
              </w:rPr>
              <w:t>5</w:t>
            </w:r>
          </w:p>
        </w:tc>
        <w:tc>
          <w:tcPr>
            <w:tcW w:w="1463" w:type="dxa"/>
            <w:tcBorders>
              <w:top w:val="single" w:color="auto" w:sz="4" w:space="0"/>
              <w:left w:val="single" w:color="auto" w:sz="4" w:space="0"/>
              <w:bottom w:val="single" w:color="auto" w:sz="4" w:space="0"/>
              <w:right w:val="single" w:color="auto" w:sz="4" w:space="0"/>
            </w:tcBorders>
            <w:vAlign w:val="center"/>
          </w:tcPr>
          <w:p>
            <w:pPr>
              <w:spacing w:line="350" w:lineRule="exact"/>
              <w:ind w:right="3"/>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技术评分</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93"/>
                <w:tab w:val="left" w:pos="1276"/>
              </w:tabs>
              <w:spacing w:line="350" w:lineRule="exact"/>
              <w:jc w:val="center"/>
              <w:rPr>
                <w:rFonts w:ascii="宋体" w:hAnsi="宋体" w:cs="宋体"/>
                <w:b/>
                <w:color w:val="auto"/>
                <w:szCs w:val="21"/>
              </w:rPr>
            </w:pPr>
            <w:r>
              <w:rPr>
                <w:rFonts w:hint="eastAsia" w:ascii="宋体" w:hAnsi="宋体" w:cs="宋体"/>
                <w:b/>
                <w:color w:val="auto"/>
                <w:szCs w:val="21"/>
              </w:rPr>
              <w:t>合计70分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92"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hint="eastAsia" w:ascii="宋体" w:hAnsi="宋体" w:cs="宋体"/>
                <w:b/>
                <w:color w:val="0000FF"/>
                <w:szCs w:val="21"/>
              </w:rPr>
            </w:pPr>
            <w:r>
              <w:rPr>
                <w:rFonts w:hint="eastAsia" w:ascii="宋体" w:hAnsi="宋体" w:cs="宋体"/>
                <w:b/>
                <w:sz w:val="21"/>
                <w:szCs w:val="21"/>
              </w:rPr>
              <w:t>序号</w:t>
            </w: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hint="eastAsia" w:ascii="宋体" w:hAnsi="宋体" w:cs="宋体"/>
                <w:b/>
                <w:color w:val="0000FF"/>
                <w:szCs w:val="21"/>
              </w:rPr>
            </w:pPr>
            <w:r>
              <w:rPr>
                <w:rFonts w:hint="eastAsia" w:ascii="宋体" w:hAnsi="宋体" w:cs="宋体"/>
                <w:b/>
                <w:sz w:val="21"/>
                <w:szCs w:val="21"/>
              </w:rPr>
              <w:t>评分内容</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hint="eastAsia" w:ascii="宋体" w:hAnsi="宋体" w:cs="宋体"/>
                <w:b/>
                <w:color w:val="0000FF"/>
                <w:szCs w:val="21"/>
              </w:rPr>
            </w:pPr>
            <w:r>
              <w:rPr>
                <w:rFonts w:hint="eastAsia" w:ascii="宋体" w:hAnsi="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9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宋体" w:hAnsi="宋体" w:eastAsia="宋体" w:cs="宋体"/>
                <w:color w:val="auto"/>
                <w:sz w:val="21"/>
                <w:szCs w:val="21"/>
                <w:lang w:val="en-US" w:eastAsia="zh-CN" w:bidi="ar-SA"/>
              </w:rPr>
            </w:pPr>
            <w:r>
              <w:rPr>
                <w:rFonts w:hint="eastAsia" w:ascii="宋体" w:hAnsi="宋体" w:cs="宋体"/>
                <w:color w:val="auto"/>
                <w:sz w:val="21"/>
                <w:szCs w:val="21"/>
              </w:rPr>
              <w:t>1</w:t>
            </w:r>
          </w:p>
        </w:tc>
        <w:tc>
          <w:tcPr>
            <w:tcW w:w="146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ascii="Times New Roman" w:hAnsi="Times New Roman" w:eastAsia="宋体" w:cs="Times New Roman"/>
                <w:color w:val="auto"/>
                <w:sz w:val="21"/>
                <w:lang w:val="en-US" w:eastAsia="zh-CN" w:bidi="ar-SA"/>
              </w:rPr>
            </w:pPr>
            <w:r>
              <w:rPr>
                <w:rFonts w:hint="eastAsia"/>
                <w:color w:val="auto"/>
                <w:sz w:val="21"/>
                <w:szCs w:val="21"/>
              </w:rPr>
              <w:t>供应商履约能力</w:t>
            </w:r>
            <w:r>
              <w:rPr>
                <w:rFonts w:hint="eastAsia" w:ascii="宋体" w:hAnsi="宋体" w:cs="宋体"/>
                <w:color w:val="auto"/>
                <w:sz w:val="21"/>
                <w:szCs w:val="21"/>
              </w:rPr>
              <w:t>0-8分</w:t>
            </w:r>
          </w:p>
        </w:tc>
        <w:tc>
          <w:tcPr>
            <w:tcW w:w="7405"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60" w:lineRule="exact"/>
              <w:rPr>
                <w:rFonts w:hint="eastAsia" w:ascii="宋体" w:hAnsi="宋体" w:cs="宋体"/>
                <w:color w:val="auto"/>
                <w:sz w:val="21"/>
                <w:szCs w:val="21"/>
              </w:rPr>
            </w:pPr>
            <w:r>
              <w:rPr>
                <w:rFonts w:hint="eastAsia" w:ascii="宋体" w:hAnsi="宋体" w:cs="宋体"/>
                <w:color w:val="auto"/>
                <w:sz w:val="21"/>
                <w:szCs w:val="21"/>
              </w:rPr>
              <w:t>1.供应商具有有效的质量管理体系认证证书得1分；</w:t>
            </w:r>
          </w:p>
          <w:p>
            <w:pPr>
              <w:snapToGrid w:val="0"/>
              <w:spacing w:line="260" w:lineRule="exact"/>
              <w:rPr>
                <w:rFonts w:hint="eastAsia" w:ascii="宋体" w:hAnsi="宋体" w:cs="宋体"/>
                <w:color w:val="auto"/>
                <w:sz w:val="21"/>
                <w:szCs w:val="21"/>
              </w:rPr>
            </w:pPr>
            <w:r>
              <w:rPr>
                <w:rFonts w:hint="eastAsia" w:ascii="宋体" w:hAnsi="宋体" w:cs="宋体"/>
                <w:color w:val="auto"/>
                <w:sz w:val="21"/>
                <w:szCs w:val="21"/>
              </w:rPr>
              <w:t>2.供应商具有有效的环境体系认证证书得1分；</w:t>
            </w:r>
          </w:p>
          <w:p>
            <w:pPr>
              <w:snapToGrid w:val="0"/>
              <w:spacing w:line="260" w:lineRule="exact"/>
              <w:rPr>
                <w:rFonts w:hint="eastAsia" w:ascii="宋体" w:hAnsi="宋体" w:cs="宋体"/>
                <w:color w:val="auto"/>
                <w:sz w:val="21"/>
                <w:szCs w:val="21"/>
              </w:rPr>
            </w:pPr>
            <w:r>
              <w:rPr>
                <w:rFonts w:hint="eastAsia" w:ascii="宋体" w:hAnsi="宋体" w:cs="宋体"/>
                <w:color w:val="auto"/>
                <w:sz w:val="21"/>
                <w:szCs w:val="21"/>
              </w:rPr>
              <w:t>3.供应商具有有效的职业健康安全体系认证证书得1分；</w:t>
            </w:r>
          </w:p>
          <w:p>
            <w:pPr>
              <w:snapToGrid w:val="0"/>
              <w:spacing w:line="260" w:lineRule="exact"/>
              <w:rPr>
                <w:rFonts w:hint="eastAsia"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18"/>
                <w:szCs w:val="18"/>
              </w:rPr>
              <w:t>具有与本项目相关的发明专利、著作权等知识产权证书每个得1分，最高得5分。</w:t>
            </w:r>
          </w:p>
          <w:p>
            <w:pPr>
              <w:snapToGrid w:val="0"/>
              <w:spacing w:line="300" w:lineRule="exact"/>
              <w:rPr>
                <w:rFonts w:hint="eastAsia" w:ascii="宋体" w:hAnsi="宋体" w:eastAsia="宋体" w:cs="宋体"/>
                <w:color w:val="auto"/>
                <w:sz w:val="21"/>
                <w:szCs w:val="21"/>
                <w:lang w:val="en-US" w:eastAsia="zh-CN" w:bidi="ar-SA"/>
              </w:rPr>
            </w:pPr>
            <w:r>
              <w:rPr>
                <w:rFonts w:hint="eastAsia" w:ascii="宋体" w:hAnsi="宋体" w:cs="宋体"/>
                <w:color w:val="auto"/>
                <w:sz w:val="21"/>
                <w:szCs w:val="21"/>
              </w:rPr>
              <w:t>注：提供证书扫描件加盖公章。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300" w:lineRule="exact"/>
              <w:jc w:val="center"/>
              <w:rPr>
                <w:rFonts w:hint="eastAsia" w:ascii="宋体" w:hAnsi="宋体" w:eastAsia="宋体" w:cs="宋体"/>
                <w:color w:val="auto"/>
                <w:sz w:val="21"/>
                <w:szCs w:val="21"/>
                <w:lang w:val="en-US" w:eastAsia="zh-CN" w:bidi="ar-SA"/>
              </w:rPr>
            </w:pPr>
            <w:r>
              <w:rPr>
                <w:rFonts w:hint="eastAsia" w:ascii="宋体" w:hAnsi="宋体" w:cs="宋体"/>
                <w:color w:val="auto"/>
                <w:sz w:val="21"/>
                <w:szCs w:val="21"/>
              </w:rPr>
              <w:t>2</w:t>
            </w:r>
          </w:p>
        </w:tc>
        <w:tc>
          <w:tcPr>
            <w:tcW w:w="0" w:type="auto"/>
            <w:vAlign w:val="center"/>
          </w:tcPr>
          <w:p>
            <w:pPr>
              <w:spacing w:line="300" w:lineRule="exact"/>
              <w:jc w:val="center"/>
              <w:rPr>
                <w:rFonts w:hint="eastAsia" w:ascii="宋体" w:hAnsi="宋体" w:eastAsia="宋体" w:cs="宋体"/>
                <w:bCs/>
                <w:color w:val="auto"/>
                <w:sz w:val="21"/>
                <w:szCs w:val="21"/>
                <w:lang w:val="en-US" w:eastAsia="zh-CN" w:bidi="ar-SA"/>
              </w:rPr>
            </w:pPr>
            <w:r>
              <w:rPr>
                <w:rFonts w:hint="eastAsia" w:ascii="宋体" w:hAnsi="宋体"/>
                <w:color w:val="auto"/>
                <w:sz w:val="21"/>
              </w:rPr>
              <w:t>节能、环保产品</w:t>
            </w:r>
            <w:r>
              <w:rPr>
                <w:rFonts w:hint="eastAsia" w:ascii="宋体" w:hAnsi="宋体"/>
                <w:color w:val="auto"/>
                <w:sz w:val="21"/>
                <w:szCs w:val="21"/>
              </w:rPr>
              <w:t>0-2分</w:t>
            </w:r>
          </w:p>
        </w:tc>
        <w:tc>
          <w:tcPr>
            <w:tcW w:w="0" w:type="auto"/>
            <w:gridSpan w:val="3"/>
            <w:vAlign w:val="center"/>
          </w:tcPr>
          <w:p>
            <w:pPr>
              <w:spacing w:line="300" w:lineRule="exact"/>
              <w:rPr>
                <w:rFonts w:ascii="宋体" w:hAnsi="宋体"/>
                <w:color w:val="auto"/>
                <w:sz w:val="21"/>
              </w:rPr>
            </w:pPr>
            <w:r>
              <w:rPr>
                <w:rFonts w:hint="eastAsia" w:ascii="宋体" w:hAnsi="宋体"/>
                <w:color w:val="auto"/>
                <w:sz w:val="21"/>
              </w:rPr>
              <w:t>响应产品属于品目清单范围且提供国家确定的认证机构出具的有效的节能产品认证证书，得1分；</w:t>
            </w:r>
          </w:p>
          <w:p>
            <w:pPr>
              <w:spacing w:line="300" w:lineRule="exact"/>
              <w:rPr>
                <w:rFonts w:hint="eastAsia" w:ascii="宋体" w:hAnsi="宋体"/>
                <w:color w:val="auto"/>
                <w:spacing w:val="-4"/>
                <w:sz w:val="21"/>
                <w:szCs w:val="22"/>
              </w:rPr>
            </w:pPr>
            <w:r>
              <w:rPr>
                <w:rFonts w:hint="eastAsia" w:ascii="宋体" w:hAnsi="宋体"/>
                <w:color w:val="auto"/>
                <w:sz w:val="21"/>
              </w:rPr>
              <w:t>响应产品属于品目清单范围且提供国家确定的认证机构出具的有效的环境标志产品认证证书，得1分</w:t>
            </w:r>
            <w:r>
              <w:rPr>
                <w:rFonts w:hint="eastAsia" w:ascii="宋体" w:hAnsi="宋体"/>
                <w:color w:val="auto"/>
                <w:spacing w:val="-4"/>
                <w:sz w:val="21"/>
                <w:szCs w:val="22"/>
              </w:rPr>
              <w:t>。</w:t>
            </w:r>
          </w:p>
          <w:p>
            <w:pPr>
              <w:spacing w:line="300" w:lineRule="exact"/>
              <w:rPr>
                <w:rFonts w:hint="eastAsia" w:ascii="宋体" w:hAnsi="宋体" w:eastAsia="宋体" w:cs="Times New Roman"/>
                <w:color w:val="auto"/>
                <w:spacing w:val="-4"/>
                <w:sz w:val="21"/>
                <w:szCs w:val="22"/>
                <w:lang w:val="en-US" w:eastAsia="zh-CN" w:bidi="ar-SA"/>
              </w:rPr>
            </w:pPr>
            <w:r>
              <w:rPr>
                <w:rFonts w:hint="eastAsia" w:ascii="宋体" w:hAnsi="宋体" w:cs="宋体"/>
                <w:color w:val="auto"/>
                <w:sz w:val="21"/>
                <w:szCs w:val="21"/>
              </w:rPr>
              <w:t>注：提供证书扫描件加盖公章。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3</w:t>
            </w:r>
          </w:p>
        </w:tc>
        <w:tc>
          <w:tcPr>
            <w:tcW w:w="0" w:type="auto"/>
            <w:vAlign w:val="center"/>
          </w:tcPr>
          <w:p>
            <w:pPr>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业绩0-3分</w:t>
            </w:r>
          </w:p>
        </w:tc>
        <w:tc>
          <w:tcPr>
            <w:tcW w:w="0" w:type="auto"/>
            <w:gridSpan w:val="3"/>
            <w:vAlign w:val="center"/>
          </w:tcPr>
          <w:p>
            <w:pPr>
              <w:adjustRightInd w:val="0"/>
              <w:snapToGrid w:val="0"/>
              <w:spacing w:line="300" w:lineRule="exact"/>
              <w:rPr>
                <w:rFonts w:hint="eastAsia" w:ascii="宋体" w:hAnsi="宋体" w:cs="宋体"/>
                <w:sz w:val="21"/>
                <w:szCs w:val="21"/>
              </w:rPr>
            </w:pPr>
            <w:r>
              <w:rPr>
                <w:rFonts w:hint="eastAsia" w:ascii="宋体" w:hAnsi="宋体" w:cs="宋体"/>
                <w:sz w:val="21"/>
                <w:szCs w:val="21"/>
              </w:rPr>
              <w:t>1.供应商具有2018年1月1日以来</w:t>
            </w:r>
            <w:r>
              <w:rPr>
                <w:rFonts w:hint="eastAsia" w:ascii="宋体" w:hAnsi="宋体" w:cs="宋体"/>
                <w:sz w:val="21"/>
                <w:szCs w:val="21"/>
                <w:lang w:val="en-US" w:eastAsia="zh-CN"/>
              </w:rPr>
              <w:t>类似</w:t>
            </w:r>
            <w:r>
              <w:rPr>
                <w:rFonts w:hint="eastAsia" w:ascii="宋体" w:hAnsi="宋体" w:cs="宋体"/>
                <w:sz w:val="21"/>
                <w:szCs w:val="21"/>
              </w:rPr>
              <w:t>业绩，每提供一个得</w:t>
            </w:r>
            <w:r>
              <w:rPr>
                <w:rFonts w:hint="eastAsia" w:ascii="宋体" w:hAnsi="宋体" w:cs="宋体"/>
                <w:sz w:val="21"/>
                <w:szCs w:val="21"/>
                <w:lang w:val="en-US" w:eastAsia="zh-CN"/>
              </w:rPr>
              <w:t>1</w:t>
            </w:r>
            <w:r>
              <w:rPr>
                <w:rFonts w:hint="eastAsia" w:ascii="宋体" w:hAnsi="宋体" w:cs="宋体"/>
                <w:sz w:val="21"/>
                <w:szCs w:val="21"/>
              </w:rPr>
              <w:t>分，最高</w:t>
            </w:r>
            <w:r>
              <w:rPr>
                <w:rFonts w:hint="eastAsia" w:ascii="宋体" w:hAnsi="宋体" w:cs="宋体"/>
                <w:sz w:val="21"/>
                <w:szCs w:val="21"/>
                <w:lang w:val="en-US" w:eastAsia="zh-CN"/>
              </w:rPr>
              <w:t>3</w:t>
            </w:r>
            <w:r>
              <w:rPr>
                <w:rFonts w:hint="eastAsia" w:ascii="宋体" w:hAnsi="宋体" w:cs="宋体"/>
                <w:sz w:val="21"/>
                <w:szCs w:val="21"/>
              </w:rPr>
              <w:t>分。</w:t>
            </w:r>
          </w:p>
          <w:p>
            <w:pPr>
              <w:pStyle w:val="2"/>
              <w:spacing w:after="0" w:line="300" w:lineRule="exact"/>
              <w:ind w:firstLine="0" w:firstLineChars="0"/>
              <w:rPr>
                <w:rFonts w:hint="eastAsia" w:ascii="宋体" w:hAnsi="宋体" w:eastAsia="楷体_GB2312" w:cs="宋体"/>
                <w:kern w:val="2"/>
                <w:sz w:val="21"/>
                <w:szCs w:val="21"/>
                <w:lang w:val="en-US" w:eastAsia="zh-CN" w:bidi="ar-SA"/>
              </w:rPr>
            </w:pPr>
            <w:r>
              <w:rPr>
                <w:rFonts w:hint="eastAsia" w:ascii="宋体" w:hAnsi="宋体" w:cs="宋体"/>
                <w:sz w:val="21"/>
                <w:szCs w:val="21"/>
              </w:rPr>
              <w:t>注：需提供合同扫描件加盖公章，时间以合同签订时间为准。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4</w:t>
            </w:r>
          </w:p>
        </w:tc>
        <w:tc>
          <w:tcPr>
            <w:tcW w:w="0" w:type="auto"/>
            <w:vAlign w:val="center"/>
          </w:tcPr>
          <w:p>
            <w:pPr>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项目技术人员情况0-</w:t>
            </w:r>
            <w:r>
              <w:rPr>
                <w:rFonts w:ascii="宋体" w:hAnsi="宋体" w:cs="宋体"/>
                <w:sz w:val="21"/>
                <w:szCs w:val="21"/>
              </w:rPr>
              <w:t>1</w:t>
            </w:r>
            <w:r>
              <w:rPr>
                <w:rFonts w:hint="eastAsia" w:ascii="宋体" w:hAnsi="宋体" w:cs="宋体"/>
                <w:sz w:val="21"/>
                <w:szCs w:val="21"/>
              </w:rPr>
              <w:t>4</w:t>
            </w:r>
          </w:p>
        </w:tc>
        <w:tc>
          <w:tcPr>
            <w:tcW w:w="0" w:type="auto"/>
            <w:gridSpan w:val="3"/>
            <w:vAlign w:val="center"/>
          </w:tcPr>
          <w:p>
            <w:pPr>
              <w:adjustRightInd w:val="0"/>
              <w:snapToGrid w:val="0"/>
              <w:spacing w:line="300" w:lineRule="exact"/>
              <w:rPr>
                <w:rFonts w:ascii="宋体" w:hAnsi="宋体" w:cs="宋体"/>
                <w:sz w:val="21"/>
                <w:szCs w:val="21"/>
              </w:rPr>
            </w:pPr>
            <w:r>
              <w:rPr>
                <w:rFonts w:hint="eastAsia" w:ascii="宋体" w:hAnsi="宋体" w:cs="宋体"/>
                <w:sz w:val="21"/>
                <w:szCs w:val="21"/>
              </w:rPr>
              <w:t>1.拟派项目负责人具有环境类相关专业高级工程师或注册环保工程师得3分；项目负责人具有环境类相关专业中级工程师职称得2分；中级工程师以下不得分；（0-3分）。</w:t>
            </w:r>
          </w:p>
          <w:p>
            <w:pPr>
              <w:adjustRightInd w:val="0"/>
              <w:snapToGrid w:val="0"/>
              <w:spacing w:line="300" w:lineRule="exact"/>
              <w:rPr>
                <w:rFonts w:ascii="宋体" w:hAnsi="宋体" w:cs="宋体"/>
                <w:sz w:val="21"/>
                <w:szCs w:val="21"/>
              </w:rPr>
            </w:pPr>
            <w:r>
              <w:rPr>
                <w:rFonts w:hint="eastAsia" w:ascii="宋体" w:hAnsi="宋体" w:cs="宋体"/>
                <w:sz w:val="21"/>
                <w:szCs w:val="21"/>
              </w:rPr>
              <w:t>2.项目组人员具有自动监控相关资质证书，提供一份得0.5分，最高5分。</w:t>
            </w:r>
          </w:p>
          <w:p>
            <w:pPr>
              <w:adjustRightInd w:val="0"/>
              <w:snapToGrid w:val="0"/>
              <w:spacing w:line="300" w:lineRule="exact"/>
              <w:rPr>
                <w:rFonts w:ascii="宋体" w:hAnsi="宋体" w:cs="宋体"/>
                <w:sz w:val="21"/>
                <w:szCs w:val="21"/>
              </w:rPr>
            </w:pPr>
            <w:r>
              <w:rPr>
                <w:rFonts w:hint="eastAsia" w:ascii="宋体" w:hAnsi="宋体" w:cs="宋体"/>
                <w:sz w:val="21"/>
                <w:szCs w:val="21"/>
              </w:rPr>
              <w:t>3.拟派项目组人员经验丰富、人员配置合理，得6分；拟派项目组人员经验较丰富、人员配置较合理，得4分；拟派人员经验少、人员配置合理性差，得1分；未提供不得分。</w:t>
            </w:r>
          </w:p>
          <w:p>
            <w:pPr>
              <w:adjustRightInd w:val="0"/>
              <w:snapToGrid w:val="0"/>
              <w:spacing w:line="300" w:lineRule="exact"/>
              <w:rPr>
                <w:rFonts w:hint="eastAsia" w:ascii="宋体" w:hAnsi="宋体" w:eastAsia="宋体" w:cs="宋体"/>
                <w:sz w:val="21"/>
                <w:szCs w:val="21"/>
                <w:lang w:val="en-US" w:eastAsia="zh-CN" w:bidi="ar-SA"/>
              </w:rPr>
            </w:pPr>
            <w:r>
              <w:rPr>
                <w:rFonts w:hint="eastAsia" w:ascii="宋体" w:hAnsi="宋体" w:cs="宋体"/>
                <w:sz w:val="21"/>
                <w:szCs w:val="21"/>
              </w:rPr>
              <w:t>注；提供上述人员证书扫描件及其在响应供应商近六个月的社保证明，未提供不得分。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92" w:type="dxa"/>
            <w:vMerge w:val="restart"/>
            <w:vAlign w:val="center"/>
          </w:tcPr>
          <w:p>
            <w:pPr>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5</w:t>
            </w:r>
          </w:p>
        </w:tc>
        <w:tc>
          <w:tcPr>
            <w:tcW w:w="1463" w:type="dxa"/>
            <w:vMerge w:val="restart"/>
            <w:vAlign w:val="center"/>
          </w:tcPr>
          <w:p>
            <w:pPr>
              <w:adjustRightInd w:val="0"/>
              <w:snapToGrid w:val="0"/>
              <w:spacing w:line="30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产品性能参数以提供第三方出具的检测报告或者其他有效证明材料</w:t>
            </w:r>
            <w:r>
              <w:rPr>
                <w:rFonts w:hint="eastAsia" w:ascii="宋体" w:hAnsi="宋体" w:cs="宋体"/>
                <w:sz w:val="21"/>
                <w:szCs w:val="21"/>
                <w:lang w:val="en-US" w:eastAsia="zh-CN"/>
              </w:rPr>
              <w:t>0-15分</w:t>
            </w:r>
          </w:p>
        </w:tc>
        <w:tc>
          <w:tcPr>
            <w:tcW w:w="0" w:type="auto"/>
            <w:gridSpan w:val="3"/>
            <w:vAlign w:val="center"/>
          </w:tcPr>
          <w:p>
            <w:pPr>
              <w:adjustRightInd w:val="0"/>
              <w:snapToGrid w:val="0"/>
              <w:spacing w:line="300" w:lineRule="exact"/>
              <w:rPr>
                <w:rFonts w:hint="eastAsia" w:ascii="宋体" w:hAnsi="宋体"/>
                <w:sz w:val="21"/>
                <w:szCs w:val="21"/>
              </w:rPr>
            </w:pPr>
            <w:r>
              <w:rPr>
                <w:rFonts w:hint="eastAsia" w:ascii="宋体" w:hAnsi="宋体"/>
                <w:sz w:val="21"/>
                <w:szCs w:val="21"/>
              </w:rPr>
              <w:t>1.主要产品</w:t>
            </w:r>
            <w:r>
              <w:rPr>
                <w:rFonts w:hint="eastAsia" w:ascii="宋体" w:hAnsi="宋体"/>
                <w:sz w:val="21"/>
                <w:szCs w:val="21"/>
                <w:lang w:eastAsia="zh-CN"/>
              </w:rPr>
              <w:t>（</w:t>
            </w:r>
            <w:r>
              <w:rPr>
                <w:rFonts w:hint="eastAsia" w:ascii="宋体" w:hAnsi="宋体"/>
                <w:sz w:val="21"/>
                <w:szCs w:val="21"/>
                <w:lang w:val="en-US" w:eastAsia="zh-CN"/>
              </w:rPr>
              <w:t>COD分析仪，氨氮分析仪，采样器</w:t>
            </w:r>
            <w:r>
              <w:rPr>
                <w:rFonts w:hint="eastAsia" w:ascii="宋体" w:hAnsi="宋体"/>
                <w:sz w:val="21"/>
                <w:szCs w:val="21"/>
                <w:lang w:eastAsia="zh-CN"/>
              </w:rPr>
              <w:t>）</w:t>
            </w:r>
            <w:r>
              <w:rPr>
                <w:rFonts w:hint="eastAsia" w:ascii="宋体" w:hAnsi="宋体"/>
                <w:sz w:val="21"/>
                <w:szCs w:val="21"/>
              </w:rPr>
              <w:t>设备通过国家环境保护部环境监测仪器质量监督检验中心的产品适用性检测报告的得3分。</w:t>
            </w:r>
          </w:p>
          <w:p>
            <w:pPr>
              <w:adjustRightInd w:val="0"/>
              <w:snapToGrid w:val="0"/>
              <w:spacing w:line="300" w:lineRule="exact"/>
              <w:rPr>
                <w:rFonts w:hint="eastAsia" w:ascii="宋体" w:hAnsi="宋体" w:eastAsia="宋体" w:cs="Times New Roman"/>
                <w:sz w:val="21"/>
                <w:szCs w:val="21"/>
                <w:lang w:val="en-US" w:eastAsia="zh-CN" w:bidi="ar-SA"/>
              </w:rPr>
            </w:pPr>
            <w:r>
              <w:rPr>
                <w:rFonts w:hint="eastAsia" w:ascii="宋体" w:hAnsi="宋体"/>
                <w:sz w:val="21"/>
                <w:szCs w:val="21"/>
              </w:rPr>
              <w:t>注：须提供设备生产商产品适用性检测报告扫描件加盖公章。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92" w:type="dxa"/>
            <w:vMerge w:val="continue"/>
          </w:tcPr>
          <w:p>
            <w:pPr>
              <w:snapToGrid w:val="0"/>
              <w:spacing w:line="260" w:lineRule="exact"/>
              <w:jc w:val="center"/>
              <w:rPr>
                <w:rFonts w:hint="eastAsia" w:ascii="宋体" w:hAnsi="宋体" w:cs="宋体"/>
                <w:b/>
                <w:sz w:val="21"/>
                <w:szCs w:val="21"/>
              </w:rPr>
            </w:pPr>
          </w:p>
        </w:tc>
        <w:tc>
          <w:tcPr>
            <w:tcW w:w="1463" w:type="dxa"/>
            <w:vMerge w:val="continue"/>
          </w:tcPr>
          <w:p>
            <w:pPr>
              <w:snapToGrid w:val="0"/>
              <w:spacing w:line="260" w:lineRule="exact"/>
              <w:jc w:val="center"/>
              <w:rPr>
                <w:rFonts w:hint="eastAsia" w:ascii="宋体" w:hAnsi="宋体" w:cs="宋体"/>
                <w:b/>
                <w:sz w:val="21"/>
                <w:szCs w:val="21"/>
              </w:rPr>
            </w:pPr>
          </w:p>
        </w:tc>
        <w:tc>
          <w:tcPr>
            <w:tcW w:w="0" w:type="auto"/>
            <w:gridSpan w:val="3"/>
            <w:vAlign w:val="center"/>
          </w:tcPr>
          <w:p>
            <w:pPr>
              <w:adjustRightInd w:val="0"/>
              <w:snapToGrid w:val="0"/>
              <w:spacing w:line="300" w:lineRule="exact"/>
              <w:rPr>
                <w:rFonts w:hint="eastAsia" w:ascii="宋体" w:hAnsi="宋体"/>
                <w:sz w:val="21"/>
                <w:szCs w:val="21"/>
              </w:rPr>
            </w:pPr>
            <w:r>
              <w:rPr>
                <w:rFonts w:hint="eastAsia" w:ascii="宋体" w:hAnsi="宋体"/>
                <w:sz w:val="21"/>
                <w:szCs w:val="21"/>
              </w:rPr>
              <w:t>不符合（负偏离）技术指标要求中标注“▲”条款（不可偏离）的响应无效；满足磋商文件的全部技术条款要求的该项得满分；所投设备的技术指标等对采购技术指标的响应程度每项不符合或负偏离的每项扣0.5分；12分扣完为止。</w:t>
            </w:r>
          </w:p>
          <w:p>
            <w:pPr>
              <w:pStyle w:val="2"/>
              <w:ind w:firstLine="0" w:firstLineChars="0"/>
              <w:rPr>
                <w:rFonts w:hint="eastAsia" w:ascii="Times New Roman" w:hAnsi="Times New Roman" w:eastAsia="楷体_GB2312" w:cs="Times New Roman"/>
                <w:kern w:val="2"/>
                <w:sz w:val="21"/>
                <w:lang w:val="en-US" w:eastAsia="zh-CN" w:bidi="ar-SA"/>
              </w:rPr>
            </w:pPr>
            <w:r>
              <w:rPr>
                <w:rFonts w:hint="eastAsia" w:ascii="宋体" w:hAnsi="宋体"/>
                <w:sz w:val="21"/>
                <w:szCs w:val="21"/>
              </w:rPr>
              <w:t>注：未提供技术指标要求提供的技术支持材料的，视为负偏离。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26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6</w:t>
            </w:r>
          </w:p>
        </w:tc>
        <w:tc>
          <w:tcPr>
            <w:tcW w:w="0" w:type="auto"/>
            <w:vAlign w:val="center"/>
          </w:tcPr>
          <w:p>
            <w:pPr>
              <w:jc w:val="center"/>
              <w:rPr>
                <w:rFonts w:hint="eastAsia" w:ascii="宋体" w:hAnsi="宋体" w:eastAsia="宋体" w:cs="Times New Roman"/>
                <w:sz w:val="21"/>
                <w:szCs w:val="21"/>
                <w:lang w:val="en-US" w:eastAsia="zh-CN" w:bidi="ar-SA"/>
              </w:rPr>
            </w:pPr>
            <w:r>
              <w:rPr>
                <w:rFonts w:ascii="宋体" w:hAnsi="宋体"/>
                <w:sz w:val="21"/>
                <w:szCs w:val="21"/>
              </w:rPr>
              <w:t>合理化建议和改进措施</w:t>
            </w:r>
            <w:r>
              <w:rPr>
                <w:rFonts w:hint="eastAsia" w:ascii="宋体" w:hAnsi="宋体"/>
                <w:spacing w:val="-6"/>
                <w:sz w:val="21"/>
                <w:szCs w:val="21"/>
              </w:rPr>
              <w:t>0-2分</w:t>
            </w:r>
          </w:p>
        </w:tc>
        <w:tc>
          <w:tcPr>
            <w:tcW w:w="0" w:type="auto"/>
            <w:gridSpan w:val="3"/>
            <w:vAlign w:val="center"/>
          </w:tcPr>
          <w:p>
            <w:pPr>
              <w:rPr>
                <w:rFonts w:hint="eastAsia" w:ascii="宋体" w:hAnsi="宋体"/>
                <w:bCs/>
                <w:sz w:val="21"/>
                <w:szCs w:val="21"/>
              </w:rPr>
            </w:pPr>
            <w:r>
              <w:rPr>
                <w:rFonts w:ascii="宋体" w:hAnsi="宋体"/>
                <w:sz w:val="21"/>
                <w:szCs w:val="21"/>
              </w:rPr>
              <w:t>根据</w:t>
            </w:r>
            <w:r>
              <w:rPr>
                <w:rFonts w:hint="eastAsia" w:ascii="宋体" w:hAnsi="宋体"/>
                <w:sz w:val="21"/>
                <w:szCs w:val="21"/>
              </w:rPr>
              <w:t>供应商</w:t>
            </w:r>
            <w:r>
              <w:rPr>
                <w:rFonts w:ascii="宋体" w:hAnsi="宋体"/>
                <w:sz w:val="21"/>
                <w:szCs w:val="21"/>
              </w:rPr>
              <w:t>对本项目的合理化建议和改进措施的</w:t>
            </w:r>
            <w:r>
              <w:rPr>
                <w:rFonts w:ascii="宋体" w:hAnsi="宋体"/>
                <w:bCs/>
                <w:sz w:val="21"/>
                <w:szCs w:val="21"/>
              </w:rPr>
              <w:t>合理</w:t>
            </w:r>
            <w:r>
              <w:rPr>
                <w:rFonts w:hint="eastAsia" w:ascii="宋体" w:hAnsi="宋体"/>
                <w:bCs/>
                <w:sz w:val="21"/>
                <w:szCs w:val="21"/>
              </w:rPr>
              <w:t>性、</w:t>
            </w:r>
            <w:r>
              <w:rPr>
                <w:rFonts w:ascii="宋体" w:hAnsi="宋体"/>
                <w:bCs/>
                <w:sz w:val="21"/>
                <w:szCs w:val="21"/>
              </w:rPr>
              <w:t>可行性</w:t>
            </w:r>
            <w:r>
              <w:rPr>
                <w:rFonts w:hint="eastAsia" w:ascii="宋体" w:hAnsi="宋体"/>
                <w:bCs/>
                <w:sz w:val="21"/>
                <w:szCs w:val="21"/>
              </w:rPr>
              <w:t>进行打分。</w:t>
            </w:r>
          </w:p>
          <w:p>
            <w:pPr>
              <w:rPr>
                <w:rFonts w:hint="eastAsia" w:ascii="宋体" w:hAnsi="宋体"/>
                <w:bCs/>
                <w:sz w:val="21"/>
                <w:szCs w:val="21"/>
              </w:rPr>
            </w:pPr>
            <w:r>
              <w:rPr>
                <w:rFonts w:ascii="宋体" w:hAnsi="宋体"/>
                <w:sz w:val="21"/>
                <w:szCs w:val="21"/>
              </w:rPr>
              <w:t>建议和改进措施</w:t>
            </w:r>
            <w:r>
              <w:rPr>
                <w:rFonts w:hint="eastAsia" w:ascii="宋体" w:hAnsi="宋体"/>
                <w:sz w:val="21"/>
                <w:szCs w:val="21"/>
              </w:rPr>
              <w:t>科学、</w:t>
            </w:r>
            <w:r>
              <w:rPr>
                <w:rFonts w:ascii="宋体" w:hAnsi="宋体"/>
                <w:bCs/>
                <w:sz w:val="21"/>
                <w:szCs w:val="21"/>
              </w:rPr>
              <w:t>合理</w:t>
            </w:r>
            <w:r>
              <w:rPr>
                <w:rFonts w:hint="eastAsia" w:ascii="宋体" w:hAnsi="宋体"/>
                <w:bCs/>
                <w:sz w:val="21"/>
                <w:szCs w:val="21"/>
              </w:rPr>
              <w:t>、可行性强的得2分；</w:t>
            </w:r>
          </w:p>
          <w:p>
            <w:pPr>
              <w:rPr>
                <w:rFonts w:hint="eastAsia" w:ascii="宋体" w:hAnsi="宋体"/>
                <w:bCs/>
                <w:sz w:val="21"/>
                <w:szCs w:val="21"/>
              </w:rPr>
            </w:pPr>
            <w:r>
              <w:rPr>
                <w:rFonts w:ascii="宋体" w:hAnsi="宋体"/>
                <w:sz w:val="21"/>
                <w:szCs w:val="21"/>
              </w:rPr>
              <w:t>建议和改进措施</w:t>
            </w:r>
            <w:r>
              <w:rPr>
                <w:rFonts w:hint="eastAsia" w:ascii="宋体" w:hAnsi="宋体"/>
                <w:sz w:val="21"/>
                <w:szCs w:val="21"/>
              </w:rPr>
              <w:t>较</w:t>
            </w:r>
            <w:r>
              <w:rPr>
                <w:rFonts w:ascii="宋体" w:hAnsi="宋体"/>
                <w:bCs/>
                <w:sz w:val="21"/>
                <w:szCs w:val="21"/>
              </w:rPr>
              <w:t>合理</w:t>
            </w:r>
            <w:r>
              <w:rPr>
                <w:rFonts w:hint="eastAsia" w:ascii="宋体" w:hAnsi="宋体"/>
                <w:bCs/>
                <w:sz w:val="21"/>
                <w:szCs w:val="21"/>
              </w:rPr>
              <w:t>、基本可行的得1分；</w:t>
            </w:r>
          </w:p>
          <w:p>
            <w:pPr>
              <w:rPr>
                <w:rFonts w:hint="eastAsia" w:ascii="宋体" w:hAnsi="宋体"/>
                <w:bCs/>
                <w:sz w:val="21"/>
                <w:szCs w:val="21"/>
              </w:rPr>
            </w:pPr>
            <w:r>
              <w:rPr>
                <w:rFonts w:ascii="宋体" w:hAnsi="宋体"/>
                <w:sz w:val="21"/>
                <w:szCs w:val="21"/>
              </w:rPr>
              <w:t>建议和改进措施</w:t>
            </w:r>
            <w:r>
              <w:rPr>
                <w:rFonts w:hint="eastAsia" w:ascii="宋体" w:hAnsi="宋体"/>
                <w:sz w:val="21"/>
                <w:szCs w:val="21"/>
              </w:rPr>
              <w:t>不</w:t>
            </w:r>
            <w:r>
              <w:rPr>
                <w:rFonts w:ascii="宋体" w:hAnsi="宋体"/>
                <w:bCs/>
                <w:sz w:val="21"/>
                <w:szCs w:val="21"/>
              </w:rPr>
              <w:t>合理</w:t>
            </w:r>
            <w:r>
              <w:rPr>
                <w:rFonts w:hint="eastAsia" w:ascii="宋体" w:hAnsi="宋体"/>
                <w:bCs/>
                <w:sz w:val="21"/>
                <w:szCs w:val="21"/>
              </w:rPr>
              <w:t>、可行性差的得0.5分；</w:t>
            </w:r>
          </w:p>
          <w:p>
            <w:pPr>
              <w:rPr>
                <w:rFonts w:hint="eastAsia" w:ascii="宋体" w:hAnsi="宋体" w:eastAsia="宋体" w:cs="Times New Roman"/>
                <w:bCs/>
                <w:sz w:val="21"/>
                <w:szCs w:val="21"/>
                <w:lang w:val="en-US" w:eastAsia="zh-CN" w:bidi="ar-SA"/>
              </w:rPr>
            </w:pPr>
            <w:r>
              <w:rPr>
                <w:rFonts w:hint="eastAsia" w:ascii="宋体" w:hAnsi="宋体"/>
                <w:sz w:val="21"/>
                <w:szCs w:val="21"/>
              </w:rPr>
              <w:t>未提供的不得分</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26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7</w:t>
            </w:r>
          </w:p>
        </w:tc>
        <w:tc>
          <w:tcPr>
            <w:tcW w:w="0" w:type="auto"/>
            <w:vAlign w:val="center"/>
          </w:tcPr>
          <w:p>
            <w:pPr>
              <w:jc w:val="center"/>
              <w:rPr>
                <w:rFonts w:hint="eastAsia" w:ascii="宋体" w:hAnsi="宋体" w:eastAsia="宋体" w:cs="Times New Roman"/>
                <w:sz w:val="21"/>
                <w:szCs w:val="21"/>
                <w:lang w:val="en-US" w:eastAsia="zh-CN" w:bidi="ar-SA"/>
              </w:rPr>
            </w:pPr>
            <w:r>
              <w:rPr>
                <w:rFonts w:hint="eastAsia" w:ascii="宋体" w:hAnsi="宋体"/>
                <w:sz w:val="21"/>
                <w:szCs w:val="21"/>
              </w:rPr>
              <w:t>技术服务、培训</w:t>
            </w:r>
            <w:r>
              <w:rPr>
                <w:rFonts w:hint="eastAsia" w:ascii="宋体" w:hAnsi="宋体"/>
                <w:spacing w:val="-6"/>
                <w:sz w:val="21"/>
                <w:szCs w:val="21"/>
              </w:rPr>
              <w:t>0-2分</w:t>
            </w:r>
          </w:p>
        </w:tc>
        <w:tc>
          <w:tcPr>
            <w:tcW w:w="0" w:type="auto"/>
            <w:gridSpan w:val="3"/>
            <w:vAlign w:val="center"/>
          </w:tcPr>
          <w:p>
            <w:pPr>
              <w:rPr>
                <w:rFonts w:hint="eastAsia" w:ascii="宋体" w:hAnsi="宋体"/>
                <w:bCs/>
                <w:sz w:val="21"/>
                <w:szCs w:val="21"/>
              </w:rPr>
            </w:pPr>
            <w:r>
              <w:rPr>
                <w:rFonts w:hint="eastAsia" w:ascii="宋体" w:hAnsi="宋体"/>
                <w:sz w:val="21"/>
                <w:szCs w:val="21"/>
              </w:rPr>
              <w:t>根据技术服务、培训计划内容合理性、详细程度，培训范围，实施计划的针对性进行打分</w:t>
            </w:r>
            <w:r>
              <w:rPr>
                <w:rFonts w:hint="eastAsia" w:ascii="宋体" w:hAnsi="宋体"/>
                <w:bCs/>
                <w:sz w:val="21"/>
                <w:szCs w:val="21"/>
              </w:rPr>
              <w:t>。</w:t>
            </w:r>
          </w:p>
          <w:p>
            <w:pPr>
              <w:rPr>
                <w:rFonts w:hint="eastAsia" w:ascii="宋体" w:hAnsi="宋体"/>
                <w:sz w:val="21"/>
                <w:szCs w:val="21"/>
              </w:rPr>
            </w:pPr>
            <w:r>
              <w:rPr>
                <w:rFonts w:hint="eastAsia" w:ascii="宋体" w:hAnsi="宋体"/>
                <w:sz w:val="21"/>
                <w:szCs w:val="21"/>
              </w:rPr>
              <w:t>技术服务、培训计划内容合理、详细，培训范围广，实施计划具有针对性的得2分；</w:t>
            </w:r>
          </w:p>
          <w:p>
            <w:pPr>
              <w:rPr>
                <w:rFonts w:hint="eastAsia" w:ascii="宋体" w:hAnsi="宋体"/>
                <w:sz w:val="21"/>
                <w:szCs w:val="21"/>
              </w:rPr>
            </w:pPr>
            <w:r>
              <w:rPr>
                <w:rFonts w:hint="eastAsia" w:ascii="宋体" w:hAnsi="宋体"/>
                <w:sz w:val="21"/>
                <w:szCs w:val="21"/>
              </w:rPr>
              <w:t>技术服务、培训计划内容基本合理、较详细，有培训内容、实施计划部分针对性的得1分；</w:t>
            </w:r>
          </w:p>
          <w:p>
            <w:pPr>
              <w:rPr>
                <w:rFonts w:hint="eastAsia" w:ascii="宋体" w:hAnsi="宋体"/>
                <w:sz w:val="21"/>
                <w:szCs w:val="21"/>
              </w:rPr>
            </w:pPr>
            <w:r>
              <w:rPr>
                <w:rFonts w:hint="eastAsia" w:ascii="宋体" w:hAnsi="宋体"/>
                <w:sz w:val="21"/>
                <w:szCs w:val="21"/>
              </w:rPr>
              <w:t>技术服务、培训计划内容不合理、不详细，实施计划针对性差的得0.5分；</w:t>
            </w:r>
          </w:p>
          <w:p>
            <w:pPr>
              <w:rPr>
                <w:rFonts w:hint="eastAsia" w:ascii="宋体" w:hAnsi="宋体" w:eastAsia="宋体" w:cs="Times New Roman"/>
                <w:sz w:val="21"/>
                <w:szCs w:val="21"/>
                <w:lang w:val="en-US" w:eastAsia="zh-CN" w:bidi="ar-SA"/>
              </w:rPr>
            </w:pPr>
            <w:r>
              <w:rPr>
                <w:rFonts w:hint="eastAsia" w:ascii="宋体" w:hAnsi="宋体"/>
                <w:sz w:val="21"/>
                <w:szCs w:val="21"/>
              </w:rPr>
              <w:t>未提供的不得分</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26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8</w:t>
            </w:r>
          </w:p>
        </w:tc>
        <w:tc>
          <w:tcPr>
            <w:tcW w:w="0" w:type="auto"/>
            <w:vAlign w:val="center"/>
          </w:tcPr>
          <w:p>
            <w:pPr>
              <w:snapToGrid w:val="0"/>
              <w:spacing w:line="260" w:lineRule="exact"/>
              <w:rPr>
                <w:rFonts w:hint="eastAsia" w:ascii="宋体" w:hAnsi="宋体" w:eastAsia="宋体" w:cs="宋体"/>
                <w:sz w:val="21"/>
                <w:szCs w:val="21"/>
                <w:lang w:val="zh-CN" w:eastAsia="zh-CN" w:bidi="ar-SA"/>
              </w:rPr>
            </w:pPr>
            <w:r>
              <w:rPr>
                <w:rFonts w:hint="eastAsia" w:ascii="宋体" w:hAnsi="宋体" w:cs="宋体"/>
                <w:sz w:val="21"/>
                <w:szCs w:val="21"/>
                <w:lang w:val="zh-CN"/>
              </w:rPr>
              <w:t>应对突发事情的响应及处理方案</w:t>
            </w:r>
            <w:r>
              <w:rPr>
                <w:rFonts w:hint="eastAsia" w:ascii="宋体" w:hAnsi="宋体" w:cs="宋体"/>
                <w:sz w:val="21"/>
                <w:szCs w:val="21"/>
              </w:rPr>
              <w:t>0-6分</w:t>
            </w:r>
          </w:p>
        </w:tc>
        <w:tc>
          <w:tcPr>
            <w:tcW w:w="0" w:type="auto"/>
            <w:gridSpan w:val="3"/>
            <w:vAlign w:val="center"/>
          </w:tcPr>
          <w:p>
            <w:pPr>
              <w:snapToGrid w:val="0"/>
              <w:spacing w:line="260" w:lineRule="exact"/>
              <w:rPr>
                <w:rFonts w:hint="eastAsia" w:ascii="宋体" w:hAnsi="宋体" w:cs="宋体"/>
                <w:sz w:val="21"/>
                <w:szCs w:val="21"/>
                <w:lang w:val="zh-CN"/>
              </w:rPr>
            </w:pPr>
            <w:r>
              <w:rPr>
                <w:rFonts w:hint="eastAsia" w:ascii="宋体" w:hAnsi="宋体" w:cs="宋体"/>
                <w:sz w:val="21"/>
                <w:szCs w:val="21"/>
                <w:lang w:val="zh-CN"/>
              </w:rPr>
              <w:t>应对突发事情的响应及处理方案等是否科学、合理、高效，进行打分。</w:t>
            </w:r>
          </w:p>
          <w:p>
            <w:pPr>
              <w:snapToGrid w:val="0"/>
              <w:spacing w:line="260" w:lineRule="exact"/>
              <w:rPr>
                <w:rFonts w:hint="eastAsia" w:ascii="宋体" w:hAnsi="宋体" w:cs="宋体"/>
                <w:sz w:val="21"/>
                <w:szCs w:val="21"/>
                <w:lang w:val="zh-CN"/>
              </w:rPr>
            </w:pPr>
            <w:r>
              <w:rPr>
                <w:rFonts w:hint="eastAsia" w:ascii="宋体" w:hAnsi="宋体" w:cs="宋体"/>
                <w:sz w:val="21"/>
                <w:szCs w:val="21"/>
                <w:lang w:val="zh-CN"/>
              </w:rPr>
              <w:t>应对突发事情的响应及处理方案等科学、合理、高效的得6分；</w:t>
            </w:r>
          </w:p>
          <w:p>
            <w:pPr>
              <w:snapToGrid w:val="0"/>
              <w:spacing w:line="260" w:lineRule="exact"/>
              <w:rPr>
                <w:rFonts w:hint="eastAsia" w:ascii="宋体" w:hAnsi="宋体" w:cs="宋体"/>
                <w:sz w:val="21"/>
                <w:szCs w:val="21"/>
                <w:lang w:val="zh-CN"/>
              </w:rPr>
            </w:pPr>
            <w:r>
              <w:rPr>
                <w:rFonts w:hint="eastAsia" w:ascii="宋体" w:hAnsi="宋体" w:cs="宋体"/>
                <w:sz w:val="21"/>
                <w:szCs w:val="21"/>
                <w:lang w:val="zh-CN"/>
              </w:rPr>
              <w:t>应对突发事情的响应及处理方案等基本合理、较高效的4分；</w:t>
            </w:r>
          </w:p>
          <w:p>
            <w:pPr>
              <w:snapToGrid w:val="0"/>
              <w:spacing w:line="260" w:lineRule="exact"/>
              <w:rPr>
                <w:rFonts w:hint="eastAsia" w:ascii="宋体" w:hAnsi="宋体" w:cs="宋体"/>
                <w:sz w:val="21"/>
                <w:szCs w:val="21"/>
                <w:lang w:val="zh-CN"/>
              </w:rPr>
            </w:pPr>
            <w:r>
              <w:rPr>
                <w:rFonts w:hint="eastAsia" w:ascii="宋体" w:hAnsi="宋体" w:cs="宋体"/>
                <w:sz w:val="21"/>
                <w:szCs w:val="21"/>
                <w:lang w:val="zh-CN"/>
              </w:rPr>
              <w:t>应对突发事情的响应及处理方案等不合理、不高效的1分；</w:t>
            </w:r>
          </w:p>
          <w:p>
            <w:pPr>
              <w:snapToGrid w:val="0"/>
              <w:spacing w:line="260" w:lineRule="exact"/>
              <w:rPr>
                <w:rFonts w:hint="eastAsia" w:ascii="宋体" w:hAnsi="宋体" w:eastAsia="宋体" w:cs="宋体"/>
                <w:sz w:val="21"/>
                <w:szCs w:val="21"/>
                <w:lang w:val="zh-CN" w:eastAsia="zh-CN" w:bidi="ar-SA"/>
              </w:rPr>
            </w:pPr>
            <w:r>
              <w:rPr>
                <w:rFonts w:hint="eastAsia" w:ascii="宋体" w:hAnsi="宋体"/>
                <w:sz w:val="21"/>
                <w:szCs w:val="21"/>
              </w:rPr>
              <w:t>未提供的不得分</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26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9</w:t>
            </w:r>
          </w:p>
        </w:tc>
        <w:tc>
          <w:tcPr>
            <w:tcW w:w="0" w:type="auto"/>
            <w:vAlign w:val="center"/>
          </w:tcPr>
          <w:p>
            <w:pPr>
              <w:spacing w:line="260" w:lineRule="exact"/>
              <w:jc w:val="center"/>
              <w:rPr>
                <w:rFonts w:hint="eastAsia" w:ascii="宋体" w:hAnsi="宋体" w:eastAsia="宋体" w:cs="宋体"/>
                <w:bCs/>
                <w:sz w:val="21"/>
                <w:szCs w:val="21"/>
                <w:lang w:val="en-US" w:eastAsia="zh-CN" w:bidi="ar-SA"/>
              </w:rPr>
            </w:pPr>
            <w:r>
              <w:rPr>
                <w:rFonts w:hint="eastAsia" w:ascii="宋体" w:hAnsi="宋体" w:cs="宋体"/>
                <w:sz w:val="18"/>
                <w:szCs w:val="18"/>
              </w:rPr>
              <w:t>项目实施方案</w:t>
            </w:r>
            <w:r>
              <w:rPr>
                <w:rFonts w:hint="eastAsia" w:ascii="宋体" w:hAnsi="宋体"/>
                <w:sz w:val="21"/>
                <w:szCs w:val="21"/>
              </w:rPr>
              <w:t>0-12</w:t>
            </w:r>
          </w:p>
        </w:tc>
        <w:tc>
          <w:tcPr>
            <w:tcW w:w="0" w:type="auto"/>
            <w:gridSpan w:val="3"/>
            <w:vAlign w:val="center"/>
          </w:tcPr>
          <w:p>
            <w:pPr>
              <w:rPr>
                <w:rFonts w:hint="eastAsia" w:ascii="宋体" w:hAnsi="宋体"/>
                <w:spacing w:val="-4"/>
                <w:sz w:val="21"/>
                <w:szCs w:val="22"/>
              </w:rPr>
            </w:pPr>
            <w:r>
              <w:rPr>
                <w:rFonts w:hint="eastAsia" w:ascii="宋体" w:hAnsi="宋体"/>
                <w:spacing w:val="-4"/>
                <w:sz w:val="21"/>
                <w:szCs w:val="22"/>
              </w:rPr>
              <w:t>从供货、施工、安装调试、试运行、验收、后期运维服务等方案进行评审。</w:t>
            </w:r>
          </w:p>
          <w:p>
            <w:pPr>
              <w:rPr>
                <w:rFonts w:hint="eastAsia" w:ascii="宋体" w:hAnsi="宋体"/>
                <w:spacing w:val="-4"/>
                <w:sz w:val="21"/>
                <w:szCs w:val="22"/>
              </w:rPr>
            </w:pPr>
            <w:r>
              <w:rPr>
                <w:rFonts w:hint="eastAsia" w:ascii="宋体" w:hAnsi="宋体"/>
                <w:spacing w:val="-4"/>
                <w:sz w:val="21"/>
                <w:szCs w:val="22"/>
              </w:rPr>
              <w:t>方案内容全面、针对性强，可操作性强的得12分；</w:t>
            </w:r>
          </w:p>
          <w:p>
            <w:pPr>
              <w:rPr>
                <w:rFonts w:hint="eastAsia" w:ascii="宋体" w:hAnsi="宋体"/>
                <w:spacing w:val="-4"/>
                <w:sz w:val="21"/>
                <w:szCs w:val="22"/>
              </w:rPr>
            </w:pPr>
            <w:r>
              <w:rPr>
                <w:rFonts w:hint="eastAsia" w:ascii="宋体" w:hAnsi="宋体"/>
                <w:spacing w:val="-4"/>
                <w:sz w:val="21"/>
                <w:szCs w:val="22"/>
              </w:rPr>
              <w:t>方案内容比较全面、针对性较强，可操作性较强的得8分；</w:t>
            </w:r>
          </w:p>
          <w:p>
            <w:pPr>
              <w:rPr>
                <w:rFonts w:hint="eastAsia" w:ascii="宋体" w:hAnsi="宋体"/>
                <w:spacing w:val="-4"/>
                <w:sz w:val="21"/>
                <w:szCs w:val="22"/>
              </w:rPr>
            </w:pPr>
            <w:r>
              <w:rPr>
                <w:rFonts w:hint="eastAsia" w:ascii="宋体" w:hAnsi="宋体"/>
                <w:spacing w:val="-4"/>
                <w:sz w:val="21"/>
                <w:szCs w:val="22"/>
              </w:rPr>
              <w:t>方案内容基本全面、具有一定的针对性，方案基本可操作的得4分；</w:t>
            </w:r>
          </w:p>
          <w:p>
            <w:pPr>
              <w:rPr>
                <w:rFonts w:hint="eastAsia" w:ascii="宋体" w:hAnsi="宋体"/>
                <w:spacing w:val="-4"/>
                <w:sz w:val="21"/>
                <w:szCs w:val="22"/>
              </w:rPr>
            </w:pPr>
            <w:r>
              <w:rPr>
                <w:rFonts w:hint="eastAsia" w:ascii="宋体" w:hAnsi="宋体"/>
                <w:spacing w:val="-4"/>
                <w:sz w:val="21"/>
                <w:szCs w:val="22"/>
              </w:rPr>
              <w:t>方案内容不全面或不具有针对性，或方案不可操作的得1分；</w:t>
            </w:r>
          </w:p>
          <w:p>
            <w:pPr>
              <w:rPr>
                <w:rFonts w:hint="eastAsia" w:ascii="宋体" w:hAnsi="宋体" w:eastAsia="宋体" w:cs="Times New Roman"/>
                <w:spacing w:val="-4"/>
                <w:sz w:val="21"/>
                <w:szCs w:val="22"/>
                <w:lang w:val="en-US" w:eastAsia="zh-CN" w:bidi="ar-SA"/>
              </w:rPr>
            </w:pPr>
            <w:r>
              <w:rPr>
                <w:rFonts w:hint="eastAsia" w:ascii="宋体" w:hAnsi="宋体"/>
                <w:sz w:val="21"/>
                <w:szCs w:val="21"/>
              </w:rPr>
              <w:t>未提供的不得分</w:t>
            </w:r>
            <w:r>
              <w:rPr>
                <w:rFonts w:hint="eastAsia" w:ascii="宋体" w:hAnsi="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0" w:type="auto"/>
            <w:vAlign w:val="center"/>
          </w:tcPr>
          <w:p>
            <w:pPr>
              <w:snapToGrid w:val="0"/>
              <w:spacing w:line="260" w:lineRule="exact"/>
              <w:jc w:val="center"/>
              <w:rPr>
                <w:rFonts w:hint="eastAsia" w:ascii="宋体" w:hAnsi="宋体" w:eastAsia="宋体" w:cs="宋体"/>
                <w:sz w:val="21"/>
                <w:szCs w:val="21"/>
                <w:lang w:val="en-US" w:eastAsia="zh-CN" w:bidi="ar-SA"/>
              </w:rPr>
            </w:pPr>
            <w:r>
              <w:rPr>
                <w:rFonts w:hint="eastAsia" w:ascii="宋体" w:hAnsi="宋体" w:cs="宋体"/>
                <w:sz w:val="21"/>
                <w:szCs w:val="21"/>
              </w:rPr>
              <w:t>10</w:t>
            </w:r>
          </w:p>
        </w:tc>
        <w:tc>
          <w:tcPr>
            <w:tcW w:w="0" w:type="auto"/>
            <w:vAlign w:val="center"/>
          </w:tcPr>
          <w:p>
            <w:pPr>
              <w:spacing w:line="260" w:lineRule="exact"/>
              <w:jc w:val="center"/>
              <w:rPr>
                <w:rFonts w:hint="eastAsia" w:ascii="宋体" w:hAnsi="宋体" w:eastAsia="宋体" w:cs="宋体"/>
                <w:bCs/>
                <w:sz w:val="21"/>
                <w:szCs w:val="21"/>
                <w:lang w:val="en-US" w:eastAsia="zh-CN" w:bidi="ar-SA"/>
              </w:rPr>
            </w:pPr>
            <w:r>
              <w:rPr>
                <w:rFonts w:hint="eastAsia" w:ascii="宋体" w:hAnsi="宋体" w:cs="宋体"/>
                <w:bCs/>
                <w:sz w:val="21"/>
                <w:szCs w:val="21"/>
              </w:rPr>
              <w:t>售后服务</w:t>
            </w:r>
            <w:r>
              <w:rPr>
                <w:rFonts w:hint="eastAsia" w:ascii="宋体" w:hAnsi="宋体"/>
                <w:sz w:val="21"/>
                <w:szCs w:val="21"/>
              </w:rPr>
              <w:t>0-6分</w:t>
            </w:r>
          </w:p>
        </w:tc>
        <w:tc>
          <w:tcPr>
            <w:tcW w:w="0" w:type="auto"/>
            <w:gridSpan w:val="3"/>
            <w:vAlign w:val="center"/>
          </w:tcPr>
          <w:p>
            <w:pPr>
              <w:rPr>
                <w:rFonts w:hint="eastAsia" w:ascii="宋体" w:hAnsi="宋体"/>
                <w:spacing w:val="-4"/>
                <w:sz w:val="21"/>
                <w:szCs w:val="22"/>
              </w:rPr>
            </w:pPr>
            <w:r>
              <w:rPr>
                <w:rFonts w:hint="eastAsia" w:ascii="宋体" w:hAnsi="宋体"/>
                <w:spacing w:val="-4"/>
                <w:sz w:val="21"/>
                <w:szCs w:val="22"/>
              </w:rPr>
              <w:t>售后服务承诺响应时间快捷，备品备件完备，服务承诺落实保障措施完善的得6分；</w:t>
            </w:r>
          </w:p>
          <w:p>
            <w:pPr>
              <w:rPr>
                <w:rFonts w:hint="eastAsia" w:ascii="宋体" w:hAnsi="宋体"/>
                <w:spacing w:val="-4"/>
                <w:sz w:val="21"/>
                <w:szCs w:val="22"/>
              </w:rPr>
            </w:pPr>
            <w:r>
              <w:rPr>
                <w:rFonts w:hint="eastAsia" w:ascii="宋体" w:hAnsi="宋体"/>
                <w:spacing w:val="-4"/>
                <w:sz w:val="21"/>
                <w:szCs w:val="22"/>
              </w:rPr>
              <w:t>售后服务承诺响应时间较快捷，备品备件较完备，服务承诺落实保障措施较完善的得4分；</w:t>
            </w:r>
          </w:p>
          <w:p>
            <w:pPr>
              <w:rPr>
                <w:rFonts w:hint="eastAsia" w:ascii="宋体" w:hAnsi="宋体"/>
                <w:spacing w:val="-4"/>
                <w:sz w:val="21"/>
                <w:szCs w:val="22"/>
              </w:rPr>
            </w:pPr>
            <w:r>
              <w:rPr>
                <w:rFonts w:hint="eastAsia" w:ascii="宋体" w:hAnsi="宋体"/>
                <w:spacing w:val="-4"/>
                <w:sz w:val="21"/>
                <w:szCs w:val="22"/>
              </w:rPr>
              <w:t>售后服务承诺响应时间慢，备品备件基本完备，服务承诺落实保障措施基本完善的得2分；</w:t>
            </w:r>
          </w:p>
          <w:p>
            <w:pPr>
              <w:rPr>
                <w:rFonts w:hint="eastAsia" w:ascii="宋体" w:hAnsi="宋体"/>
                <w:spacing w:val="-4"/>
                <w:sz w:val="21"/>
                <w:szCs w:val="22"/>
              </w:rPr>
            </w:pPr>
            <w:r>
              <w:rPr>
                <w:rFonts w:hint="eastAsia" w:ascii="宋体" w:hAnsi="宋体"/>
                <w:spacing w:val="-4"/>
                <w:sz w:val="21"/>
                <w:szCs w:val="22"/>
              </w:rPr>
              <w:t>售后服务承诺响应时间很慢或备品备件不完备，或服务承诺落实保障措施不完善的1分。</w:t>
            </w:r>
          </w:p>
          <w:p>
            <w:pPr>
              <w:rPr>
                <w:rFonts w:hint="eastAsia" w:ascii="宋体" w:hAnsi="宋体" w:eastAsia="宋体" w:cs="Times New Roman"/>
                <w:spacing w:val="-4"/>
                <w:sz w:val="21"/>
                <w:szCs w:val="22"/>
                <w:lang w:val="en-US" w:eastAsia="zh-CN" w:bidi="ar-SA"/>
              </w:rPr>
            </w:pPr>
            <w:r>
              <w:rPr>
                <w:rFonts w:hint="eastAsia" w:ascii="宋体" w:hAnsi="宋体"/>
                <w:sz w:val="21"/>
                <w:szCs w:val="21"/>
              </w:rPr>
              <w:t>未提供的不得分</w:t>
            </w:r>
            <w:r>
              <w:rPr>
                <w:rFonts w:hint="eastAsia" w:ascii="宋体" w:hAnsi="宋体"/>
                <w:bCs/>
                <w:sz w:val="21"/>
                <w:szCs w:val="21"/>
              </w:rPr>
              <w:t>。</w:t>
            </w:r>
          </w:p>
        </w:tc>
      </w:tr>
    </w:tbl>
    <w:p>
      <w:pPr>
        <w:spacing w:line="360" w:lineRule="exact"/>
        <w:rPr>
          <w:rFonts w:ascii="宋体" w:hAnsi="宋体" w:cs="宋体"/>
          <w:bCs/>
          <w:color w:val="auto"/>
          <w:kern w:val="28"/>
        </w:rPr>
      </w:pPr>
      <w:r>
        <w:rPr>
          <w:rFonts w:hint="eastAsia" w:ascii="宋体" w:hAnsi="宋体" w:cs="宋体"/>
          <w:bCs/>
          <w:color w:val="auto"/>
          <w:kern w:val="28"/>
        </w:rPr>
        <w:t>注：以上单位、人员各类证明文件扫描件均需加盖单位公章，附在响应文件中；提供材料不真实、不完整或伪造证明材料的，后果自负。</w:t>
      </w:r>
    </w:p>
    <w:p>
      <w:pPr>
        <w:spacing w:line="360" w:lineRule="exact"/>
        <w:ind w:firstLine="420" w:firstLineChars="200"/>
        <w:rPr>
          <w:rFonts w:ascii="宋体" w:hAnsi="宋体" w:cs="宋体"/>
          <w:bCs/>
          <w:color w:val="auto"/>
          <w:kern w:val="28"/>
        </w:rPr>
      </w:pPr>
      <w:r>
        <w:rPr>
          <w:rFonts w:hint="eastAsia" w:ascii="宋体" w:hAnsi="宋体" w:cs="宋体"/>
          <w:bCs/>
          <w:color w:val="auto"/>
          <w:kern w:val="28"/>
        </w:rPr>
        <w:t>综合得分的计算</w:t>
      </w:r>
    </w:p>
    <w:p>
      <w:pPr>
        <w:spacing w:line="360" w:lineRule="exact"/>
        <w:ind w:firstLine="420" w:firstLineChars="200"/>
        <w:rPr>
          <w:rFonts w:ascii="宋体" w:hAnsi="宋体" w:cs="宋体"/>
          <w:bCs/>
          <w:color w:val="auto"/>
          <w:kern w:val="28"/>
        </w:rPr>
      </w:pPr>
      <w:r>
        <w:rPr>
          <w:rFonts w:hint="eastAsia" w:ascii="宋体" w:hAnsi="宋体" w:cs="宋体"/>
          <w:bCs/>
          <w:color w:val="auto"/>
          <w:kern w:val="28"/>
        </w:rPr>
        <w:t>报价得分=A</w:t>
      </w:r>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商务技术得分按照磋商小组成员的独立评分结果汇总数算术平均分=B</w:t>
      </w:r>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综合得分=A+B</w:t>
      </w:r>
    </w:p>
    <w:p>
      <w:pPr>
        <w:spacing w:line="400" w:lineRule="exact"/>
        <w:ind w:firstLine="422" w:firstLineChars="200"/>
        <w:rPr>
          <w:rFonts w:ascii="宋体" w:hAnsi="宋体" w:cs="宋体"/>
          <w:b/>
          <w:bCs/>
          <w:color w:val="auto"/>
          <w:kern w:val="28"/>
        </w:rPr>
      </w:pPr>
      <w:r>
        <w:rPr>
          <w:rFonts w:hint="eastAsia" w:ascii="宋体" w:hAnsi="宋体" w:cs="宋体"/>
          <w:b/>
          <w:bCs/>
          <w:color w:val="auto"/>
          <w:kern w:val="28"/>
        </w:rPr>
        <w:t>四、评定结果</w:t>
      </w:r>
    </w:p>
    <w:p>
      <w:pPr>
        <w:spacing w:line="400" w:lineRule="exact"/>
        <w:ind w:firstLine="420" w:firstLineChars="200"/>
        <w:rPr>
          <w:rFonts w:ascii="宋体" w:hAnsi="宋体" w:cs="宋体"/>
          <w:bCs/>
          <w:color w:val="auto"/>
          <w:kern w:val="28"/>
        </w:rPr>
      </w:pPr>
      <w:r>
        <w:rPr>
          <w:rFonts w:hint="eastAsia" w:ascii="宋体" w:hAnsi="宋体" w:cs="宋体"/>
          <w:bCs/>
          <w:color w:val="auto"/>
          <w:kern w:val="28"/>
        </w:rPr>
        <w:t>本次采购根据有效磋商供应商的综合评分从高到低原则，确定一个成交候选供应商，其他有效供应商依次确定为成交备选供应商。评审得分相同时，按照最后报价由低到高的顺序推荐。评审得分且最后报价相同的，按照商务技术分</w:t>
      </w:r>
      <w:r>
        <w:rPr>
          <w:rFonts w:hint="eastAsia" w:ascii="宋体" w:hAnsi="宋体" w:cs="宋体"/>
          <w:color w:val="auto"/>
          <w:szCs w:val="21"/>
        </w:rPr>
        <w:t>由高到低</w:t>
      </w:r>
      <w:r>
        <w:rPr>
          <w:rFonts w:hint="eastAsia" w:ascii="宋体" w:hAnsi="宋体" w:cs="宋体"/>
          <w:bCs/>
          <w:color w:val="auto"/>
          <w:kern w:val="28"/>
        </w:rPr>
        <w:t>顺序推荐。评审得分、最后报价及商务技术得分均相同时，以政采云响应文件解密先后顺序确定。</w:t>
      </w:r>
    </w:p>
    <w:p>
      <w:pPr>
        <w:spacing w:line="400" w:lineRule="exact"/>
        <w:ind w:firstLine="422" w:firstLineChars="200"/>
        <w:rPr>
          <w:rFonts w:ascii="宋体" w:hAnsi="宋体" w:cs="宋体"/>
          <w:b/>
          <w:bCs/>
          <w:color w:val="auto"/>
          <w:kern w:val="28"/>
        </w:rPr>
      </w:pPr>
      <w:r>
        <w:rPr>
          <w:rFonts w:hint="eastAsia" w:ascii="宋体" w:hAnsi="宋体" w:cs="宋体"/>
          <w:b/>
          <w:bCs/>
          <w:color w:val="auto"/>
          <w:kern w:val="28"/>
        </w:rPr>
        <w:t>五、磋商供应商的义务</w:t>
      </w:r>
    </w:p>
    <w:p>
      <w:pPr>
        <w:spacing w:line="400" w:lineRule="exact"/>
        <w:ind w:firstLine="420" w:firstLineChars="200"/>
        <w:rPr>
          <w:rFonts w:ascii="宋体" w:hAnsi="宋体" w:cs="宋体"/>
          <w:color w:val="auto"/>
          <w:szCs w:val="21"/>
        </w:rPr>
      </w:pPr>
      <w:r>
        <w:rPr>
          <w:rFonts w:hint="eastAsia" w:ascii="宋体" w:hAnsi="宋体" w:cs="宋体"/>
          <w:bCs/>
          <w:color w:val="auto"/>
          <w:kern w:val="28"/>
        </w:rPr>
        <w:t>磋商供应商应随时随地答复磋商小组的询标，解答包括有关的商务、技术问题等。磋商结束，所有评定资料存</w:t>
      </w:r>
      <w:r>
        <w:rPr>
          <w:rFonts w:hint="eastAsia" w:ascii="宋体" w:hAnsi="宋体" w:cs="宋体"/>
          <w:color w:val="auto"/>
          <w:szCs w:val="21"/>
        </w:rPr>
        <w:t>瑞安市公共资源交易中心</w:t>
      </w:r>
      <w:r>
        <w:rPr>
          <w:rFonts w:hint="eastAsia" w:ascii="宋体" w:hAnsi="宋体" w:cs="宋体"/>
          <w:bCs/>
          <w:color w:val="auto"/>
          <w:kern w:val="28"/>
        </w:rPr>
        <w:t xml:space="preserve">备案。 </w:t>
      </w:r>
    </w:p>
    <w:p>
      <w:pPr>
        <w:pStyle w:val="234"/>
        <w:snapToGrid w:val="0"/>
        <w:spacing w:before="120" w:beforeLines="50" w:after="120" w:afterLines="50" w:line="500" w:lineRule="exact"/>
        <w:jc w:val="center"/>
        <w:rPr>
          <w:rFonts w:ascii="方正小标宋简体" w:hAnsi="方正小标宋简体" w:eastAsia="方正小标宋简体" w:cs="方正小标宋简体"/>
          <w:b/>
          <w:bCs/>
          <w:color w:val="auto"/>
          <w:sz w:val="32"/>
          <w:szCs w:val="32"/>
        </w:rPr>
      </w:pPr>
    </w:p>
    <w:p>
      <w:pPr>
        <w:pStyle w:val="234"/>
        <w:snapToGrid w:val="0"/>
        <w:spacing w:before="120" w:beforeLines="50" w:after="120" w:afterLines="50" w:line="500" w:lineRule="exact"/>
        <w:jc w:val="center"/>
        <w:rPr>
          <w:rFonts w:ascii="方正小标宋简体" w:hAnsi="方正小标宋简体" w:eastAsia="方正小标宋简体" w:cs="方正小标宋简体"/>
          <w:b/>
          <w:bCs/>
          <w:color w:val="auto"/>
          <w:sz w:val="32"/>
          <w:szCs w:val="32"/>
        </w:rPr>
      </w:pPr>
    </w:p>
    <w:p>
      <w:pPr>
        <w:pStyle w:val="234"/>
        <w:snapToGrid w:val="0"/>
        <w:spacing w:before="120" w:beforeLines="50" w:after="120" w:afterLines="50" w:line="500" w:lineRule="exact"/>
        <w:jc w:val="center"/>
        <w:rPr>
          <w:rFonts w:ascii="方正小标宋简体" w:hAnsi="方正小标宋简体" w:eastAsia="方正小标宋简体" w:cs="方正小标宋简体"/>
          <w:b/>
          <w:bCs/>
          <w:color w:val="auto"/>
          <w:sz w:val="32"/>
          <w:szCs w:val="32"/>
        </w:rPr>
      </w:pPr>
    </w:p>
    <w:p>
      <w:pPr>
        <w:pStyle w:val="234"/>
        <w:snapToGrid w:val="0"/>
        <w:spacing w:before="120" w:beforeLines="50" w:after="120" w:afterLines="50" w:line="500" w:lineRule="exact"/>
        <w:jc w:val="both"/>
        <w:rPr>
          <w:rFonts w:ascii="方正小标宋简体" w:hAnsi="方正小标宋简体" w:eastAsia="方正小标宋简体" w:cs="方正小标宋简体"/>
          <w:b/>
          <w:bCs/>
          <w:color w:val="auto"/>
          <w:sz w:val="32"/>
          <w:szCs w:val="32"/>
        </w:rPr>
      </w:pPr>
    </w:p>
    <w:p>
      <w:pPr>
        <w:rPr>
          <w:rFonts w:ascii="方正小标宋简体" w:hAnsi="方正小标宋简体" w:eastAsia="方正小标宋简体" w:cs="方正小标宋简体"/>
          <w:b/>
          <w:bCs/>
          <w:color w:val="auto"/>
          <w:sz w:val="32"/>
          <w:szCs w:val="32"/>
        </w:rPr>
      </w:pPr>
      <w:r>
        <w:rPr>
          <w:rFonts w:ascii="方正小标宋简体" w:hAnsi="方正小标宋简体" w:eastAsia="方正小标宋简体" w:cs="方正小标宋简体"/>
          <w:b/>
          <w:bCs/>
          <w:color w:val="auto"/>
          <w:sz w:val="32"/>
          <w:szCs w:val="32"/>
        </w:rPr>
        <w:br w:type="page"/>
      </w:r>
    </w:p>
    <w:p>
      <w:pPr>
        <w:pStyle w:val="234"/>
        <w:snapToGrid w:val="0"/>
        <w:spacing w:before="120" w:beforeLines="50" w:after="120" w:afterLines="50" w:line="500" w:lineRule="exact"/>
        <w:jc w:val="center"/>
        <w:rPr>
          <w:rFonts w:ascii="方正小标宋简体" w:hAnsi="方正小标宋简体" w:eastAsia="方正小标宋简体" w:cs="方正小标宋简体"/>
          <w:b/>
          <w:bCs/>
          <w:color w:val="auto"/>
          <w:sz w:val="32"/>
          <w:szCs w:val="32"/>
        </w:rPr>
      </w:pPr>
      <w:r>
        <w:rPr>
          <w:rFonts w:ascii="方正小标宋简体" w:hAnsi="方正小标宋简体" w:eastAsia="方正小标宋简体" w:cs="方正小标宋简体"/>
          <w:b/>
          <w:bCs/>
          <w:color w:val="auto"/>
          <w:sz w:val="32"/>
          <w:szCs w:val="32"/>
        </w:rPr>
        <w:t>政府采购活动现场确认声明书</w:t>
      </w:r>
    </w:p>
    <w:p>
      <w:pPr>
        <w:pStyle w:val="234"/>
        <w:snapToGrid w:val="0"/>
        <w:spacing w:line="500" w:lineRule="exact"/>
        <w:rPr>
          <w:rFonts w:hAnsi="宋体" w:cs="宋体"/>
          <w:b/>
          <w:color w:val="auto"/>
          <w:szCs w:val="21"/>
        </w:rPr>
      </w:pPr>
      <w:r>
        <w:rPr>
          <w:rFonts w:hint="eastAsia" w:hAnsi="宋体" w:cs="宋体"/>
          <w:color w:val="auto"/>
          <w:kern w:val="0"/>
          <w:szCs w:val="21"/>
          <w:u w:val="single"/>
          <w:lang w:eastAsia="zh-CN"/>
        </w:rPr>
        <w:t>浙江中格工程项目管理有限公司</w:t>
      </w:r>
      <w:r>
        <w:rPr>
          <w:rFonts w:hAnsi="宋体" w:cs="宋体"/>
          <w:color w:val="auto"/>
          <w:kern w:val="0"/>
          <w:szCs w:val="21"/>
        </w:rPr>
        <w:t>（采购组织机构名称）：</w:t>
      </w:r>
    </w:p>
    <w:p>
      <w:pPr>
        <w:pStyle w:val="234"/>
        <w:snapToGrid w:val="0"/>
        <w:spacing w:line="460" w:lineRule="exact"/>
        <w:ind w:left="19" w:leftChars="9" w:firstLine="415" w:firstLineChars="187"/>
        <w:rPr>
          <w:rFonts w:hAnsi="宋体" w:cs="宋体"/>
          <w:color w:val="auto"/>
          <w:spacing w:val="6"/>
          <w:szCs w:val="21"/>
        </w:rPr>
      </w:pPr>
      <w:r>
        <w:rPr>
          <w:rFonts w:hAnsi="宋体" w:cs="宋体"/>
          <w:color w:val="auto"/>
          <w:spacing w:val="6"/>
          <w:szCs w:val="21"/>
        </w:rPr>
        <w:t>本人</w:t>
      </w:r>
      <w:r>
        <w:rPr>
          <w:rFonts w:hAnsi="宋体" w:cs="宋体"/>
          <w:color w:val="auto"/>
          <w:spacing w:val="6"/>
          <w:szCs w:val="21"/>
          <w:u w:val="single"/>
        </w:rPr>
        <w:t xml:space="preserve">           </w:t>
      </w:r>
      <w:r>
        <w:rPr>
          <w:rFonts w:hAnsi="宋体" w:cs="宋体"/>
          <w:color w:val="auto"/>
          <w:spacing w:val="6"/>
          <w:szCs w:val="21"/>
        </w:rPr>
        <w:t>（授权代表姓名），经由</w:t>
      </w:r>
      <w:r>
        <w:rPr>
          <w:rFonts w:hAnsi="宋体" w:cs="宋体"/>
          <w:color w:val="auto"/>
          <w:spacing w:val="6"/>
          <w:szCs w:val="21"/>
          <w:u w:val="single"/>
        </w:rPr>
        <w:t xml:space="preserve">                              （单位）</w:t>
      </w:r>
      <w:r>
        <w:rPr>
          <w:rFonts w:hAnsi="宋体" w:cs="宋体"/>
          <w:color w:val="auto"/>
          <w:spacing w:val="6"/>
          <w:szCs w:val="21"/>
        </w:rPr>
        <w:t>负责人</w:t>
      </w:r>
      <w:r>
        <w:rPr>
          <w:rFonts w:hAnsi="宋体" w:cs="宋体"/>
          <w:color w:val="auto"/>
          <w:spacing w:val="6"/>
          <w:szCs w:val="21"/>
          <w:u w:val="single"/>
        </w:rPr>
        <w:t xml:space="preserve">          </w:t>
      </w:r>
      <w:r>
        <w:rPr>
          <w:rFonts w:hAnsi="宋体" w:cs="宋体"/>
          <w:color w:val="auto"/>
          <w:spacing w:val="6"/>
          <w:szCs w:val="21"/>
        </w:rPr>
        <w:t>（法定代表人）合法授权参加</w:t>
      </w:r>
      <w:r>
        <w:rPr>
          <w:rFonts w:hint="eastAsia" w:hAnsi="宋体" w:cs="宋体"/>
          <w:color w:val="auto"/>
          <w:spacing w:val="6"/>
          <w:szCs w:val="21"/>
          <w:u w:val="single"/>
          <w:lang w:eastAsia="zh-CN"/>
        </w:rPr>
        <w:t>曹村镇无废村镇试点（垃圾分类主题公园扩建二期）配套环保工程设备采购</w:t>
      </w:r>
      <w:r>
        <w:rPr>
          <w:rFonts w:hAnsi="宋体" w:cs="宋体"/>
          <w:color w:val="auto"/>
          <w:spacing w:val="6"/>
          <w:szCs w:val="21"/>
        </w:rPr>
        <w:t>（编号：</w:t>
      </w:r>
      <w:r>
        <w:rPr>
          <w:rFonts w:hint="eastAsia" w:hAnsi="宋体" w:cs="宋体"/>
          <w:color w:val="auto"/>
          <w:spacing w:val="6"/>
          <w:szCs w:val="21"/>
          <w:u w:val="single"/>
          <w:lang w:eastAsia="zh-CN"/>
        </w:rPr>
        <w:t>ZGCG20222008</w:t>
      </w:r>
      <w:r>
        <w:rPr>
          <w:rFonts w:hAnsi="宋体" w:cs="宋体"/>
          <w:color w:val="auto"/>
          <w:spacing w:val="6"/>
          <w:szCs w:val="21"/>
        </w:rPr>
        <w:t xml:space="preserve">）政府采购活动，经与本单位法人代表（负责人）联系确认，现就有关公平竞争事项郑重声明如下： </w:t>
      </w:r>
    </w:p>
    <w:p>
      <w:pPr>
        <w:pStyle w:val="147"/>
        <w:widowControl/>
        <w:numPr>
          <w:ilvl w:val="0"/>
          <w:numId w:val="31"/>
        </w:numPr>
        <w:snapToGrid w:val="0"/>
        <w:spacing w:line="460" w:lineRule="exact"/>
        <w:ind w:firstLine="396" w:firstLineChars="189"/>
        <w:rPr>
          <w:rFonts w:hint="default" w:ascii="宋体" w:hAnsi="宋体" w:cs="宋体"/>
          <w:color w:val="auto"/>
          <w:kern w:val="0"/>
          <w:szCs w:val="21"/>
        </w:rPr>
      </w:pPr>
      <w:r>
        <w:rPr>
          <w:rFonts w:ascii="宋体" w:hAnsi="宋体" w:cs="宋体"/>
          <w:color w:val="auto"/>
          <w:kern w:val="0"/>
          <w:szCs w:val="21"/>
        </w:rPr>
        <w:t xml:space="preserve">本单位与采购人之间 □不存在利害关系 </w:t>
      </w:r>
      <w:r>
        <w:rPr>
          <w:rFonts w:ascii="宋体" w:hAnsi="宋体" w:cs="宋体"/>
          <w:color w:val="auto"/>
          <w:kern w:val="0"/>
          <w:szCs w:val="21"/>
        </w:rPr>
        <w:sym w:font="Wingdings 2" w:char="0052"/>
      </w:r>
      <w:r>
        <w:rPr>
          <w:rFonts w:ascii="宋体" w:hAnsi="宋体" w:cs="宋体"/>
          <w:color w:val="auto"/>
          <w:kern w:val="0"/>
          <w:szCs w:val="21"/>
        </w:rPr>
        <w:t>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pPr>
        <w:pStyle w:val="147"/>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A.投资关系    B.行政隶属关系    C.业务指导关系</w:t>
      </w:r>
    </w:p>
    <w:p>
      <w:pPr>
        <w:pStyle w:val="147"/>
        <w:widowControl/>
        <w:snapToGrid w:val="0"/>
        <w:spacing w:line="460" w:lineRule="exact"/>
        <w:rPr>
          <w:rFonts w:hint="default" w:ascii="宋体" w:hAnsi="宋体" w:cs="宋体"/>
          <w:color w:val="auto"/>
          <w:kern w:val="0"/>
          <w:szCs w:val="21"/>
        </w:rPr>
      </w:pPr>
      <w:r>
        <w:rPr>
          <w:rFonts w:ascii="宋体" w:hAnsi="宋体" w:cs="宋体"/>
          <w:color w:val="auto"/>
          <w:kern w:val="0"/>
          <w:szCs w:val="21"/>
        </w:rPr>
        <w:t xml:space="preserve">  D.其他可能</w:t>
      </w:r>
      <w:r>
        <w:rPr>
          <w:rFonts w:ascii="宋体" w:hAnsi="宋体" w:cs="宋体"/>
          <w:color w:val="auto"/>
          <w:szCs w:val="21"/>
        </w:rPr>
        <w:t>影响采购公正的</w:t>
      </w:r>
      <w:r>
        <w:rPr>
          <w:rFonts w:ascii="宋体" w:hAnsi="宋体" w:cs="宋体"/>
          <w:color w:val="auto"/>
          <w:kern w:val="0"/>
          <w:szCs w:val="21"/>
        </w:rPr>
        <w:t>利害关系</w:t>
      </w:r>
      <w:r>
        <w:rPr>
          <w:rFonts w:ascii="宋体" w:hAnsi="宋体" w:cs="宋体"/>
          <w:color w:val="auto"/>
          <w:kern w:val="0"/>
          <w:szCs w:val="21"/>
          <w:u w:val="single"/>
        </w:rPr>
        <w:t xml:space="preserve">（如有，请如实说明）                 </w:t>
      </w:r>
      <w:r>
        <w:rPr>
          <w:rFonts w:ascii="宋体" w:hAnsi="宋体" w:cs="宋体"/>
          <w:color w:val="auto"/>
          <w:kern w:val="0"/>
          <w:szCs w:val="21"/>
        </w:rPr>
        <w:t>。</w:t>
      </w:r>
    </w:p>
    <w:p>
      <w:pPr>
        <w:pStyle w:val="147"/>
        <w:widowControl/>
        <w:snapToGrid w:val="0"/>
        <w:spacing w:line="460" w:lineRule="exact"/>
        <w:rPr>
          <w:rFonts w:hint="default" w:ascii="宋体" w:hAnsi="宋体" w:cs="宋体"/>
          <w:color w:val="auto"/>
          <w:kern w:val="0"/>
          <w:szCs w:val="21"/>
        </w:rPr>
      </w:pPr>
      <w:r>
        <w:rPr>
          <w:rFonts w:ascii="宋体" w:hAnsi="宋体" w:cs="宋体"/>
          <w:color w:val="auto"/>
          <w:spacing w:val="6"/>
          <w:szCs w:val="21"/>
        </w:rPr>
        <w:t xml:space="preserve">   二、</w:t>
      </w:r>
      <w:r>
        <w:rPr>
          <w:rFonts w:ascii="宋体" w:hAnsi="宋体" w:cs="宋体"/>
          <w:color w:val="auto"/>
          <w:kern w:val="0"/>
          <w:szCs w:val="21"/>
        </w:rPr>
        <w:t>现已清楚知道参加本项目采购活动的其他所有供应商名称，本单位 □与其他所有供应商之间均不存在利害关系 □与</w:t>
      </w:r>
      <w:r>
        <w:rPr>
          <w:rFonts w:ascii="宋体" w:hAnsi="宋体" w:cs="宋体"/>
          <w:color w:val="auto"/>
          <w:kern w:val="0"/>
          <w:szCs w:val="21"/>
          <w:u w:val="single"/>
        </w:rPr>
        <w:t xml:space="preserve">           （供应商名称）</w:t>
      </w:r>
      <w:r>
        <w:rPr>
          <w:rFonts w:ascii="宋体" w:hAnsi="宋体" w:cs="宋体"/>
          <w:color w:val="auto"/>
          <w:kern w:val="0"/>
          <w:szCs w:val="21"/>
        </w:rPr>
        <w:t>之间存在下列利害关系</w:t>
      </w:r>
      <w:r>
        <w:rPr>
          <w:rFonts w:ascii="宋体" w:hAnsi="宋体" w:cs="宋体"/>
          <w:color w:val="auto"/>
          <w:kern w:val="0"/>
          <w:szCs w:val="21"/>
          <w:u w:val="single"/>
        </w:rPr>
        <w:t xml:space="preserve">          </w:t>
      </w:r>
      <w:r>
        <w:rPr>
          <w:rFonts w:ascii="宋体" w:hAnsi="宋体" w:cs="宋体"/>
          <w:color w:val="auto"/>
          <w:kern w:val="0"/>
          <w:szCs w:val="21"/>
        </w:rPr>
        <w:t>：</w:t>
      </w:r>
    </w:p>
    <w:p>
      <w:pPr>
        <w:pStyle w:val="234"/>
        <w:snapToGrid w:val="0"/>
        <w:spacing w:line="460" w:lineRule="exact"/>
        <w:rPr>
          <w:rFonts w:hAnsi="宋体" w:cs="宋体"/>
          <w:color w:val="auto"/>
          <w:kern w:val="0"/>
          <w:szCs w:val="21"/>
        </w:rPr>
      </w:pPr>
      <w:r>
        <w:rPr>
          <w:rFonts w:hAnsi="宋体" w:cs="宋体"/>
          <w:color w:val="auto"/>
          <w:kern w:val="0"/>
          <w:szCs w:val="21"/>
        </w:rPr>
        <w:t xml:space="preserve">  A.法定代表人或负责人或实际控制人是同一人</w:t>
      </w:r>
    </w:p>
    <w:p>
      <w:pPr>
        <w:pStyle w:val="234"/>
        <w:snapToGrid w:val="0"/>
        <w:spacing w:line="460" w:lineRule="exact"/>
        <w:rPr>
          <w:rFonts w:hAnsi="宋体" w:cs="宋体"/>
          <w:color w:val="auto"/>
          <w:spacing w:val="6"/>
          <w:szCs w:val="21"/>
        </w:rPr>
      </w:pPr>
      <w:r>
        <w:rPr>
          <w:rFonts w:hAnsi="宋体" w:cs="宋体"/>
          <w:color w:val="auto"/>
          <w:kern w:val="0"/>
          <w:szCs w:val="21"/>
        </w:rPr>
        <w:t xml:space="preserve">  B.法定代表人或负责人或实际控制人是夫妻关系</w:t>
      </w:r>
    </w:p>
    <w:p>
      <w:pPr>
        <w:pStyle w:val="234"/>
        <w:snapToGrid w:val="0"/>
        <w:spacing w:line="460" w:lineRule="exact"/>
        <w:rPr>
          <w:rFonts w:hAnsi="宋体" w:cs="宋体"/>
          <w:color w:val="auto"/>
          <w:spacing w:val="6"/>
          <w:szCs w:val="21"/>
        </w:rPr>
      </w:pPr>
      <w:r>
        <w:rPr>
          <w:rFonts w:hAnsi="宋体" w:cs="宋体"/>
          <w:color w:val="auto"/>
          <w:kern w:val="0"/>
          <w:szCs w:val="21"/>
        </w:rPr>
        <w:t xml:space="preserve">  C.法定代表人或负责人或实际控制人是直系血亲关系</w:t>
      </w:r>
    </w:p>
    <w:p>
      <w:pPr>
        <w:pStyle w:val="234"/>
        <w:snapToGrid w:val="0"/>
        <w:spacing w:line="460" w:lineRule="exact"/>
        <w:rPr>
          <w:rFonts w:hAnsi="宋体" w:cs="宋体"/>
          <w:color w:val="auto"/>
          <w:spacing w:val="6"/>
          <w:szCs w:val="21"/>
        </w:rPr>
      </w:pPr>
      <w:r>
        <w:rPr>
          <w:rFonts w:hAnsi="宋体" w:cs="宋体"/>
          <w:color w:val="auto"/>
          <w:kern w:val="0"/>
          <w:szCs w:val="21"/>
        </w:rPr>
        <w:t xml:space="preserve">  D.法定代表人或负责人或实际控制人存在三代以内旁系血亲关系</w:t>
      </w:r>
    </w:p>
    <w:p>
      <w:pPr>
        <w:pStyle w:val="234"/>
        <w:snapToGrid w:val="0"/>
        <w:spacing w:line="460" w:lineRule="exact"/>
        <w:rPr>
          <w:rFonts w:hAnsi="宋体" w:cs="宋体"/>
          <w:color w:val="auto"/>
          <w:kern w:val="0"/>
          <w:szCs w:val="21"/>
        </w:rPr>
      </w:pPr>
      <w:r>
        <w:rPr>
          <w:rFonts w:hAnsi="宋体" w:cs="宋体"/>
          <w:color w:val="auto"/>
          <w:kern w:val="0"/>
          <w:szCs w:val="21"/>
        </w:rPr>
        <w:t xml:space="preserve">  E.法定代表人或负责人或实际控制人存在近姻亲关系</w:t>
      </w:r>
    </w:p>
    <w:p>
      <w:pPr>
        <w:pStyle w:val="234"/>
        <w:snapToGrid w:val="0"/>
        <w:spacing w:line="460" w:lineRule="exact"/>
        <w:rPr>
          <w:rFonts w:hAnsi="宋体" w:cs="宋体"/>
          <w:color w:val="auto"/>
          <w:kern w:val="0"/>
          <w:szCs w:val="21"/>
        </w:rPr>
      </w:pPr>
      <w:r>
        <w:rPr>
          <w:rFonts w:hAnsi="宋体" w:cs="宋体"/>
          <w:color w:val="auto"/>
          <w:kern w:val="0"/>
          <w:szCs w:val="21"/>
        </w:rPr>
        <w:t xml:space="preserve">  F.法定代表人或负责人或实际控制人存在股份控制或实际控制关系</w:t>
      </w:r>
    </w:p>
    <w:p>
      <w:pPr>
        <w:pStyle w:val="234"/>
        <w:snapToGrid w:val="0"/>
        <w:spacing w:line="460" w:lineRule="exact"/>
        <w:outlineLvl w:val="0"/>
        <w:rPr>
          <w:rFonts w:hAnsi="宋体" w:cs="宋体"/>
          <w:color w:val="auto"/>
          <w:kern w:val="0"/>
          <w:szCs w:val="21"/>
        </w:rPr>
      </w:pPr>
      <w:r>
        <w:rPr>
          <w:rFonts w:hAnsi="宋体" w:cs="宋体"/>
          <w:color w:val="auto"/>
          <w:kern w:val="0"/>
          <w:szCs w:val="21"/>
        </w:rPr>
        <w:t xml:space="preserve">  </w:t>
      </w:r>
      <w:bookmarkStart w:id="184" w:name="_Toc30002"/>
      <w:bookmarkStart w:id="185" w:name="_Toc27438"/>
      <w:bookmarkStart w:id="186" w:name="_Toc4873"/>
      <w:bookmarkStart w:id="187" w:name="_Toc8639"/>
      <w:bookmarkStart w:id="188" w:name="_Toc18116"/>
      <w:bookmarkStart w:id="189" w:name="_Toc29737"/>
      <w:bookmarkStart w:id="190" w:name="_Toc22442"/>
      <w:bookmarkStart w:id="191" w:name="_Toc2839"/>
      <w:bookmarkStart w:id="192" w:name="_Toc31559"/>
      <w:r>
        <w:rPr>
          <w:rFonts w:hAnsi="宋体" w:cs="宋体"/>
          <w:color w:val="auto"/>
          <w:kern w:val="0"/>
          <w:szCs w:val="21"/>
        </w:rPr>
        <w:t>G.存在共同直接或间接投资设立子公司、联营企业和合营企业情况</w:t>
      </w:r>
      <w:bookmarkEnd w:id="184"/>
      <w:bookmarkEnd w:id="185"/>
      <w:bookmarkEnd w:id="186"/>
      <w:bookmarkEnd w:id="187"/>
      <w:bookmarkEnd w:id="188"/>
      <w:bookmarkEnd w:id="189"/>
      <w:bookmarkEnd w:id="190"/>
      <w:bookmarkEnd w:id="191"/>
      <w:bookmarkEnd w:id="192"/>
    </w:p>
    <w:p>
      <w:pPr>
        <w:pStyle w:val="234"/>
        <w:snapToGrid w:val="0"/>
        <w:spacing w:line="460" w:lineRule="exact"/>
        <w:rPr>
          <w:rFonts w:hAnsi="宋体" w:cs="宋体"/>
          <w:color w:val="auto"/>
          <w:szCs w:val="21"/>
        </w:rPr>
      </w:pPr>
      <w:r>
        <w:rPr>
          <w:rFonts w:hAnsi="宋体" w:cs="宋体"/>
          <w:color w:val="auto"/>
          <w:kern w:val="0"/>
          <w:szCs w:val="21"/>
        </w:rPr>
        <w:t xml:space="preserve">  H.存在分级代理或代销关系、同一生产制造商关系、</w:t>
      </w:r>
      <w:r>
        <w:rPr>
          <w:rFonts w:hAnsi="宋体" w:cs="宋体"/>
          <w:color w:val="auto"/>
          <w:szCs w:val="21"/>
        </w:rPr>
        <w:t>管理关系、重要业务（占主营业务收入50%以上）或重要财务往来关系（如融资）等其他实质性控制关系</w:t>
      </w:r>
    </w:p>
    <w:p>
      <w:pPr>
        <w:pStyle w:val="234"/>
        <w:snapToGrid w:val="0"/>
        <w:spacing w:line="460" w:lineRule="exact"/>
        <w:rPr>
          <w:rFonts w:hAnsi="宋体" w:cs="宋体"/>
          <w:color w:val="auto"/>
          <w:spacing w:val="6"/>
          <w:szCs w:val="21"/>
        </w:rPr>
      </w:pPr>
      <w:r>
        <w:rPr>
          <w:rFonts w:hAnsi="宋体" w:cs="宋体"/>
          <w:color w:val="auto"/>
          <w:szCs w:val="21"/>
        </w:rPr>
        <w:t xml:space="preserve">  I</w:t>
      </w:r>
      <w:r>
        <w:rPr>
          <w:rFonts w:hAnsi="宋体" w:cs="宋体"/>
          <w:color w:val="auto"/>
          <w:kern w:val="0"/>
          <w:szCs w:val="21"/>
        </w:rPr>
        <w:t>.</w:t>
      </w:r>
      <w:r>
        <w:rPr>
          <w:rFonts w:hAnsi="宋体" w:cs="宋体"/>
          <w:color w:val="auto"/>
          <w:szCs w:val="21"/>
        </w:rPr>
        <w:t>其他利害关系情况</w:t>
      </w:r>
      <w:r>
        <w:rPr>
          <w:rFonts w:hAnsi="宋体" w:cs="宋体"/>
          <w:color w:val="auto"/>
          <w:szCs w:val="21"/>
          <w:u w:val="single"/>
        </w:rPr>
        <w:t xml:space="preserve">                              </w:t>
      </w:r>
      <w:r>
        <w:rPr>
          <w:rFonts w:hAnsi="宋体" w:cs="宋体"/>
          <w:color w:val="auto"/>
          <w:kern w:val="0"/>
          <w:szCs w:val="21"/>
        </w:rPr>
        <w:t>。</w:t>
      </w:r>
    </w:p>
    <w:p>
      <w:pPr>
        <w:pStyle w:val="147"/>
        <w:widowControl/>
        <w:numPr>
          <w:ilvl w:val="0"/>
          <w:numId w:val="32"/>
        </w:numPr>
        <w:snapToGrid w:val="0"/>
        <w:spacing w:line="460" w:lineRule="exact"/>
        <w:ind w:firstLine="396" w:firstLineChars="189"/>
        <w:rPr>
          <w:rFonts w:hint="default" w:ascii="宋体" w:hAnsi="宋体" w:cs="宋体"/>
          <w:color w:val="auto"/>
          <w:kern w:val="0"/>
          <w:szCs w:val="21"/>
        </w:rPr>
      </w:pPr>
      <w:r>
        <w:rPr>
          <w:rFonts w:ascii="宋体" w:hAnsi="宋体" w:cs="宋体"/>
          <w:color w:val="auto"/>
          <w:szCs w:val="21"/>
        </w:rPr>
        <w:t>现已清楚知道并</w:t>
      </w:r>
      <w:r>
        <w:rPr>
          <w:rFonts w:ascii="宋体" w:hAnsi="宋体" w:cs="宋体"/>
          <w:color w:val="auto"/>
          <w:kern w:val="0"/>
          <w:szCs w:val="21"/>
        </w:rPr>
        <w:t>严格遵守政府采购法律法规和现场纪律。</w:t>
      </w:r>
    </w:p>
    <w:p>
      <w:pPr>
        <w:pStyle w:val="147"/>
        <w:widowControl/>
        <w:numPr>
          <w:ilvl w:val="0"/>
          <w:numId w:val="32"/>
        </w:numPr>
        <w:snapToGrid w:val="0"/>
        <w:spacing w:line="460" w:lineRule="exact"/>
        <w:ind w:firstLine="396" w:firstLineChars="189"/>
        <w:rPr>
          <w:rFonts w:hint="default" w:ascii="宋体" w:hAnsi="宋体" w:cs="宋体"/>
          <w:color w:val="auto"/>
          <w:kern w:val="0"/>
          <w:szCs w:val="21"/>
        </w:rPr>
      </w:pPr>
      <w:r>
        <w:rPr>
          <w:rFonts w:ascii="宋体" w:hAnsi="宋体" w:cs="宋体"/>
          <w:color w:val="auto"/>
          <w:kern w:val="0"/>
          <w:szCs w:val="21"/>
        </w:rPr>
        <w:t>我发现</w:t>
      </w:r>
      <w:r>
        <w:rPr>
          <w:rFonts w:ascii="宋体" w:hAnsi="宋体" w:cs="宋体"/>
          <w:color w:val="auto"/>
          <w:kern w:val="0"/>
          <w:szCs w:val="21"/>
          <w:u w:val="single"/>
        </w:rPr>
        <w:t xml:space="preserve">                  </w:t>
      </w:r>
      <w:r>
        <w:rPr>
          <w:rFonts w:ascii="宋体" w:hAnsi="宋体" w:cs="宋体"/>
          <w:color w:val="auto"/>
          <w:kern w:val="0"/>
          <w:szCs w:val="21"/>
        </w:rPr>
        <w:t>供应商之间存在或可能存在上述第二条第</w:t>
      </w:r>
      <w:r>
        <w:rPr>
          <w:rFonts w:ascii="宋体" w:hAnsi="宋体" w:cs="宋体"/>
          <w:color w:val="auto"/>
          <w:kern w:val="0"/>
          <w:szCs w:val="21"/>
          <w:u w:val="single"/>
        </w:rPr>
        <w:t xml:space="preserve">        </w:t>
      </w:r>
      <w:r>
        <w:rPr>
          <w:rFonts w:ascii="宋体" w:hAnsi="宋体" w:cs="宋体"/>
          <w:color w:val="auto"/>
          <w:kern w:val="0"/>
          <w:szCs w:val="21"/>
        </w:rPr>
        <w:t>项利害关系。</w:t>
      </w:r>
    </w:p>
    <w:p>
      <w:pPr>
        <w:pStyle w:val="234"/>
        <w:snapToGrid w:val="0"/>
        <w:spacing w:line="500" w:lineRule="exact"/>
        <w:ind w:firstLine="420" w:firstLineChars="200"/>
        <w:rPr>
          <w:rFonts w:hAnsi="宋体" w:cs="宋体"/>
          <w:color w:val="auto"/>
          <w:szCs w:val="21"/>
        </w:rPr>
      </w:pPr>
      <w:r>
        <w:rPr>
          <w:rFonts w:hAnsi="宋体" w:cs="宋体"/>
          <w:color w:val="auto"/>
          <w:szCs w:val="21"/>
        </w:rPr>
        <w:t xml:space="preserve">                            </w:t>
      </w:r>
    </w:p>
    <w:p>
      <w:pPr>
        <w:pStyle w:val="234"/>
        <w:snapToGrid w:val="0"/>
        <w:spacing w:line="500" w:lineRule="exact"/>
        <w:ind w:firstLine="4410" w:firstLineChars="2100"/>
        <w:rPr>
          <w:rFonts w:hAnsi="宋体" w:cs="宋体"/>
          <w:color w:val="auto"/>
          <w:szCs w:val="21"/>
        </w:rPr>
      </w:pPr>
      <w:r>
        <w:rPr>
          <w:rFonts w:hAnsi="宋体" w:cs="宋体"/>
          <w:color w:val="auto"/>
          <w:szCs w:val="21"/>
        </w:rPr>
        <w:t>供应商代表签名：</w:t>
      </w:r>
    </w:p>
    <w:p>
      <w:pPr>
        <w:pStyle w:val="234"/>
        <w:snapToGrid w:val="0"/>
        <w:spacing w:line="500" w:lineRule="exact"/>
        <w:ind w:firstLine="4830" w:firstLineChars="2300"/>
        <w:rPr>
          <w:rFonts w:hAnsi="宋体" w:cs="宋体"/>
          <w:color w:val="auto"/>
          <w:szCs w:val="21"/>
        </w:rPr>
      </w:pPr>
      <w:r>
        <w:rPr>
          <w:rFonts w:hAnsi="宋体" w:cs="宋体"/>
          <w:color w:val="auto"/>
          <w:szCs w:val="21"/>
        </w:rPr>
        <w:t>2022年   月   日</w:t>
      </w:r>
    </w:p>
    <w:p>
      <w:pPr>
        <w:pStyle w:val="21"/>
        <w:ind w:left="0" w:leftChars="0"/>
        <w:rPr>
          <w:rFonts w:ascii="宋体" w:hAnsi="宋体" w:cs="宋体"/>
          <w:b/>
          <w:bCs/>
          <w:color w:val="auto"/>
          <w:szCs w:val="21"/>
          <w:u w:val="wave"/>
        </w:rPr>
      </w:pPr>
    </w:p>
    <w:p>
      <w:pPr>
        <w:pStyle w:val="21"/>
        <w:ind w:left="0" w:leftChars="0"/>
        <w:rPr>
          <w:rFonts w:ascii="宋体" w:hAnsi="宋体" w:cs="宋体"/>
          <w:b/>
          <w:bCs/>
          <w:color w:val="auto"/>
          <w:szCs w:val="21"/>
          <w:u w:val="wave"/>
        </w:rPr>
      </w:pPr>
      <w:r>
        <w:rPr>
          <w:rFonts w:hint="eastAsia" w:ascii="宋体" w:hAnsi="宋体" w:cs="宋体"/>
          <w:b/>
          <w:bCs/>
          <w:color w:val="auto"/>
          <w:szCs w:val="21"/>
          <w:u w:val="wave"/>
        </w:rPr>
        <w:t>注：响应文件解密结束后，各供应商组织签署《政府采购活动现场确认声明书》，并在15分钟内以扫描件方式发送至代理机构邮箱：</w:t>
      </w:r>
      <w:r>
        <w:rPr>
          <w:color w:val="auto"/>
        </w:rPr>
        <w:fldChar w:fldCharType="begin"/>
      </w:r>
      <w:r>
        <w:rPr>
          <w:color w:val="auto"/>
        </w:rPr>
        <w:instrText xml:space="preserve"> HYPERLINK "mailto:228967618@qq.com；" </w:instrText>
      </w:r>
      <w:r>
        <w:rPr>
          <w:color w:val="auto"/>
        </w:rPr>
        <w:fldChar w:fldCharType="separate"/>
      </w:r>
      <w:r>
        <w:rPr>
          <w:rStyle w:val="54"/>
          <w:rFonts w:hint="eastAsia"/>
          <w:b/>
          <w:bCs/>
          <w:color w:val="auto"/>
          <w:szCs w:val="21"/>
          <w:lang w:eastAsia="zh-CN"/>
        </w:rPr>
        <w:t>2397491806</w:t>
      </w:r>
      <w:r>
        <w:rPr>
          <w:rStyle w:val="54"/>
          <w:rFonts w:hint="default"/>
          <w:b/>
          <w:bCs/>
          <w:color w:val="auto"/>
          <w:szCs w:val="21"/>
        </w:rPr>
        <w:t>@qq.com；</w:t>
      </w:r>
      <w:r>
        <w:rPr>
          <w:rStyle w:val="54"/>
          <w:rFonts w:hint="default"/>
          <w:b/>
          <w:bCs/>
          <w:color w:val="auto"/>
          <w:szCs w:val="21"/>
        </w:rPr>
        <w:fldChar w:fldCharType="end"/>
      </w:r>
    </w:p>
    <w:p>
      <w:pPr>
        <w:pStyle w:val="4"/>
        <w:keepNext w:val="0"/>
        <w:keepLines w:val="0"/>
        <w:pageBreakBefore/>
        <w:spacing w:before="240" w:beforeLines="100" w:after="240" w:afterLines="100" w:line="276" w:lineRule="auto"/>
        <w:jc w:val="center"/>
        <w:rPr>
          <w:rFonts w:hAnsi="宋体"/>
          <w:color w:val="auto"/>
          <w:sz w:val="28"/>
          <w:szCs w:val="36"/>
        </w:rPr>
      </w:pPr>
      <w:bookmarkStart w:id="193" w:name="_Toc32113"/>
      <w:r>
        <w:rPr>
          <w:rFonts w:hint="eastAsia" w:hAnsi="宋体"/>
          <w:color w:val="auto"/>
          <w:sz w:val="28"/>
          <w:szCs w:val="36"/>
        </w:rPr>
        <w:t xml:space="preserve">第七部分   </w:t>
      </w:r>
      <w:r>
        <w:rPr>
          <w:rFonts w:hAnsi="宋体"/>
          <w:color w:val="auto"/>
          <w:sz w:val="28"/>
          <w:szCs w:val="36"/>
        </w:rPr>
        <w:t>信贷政策</w:t>
      </w:r>
      <w:bookmarkEnd w:id="193"/>
    </w:p>
    <w:p>
      <w:pPr>
        <w:spacing w:line="276" w:lineRule="auto"/>
        <w:ind w:firstLine="440" w:firstLineChars="200"/>
        <w:rPr>
          <w:rFonts w:ascii="宋体" w:hAnsi="宋体" w:cs="宋体"/>
          <w:color w:val="auto"/>
          <w:sz w:val="22"/>
        </w:rPr>
      </w:pPr>
      <w:r>
        <w:rPr>
          <w:rFonts w:hint="eastAsia" w:ascii="宋体" w:hAnsi="宋体" w:cs="宋体"/>
          <w:color w:val="auto"/>
          <w:sz w:val="22"/>
        </w:rPr>
        <w:t>1、温州市财政局关于温州市政府采购支持中小企业信用融资的通知（温财采〔</w:t>
      </w:r>
      <w:r>
        <w:rPr>
          <w:rFonts w:ascii="宋体" w:hAnsi="宋体" w:cs="宋体"/>
          <w:color w:val="auto"/>
          <w:sz w:val="22"/>
        </w:rPr>
        <w:t>2020</w:t>
      </w:r>
      <w:r>
        <w:rPr>
          <w:rFonts w:hint="eastAsia" w:ascii="宋体" w:hAnsi="宋体" w:cs="宋体"/>
          <w:color w:val="auto"/>
          <w:sz w:val="22"/>
        </w:rPr>
        <w:t>〕</w:t>
      </w:r>
      <w:r>
        <w:rPr>
          <w:rFonts w:ascii="宋体" w:hAnsi="宋体" w:cs="宋体"/>
          <w:color w:val="auto"/>
          <w:sz w:val="22"/>
        </w:rPr>
        <w:t>3</w:t>
      </w:r>
      <w:r>
        <w:rPr>
          <w:rFonts w:hint="eastAsia" w:ascii="宋体" w:hAnsi="宋体" w:cs="宋体"/>
          <w:color w:val="auto"/>
          <w:sz w:val="22"/>
        </w:rPr>
        <w:t>号）</w:t>
      </w:r>
    </w:p>
    <w:tbl>
      <w:tblPr>
        <w:tblStyle w:val="46"/>
        <w:tblW w:w="9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386"/>
        <w:gridCol w:w="116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43" w:type="dxa"/>
            <w:gridSpan w:val="4"/>
          </w:tcPr>
          <w:p>
            <w:pPr>
              <w:jc w:val="center"/>
              <w:rPr>
                <w:rFonts w:ascii="宋体" w:hAnsi="宋体"/>
                <w:color w:val="auto"/>
                <w:kern w:val="2"/>
                <w:sz w:val="28"/>
                <w:szCs w:val="28"/>
              </w:rPr>
            </w:pPr>
            <w:r>
              <w:rPr>
                <w:rFonts w:hint="eastAsia" w:ascii="宋体" w:hAnsi="宋体"/>
                <w:color w:val="auto"/>
                <w:kern w:val="2"/>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668" w:type="dxa"/>
            <w:vAlign w:val="center"/>
          </w:tcPr>
          <w:p>
            <w:pPr>
              <w:pStyle w:val="322"/>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银行名称</w:t>
            </w:r>
          </w:p>
        </w:tc>
        <w:tc>
          <w:tcPr>
            <w:tcW w:w="5386" w:type="dxa"/>
            <w:vAlign w:val="center"/>
          </w:tcPr>
          <w:p>
            <w:pPr>
              <w:pStyle w:val="322"/>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产品特点（不超过120字）</w:t>
            </w:r>
          </w:p>
        </w:tc>
        <w:tc>
          <w:tcPr>
            <w:tcW w:w="1161" w:type="dxa"/>
            <w:vAlign w:val="center"/>
          </w:tcPr>
          <w:p>
            <w:pPr>
              <w:pStyle w:val="322"/>
              <w:spacing w:line="360" w:lineRule="auto"/>
              <w:ind w:firstLine="0" w:firstLineChars="0"/>
              <w:jc w:val="center"/>
              <w:rPr>
                <w:rFonts w:ascii="宋体" w:hAnsi="宋体" w:eastAsia="宋体" w:cs="宋体"/>
                <w:color w:val="auto"/>
                <w:kern w:val="0"/>
                <w:sz w:val="22"/>
                <w:szCs w:val="22"/>
              </w:rPr>
            </w:pPr>
            <w:r>
              <w:rPr>
                <w:rFonts w:hint="eastAsia" w:ascii="宋体" w:hAnsi="宋体" w:eastAsia="宋体" w:cs="宋体"/>
                <w:color w:val="auto"/>
                <w:kern w:val="0"/>
                <w:sz w:val="22"/>
                <w:szCs w:val="22"/>
              </w:rPr>
              <w:t>经办人</w:t>
            </w:r>
          </w:p>
        </w:tc>
        <w:tc>
          <w:tcPr>
            <w:tcW w:w="1728" w:type="dxa"/>
            <w:vAlign w:val="center"/>
          </w:tcPr>
          <w:p>
            <w:pPr>
              <w:jc w:val="center"/>
              <w:rPr>
                <w:rFonts w:ascii="宋体" w:hAnsi="宋体" w:cs="宋体"/>
                <w:color w:val="auto"/>
                <w:kern w:val="2"/>
                <w:sz w:val="22"/>
                <w:szCs w:val="22"/>
              </w:rPr>
            </w:pPr>
            <w:r>
              <w:rPr>
                <w:rFonts w:hint="eastAsia" w:ascii="宋体" w:hAnsi="宋体" w:cs="宋体"/>
                <w:color w:val="auto"/>
                <w:kern w:val="2"/>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中国工商银行股份有限公司温州分行</w:t>
            </w:r>
          </w:p>
        </w:tc>
        <w:tc>
          <w:tcPr>
            <w:tcW w:w="5386" w:type="dxa"/>
          </w:tcPr>
          <w:p>
            <w:pPr>
              <w:rPr>
                <w:rFonts w:ascii="宋体" w:hAnsi="宋体"/>
                <w:color w:val="auto"/>
                <w:kern w:val="2"/>
                <w:szCs w:val="22"/>
              </w:rPr>
            </w:pPr>
            <w:r>
              <w:rPr>
                <w:rFonts w:hint="eastAsia" w:ascii="宋体" w:hAnsi="宋体"/>
                <w:color w:val="auto"/>
                <w:kern w:val="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161" w:type="dxa"/>
            <w:vAlign w:val="center"/>
          </w:tcPr>
          <w:p>
            <w:pPr>
              <w:pStyle w:val="322"/>
              <w:spacing w:line="360" w:lineRule="auto"/>
              <w:ind w:firstLine="0" w:firstLineChars="0"/>
              <w:jc w:val="center"/>
              <w:rPr>
                <w:rFonts w:ascii="宋体" w:hAnsi="宋体" w:eastAsia="宋体" w:cs="宋体"/>
                <w:color w:val="auto"/>
                <w:kern w:val="0"/>
                <w:sz w:val="21"/>
                <w:szCs w:val="28"/>
              </w:rPr>
            </w:pPr>
            <w:r>
              <w:rPr>
                <w:rFonts w:hint="eastAsia" w:ascii="宋体" w:hAnsi="宋体" w:eastAsia="宋体" w:cs="宋体"/>
                <w:color w:val="auto"/>
                <w:kern w:val="0"/>
                <w:sz w:val="21"/>
                <w:szCs w:val="28"/>
              </w:rPr>
              <w:t>王经理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0577-88186626</w:t>
            </w:r>
          </w:p>
          <w:p>
            <w:pPr>
              <w:jc w:val="center"/>
              <w:rPr>
                <w:rFonts w:ascii="宋体" w:hAnsi="宋体"/>
                <w:color w:val="auto"/>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68" w:type="dxa"/>
          </w:tcPr>
          <w:p>
            <w:pPr>
              <w:rPr>
                <w:rFonts w:ascii="宋体" w:hAnsi="宋体"/>
                <w:color w:val="auto"/>
                <w:kern w:val="2"/>
                <w:szCs w:val="22"/>
              </w:rPr>
            </w:pPr>
            <w:r>
              <w:rPr>
                <w:rFonts w:hint="eastAsia" w:ascii="宋体" w:hAnsi="宋体" w:cs="宋体"/>
                <w:color w:val="auto"/>
                <w:kern w:val="2"/>
                <w:szCs w:val="22"/>
              </w:rPr>
              <w:t>中国建设银行股份有限公司温州分行</w:t>
            </w:r>
          </w:p>
        </w:tc>
        <w:tc>
          <w:tcPr>
            <w:tcW w:w="5386" w:type="dxa"/>
          </w:tcPr>
          <w:p>
            <w:pPr>
              <w:rPr>
                <w:rFonts w:ascii="宋体" w:hAnsi="宋体"/>
                <w:color w:val="auto"/>
                <w:kern w:val="2"/>
                <w:szCs w:val="22"/>
              </w:rPr>
            </w:pPr>
            <w:r>
              <w:rPr>
                <w:rFonts w:hint="eastAsia" w:ascii="宋体" w:hAnsi="宋体"/>
                <w:color w:val="auto"/>
                <w:kern w:val="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161" w:type="dxa"/>
            <w:vAlign w:val="center"/>
          </w:tcPr>
          <w:p>
            <w:pPr>
              <w:jc w:val="center"/>
              <w:rPr>
                <w:rFonts w:ascii="宋体" w:hAnsi="宋体" w:cs="宋体"/>
                <w:color w:val="auto"/>
                <w:kern w:val="2"/>
                <w:szCs w:val="28"/>
              </w:rPr>
            </w:pPr>
            <w:r>
              <w:rPr>
                <w:rFonts w:hint="eastAsia" w:ascii="宋体" w:hAnsi="宋体" w:cs="宋体"/>
                <w:color w:val="auto"/>
                <w:kern w:val="2"/>
                <w:szCs w:val="28"/>
              </w:rPr>
              <w:t>张经理</w:t>
            </w:r>
          </w:p>
        </w:tc>
        <w:tc>
          <w:tcPr>
            <w:tcW w:w="1728" w:type="dxa"/>
            <w:vAlign w:val="center"/>
          </w:tcPr>
          <w:p>
            <w:pPr>
              <w:jc w:val="center"/>
              <w:rPr>
                <w:rFonts w:ascii="宋体" w:hAnsi="宋体" w:cs="宋体"/>
                <w:color w:val="auto"/>
                <w:kern w:val="2"/>
                <w:szCs w:val="28"/>
              </w:rPr>
            </w:pPr>
            <w:r>
              <w:rPr>
                <w:rFonts w:hint="eastAsia" w:ascii="宋体" w:hAnsi="宋体" w:cs="宋体"/>
                <w:color w:val="auto"/>
                <w:kern w:val="2"/>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中国邮政储蓄银行股份有限公司温州市分行</w:t>
            </w:r>
          </w:p>
        </w:tc>
        <w:tc>
          <w:tcPr>
            <w:tcW w:w="5386" w:type="dxa"/>
            <w:vAlign w:val="center"/>
          </w:tcPr>
          <w:p>
            <w:pPr>
              <w:rPr>
                <w:rFonts w:ascii="宋体" w:hAnsi="宋体"/>
                <w:color w:val="auto"/>
                <w:kern w:val="2"/>
                <w:szCs w:val="28"/>
              </w:rPr>
            </w:pPr>
            <w:r>
              <w:rPr>
                <w:rFonts w:hint="eastAsia" w:ascii="宋体" w:hAnsi="宋体"/>
                <w:color w:val="auto"/>
                <w:kern w:val="2"/>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郑经理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0577-88193910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中国民生银行股份有限公司温州分行</w:t>
            </w:r>
          </w:p>
        </w:tc>
        <w:tc>
          <w:tcPr>
            <w:tcW w:w="5386" w:type="dxa"/>
          </w:tcPr>
          <w:p>
            <w:pPr>
              <w:rPr>
                <w:rFonts w:ascii="宋体" w:hAnsi="宋体"/>
                <w:color w:val="auto"/>
                <w:kern w:val="2"/>
                <w:szCs w:val="28"/>
              </w:rPr>
            </w:pPr>
            <w:r>
              <w:rPr>
                <w:rFonts w:hint="eastAsia" w:ascii="宋体" w:hAnsi="宋体" w:cs="宋体"/>
                <w:color w:val="auto"/>
                <w:kern w:val="2"/>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项经理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宁波银行股份有限公司温州分行</w:t>
            </w:r>
          </w:p>
        </w:tc>
        <w:tc>
          <w:tcPr>
            <w:tcW w:w="5386" w:type="dxa"/>
          </w:tcPr>
          <w:p>
            <w:pPr>
              <w:rPr>
                <w:rFonts w:ascii="宋体" w:hAnsi="宋体"/>
                <w:color w:val="auto"/>
                <w:kern w:val="2"/>
                <w:szCs w:val="28"/>
              </w:rPr>
            </w:pPr>
            <w:r>
              <w:rPr>
                <w:rFonts w:ascii="宋体" w:hAnsi="宋体" w:cs="宋体"/>
                <w:color w:val="auto"/>
                <w:kern w:val="2"/>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auto"/>
                <w:kern w:val="2"/>
                <w:szCs w:val="28"/>
              </w:rPr>
              <w:t>，最大金额不超过</w:t>
            </w:r>
            <w:r>
              <w:rPr>
                <w:rFonts w:ascii="宋体" w:hAnsi="宋体" w:cs="宋体"/>
                <w:color w:val="auto"/>
                <w:kern w:val="2"/>
                <w:szCs w:val="28"/>
              </w:rPr>
              <w:t>2000</w:t>
            </w:r>
            <w:r>
              <w:rPr>
                <w:rFonts w:hint="eastAsia" w:ascii="宋体" w:hAnsi="宋体" w:cs="宋体"/>
                <w:color w:val="auto"/>
                <w:kern w:val="2"/>
                <w:szCs w:val="28"/>
              </w:rPr>
              <w:t>万元。</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陈经理</w:t>
            </w:r>
          </w:p>
        </w:tc>
        <w:tc>
          <w:tcPr>
            <w:tcW w:w="1728" w:type="dxa"/>
            <w:vAlign w:val="center"/>
          </w:tcPr>
          <w:p>
            <w:pPr>
              <w:jc w:val="center"/>
              <w:rPr>
                <w:rFonts w:ascii="宋体" w:hAnsi="宋体"/>
                <w:color w:val="auto"/>
                <w:kern w:val="2"/>
                <w:szCs w:val="22"/>
              </w:rPr>
            </w:pPr>
            <w:r>
              <w:rPr>
                <w:rFonts w:ascii="宋体" w:hAnsi="宋体"/>
                <w:color w:val="auto"/>
                <w:kern w:val="2"/>
                <w:szCs w:val="22"/>
              </w:rPr>
              <w:t>0577－88007377</w:t>
            </w:r>
          </w:p>
          <w:p>
            <w:pPr>
              <w:jc w:val="center"/>
              <w:rPr>
                <w:rFonts w:ascii="宋体" w:hAnsi="宋体"/>
                <w:color w:val="auto"/>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杭州银行股份有限公司温州分行</w:t>
            </w:r>
          </w:p>
        </w:tc>
        <w:tc>
          <w:tcPr>
            <w:tcW w:w="5386" w:type="dxa"/>
          </w:tcPr>
          <w:p>
            <w:pPr>
              <w:rPr>
                <w:rFonts w:ascii="宋体" w:hAnsi="宋体"/>
                <w:bCs/>
                <w:color w:val="auto"/>
                <w:kern w:val="2"/>
                <w:szCs w:val="22"/>
              </w:rPr>
            </w:pPr>
            <w:r>
              <w:rPr>
                <w:rFonts w:ascii="宋体" w:hAnsi="宋体"/>
                <w:bCs/>
                <w:color w:val="auto"/>
                <w:kern w:val="2"/>
                <w:szCs w:val="22"/>
              </w:rPr>
              <w:t>门槛低：</w:t>
            </w:r>
            <w:r>
              <w:rPr>
                <w:rFonts w:hint="eastAsia" w:ascii="宋体" w:hAnsi="宋体"/>
                <w:bCs/>
                <w:color w:val="auto"/>
                <w:kern w:val="2"/>
                <w:szCs w:val="22"/>
              </w:rPr>
              <w:t>纯</w:t>
            </w:r>
            <w:r>
              <w:rPr>
                <w:rFonts w:ascii="宋体" w:hAnsi="宋体"/>
                <w:bCs/>
                <w:color w:val="auto"/>
                <w:kern w:val="2"/>
                <w:szCs w:val="22"/>
              </w:rPr>
              <w:t>信用，</w:t>
            </w:r>
            <w:r>
              <w:rPr>
                <w:rFonts w:hint="eastAsia" w:ascii="宋体" w:hAnsi="宋体"/>
                <w:bCs/>
                <w:color w:val="auto"/>
                <w:kern w:val="2"/>
                <w:szCs w:val="22"/>
              </w:rPr>
              <w:t>平台</w:t>
            </w:r>
            <w:r>
              <w:rPr>
                <w:rFonts w:ascii="宋体" w:hAnsi="宋体"/>
                <w:bCs/>
                <w:color w:val="auto"/>
                <w:kern w:val="2"/>
                <w:szCs w:val="22"/>
              </w:rPr>
              <w:t>注册入库并取得采购合同即可申请</w:t>
            </w:r>
          </w:p>
          <w:p>
            <w:pPr>
              <w:rPr>
                <w:rFonts w:ascii="宋体" w:hAnsi="宋体"/>
                <w:bCs/>
                <w:color w:val="auto"/>
                <w:kern w:val="2"/>
                <w:szCs w:val="22"/>
              </w:rPr>
            </w:pPr>
            <w:r>
              <w:rPr>
                <w:rFonts w:hint="eastAsia" w:ascii="宋体" w:hAnsi="宋体"/>
                <w:bCs/>
                <w:color w:val="auto"/>
                <w:kern w:val="2"/>
                <w:szCs w:val="22"/>
              </w:rPr>
              <w:t>手续简</w:t>
            </w:r>
            <w:r>
              <w:rPr>
                <w:rFonts w:ascii="宋体" w:hAnsi="宋体"/>
                <w:bCs/>
                <w:color w:val="auto"/>
                <w:kern w:val="2"/>
                <w:szCs w:val="22"/>
              </w:rPr>
              <w:t>：</w:t>
            </w:r>
            <w:r>
              <w:rPr>
                <w:rFonts w:hint="eastAsia" w:ascii="宋体" w:hAnsi="宋体"/>
                <w:bCs/>
                <w:color w:val="auto"/>
                <w:kern w:val="2"/>
                <w:szCs w:val="22"/>
              </w:rPr>
              <w:t>线上申请</w:t>
            </w:r>
            <w:r>
              <w:rPr>
                <w:rFonts w:ascii="宋体" w:hAnsi="宋体"/>
                <w:bCs/>
                <w:color w:val="auto"/>
                <w:kern w:val="2"/>
                <w:szCs w:val="22"/>
              </w:rPr>
              <w:t>+</w:t>
            </w:r>
            <w:r>
              <w:rPr>
                <w:rFonts w:hint="eastAsia" w:ascii="宋体" w:hAnsi="宋体"/>
                <w:bCs/>
                <w:color w:val="auto"/>
                <w:kern w:val="2"/>
                <w:szCs w:val="22"/>
              </w:rPr>
              <w:t>线上</w:t>
            </w:r>
            <w:r>
              <w:rPr>
                <w:rFonts w:ascii="宋体" w:hAnsi="宋体"/>
                <w:bCs/>
                <w:color w:val="auto"/>
                <w:kern w:val="2"/>
                <w:szCs w:val="22"/>
              </w:rPr>
              <w:t>签约，</w:t>
            </w:r>
            <w:r>
              <w:rPr>
                <w:rFonts w:hint="eastAsia" w:ascii="宋体" w:hAnsi="宋体"/>
                <w:bCs/>
                <w:color w:val="auto"/>
                <w:kern w:val="2"/>
                <w:szCs w:val="22"/>
              </w:rPr>
              <w:t>足不</w:t>
            </w:r>
            <w:r>
              <w:rPr>
                <w:rFonts w:ascii="宋体" w:hAnsi="宋体"/>
                <w:bCs/>
                <w:color w:val="auto"/>
                <w:kern w:val="2"/>
                <w:szCs w:val="22"/>
              </w:rPr>
              <w:t>出</w:t>
            </w:r>
            <w:r>
              <w:rPr>
                <w:rFonts w:hint="eastAsia" w:ascii="宋体" w:hAnsi="宋体"/>
                <w:bCs/>
                <w:color w:val="auto"/>
                <w:kern w:val="2"/>
                <w:szCs w:val="22"/>
              </w:rPr>
              <w:t>户</w:t>
            </w:r>
          </w:p>
          <w:p>
            <w:pPr>
              <w:rPr>
                <w:rFonts w:ascii="宋体" w:hAnsi="宋体"/>
                <w:bCs/>
                <w:color w:val="auto"/>
                <w:kern w:val="2"/>
                <w:szCs w:val="22"/>
              </w:rPr>
            </w:pPr>
            <w:r>
              <w:rPr>
                <w:rFonts w:hint="eastAsia" w:ascii="宋体" w:hAnsi="宋体"/>
                <w:bCs/>
                <w:color w:val="auto"/>
                <w:kern w:val="2"/>
                <w:szCs w:val="22"/>
              </w:rPr>
              <w:t>利率</w:t>
            </w:r>
            <w:r>
              <w:rPr>
                <w:rFonts w:ascii="宋体" w:hAnsi="宋体"/>
                <w:bCs/>
                <w:color w:val="auto"/>
                <w:kern w:val="2"/>
                <w:szCs w:val="22"/>
              </w:rPr>
              <w:t>优：</w:t>
            </w:r>
            <w:r>
              <w:rPr>
                <w:rFonts w:hint="eastAsia" w:ascii="宋体" w:hAnsi="宋体"/>
                <w:bCs/>
                <w:color w:val="auto"/>
                <w:kern w:val="2"/>
                <w:szCs w:val="22"/>
              </w:rPr>
              <w:t>按</w:t>
            </w:r>
            <w:r>
              <w:rPr>
                <w:rFonts w:ascii="宋体" w:hAnsi="宋体"/>
                <w:bCs/>
                <w:color w:val="auto"/>
                <w:kern w:val="2"/>
                <w:szCs w:val="22"/>
              </w:rPr>
              <w:t>优于一般中小企业</w:t>
            </w:r>
            <w:r>
              <w:rPr>
                <w:rFonts w:hint="eastAsia" w:ascii="宋体" w:hAnsi="宋体"/>
                <w:bCs/>
                <w:color w:val="auto"/>
                <w:kern w:val="2"/>
                <w:szCs w:val="22"/>
              </w:rPr>
              <w:t>贷款</w:t>
            </w:r>
            <w:r>
              <w:rPr>
                <w:rFonts w:ascii="宋体" w:hAnsi="宋体"/>
                <w:bCs/>
                <w:color w:val="auto"/>
                <w:kern w:val="2"/>
                <w:szCs w:val="22"/>
              </w:rPr>
              <w:t>利率执行</w:t>
            </w:r>
          </w:p>
          <w:p>
            <w:pPr>
              <w:rPr>
                <w:rFonts w:ascii="宋体" w:hAnsi="宋体"/>
                <w:color w:val="auto"/>
                <w:kern w:val="2"/>
                <w:szCs w:val="28"/>
              </w:rPr>
            </w:pPr>
            <w:r>
              <w:rPr>
                <w:rFonts w:hint="eastAsia" w:ascii="宋体" w:hAnsi="宋体"/>
                <w:bCs/>
                <w:color w:val="auto"/>
                <w:kern w:val="2"/>
                <w:szCs w:val="22"/>
              </w:rPr>
              <w:t>额度高</w:t>
            </w:r>
            <w:r>
              <w:rPr>
                <w:rFonts w:ascii="宋体" w:hAnsi="宋体"/>
                <w:bCs/>
                <w:color w:val="auto"/>
                <w:kern w:val="2"/>
                <w:szCs w:val="22"/>
              </w:rPr>
              <w:t>：</w:t>
            </w:r>
            <w:r>
              <w:rPr>
                <w:rFonts w:hint="eastAsia" w:ascii="宋体" w:hAnsi="宋体"/>
                <w:bCs/>
                <w:color w:val="auto"/>
                <w:kern w:val="2"/>
                <w:szCs w:val="22"/>
              </w:rPr>
              <w:t>最高为</w:t>
            </w:r>
            <w:r>
              <w:rPr>
                <w:rFonts w:ascii="宋体" w:hAnsi="宋体"/>
                <w:bCs/>
                <w:color w:val="auto"/>
                <w:kern w:val="2"/>
                <w:szCs w:val="22"/>
              </w:rPr>
              <w:t>合同金额的80%</w:t>
            </w:r>
          </w:p>
        </w:tc>
        <w:tc>
          <w:tcPr>
            <w:tcW w:w="1161" w:type="dxa"/>
            <w:vAlign w:val="center"/>
          </w:tcPr>
          <w:p>
            <w:pPr>
              <w:jc w:val="center"/>
              <w:rPr>
                <w:rFonts w:ascii="宋体" w:hAnsi="宋体"/>
                <w:color w:val="auto"/>
                <w:kern w:val="2"/>
                <w:szCs w:val="28"/>
              </w:rPr>
            </w:pPr>
            <w:r>
              <w:rPr>
                <w:rFonts w:ascii="宋体" w:hAnsi="宋体"/>
                <w:color w:val="auto"/>
                <w:kern w:val="2"/>
                <w:szCs w:val="28"/>
              </w:rPr>
              <w:t>叶</w:t>
            </w:r>
            <w:r>
              <w:rPr>
                <w:rFonts w:hint="eastAsia" w:ascii="宋体" w:hAnsi="宋体"/>
                <w:color w:val="auto"/>
                <w:kern w:val="2"/>
                <w:szCs w:val="28"/>
              </w:rPr>
              <w:t>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w:t>
            </w:r>
            <w:r>
              <w:rPr>
                <w:rFonts w:ascii="宋体" w:hAnsi="宋体"/>
                <w:color w:val="auto"/>
                <w:kern w:val="2"/>
                <w:szCs w:val="22"/>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招商银行股份有限公司温州分行</w:t>
            </w:r>
          </w:p>
        </w:tc>
        <w:tc>
          <w:tcPr>
            <w:tcW w:w="5386" w:type="dxa"/>
          </w:tcPr>
          <w:p>
            <w:pPr>
              <w:rPr>
                <w:rFonts w:ascii="宋体" w:hAnsi="宋体"/>
                <w:color w:val="auto"/>
                <w:kern w:val="2"/>
                <w:szCs w:val="28"/>
              </w:rPr>
            </w:pPr>
            <w:r>
              <w:rPr>
                <w:rFonts w:hint="eastAsia" w:ascii="宋体" w:hAnsi="宋体"/>
                <w:color w:val="auto"/>
                <w:kern w:val="2"/>
                <w:szCs w:val="28"/>
              </w:rPr>
              <w:t>政采贷是招商银行针对政府采购招投标成交供应商，以政府采购合同项下未来应收账款为第一还款来源的融资业务，无需抵质押物。额度最高可达2</w:t>
            </w:r>
            <w:r>
              <w:rPr>
                <w:rFonts w:ascii="宋体" w:hAnsi="宋体"/>
                <w:color w:val="auto"/>
                <w:kern w:val="2"/>
                <w:szCs w:val="28"/>
              </w:rPr>
              <w:t>000</w:t>
            </w:r>
            <w:r>
              <w:rPr>
                <w:rFonts w:hint="eastAsia" w:ascii="宋体" w:hAnsi="宋体"/>
                <w:color w:val="auto"/>
                <w:kern w:val="2"/>
                <w:szCs w:val="28"/>
              </w:rPr>
              <w:t>万，同时可开通自助贷款直通功能，自助贷款额度最高可达1</w:t>
            </w:r>
            <w:r>
              <w:rPr>
                <w:rFonts w:ascii="宋体" w:hAnsi="宋体"/>
                <w:color w:val="auto"/>
                <w:kern w:val="2"/>
                <w:szCs w:val="28"/>
              </w:rPr>
              <w:t>000</w:t>
            </w:r>
            <w:r>
              <w:rPr>
                <w:rFonts w:hint="eastAsia" w:ascii="宋体" w:hAnsi="宋体"/>
                <w:color w:val="auto"/>
                <w:kern w:val="2"/>
                <w:szCs w:val="28"/>
              </w:rPr>
              <w:t>万，支持线上申请、随借随还。</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陈经理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w:t>
            </w:r>
            <w:r>
              <w:rPr>
                <w:rFonts w:ascii="宋体" w:hAnsi="宋体"/>
                <w:color w:val="auto"/>
                <w:kern w:val="2"/>
                <w:szCs w:val="22"/>
              </w:rPr>
              <w:t>8056876</w:t>
            </w:r>
          </w:p>
          <w:p>
            <w:pPr>
              <w:jc w:val="center"/>
              <w:rPr>
                <w:rFonts w:ascii="宋体" w:hAnsi="宋体"/>
                <w:color w:val="auto"/>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兴业银行股份有限公司温州分行</w:t>
            </w:r>
          </w:p>
        </w:tc>
        <w:tc>
          <w:tcPr>
            <w:tcW w:w="5386" w:type="dxa"/>
            <w:vAlign w:val="center"/>
          </w:tcPr>
          <w:p>
            <w:pPr>
              <w:pStyle w:val="322"/>
              <w:spacing w:line="240" w:lineRule="auto"/>
              <w:ind w:firstLine="0" w:firstLineChars="0"/>
              <w:jc w:val="both"/>
              <w:rPr>
                <w:rFonts w:ascii="宋体" w:hAnsi="宋体" w:eastAsia="宋体" w:cs="宋体"/>
                <w:bCs/>
                <w:color w:val="auto"/>
                <w:kern w:val="0"/>
                <w:sz w:val="21"/>
              </w:rPr>
            </w:pPr>
            <w:r>
              <w:rPr>
                <w:rFonts w:hint="eastAsia" w:ascii="宋体" w:hAnsi="宋体" w:eastAsia="宋体" w:cs="宋体"/>
                <w:bCs/>
                <w:color w:val="auto"/>
                <w:kern w:val="0"/>
                <w:sz w:val="21"/>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张经理</w:t>
            </w:r>
          </w:p>
          <w:p>
            <w:pPr>
              <w:jc w:val="center"/>
              <w:rPr>
                <w:rFonts w:ascii="宋体" w:hAnsi="宋体"/>
                <w:color w:val="auto"/>
                <w:kern w:val="2"/>
                <w:szCs w:val="28"/>
              </w:rPr>
            </w:pPr>
            <w:r>
              <w:rPr>
                <w:rFonts w:hint="eastAsia" w:ascii="宋体" w:hAnsi="宋体"/>
                <w:color w:val="auto"/>
                <w:kern w:val="2"/>
                <w:szCs w:val="28"/>
              </w:rPr>
              <w:t>陈经理</w:t>
            </w:r>
          </w:p>
        </w:tc>
        <w:tc>
          <w:tcPr>
            <w:tcW w:w="1728" w:type="dxa"/>
            <w:vAlign w:val="center"/>
          </w:tcPr>
          <w:p>
            <w:pPr>
              <w:pStyle w:val="322"/>
              <w:spacing w:line="360" w:lineRule="auto"/>
              <w:ind w:firstLine="0" w:firstLineChars="0"/>
              <w:jc w:val="center"/>
              <w:rPr>
                <w:rFonts w:ascii="宋体" w:hAnsi="宋体" w:eastAsia="宋体" w:cs="Times New Roman"/>
                <w:color w:val="auto"/>
                <w:kern w:val="0"/>
                <w:sz w:val="21"/>
                <w:szCs w:val="22"/>
              </w:rPr>
            </w:pPr>
            <w:r>
              <w:rPr>
                <w:rFonts w:hint="eastAsia" w:ascii="宋体" w:hAnsi="宋体" w:eastAsia="宋体" w:cs="Times New Roman"/>
                <w:color w:val="auto"/>
                <w:kern w:val="0"/>
                <w:sz w:val="21"/>
                <w:szCs w:val="22"/>
              </w:rPr>
              <w:t>0577-</w:t>
            </w:r>
            <w:r>
              <w:rPr>
                <w:rFonts w:ascii="宋体" w:hAnsi="宋体" w:eastAsia="宋体" w:cs="Times New Roman"/>
                <w:color w:val="auto"/>
                <w:kern w:val="0"/>
                <w:sz w:val="21"/>
                <w:szCs w:val="22"/>
              </w:rPr>
              <w:t>88369368</w:t>
            </w:r>
            <w:r>
              <w:rPr>
                <w:rFonts w:hint="eastAsia" w:ascii="宋体" w:hAnsi="宋体" w:eastAsia="宋体" w:cs="Times New Roman"/>
                <w:color w:val="auto"/>
                <w:kern w:val="0"/>
                <w:sz w:val="21"/>
                <w:szCs w:val="22"/>
              </w:rPr>
              <w:t>/13857713118</w:t>
            </w:r>
          </w:p>
          <w:p>
            <w:pPr>
              <w:pStyle w:val="322"/>
              <w:spacing w:line="360" w:lineRule="auto"/>
              <w:ind w:firstLine="0" w:firstLineChars="0"/>
              <w:jc w:val="center"/>
              <w:rPr>
                <w:rFonts w:ascii="宋体" w:hAnsi="宋体" w:eastAsia="宋体" w:cs="Times New Roman"/>
                <w:color w:val="auto"/>
                <w:kern w:val="0"/>
                <w:sz w:val="21"/>
                <w:szCs w:val="22"/>
              </w:rPr>
            </w:pPr>
            <w:r>
              <w:rPr>
                <w:rFonts w:hint="eastAsia" w:ascii="宋体" w:hAnsi="宋体" w:eastAsia="宋体" w:cs="Times New Roman"/>
                <w:color w:val="auto"/>
                <w:kern w:val="0"/>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温州银行股份有限公司</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陈经理</w:t>
            </w:r>
          </w:p>
          <w:p>
            <w:pPr>
              <w:jc w:val="center"/>
              <w:rPr>
                <w:rFonts w:ascii="宋体" w:hAnsi="宋体" w:cs="宋体"/>
                <w:color w:val="auto"/>
                <w:kern w:val="2"/>
                <w:szCs w:val="22"/>
              </w:rPr>
            </w:pPr>
            <w:r>
              <w:rPr>
                <w:rFonts w:hint="eastAsia" w:ascii="宋体" w:hAnsi="宋体"/>
                <w:color w:val="auto"/>
                <w:kern w:val="2"/>
                <w:szCs w:val="22"/>
              </w:rPr>
              <w:t>戴经理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13736355866</w:t>
            </w:r>
          </w:p>
          <w:p>
            <w:pPr>
              <w:jc w:val="center"/>
              <w:rPr>
                <w:rFonts w:ascii="宋体" w:hAnsi="宋体"/>
                <w:color w:val="auto"/>
                <w:kern w:val="2"/>
                <w:szCs w:val="22"/>
              </w:rPr>
            </w:pPr>
            <w:r>
              <w:rPr>
                <w:rFonts w:hint="eastAsia" w:ascii="宋体" w:hAnsi="宋体"/>
                <w:color w:val="auto"/>
                <w:kern w:val="2"/>
                <w:szCs w:val="22"/>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交通银行股份有限公司温州分行</w:t>
            </w:r>
          </w:p>
        </w:tc>
        <w:tc>
          <w:tcPr>
            <w:tcW w:w="5386" w:type="dxa"/>
          </w:tcPr>
          <w:p>
            <w:pPr>
              <w:autoSpaceDE w:val="0"/>
              <w:autoSpaceDN w:val="0"/>
              <w:adjustRightInd w:val="0"/>
              <w:rPr>
                <w:rFonts w:ascii="宋体" w:hAnsi="宋体" w:cs="宋体"/>
                <w:color w:val="auto"/>
                <w:kern w:val="2"/>
                <w:szCs w:val="22"/>
              </w:rPr>
            </w:pPr>
            <w:r>
              <w:rPr>
                <w:rFonts w:hint="eastAsia" w:ascii="宋体" w:hAnsi="宋体" w:cs="宋体"/>
                <w:color w:val="auto"/>
                <w:kern w:val="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161" w:type="dxa"/>
            <w:vAlign w:val="center"/>
          </w:tcPr>
          <w:p>
            <w:pPr>
              <w:jc w:val="center"/>
              <w:rPr>
                <w:rFonts w:ascii="宋体" w:hAnsi="宋体"/>
                <w:color w:val="auto"/>
                <w:kern w:val="2"/>
                <w:szCs w:val="28"/>
              </w:rPr>
            </w:pPr>
            <w:r>
              <w:rPr>
                <w:rFonts w:hint="eastAsia" w:ascii="宋体" w:hAnsi="宋体"/>
                <w:color w:val="auto"/>
                <w:kern w:val="2"/>
                <w:szCs w:val="28"/>
              </w:rPr>
              <w:t>缪经理</w:t>
            </w:r>
          </w:p>
        </w:tc>
        <w:tc>
          <w:tcPr>
            <w:tcW w:w="1728" w:type="dxa"/>
            <w:vAlign w:val="center"/>
          </w:tcPr>
          <w:p>
            <w:pPr>
              <w:jc w:val="center"/>
              <w:rPr>
                <w:rFonts w:ascii="宋体" w:hAnsi="宋体"/>
                <w:color w:val="auto"/>
                <w:kern w:val="2"/>
                <w:szCs w:val="28"/>
              </w:rPr>
            </w:pPr>
            <w:r>
              <w:rPr>
                <w:rFonts w:hint="eastAsia" w:ascii="宋体" w:hAnsi="宋体"/>
                <w:color w:val="auto"/>
                <w:kern w:val="2"/>
                <w:szCs w:val="22"/>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上海浦东发展银行股份有限公司温州分行</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叶经理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0577-55570829</w:t>
            </w:r>
          </w:p>
          <w:p>
            <w:pPr>
              <w:jc w:val="center"/>
              <w:rPr>
                <w:rFonts w:ascii="宋体" w:hAnsi="宋体"/>
                <w:color w:val="auto"/>
                <w:kern w:val="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8" w:type="dxa"/>
          </w:tcPr>
          <w:p>
            <w:pPr>
              <w:pStyle w:val="322"/>
              <w:spacing w:line="360" w:lineRule="auto"/>
              <w:ind w:firstLine="0" w:firstLineChars="0"/>
              <w:rPr>
                <w:rFonts w:ascii="宋体" w:hAnsi="宋体" w:eastAsia="宋体" w:cs="宋体"/>
                <w:color w:val="auto"/>
                <w:kern w:val="0"/>
                <w:sz w:val="21"/>
              </w:rPr>
            </w:pPr>
            <w:r>
              <w:rPr>
                <w:rFonts w:hint="eastAsia" w:ascii="宋体" w:hAnsi="宋体" w:eastAsia="宋体" w:cs="宋体"/>
                <w:color w:val="auto"/>
                <w:kern w:val="0"/>
                <w:sz w:val="21"/>
              </w:rPr>
              <w:t>中国银行股份有限公司温州市分行</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中标通知，即可申贷；合同签订，快速获贷；最高可贷采购金额的90%；全面享受普惠贷款优惠利率；信用贷款，免抵押免担保。</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金经理</w:t>
            </w:r>
          </w:p>
          <w:p>
            <w:pPr>
              <w:jc w:val="center"/>
              <w:rPr>
                <w:rFonts w:ascii="宋体" w:hAnsi="宋体" w:cs="宋体"/>
                <w:color w:val="auto"/>
                <w:kern w:val="2"/>
                <w:szCs w:val="22"/>
              </w:rPr>
            </w:pPr>
            <w:r>
              <w:rPr>
                <w:rFonts w:hint="eastAsia" w:ascii="宋体" w:hAnsi="宋体" w:cs="宋体"/>
                <w:color w:val="auto"/>
                <w:kern w:val="2"/>
                <w:szCs w:val="22"/>
              </w:rPr>
              <w:t>陈经理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0577-88802225-8243</w:t>
            </w:r>
          </w:p>
          <w:p>
            <w:pPr>
              <w:jc w:val="center"/>
              <w:rPr>
                <w:rFonts w:ascii="宋体" w:hAnsi="宋体"/>
                <w:color w:val="auto"/>
                <w:kern w:val="2"/>
                <w:szCs w:val="22"/>
              </w:rPr>
            </w:pPr>
            <w:r>
              <w:rPr>
                <w:rFonts w:hint="eastAsia" w:ascii="宋体" w:hAnsi="宋体"/>
                <w:color w:val="auto"/>
                <w:kern w:val="2"/>
                <w:szCs w:val="22"/>
              </w:rPr>
              <w:t>0577-88802225-8241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8" w:type="dxa"/>
          </w:tcPr>
          <w:p>
            <w:pPr>
              <w:pStyle w:val="322"/>
              <w:spacing w:line="360" w:lineRule="auto"/>
              <w:ind w:firstLine="0" w:firstLineChars="0"/>
              <w:rPr>
                <w:rFonts w:ascii="宋体" w:hAnsi="宋体" w:eastAsia="宋体" w:cs="宋体"/>
                <w:color w:val="auto"/>
                <w:kern w:val="0"/>
                <w:sz w:val="21"/>
              </w:rPr>
            </w:pPr>
            <w:r>
              <w:rPr>
                <w:rFonts w:ascii="宋体" w:hAnsi="宋体" w:eastAsia="宋体" w:cs="宋体"/>
                <w:color w:val="auto"/>
                <w:kern w:val="0"/>
                <w:sz w:val="21"/>
              </w:rPr>
              <w:t>中国农业银行股份有限公司温州分行</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借款额度不超过政府采购合同实有金额的80%，借款到期日不得晚于合同约定付款日后90天，担保方式原则上可以采用信用、保证、抵押方式用信，借款利率原则上可以享受优惠利率。</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陈经理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0577-88021093</w:t>
            </w:r>
          </w:p>
          <w:p>
            <w:pPr>
              <w:jc w:val="center"/>
              <w:rPr>
                <w:rFonts w:ascii="宋体" w:hAnsi="宋体"/>
                <w:color w:val="auto"/>
                <w:kern w:val="2"/>
                <w:szCs w:val="22"/>
              </w:rPr>
            </w:pPr>
            <w:r>
              <w:rPr>
                <w:rFonts w:hint="eastAsia" w:ascii="宋体" w:hAnsi="宋体"/>
                <w:color w:val="auto"/>
                <w:kern w:val="2"/>
                <w:szCs w:val="22"/>
              </w:rPr>
              <w:t>13858780486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8" w:type="dxa"/>
          </w:tcPr>
          <w:p>
            <w:pPr>
              <w:pStyle w:val="322"/>
              <w:spacing w:line="360" w:lineRule="auto"/>
              <w:ind w:firstLine="0" w:firstLineChars="0"/>
              <w:rPr>
                <w:rFonts w:ascii="宋体" w:hAnsi="宋体" w:eastAsia="宋体" w:cs="宋体"/>
                <w:color w:val="auto"/>
                <w:kern w:val="0"/>
                <w:sz w:val="21"/>
              </w:rPr>
            </w:pPr>
            <w:r>
              <w:rPr>
                <w:rFonts w:ascii="宋体" w:hAnsi="宋体" w:eastAsia="宋体" w:cs="宋体"/>
                <w:color w:val="auto"/>
                <w:kern w:val="0"/>
                <w:sz w:val="21"/>
              </w:rPr>
              <w:t>中信银行股份有限公司温州分行</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标准政采贷贷款金额不超过政府采购合同金额（扣除相应的预付款、质保金、其他已付款等）的90%，最高不超过1000万元。期限最长不超过一年，利率优惠，审批快，资料齐全最快当日审批。</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陈经理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13968701618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68" w:type="dxa"/>
          </w:tcPr>
          <w:p>
            <w:pPr>
              <w:pStyle w:val="322"/>
              <w:spacing w:line="360" w:lineRule="auto"/>
              <w:ind w:firstLine="0" w:firstLineChars="0"/>
              <w:rPr>
                <w:rFonts w:ascii="宋体" w:hAnsi="宋体" w:eastAsia="宋体" w:cs="宋体"/>
                <w:color w:val="auto"/>
                <w:kern w:val="0"/>
                <w:sz w:val="21"/>
              </w:rPr>
            </w:pPr>
            <w:r>
              <w:rPr>
                <w:rFonts w:ascii="宋体" w:hAnsi="宋体" w:eastAsia="宋体" w:cs="宋体"/>
                <w:color w:val="auto"/>
                <w:kern w:val="0"/>
                <w:sz w:val="21"/>
              </w:rPr>
              <w:t>浙商银行股份有限公司温州分行</w:t>
            </w:r>
          </w:p>
        </w:tc>
        <w:tc>
          <w:tcPr>
            <w:tcW w:w="5386" w:type="dxa"/>
          </w:tcPr>
          <w:p>
            <w:pPr>
              <w:rPr>
                <w:rFonts w:ascii="宋体" w:hAnsi="宋体" w:cs="宋体"/>
                <w:bCs/>
                <w:color w:val="auto"/>
                <w:kern w:val="2"/>
                <w:szCs w:val="22"/>
              </w:rPr>
            </w:pPr>
            <w:r>
              <w:rPr>
                <w:rFonts w:hint="eastAsia" w:ascii="宋体" w:hAnsi="宋体" w:cs="宋体"/>
                <w:bCs/>
                <w:color w:val="auto"/>
                <w:kern w:val="2"/>
                <w:szCs w:val="22"/>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货物类最长1年，工程类最长3年。</w:t>
            </w:r>
          </w:p>
        </w:tc>
        <w:tc>
          <w:tcPr>
            <w:tcW w:w="1161" w:type="dxa"/>
            <w:vAlign w:val="center"/>
          </w:tcPr>
          <w:p>
            <w:pPr>
              <w:jc w:val="center"/>
              <w:rPr>
                <w:rFonts w:ascii="宋体" w:hAnsi="宋体" w:cs="宋体"/>
                <w:color w:val="auto"/>
                <w:kern w:val="2"/>
                <w:szCs w:val="22"/>
              </w:rPr>
            </w:pPr>
            <w:r>
              <w:rPr>
                <w:rFonts w:hint="eastAsia" w:ascii="宋体" w:hAnsi="宋体" w:cs="宋体"/>
                <w:color w:val="auto"/>
                <w:kern w:val="2"/>
                <w:szCs w:val="22"/>
              </w:rPr>
              <w:t>瞿经理</w:t>
            </w:r>
          </w:p>
        </w:tc>
        <w:tc>
          <w:tcPr>
            <w:tcW w:w="1728" w:type="dxa"/>
            <w:vAlign w:val="center"/>
          </w:tcPr>
          <w:p>
            <w:pPr>
              <w:jc w:val="center"/>
              <w:rPr>
                <w:rFonts w:ascii="宋体" w:hAnsi="宋体"/>
                <w:color w:val="auto"/>
                <w:kern w:val="2"/>
                <w:szCs w:val="22"/>
              </w:rPr>
            </w:pPr>
            <w:r>
              <w:rPr>
                <w:rFonts w:hint="eastAsia" w:ascii="宋体" w:hAnsi="宋体"/>
                <w:color w:val="auto"/>
                <w:kern w:val="2"/>
                <w:szCs w:val="22"/>
              </w:rPr>
              <w:t>0577-88673097</w:t>
            </w:r>
          </w:p>
          <w:p>
            <w:pPr>
              <w:jc w:val="center"/>
              <w:rPr>
                <w:rFonts w:ascii="宋体" w:hAnsi="宋体"/>
                <w:color w:val="auto"/>
                <w:kern w:val="2"/>
                <w:szCs w:val="22"/>
              </w:rPr>
            </w:pPr>
          </w:p>
        </w:tc>
      </w:tr>
    </w:tbl>
    <w:p>
      <w:pPr>
        <w:jc w:val="center"/>
        <w:rPr>
          <w:rFonts w:ascii="宋体" w:hAnsi="宋体"/>
          <w:color w:val="auto"/>
          <w:sz w:val="36"/>
          <w:szCs w:val="36"/>
        </w:rPr>
      </w:pPr>
      <w:r>
        <w:rPr>
          <w:rFonts w:ascii="宋体" w:hAnsi="宋体" w:cs="宋体"/>
          <w:color w:val="auto"/>
          <w:sz w:val="22"/>
        </w:rPr>
        <w:br w:type="page"/>
      </w:r>
      <w:r>
        <w:rPr>
          <w:rFonts w:hint="eastAsia" w:ascii="宋体" w:hAnsi="宋体"/>
          <w:color w:val="auto"/>
          <w:sz w:val="36"/>
          <w:szCs w:val="36"/>
        </w:rPr>
        <w:t>温州市政府采购信用融资意向银行选择表</w:t>
      </w:r>
    </w:p>
    <w:p>
      <w:pPr>
        <w:jc w:val="center"/>
        <w:rPr>
          <w:rFonts w:ascii="宋体" w:hAnsi="宋体"/>
          <w:color w:val="auto"/>
          <w:sz w:val="36"/>
          <w:szCs w:val="36"/>
        </w:rPr>
      </w:pPr>
      <w:r>
        <w:rPr>
          <w:rFonts w:hint="eastAsia" w:ascii="宋体" w:hAnsi="宋体"/>
          <w:color w:val="auto"/>
          <w:sz w:val="32"/>
          <w:szCs w:val="32"/>
        </w:rPr>
        <w:t>（温州市供应商填写）</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142"/>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22"/>
              <w:spacing w:line="360" w:lineRule="auto"/>
              <w:ind w:firstLine="0" w:firstLineChars="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企业名称</w:t>
            </w:r>
          </w:p>
        </w:tc>
        <w:tc>
          <w:tcPr>
            <w:tcW w:w="8363" w:type="dxa"/>
            <w:gridSpan w:val="5"/>
          </w:tcPr>
          <w:p>
            <w:pPr>
              <w:pStyle w:val="322"/>
              <w:spacing w:line="360" w:lineRule="auto"/>
              <w:ind w:firstLine="0" w:firstLineChars="0"/>
              <w:jc w:val="center"/>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322"/>
              <w:spacing w:line="360" w:lineRule="auto"/>
              <w:ind w:firstLine="0" w:firstLineChars="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企业注册地</w:t>
            </w:r>
          </w:p>
        </w:tc>
        <w:tc>
          <w:tcPr>
            <w:tcW w:w="3685" w:type="dxa"/>
            <w:gridSpan w:val="2"/>
          </w:tcPr>
          <w:p>
            <w:pPr>
              <w:pStyle w:val="322"/>
              <w:spacing w:line="360" w:lineRule="auto"/>
              <w:ind w:firstLine="0" w:firstLineChars="0"/>
              <w:jc w:val="center"/>
              <w:rPr>
                <w:rFonts w:ascii="宋体" w:hAnsi="宋体" w:eastAsia="宋体" w:cs="宋体"/>
                <w:color w:val="auto"/>
                <w:kern w:val="0"/>
                <w:sz w:val="28"/>
                <w:szCs w:val="28"/>
              </w:rPr>
            </w:pPr>
          </w:p>
        </w:tc>
        <w:tc>
          <w:tcPr>
            <w:tcW w:w="2410" w:type="dxa"/>
            <w:gridSpan w:val="2"/>
          </w:tcPr>
          <w:p>
            <w:pPr>
              <w:pStyle w:val="322"/>
              <w:spacing w:line="360" w:lineRule="auto"/>
              <w:ind w:firstLine="0" w:firstLineChars="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是否有融资意向</w:t>
            </w:r>
          </w:p>
        </w:tc>
        <w:tc>
          <w:tcPr>
            <w:tcW w:w="2268" w:type="dxa"/>
          </w:tcPr>
          <w:p>
            <w:pPr>
              <w:pStyle w:val="322"/>
              <w:spacing w:line="360" w:lineRule="auto"/>
              <w:ind w:firstLine="0" w:firstLineChars="0"/>
              <w:jc w:val="center"/>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322"/>
              <w:spacing w:line="360" w:lineRule="auto"/>
              <w:ind w:firstLine="0" w:firstLineChars="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融资联系人</w:t>
            </w:r>
          </w:p>
        </w:tc>
        <w:tc>
          <w:tcPr>
            <w:tcW w:w="2268" w:type="dxa"/>
          </w:tcPr>
          <w:p>
            <w:pPr>
              <w:pStyle w:val="322"/>
              <w:spacing w:line="360" w:lineRule="auto"/>
              <w:ind w:firstLine="0" w:firstLineChars="0"/>
              <w:jc w:val="center"/>
              <w:rPr>
                <w:rFonts w:ascii="宋体" w:hAnsi="宋体" w:eastAsia="宋体" w:cs="宋体"/>
                <w:color w:val="auto"/>
                <w:kern w:val="0"/>
                <w:sz w:val="28"/>
                <w:szCs w:val="28"/>
              </w:rPr>
            </w:pPr>
          </w:p>
        </w:tc>
        <w:tc>
          <w:tcPr>
            <w:tcW w:w="1559" w:type="dxa"/>
            <w:gridSpan w:val="2"/>
          </w:tcPr>
          <w:p>
            <w:pPr>
              <w:pStyle w:val="322"/>
              <w:spacing w:line="360" w:lineRule="auto"/>
              <w:ind w:firstLine="0" w:firstLineChars="0"/>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联系方式</w:t>
            </w:r>
          </w:p>
        </w:tc>
        <w:tc>
          <w:tcPr>
            <w:tcW w:w="4536" w:type="dxa"/>
            <w:gridSpan w:val="2"/>
          </w:tcPr>
          <w:p>
            <w:pPr>
              <w:pStyle w:val="322"/>
              <w:spacing w:line="360" w:lineRule="auto"/>
              <w:ind w:firstLine="0" w:firstLineChars="0"/>
              <w:jc w:val="center"/>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495" w:type="dxa"/>
            <w:gridSpan w:val="4"/>
            <w:vAlign w:val="center"/>
          </w:tcPr>
          <w:p>
            <w:pPr>
              <w:pStyle w:val="322"/>
              <w:spacing w:line="360" w:lineRule="auto"/>
              <w:ind w:firstLine="0" w:firstLineChars="0"/>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温州市政府采购信用融资合作银行</w:t>
            </w:r>
          </w:p>
        </w:tc>
        <w:tc>
          <w:tcPr>
            <w:tcW w:w="4536" w:type="dxa"/>
            <w:gridSpan w:val="2"/>
          </w:tcPr>
          <w:p>
            <w:pPr>
              <w:pStyle w:val="322"/>
              <w:spacing w:line="360" w:lineRule="auto"/>
              <w:ind w:firstLine="0" w:firstLineChars="0"/>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495" w:type="dxa"/>
            <w:gridSpan w:val="4"/>
          </w:tcPr>
          <w:p>
            <w:pPr>
              <w:pStyle w:val="322"/>
              <w:spacing w:line="360" w:lineRule="auto"/>
              <w:ind w:firstLine="0" w:firstLineChars="0"/>
              <w:rPr>
                <w:rFonts w:ascii="宋体" w:hAnsi="宋体" w:eastAsia="宋体" w:cs="宋体"/>
                <w:color w:val="auto"/>
                <w:kern w:val="0"/>
                <w:sz w:val="30"/>
                <w:szCs w:val="30"/>
              </w:rPr>
            </w:pPr>
            <w:r>
              <w:rPr>
                <w:rFonts w:hint="eastAsia" w:ascii="宋体" w:hAnsi="宋体" w:eastAsia="宋体" w:cs="宋体"/>
                <w:color w:val="auto"/>
                <w:kern w:val="0"/>
                <w:sz w:val="30"/>
                <w:szCs w:val="30"/>
              </w:rPr>
              <w:t>温州银行股份有限公司温州分行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495" w:type="dxa"/>
            <w:gridSpan w:val="4"/>
          </w:tcPr>
          <w:p>
            <w:pPr>
              <w:pStyle w:val="322"/>
              <w:spacing w:line="360" w:lineRule="auto"/>
              <w:ind w:firstLine="0" w:firstLineChars="0"/>
              <w:rPr>
                <w:rFonts w:ascii="宋体" w:hAnsi="宋体" w:eastAsia="宋体" w:cs="宋体"/>
                <w:color w:val="auto"/>
                <w:kern w:val="0"/>
                <w:sz w:val="30"/>
                <w:szCs w:val="30"/>
              </w:rPr>
            </w:pPr>
            <w:r>
              <w:rPr>
                <w:rFonts w:hint="eastAsia" w:ascii="宋体" w:hAnsi="宋体" w:eastAsia="宋体" w:cs="宋体"/>
                <w:color w:val="auto"/>
                <w:kern w:val="0"/>
                <w:sz w:val="30"/>
                <w:szCs w:val="30"/>
              </w:rPr>
              <w:t>温州银行股份有限公司鹿城分行</w:t>
            </w:r>
          </w:p>
        </w:tc>
        <w:tc>
          <w:tcPr>
            <w:tcW w:w="4536" w:type="dxa"/>
            <w:gridSpan w:val="2"/>
          </w:tcPr>
          <w:p>
            <w:pPr>
              <w:pStyle w:val="322"/>
              <w:spacing w:line="360" w:lineRule="auto"/>
              <w:ind w:firstLine="0" w:firstLineChars="0"/>
              <w:rPr>
                <w:rFonts w:ascii="宋体" w:hAnsi="宋体" w:eastAsia="宋体" w:cs="宋体"/>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中国工商银行股份有限公司温州分行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95" w:type="dxa"/>
            <w:gridSpan w:val="4"/>
          </w:tcPr>
          <w:p>
            <w:pPr>
              <w:rPr>
                <w:rFonts w:ascii="宋体" w:hAnsi="宋体" w:cs="宋体"/>
                <w:color w:val="auto"/>
                <w:kern w:val="2"/>
                <w:sz w:val="28"/>
                <w:szCs w:val="28"/>
              </w:rPr>
            </w:pPr>
            <w:r>
              <w:rPr>
                <w:rFonts w:hint="eastAsia" w:ascii="宋体" w:hAnsi="宋体" w:cs="宋体"/>
                <w:color w:val="auto"/>
                <w:kern w:val="2"/>
                <w:sz w:val="28"/>
                <w:szCs w:val="28"/>
              </w:rPr>
              <w:t>中国建设银行股份有限公司温州分行</w:t>
            </w:r>
          </w:p>
        </w:tc>
        <w:tc>
          <w:tcPr>
            <w:tcW w:w="4536" w:type="dxa"/>
            <w:gridSpan w:val="2"/>
          </w:tcPr>
          <w:p>
            <w:pPr>
              <w:rPr>
                <w:rFonts w:ascii="宋体" w:hAnsi="宋体" w:cs="宋体"/>
                <w:color w:val="auto"/>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中国邮政储蓄银行股份有限公司温州市分行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中国民生银行股份有限公司温州分行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宁波银行股份有限公司温州分行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杭州银行股份有限公司温州分行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招商银行股份有限公司温州分行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兴业银行股份有限公司温州分行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交通银行股份有限公司温州分行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5495" w:type="dxa"/>
            <w:gridSpan w:val="4"/>
          </w:tcPr>
          <w:p>
            <w:pPr>
              <w:pStyle w:val="322"/>
              <w:spacing w:line="360" w:lineRule="auto"/>
              <w:ind w:firstLine="0" w:firstLineChars="0"/>
              <w:rPr>
                <w:rFonts w:ascii="宋体" w:hAnsi="宋体" w:eastAsia="宋体" w:cs="宋体"/>
                <w:color w:val="auto"/>
                <w:kern w:val="0"/>
                <w:sz w:val="28"/>
                <w:szCs w:val="28"/>
              </w:rPr>
            </w:pPr>
            <w:r>
              <w:rPr>
                <w:rFonts w:hint="eastAsia" w:ascii="宋体" w:hAnsi="宋体" w:eastAsia="宋体" w:cs="宋体"/>
                <w:color w:val="auto"/>
                <w:kern w:val="0"/>
                <w:sz w:val="28"/>
                <w:szCs w:val="28"/>
              </w:rPr>
              <w:t>上海浦东发展银行股份有限公司温州分行</w:t>
            </w:r>
          </w:p>
        </w:tc>
        <w:tc>
          <w:tcPr>
            <w:tcW w:w="4536" w:type="dxa"/>
            <w:gridSpan w:val="2"/>
          </w:tcPr>
          <w:p>
            <w:pPr>
              <w:pStyle w:val="322"/>
              <w:spacing w:line="360" w:lineRule="auto"/>
              <w:ind w:firstLine="0" w:firstLineChars="0"/>
              <w:rPr>
                <w:rFonts w:ascii="宋体" w:hAnsi="宋体" w:eastAsia="宋体" w:cs="宋体"/>
                <w:color w:val="auto"/>
                <w:kern w:val="0"/>
                <w:sz w:val="28"/>
                <w:szCs w:val="28"/>
              </w:rPr>
            </w:pPr>
          </w:p>
        </w:tc>
      </w:tr>
    </w:tbl>
    <w:p>
      <w:pPr>
        <w:rPr>
          <w:rFonts w:ascii="宋体" w:hAnsi="宋体"/>
          <w:color w:val="auto"/>
          <w:sz w:val="24"/>
        </w:rPr>
      </w:pPr>
      <w:r>
        <w:rPr>
          <w:rFonts w:hint="eastAsia" w:ascii="宋体" w:hAnsi="宋体"/>
          <w:color w:val="auto"/>
          <w:sz w:val="24"/>
        </w:rPr>
        <w:t>注：1、本表填写对象为注册地在温州市域内的供应商。</w:t>
      </w:r>
    </w:p>
    <w:p>
      <w:pPr>
        <w:spacing w:line="588" w:lineRule="exact"/>
        <w:ind w:firstLine="480" w:firstLineChars="200"/>
        <w:rPr>
          <w:color w:val="auto"/>
        </w:rPr>
      </w:pPr>
      <w:r>
        <w:rPr>
          <w:rFonts w:hint="eastAsia" w:ascii="宋体" w:hAnsi="宋体"/>
          <w:color w:val="auto"/>
          <w:sz w:val="24"/>
        </w:rPr>
        <w:t>2、财政部门根据企业自行选择，将本表及企业相关信息推送至相对应的融资意向银行经办人。</w:t>
      </w:r>
    </w:p>
    <w:p>
      <w:pPr>
        <w:pStyle w:val="21"/>
        <w:ind w:left="0" w:leftChars="0"/>
        <w:rPr>
          <w:rFonts w:ascii="宋体" w:hAnsi="宋体" w:cs="宋体"/>
          <w:b/>
          <w:bCs/>
          <w:color w:val="0000FF"/>
          <w:szCs w:val="21"/>
          <w:u w:val="wave"/>
        </w:rPr>
      </w:pPr>
    </w:p>
    <w:p>
      <w:pPr>
        <w:pStyle w:val="21"/>
        <w:ind w:left="0" w:leftChars="0"/>
        <w:rPr>
          <w:rFonts w:ascii="宋体" w:hAnsi="宋体" w:cs="宋体"/>
          <w:b/>
          <w:bCs/>
          <w:color w:val="0000FF"/>
          <w:szCs w:val="21"/>
          <w:u w:val="wave"/>
        </w:rPr>
      </w:pPr>
    </w:p>
    <w:sectPr>
      <w:footerReference r:id="rId6" w:type="default"/>
      <w:pgSz w:w="11906" w:h="16838"/>
      <w:pgMar w:top="1837" w:right="1134" w:bottom="1418" w:left="1418" w:header="680" w:footer="680" w:gutter="0"/>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体">
    <w:altName w:val="宋体"/>
    <w:panose1 w:val="00000000000000000000"/>
    <w:charset w:val="86"/>
    <w:family w:val="roma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rutigerNext LT Regular">
    <w:altName w:val="Calibri"/>
    <w:panose1 w:val="00000000000000000000"/>
    <w:charset w:val="00"/>
    <w:family w:val="swiss"/>
    <w:pitch w:val="default"/>
    <w:sig w:usb0="00000000" w:usb1="00000000" w:usb2="00000000" w:usb3="00000000" w:csb0="00000111" w:csb1="00000000"/>
  </w:font>
  <w:font w:name="方正小标宋简体">
    <w:altName w:val="黑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汉鼎简中楷">
    <w:altName w:val="微软雅黑"/>
    <w:panose1 w:val="00000000000000000000"/>
    <w:charset w:val="86"/>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2MYb9ABAACkAwAADgAAAAAAAAABACAAAAAeAQAAZHJz&#10;L2Uyb0RvYy54bWxQSwUGAAAAAAYABgBZAQAAYAU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9aYYg9ABAACmAwAADgAAAAAAAAABACAAAAAeAQAAZHJz&#10;L2Uyb0RvYy54bWxQSwUGAAAAAAYABgBZAQAAYAUAAAAA&#10;">
              <v:fill on="f" focussize="0,0"/>
              <v:stroke on="f"/>
              <v:imagedata o:title=""/>
              <o:lock v:ext="edit" aspectratio="f"/>
              <v:textbox inset="0mm,0mm,0mm,0mm" style="mso-fit-shape-to-text:t;">
                <w:txbxContent>
                  <w:p>
                    <w:pPr>
                      <w:pStyle w:val="31"/>
                    </w:pP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yOnZc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jp2XCAQAAjQMAAA4AAAAAAAAAAQAgAAAAHgEAAGRycy9lMm9Eb2MueG1sUEsF&#10;BgAAAAAGAAYAWQEAAFIFAAAAAA==&#10;">
              <v:fill on="f" focussize="0,0"/>
              <v:stroke on="f"/>
              <v:imagedata o:title=""/>
              <o:lock v:ext="edit" aspectratio="f"/>
              <v:textbox inset="0mm,0mm,0mm,0mm" style="mso-fit-shape-to-text:t;">
                <w:txbxContent>
                  <w:p>
                    <w:pPr>
                      <w:pStyle w:val="3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w:t>
                    </w:r>
                  </w:p>
                </w:txbxContent>
              </v:textbox>
            </v:shape>
          </w:pict>
        </mc:Fallback>
      </mc:AlternateContent>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24ADA"/>
    <w:multiLevelType w:val="multilevel"/>
    <w:tmpl w:val="84A24ADA"/>
    <w:lvl w:ilvl="0" w:tentative="0">
      <w:start w:val="1"/>
      <w:numFmt w:val="decimal"/>
      <w:suff w:val="nothing"/>
      <w:lvlText w:val="（%1）"/>
      <w:lvlJc w:val="left"/>
      <w:pPr>
        <w:tabs>
          <w:tab w:val="left" w:pos="2615"/>
        </w:tabs>
        <w:ind w:left="3333" w:hanging="420"/>
      </w:pPr>
      <w:rPr>
        <w:rFonts w:hint="default" w:ascii="宋体" w:hAnsi="宋体" w:eastAsia="宋体" w:cs="Times New Roman"/>
        <w:color w:val="auto"/>
        <w:sz w:val="21"/>
        <w:szCs w:val="21"/>
        <w:lang w:val="en-US"/>
      </w:rPr>
    </w:lvl>
    <w:lvl w:ilvl="1" w:tentative="0">
      <w:start w:val="1"/>
      <w:numFmt w:val="lowerLetter"/>
      <w:lvlText w:val="%2)"/>
      <w:lvlJc w:val="left"/>
      <w:pPr>
        <w:ind w:left="3753" w:hanging="420"/>
      </w:pPr>
      <w:rPr>
        <w:rFonts w:cs="Times New Roman"/>
      </w:rPr>
    </w:lvl>
    <w:lvl w:ilvl="2" w:tentative="0">
      <w:start w:val="1"/>
      <w:numFmt w:val="lowerRoman"/>
      <w:lvlText w:val="%3."/>
      <w:lvlJc w:val="right"/>
      <w:pPr>
        <w:ind w:left="4173" w:hanging="420"/>
      </w:pPr>
      <w:rPr>
        <w:rFonts w:cs="Times New Roman"/>
      </w:rPr>
    </w:lvl>
    <w:lvl w:ilvl="3" w:tentative="0">
      <w:start w:val="1"/>
      <w:numFmt w:val="decimal"/>
      <w:lvlText w:val="%4."/>
      <w:lvlJc w:val="left"/>
      <w:pPr>
        <w:ind w:left="4593" w:hanging="420"/>
      </w:pPr>
      <w:rPr>
        <w:rFonts w:cs="Times New Roman"/>
      </w:rPr>
    </w:lvl>
    <w:lvl w:ilvl="4" w:tentative="0">
      <w:start w:val="1"/>
      <w:numFmt w:val="lowerLetter"/>
      <w:lvlText w:val="%5)"/>
      <w:lvlJc w:val="left"/>
      <w:pPr>
        <w:ind w:left="5013" w:hanging="420"/>
      </w:pPr>
      <w:rPr>
        <w:rFonts w:cs="Times New Roman"/>
      </w:rPr>
    </w:lvl>
    <w:lvl w:ilvl="5" w:tentative="0">
      <w:start w:val="1"/>
      <w:numFmt w:val="lowerRoman"/>
      <w:lvlText w:val="%6."/>
      <w:lvlJc w:val="right"/>
      <w:pPr>
        <w:ind w:left="5433" w:hanging="420"/>
      </w:pPr>
      <w:rPr>
        <w:rFonts w:cs="Times New Roman"/>
      </w:rPr>
    </w:lvl>
    <w:lvl w:ilvl="6" w:tentative="0">
      <w:start w:val="1"/>
      <w:numFmt w:val="decimal"/>
      <w:lvlText w:val="%7."/>
      <w:lvlJc w:val="left"/>
      <w:pPr>
        <w:ind w:left="5853" w:hanging="420"/>
      </w:pPr>
      <w:rPr>
        <w:rFonts w:cs="Times New Roman"/>
      </w:rPr>
    </w:lvl>
    <w:lvl w:ilvl="7" w:tentative="0">
      <w:start w:val="1"/>
      <w:numFmt w:val="lowerLetter"/>
      <w:lvlText w:val="%8)"/>
      <w:lvlJc w:val="left"/>
      <w:pPr>
        <w:ind w:left="6273" w:hanging="420"/>
      </w:pPr>
      <w:rPr>
        <w:rFonts w:cs="Times New Roman"/>
      </w:rPr>
    </w:lvl>
    <w:lvl w:ilvl="8" w:tentative="0">
      <w:start w:val="1"/>
      <w:numFmt w:val="lowerRoman"/>
      <w:lvlText w:val="%9."/>
      <w:lvlJc w:val="right"/>
      <w:pPr>
        <w:ind w:left="6693" w:hanging="420"/>
      </w:pPr>
      <w:rPr>
        <w:rFonts w:cs="Times New Roman"/>
      </w:rPr>
    </w:lvl>
  </w:abstractNum>
  <w:abstractNum w:abstractNumId="1">
    <w:nsid w:val="88200A6E"/>
    <w:multiLevelType w:val="multilevel"/>
    <w:tmpl w:val="88200A6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962DEBF5"/>
    <w:multiLevelType w:val="singleLevel"/>
    <w:tmpl w:val="962DEBF5"/>
    <w:lvl w:ilvl="0" w:tentative="0">
      <w:start w:val="1"/>
      <w:numFmt w:val="decimal"/>
      <w:lvlText w:val="(%1)"/>
      <w:lvlJc w:val="left"/>
      <w:pPr>
        <w:ind w:left="425" w:hanging="425"/>
      </w:pPr>
      <w:rPr>
        <w:rFonts w:hint="default"/>
      </w:rPr>
    </w:lvl>
  </w:abstractNum>
  <w:abstractNum w:abstractNumId="3">
    <w:nsid w:val="9FF36C32"/>
    <w:multiLevelType w:val="singleLevel"/>
    <w:tmpl w:val="9FF36C32"/>
    <w:lvl w:ilvl="0" w:tentative="0">
      <w:start w:val="2"/>
      <w:numFmt w:val="chineseCounting"/>
      <w:suff w:val="nothing"/>
      <w:lvlText w:val="%1、"/>
      <w:lvlJc w:val="left"/>
      <w:pPr>
        <w:ind w:left="420"/>
      </w:pPr>
      <w:rPr>
        <w:rFonts w:hint="eastAsia"/>
      </w:rPr>
    </w:lvl>
  </w:abstractNum>
  <w:abstractNum w:abstractNumId="4">
    <w:nsid w:val="AE5E64B8"/>
    <w:multiLevelType w:val="singleLevel"/>
    <w:tmpl w:val="AE5E64B8"/>
    <w:lvl w:ilvl="0" w:tentative="0">
      <w:start w:val="1"/>
      <w:numFmt w:val="chineseCounting"/>
      <w:suff w:val="nothing"/>
      <w:lvlText w:val="%1、"/>
      <w:lvlJc w:val="left"/>
      <w:pPr>
        <w:ind w:firstLine="420"/>
      </w:pPr>
    </w:lvl>
  </w:abstractNum>
  <w:abstractNum w:abstractNumId="5">
    <w:nsid w:val="BDD12A83"/>
    <w:multiLevelType w:val="multilevel"/>
    <w:tmpl w:val="BDD12A83"/>
    <w:lvl w:ilvl="0" w:tentative="0">
      <w:start w:val="1"/>
      <w:numFmt w:val="decimal"/>
      <w:suff w:val="space"/>
      <w:lvlText w:val="（%1）"/>
      <w:lvlJc w:val="left"/>
      <w:pPr>
        <w:tabs>
          <w:tab w:val="left" w:pos="420"/>
        </w:tabs>
        <w:ind w:left="0" w:firstLine="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FC8332B9"/>
    <w:multiLevelType w:val="singleLevel"/>
    <w:tmpl w:val="FC8332B9"/>
    <w:lvl w:ilvl="0" w:tentative="0">
      <w:start w:val="1"/>
      <w:numFmt w:val="decimal"/>
      <w:suff w:val="nothing"/>
      <w:lvlText w:val="（%1）"/>
      <w:lvlJc w:val="left"/>
    </w:lvl>
  </w:abstractNum>
  <w:abstractNum w:abstractNumId="7">
    <w:nsid w:val="FFFFFF7E"/>
    <w:multiLevelType w:val="singleLevel"/>
    <w:tmpl w:val="FFFFFF7E"/>
    <w:lvl w:ilvl="0" w:tentative="0">
      <w:start w:val="1"/>
      <w:numFmt w:val="decimal"/>
      <w:lvlText w:val="%1."/>
      <w:lvlJc w:val="left"/>
      <w:pPr>
        <w:tabs>
          <w:tab w:val="left" w:pos="1200"/>
        </w:tabs>
        <w:ind w:left="1200" w:hanging="360"/>
      </w:pPr>
    </w:lvl>
  </w:abstractNum>
  <w:abstractNum w:abstractNumId="8">
    <w:nsid w:val="00000010"/>
    <w:multiLevelType w:val="multilevel"/>
    <w:tmpl w:val="00000010"/>
    <w:lvl w:ilvl="0" w:tentative="0">
      <w:start w:val="1"/>
      <w:numFmt w:val="decimal"/>
      <w:pStyle w:val="260"/>
      <w:lvlText w:val="(%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1"/>
    <w:multiLevelType w:val="multilevel"/>
    <w:tmpl w:val="00000011"/>
    <w:lvl w:ilvl="0" w:tentative="0">
      <w:start w:val="1"/>
      <w:numFmt w:val="decimal"/>
      <w:lvlText w:val="（%1）"/>
      <w:lvlJc w:val="left"/>
      <w:pPr>
        <w:ind w:left="1129" w:hanging="420"/>
      </w:pPr>
      <w:rPr>
        <w:rFonts w:hint="eastAsia"/>
        <w:color w:val="auto"/>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10">
    <w:nsid w:val="00000012"/>
    <w:multiLevelType w:val="multilevel"/>
    <w:tmpl w:val="00000012"/>
    <w:lvl w:ilvl="0" w:tentative="0">
      <w:start w:val="1"/>
      <w:numFmt w:val="decimal"/>
      <w:lvlText w:val="（%1）"/>
      <w:lvlJc w:val="left"/>
      <w:pPr>
        <w:ind w:left="1560" w:hanging="720"/>
      </w:pPr>
      <w:rPr>
        <w:rFonts w:hint="default" w:cs="Times New Roman"/>
        <w:color w:val="auto"/>
        <w:sz w:val="21"/>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00000015"/>
    <w:multiLevelType w:val="singleLevel"/>
    <w:tmpl w:val="00000015"/>
    <w:lvl w:ilvl="0" w:tentative="0">
      <w:start w:val="1"/>
      <w:numFmt w:val="decimal"/>
      <w:lvlText w:val="（%1）"/>
      <w:lvlJc w:val="left"/>
      <w:pPr>
        <w:ind w:left="420" w:hanging="420"/>
      </w:pPr>
      <w:rPr>
        <w:rFonts w:hint="eastAsia"/>
        <w:color w:val="auto"/>
        <w:lang w:val="en-US"/>
      </w:rPr>
    </w:lvl>
  </w:abstractNum>
  <w:abstractNum w:abstractNumId="12">
    <w:nsid w:val="00000019"/>
    <w:multiLevelType w:val="multilevel"/>
    <w:tmpl w:val="00000019"/>
    <w:lvl w:ilvl="0" w:tentative="0">
      <w:start w:val="1"/>
      <w:numFmt w:val="decimal"/>
      <w:pStyle w:val="252"/>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3">
    <w:nsid w:val="0000001A"/>
    <w:multiLevelType w:val="multilevel"/>
    <w:tmpl w:val="0000001A"/>
    <w:lvl w:ilvl="0" w:tentative="0">
      <w:start w:val="1"/>
      <w:numFmt w:val="decimal"/>
      <w:lvlText w:val="（%1）"/>
      <w:lvlJc w:val="left"/>
      <w:pPr>
        <w:ind w:left="1004" w:hanging="720"/>
      </w:pPr>
      <w:rPr>
        <w:rFonts w:hint="default" w:cs="Times New Roman"/>
        <w:color w:val="auto"/>
        <w:sz w:val="21"/>
        <w:lang w:val="en-US"/>
      </w:rPr>
    </w:lvl>
    <w:lvl w:ilvl="1" w:tentative="0">
      <w:start w:val="1"/>
      <w:numFmt w:val="decimal"/>
      <w:lvlText w:val="%2）"/>
      <w:lvlJc w:val="left"/>
      <w:pPr>
        <w:ind w:left="1770" w:hanging="510"/>
      </w:pPr>
      <w:rPr>
        <w:rFonts w:hint="default" w:ascii="宋体" w:hAnsi="宋体"/>
        <w:color w:val="000000"/>
      </w:rPr>
    </w:lvl>
    <w:lvl w:ilvl="2" w:tentative="0">
      <w:start w:val="1"/>
      <w:numFmt w:val="decimal"/>
      <w:lvlText w:val="%3、"/>
      <w:lvlJc w:val="left"/>
      <w:pPr>
        <w:ind w:left="2040" w:hanging="360"/>
      </w:pPr>
      <w:rPr>
        <w:rFonts w:hint="default"/>
      </w:r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0000001B"/>
    <w:multiLevelType w:val="multilevel"/>
    <w:tmpl w:val="0000001B"/>
    <w:lvl w:ilvl="0" w:tentative="0">
      <w:start w:val="1"/>
      <w:numFmt w:val="decimal"/>
      <w:lvlText w:val="%1、"/>
      <w:lvlJc w:val="left"/>
      <w:pPr>
        <w:ind w:left="848" w:hanging="420"/>
      </w:pPr>
    </w:lvl>
    <w:lvl w:ilvl="1" w:tentative="0">
      <w:start w:val="1"/>
      <w:numFmt w:val="lowerLetter"/>
      <w:lvlText w:val="%1)"/>
      <w:lvlJc w:val="left"/>
      <w:pPr>
        <w:ind w:left="1268" w:hanging="420"/>
      </w:pPr>
    </w:lvl>
    <w:lvl w:ilvl="2" w:tentative="0">
      <w:start w:val="1"/>
      <w:numFmt w:val="lowerRoman"/>
      <w:lvlText w:val="%1."/>
      <w:lvlJc w:val="right"/>
      <w:pPr>
        <w:ind w:left="1688" w:hanging="420"/>
      </w:pPr>
    </w:lvl>
    <w:lvl w:ilvl="3" w:tentative="0">
      <w:start w:val="1"/>
      <w:numFmt w:val="decimal"/>
      <w:lvlText w:val="%1、"/>
      <w:lvlJc w:val="left"/>
      <w:pPr>
        <w:ind w:left="2108" w:hanging="420"/>
      </w:pPr>
    </w:lvl>
    <w:lvl w:ilvl="4" w:tentative="0">
      <w:start w:val="1"/>
      <w:numFmt w:val="lowerLetter"/>
      <w:lvlText w:val="%1)"/>
      <w:lvlJc w:val="left"/>
      <w:pPr>
        <w:ind w:left="2528" w:hanging="420"/>
      </w:pPr>
    </w:lvl>
    <w:lvl w:ilvl="5" w:tentative="0">
      <w:start w:val="1"/>
      <w:numFmt w:val="lowerRoman"/>
      <w:lvlText w:val="%1."/>
      <w:lvlJc w:val="right"/>
      <w:pPr>
        <w:ind w:left="2948" w:hanging="420"/>
      </w:pPr>
    </w:lvl>
    <w:lvl w:ilvl="6" w:tentative="0">
      <w:start w:val="1"/>
      <w:numFmt w:val="decimal"/>
      <w:lvlText w:val="%1."/>
      <w:lvlJc w:val="left"/>
      <w:pPr>
        <w:ind w:left="3368" w:hanging="420"/>
      </w:pPr>
    </w:lvl>
    <w:lvl w:ilvl="7" w:tentative="0">
      <w:start w:val="1"/>
      <w:numFmt w:val="lowerLetter"/>
      <w:lvlText w:val="%1)"/>
      <w:lvlJc w:val="left"/>
      <w:pPr>
        <w:ind w:left="3788" w:hanging="420"/>
      </w:pPr>
    </w:lvl>
    <w:lvl w:ilvl="8" w:tentative="0">
      <w:start w:val="1"/>
      <w:numFmt w:val="lowerRoman"/>
      <w:lvlText w:val="%1."/>
      <w:lvlJc w:val="right"/>
      <w:pPr>
        <w:ind w:left="4208" w:hanging="420"/>
      </w:pPr>
    </w:lvl>
  </w:abstractNum>
  <w:abstractNum w:abstractNumId="15">
    <w:nsid w:val="0000001C"/>
    <w:multiLevelType w:val="multilevel"/>
    <w:tmpl w:val="0000001C"/>
    <w:lvl w:ilvl="0" w:tentative="0">
      <w:start w:val="1"/>
      <w:numFmt w:val="japaneseCounting"/>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E"/>
    <w:multiLevelType w:val="multilevel"/>
    <w:tmpl w:val="0000001E"/>
    <w:lvl w:ilvl="0" w:tentative="0">
      <w:start w:val="1"/>
      <w:numFmt w:val="decimal"/>
      <w:lvlText w:val="（%1）"/>
      <w:lvlJc w:val="left"/>
      <w:pPr>
        <w:ind w:left="1560" w:hanging="720"/>
      </w:pPr>
      <w:rPr>
        <w:rFonts w:hint="default" w:cs="Times New Roman"/>
        <w:color w:val="auto"/>
        <w:sz w:val="21"/>
      </w:rPr>
    </w:lvl>
    <w:lvl w:ilvl="1" w:tentative="0">
      <w:start w:val="1"/>
      <w:numFmt w:val="decimal"/>
      <w:lvlText w:val="2.%2"/>
      <w:lvlJc w:val="left"/>
      <w:pPr>
        <w:ind w:left="1620" w:hanging="360"/>
      </w:pPr>
      <w:rPr>
        <w:rFonts w:hint="eastAsia" w:cs="Times New Roman"/>
        <w:color w:val="auto"/>
      </w:rPr>
    </w:lvl>
    <w:lvl w:ilvl="2" w:tentative="0">
      <w:start w:val="1"/>
      <w:numFmt w:val="decimalEnclosedCircle"/>
      <w:lvlText w:val="%3"/>
      <w:lvlJc w:val="left"/>
      <w:pPr>
        <w:ind w:left="2085" w:hanging="405"/>
      </w:pPr>
      <w:rPr>
        <w:rFonts w:hint="default" w:hAnsi="宋体"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7">
    <w:nsid w:val="00000023"/>
    <w:multiLevelType w:val="multilevel"/>
    <w:tmpl w:val="00000023"/>
    <w:lvl w:ilvl="0" w:tentative="0">
      <w:start w:val="1"/>
      <w:numFmt w:val="bullet"/>
      <w:lvlText w:val=""/>
      <w:lvlJc w:val="left"/>
      <w:pPr>
        <w:tabs>
          <w:tab w:val="left" w:pos="420"/>
        </w:tabs>
        <w:ind w:left="420" w:hanging="420"/>
      </w:pPr>
      <w:rPr>
        <w:rFonts w:hint="default" w:ascii="Wingdings" w:hAnsi="Wingdings"/>
      </w:rPr>
    </w:lvl>
    <w:lvl w:ilvl="1" w:tentative="0">
      <w:start w:val="2"/>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18">
    <w:nsid w:val="1759A82E"/>
    <w:multiLevelType w:val="singleLevel"/>
    <w:tmpl w:val="1759A82E"/>
    <w:lvl w:ilvl="0" w:tentative="0">
      <w:start w:val="1"/>
      <w:numFmt w:val="decimal"/>
      <w:suff w:val="nothing"/>
      <w:lvlText w:val="%1．"/>
      <w:lvlJc w:val="left"/>
      <w:pPr>
        <w:ind w:left="0" w:firstLine="400"/>
      </w:pPr>
      <w:rPr>
        <w:rFonts w:hint="default"/>
      </w:rPr>
    </w:lvl>
  </w:abstractNum>
  <w:abstractNum w:abstractNumId="19">
    <w:nsid w:val="42EE5DA7"/>
    <w:multiLevelType w:val="multilevel"/>
    <w:tmpl w:val="42EE5DA7"/>
    <w:lvl w:ilvl="0" w:tentative="0">
      <w:start w:val="1"/>
      <w:numFmt w:val="decimal"/>
      <w:lvlText w:val="（%1）"/>
      <w:lvlJc w:val="left"/>
      <w:pPr>
        <w:tabs>
          <w:tab w:val="left" w:pos="1560"/>
        </w:tabs>
        <w:ind w:left="1560" w:hanging="720"/>
      </w:pPr>
      <w:rPr>
        <w:rFonts w:hint="default" w:cs="Times New Roman"/>
      </w:rPr>
    </w:lvl>
    <w:lvl w:ilvl="1" w:tentative="0">
      <w:start w:val="1"/>
      <w:numFmt w:val="decimalEnclosedCircle"/>
      <w:lvlText w:val="%2"/>
      <w:lvlJc w:val="left"/>
      <w:pPr>
        <w:tabs>
          <w:tab w:val="left" w:pos="1620"/>
        </w:tabs>
        <w:ind w:left="1620" w:hanging="360"/>
      </w:pPr>
      <w:rPr>
        <w:rFonts w:hint="default" w:cs="Times New Roman"/>
      </w:rPr>
    </w:lvl>
    <w:lvl w:ilvl="2" w:tentative="0">
      <w:start w:val="1"/>
      <w:numFmt w:val="decimal"/>
      <w:lvlText w:val="%3）"/>
      <w:lvlJc w:val="left"/>
      <w:pPr>
        <w:tabs>
          <w:tab w:val="left" w:pos="2040"/>
        </w:tabs>
        <w:ind w:left="2040" w:hanging="360"/>
      </w:pPr>
      <w:rPr>
        <w:rFonts w:hint="default" w:cs="Times New Roman"/>
      </w:rPr>
    </w:lvl>
    <w:lvl w:ilvl="3" w:tentative="0">
      <w:start w:val="4"/>
      <w:numFmt w:val="decimalEnclosedParen"/>
      <w:lvlText w:val="%4"/>
      <w:lvlJc w:val="left"/>
      <w:pPr>
        <w:tabs>
          <w:tab w:val="left" w:pos="2460"/>
        </w:tabs>
        <w:ind w:left="2460" w:hanging="360"/>
      </w:pPr>
      <w:rPr>
        <w:rFonts w:hint="default"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20">
    <w:nsid w:val="4D52174F"/>
    <w:multiLevelType w:val="multilevel"/>
    <w:tmpl w:val="4D52174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507E5E83"/>
    <w:multiLevelType w:val="multilevel"/>
    <w:tmpl w:val="507E5E83"/>
    <w:lvl w:ilvl="0" w:tentative="0">
      <w:start w:val="1"/>
      <w:numFmt w:val="decimal"/>
      <w:lvlText w:val="（%1）"/>
      <w:lvlJc w:val="left"/>
      <w:pPr>
        <w:ind w:left="1130" w:hanging="420"/>
      </w:pPr>
      <w:rPr>
        <w:rFonts w:hint="eastAsia"/>
        <w:color w:val="auto"/>
        <w:lang w:val="en-US"/>
      </w:rPr>
    </w:lvl>
    <w:lvl w:ilvl="1" w:tentative="0">
      <w:start w:val="1"/>
      <w:numFmt w:val="decimal"/>
      <w:lvlText w:val="%2、"/>
      <w:lvlJc w:val="left"/>
      <w:pPr>
        <w:tabs>
          <w:tab w:val="left" w:pos="2414"/>
        </w:tabs>
        <w:ind w:left="2414" w:hanging="1170"/>
      </w:pPr>
      <w:rPr>
        <w:rFonts w:hint="eastAsia"/>
      </w:rPr>
    </w:lvl>
    <w:lvl w:ilvl="2" w:tentative="0">
      <w:start w:val="1"/>
      <w:numFmt w:val="lowerRoman"/>
      <w:lvlText w:val="%3."/>
      <w:lvlJc w:val="right"/>
      <w:pPr>
        <w:tabs>
          <w:tab w:val="left" w:pos="2084"/>
        </w:tabs>
        <w:ind w:left="2084" w:hanging="420"/>
      </w:pPr>
    </w:lvl>
    <w:lvl w:ilvl="3" w:tentative="0">
      <w:start w:val="1"/>
      <w:numFmt w:val="decimal"/>
      <w:lvlText w:val="%4."/>
      <w:lvlJc w:val="left"/>
      <w:pPr>
        <w:tabs>
          <w:tab w:val="left" w:pos="2504"/>
        </w:tabs>
        <w:ind w:left="2504" w:hanging="420"/>
      </w:p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abstractNum w:abstractNumId="22">
    <w:nsid w:val="54F403B5"/>
    <w:multiLevelType w:val="singleLevel"/>
    <w:tmpl w:val="54F403B5"/>
    <w:lvl w:ilvl="0" w:tentative="0">
      <w:start w:val="1"/>
      <w:numFmt w:val="chineseCounting"/>
      <w:suff w:val="nothing"/>
      <w:lvlText w:val="%1、"/>
      <w:lvlJc w:val="left"/>
    </w:lvl>
  </w:abstractNum>
  <w:abstractNum w:abstractNumId="23">
    <w:nsid w:val="557FD3DA"/>
    <w:multiLevelType w:val="singleLevel"/>
    <w:tmpl w:val="557FD3DA"/>
    <w:lvl w:ilvl="0" w:tentative="0">
      <w:start w:val="3"/>
      <w:numFmt w:val="chineseCounting"/>
      <w:suff w:val="nothing"/>
      <w:lvlText w:val="%1、"/>
      <w:lvlJc w:val="left"/>
    </w:lvl>
  </w:abstractNum>
  <w:abstractNum w:abstractNumId="24">
    <w:nsid w:val="568A3746"/>
    <w:multiLevelType w:val="multilevel"/>
    <w:tmpl w:val="568A3746"/>
    <w:lvl w:ilvl="0" w:tentative="0">
      <w:start w:val="1"/>
      <w:numFmt w:val="decimal"/>
      <w:lvlText w:val="%1)"/>
      <w:lvlJc w:val="left"/>
      <w:pPr>
        <w:tabs>
          <w:tab w:val="left" w:pos="530"/>
        </w:tabs>
        <w:ind w:left="530" w:hanging="420"/>
      </w:pPr>
      <w:rPr>
        <w:rFonts w:hint="default" w:ascii="Arial" w:hAnsi="Arial" w:cs="Arial"/>
      </w:rPr>
    </w:lvl>
    <w:lvl w:ilvl="1" w:tentative="0">
      <w:start w:val="1"/>
      <w:numFmt w:val="decimal"/>
      <w:lvlText w:val="%2."/>
      <w:lvlJc w:val="left"/>
      <w:pPr>
        <w:tabs>
          <w:tab w:val="left" w:pos="950"/>
        </w:tabs>
        <w:ind w:left="950" w:hanging="420"/>
      </w:pPr>
      <w:rPr>
        <w:rFonts w:hint="eastAsia"/>
      </w:rPr>
    </w:lvl>
    <w:lvl w:ilvl="2" w:tentative="0">
      <w:start w:val="1"/>
      <w:numFmt w:val="lowerRoman"/>
      <w:lvlText w:val="%3."/>
      <w:lvlJc w:val="right"/>
      <w:pPr>
        <w:tabs>
          <w:tab w:val="left" w:pos="1370"/>
        </w:tabs>
        <w:ind w:left="1370" w:hanging="420"/>
      </w:pPr>
    </w:lvl>
    <w:lvl w:ilvl="3" w:tentative="0">
      <w:start w:val="1"/>
      <w:numFmt w:val="decimal"/>
      <w:lvlText w:val="%4."/>
      <w:lvlJc w:val="left"/>
      <w:pPr>
        <w:tabs>
          <w:tab w:val="left" w:pos="1790"/>
        </w:tabs>
        <w:ind w:left="1790" w:hanging="420"/>
      </w:pPr>
    </w:lvl>
    <w:lvl w:ilvl="4" w:tentative="0">
      <w:start w:val="1"/>
      <w:numFmt w:val="lowerLetter"/>
      <w:lvlText w:val="%5)"/>
      <w:lvlJc w:val="left"/>
      <w:pPr>
        <w:tabs>
          <w:tab w:val="left" w:pos="2210"/>
        </w:tabs>
        <w:ind w:left="2210" w:hanging="420"/>
      </w:pPr>
    </w:lvl>
    <w:lvl w:ilvl="5" w:tentative="0">
      <w:start w:val="1"/>
      <w:numFmt w:val="lowerRoman"/>
      <w:lvlText w:val="%6."/>
      <w:lvlJc w:val="right"/>
      <w:pPr>
        <w:tabs>
          <w:tab w:val="left" w:pos="2630"/>
        </w:tabs>
        <w:ind w:left="2630" w:hanging="420"/>
      </w:pPr>
    </w:lvl>
    <w:lvl w:ilvl="6" w:tentative="0">
      <w:start w:val="1"/>
      <w:numFmt w:val="decimal"/>
      <w:lvlText w:val="%7."/>
      <w:lvlJc w:val="left"/>
      <w:pPr>
        <w:tabs>
          <w:tab w:val="left" w:pos="3050"/>
        </w:tabs>
        <w:ind w:left="3050" w:hanging="420"/>
      </w:pPr>
    </w:lvl>
    <w:lvl w:ilvl="7" w:tentative="0">
      <w:start w:val="1"/>
      <w:numFmt w:val="lowerLetter"/>
      <w:lvlText w:val="%8)"/>
      <w:lvlJc w:val="left"/>
      <w:pPr>
        <w:tabs>
          <w:tab w:val="left" w:pos="3470"/>
        </w:tabs>
        <w:ind w:left="3470" w:hanging="420"/>
      </w:pPr>
    </w:lvl>
    <w:lvl w:ilvl="8" w:tentative="0">
      <w:start w:val="1"/>
      <w:numFmt w:val="lowerRoman"/>
      <w:lvlText w:val="%9."/>
      <w:lvlJc w:val="right"/>
      <w:pPr>
        <w:tabs>
          <w:tab w:val="left" w:pos="3890"/>
        </w:tabs>
        <w:ind w:left="3890" w:hanging="420"/>
      </w:pPr>
    </w:lvl>
  </w:abstractNum>
  <w:abstractNum w:abstractNumId="25">
    <w:nsid w:val="59097FF1"/>
    <w:multiLevelType w:val="multilevel"/>
    <w:tmpl w:val="59097FF1"/>
    <w:lvl w:ilvl="0" w:tentative="0">
      <w:start w:val="1"/>
      <w:numFmt w:val="decimal"/>
      <w:suff w:val="nothing"/>
      <w:lvlText w:val="（%1）"/>
      <w:lvlJc w:val="left"/>
      <w:pPr>
        <w:tabs>
          <w:tab w:val="left" w:pos="-298"/>
        </w:tabs>
        <w:ind w:left="210" w:hanging="420"/>
      </w:pPr>
      <w:rPr>
        <w:rFonts w:hint="default" w:ascii="宋体" w:hAnsi="宋体" w:eastAsia="宋体" w:cs="Times New Roman"/>
        <w:color w:val="auto"/>
        <w:sz w:val="21"/>
        <w:szCs w:val="21"/>
        <w:lang w:val="en-US"/>
      </w:rPr>
    </w:lvl>
    <w:lvl w:ilvl="1" w:tentative="0">
      <w:start w:val="1"/>
      <w:numFmt w:val="lowerLetter"/>
      <w:lvlText w:val="%2)"/>
      <w:lvlJc w:val="left"/>
      <w:pPr>
        <w:ind w:left="1550" w:hanging="420"/>
      </w:pPr>
      <w:rPr>
        <w:rFonts w:cs="Times New Roman"/>
      </w:rPr>
    </w:lvl>
    <w:lvl w:ilvl="2" w:tentative="0">
      <w:start w:val="1"/>
      <w:numFmt w:val="lowerRoman"/>
      <w:lvlText w:val="%3."/>
      <w:lvlJc w:val="right"/>
      <w:pPr>
        <w:ind w:left="1970" w:hanging="420"/>
      </w:pPr>
      <w:rPr>
        <w:rFonts w:cs="Times New Roman"/>
      </w:rPr>
    </w:lvl>
    <w:lvl w:ilvl="3" w:tentative="0">
      <w:start w:val="1"/>
      <w:numFmt w:val="decimal"/>
      <w:lvlText w:val="%4."/>
      <w:lvlJc w:val="left"/>
      <w:pPr>
        <w:ind w:left="2390" w:hanging="420"/>
      </w:pPr>
      <w:rPr>
        <w:rFonts w:cs="Times New Roman"/>
      </w:rPr>
    </w:lvl>
    <w:lvl w:ilvl="4" w:tentative="0">
      <w:start w:val="1"/>
      <w:numFmt w:val="lowerLetter"/>
      <w:lvlText w:val="%5)"/>
      <w:lvlJc w:val="left"/>
      <w:pPr>
        <w:ind w:left="2810" w:hanging="420"/>
      </w:pPr>
      <w:rPr>
        <w:rFonts w:cs="Times New Roman"/>
      </w:rPr>
    </w:lvl>
    <w:lvl w:ilvl="5" w:tentative="0">
      <w:start w:val="1"/>
      <w:numFmt w:val="lowerRoman"/>
      <w:lvlText w:val="%6."/>
      <w:lvlJc w:val="right"/>
      <w:pPr>
        <w:ind w:left="3230" w:hanging="420"/>
      </w:pPr>
      <w:rPr>
        <w:rFonts w:cs="Times New Roman"/>
      </w:rPr>
    </w:lvl>
    <w:lvl w:ilvl="6" w:tentative="0">
      <w:start w:val="1"/>
      <w:numFmt w:val="decimal"/>
      <w:lvlText w:val="%7."/>
      <w:lvlJc w:val="left"/>
      <w:pPr>
        <w:ind w:left="3650" w:hanging="420"/>
      </w:pPr>
      <w:rPr>
        <w:rFonts w:cs="Times New Roman"/>
      </w:rPr>
    </w:lvl>
    <w:lvl w:ilvl="7" w:tentative="0">
      <w:start w:val="1"/>
      <w:numFmt w:val="lowerLetter"/>
      <w:lvlText w:val="%8)"/>
      <w:lvlJc w:val="left"/>
      <w:pPr>
        <w:ind w:left="4070" w:hanging="420"/>
      </w:pPr>
      <w:rPr>
        <w:rFonts w:cs="Times New Roman"/>
      </w:rPr>
    </w:lvl>
    <w:lvl w:ilvl="8" w:tentative="0">
      <w:start w:val="1"/>
      <w:numFmt w:val="lowerRoman"/>
      <w:lvlText w:val="%9."/>
      <w:lvlJc w:val="right"/>
      <w:pPr>
        <w:ind w:left="4490" w:hanging="420"/>
      </w:pPr>
      <w:rPr>
        <w:rFonts w:cs="Times New Roman"/>
      </w:rPr>
    </w:lvl>
  </w:abstractNum>
  <w:abstractNum w:abstractNumId="26">
    <w:nsid w:val="612C0E64"/>
    <w:multiLevelType w:val="multilevel"/>
    <w:tmpl w:val="612C0E64"/>
    <w:lvl w:ilvl="0" w:tentative="0">
      <w:start w:val="1"/>
      <w:numFmt w:val="decimal"/>
      <w:lvlText w:val="%1."/>
      <w:lvlJc w:val="left"/>
      <w:pPr>
        <w:tabs>
          <w:tab w:val="left" w:pos="1244"/>
        </w:tabs>
        <w:ind w:left="1244" w:hanging="420"/>
      </w:pPr>
      <w:rPr>
        <w:rFonts w:hint="eastAsia"/>
      </w:rPr>
    </w:lvl>
    <w:lvl w:ilvl="1" w:tentative="0">
      <w:start w:val="1"/>
      <w:numFmt w:val="lowerLetter"/>
      <w:lvlText w:val="%2)"/>
      <w:lvlJc w:val="left"/>
      <w:pPr>
        <w:tabs>
          <w:tab w:val="left" w:pos="824"/>
        </w:tabs>
        <w:ind w:left="824" w:hanging="420"/>
      </w:pPr>
    </w:lvl>
    <w:lvl w:ilvl="2" w:tentative="0">
      <w:start w:val="1"/>
      <w:numFmt w:val="lowerRoman"/>
      <w:lvlText w:val="%3."/>
      <w:lvlJc w:val="right"/>
      <w:pPr>
        <w:tabs>
          <w:tab w:val="left" w:pos="1244"/>
        </w:tabs>
        <w:ind w:left="1244" w:hanging="420"/>
      </w:pPr>
    </w:lvl>
    <w:lvl w:ilvl="3" w:tentative="0">
      <w:start w:val="1"/>
      <w:numFmt w:val="decimal"/>
      <w:lvlText w:val="%4."/>
      <w:lvlJc w:val="left"/>
      <w:pPr>
        <w:tabs>
          <w:tab w:val="left" w:pos="1664"/>
        </w:tabs>
        <w:ind w:left="1664" w:hanging="420"/>
      </w:pPr>
    </w:lvl>
    <w:lvl w:ilvl="4" w:tentative="0">
      <w:start w:val="1"/>
      <w:numFmt w:val="lowerLetter"/>
      <w:lvlText w:val="%5)"/>
      <w:lvlJc w:val="left"/>
      <w:pPr>
        <w:tabs>
          <w:tab w:val="left" w:pos="2084"/>
        </w:tabs>
        <w:ind w:left="2084" w:hanging="420"/>
      </w:pPr>
    </w:lvl>
    <w:lvl w:ilvl="5" w:tentative="0">
      <w:start w:val="1"/>
      <w:numFmt w:val="lowerRoman"/>
      <w:lvlText w:val="%6."/>
      <w:lvlJc w:val="right"/>
      <w:pPr>
        <w:tabs>
          <w:tab w:val="left" w:pos="2504"/>
        </w:tabs>
        <w:ind w:left="2504" w:hanging="420"/>
      </w:pPr>
    </w:lvl>
    <w:lvl w:ilvl="6" w:tentative="0">
      <w:start w:val="1"/>
      <w:numFmt w:val="decimal"/>
      <w:lvlText w:val="%7."/>
      <w:lvlJc w:val="left"/>
      <w:pPr>
        <w:tabs>
          <w:tab w:val="left" w:pos="2924"/>
        </w:tabs>
        <w:ind w:left="2924" w:hanging="420"/>
      </w:pPr>
    </w:lvl>
    <w:lvl w:ilvl="7" w:tentative="0">
      <w:start w:val="1"/>
      <w:numFmt w:val="lowerLetter"/>
      <w:lvlText w:val="%8)"/>
      <w:lvlJc w:val="left"/>
      <w:pPr>
        <w:tabs>
          <w:tab w:val="left" w:pos="3344"/>
        </w:tabs>
        <w:ind w:left="3344" w:hanging="420"/>
      </w:pPr>
    </w:lvl>
    <w:lvl w:ilvl="8" w:tentative="0">
      <w:start w:val="1"/>
      <w:numFmt w:val="lowerRoman"/>
      <w:lvlText w:val="%9."/>
      <w:lvlJc w:val="right"/>
      <w:pPr>
        <w:tabs>
          <w:tab w:val="left" w:pos="3764"/>
        </w:tabs>
        <w:ind w:left="3764" w:hanging="420"/>
      </w:pPr>
    </w:lvl>
  </w:abstractNum>
  <w:abstractNum w:abstractNumId="27">
    <w:nsid w:val="625C29C5"/>
    <w:multiLevelType w:val="multilevel"/>
    <w:tmpl w:val="625C29C5"/>
    <w:lvl w:ilvl="0" w:tentative="0">
      <w:start w:val="1"/>
      <w:numFmt w:val="decimal"/>
      <w:pStyle w:val="29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pStyle w:val="29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BE89767"/>
    <w:multiLevelType w:val="singleLevel"/>
    <w:tmpl w:val="6BE89767"/>
    <w:lvl w:ilvl="0" w:tentative="0">
      <w:start w:val="1"/>
      <w:numFmt w:val="decimal"/>
      <w:suff w:val="space"/>
      <w:lvlText w:val="%1）"/>
      <w:lvlJc w:val="left"/>
    </w:lvl>
  </w:abstractNum>
  <w:abstractNum w:abstractNumId="29">
    <w:nsid w:val="70357958"/>
    <w:multiLevelType w:val="multilevel"/>
    <w:tmpl w:val="70357958"/>
    <w:lvl w:ilvl="0" w:tentative="0">
      <w:start w:val="6"/>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7601FBC"/>
    <w:multiLevelType w:val="multilevel"/>
    <w:tmpl w:val="77601FB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7"/>
  </w:num>
  <w:num w:numId="2">
    <w:abstractNumId w:val="12"/>
  </w:num>
  <w:num w:numId="3">
    <w:abstractNumId w:val="8"/>
  </w:num>
  <w:num w:numId="4">
    <w:abstractNumId w:val="27"/>
  </w:num>
  <w:num w:numId="5">
    <w:abstractNumId w:val="6"/>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3"/>
  </w:num>
  <w:num w:numId="11">
    <w:abstractNumId w:val="0"/>
  </w:num>
  <w:num w:numId="12">
    <w:abstractNumId w:val="13"/>
  </w:num>
  <w:num w:numId="13">
    <w:abstractNumId w:val="5"/>
  </w:num>
  <w:num w:numId="14">
    <w:abstractNumId w:val="29"/>
  </w:num>
  <w:num w:numId="15">
    <w:abstractNumId w:val="9"/>
  </w:num>
  <w:num w:numId="16">
    <w:abstractNumId w:val="11"/>
  </w:num>
  <w:num w:numId="17">
    <w:abstractNumId w:val="24"/>
  </w:num>
  <w:num w:numId="18">
    <w:abstractNumId w:val="4"/>
  </w:num>
  <w:num w:numId="19">
    <w:abstractNumId w:val="14"/>
  </w:num>
  <w:num w:numId="20">
    <w:abstractNumId w:val="30"/>
  </w:num>
  <w:num w:numId="21">
    <w:abstractNumId w:val="2"/>
  </w:num>
  <w:num w:numId="22">
    <w:abstractNumId w:val="1"/>
  </w:num>
  <w:num w:numId="23">
    <w:abstractNumId w:val="20"/>
  </w:num>
  <w:num w:numId="24">
    <w:abstractNumId w:val="15"/>
  </w:num>
  <w:num w:numId="25">
    <w:abstractNumId w:val="10"/>
  </w:num>
  <w:num w:numId="26">
    <w:abstractNumId w:val="16"/>
  </w:num>
  <w:num w:numId="27">
    <w:abstractNumId w:val="26"/>
  </w:num>
  <w:num w:numId="28">
    <w:abstractNumId w:val="19"/>
  </w:num>
  <w:num w:numId="29">
    <w:abstractNumId w:val="21"/>
  </w:num>
  <w:num w:numId="30">
    <w:abstractNumId w:val="17"/>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Y2NmNzJkMWRkZDQ4MDY3NTQ3MDdkNDE4Nzc3ZDcifQ=="/>
  </w:docVars>
  <w:rsids>
    <w:rsidRoot w:val="00172A27"/>
    <w:rsid w:val="000007D9"/>
    <w:rsid w:val="00000CAA"/>
    <w:rsid w:val="00002236"/>
    <w:rsid w:val="00003C5B"/>
    <w:rsid w:val="00003F63"/>
    <w:rsid w:val="00004698"/>
    <w:rsid w:val="00005A2F"/>
    <w:rsid w:val="000061DC"/>
    <w:rsid w:val="00006DC6"/>
    <w:rsid w:val="0001073B"/>
    <w:rsid w:val="00011D31"/>
    <w:rsid w:val="00011FCE"/>
    <w:rsid w:val="000136D9"/>
    <w:rsid w:val="000138C4"/>
    <w:rsid w:val="00014CD3"/>
    <w:rsid w:val="0001579C"/>
    <w:rsid w:val="00015828"/>
    <w:rsid w:val="0001586F"/>
    <w:rsid w:val="00016C63"/>
    <w:rsid w:val="000209DB"/>
    <w:rsid w:val="00020A00"/>
    <w:rsid w:val="00020F0F"/>
    <w:rsid w:val="00021F57"/>
    <w:rsid w:val="00022394"/>
    <w:rsid w:val="00022423"/>
    <w:rsid w:val="00022567"/>
    <w:rsid w:val="00025346"/>
    <w:rsid w:val="00025401"/>
    <w:rsid w:val="00025E39"/>
    <w:rsid w:val="0002612E"/>
    <w:rsid w:val="000306CE"/>
    <w:rsid w:val="0003087B"/>
    <w:rsid w:val="00030CCE"/>
    <w:rsid w:val="00031E06"/>
    <w:rsid w:val="00032439"/>
    <w:rsid w:val="0003433B"/>
    <w:rsid w:val="0003448F"/>
    <w:rsid w:val="00034985"/>
    <w:rsid w:val="0003539E"/>
    <w:rsid w:val="0003695A"/>
    <w:rsid w:val="00036A62"/>
    <w:rsid w:val="00037002"/>
    <w:rsid w:val="00037A9A"/>
    <w:rsid w:val="00040333"/>
    <w:rsid w:val="00041598"/>
    <w:rsid w:val="000416E9"/>
    <w:rsid w:val="00042CB3"/>
    <w:rsid w:val="00043DBF"/>
    <w:rsid w:val="00044599"/>
    <w:rsid w:val="00044D22"/>
    <w:rsid w:val="00044DA0"/>
    <w:rsid w:val="00044E85"/>
    <w:rsid w:val="0004681E"/>
    <w:rsid w:val="00047334"/>
    <w:rsid w:val="000505CF"/>
    <w:rsid w:val="00051C1C"/>
    <w:rsid w:val="00051FBC"/>
    <w:rsid w:val="00054208"/>
    <w:rsid w:val="00055A67"/>
    <w:rsid w:val="00056317"/>
    <w:rsid w:val="00056834"/>
    <w:rsid w:val="00056887"/>
    <w:rsid w:val="00056DEF"/>
    <w:rsid w:val="00056F9D"/>
    <w:rsid w:val="000571AF"/>
    <w:rsid w:val="00061D0F"/>
    <w:rsid w:val="00062012"/>
    <w:rsid w:val="000622A3"/>
    <w:rsid w:val="00062F73"/>
    <w:rsid w:val="00063BAB"/>
    <w:rsid w:val="00063FA3"/>
    <w:rsid w:val="00063FFD"/>
    <w:rsid w:val="00064155"/>
    <w:rsid w:val="00065059"/>
    <w:rsid w:val="000653A0"/>
    <w:rsid w:val="000653FF"/>
    <w:rsid w:val="00065A34"/>
    <w:rsid w:val="00065C81"/>
    <w:rsid w:val="00065D46"/>
    <w:rsid w:val="0007349A"/>
    <w:rsid w:val="00074544"/>
    <w:rsid w:val="00075BA3"/>
    <w:rsid w:val="00080BEC"/>
    <w:rsid w:val="00081482"/>
    <w:rsid w:val="00081A26"/>
    <w:rsid w:val="00081FC0"/>
    <w:rsid w:val="00081FCE"/>
    <w:rsid w:val="000823A5"/>
    <w:rsid w:val="00082C68"/>
    <w:rsid w:val="0008306D"/>
    <w:rsid w:val="00085B83"/>
    <w:rsid w:val="000861BA"/>
    <w:rsid w:val="00086339"/>
    <w:rsid w:val="000863C6"/>
    <w:rsid w:val="000864B3"/>
    <w:rsid w:val="0008694E"/>
    <w:rsid w:val="00086DF2"/>
    <w:rsid w:val="00087024"/>
    <w:rsid w:val="000879BF"/>
    <w:rsid w:val="00090441"/>
    <w:rsid w:val="00090C57"/>
    <w:rsid w:val="000917CF"/>
    <w:rsid w:val="00094551"/>
    <w:rsid w:val="000953D2"/>
    <w:rsid w:val="00095583"/>
    <w:rsid w:val="00096198"/>
    <w:rsid w:val="00096503"/>
    <w:rsid w:val="00096C20"/>
    <w:rsid w:val="00096C2E"/>
    <w:rsid w:val="0009779A"/>
    <w:rsid w:val="000A0187"/>
    <w:rsid w:val="000A06C0"/>
    <w:rsid w:val="000A09D6"/>
    <w:rsid w:val="000A0A7D"/>
    <w:rsid w:val="000A0E6E"/>
    <w:rsid w:val="000A1AFB"/>
    <w:rsid w:val="000A1D8D"/>
    <w:rsid w:val="000A2011"/>
    <w:rsid w:val="000A2E7B"/>
    <w:rsid w:val="000A414B"/>
    <w:rsid w:val="000A4BD0"/>
    <w:rsid w:val="000A50C6"/>
    <w:rsid w:val="000A52E4"/>
    <w:rsid w:val="000A575B"/>
    <w:rsid w:val="000A5AF0"/>
    <w:rsid w:val="000A6E3B"/>
    <w:rsid w:val="000A6E73"/>
    <w:rsid w:val="000A7A29"/>
    <w:rsid w:val="000B06CF"/>
    <w:rsid w:val="000B0E76"/>
    <w:rsid w:val="000B0F50"/>
    <w:rsid w:val="000B0F5B"/>
    <w:rsid w:val="000B2EE3"/>
    <w:rsid w:val="000B34A5"/>
    <w:rsid w:val="000B3771"/>
    <w:rsid w:val="000B3B39"/>
    <w:rsid w:val="000B3D83"/>
    <w:rsid w:val="000B4E61"/>
    <w:rsid w:val="000B4F8C"/>
    <w:rsid w:val="000B5601"/>
    <w:rsid w:val="000B5744"/>
    <w:rsid w:val="000B60BC"/>
    <w:rsid w:val="000B76F3"/>
    <w:rsid w:val="000B7748"/>
    <w:rsid w:val="000B7EC7"/>
    <w:rsid w:val="000C0894"/>
    <w:rsid w:val="000C0CF6"/>
    <w:rsid w:val="000C11F2"/>
    <w:rsid w:val="000C1488"/>
    <w:rsid w:val="000C351D"/>
    <w:rsid w:val="000C3CA3"/>
    <w:rsid w:val="000C3E11"/>
    <w:rsid w:val="000C4F70"/>
    <w:rsid w:val="000C54A1"/>
    <w:rsid w:val="000C5694"/>
    <w:rsid w:val="000C5BC7"/>
    <w:rsid w:val="000C5DA2"/>
    <w:rsid w:val="000C5EA1"/>
    <w:rsid w:val="000C6176"/>
    <w:rsid w:val="000C6204"/>
    <w:rsid w:val="000C7E28"/>
    <w:rsid w:val="000D0559"/>
    <w:rsid w:val="000D128A"/>
    <w:rsid w:val="000D1A7B"/>
    <w:rsid w:val="000D209A"/>
    <w:rsid w:val="000D2316"/>
    <w:rsid w:val="000D2FC2"/>
    <w:rsid w:val="000D362C"/>
    <w:rsid w:val="000D3A20"/>
    <w:rsid w:val="000D408D"/>
    <w:rsid w:val="000D425D"/>
    <w:rsid w:val="000D4FE0"/>
    <w:rsid w:val="000D5254"/>
    <w:rsid w:val="000D59C0"/>
    <w:rsid w:val="000D60CB"/>
    <w:rsid w:val="000D6956"/>
    <w:rsid w:val="000D76CF"/>
    <w:rsid w:val="000E01B6"/>
    <w:rsid w:val="000E05D6"/>
    <w:rsid w:val="000E1559"/>
    <w:rsid w:val="000E22C4"/>
    <w:rsid w:val="000E2C7E"/>
    <w:rsid w:val="000E3BE4"/>
    <w:rsid w:val="000E7C46"/>
    <w:rsid w:val="000E7F6C"/>
    <w:rsid w:val="000F04C0"/>
    <w:rsid w:val="000F05A7"/>
    <w:rsid w:val="000F164F"/>
    <w:rsid w:val="000F19F9"/>
    <w:rsid w:val="000F28AD"/>
    <w:rsid w:val="000F2E59"/>
    <w:rsid w:val="000F3FFF"/>
    <w:rsid w:val="000F4E81"/>
    <w:rsid w:val="000F530A"/>
    <w:rsid w:val="000F54BB"/>
    <w:rsid w:val="000F5742"/>
    <w:rsid w:val="000F6133"/>
    <w:rsid w:val="000F6319"/>
    <w:rsid w:val="000F67AB"/>
    <w:rsid w:val="0010035D"/>
    <w:rsid w:val="001016FF"/>
    <w:rsid w:val="00101979"/>
    <w:rsid w:val="0010269B"/>
    <w:rsid w:val="00102B92"/>
    <w:rsid w:val="00103A0E"/>
    <w:rsid w:val="00105840"/>
    <w:rsid w:val="00106937"/>
    <w:rsid w:val="00106BA0"/>
    <w:rsid w:val="00107E8B"/>
    <w:rsid w:val="001105D1"/>
    <w:rsid w:val="0011225A"/>
    <w:rsid w:val="00112302"/>
    <w:rsid w:val="00113F76"/>
    <w:rsid w:val="001153FB"/>
    <w:rsid w:val="001154AC"/>
    <w:rsid w:val="0011608D"/>
    <w:rsid w:val="00116690"/>
    <w:rsid w:val="0011713B"/>
    <w:rsid w:val="0011718D"/>
    <w:rsid w:val="00117613"/>
    <w:rsid w:val="00117D67"/>
    <w:rsid w:val="00117F9D"/>
    <w:rsid w:val="00120685"/>
    <w:rsid w:val="00120C43"/>
    <w:rsid w:val="00120ECF"/>
    <w:rsid w:val="00121154"/>
    <w:rsid w:val="00121AA3"/>
    <w:rsid w:val="00121FBF"/>
    <w:rsid w:val="001229D5"/>
    <w:rsid w:val="001231AC"/>
    <w:rsid w:val="00124496"/>
    <w:rsid w:val="00124849"/>
    <w:rsid w:val="00124881"/>
    <w:rsid w:val="0012533D"/>
    <w:rsid w:val="00125722"/>
    <w:rsid w:val="001258A0"/>
    <w:rsid w:val="0013145D"/>
    <w:rsid w:val="00132013"/>
    <w:rsid w:val="00132EC7"/>
    <w:rsid w:val="0013373E"/>
    <w:rsid w:val="00133778"/>
    <w:rsid w:val="00133DDC"/>
    <w:rsid w:val="001340AF"/>
    <w:rsid w:val="00134193"/>
    <w:rsid w:val="00134783"/>
    <w:rsid w:val="00135050"/>
    <w:rsid w:val="0013574B"/>
    <w:rsid w:val="00135B94"/>
    <w:rsid w:val="001364C6"/>
    <w:rsid w:val="0014004C"/>
    <w:rsid w:val="00140ACB"/>
    <w:rsid w:val="00140C43"/>
    <w:rsid w:val="00140E07"/>
    <w:rsid w:val="00140E88"/>
    <w:rsid w:val="00140FA5"/>
    <w:rsid w:val="00141F1A"/>
    <w:rsid w:val="0014266B"/>
    <w:rsid w:val="00144154"/>
    <w:rsid w:val="00144F56"/>
    <w:rsid w:val="001453E9"/>
    <w:rsid w:val="00145A70"/>
    <w:rsid w:val="00145EC8"/>
    <w:rsid w:val="00145EF6"/>
    <w:rsid w:val="00146729"/>
    <w:rsid w:val="00146746"/>
    <w:rsid w:val="00146B86"/>
    <w:rsid w:val="00146F3E"/>
    <w:rsid w:val="00146FB1"/>
    <w:rsid w:val="001479B2"/>
    <w:rsid w:val="00147C49"/>
    <w:rsid w:val="00147CFB"/>
    <w:rsid w:val="00150258"/>
    <w:rsid w:val="001504DD"/>
    <w:rsid w:val="0015067F"/>
    <w:rsid w:val="00150EEA"/>
    <w:rsid w:val="00151AA5"/>
    <w:rsid w:val="00151BBE"/>
    <w:rsid w:val="00151EE8"/>
    <w:rsid w:val="00152095"/>
    <w:rsid w:val="00152122"/>
    <w:rsid w:val="00153349"/>
    <w:rsid w:val="00153CC7"/>
    <w:rsid w:val="00153CDD"/>
    <w:rsid w:val="00153D39"/>
    <w:rsid w:val="00154A70"/>
    <w:rsid w:val="00157C12"/>
    <w:rsid w:val="00157DE6"/>
    <w:rsid w:val="001606D3"/>
    <w:rsid w:val="001620BE"/>
    <w:rsid w:val="0016284F"/>
    <w:rsid w:val="00162C14"/>
    <w:rsid w:val="001632C3"/>
    <w:rsid w:val="00163C56"/>
    <w:rsid w:val="0016420B"/>
    <w:rsid w:val="00164D71"/>
    <w:rsid w:val="0016509B"/>
    <w:rsid w:val="0016582D"/>
    <w:rsid w:val="00165998"/>
    <w:rsid w:val="00165A00"/>
    <w:rsid w:val="0016697D"/>
    <w:rsid w:val="001671D9"/>
    <w:rsid w:val="00167614"/>
    <w:rsid w:val="00167D4A"/>
    <w:rsid w:val="00170D78"/>
    <w:rsid w:val="001715D7"/>
    <w:rsid w:val="00171A55"/>
    <w:rsid w:val="00171BEA"/>
    <w:rsid w:val="00172139"/>
    <w:rsid w:val="001726EC"/>
    <w:rsid w:val="00172A27"/>
    <w:rsid w:val="00172FC3"/>
    <w:rsid w:val="00173DC1"/>
    <w:rsid w:val="0017418D"/>
    <w:rsid w:val="00174C7B"/>
    <w:rsid w:val="00175B7B"/>
    <w:rsid w:val="00176003"/>
    <w:rsid w:val="001765CA"/>
    <w:rsid w:val="00176CE8"/>
    <w:rsid w:val="00176DB9"/>
    <w:rsid w:val="00176EAF"/>
    <w:rsid w:val="00177452"/>
    <w:rsid w:val="00180195"/>
    <w:rsid w:val="00181BEF"/>
    <w:rsid w:val="00181EBB"/>
    <w:rsid w:val="00181FE4"/>
    <w:rsid w:val="00182F57"/>
    <w:rsid w:val="00183B07"/>
    <w:rsid w:val="001847D3"/>
    <w:rsid w:val="00184BAF"/>
    <w:rsid w:val="00184DF3"/>
    <w:rsid w:val="00185751"/>
    <w:rsid w:val="00185B6C"/>
    <w:rsid w:val="001909D3"/>
    <w:rsid w:val="00190C7B"/>
    <w:rsid w:val="00190E3C"/>
    <w:rsid w:val="00191B5C"/>
    <w:rsid w:val="00192C43"/>
    <w:rsid w:val="0019312F"/>
    <w:rsid w:val="001936C1"/>
    <w:rsid w:val="001939CA"/>
    <w:rsid w:val="00194AAF"/>
    <w:rsid w:val="00194BD5"/>
    <w:rsid w:val="00195F8C"/>
    <w:rsid w:val="00196A7D"/>
    <w:rsid w:val="00196E69"/>
    <w:rsid w:val="00197331"/>
    <w:rsid w:val="001A0B0B"/>
    <w:rsid w:val="001A0F42"/>
    <w:rsid w:val="001A10DD"/>
    <w:rsid w:val="001A1744"/>
    <w:rsid w:val="001A1D88"/>
    <w:rsid w:val="001A1F5E"/>
    <w:rsid w:val="001A287E"/>
    <w:rsid w:val="001A30DE"/>
    <w:rsid w:val="001A35EC"/>
    <w:rsid w:val="001A3687"/>
    <w:rsid w:val="001A38B0"/>
    <w:rsid w:val="001A3BFE"/>
    <w:rsid w:val="001A4DE1"/>
    <w:rsid w:val="001A53D5"/>
    <w:rsid w:val="001A56DE"/>
    <w:rsid w:val="001B0BD9"/>
    <w:rsid w:val="001B0D80"/>
    <w:rsid w:val="001B1883"/>
    <w:rsid w:val="001B1FA0"/>
    <w:rsid w:val="001B2952"/>
    <w:rsid w:val="001B2BE6"/>
    <w:rsid w:val="001B2DB2"/>
    <w:rsid w:val="001B4304"/>
    <w:rsid w:val="001B69B6"/>
    <w:rsid w:val="001B6B25"/>
    <w:rsid w:val="001B71A3"/>
    <w:rsid w:val="001C0D24"/>
    <w:rsid w:val="001C1E7B"/>
    <w:rsid w:val="001C1FC1"/>
    <w:rsid w:val="001C2B3A"/>
    <w:rsid w:val="001C45DB"/>
    <w:rsid w:val="001C4A2C"/>
    <w:rsid w:val="001C5199"/>
    <w:rsid w:val="001C5AB7"/>
    <w:rsid w:val="001C62A8"/>
    <w:rsid w:val="001C6CDB"/>
    <w:rsid w:val="001C701C"/>
    <w:rsid w:val="001C719B"/>
    <w:rsid w:val="001C7E44"/>
    <w:rsid w:val="001C7E7F"/>
    <w:rsid w:val="001D05F5"/>
    <w:rsid w:val="001D0966"/>
    <w:rsid w:val="001D0B8D"/>
    <w:rsid w:val="001D23EF"/>
    <w:rsid w:val="001D26E3"/>
    <w:rsid w:val="001D2774"/>
    <w:rsid w:val="001D284A"/>
    <w:rsid w:val="001D3518"/>
    <w:rsid w:val="001D3E87"/>
    <w:rsid w:val="001D5558"/>
    <w:rsid w:val="001D5885"/>
    <w:rsid w:val="001D6839"/>
    <w:rsid w:val="001D6E3F"/>
    <w:rsid w:val="001D6FA8"/>
    <w:rsid w:val="001E0C5D"/>
    <w:rsid w:val="001E1191"/>
    <w:rsid w:val="001E2B2B"/>
    <w:rsid w:val="001E3545"/>
    <w:rsid w:val="001E47D0"/>
    <w:rsid w:val="001E5D74"/>
    <w:rsid w:val="001E5F3F"/>
    <w:rsid w:val="001E62C1"/>
    <w:rsid w:val="001E63CB"/>
    <w:rsid w:val="001E68FF"/>
    <w:rsid w:val="001E6C63"/>
    <w:rsid w:val="001E6F8C"/>
    <w:rsid w:val="001F0944"/>
    <w:rsid w:val="001F1118"/>
    <w:rsid w:val="001F1CAC"/>
    <w:rsid w:val="001F2E1E"/>
    <w:rsid w:val="001F348F"/>
    <w:rsid w:val="001F39DE"/>
    <w:rsid w:val="001F513E"/>
    <w:rsid w:val="001F57E3"/>
    <w:rsid w:val="001F5DF8"/>
    <w:rsid w:val="001F5F88"/>
    <w:rsid w:val="001F6340"/>
    <w:rsid w:val="001F6CE5"/>
    <w:rsid w:val="001F723A"/>
    <w:rsid w:val="002025C0"/>
    <w:rsid w:val="002028A9"/>
    <w:rsid w:val="002034DE"/>
    <w:rsid w:val="00203590"/>
    <w:rsid w:val="0020384D"/>
    <w:rsid w:val="00203CE8"/>
    <w:rsid w:val="00204A91"/>
    <w:rsid w:val="00204BA6"/>
    <w:rsid w:val="00204C5B"/>
    <w:rsid w:val="002054AB"/>
    <w:rsid w:val="002059F1"/>
    <w:rsid w:val="00205AB0"/>
    <w:rsid w:val="0020694B"/>
    <w:rsid w:val="0020720E"/>
    <w:rsid w:val="0020733A"/>
    <w:rsid w:val="00207EC0"/>
    <w:rsid w:val="00210427"/>
    <w:rsid w:val="0021087C"/>
    <w:rsid w:val="00211687"/>
    <w:rsid w:val="00211D9A"/>
    <w:rsid w:val="002134DE"/>
    <w:rsid w:val="00213848"/>
    <w:rsid w:val="00214A2E"/>
    <w:rsid w:val="00216B6E"/>
    <w:rsid w:val="00217C77"/>
    <w:rsid w:val="00217FD2"/>
    <w:rsid w:val="00221398"/>
    <w:rsid w:val="00222EA2"/>
    <w:rsid w:val="00223840"/>
    <w:rsid w:val="002250FE"/>
    <w:rsid w:val="002259FB"/>
    <w:rsid w:val="00225AA9"/>
    <w:rsid w:val="0022603B"/>
    <w:rsid w:val="00226AC3"/>
    <w:rsid w:val="00226C86"/>
    <w:rsid w:val="00230247"/>
    <w:rsid w:val="0023027B"/>
    <w:rsid w:val="002308D9"/>
    <w:rsid w:val="00230B9B"/>
    <w:rsid w:val="00231928"/>
    <w:rsid w:val="00232043"/>
    <w:rsid w:val="00232207"/>
    <w:rsid w:val="002325BD"/>
    <w:rsid w:val="00232E97"/>
    <w:rsid w:val="002331D6"/>
    <w:rsid w:val="00233F7A"/>
    <w:rsid w:val="00234A4E"/>
    <w:rsid w:val="00235B1C"/>
    <w:rsid w:val="0023629F"/>
    <w:rsid w:val="00236481"/>
    <w:rsid w:val="00236A2C"/>
    <w:rsid w:val="002401FF"/>
    <w:rsid w:val="00240B7A"/>
    <w:rsid w:val="002416EC"/>
    <w:rsid w:val="00242F99"/>
    <w:rsid w:val="00243787"/>
    <w:rsid w:val="00243930"/>
    <w:rsid w:val="0024405B"/>
    <w:rsid w:val="00244169"/>
    <w:rsid w:val="002443E0"/>
    <w:rsid w:val="002451FA"/>
    <w:rsid w:val="0024553A"/>
    <w:rsid w:val="00246908"/>
    <w:rsid w:val="002500F9"/>
    <w:rsid w:val="00250131"/>
    <w:rsid w:val="00250507"/>
    <w:rsid w:val="002509E6"/>
    <w:rsid w:val="00250C09"/>
    <w:rsid w:val="00251843"/>
    <w:rsid w:val="00251B36"/>
    <w:rsid w:val="00251BA1"/>
    <w:rsid w:val="00252000"/>
    <w:rsid w:val="00252562"/>
    <w:rsid w:val="00252D4B"/>
    <w:rsid w:val="00253353"/>
    <w:rsid w:val="00254053"/>
    <w:rsid w:val="002544FF"/>
    <w:rsid w:val="00254DD5"/>
    <w:rsid w:val="00254E63"/>
    <w:rsid w:val="002552BE"/>
    <w:rsid w:val="00255920"/>
    <w:rsid w:val="002559DB"/>
    <w:rsid w:val="002560B8"/>
    <w:rsid w:val="002564CB"/>
    <w:rsid w:val="00256FFF"/>
    <w:rsid w:val="002604C5"/>
    <w:rsid w:val="002607F8"/>
    <w:rsid w:val="00260A87"/>
    <w:rsid w:val="00260CB0"/>
    <w:rsid w:val="002614D6"/>
    <w:rsid w:val="00261663"/>
    <w:rsid w:val="0026264B"/>
    <w:rsid w:val="00262AAC"/>
    <w:rsid w:val="0026447F"/>
    <w:rsid w:val="00265245"/>
    <w:rsid w:val="00265719"/>
    <w:rsid w:val="00265A1F"/>
    <w:rsid w:val="00265B9B"/>
    <w:rsid w:val="00266A51"/>
    <w:rsid w:val="002671D0"/>
    <w:rsid w:val="0026755C"/>
    <w:rsid w:val="002676FC"/>
    <w:rsid w:val="002708F3"/>
    <w:rsid w:val="00270A86"/>
    <w:rsid w:val="0027110D"/>
    <w:rsid w:val="002713C2"/>
    <w:rsid w:val="00271547"/>
    <w:rsid w:val="0027185D"/>
    <w:rsid w:val="00272E6A"/>
    <w:rsid w:val="00273E94"/>
    <w:rsid w:val="00273F8B"/>
    <w:rsid w:val="002744F9"/>
    <w:rsid w:val="00276138"/>
    <w:rsid w:val="002774D7"/>
    <w:rsid w:val="00280274"/>
    <w:rsid w:val="002803B9"/>
    <w:rsid w:val="00280D39"/>
    <w:rsid w:val="00280F67"/>
    <w:rsid w:val="00282180"/>
    <w:rsid w:val="00282464"/>
    <w:rsid w:val="00282896"/>
    <w:rsid w:val="002829D8"/>
    <w:rsid w:val="00282F2F"/>
    <w:rsid w:val="00284DA6"/>
    <w:rsid w:val="00284F91"/>
    <w:rsid w:val="00285144"/>
    <w:rsid w:val="00286BBA"/>
    <w:rsid w:val="00286F95"/>
    <w:rsid w:val="00290098"/>
    <w:rsid w:val="00290F61"/>
    <w:rsid w:val="0029129D"/>
    <w:rsid w:val="002913F3"/>
    <w:rsid w:val="00292AB6"/>
    <w:rsid w:val="00292F65"/>
    <w:rsid w:val="00293C14"/>
    <w:rsid w:val="00293D29"/>
    <w:rsid w:val="00294885"/>
    <w:rsid w:val="00295B50"/>
    <w:rsid w:val="00296097"/>
    <w:rsid w:val="00296D05"/>
    <w:rsid w:val="00296E46"/>
    <w:rsid w:val="00297013"/>
    <w:rsid w:val="00297297"/>
    <w:rsid w:val="002973EB"/>
    <w:rsid w:val="002A00BA"/>
    <w:rsid w:val="002A0631"/>
    <w:rsid w:val="002A110C"/>
    <w:rsid w:val="002A1361"/>
    <w:rsid w:val="002A13E8"/>
    <w:rsid w:val="002A1A36"/>
    <w:rsid w:val="002A1A73"/>
    <w:rsid w:val="002A2FBC"/>
    <w:rsid w:val="002A36EA"/>
    <w:rsid w:val="002A3B4F"/>
    <w:rsid w:val="002A3F34"/>
    <w:rsid w:val="002A7B0F"/>
    <w:rsid w:val="002B038D"/>
    <w:rsid w:val="002B0AB5"/>
    <w:rsid w:val="002B0B6A"/>
    <w:rsid w:val="002B0B78"/>
    <w:rsid w:val="002B1B8C"/>
    <w:rsid w:val="002B1CBD"/>
    <w:rsid w:val="002B3089"/>
    <w:rsid w:val="002B3875"/>
    <w:rsid w:val="002B5224"/>
    <w:rsid w:val="002B5258"/>
    <w:rsid w:val="002B5B7F"/>
    <w:rsid w:val="002B64ED"/>
    <w:rsid w:val="002B7BC2"/>
    <w:rsid w:val="002B7CAA"/>
    <w:rsid w:val="002C0695"/>
    <w:rsid w:val="002C1988"/>
    <w:rsid w:val="002C1C51"/>
    <w:rsid w:val="002C20E7"/>
    <w:rsid w:val="002C3256"/>
    <w:rsid w:val="002C3FC7"/>
    <w:rsid w:val="002C737D"/>
    <w:rsid w:val="002C7577"/>
    <w:rsid w:val="002C7E32"/>
    <w:rsid w:val="002D0584"/>
    <w:rsid w:val="002D0A55"/>
    <w:rsid w:val="002D14FD"/>
    <w:rsid w:val="002D18BD"/>
    <w:rsid w:val="002D1A64"/>
    <w:rsid w:val="002D22BF"/>
    <w:rsid w:val="002D296E"/>
    <w:rsid w:val="002D3B81"/>
    <w:rsid w:val="002D4607"/>
    <w:rsid w:val="002D4955"/>
    <w:rsid w:val="002D512D"/>
    <w:rsid w:val="002D62C0"/>
    <w:rsid w:val="002D65CF"/>
    <w:rsid w:val="002D6642"/>
    <w:rsid w:val="002D665B"/>
    <w:rsid w:val="002D67A0"/>
    <w:rsid w:val="002E0D0E"/>
    <w:rsid w:val="002E19B7"/>
    <w:rsid w:val="002E23C0"/>
    <w:rsid w:val="002E2807"/>
    <w:rsid w:val="002E3078"/>
    <w:rsid w:val="002E3C36"/>
    <w:rsid w:val="002E5097"/>
    <w:rsid w:val="002E5923"/>
    <w:rsid w:val="002E593D"/>
    <w:rsid w:val="002E5CB2"/>
    <w:rsid w:val="002E68B4"/>
    <w:rsid w:val="002E7867"/>
    <w:rsid w:val="002F0126"/>
    <w:rsid w:val="002F09FB"/>
    <w:rsid w:val="002F0BC9"/>
    <w:rsid w:val="002F0D9B"/>
    <w:rsid w:val="002F11A4"/>
    <w:rsid w:val="002F1639"/>
    <w:rsid w:val="002F225C"/>
    <w:rsid w:val="002F28D1"/>
    <w:rsid w:val="002F29A8"/>
    <w:rsid w:val="002F2CCB"/>
    <w:rsid w:val="002F2DB6"/>
    <w:rsid w:val="002F3E36"/>
    <w:rsid w:val="002F497A"/>
    <w:rsid w:val="002F50A9"/>
    <w:rsid w:val="002F583B"/>
    <w:rsid w:val="002F6849"/>
    <w:rsid w:val="002F75BC"/>
    <w:rsid w:val="0030166D"/>
    <w:rsid w:val="003018FA"/>
    <w:rsid w:val="0030241E"/>
    <w:rsid w:val="00303D2C"/>
    <w:rsid w:val="00303D41"/>
    <w:rsid w:val="003051B3"/>
    <w:rsid w:val="003058B3"/>
    <w:rsid w:val="003058CB"/>
    <w:rsid w:val="00305E58"/>
    <w:rsid w:val="003069CF"/>
    <w:rsid w:val="0030734C"/>
    <w:rsid w:val="0030789A"/>
    <w:rsid w:val="00307A50"/>
    <w:rsid w:val="003101E3"/>
    <w:rsid w:val="00310467"/>
    <w:rsid w:val="0031062B"/>
    <w:rsid w:val="00310D94"/>
    <w:rsid w:val="003110B4"/>
    <w:rsid w:val="00312B5A"/>
    <w:rsid w:val="00312D47"/>
    <w:rsid w:val="00313592"/>
    <w:rsid w:val="003137FC"/>
    <w:rsid w:val="003150F0"/>
    <w:rsid w:val="00315683"/>
    <w:rsid w:val="00315735"/>
    <w:rsid w:val="00315986"/>
    <w:rsid w:val="00315A3E"/>
    <w:rsid w:val="00315A67"/>
    <w:rsid w:val="00315E54"/>
    <w:rsid w:val="00315E73"/>
    <w:rsid w:val="00315EB6"/>
    <w:rsid w:val="003169B2"/>
    <w:rsid w:val="00316B62"/>
    <w:rsid w:val="00316E3F"/>
    <w:rsid w:val="003170B5"/>
    <w:rsid w:val="00317125"/>
    <w:rsid w:val="0031790F"/>
    <w:rsid w:val="00320233"/>
    <w:rsid w:val="0032131A"/>
    <w:rsid w:val="003213F1"/>
    <w:rsid w:val="00321453"/>
    <w:rsid w:val="00321639"/>
    <w:rsid w:val="00321D71"/>
    <w:rsid w:val="00321E57"/>
    <w:rsid w:val="00321F7C"/>
    <w:rsid w:val="003221EA"/>
    <w:rsid w:val="00322461"/>
    <w:rsid w:val="00323549"/>
    <w:rsid w:val="003237B0"/>
    <w:rsid w:val="00323C44"/>
    <w:rsid w:val="00324FDA"/>
    <w:rsid w:val="003254F7"/>
    <w:rsid w:val="00325DB0"/>
    <w:rsid w:val="00327078"/>
    <w:rsid w:val="0032748E"/>
    <w:rsid w:val="00327D07"/>
    <w:rsid w:val="00331BF5"/>
    <w:rsid w:val="00331EC9"/>
    <w:rsid w:val="00332644"/>
    <w:rsid w:val="00332776"/>
    <w:rsid w:val="00332BFA"/>
    <w:rsid w:val="003334F2"/>
    <w:rsid w:val="003344EA"/>
    <w:rsid w:val="00335741"/>
    <w:rsid w:val="00335787"/>
    <w:rsid w:val="00336F7D"/>
    <w:rsid w:val="0033795D"/>
    <w:rsid w:val="00340454"/>
    <w:rsid w:val="00340471"/>
    <w:rsid w:val="003409CF"/>
    <w:rsid w:val="00340C03"/>
    <w:rsid w:val="003411B5"/>
    <w:rsid w:val="00341BC9"/>
    <w:rsid w:val="00341D83"/>
    <w:rsid w:val="00342A4A"/>
    <w:rsid w:val="00343476"/>
    <w:rsid w:val="00343D1F"/>
    <w:rsid w:val="00343FF9"/>
    <w:rsid w:val="00346461"/>
    <w:rsid w:val="00346F4A"/>
    <w:rsid w:val="00347969"/>
    <w:rsid w:val="0034797B"/>
    <w:rsid w:val="0035108C"/>
    <w:rsid w:val="00351BF4"/>
    <w:rsid w:val="00351EFC"/>
    <w:rsid w:val="00351FD9"/>
    <w:rsid w:val="003531E2"/>
    <w:rsid w:val="00353226"/>
    <w:rsid w:val="00353278"/>
    <w:rsid w:val="00353AF8"/>
    <w:rsid w:val="00353F76"/>
    <w:rsid w:val="00354071"/>
    <w:rsid w:val="0035471E"/>
    <w:rsid w:val="003550F8"/>
    <w:rsid w:val="0035570C"/>
    <w:rsid w:val="00355B96"/>
    <w:rsid w:val="0035627E"/>
    <w:rsid w:val="003568BF"/>
    <w:rsid w:val="00356A94"/>
    <w:rsid w:val="0035707D"/>
    <w:rsid w:val="003570DD"/>
    <w:rsid w:val="003578C4"/>
    <w:rsid w:val="00357F0C"/>
    <w:rsid w:val="00360027"/>
    <w:rsid w:val="00360C6F"/>
    <w:rsid w:val="00360CD0"/>
    <w:rsid w:val="00361347"/>
    <w:rsid w:val="003623DC"/>
    <w:rsid w:val="00362E64"/>
    <w:rsid w:val="00363161"/>
    <w:rsid w:val="00363E0D"/>
    <w:rsid w:val="003656EB"/>
    <w:rsid w:val="00365FB5"/>
    <w:rsid w:val="0036748A"/>
    <w:rsid w:val="00370ECE"/>
    <w:rsid w:val="00370FBE"/>
    <w:rsid w:val="00371404"/>
    <w:rsid w:val="00371C2A"/>
    <w:rsid w:val="00371F07"/>
    <w:rsid w:val="0037220A"/>
    <w:rsid w:val="00372233"/>
    <w:rsid w:val="00373839"/>
    <w:rsid w:val="0037397E"/>
    <w:rsid w:val="003743CE"/>
    <w:rsid w:val="00374552"/>
    <w:rsid w:val="00375182"/>
    <w:rsid w:val="00375EF6"/>
    <w:rsid w:val="00376BEA"/>
    <w:rsid w:val="00376C6A"/>
    <w:rsid w:val="003774DD"/>
    <w:rsid w:val="0037793E"/>
    <w:rsid w:val="00377BA4"/>
    <w:rsid w:val="003811D3"/>
    <w:rsid w:val="00381594"/>
    <w:rsid w:val="00381B9B"/>
    <w:rsid w:val="00381C50"/>
    <w:rsid w:val="00381D1C"/>
    <w:rsid w:val="00381D3D"/>
    <w:rsid w:val="003827ED"/>
    <w:rsid w:val="00382D3E"/>
    <w:rsid w:val="003833A9"/>
    <w:rsid w:val="003833BF"/>
    <w:rsid w:val="003854AA"/>
    <w:rsid w:val="00385ED9"/>
    <w:rsid w:val="0039064B"/>
    <w:rsid w:val="00391224"/>
    <w:rsid w:val="00391AC8"/>
    <w:rsid w:val="00392863"/>
    <w:rsid w:val="00392E49"/>
    <w:rsid w:val="00392F25"/>
    <w:rsid w:val="00393103"/>
    <w:rsid w:val="00393AE2"/>
    <w:rsid w:val="00393AFA"/>
    <w:rsid w:val="00393C70"/>
    <w:rsid w:val="0039471E"/>
    <w:rsid w:val="00394B61"/>
    <w:rsid w:val="003951B4"/>
    <w:rsid w:val="003956B8"/>
    <w:rsid w:val="00395F32"/>
    <w:rsid w:val="00396B06"/>
    <w:rsid w:val="003A0088"/>
    <w:rsid w:val="003A065D"/>
    <w:rsid w:val="003A0A57"/>
    <w:rsid w:val="003A111B"/>
    <w:rsid w:val="003A13DF"/>
    <w:rsid w:val="003A1A9B"/>
    <w:rsid w:val="003A26AB"/>
    <w:rsid w:val="003A3451"/>
    <w:rsid w:val="003A4187"/>
    <w:rsid w:val="003A5145"/>
    <w:rsid w:val="003A77DB"/>
    <w:rsid w:val="003A7C88"/>
    <w:rsid w:val="003B07A8"/>
    <w:rsid w:val="003B0D62"/>
    <w:rsid w:val="003B1C2C"/>
    <w:rsid w:val="003B2079"/>
    <w:rsid w:val="003B24FE"/>
    <w:rsid w:val="003B2E02"/>
    <w:rsid w:val="003B3780"/>
    <w:rsid w:val="003B5375"/>
    <w:rsid w:val="003B5FA9"/>
    <w:rsid w:val="003B62BC"/>
    <w:rsid w:val="003B6647"/>
    <w:rsid w:val="003B7737"/>
    <w:rsid w:val="003C0324"/>
    <w:rsid w:val="003C049E"/>
    <w:rsid w:val="003C0668"/>
    <w:rsid w:val="003C12CF"/>
    <w:rsid w:val="003C163C"/>
    <w:rsid w:val="003C2BC1"/>
    <w:rsid w:val="003C2CB6"/>
    <w:rsid w:val="003C416B"/>
    <w:rsid w:val="003C536E"/>
    <w:rsid w:val="003C585D"/>
    <w:rsid w:val="003C5AFB"/>
    <w:rsid w:val="003C710E"/>
    <w:rsid w:val="003C73FA"/>
    <w:rsid w:val="003C7C6C"/>
    <w:rsid w:val="003D03A5"/>
    <w:rsid w:val="003D083F"/>
    <w:rsid w:val="003D093C"/>
    <w:rsid w:val="003D13FA"/>
    <w:rsid w:val="003D1EAD"/>
    <w:rsid w:val="003D2C36"/>
    <w:rsid w:val="003D2F37"/>
    <w:rsid w:val="003D427C"/>
    <w:rsid w:val="003D4F5E"/>
    <w:rsid w:val="003D5853"/>
    <w:rsid w:val="003D6A4F"/>
    <w:rsid w:val="003D7461"/>
    <w:rsid w:val="003E0050"/>
    <w:rsid w:val="003E05FD"/>
    <w:rsid w:val="003E0D89"/>
    <w:rsid w:val="003E2891"/>
    <w:rsid w:val="003E3696"/>
    <w:rsid w:val="003E451D"/>
    <w:rsid w:val="003E471F"/>
    <w:rsid w:val="003E485F"/>
    <w:rsid w:val="003E4E11"/>
    <w:rsid w:val="003E53D6"/>
    <w:rsid w:val="003E5A3D"/>
    <w:rsid w:val="003E67A1"/>
    <w:rsid w:val="003E783F"/>
    <w:rsid w:val="003E7D0A"/>
    <w:rsid w:val="003F034F"/>
    <w:rsid w:val="003F12E0"/>
    <w:rsid w:val="003F18BE"/>
    <w:rsid w:val="003F1F6F"/>
    <w:rsid w:val="003F2556"/>
    <w:rsid w:val="003F31DE"/>
    <w:rsid w:val="003F3731"/>
    <w:rsid w:val="003F4EE0"/>
    <w:rsid w:val="003F557E"/>
    <w:rsid w:val="003F58F7"/>
    <w:rsid w:val="003F6C26"/>
    <w:rsid w:val="003F71DA"/>
    <w:rsid w:val="003F726B"/>
    <w:rsid w:val="003F74B4"/>
    <w:rsid w:val="003F79B1"/>
    <w:rsid w:val="00400BFF"/>
    <w:rsid w:val="00401E34"/>
    <w:rsid w:val="00401E89"/>
    <w:rsid w:val="00401F28"/>
    <w:rsid w:val="00402741"/>
    <w:rsid w:val="0040278B"/>
    <w:rsid w:val="004027BC"/>
    <w:rsid w:val="00402BA8"/>
    <w:rsid w:val="00402EEE"/>
    <w:rsid w:val="004042E8"/>
    <w:rsid w:val="004047C7"/>
    <w:rsid w:val="00404B83"/>
    <w:rsid w:val="00404E0C"/>
    <w:rsid w:val="00405292"/>
    <w:rsid w:val="00406521"/>
    <w:rsid w:val="0040746F"/>
    <w:rsid w:val="00410F65"/>
    <w:rsid w:val="00411AF8"/>
    <w:rsid w:val="004123A6"/>
    <w:rsid w:val="00412D64"/>
    <w:rsid w:val="00413374"/>
    <w:rsid w:val="0041378E"/>
    <w:rsid w:val="00413AFE"/>
    <w:rsid w:val="0041466D"/>
    <w:rsid w:val="00414705"/>
    <w:rsid w:val="00414B2B"/>
    <w:rsid w:val="004150D5"/>
    <w:rsid w:val="004151CC"/>
    <w:rsid w:val="00416B25"/>
    <w:rsid w:val="0041721C"/>
    <w:rsid w:val="004173A2"/>
    <w:rsid w:val="00417E82"/>
    <w:rsid w:val="00420442"/>
    <w:rsid w:val="004205D7"/>
    <w:rsid w:val="004218A8"/>
    <w:rsid w:val="00421F4D"/>
    <w:rsid w:val="00422ACA"/>
    <w:rsid w:val="00423038"/>
    <w:rsid w:val="004237F2"/>
    <w:rsid w:val="00423F1F"/>
    <w:rsid w:val="0042416C"/>
    <w:rsid w:val="004241CB"/>
    <w:rsid w:val="00424446"/>
    <w:rsid w:val="004244EE"/>
    <w:rsid w:val="00424C30"/>
    <w:rsid w:val="00425CED"/>
    <w:rsid w:val="00426147"/>
    <w:rsid w:val="00427720"/>
    <w:rsid w:val="004303C0"/>
    <w:rsid w:val="004303D3"/>
    <w:rsid w:val="00430E06"/>
    <w:rsid w:val="004311A1"/>
    <w:rsid w:val="004324F6"/>
    <w:rsid w:val="004338E5"/>
    <w:rsid w:val="00434994"/>
    <w:rsid w:val="00434A16"/>
    <w:rsid w:val="00434AE1"/>
    <w:rsid w:val="00435093"/>
    <w:rsid w:val="004350C6"/>
    <w:rsid w:val="004367FF"/>
    <w:rsid w:val="00436A4C"/>
    <w:rsid w:val="00437319"/>
    <w:rsid w:val="00440BBE"/>
    <w:rsid w:val="00441820"/>
    <w:rsid w:val="00441B6D"/>
    <w:rsid w:val="004435A1"/>
    <w:rsid w:val="00443B5B"/>
    <w:rsid w:val="004440F2"/>
    <w:rsid w:val="0044413E"/>
    <w:rsid w:val="0044416B"/>
    <w:rsid w:val="00444646"/>
    <w:rsid w:val="004449A7"/>
    <w:rsid w:val="00444CBE"/>
    <w:rsid w:val="00445397"/>
    <w:rsid w:val="004460CB"/>
    <w:rsid w:val="004467D7"/>
    <w:rsid w:val="00447029"/>
    <w:rsid w:val="004479AA"/>
    <w:rsid w:val="00447A07"/>
    <w:rsid w:val="004500BF"/>
    <w:rsid w:val="00450521"/>
    <w:rsid w:val="0045153A"/>
    <w:rsid w:val="00452190"/>
    <w:rsid w:val="00453145"/>
    <w:rsid w:val="00453325"/>
    <w:rsid w:val="0045355F"/>
    <w:rsid w:val="00453B98"/>
    <w:rsid w:val="00453D45"/>
    <w:rsid w:val="00453E20"/>
    <w:rsid w:val="00454F01"/>
    <w:rsid w:val="00455FB6"/>
    <w:rsid w:val="00456780"/>
    <w:rsid w:val="0045685F"/>
    <w:rsid w:val="00456B0D"/>
    <w:rsid w:val="00456E97"/>
    <w:rsid w:val="00457E70"/>
    <w:rsid w:val="004608DC"/>
    <w:rsid w:val="00460B41"/>
    <w:rsid w:val="00460BB3"/>
    <w:rsid w:val="00461E6F"/>
    <w:rsid w:val="00463528"/>
    <w:rsid w:val="00463D19"/>
    <w:rsid w:val="00464401"/>
    <w:rsid w:val="00466200"/>
    <w:rsid w:val="004674C4"/>
    <w:rsid w:val="00470BA6"/>
    <w:rsid w:val="00470FE4"/>
    <w:rsid w:val="004715DE"/>
    <w:rsid w:val="00471B04"/>
    <w:rsid w:val="00471C1F"/>
    <w:rsid w:val="00472082"/>
    <w:rsid w:val="00472436"/>
    <w:rsid w:val="00472A45"/>
    <w:rsid w:val="00472ACD"/>
    <w:rsid w:val="00473418"/>
    <w:rsid w:val="004736A3"/>
    <w:rsid w:val="004738A0"/>
    <w:rsid w:val="00473ED2"/>
    <w:rsid w:val="00474063"/>
    <w:rsid w:val="004745C7"/>
    <w:rsid w:val="004746F7"/>
    <w:rsid w:val="00474C04"/>
    <w:rsid w:val="00475428"/>
    <w:rsid w:val="00475979"/>
    <w:rsid w:val="004763BC"/>
    <w:rsid w:val="00476435"/>
    <w:rsid w:val="00476C58"/>
    <w:rsid w:val="00476D81"/>
    <w:rsid w:val="00477F82"/>
    <w:rsid w:val="00477FC7"/>
    <w:rsid w:val="00480557"/>
    <w:rsid w:val="00480FA1"/>
    <w:rsid w:val="00481070"/>
    <w:rsid w:val="004813CA"/>
    <w:rsid w:val="00481627"/>
    <w:rsid w:val="00481FB7"/>
    <w:rsid w:val="00482829"/>
    <w:rsid w:val="0048286B"/>
    <w:rsid w:val="00485A52"/>
    <w:rsid w:val="00486154"/>
    <w:rsid w:val="00486642"/>
    <w:rsid w:val="0048792D"/>
    <w:rsid w:val="00487E0D"/>
    <w:rsid w:val="00487F93"/>
    <w:rsid w:val="00490208"/>
    <w:rsid w:val="0049077B"/>
    <w:rsid w:val="00490A78"/>
    <w:rsid w:val="00491587"/>
    <w:rsid w:val="00491D1D"/>
    <w:rsid w:val="00492320"/>
    <w:rsid w:val="004924C0"/>
    <w:rsid w:val="00492AB9"/>
    <w:rsid w:val="00492F64"/>
    <w:rsid w:val="0049341E"/>
    <w:rsid w:val="00493B86"/>
    <w:rsid w:val="00493C7A"/>
    <w:rsid w:val="00493D45"/>
    <w:rsid w:val="00493D5A"/>
    <w:rsid w:val="0049445A"/>
    <w:rsid w:val="00494FE4"/>
    <w:rsid w:val="00495381"/>
    <w:rsid w:val="004969E2"/>
    <w:rsid w:val="00496CAD"/>
    <w:rsid w:val="00496FE0"/>
    <w:rsid w:val="004972D2"/>
    <w:rsid w:val="0049769E"/>
    <w:rsid w:val="00497956"/>
    <w:rsid w:val="004A166B"/>
    <w:rsid w:val="004A2A35"/>
    <w:rsid w:val="004A30B3"/>
    <w:rsid w:val="004A3352"/>
    <w:rsid w:val="004A371E"/>
    <w:rsid w:val="004A3836"/>
    <w:rsid w:val="004A3A15"/>
    <w:rsid w:val="004A3CC0"/>
    <w:rsid w:val="004A46AD"/>
    <w:rsid w:val="004A495F"/>
    <w:rsid w:val="004A4A59"/>
    <w:rsid w:val="004A5403"/>
    <w:rsid w:val="004A5511"/>
    <w:rsid w:val="004A6A08"/>
    <w:rsid w:val="004A74F3"/>
    <w:rsid w:val="004A7B7F"/>
    <w:rsid w:val="004B0721"/>
    <w:rsid w:val="004B29F9"/>
    <w:rsid w:val="004B2D6B"/>
    <w:rsid w:val="004B32A8"/>
    <w:rsid w:val="004B3A7E"/>
    <w:rsid w:val="004B4891"/>
    <w:rsid w:val="004B4FE5"/>
    <w:rsid w:val="004B5B45"/>
    <w:rsid w:val="004B5EAA"/>
    <w:rsid w:val="004B5ECF"/>
    <w:rsid w:val="004B6783"/>
    <w:rsid w:val="004B6B48"/>
    <w:rsid w:val="004B6D09"/>
    <w:rsid w:val="004B703C"/>
    <w:rsid w:val="004B76D1"/>
    <w:rsid w:val="004C0DCE"/>
    <w:rsid w:val="004C1846"/>
    <w:rsid w:val="004C237A"/>
    <w:rsid w:val="004C28D2"/>
    <w:rsid w:val="004C2A61"/>
    <w:rsid w:val="004C2FB7"/>
    <w:rsid w:val="004C3198"/>
    <w:rsid w:val="004C332D"/>
    <w:rsid w:val="004C33D1"/>
    <w:rsid w:val="004C3F36"/>
    <w:rsid w:val="004C43AC"/>
    <w:rsid w:val="004C45FE"/>
    <w:rsid w:val="004C47BA"/>
    <w:rsid w:val="004C4C74"/>
    <w:rsid w:val="004C4E29"/>
    <w:rsid w:val="004C5024"/>
    <w:rsid w:val="004C610F"/>
    <w:rsid w:val="004C623B"/>
    <w:rsid w:val="004C682D"/>
    <w:rsid w:val="004C6F9A"/>
    <w:rsid w:val="004C79BF"/>
    <w:rsid w:val="004C7DE1"/>
    <w:rsid w:val="004D05EA"/>
    <w:rsid w:val="004D1668"/>
    <w:rsid w:val="004D1CBC"/>
    <w:rsid w:val="004D1DC3"/>
    <w:rsid w:val="004D1E49"/>
    <w:rsid w:val="004D23DF"/>
    <w:rsid w:val="004D57B1"/>
    <w:rsid w:val="004D5E0E"/>
    <w:rsid w:val="004D6482"/>
    <w:rsid w:val="004D66E5"/>
    <w:rsid w:val="004D6C1A"/>
    <w:rsid w:val="004D7113"/>
    <w:rsid w:val="004D7397"/>
    <w:rsid w:val="004D74F8"/>
    <w:rsid w:val="004D7948"/>
    <w:rsid w:val="004E0089"/>
    <w:rsid w:val="004E21DE"/>
    <w:rsid w:val="004E2870"/>
    <w:rsid w:val="004E382E"/>
    <w:rsid w:val="004E4C8D"/>
    <w:rsid w:val="004E4F0C"/>
    <w:rsid w:val="004E4FCC"/>
    <w:rsid w:val="004E5C23"/>
    <w:rsid w:val="004E60AF"/>
    <w:rsid w:val="004E60CD"/>
    <w:rsid w:val="004E60ED"/>
    <w:rsid w:val="004E62F4"/>
    <w:rsid w:val="004E6639"/>
    <w:rsid w:val="004E6DF9"/>
    <w:rsid w:val="004E7A14"/>
    <w:rsid w:val="004F0768"/>
    <w:rsid w:val="004F0EB9"/>
    <w:rsid w:val="004F1812"/>
    <w:rsid w:val="004F206C"/>
    <w:rsid w:val="004F28C2"/>
    <w:rsid w:val="004F2942"/>
    <w:rsid w:val="004F333A"/>
    <w:rsid w:val="004F34B9"/>
    <w:rsid w:val="004F37B8"/>
    <w:rsid w:val="004F569E"/>
    <w:rsid w:val="004F5CF1"/>
    <w:rsid w:val="004F5E08"/>
    <w:rsid w:val="004F6007"/>
    <w:rsid w:val="004F6020"/>
    <w:rsid w:val="004F725B"/>
    <w:rsid w:val="004F7D4D"/>
    <w:rsid w:val="005011F1"/>
    <w:rsid w:val="0050212C"/>
    <w:rsid w:val="00503408"/>
    <w:rsid w:val="00503A31"/>
    <w:rsid w:val="00503CAC"/>
    <w:rsid w:val="00503F0B"/>
    <w:rsid w:val="0050402D"/>
    <w:rsid w:val="005044E4"/>
    <w:rsid w:val="00504C9F"/>
    <w:rsid w:val="00504DAC"/>
    <w:rsid w:val="005056DD"/>
    <w:rsid w:val="00506015"/>
    <w:rsid w:val="0050610E"/>
    <w:rsid w:val="00507102"/>
    <w:rsid w:val="0050736F"/>
    <w:rsid w:val="005073BB"/>
    <w:rsid w:val="0051012A"/>
    <w:rsid w:val="00511B1D"/>
    <w:rsid w:val="00512B34"/>
    <w:rsid w:val="00512C81"/>
    <w:rsid w:val="00512CFD"/>
    <w:rsid w:val="005141DB"/>
    <w:rsid w:val="00514220"/>
    <w:rsid w:val="00514720"/>
    <w:rsid w:val="00514EF3"/>
    <w:rsid w:val="00514EF4"/>
    <w:rsid w:val="0051564F"/>
    <w:rsid w:val="00516745"/>
    <w:rsid w:val="00517638"/>
    <w:rsid w:val="00517669"/>
    <w:rsid w:val="00517FC5"/>
    <w:rsid w:val="005200BF"/>
    <w:rsid w:val="005203DE"/>
    <w:rsid w:val="00521966"/>
    <w:rsid w:val="00522130"/>
    <w:rsid w:val="005222DF"/>
    <w:rsid w:val="00523277"/>
    <w:rsid w:val="00523D04"/>
    <w:rsid w:val="00523E6C"/>
    <w:rsid w:val="0052453E"/>
    <w:rsid w:val="0052488D"/>
    <w:rsid w:val="0052586E"/>
    <w:rsid w:val="005258B1"/>
    <w:rsid w:val="00525D99"/>
    <w:rsid w:val="00526B7A"/>
    <w:rsid w:val="00526E3C"/>
    <w:rsid w:val="00527B94"/>
    <w:rsid w:val="00527FD7"/>
    <w:rsid w:val="005300D0"/>
    <w:rsid w:val="005307A4"/>
    <w:rsid w:val="00530B26"/>
    <w:rsid w:val="00530B73"/>
    <w:rsid w:val="00530BD4"/>
    <w:rsid w:val="00531C84"/>
    <w:rsid w:val="00532954"/>
    <w:rsid w:val="00532A60"/>
    <w:rsid w:val="00533CBD"/>
    <w:rsid w:val="00534243"/>
    <w:rsid w:val="005342AB"/>
    <w:rsid w:val="00534535"/>
    <w:rsid w:val="00535BA9"/>
    <w:rsid w:val="0053616A"/>
    <w:rsid w:val="00536700"/>
    <w:rsid w:val="0053675D"/>
    <w:rsid w:val="005367D7"/>
    <w:rsid w:val="00536A59"/>
    <w:rsid w:val="0053731A"/>
    <w:rsid w:val="0054042D"/>
    <w:rsid w:val="00541580"/>
    <w:rsid w:val="005415F4"/>
    <w:rsid w:val="0054190C"/>
    <w:rsid w:val="00542B13"/>
    <w:rsid w:val="00543DD3"/>
    <w:rsid w:val="00544397"/>
    <w:rsid w:val="00544768"/>
    <w:rsid w:val="005448F8"/>
    <w:rsid w:val="00544B3E"/>
    <w:rsid w:val="005452E3"/>
    <w:rsid w:val="00545436"/>
    <w:rsid w:val="0054556B"/>
    <w:rsid w:val="00545F65"/>
    <w:rsid w:val="005465A1"/>
    <w:rsid w:val="00546AB2"/>
    <w:rsid w:val="00546B33"/>
    <w:rsid w:val="00547260"/>
    <w:rsid w:val="00547407"/>
    <w:rsid w:val="005475C7"/>
    <w:rsid w:val="005478F3"/>
    <w:rsid w:val="00550CD7"/>
    <w:rsid w:val="0055197B"/>
    <w:rsid w:val="00552173"/>
    <w:rsid w:val="00552752"/>
    <w:rsid w:val="00553168"/>
    <w:rsid w:val="00554758"/>
    <w:rsid w:val="00554AD7"/>
    <w:rsid w:val="00554D83"/>
    <w:rsid w:val="00554F78"/>
    <w:rsid w:val="00555FBD"/>
    <w:rsid w:val="00557172"/>
    <w:rsid w:val="005579FA"/>
    <w:rsid w:val="0056004F"/>
    <w:rsid w:val="005608EF"/>
    <w:rsid w:val="0056129B"/>
    <w:rsid w:val="00561574"/>
    <w:rsid w:val="0056216D"/>
    <w:rsid w:val="0056329B"/>
    <w:rsid w:val="00563B81"/>
    <w:rsid w:val="00565864"/>
    <w:rsid w:val="00565B5C"/>
    <w:rsid w:val="005675D1"/>
    <w:rsid w:val="0056774F"/>
    <w:rsid w:val="00567D1A"/>
    <w:rsid w:val="00570642"/>
    <w:rsid w:val="00570726"/>
    <w:rsid w:val="00570C95"/>
    <w:rsid w:val="00570EA6"/>
    <w:rsid w:val="00571013"/>
    <w:rsid w:val="00571068"/>
    <w:rsid w:val="00571576"/>
    <w:rsid w:val="00571729"/>
    <w:rsid w:val="005717EC"/>
    <w:rsid w:val="00571C4D"/>
    <w:rsid w:val="00572531"/>
    <w:rsid w:val="005728FD"/>
    <w:rsid w:val="00573073"/>
    <w:rsid w:val="0057411B"/>
    <w:rsid w:val="005743CA"/>
    <w:rsid w:val="005745D1"/>
    <w:rsid w:val="00574655"/>
    <w:rsid w:val="005751BF"/>
    <w:rsid w:val="0057570D"/>
    <w:rsid w:val="00580854"/>
    <w:rsid w:val="00581205"/>
    <w:rsid w:val="005825D1"/>
    <w:rsid w:val="00582636"/>
    <w:rsid w:val="00583046"/>
    <w:rsid w:val="00583223"/>
    <w:rsid w:val="00584948"/>
    <w:rsid w:val="00584E48"/>
    <w:rsid w:val="00585967"/>
    <w:rsid w:val="005861F0"/>
    <w:rsid w:val="00587013"/>
    <w:rsid w:val="005875B2"/>
    <w:rsid w:val="00587A41"/>
    <w:rsid w:val="00587B99"/>
    <w:rsid w:val="00591616"/>
    <w:rsid w:val="00591D29"/>
    <w:rsid w:val="005924A2"/>
    <w:rsid w:val="0059278A"/>
    <w:rsid w:val="00592985"/>
    <w:rsid w:val="00593A72"/>
    <w:rsid w:val="00594818"/>
    <w:rsid w:val="00594FA5"/>
    <w:rsid w:val="005956E5"/>
    <w:rsid w:val="00595A60"/>
    <w:rsid w:val="0059626A"/>
    <w:rsid w:val="00596405"/>
    <w:rsid w:val="00596FB9"/>
    <w:rsid w:val="00597749"/>
    <w:rsid w:val="00597C6C"/>
    <w:rsid w:val="005A1DF8"/>
    <w:rsid w:val="005A28EC"/>
    <w:rsid w:val="005A2C55"/>
    <w:rsid w:val="005A2F09"/>
    <w:rsid w:val="005A32BC"/>
    <w:rsid w:val="005A336F"/>
    <w:rsid w:val="005A3697"/>
    <w:rsid w:val="005A3ECD"/>
    <w:rsid w:val="005A4737"/>
    <w:rsid w:val="005A48A4"/>
    <w:rsid w:val="005A492E"/>
    <w:rsid w:val="005A4D74"/>
    <w:rsid w:val="005A5A42"/>
    <w:rsid w:val="005A63D5"/>
    <w:rsid w:val="005A6772"/>
    <w:rsid w:val="005A705F"/>
    <w:rsid w:val="005A72F3"/>
    <w:rsid w:val="005A7D7D"/>
    <w:rsid w:val="005B0808"/>
    <w:rsid w:val="005B091F"/>
    <w:rsid w:val="005B0D4C"/>
    <w:rsid w:val="005B0D70"/>
    <w:rsid w:val="005B2425"/>
    <w:rsid w:val="005B2FD5"/>
    <w:rsid w:val="005B3B73"/>
    <w:rsid w:val="005B4442"/>
    <w:rsid w:val="005B49C6"/>
    <w:rsid w:val="005B5061"/>
    <w:rsid w:val="005B5718"/>
    <w:rsid w:val="005B6D42"/>
    <w:rsid w:val="005B6FD5"/>
    <w:rsid w:val="005C02B7"/>
    <w:rsid w:val="005C03A6"/>
    <w:rsid w:val="005C108B"/>
    <w:rsid w:val="005C1EF3"/>
    <w:rsid w:val="005C389C"/>
    <w:rsid w:val="005C3B10"/>
    <w:rsid w:val="005C4007"/>
    <w:rsid w:val="005C4415"/>
    <w:rsid w:val="005C44A3"/>
    <w:rsid w:val="005C4D35"/>
    <w:rsid w:val="005C4F7E"/>
    <w:rsid w:val="005C5F4A"/>
    <w:rsid w:val="005C64C2"/>
    <w:rsid w:val="005C6E2E"/>
    <w:rsid w:val="005C7F99"/>
    <w:rsid w:val="005D0886"/>
    <w:rsid w:val="005D0A4A"/>
    <w:rsid w:val="005D2A4A"/>
    <w:rsid w:val="005D2F52"/>
    <w:rsid w:val="005D38EE"/>
    <w:rsid w:val="005D3D1C"/>
    <w:rsid w:val="005D46B1"/>
    <w:rsid w:val="005D4937"/>
    <w:rsid w:val="005D57E5"/>
    <w:rsid w:val="005D5B2C"/>
    <w:rsid w:val="005D5B88"/>
    <w:rsid w:val="005D75B7"/>
    <w:rsid w:val="005D798D"/>
    <w:rsid w:val="005E0300"/>
    <w:rsid w:val="005E1888"/>
    <w:rsid w:val="005E217E"/>
    <w:rsid w:val="005E21D1"/>
    <w:rsid w:val="005E254B"/>
    <w:rsid w:val="005E2659"/>
    <w:rsid w:val="005E2722"/>
    <w:rsid w:val="005E4518"/>
    <w:rsid w:val="005E4925"/>
    <w:rsid w:val="005E535E"/>
    <w:rsid w:val="005E5C12"/>
    <w:rsid w:val="005E5F03"/>
    <w:rsid w:val="005E644D"/>
    <w:rsid w:val="005E6568"/>
    <w:rsid w:val="005E68A0"/>
    <w:rsid w:val="005F039C"/>
    <w:rsid w:val="005F076F"/>
    <w:rsid w:val="005F085D"/>
    <w:rsid w:val="005F1703"/>
    <w:rsid w:val="005F1902"/>
    <w:rsid w:val="005F2719"/>
    <w:rsid w:val="005F2FE7"/>
    <w:rsid w:val="005F322A"/>
    <w:rsid w:val="005F3773"/>
    <w:rsid w:val="005F3791"/>
    <w:rsid w:val="005F3AF5"/>
    <w:rsid w:val="005F3F47"/>
    <w:rsid w:val="005F4253"/>
    <w:rsid w:val="005F7087"/>
    <w:rsid w:val="006008D5"/>
    <w:rsid w:val="00601FAE"/>
    <w:rsid w:val="00602E12"/>
    <w:rsid w:val="006031AF"/>
    <w:rsid w:val="006037EA"/>
    <w:rsid w:val="00603CAD"/>
    <w:rsid w:val="00603DAD"/>
    <w:rsid w:val="006040BF"/>
    <w:rsid w:val="006053C8"/>
    <w:rsid w:val="006053E5"/>
    <w:rsid w:val="00605BBC"/>
    <w:rsid w:val="00605E72"/>
    <w:rsid w:val="00606AD3"/>
    <w:rsid w:val="00606ECE"/>
    <w:rsid w:val="0060716C"/>
    <w:rsid w:val="00607373"/>
    <w:rsid w:val="0060760F"/>
    <w:rsid w:val="00607846"/>
    <w:rsid w:val="006102D0"/>
    <w:rsid w:val="0061197E"/>
    <w:rsid w:val="00612AAF"/>
    <w:rsid w:val="00615421"/>
    <w:rsid w:val="00615C57"/>
    <w:rsid w:val="00615F57"/>
    <w:rsid w:val="00616FA7"/>
    <w:rsid w:val="0061785F"/>
    <w:rsid w:val="006205F8"/>
    <w:rsid w:val="00620C54"/>
    <w:rsid w:val="0062165B"/>
    <w:rsid w:val="00621756"/>
    <w:rsid w:val="0062221F"/>
    <w:rsid w:val="00622F42"/>
    <w:rsid w:val="0062305B"/>
    <w:rsid w:val="00623475"/>
    <w:rsid w:val="0062498D"/>
    <w:rsid w:val="006249F5"/>
    <w:rsid w:val="00624BF4"/>
    <w:rsid w:val="006257BB"/>
    <w:rsid w:val="00626817"/>
    <w:rsid w:val="0062729A"/>
    <w:rsid w:val="00627882"/>
    <w:rsid w:val="00630D2E"/>
    <w:rsid w:val="0063234A"/>
    <w:rsid w:val="00632D26"/>
    <w:rsid w:val="0063313F"/>
    <w:rsid w:val="00633E80"/>
    <w:rsid w:val="00634157"/>
    <w:rsid w:val="00635B19"/>
    <w:rsid w:val="0063689D"/>
    <w:rsid w:val="00636ACC"/>
    <w:rsid w:val="00636E1E"/>
    <w:rsid w:val="00637011"/>
    <w:rsid w:val="00637DF8"/>
    <w:rsid w:val="00641567"/>
    <w:rsid w:val="006420CB"/>
    <w:rsid w:val="00642F57"/>
    <w:rsid w:val="00643CDA"/>
    <w:rsid w:val="00643FD5"/>
    <w:rsid w:val="006445FF"/>
    <w:rsid w:val="00644736"/>
    <w:rsid w:val="0064666E"/>
    <w:rsid w:val="006473AF"/>
    <w:rsid w:val="00647426"/>
    <w:rsid w:val="00647666"/>
    <w:rsid w:val="00647AE4"/>
    <w:rsid w:val="00650552"/>
    <w:rsid w:val="00650C6A"/>
    <w:rsid w:val="006510AC"/>
    <w:rsid w:val="00651D84"/>
    <w:rsid w:val="0065233A"/>
    <w:rsid w:val="00652B6B"/>
    <w:rsid w:val="006530E8"/>
    <w:rsid w:val="006536F2"/>
    <w:rsid w:val="00653842"/>
    <w:rsid w:val="006548F0"/>
    <w:rsid w:val="006553F0"/>
    <w:rsid w:val="006555A0"/>
    <w:rsid w:val="0065572C"/>
    <w:rsid w:val="00656A6C"/>
    <w:rsid w:val="00656B75"/>
    <w:rsid w:val="006572CF"/>
    <w:rsid w:val="00657326"/>
    <w:rsid w:val="006573B3"/>
    <w:rsid w:val="006601B6"/>
    <w:rsid w:val="00660298"/>
    <w:rsid w:val="00660E56"/>
    <w:rsid w:val="006613FA"/>
    <w:rsid w:val="0066179A"/>
    <w:rsid w:val="00661C69"/>
    <w:rsid w:val="006622E3"/>
    <w:rsid w:val="00662382"/>
    <w:rsid w:val="0066239E"/>
    <w:rsid w:val="00662A55"/>
    <w:rsid w:val="00663FA7"/>
    <w:rsid w:val="0066491E"/>
    <w:rsid w:val="00664F10"/>
    <w:rsid w:val="0066537F"/>
    <w:rsid w:val="0066546B"/>
    <w:rsid w:val="00665978"/>
    <w:rsid w:val="00666278"/>
    <w:rsid w:val="00666D13"/>
    <w:rsid w:val="006701E8"/>
    <w:rsid w:val="006711C3"/>
    <w:rsid w:val="006713E7"/>
    <w:rsid w:val="00671D7B"/>
    <w:rsid w:val="006724EE"/>
    <w:rsid w:val="006725E4"/>
    <w:rsid w:val="00672A46"/>
    <w:rsid w:val="006730C0"/>
    <w:rsid w:val="00673F6F"/>
    <w:rsid w:val="006747B2"/>
    <w:rsid w:val="00675F7E"/>
    <w:rsid w:val="00676348"/>
    <w:rsid w:val="006767A1"/>
    <w:rsid w:val="00677665"/>
    <w:rsid w:val="006805CA"/>
    <w:rsid w:val="006809E9"/>
    <w:rsid w:val="00680A94"/>
    <w:rsid w:val="00681EA4"/>
    <w:rsid w:val="00681EF3"/>
    <w:rsid w:val="00682464"/>
    <w:rsid w:val="00682480"/>
    <w:rsid w:val="00684308"/>
    <w:rsid w:val="00684424"/>
    <w:rsid w:val="00685419"/>
    <w:rsid w:val="0068559A"/>
    <w:rsid w:val="00685A44"/>
    <w:rsid w:val="00686426"/>
    <w:rsid w:val="00686AE1"/>
    <w:rsid w:val="00686ED5"/>
    <w:rsid w:val="00686F21"/>
    <w:rsid w:val="006876D6"/>
    <w:rsid w:val="00687D40"/>
    <w:rsid w:val="00687FF9"/>
    <w:rsid w:val="006901D3"/>
    <w:rsid w:val="006910C0"/>
    <w:rsid w:val="006911EC"/>
    <w:rsid w:val="006913D8"/>
    <w:rsid w:val="006924EE"/>
    <w:rsid w:val="00693EB7"/>
    <w:rsid w:val="00694026"/>
    <w:rsid w:val="006940F3"/>
    <w:rsid w:val="00694182"/>
    <w:rsid w:val="006945DE"/>
    <w:rsid w:val="006947D8"/>
    <w:rsid w:val="0069593B"/>
    <w:rsid w:val="00695DAF"/>
    <w:rsid w:val="00696412"/>
    <w:rsid w:val="00697037"/>
    <w:rsid w:val="006974C3"/>
    <w:rsid w:val="00697CED"/>
    <w:rsid w:val="00697FE8"/>
    <w:rsid w:val="006A00B4"/>
    <w:rsid w:val="006A02AA"/>
    <w:rsid w:val="006A1645"/>
    <w:rsid w:val="006A1648"/>
    <w:rsid w:val="006A1A89"/>
    <w:rsid w:val="006A3CA8"/>
    <w:rsid w:val="006A5CE3"/>
    <w:rsid w:val="006A5D4B"/>
    <w:rsid w:val="006A5F16"/>
    <w:rsid w:val="006A74EB"/>
    <w:rsid w:val="006A762E"/>
    <w:rsid w:val="006A7B0A"/>
    <w:rsid w:val="006B1B3F"/>
    <w:rsid w:val="006B20C7"/>
    <w:rsid w:val="006B257B"/>
    <w:rsid w:val="006B34F0"/>
    <w:rsid w:val="006B3DF2"/>
    <w:rsid w:val="006B3FCE"/>
    <w:rsid w:val="006B4FA4"/>
    <w:rsid w:val="006B6821"/>
    <w:rsid w:val="006B70FA"/>
    <w:rsid w:val="006B7A01"/>
    <w:rsid w:val="006C04CC"/>
    <w:rsid w:val="006C153E"/>
    <w:rsid w:val="006C2677"/>
    <w:rsid w:val="006C2D9C"/>
    <w:rsid w:val="006C36E2"/>
    <w:rsid w:val="006C4569"/>
    <w:rsid w:val="006C4645"/>
    <w:rsid w:val="006C5150"/>
    <w:rsid w:val="006C6570"/>
    <w:rsid w:val="006C6EE8"/>
    <w:rsid w:val="006C798A"/>
    <w:rsid w:val="006D032A"/>
    <w:rsid w:val="006D0D39"/>
    <w:rsid w:val="006D1273"/>
    <w:rsid w:val="006D1506"/>
    <w:rsid w:val="006D19A5"/>
    <w:rsid w:val="006D22B8"/>
    <w:rsid w:val="006D2A1C"/>
    <w:rsid w:val="006D37F6"/>
    <w:rsid w:val="006D3D5E"/>
    <w:rsid w:val="006D4CB2"/>
    <w:rsid w:val="006D5A30"/>
    <w:rsid w:val="006D5DD0"/>
    <w:rsid w:val="006D5F10"/>
    <w:rsid w:val="006D7727"/>
    <w:rsid w:val="006D7AB4"/>
    <w:rsid w:val="006E03CA"/>
    <w:rsid w:val="006E077C"/>
    <w:rsid w:val="006E1CB4"/>
    <w:rsid w:val="006E1CB7"/>
    <w:rsid w:val="006E1E5B"/>
    <w:rsid w:val="006E21B5"/>
    <w:rsid w:val="006E2A41"/>
    <w:rsid w:val="006E2A8F"/>
    <w:rsid w:val="006E36E9"/>
    <w:rsid w:val="006E3B10"/>
    <w:rsid w:val="006E3BF0"/>
    <w:rsid w:val="006E4BFE"/>
    <w:rsid w:val="006E4C43"/>
    <w:rsid w:val="006E5029"/>
    <w:rsid w:val="006E5515"/>
    <w:rsid w:val="006E5A70"/>
    <w:rsid w:val="006E5D22"/>
    <w:rsid w:val="006E6154"/>
    <w:rsid w:val="006E647F"/>
    <w:rsid w:val="006E6F65"/>
    <w:rsid w:val="006E736B"/>
    <w:rsid w:val="006E75BC"/>
    <w:rsid w:val="006E783C"/>
    <w:rsid w:val="006F0D8E"/>
    <w:rsid w:val="006F1830"/>
    <w:rsid w:val="006F1FD2"/>
    <w:rsid w:val="006F2DD0"/>
    <w:rsid w:val="006F31C7"/>
    <w:rsid w:val="006F693F"/>
    <w:rsid w:val="006F6BA7"/>
    <w:rsid w:val="006F6D1A"/>
    <w:rsid w:val="006F78BF"/>
    <w:rsid w:val="006F7CA5"/>
    <w:rsid w:val="007009BE"/>
    <w:rsid w:val="00701131"/>
    <w:rsid w:val="00701A86"/>
    <w:rsid w:val="00701D6E"/>
    <w:rsid w:val="00702CD7"/>
    <w:rsid w:val="00703517"/>
    <w:rsid w:val="00703FF9"/>
    <w:rsid w:val="00704496"/>
    <w:rsid w:val="00704AB3"/>
    <w:rsid w:val="00705F35"/>
    <w:rsid w:val="007060D7"/>
    <w:rsid w:val="00706884"/>
    <w:rsid w:val="007068D8"/>
    <w:rsid w:val="00706F13"/>
    <w:rsid w:val="0070769E"/>
    <w:rsid w:val="00707A13"/>
    <w:rsid w:val="0071040A"/>
    <w:rsid w:val="007108BE"/>
    <w:rsid w:val="00710B32"/>
    <w:rsid w:val="00711139"/>
    <w:rsid w:val="00711328"/>
    <w:rsid w:val="00711598"/>
    <w:rsid w:val="00711744"/>
    <w:rsid w:val="007118FF"/>
    <w:rsid w:val="00711BC1"/>
    <w:rsid w:val="00711E69"/>
    <w:rsid w:val="007129EF"/>
    <w:rsid w:val="00713D0A"/>
    <w:rsid w:val="007163EC"/>
    <w:rsid w:val="0071686C"/>
    <w:rsid w:val="00716A38"/>
    <w:rsid w:val="007173B5"/>
    <w:rsid w:val="0072003C"/>
    <w:rsid w:val="007200F1"/>
    <w:rsid w:val="007225B5"/>
    <w:rsid w:val="0072262D"/>
    <w:rsid w:val="00722E5C"/>
    <w:rsid w:val="00723015"/>
    <w:rsid w:val="007249BD"/>
    <w:rsid w:val="007255B5"/>
    <w:rsid w:val="007256C5"/>
    <w:rsid w:val="0072749D"/>
    <w:rsid w:val="00727D19"/>
    <w:rsid w:val="00727FC3"/>
    <w:rsid w:val="00727FE7"/>
    <w:rsid w:val="007300F6"/>
    <w:rsid w:val="00730728"/>
    <w:rsid w:val="00731F55"/>
    <w:rsid w:val="00732BCF"/>
    <w:rsid w:val="00733530"/>
    <w:rsid w:val="00733640"/>
    <w:rsid w:val="007340F4"/>
    <w:rsid w:val="00734E80"/>
    <w:rsid w:val="0073551A"/>
    <w:rsid w:val="00735BCD"/>
    <w:rsid w:val="00735BEE"/>
    <w:rsid w:val="00735F2C"/>
    <w:rsid w:val="00736388"/>
    <w:rsid w:val="00737B82"/>
    <w:rsid w:val="00737C4F"/>
    <w:rsid w:val="00737E3F"/>
    <w:rsid w:val="0074110E"/>
    <w:rsid w:val="00741159"/>
    <w:rsid w:val="00743010"/>
    <w:rsid w:val="00743532"/>
    <w:rsid w:val="00743D4A"/>
    <w:rsid w:val="00744699"/>
    <w:rsid w:val="00744B6F"/>
    <w:rsid w:val="007450B5"/>
    <w:rsid w:val="00745303"/>
    <w:rsid w:val="0074532B"/>
    <w:rsid w:val="007459EA"/>
    <w:rsid w:val="00745A16"/>
    <w:rsid w:val="00745EC1"/>
    <w:rsid w:val="00745FA3"/>
    <w:rsid w:val="0074638A"/>
    <w:rsid w:val="007467E3"/>
    <w:rsid w:val="00746A81"/>
    <w:rsid w:val="00746CD3"/>
    <w:rsid w:val="00747270"/>
    <w:rsid w:val="00747DEE"/>
    <w:rsid w:val="007503CB"/>
    <w:rsid w:val="007504E6"/>
    <w:rsid w:val="00750C91"/>
    <w:rsid w:val="0075113E"/>
    <w:rsid w:val="00751257"/>
    <w:rsid w:val="007519D6"/>
    <w:rsid w:val="00751CB0"/>
    <w:rsid w:val="00751D09"/>
    <w:rsid w:val="007537C9"/>
    <w:rsid w:val="00753A40"/>
    <w:rsid w:val="00754403"/>
    <w:rsid w:val="00754D99"/>
    <w:rsid w:val="007555E1"/>
    <w:rsid w:val="00755A57"/>
    <w:rsid w:val="007564FE"/>
    <w:rsid w:val="00756AA7"/>
    <w:rsid w:val="00757779"/>
    <w:rsid w:val="00757BEA"/>
    <w:rsid w:val="00757DDB"/>
    <w:rsid w:val="00757DE1"/>
    <w:rsid w:val="00763259"/>
    <w:rsid w:val="00763701"/>
    <w:rsid w:val="007639A8"/>
    <w:rsid w:val="007649D8"/>
    <w:rsid w:val="00766446"/>
    <w:rsid w:val="00766559"/>
    <w:rsid w:val="00767857"/>
    <w:rsid w:val="00770772"/>
    <w:rsid w:val="007708B2"/>
    <w:rsid w:val="00771350"/>
    <w:rsid w:val="007715FA"/>
    <w:rsid w:val="00771936"/>
    <w:rsid w:val="00771C13"/>
    <w:rsid w:val="00771C16"/>
    <w:rsid w:val="00772B9A"/>
    <w:rsid w:val="007732C3"/>
    <w:rsid w:val="00773333"/>
    <w:rsid w:val="007739B9"/>
    <w:rsid w:val="00773C33"/>
    <w:rsid w:val="00773EF8"/>
    <w:rsid w:val="00774BCE"/>
    <w:rsid w:val="007756DA"/>
    <w:rsid w:val="00775906"/>
    <w:rsid w:val="00776517"/>
    <w:rsid w:val="00776AC0"/>
    <w:rsid w:val="007775A2"/>
    <w:rsid w:val="00777FD6"/>
    <w:rsid w:val="00780FB6"/>
    <w:rsid w:val="007811D1"/>
    <w:rsid w:val="00781247"/>
    <w:rsid w:val="00781C74"/>
    <w:rsid w:val="007825A3"/>
    <w:rsid w:val="007830CC"/>
    <w:rsid w:val="0078328C"/>
    <w:rsid w:val="00783886"/>
    <w:rsid w:val="00783BC4"/>
    <w:rsid w:val="00783D56"/>
    <w:rsid w:val="00783F01"/>
    <w:rsid w:val="00784121"/>
    <w:rsid w:val="00785006"/>
    <w:rsid w:val="00785027"/>
    <w:rsid w:val="00785164"/>
    <w:rsid w:val="00785B69"/>
    <w:rsid w:val="00785ED9"/>
    <w:rsid w:val="00786A42"/>
    <w:rsid w:val="00787297"/>
    <w:rsid w:val="00787408"/>
    <w:rsid w:val="0078797E"/>
    <w:rsid w:val="0079000D"/>
    <w:rsid w:val="00790F4A"/>
    <w:rsid w:val="0079108D"/>
    <w:rsid w:val="007915DF"/>
    <w:rsid w:val="00791D3B"/>
    <w:rsid w:val="00792C8C"/>
    <w:rsid w:val="007931F7"/>
    <w:rsid w:val="00793EAC"/>
    <w:rsid w:val="00793F1B"/>
    <w:rsid w:val="0079470B"/>
    <w:rsid w:val="00796027"/>
    <w:rsid w:val="007963A3"/>
    <w:rsid w:val="00796A23"/>
    <w:rsid w:val="00797468"/>
    <w:rsid w:val="00797C09"/>
    <w:rsid w:val="007A12E5"/>
    <w:rsid w:val="007A15C2"/>
    <w:rsid w:val="007A18A2"/>
    <w:rsid w:val="007A18E4"/>
    <w:rsid w:val="007A19C4"/>
    <w:rsid w:val="007A3468"/>
    <w:rsid w:val="007A3856"/>
    <w:rsid w:val="007A398C"/>
    <w:rsid w:val="007A6136"/>
    <w:rsid w:val="007A65F0"/>
    <w:rsid w:val="007A6722"/>
    <w:rsid w:val="007A68A3"/>
    <w:rsid w:val="007A7F9A"/>
    <w:rsid w:val="007B0A41"/>
    <w:rsid w:val="007B1520"/>
    <w:rsid w:val="007B17EA"/>
    <w:rsid w:val="007B2B86"/>
    <w:rsid w:val="007B360A"/>
    <w:rsid w:val="007B485A"/>
    <w:rsid w:val="007B4DC3"/>
    <w:rsid w:val="007B50A1"/>
    <w:rsid w:val="007B51A1"/>
    <w:rsid w:val="007B5A47"/>
    <w:rsid w:val="007B6C20"/>
    <w:rsid w:val="007B7FBB"/>
    <w:rsid w:val="007C0708"/>
    <w:rsid w:val="007C1365"/>
    <w:rsid w:val="007C188A"/>
    <w:rsid w:val="007C2616"/>
    <w:rsid w:val="007C2A16"/>
    <w:rsid w:val="007C386F"/>
    <w:rsid w:val="007C3A40"/>
    <w:rsid w:val="007C4099"/>
    <w:rsid w:val="007C470E"/>
    <w:rsid w:val="007C4A79"/>
    <w:rsid w:val="007C4AFE"/>
    <w:rsid w:val="007C5460"/>
    <w:rsid w:val="007C5D08"/>
    <w:rsid w:val="007C7B80"/>
    <w:rsid w:val="007D0EBF"/>
    <w:rsid w:val="007D1076"/>
    <w:rsid w:val="007D1223"/>
    <w:rsid w:val="007D166E"/>
    <w:rsid w:val="007D1CB1"/>
    <w:rsid w:val="007D20DE"/>
    <w:rsid w:val="007D21BB"/>
    <w:rsid w:val="007D2761"/>
    <w:rsid w:val="007D4371"/>
    <w:rsid w:val="007D5E21"/>
    <w:rsid w:val="007D5F94"/>
    <w:rsid w:val="007D6644"/>
    <w:rsid w:val="007D700B"/>
    <w:rsid w:val="007D7A02"/>
    <w:rsid w:val="007E0589"/>
    <w:rsid w:val="007E11E0"/>
    <w:rsid w:val="007E3213"/>
    <w:rsid w:val="007E333E"/>
    <w:rsid w:val="007E3537"/>
    <w:rsid w:val="007E3A3D"/>
    <w:rsid w:val="007E5319"/>
    <w:rsid w:val="007E5BA3"/>
    <w:rsid w:val="007E5C2C"/>
    <w:rsid w:val="007E5CCB"/>
    <w:rsid w:val="007E6B3C"/>
    <w:rsid w:val="007E78A0"/>
    <w:rsid w:val="007F1C2B"/>
    <w:rsid w:val="007F1DEF"/>
    <w:rsid w:val="007F215E"/>
    <w:rsid w:val="007F3087"/>
    <w:rsid w:val="007F3DED"/>
    <w:rsid w:val="007F442A"/>
    <w:rsid w:val="007F4852"/>
    <w:rsid w:val="007F5C45"/>
    <w:rsid w:val="007F6040"/>
    <w:rsid w:val="007F6365"/>
    <w:rsid w:val="007F66AB"/>
    <w:rsid w:val="007F6C36"/>
    <w:rsid w:val="007F724B"/>
    <w:rsid w:val="00800A03"/>
    <w:rsid w:val="0080182E"/>
    <w:rsid w:val="00801830"/>
    <w:rsid w:val="00801FF4"/>
    <w:rsid w:val="00802D3C"/>
    <w:rsid w:val="00802DED"/>
    <w:rsid w:val="00803CFE"/>
    <w:rsid w:val="00804275"/>
    <w:rsid w:val="008042A2"/>
    <w:rsid w:val="00806483"/>
    <w:rsid w:val="0080761B"/>
    <w:rsid w:val="00807BD1"/>
    <w:rsid w:val="0081006E"/>
    <w:rsid w:val="008114DB"/>
    <w:rsid w:val="00811BCF"/>
    <w:rsid w:val="00811C8F"/>
    <w:rsid w:val="00812A9D"/>
    <w:rsid w:val="00812ABE"/>
    <w:rsid w:val="008131F9"/>
    <w:rsid w:val="00813693"/>
    <w:rsid w:val="00813846"/>
    <w:rsid w:val="0081452D"/>
    <w:rsid w:val="00814AAB"/>
    <w:rsid w:val="00815D21"/>
    <w:rsid w:val="00816A92"/>
    <w:rsid w:val="00817800"/>
    <w:rsid w:val="00821D42"/>
    <w:rsid w:val="008228B6"/>
    <w:rsid w:val="00825941"/>
    <w:rsid w:val="00825A09"/>
    <w:rsid w:val="0082655A"/>
    <w:rsid w:val="008267E0"/>
    <w:rsid w:val="00826AD5"/>
    <w:rsid w:val="00826E62"/>
    <w:rsid w:val="00827303"/>
    <w:rsid w:val="00827B55"/>
    <w:rsid w:val="00827CAD"/>
    <w:rsid w:val="00827E8A"/>
    <w:rsid w:val="00827EB5"/>
    <w:rsid w:val="00827F09"/>
    <w:rsid w:val="008305FF"/>
    <w:rsid w:val="00830C22"/>
    <w:rsid w:val="00830FFB"/>
    <w:rsid w:val="0083134B"/>
    <w:rsid w:val="00832627"/>
    <w:rsid w:val="008329F4"/>
    <w:rsid w:val="00832AE2"/>
    <w:rsid w:val="00832E8C"/>
    <w:rsid w:val="00833620"/>
    <w:rsid w:val="00833D7D"/>
    <w:rsid w:val="008356FB"/>
    <w:rsid w:val="0083591A"/>
    <w:rsid w:val="00837AF0"/>
    <w:rsid w:val="00837BCB"/>
    <w:rsid w:val="008407FD"/>
    <w:rsid w:val="0084114E"/>
    <w:rsid w:val="00841450"/>
    <w:rsid w:val="008419B0"/>
    <w:rsid w:val="0084248F"/>
    <w:rsid w:val="0084259C"/>
    <w:rsid w:val="00842631"/>
    <w:rsid w:val="008427FB"/>
    <w:rsid w:val="008436E9"/>
    <w:rsid w:val="00843981"/>
    <w:rsid w:val="008444D5"/>
    <w:rsid w:val="00844709"/>
    <w:rsid w:val="00844739"/>
    <w:rsid w:val="00845243"/>
    <w:rsid w:val="0084544D"/>
    <w:rsid w:val="008464DE"/>
    <w:rsid w:val="00847812"/>
    <w:rsid w:val="00850015"/>
    <w:rsid w:val="008507A3"/>
    <w:rsid w:val="00850E1E"/>
    <w:rsid w:val="00852060"/>
    <w:rsid w:val="00852372"/>
    <w:rsid w:val="00852AF6"/>
    <w:rsid w:val="00852C82"/>
    <w:rsid w:val="0085323A"/>
    <w:rsid w:val="00853DDA"/>
    <w:rsid w:val="00854901"/>
    <w:rsid w:val="008555DF"/>
    <w:rsid w:val="008555E4"/>
    <w:rsid w:val="00855946"/>
    <w:rsid w:val="0085756F"/>
    <w:rsid w:val="0085768B"/>
    <w:rsid w:val="00857D93"/>
    <w:rsid w:val="008603CC"/>
    <w:rsid w:val="00861DA7"/>
    <w:rsid w:val="00862484"/>
    <w:rsid w:val="008633EC"/>
    <w:rsid w:val="0086370F"/>
    <w:rsid w:val="008638E0"/>
    <w:rsid w:val="00863C2A"/>
    <w:rsid w:val="00863E59"/>
    <w:rsid w:val="00864A45"/>
    <w:rsid w:val="0086585B"/>
    <w:rsid w:val="00865938"/>
    <w:rsid w:val="00866310"/>
    <w:rsid w:val="0086768A"/>
    <w:rsid w:val="00867D76"/>
    <w:rsid w:val="00870653"/>
    <w:rsid w:val="00870C21"/>
    <w:rsid w:val="00871C66"/>
    <w:rsid w:val="00874CCE"/>
    <w:rsid w:val="008750BB"/>
    <w:rsid w:val="00876846"/>
    <w:rsid w:val="00880452"/>
    <w:rsid w:val="00881D25"/>
    <w:rsid w:val="00882515"/>
    <w:rsid w:val="00882D2E"/>
    <w:rsid w:val="00883467"/>
    <w:rsid w:val="00884497"/>
    <w:rsid w:val="00884523"/>
    <w:rsid w:val="00884C7F"/>
    <w:rsid w:val="008850F8"/>
    <w:rsid w:val="0088565F"/>
    <w:rsid w:val="00885F9C"/>
    <w:rsid w:val="0088738C"/>
    <w:rsid w:val="008876D0"/>
    <w:rsid w:val="008876F8"/>
    <w:rsid w:val="00890B5F"/>
    <w:rsid w:val="0089235C"/>
    <w:rsid w:val="00892F43"/>
    <w:rsid w:val="00893674"/>
    <w:rsid w:val="00893F4B"/>
    <w:rsid w:val="00895460"/>
    <w:rsid w:val="008962E4"/>
    <w:rsid w:val="00896647"/>
    <w:rsid w:val="008976F5"/>
    <w:rsid w:val="008977D1"/>
    <w:rsid w:val="008A0259"/>
    <w:rsid w:val="008A0571"/>
    <w:rsid w:val="008A05CE"/>
    <w:rsid w:val="008A0927"/>
    <w:rsid w:val="008A10AA"/>
    <w:rsid w:val="008A2245"/>
    <w:rsid w:val="008A2A37"/>
    <w:rsid w:val="008A2BDD"/>
    <w:rsid w:val="008A32C7"/>
    <w:rsid w:val="008A33DD"/>
    <w:rsid w:val="008A3523"/>
    <w:rsid w:val="008A3697"/>
    <w:rsid w:val="008A3F07"/>
    <w:rsid w:val="008A3F6A"/>
    <w:rsid w:val="008A5065"/>
    <w:rsid w:val="008A506F"/>
    <w:rsid w:val="008A55DE"/>
    <w:rsid w:val="008A5944"/>
    <w:rsid w:val="008A6694"/>
    <w:rsid w:val="008A71B5"/>
    <w:rsid w:val="008A7BE1"/>
    <w:rsid w:val="008B0831"/>
    <w:rsid w:val="008B088B"/>
    <w:rsid w:val="008B2123"/>
    <w:rsid w:val="008B3868"/>
    <w:rsid w:val="008B4A0F"/>
    <w:rsid w:val="008B4BDE"/>
    <w:rsid w:val="008B643B"/>
    <w:rsid w:val="008B6668"/>
    <w:rsid w:val="008B6E98"/>
    <w:rsid w:val="008B7288"/>
    <w:rsid w:val="008B7F40"/>
    <w:rsid w:val="008B7FF9"/>
    <w:rsid w:val="008C044B"/>
    <w:rsid w:val="008C1DC9"/>
    <w:rsid w:val="008C234A"/>
    <w:rsid w:val="008C2369"/>
    <w:rsid w:val="008C251D"/>
    <w:rsid w:val="008C2617"/>
    <w:rsid w:val="008C2B2A"/>
    <w:rsid w:val="008C458B"/>
    <w:rsid w:val="008C543B"/>
    <w:rsid w:val="008C568D"/>
    <w:rsid w:val="008C7FE8"/>
    <w:rsid w:val="008D0A09"/>
    <w:rsid w:val="008D172C"/>
    <w:rsid w:val="008D1C6D"/>
    <w:rsid w:val="008D239C"/>
    <w:rsid w:val="008D2541"/>
    <w:rsid w:val="008D28FD"/>
    <w:rsid w:val="008D364B"/>
    <w:rsid w:val="008D4119"/>
    <w:rsid w:val="008D4DF2"/>
    <w:rsid w:val="008D625A"/>
    <w:rsid w:val="008D64F6"/>
    <w:rsid w:val="008D691B"/>
    <w:rsid w:val="008D6B7D"/>
    <w:rsid w:val="008D7B08"/>
    <w:rsid w:val="008D7FB9"/>
    <w:rsid w:val="008E0317"/>
    <w:rsid w:val="008E039E"/>
    <w:rsid w:val="008E0599"/>
    <w:rsid w:val="008E0977"/>
    <w:rsid w:val="008E0BD7"/>
    <w:rsid w:val="008E1087"/>
    <w:rsid w:val="008E2597"/>
    <w:rsid w:val="008E33B4"/>
    <w:rsid w:val="008E36AB"/>
    <w:rsid w:val="008E4666"/>
    <w:rsid w:val="008E5191"/>
    <w:rsid w:val="008E57B3"/>
    <w:rsid w:val="008E5E45"/>
    <w:rsid w:val="008E654E"/>
    <w:rsid w:val="008E7540"/>
    <w:rsid w:val="008E76D3"/>
    <w:rsid w:val="008E7B7D"/>
    <w:rsid w:val="008E7C7E"/>
    <w:rsid w:val="008F040F"/>
    <w:rsid w:val="008F078C"/>
    <w:rsid w:val="008F0871"/>
    <w:rsid w:val="008F0D5C"/>
    <w:rsid w:val="008F150E"/>
    <w:rsid w:val="008F1588"/>
    <w:rsid w:val="008F2328"/>
    <w:rsid w:val="008F23AC"/>
    <w:rsid w:val="008F2748"/>
    <w:rsid w:val="008F28DE"/>
    <w:rsid w:val="008F2A00"/>
    <w:rsid w:val="008F3139"/>
    <w:rsid w:val="008F3B71"/>
    <w:rsid w:val="008F446B"/>
    <w:rsid w:val="008F498F"/>
    <w:rsid w:val="008F54E8"/>
    <w:rsid w:val="008F55BF"/>
    <w:rsid w:val="008F5A80"/>
    <w:rsid w:val="0090083D"/>
    <w:rsid w:val="00900958"/>
    <w:rsid w:val="009009C9"/>
    <w:rsid w:val="009011E8"/>
    <w:rsid w:val="00902171"/>
    <w:rsid w:val="00902BFE"/>
    <w:rsid w:val="009034A5"/>
    <w:rsid w:val="009039B9"/>
    <w:rsid w:val="009046C6"/>
    <w:rsid w:val="00904E37"/>
    <w:rsid w:val="00904EEF"/>
    <w:rsid w:val="00905C29"/>
    <w:rsid w:val="00906571"/>
    <w:rsid w:val="00906B39"/>
    <w:rsid w:val="009071A0"/>
    <w:rsid w:val="00907AA9"/>
    <w:rsid w:val="00907AF4"/>
    <w:rsid w:val="00910254"/>
    <w:rsid w:val="00911449"/>
    <w:rsid w:val="009118C1"/>
    <w:rsid w:val="00911DDE"/>
    <w:rsid w:val="00913AEC"/>
    <w:rsid w:val="00913B05"/>
    <w:rsid w:val="00913FC9"/>
    <w:rsid w:val="00915606"/>
    <w:rsid w:val="009158C7"/>
    <w:rsid w:val="0091637C"/>
    <w:rsid w:val="0091698A"/>
    <w:rsid w:val="00917061"/>
    <w:rsid w:val="0091750D"/>
    <w:rsid w:val="00917645"/>
    <w:rsid w:val="0092020A"/>
    <w:rsid w:val="0092087A"/>
    <w:rsid w:val="00921DA8"/>
    <w:rsid w:val="00921FE3"/>
    <w:rsid w:val="00923197"/>
    <w:rsid w:val="00923DDD"/>
    <w:rsid w:val="00924A23"/>
    <w:rsid w:val="00925068"/>
    <w:rsid w:val="009252A1"/>
    <w:rsid w:val="0092535A"/>
    <w:rsid w:val="009253DB"/>
    <w:rsid w:val="00925879"/>
    <w:rsid w:val="00926777"/>
    <w:rsid w:val="00926857"/>
    <w:rsid w:val="00926D3D"/>
    <w:rsid w:val="00926DE5"/>
    <w:rsid w:val="00926FBB"/>
    <w:rsid w:val="0092705E"/>
    <w:rsid w:val="00927708"/>
    <w:rsid w:val="00927E3B"/>
    <w:rsid w:val="00931058"/>
    <w:rsid w:val="00932455"/>
    <w:rsid w:val="00932783"/>
    <w:rsid w:val="00932A8E"/>
    <w:rsid w:val="00932FFE"/>
    <w:rsid w:val="009341E6"/>
    <w:rsid w:val="0093584F"/>
    <w:rsid w:val="00935DBB"/>
    <w:rsid w:val="00935E3D"/>
    <w:rsid w:val="009360F3"/>
    <w:rsid w:val="009363FC"/>
    <w:rsid w:val="00936E4D"/>
    <w:rsid w:val="009418D6"/>
    <w:rsid w:val="00942177"/>
    <w:rsid w:val="0094270E"/>
    <w:rsid w:val="00942921"/>
    <w:rsid w:val="00943DA8"/>
    <w:rsid w:val="00944096"/>
    <w:rsid w:val="009449B1"/>
    <w:rsid w:val="00945E26"/>
    <w:rsid w:val="00946BAD"/>
    <w:rsid w:val="00947825"/>
    <w:rsid w:val="009478CE"/>
    <w:rsid w:val="00947C33"/>
    <w:rsid w:val="0095018F"/>
    <w:rsid w:val="00950691"/>
    <w:rsid w:val="0095087E"/>
    <w:rsid w:val="00950CCE"/>
    <w:rsid w:val="00951177"/>
    <w:rsid w:val="0095130F"/>
    <w:rsid w:val="00951A74"/>
    <w:rsid w:val="0095272E"/>
    <w:rsid w:val="00952BF9"/>
    <w:rsid w:val="0095323B"/>
    <w:rsid w:val="009551A7"/>
    <w:rsid w:val="00955387"/>
    <w:rsid w:val="009559E7"/>
    <w:rsid w:val="00955E74"/>
    <w:rsid w:val="00955ECD"/>
    <w:rsid w:val="00956A7D"/>
    <w:rsid w:val="00956ECC"/>
    <w:rsid w:val="0095748F"/>
    <w:rsid w:val="00957E8A"/>
    <w:rsid w:val="00960795"/>
    <w:rsid w:val="00961C33"/>
    <w:rsid w:val="00961D71"/>
    <w:rsid w:val="0096236B"/>
    <w:rsid w:val="00962785"/>
    <w:rsid w:val="00962EF7"/>
    <w:rsid w:val="00963241"/>
    <w:rsid w:val="0096349B"/>
    <w:rsid w:val="00964157"/>
    <w:rsid w:val="009649C2"/>
    <w:rsid w:val="00964F6C"/>
    <w:rsid w:val="0096557F"/>
    <w:rsid w:val="00965661"/>
    <w:rsid w:val="0096568E"/>
    <w:rsid w:val="0096579E"/>
    <w:rsid w:val="00965E7E"/>
    <w:rsid w:val="009664E8"/>
    <w:rsid w:val="009667E8"/>
    <w:rsid w:val="00966C9B"/>
    <w:rsid w:val="0096730A"/>
    <w:rsid w:val="00967DF5"/>
    <w:rsid w:val="0097088F"/>
    <w:rsid w:val="00971524"/>
    <w:rsid w:val="009719B7"/>
    <w:rsid w:val="009722C9"/>
    <w:rsid w:val="009728C5"/>
    <w:rsid w:val="009738EE"/>
    <w:rsid w:val="009744DB"/>
    <w:rsid w:val="009748BC"/>
    <w:rsid w:val="00974D7D"/>
    <w:rsid w:val="00974ECF"/>
    <w:rsid w:val="00975108"/>
    <w:rsid w:val="0097569A"/>
    <w:rsid w:val="009758F5"/>
    <w:rsid w:val="0097603E"/>
    <w:rsid w:val="00976192"/>
    <w:rsid w:val="0097675A"/>
    <w:rsid w:val="00976B56"/>
    <w:rsid w:val="0097737D"/>
    <w:rsid w:val="0098147A"/>
    <w:rsid w:val="00981E81"/>
    <w:rsid w:val="009822B1"/>
    <w:rsid w:val="009826C7"/>
    <w:rsid w:val="009839D2"/>
    <w:rsid w:val="00984B75"/>
    <w:rsid w:val="00984FF9"/>
    <w:rsid w:val="009853B3"/>
    <w:rsid w:val="009853BA"/>
    <w:rsid w:val="00985438"/>
    <w:rsid w:val="0098663A"/>
    <w:rsid w:val="009868A8"/>
    <w:rsid w:val="009868C6"/>
    <w:rsid w:val="00986AC3"/>
    <w:rsid w:val="00987596"/>
    <w:rsid w:val="00990332"/>
    <w:rsid w:val="00990A56"/>
    <w:rsid w:val="00990F56"/>
    <w:rsid w:val="009914F0"/>
    <w:rsid w:val="0099188F"/>
    <w:rsid w:val="009935FE"/>
    <w:rsid w:val="00993E82"/>
    <w:rsid w:val="009943C2"/>
    <w:rsid w:val="00994903"/>
    <w:rsid w:val="009957B1"/>
    <w:rsid w:val="00996A7F"/>
    <w:rsid w:val="0099705F"/>
    <w:rsid w:val="009970A0"/>
    <w:rsid w:val="00997A0E"/>
    <w:rsid w:val="00997B17"/>
    <w:rsid w:val="00997E0A"/>
    <w:rsid w:val="009A004E"/>
    <w:rsid w:val="009A0761"/>
    <w:rsid w:val="009A0906"/>
    <w:rsid w:val="009A1ADB"/>
    <w:rsid w:val="009A1CA1"/>
    <w:rsid w:val="009A344C"/>
    <w:rsid w:val="009A3A9B"/>
    <w:rsid w:val="009A548A"/>
    <w:rsid w:val="009A548D"/>
    <w:rsid w:val="009A59F2"/>
    <w:rsid w:val="009A5C34"/>
    <w:rsid w:val="009A62F6"/>
    <w:rsid w:val="009A6B78"/>
    <w:rsid w:val="009A6D54"/>
    <w:rsid w:val="009A7323"/>
    <w:rsid w:val="009A7993"/>
    <w:rsid w:val="009A7DA5"/>
    <w:rsid w:val="009B10E8"/>
    <w:rsid w:val="009B3C53"/>
    <w:rsid w:val="009B536F"/>
    <w:rsid w:val="009B56A9"/>
    <w:rsid w:val="009B5860"/>
    <w:rsid w:val="009B58B2"/>
    <w:rsid w:val="009B5DFA"/>
    <w:rsid w:val="009B76A2"/>
    <w:rsid w:val="009B793E"/>
    <w:rsid w:val="009B7960"/>
    <w:rsid w:val="009B7A0C"/>
    <w:rsid w:val="009C004A"/>
    <w:rsid w:val="009C00D7"/>
    <w:rsid w:val="009C0301"/>
    <w:rsid w:val="009C178C"/>
    <w:rsid w:val="009C33A7"/>
    <w:rsid w:val="009C51B7"/>
    <w:rsid w:val="009C51C3"/>
    <w:rsid w:val="009C59B8"/>
    <w:rsid w:val="009C5F9E"/>
    <w:rsid w:val="009C6556"/>
    <w:rsid w:val="009C7122"/>
    <w:rsid w:val="009C7191"/>
    <w:rsid w:val="009C7FA2"/>
    <w:rsid w:val="009D0306"/>
    <w:rsid w:val="009D07D8"/>
    <w:rsid w:val="009D09CF"/>
    <w:rsid w:val="009D0E43"/>
    <w:rsid w:val="009D0EFA"/>
    <w:rsid w:val="009D1CE5"/>
    <w:rsid w:val="009D1D22"/>
    <w:rsid w:val="009D2A07"/>
    <w:rsid w:val="009D2B56"/>
    <w:rsid w:val="009D3796"/>
    <w:rsid w:val="009D507F"/>
    <w:rsid w:val="009D5656"/>
    <w:rsid w:val="009D57EB"/>
    <w:rsid w:val="009D63DB"/>
    <w:rsid w:val="009D697B"/>
    <w:rsid w:val="009D7357"/>
    <w:rsid w:val="009D7382"/>
    <w:rsid w:val="009E081F"/>
    <w:rsid w:val="009E116E"/>
    <w:rsid w:val="009E164A"/>
    <w:rsid w:val="009E1921"/>
    <w:rsid w:val="009E1C56"/>
    <w:rsid w:val="009E1E92"/>
    <w:rsid w:val="009E2369"/>
    <w:rsid w:val="009E2802"/>
    <w:rsid w:val="009E2C70"/>
    <w:rsid w:val="009E2E29"/>
    <w:rsid w:val="009E302E"/>
    <w:rsid w:val="009E3F35"/>
    <w:rsid w:val="009E4549"/>
    <w:rsid w:val="009E5763"/>
    <w:rsid w:val="009E6C58"/>
    <w:rsid w:val="009E6DFB"/>
    <w:rsid w:val="009E7270"/>
    <w:rsid w:val="009E76AF"/>
    <w:rsid w:val="009F0A0A"/>
    <w:rsid w:val="009F103E"/>
    <w:rsid w:val="009F25F0"/>
    <w:rsid w:val="009F33BF"/>
    <w:rsid w:val="009F3C2A"/>
    <w:rsid w:val="009F476D"/>
    <w:rsid w:val="009F5B3E"/>
    <w:rsid w:val="00A00EBF"/>
    <w:rsid w:val="00A024A3"/>
    <w:rsid w:val="00A0273A"/>
    <w:rsid w:val="00A028D2"/>
    <w:rsid w:val="00A02D5F"/>
    <w:rsid w:val="00A032F3"/>
    <w:rsid w:val="00A0616E"/>
    <w:rsid w:val="00A063E5"/>
    <w:rsid w:val="00A06605"/>
    <w:rsid w:val="00A06AC0"/>
    <w:rsid w:val="00A06CD9"/>
    <w:rsid w:val="00A06FDC"/>
    <w:rsid w:val="00A07CC4"/>
    <w:rsid w:val="00A07FF0"/>
    <w:rsid w:val="00A10561"/>
    <w:rsid w:val="00A10A6E"/>
    <w:rsid w:val="00A113E2"/>
    <w:rsid w:val="00A12B29"/>
    <w:rsid w:val="00A1336F"/>
    <w:rsid w:val="00A13882"/>
    <w:rsid w:val="00A13D19"/>
    <w:rsid w:val="00A13F4C"/>
    <w:rsid w:val="00A1468F"/>
    <w:rsid w:val="00A146E1"/>
    <w:rsid w:val="00A14788"/>
    <w:rsid w:val="00A149B8"/>
    <w:rsid w:val="00A167CD"/>
    <w:rsid w:val="00A173A6"/>
    <w:rsid w:val="00A204FE"/>
    <w:rsid w:val="00A207B4"/>
    <w:rsid w:val="00A2116F"/>
    <w:rsid w:val="00A21377"/>
    <w:rsid w:val="00A21461"/>
    <w:rsid w:val="00A22FF4"/>
    <w:rsid w:val="00A23769"/>
    <w:rsid w:val="00A239C0"/>
    <w:rsid w:val="00A23C41"/>
    <w:rsid w:val="00A24BEB"/>
    <w:rsid w:val="00A25D2C"/>
    <w:rsid w:val="00A25DFE"/>
    <w:rsid w:val="00A25E0B"/>
    <w:rsid w:val="00A26053"/>
    <w:rsid w:val="00A261D1"/>
    <w:rsid w:val="00A2669A"/>
    <w:rsid w:val="00A26A0B"/>
    <w:rsid w:val="00A26AC5"/>
    <w:rsid w:val="00A271CC"/>
    <w:rsid w:val="00A27531"/>
    <w:rsid w:val="00A278C0"/>
    <w:rsid w:val="00A27A05"/>
    <w:rsid w:val="00A27FA0"/>
    <w:rsid w:val="00A304C2"/>
    <w:rsid w:val="00A3083D"/>
    <w:rsid w:val="00A30BD0"/>
    <w:rsid w:val="00A31B45"/>
    <w:rsid w:val="00A31EEF"/>
    <w:rsid w:val="00A33C5F"/>
    <w:rsid w:val="00A34D6A"/>
    <w:rsid w:val="00A34EC9"/>
    <w:rsid w:val="00A35B66"/>
    <w:rsid w:val="00A369E2"/>
    <w:rsid w:val="00A37AF4"/>
    <w:rsid w:val="00A40E01"/>
    <w:rsid w:val="00A410E2"/>
    <w:rsid w:val="00A41B2D"/>
    <w:rsid w:val="00A42060"/>
    <w:rsid w:val="00A4272C"/>
    <w:rsid w:val="00A43B1A"/>
    <w:rsid w:val="00A4456B"/>
    <w:rsid w:val="00A4607C"/>
    <w:rsid w:val="00A467C5"/>
    <w:rsid w:val="00A46D16"/>
    <w:rsid w:val="00A478BE"/>
    <w:rsid w:val="00A5014D"/>
    <w:rsid w:val="00A51FD8"/>
    <w:rsid w:val="00A535C5"/>
    <w:rsid w:val="00A549FA"/>
    <w:rsid w:val="00A55709"/>
    <w:rsid w:val="00A5691C"/>
    <w:rsid w:val="00A57814"/>
    <w:rsid w:val="00A603F9"/>
    <w:rsid w:val="00A60569"/>
    <w:rsid w:val="00A614ED"/>
    <w:rsid w:val="00A6169C"/>
    <w:rsid w:val="00A617B6"/>
    <w:rsid w:val="00A61BCA"/>
    <w:rsid w:val="00A63475"/>
    <w:rsid w:val="00A6384D"/>
    <w:rsid w:val="00A6405D"/>
    <w:rsid w:val="00A655E1"/>
    <w:rsid w:val="00A65E38"/>
    <w:rsid w:val="00A668EB"/>
    <w:rsid w:val="00A66952"/>
    <w:rsid w:val="00A66ABF"/>
    <w:rsid w:val="00A66E80"/>
    <w:rsid w:val="00A66FC0"/>
    <w:rsid w:val="00A67FA0"/>
    <w:rsid w:val="00A70B38"/>
    <w:rsid w:val="00A70B92"/>
    <w:rsid w:val="00A7152E"/>
    <w:rsid w:val="00A71D93"/>
    <w:rsid w:val="00A71DE1"/>
    <w:rsid w:val="00A71E07"/>
    <w:rsid w:val="00A72514"/>
    <w:rsid w:val="00A72B50"/>
    <w:rsid w:val="00A740D3"/>
    <w:rsid w:val="00A748C1"/>
    <w:rsid w:val="00A74996"/>
    <w:rsid w:val="00A74C8E"/>
    <w:rsid w:val="00A7559E"/>
    <w:rsid w:val="00A76712"/>
    <w:rsid w:val="00A7682E"/>
    <w:rsid w:val="00A76BA6"/>
    <w:rsid w:val="00A777A0"/>
    <w:rsid w:val="00A778B3"/>
    <w:rsid w:val="00A80705"/>
    <w:rsid w:val="00A807B0"/>
    <w:rsid w:val="00A80DF0"/>
    <w:rsid w:val="00A80FF0"/>
    <w:rsid w:val="00A813ED"/>
    <w:rsid w:val="00A81479"/>
    <w:rsid w:val="00A81F62"/>
    <w:rsid w:val="00A82189"/>
    <w:rsid w:val="00A82192"/>
    <w:rsid w:val="00A823D2"/>
    <w:rsid w:val="00A83040"/>
    <w:rsid w:val="00A8353E"/>
    <w:rsid w:val="00A83681"/>
    <w:rsid w:val="00A8392C"/>
    <w:rsid w:val="00A84568"/>
    <w:rsid w:val="00A847A2"/>
    <w:rsid w:val="00A847DF"/>
    <w:rsid w:val="00A8489B"/>
    <w:rsid w:val="00A84CEB"/>
    <w:rsid w:val="00A84D6D"/>
    <w:rsid w:val="00A85632"/>
    <w:rsid w:val="00A85876"/>
    <w:rsid w:val="00A85F6C"/>
    <w:rsid w:val="00A8719D"/>
    <w:rsid w:val="00A87469"/>
    <w:rsid w:val="00A90214"/>
    <w:rsid w:val="00A90678"/>
    <w:rsid w:val="00A90E54"/>
    <w:rsid w:val="00A912FD"/>
    <w:rsid w:val="00A91594"/>
    <w:rsid w:val="00A919F5"/>
    <w:rsid w:val="00A94303"/>
    <w:rsid w:val="00A951C3"/>
    <w:rsid w:val="00A96438"/>
    <w:rsid w:val="00A96896"/>
    <w:rsid w:val="00A96A2F"/>
    <w:rsid w:val="00A96B6C"/>
    <w:rsid w:val="00A96E63"/>
    <w:rsid w:val="00A9761D"/>
    <w:rsid w:val="00A97696"/>
    <w:rsid w:val="00A97AF4"/>
    <w:rsid w:val="00A97E72"/>
    <w:rsid w:val="00A97F3D"/>
    <w:rsid w:val="00AA0A3F"/>
    <w:rsid w:val="00AA0B03"/>
    <w:rsid w:val="00AA1FBE"/>
    <w:rsid w:val="00AA3657"/>
    <w:rsid w:val="00AA39AD"/>
    <w:rsid w:val="00AA3E06"/>
    <w:rsid w:val="00AA3F71"/>
    <w:rsid w:val="00AA40A9"/>
    <w:rsid w:val="00AA478D"/>
    <w:rsid w:val="00AA4BAC"/>
    <w:rsid w:val="00AA545A"/>
    <w:rsid w:val="00AA5699"/>
    <w:rsid w:val="00AA5D60"/>
    <w:rsid w:val="00AA5FC9"/>
    <w:rsid w:val="00AA63FF"/>
    <w:rsid w:val="00AA7C17"/>
    <w:rsid w:val="00AB064A"/>
    <w:rsid w:val="00AB0EB7"/>
    <w:rsid w:val="00AB0FF7"/>
    <w:rsid w:val="00AB1C0F"/>
    <w:rsid w:val="00AB1C7E"/>
    <w:rsid w:val="00AB2D14"/>
    <w:rsid w:val="00AB3B8F"/>
    <w:rsid w:val="00AB4916"/>
    <w:rsid w:val="00AB4AF8"/>
    <w:rsid w:val="00AB5D0F"/>
    <w:rsid w:val="00AB5E7D"/>
    <w:rsid w:val="00AB748E"/>
    <w:rsid w:val="00AB7AC0"/>
    <w:rsid w:val="00AC0152"/>
    <w:rsid w:val="00AC0164"/>
    <w:rsid w:val="00AC04B2"/>
    <w:rsid w:val="00AC1F92"/>
    <w:rsid w:val="00AC2C49"/>
    <w:rsid w:val="00AC2F2B"/>
    <w:rsid w:val="00AC43EC"/>
    <w:rsid w:val="00AC473F"/>
    <w:rsid w:val="00AC4A08"/>
    <w:rsid w:val="00AC4E33"/>
    <w:rsid w:val="00AC4FB8"/>
    <w:rsid w:val="00AC530A"/>
    <w:rsid w:val="00AC5BAC"/>
    <w:rsid w:val="00AC6321"/>
    <w:rsid w:val="00AC6BF9"/>
    <w:rsid w:val="00AC7D7C"/>
    <w:rsid w:val="00AD15D4"/>
    <w:rsid w:val="00AD1739"/>
    <w:rsid w:val="00AD4049"/>
    <w:rsid w:val="00AD49CB"/>
    <w:rsid w:val="00AD5212"/>
    <w:rsid w:val="00AD5C0A"/>
    <w:rsid w:val="00AD7748"/>
    <w:rsid w:val="00AD7BE2"/>
    <w:rsid w:val="00AE0047"/>
    <w:rsid w:val="00AE0156"/>
    <w:rsid w:val="00AE0312"/>
    <w:rsid w:val="00AE04F5"/>
    <w:rsid w:val="00AE056A"/>
    <w:rsid w:val="00AE06FE"/>
    <w:rsid w:val="00AE093D"/>
    <w:rsid w:val="00AE0D89"/>
    <w:rsid w:val="00AE1F25"/>
    <w:rsid w:val="00AE23AC"/>
    <w:rsid w:val="00AE2573"/>
    <w:rsid w:val="00AE28B7"/>
    <w:rsid w:val="00AE2D76"/>
    <w:rsid w:val="00AE4B33"/>
    <w:rsid w:val="00AE512C"/>
    <w:rsid w:val="00AE6833"/>
    <w:rsid w:val="00AE696D"/>
    <w:rsid w:val="00AE6E07"/>
    <w:rsid w:val="00AE7F9A"/>
    <w:rsid w:val="00AF01EA"/>
    <w:rsid w:val="00AF05D4"/>
    <w:rsid w:val="00AF1EA6"/>
    <w:rsid w:val="00AF203E"/>
    <w:rsid w:val="00AF2588"/>
    <w:rsid w:val="00AF3791"/>
    <w:rsid w:val="00AF491E"/>
    <w:rsid w:val="00AF4CBC"/>
    <w:rsid w:val="00AF5703"/>
    <w:rsid w:val="00AF57D6"/>
    <w:rsid w:val="00AF64F2"/>
    <w:rsid w:val="00AF6E9D"/>
    <w:rsid w:val="00AF71F4"/>
    <w:rsid w:val="00AF78F6"/>
    <w:rsid w:val="00AF7A6E"/>
    <w:rsid w:val="00AF7CE4"/>
    <w:rsid w:val="00AF7DA0"/>
    <w:rsid w:val="00B00166"/>
    <w:rsid w:val="00B01493"/>
    <w:rsid w:val="00B017A7"/>
    <w:rsid w:val="00B02357"/>
    <w:rsid w:val="00B03046"/>
    <w:rsid w:val="00B0358D"/>
    <w:rsid w:val="00B04110"/>
    <w:rsid w:val="00B05438"/>
    <w:rsid w:val="00B05FB7"/>
    <w:rsid w:val="00B06AA0"/>
    <w:rsid w:val="00B06B40"/>
    <w:rsid w:val="00B0725F"/>
    <w:rsid w:val="00B105E3"/>
    <w:rsid w:val="00B125F2"/>
    <w:rsid w:val="00B12B4E"/>
    <w:rsid w:val="00B132F7"/>
    <w:rsid w:val="00B13669"/>
    <w:rsid w:val="00B13F11"/>
    <w:rsid w:val="00B1483A"/>
    <w:rsid w:val="00B170F2"/>
    <w:rsid w:val="00B1786F"/>
    <w:rsid w:val="00B20808"/>
    <w:rsid w:val="00B20E86"/>
    <w:rsid w:val="00B221CA"/>
    <w:rsid w:val="00B22B1C"/>
    <w:rsid w:val="00B23939"/>
    <w:rsid w:val="00B23D5B"/>
    <w:rsid w:val="00B24889"/>
    <w:rsid w:val="00B25049"/>
    <w:rsid w:val="00B252BF"/>
    <w:rsid w:val="00B25784"/>
    <w:rsid w:val="00B259B2"/>
    <w:rsid w:val="00B25CE3"/>
    <w:rsid w:val="00B26311"/>
    <w:rsid w:val="00B26AD4"/>
    <w:rsid w:val="00B2718C"/>
    <w:rsid w:val="00B27301"/>
    <w:rsid w:val="00B3168F"/>
    <w:rsid w:val="00B31777"/>
    <w:rsid w:val="00B32ABA"/>
    <w:rsid w:val="00B32B81"/>
    <w:rsid w:val="00B32B86"/>
    <w:rsid w:val="00B33503"/>
    <w:rsid w:val="00B33A53"/>
    <w:rsid w:val="00B34C8B"/>
    <w:rsid w:val="00B35771"/>
    <w:rsid w:val="00B363C3"/>
    <w:rsid w:val="00B3754D"/>
    <w:rsid w:val="00B40128"/>
    <w:rsid w:val="00B4184A"/>
    <w:rsid w:val="00B41A61"/>
    <w:rsid w:val="00B41AC5"/>
    <w:rsid w:val="00B42F8C"/>
    <w:rsid w:val="00B431A4"/>
    <w:rsid w:val="00B43A7C"/>
    <w:rsid w:val="00B43C27"/>
    <w:rsid w:val="00B452A0"/>
    <w:rsid w:val="00B45640"/>
    <w:rsid w:val="00B45680"/>
    <w:rsid w:val="00B459F5"/>
    <w:rsid w:val="00B45C45"/>
    <w:rsid w:val="00B46119"/>
    <w:rsid w:val="00B464A5"/>
    <w:rsid w:val="00B466E9"/>
    <w:rsid w:val="00B46EC1"/>
    <w:rsid w:val="00B478D8"/>
    <w:rsid w:val="00B47BA9"/>
    <w:rsid w:val="00B47C07"/>
    <w:rsid w:val="00B47D7D"/>
    <w:rsid w:val="00B50E78"/>
    <w:rsid w:val="00B512FE"/>
    <w:rsid w:val="00B54239"/>
    <w:rsid w:val="00B546D8"/>
    <w:rsid w:val="00B5507A"/>
    <w:rsid w:val="00B556F3"/>
    <w:rsid w:val="00B5587B"/>
    <w:rsid w:val="00B573AB"/>
    <w:rsid w:val="00B57502"/>
    <w:rsid w:val="00B57779"/>
    <w:rsid w:val="00B57C36"/>
    <w:rsid w:val="00B60387"/>
    <w:rsid w:val="00B603CF"/>
    <w:rsid w:val="00B606FF"/>
    <w:rsid w:val="00B60703"/>
    <w:rsid w:val="00B60A12"/>
    <w:rsid w:val="00B60C7C"/>
    <w:rsid w:val="00B612A2"/>
    <w:rsid w:val="00B61A80"/>
    <w:rsid w:val="00B61E8E"/>
    <w:rsid w:val="00B631C7"/>
    <w:rsid w:val="00B63374"/>
    <w:rsid w:val="00B66A5E"/>
    <w:rsid w:val="00B67F72"/>
    <w:rsid w:val="00B71B4A"/>
    <w:rsid w:val="00B725C4"/>
    <w:rsid w:val="00B72E69"/>
    <w:rsid w:val="00B72EB9"/>
    <w:rsid w:val="00B74AAD"/>
    <w:rsid w:val="00B758BE"/>
    <w:rsid w:val="00B75C8B"/>
    <w:rsid w:val="00B765C4"/>
    <w:rsid w:val="00B76BE2"/>
    <w:rsid w:val="00B76F6A"/>
    <w:rsid w:val="00B81080"/>
    <w:rsid w:val="00B81335"/>
    <w:rsid w:val="00B81DB7"/>
    <w:rsid w:val="00B82A45"/>
    <w:rsid w:val="00B82BCF"/>
    <w:rsid w:val="00B82E45"/>
    <w:rsid w:val="00B8300E"/>
    <w:rsid w:val="00B8347F"/>
    <w:rsid w:val="00B84A01"/>
    <w:rsid w:val="00B84B55"/>
    <w:rsid w:val="00B8532E"/>
    <w:rsid w:val="00B85797"/>
    <w:rsid w:val="00B8595E"/>
    <w:rsid w:val="00B86183"/>
    <w:rsid w:val="00B8646D"/>
    <w:rsid w:val="00B86678"/>
    <w:rsid w:val="00B86B58"/>
    <w:rsid w:val="00B915FB"/>
    <w:rsid w:val="00B91865"/>
    <w:rsid w:val="00B93438"/>
    <w:rsid w:val="00B9376E"/>
    <w:rsid w:val="00B94E2B"/>
    <w:rsid w:val="00B95DF6"/>
    <w:rsid w:val="00B963BB"/>
    <w:rsid w:val="00B968DA"/>
    <w:rsid w:val="00B96956"/>
    <w:rsid w:val="00B96F84"/>
    <w:rsid w:val="00B97289"/>
    <w:rsid w:val="00B9765F"/>
    <w:rsid w:val="00B97FEE"/>
    <w:rsid w:val="00BA1721"/>
    <w:rsid w:val="00BA1854"/>
    <w:rsid w:val="00BA1897"/>
    <w:rsid w:val="00BA1D09"/>
    <w:rsid w:val="00BA2316"/>
    <w:rsid w:val="00BA24CC"/>
    <w:rsid w:val="00BA2A8F"/>
    <w:rsid w:val="00BA303D"/>
    <w:rsid w:val="00BA3D24"/>
    <w:rsid w:val="00BA44C3"/>
    <w:rsid w:val="00BA4B73"/>
    <w:rsid w:val="00BA4B81"/>
    <w:rsid w:val="00BA4E82"/>
    <w:rsid w:val="00BA54CF"/>
    <w:rsid w:val="00BA6883"/>
    <w:rsid w:val="00BA6AAC"/>
    <w:rsid w:val="00BA6E6F"/>
    <w:rsid w:val="00BA7E02"/>
    <w:rsid w:val="00BB0F53"/>
    <w:rsid w:val="00BB151A"/>
    <w:rsid w:val="00BB1A99"/>
    <w:rsid w:val="00BB2907"/>
    <w:rsid w:val="00BB296F"/>
    <w:rsid w:val="00BB2F3D"/>
    <w:rsid w:val="00BB35D7"/>
    <w:rsid w:val="00BB36A6"/>
    <w:rsid w:val="00BB3CF3"/>
    <w:rsid w:val="00BB4616"/>
    <w:rsid w:val="00BB5788"/>
    <w:rsid w:val="00BB600B"/>
    <w:rsid w:val="00BB6513"/>
    <w:rsid w:val="00BB6E1C"/>
    <w:rsid w:val="00BB7481"/>
    <w:rsid w:val="00BB789D"/>
    <w:rsid w:val="00BC1984"/>
    <w:rsid w:val="00BC2352"/>
    <w:rsid w:val="00BC36F5"/>
    <w:rsid w:val="00BC36F7"/>
    <w:rsid w:val="00BC38EE"/>
    <w:rsid w:val="00BC41AC"/>
    <w:rsid w:val="00BC424C"/>
    <w:rsid w:val="00BC59F1"/>
    <w:rsid w:val="00BC6664"/>
    <w:rsid w:val="00BC72E6"/>
    <w:rsid w:val="00BC77C1"/>
    <w:rsid w:val="00BD1B0B"/>
    <w:rsid w:val="00BD49CD"/>
    <w:rsid w:val="00BD5EEA"/>
    <w:rsid w:val="00BD6164"/>
    <w:rsid w:val="00BD72D6"/>
    <w:rsid w:val="00BE0202"/>
    <w:rsid w:val="00BE06CF"/>
    <w:rsid w:val="00BE098F"/>
    <w:rsid w:val="00BE14EE"/>
    <w:rsid w:val="00BE1A6A"/>
    <w:rsid w:val="00BE3A43"/>
    <w:rsid w:val="00BE4A65"/>
    <w:rsid w:val="00BE5F4F"/>
    <w:rsid w:val="00BE69AE"/>
    <w:rsid w:val="00BE7C40"/>
    <w:rsid w:val="00BF020D"/>
    <w:rsid w:val="00BF0581"/>
    <w:rsid w:val="00BF129B"/>
    <w:rsid w:val="00BF1E7E"/>
    <w:rsid w:val="00BF2C9D"/>
    <w:rsid w:val="00BF2F69"/>
    <w:rsid w:val="00BF3083"/>
    <w:rsid w:val="00BF3C07"/>
    <w:rsid w:val="00BF3FDE"/>
    <w:rsid w:val="00BF56F6"/>
    <w:rsid w:val="00BF5A1A"/>
    <w:rsid w:val="00BF5A2F"/>
    <w:rsid w:val="00BF6346"/>
    <w:rsid w:val="00BF77CA"/>
    <w:rsid w:val="00C0008B"/>
    <w:rsid w:val="00C001AC"/>
    <w:rsid w:val="00C0031C"/>
    <w:rsid w:val="00C0109A"/>
    <w:rsid w:val="00C01787"/>
    <w:rsid w:val="00C024FD"/>
    <w:rsid w:val="00C02515"/>
    <w:rsid w:val="00C02622"/>
    <w:rsid w:val="00C02CAE"/>
    <w:rsid w:val="00C032D1"/>
    <w:rsid w:val="00C042FE"/>
    <w:rsid w:val="00C04896"/>
    <w:rsid w:val="00C048B0"/>
    <w:rsid w:val="00C04A90"/>
    <w:rsid w:val="00C0520F"/>
    <w:rsid w:val="00C05AA1"/>
    <w:rsid w:val="00C06F0D"/>
    <w:rsid w:val="00C0705C"/>
    <w:rsid w:val="00C0711E"/>
    <w:rsid w:val="00C07CF7"/>
    <w:rsid w:val="00C10A34"/>
    <w:rsid w:val="00C1149F"/>
    <w:rsid w:val="00C118F1"/>
    <w:rsid w:val="00C12850"/>
    <w:rsid w:val="00C12BB1"/>
    <w:rsid w:val="00C12D04"/>
    <w:rsid w:val="00C13114"/>
    <w:rsid w:val="00C131EE"/>
    <w:rsid w:val="00C1326B"/>
    <w:rsid w:val="00C134B2"/>
    <w:rsid w:val="00C136F0"/>
    <w:rsid w:val="00C14692"/>
    <w:rsid w:val="00C156C0"/>
    <w:rsid w:val="00C1598F"/>
    <w:rsid w:val="00C15A1C"/>
    <w:rsid w:val="00C15A76"/>
    <w:rsid w:val="00C1602D"/>
    <w:rsid w:val="00C16CF7"/>
    <w:rsid w:val="00C17C75"/>
    <w:rsid w:val="00C17F09"/>
    <w:rsid w:val="00C201E0"/>
    <w:rsid w:val="00C20396"/>
    <w:rsid w:val="00C2152F"/>
    <w:rsid w:val="00C2153B"/>
    <w:rsid w:val="00C21546"/>
    <w:rsid w:val="00C2208F"/>
    <w:rsid w:val="00C23043"/>
    <w:rsid w:val="00C239B0"/>
    <w:rsid w:val="00C23D80"/>
    <w:rsid w:val="00C24283"/>
    <w:rsid w:val="00C24ADE"/>
    <w:rsid w:val="00C24BF5"/>
    <w:rsid w:val="00C24D77"/>
    <w:rsid w:val="00C254A6"/>
    <w:rsid w:val="00C26E75"/>
    <w:rsid w:val="00C276AE"/>
    <w:rsid w:val="00C277BD"/>
    <w:rsid w:val="00C3024F"/>
    <w:rsid w:val="00C30C51"/>
    <w:rsid w:val="00C30CB7"/>
    <w:rsid w:val="00C31A7E"/>
    <w:rsid w:val="00C32376"/>
    <w:rsid w:val="00C32AF3"/>
    <w:rsid w:val="00C32BA1"/>
    <w:rsid w:val="00C32E18"/>
    <w:rsid w:val="00C34930"/>
    <w:rsid w:val="00C34D5F"/>
    <w:rsid w:val="00C354CE"/>
    <w:rsid w:val="00C3578D"/>
    <w:rsid w:val="00C360F4"/>
    <w:rsid w:val="00C36739"/>
    <w:rsid w:val="00C369EA"/>
    <w:rsid w:val="00C36F1F"/>
    <w:rsid w:val="00C36FF1"/>
    <w:rsid w:val="00C37170"/>
    <w:rsid w:val="00C3797C"/>
    <w:rsid w:val="00C40A31"/>
    <w:rsid w:val="00C40E8D"/>
    <w:rsid w:val="00C40F3E"/>
    <w:rsid w:val="00C4138C"/>
    <w:rsid w:val="00C41CF2"/>
    <w:rsid w:val="00C4232C"/>
    <w:rsid w:val="00C4253D"/>
    <w:rsid w:val="00C426C6"/>
    <w:rsid w:val="00C427E9"/>
    <w:rsid w:val="00C4330F"/>
    <w:rsid w:val="00C439BE"/>
    <w:rsid w:val="00C43F08"/>
    <w:rsid w:val="00C44C29"/>
    <w:rsid w:val="00C44DB0"/>
    <w:rsid w:val="00C45655"/>
    <w:rsid w:val="00C4575F"/>
    <w:rsid w:val="00C4613D"/>
    <w:rsid w:val="00C46654"/>
    <w:rsid w:val="00C47081"/>
    <w:rsid w:val="00C47D29"/>
    <w:rsid w:val="00C50B99"/>
    <w:rsid w:val="00C51994"/>
    <w:rsid w:val="00C52068"/>
    <w:rsid w:val="00C52666"/>
    <w:rsid w:val="00C5298D"/>
    <w:rsid w:val="00C52A40"/>
    <w:rsid w:val="00C531C3"/>
    <w:rsid w:val="00C5343A"/>
    <w:rsid w:val="00C53871"/>
    <w:rsid w:val="00C53B54"/>
    <w:rsid w:val="00C54276"/>
    <w:rsid w:val="00C547F3"/>
    <w:rsid w:val="00C54C44"/>
    <w:rsid w:val="00C558D4"/>
    <w:rsid w:val="00C561D0"/>
    <w:rsid w:val="00C56297"/>
    <w:rsid w:val="00C5663E"/>
    <w:rsid w:val="00C5688D"/>
    <w:rsid w:val="00C56EA6"/>
    <w:rsid w:val="00C577EA"/>
    <w:rsid w:val="00C57F54"/>
    <w:rsid w:val="00C61A2C"/>
    <w:rsid w:val="00C62479"/>
    <w:rsid w:val="00C6315F"/>
    <w:rsid w:val="00C636CA"/>
    <w:rsid w:val="00C640AF"/>
    <w:rsid w:val="00C64231"/>
    <w:rsid w:val="00C644D5"/>
    <w:rsid w:val="00C64962"/>
    <w:rsid w:val="00C6590F"/>
    <w:rsid w:val="00C66011"/>
    <w:rsid w:val="00C66169"/>
    <w:rsid w:val="00C66781"/>
    <w:rsid w:val="00C66F28"/>
    <w:rsid w:val="00C67757"/>
    <w:rsid w:val="00C70103"/>
    <w:rsid w:val="00C70177"/>
    <w:rsid w:val="00C71650"/>
    <w:rsid w:val="00C71BE5"/>
    <w:rsid w:val="00C71FE9"/>
    <w:rsid w:val="00C72171"/>
    <w:rsid w:val="00C72B3E"/>
    <w:rsid w:val="00C72C82"/>
    <w:rsid w:val="00C72E52"/>
    <w:rsid w:val="00C738AF"/>
    <w:rsid w:val="00C73D30"/>
    <w:rsid w:val="00C7442F"/>
    <w:rsid w:val="00C745BC"/>
    <w:rsid w:val="00C746D5"/>
    <w:rsid w:val="00C750EE"/>
    <w:rsid w:val="00C75758"/>
    <w:rsid w:val="00C76EAA"/>
    <w:rsid w:val="00C7717E"/>
    <w:rsid w:val="00C80251"/>
    <w:rsid w:val="00C80A9E"/>
    <w:rsid w:val="00C81410"/>
    <w:rsid w:val="00C8159B"/>
    <w:rsid w:val="00C8348A"/>
    <w:rsid w:val="00C84D02"/>
    <w:rsid w:val="00C8500B"/>
    <w:rsid w:val="00C85045"/>
    <w:rsid w:val="00C85F94"/>
    <w:rsid w:val="00C86330"/>
    <w:rsid w:val="00C86FA1"/>
    <w:rsid w:val="00C8725F"/>
    <w:rsid w:val="00C87641"/>
    <w:rsid w:val="00C87A0F"/>
    <w:rsid w:val="00C87C51"/>
    <w:rsid w:val="00C90416"/>
    <w:rsid w:val="00C90C09"/>
    <w:rsid w:val="00C91FD9"/>
    <w:rsid w:val="00C9416D"/>
    <w:rsid w:val="00C9549B"/>
    <w:rsid w:val="00C955D1"/>
    <w:rsid w:val="00C9575F"/>
    <w:rsid w:val="00C95C8E"/>
    <w:rsid w:val="00C95DEC"/>
    <w:rsid w:val="00C961D7"/>
    <w:rsid w:val="00C96569"/>
    <w:rsid w:val="00CA10E7"/>
    <w:rsid w:val="00CA1545"/>
    <w:rsid w:val="00CA1981"/>
    <w:rsid w:val="00CA1AFD"/>
    <w:rsid w:val="00CA1F08"/>
    <w:rsid w:val="00CA2140"/>
    <w:rsid w:val="00CA253A"/>
    <w:rsid w:val="00CA2A71"/>
    <w:rsid w:val="00CA342D"/>
    <w:rsid w:val="00CA34A8"/>
    <w:rsid w:val="00CA4606"/>
    <w:rsid w:val="00CA5DFB"/>
    <w:rsid w:val="00CA618E"/>
    <w:rsid w:val="00CA7124"/>
    <w:rsid w:val="00CA7331"/>
    <w:rsid w:val="00CA7ACC"/>
    <w:rsid w:val="00CA7AD6"/>
    <w:rsid w:val="00CB07C4"/>
    <w:rsid w:val="00CB108B"/>
    <w:rsid w:val="00CB13EB"/>
    <w:rsid w:val="00CB19D5"/>
    <w:rsid w:val="00CB1FB4"/>
    <w:rsid w:val="00CB30A3"/>
    <w:rsid w:val="00CB419A"/>
    <w:rsid w:val="00CB4B5E"/>
    <w:rsid w:val="00CB56B9"/>
    <w:rsid w:val="00CB5EB5"/>
    <w:rsid w:val="00CB62E7"/>
    <w:rsid w:val="00CB663E"/>
    <w:rsid w:val="00CB670F"/>
    <w:rsid w:val="00CB6C97"/>
    <w:rsid w:val="00CB7B96"/>
    <w:rsid w:val="00CB7F54"/>
    <w:rsid w:val="00CC009C"/>
    <w:rsid w:val="00CC03A2"/>
    <w:rsid w:val="00CC0BCB"/>
    <w:rsid w:val="00CC20EE"/>
    <w:rsid w:val="00CC28D1"/>
    <w:rsid w:val="00CC363C"/>
    <w:rsid w:val="00CC3BD2"/>
    <w:rsid w:val="00CC408F"/>
    <w:rsid w:val="00CC5019"/>
    <w:rsid w:val="00CC64AA"/>
    <w:rsid w:val="00CC73E0"/>
    <w:rsid w:val="00CC79A9"/>
    <w:rsid w:val="00CD042E"/>
    <w:rsid w:val="00CD188C"/>
    <w:rsid w:val="00CD21D5"/>
    <w:rsid w:val="00CD2585"/>
    <w:rsid w:val="00CD2910"/>
    <w:rsid w:val="00CD2B32"/>
    <w:rsid w:val="00CD2C24"/>
    <w:rsid w:val="00CD3513"/>
    <w:rsid w:val="00CD3AA7"/>
    <w:rsid w:val="00CD42B4"/>
    <w:rsid w:val="00CD521B"/>
    <w:rsid w:val="00CD5F5C"/>
    <w:rsid w:val="00CD63CC"/>
    <w:rsid w:val="00CD65C6"/>
    <w:rsid w:val="00CD6EB9"/>
    <w:rsid w:val="00CD70EB"/>
    <w:rsid w:val="00CD7C93"/>
    <w:rsid w:val="00CE0580"/>
    <w:rsid w:val="00CE0EBF"/>
    <w:rsid w:val="00CE1502"/>
    <w:rsid w:val="00CE16D1"/>
    <w:rsid w:val="00CE1ECE"/>
    <w:rsid w:val="00CE2134"/>
    <w:rsid w:val="00CE31FC"/>
    <w:rsid w:val="00CE423D"/>
    <w:rsid w:val="00CE45EB"/>
    <w:rsid w:val="00CE478C"/>
    <w:rsid w:val="00CE7812"/>
    <w:rsid w:val="00CF0371"/>
    <w:rsid w:val="00CF1ACB"/>
    <w:rsid w:val="00CF1D9F"/>
    <w:rsid w:val="00CF2115"/>
    <w:rsid w:val="00CF2603"/>
    <w:rsid w:val="00CF27FC"/>
    <w:rsid w:val="00CF2D81"/>
    <w:rsid w:val="00CF3470"/>
    <w:rsid w:val="00CF37BF"/>
    <w:rsid w:val="00CF43D1"/>
    <w:rsid w:val="00CF5993"/>
    <w:rsid w:val="00CF6463"/>
    <w:rsid w:val="00CF690C"/>
    <w:rsid w:val="00CF6E57"/>
    <w:rsid w:val="00CF7285"/>
    <w:rsid w:val="00CF7463"/>
    <w:rsid w:val="00CF79FE"/>
    <w:rsid w:val="00D0029A"/>
    <w:rsid w:val="00D00579"/>
    <w:rsid w:val="00D0065F"/>
    <w:rsid w:val="00D00A99"/>
    <w:rsid w:val="00D03E2A"/>
    <w:rsid w:val="00D05521"/>
    <w:rsid w:val="00D0579D"/>
    <w:rsid w:val="00D05D2D"/>
    <w:rsid w:val="00D06B93"/>
    <w:rsid w:val="00D06D42"/>
    <w:rsid w:val="00D07510"/>
    <w:rsid w:val="00D07543"/>
    <w:rsid w:val="00D07A2C"/>
    <w:rsid w:val="00D07AD0"/>
    <w:rsid w:val="00D104A9"/>
    <w:rsid w:val="00D104E1"/>
    <w:rsid w:val="00D11C38"/>
    <w:rsid w:val="00D129ED"/>
    <w:rsid w:val="00D12F17"/>
    <w:rsid w:val="00D131EE"/>
    <w:rsid w:val="00D13C94"/>
    <w:rsid w:val="00D13D97"/>
    <w:rsid w:val="00D13EBC"/>
    <w:rsid w:val="00D14041"/>
    <w:rsid w:val="00D14319"/>
    <w:rsid w:val="00D14B93"/>
    <w:rsid w:val="00D155DF"/>
    <w:rsid w:val="00D15997"/>
    <w:rsid w:val="00D15AB9"/>
    <w:rsid w:val="00D15C28"/>
    <w:rsid w:val="00D161C3"/>
    <w:rsid w:val="00D167F5"/>
    <w:rsid w:val="00D17323"/>
    <w:rsid w:val="00D208D7"/>
    <w:rsid w:val="00D2135B"/>
    <w:rsid w:val="00D21A70"/>
    <w:rsid w:val="00D227F0"/>
    <w:rsid w:val="00D22E9F"/>
    <w:rsid w:val="00D23A53"/>
    <w:rsid w:val="00D23B73"/>
    <w:rsid w:val="00D2559F"/>
    <w:rsid w:val="00D25A13"/>
    <w:rsid w:val="00D2623D"/>
    <w:rsid w:val="00D2647D"/>
    <w:rsid w:val="00D26945"/>
    <w:rsid w:val="00D2748B"/>
    <w:rsid w:val="00D302E8"/>
    <w:rsid w:val="00D305CF"/>
    <w:rsid w:val="00D30640"/>
    <w:rsid w:val="00D30F9C"/>
    <w:rsid w:val="00D31483"/>
    <w:rsid w:val="00D31927"/>
    <w:rsid w:val="00D329F5"/>
    <w:rsid w:val="00D33121"/>
    <w:rsid w:val="00D3416D"/>
    <w:rsid w:val="00D348BF"/>
    <w:rsid w:val="00D364DD"/>
    <w:rsid w:val="00D365F0"/>
    <w:rsid w:val="00D36C10"/>
    <w:rsid w:val="00D37274"/>
    <w:rsid w:val="00D404A7"/>
    <w:rsid w:val="00D409E1"/>
    <w:rsid w:val="00D42235"/>
    <w:rsid w:val="00D43364"/>
    <w:rsid w:val="00D448C8"/>
    <w:rsid w:val="00D45F82"/>
    <w:rsid w:val="00D460B2"/>
    <w:rsid w:val="00D460FE"/>
    <w:rsid w:val="00D47476"/>
    <w:rsid w:val="00D475C2"/>
    <w:rsid w:val="00D479E1"/>
    <w:rsid w:val="00D47A3A"/>
    <w:rsid w:val="00D50BD6"/>
    <w:rsid w:val="00D51599"/>
    <w:rsid w:val="00D51F38"/>
    <w:rsid w:val="00D54AF5"/>
    <w:rsid w:val="00D54F22"/>
    <w:rsid w:val="00D565F3"/>
    <w:rsid w:val="00D56D8D"/>
    <w:rsid w:val="00D5730E"/>
    <w:rsid w:val="00D60A52"/>
    <w:rsid w:val="00D612F5"/>
    <w:rsid w:val="00D61338"/>
    <w:rsid w:val="00D618B7"/>
    <w:rsid w:val="00D61B88"/>
    <w:rsid w:val="00D6248D"/>
    <w:rsid w:val="00D626E8"/>
    <w:rsid w:val="00D627E4"/>
    <w:rsid w:val="00D628E6"/>
    <w:rsid w:val="00D62EB6"/>
    <w:rsid w:val="00D63A42"/>
    <w:rsid w:val="00D63EE5"/>
    <w:rsid w:val="00D641CB"/>
    <w:rsid w:val="00D6778C"/>
    <w:rsid w:val="00D7048F"/>
    <w:rsid w:val="00D70626"/>
    <w:rsid w:val="00D7081B"/>
    <w:rsid w:val="00D70ED1"/>
    <w:rsid w:val="00D71114"/>
    <w:rsid w:val="00D71390"/>
    <w:rsid w:val="00D71C8D"/>
    <w:rsid w:val="00D71EE8"/>
    <w:rsid w:val="00D73374"/>
    <w:rsid w:val="00D73628"/>
    <w:rsid w:val="00D74736"/>
    <w:rsid w:val="00D74C91"/>
    <w:rsid w:val="00D764FE"/>
    <w:rsid w:val="00D76657"/>
    <w:rsid w:val="00D76BE7"/>
    <w:rsid w:val="00D76DA0"/>
    <w:rsid w:val="00D77155"/>
    <w:rsid w:val="00D77D7F"/>
    <w:rsid w:val="00D803C9"/>
    <w:rsid w:val="00D80837"/>
    <w:rsid w:val="00D80ECD"/>
    <w:rsid w:val="00D822B9"/>
    <w:rsid w:val="00D82803"/>
    <w:rsid w:val="00D82DC8"/>
    <w:rsid w:val="00D8345C"/>
    <w:rsid w:val="00D8382E"/>
    <w:rsid w:val="00D83B87"/>
    <w:rsid w:val="00D843A9"/>
    <w:rsid w:val="00D84948"/>
    <w:rsid w:val="00D86B40"/>
    <w:rsid w:val="00D86C5F"/>
    <w:rsid w:val="00D86C71"/>
    <w:rsid w:val="00D87043"/>
    <w:rsid w:val="00D8774E"/>
    <w:rsid w:val="00D877C1"/>
    <w:rsid w:val="00D8799C"/>
    <w:rsid w:val="00D90038"/>
    <w:rsid w:val="00D90926"/>
    <w:rsid w:val="00D90B0D"/>
    <w:rsid w:val="00D90B86"/>
    <w:rsid w:val="00D91894"/>
    <w:rsid w:val="00D919A1"/>
    <w:rsid w:val="00D91D28"/>
    <w:rsid w:val="00D92C7B"/>
    <w:rsid w:val="00D92D18"/>
    <w:rsid w:val="00D93814"/>
    <w:rsid w:val="00D9424D"/>
    <w:rsid w:val="00D94520"/>
    <w:rsid w:val="00D94542"/>
    <w:rsid w:val="00D9511C"/>
    <w:rsid w:val="00D9575D"/>
    <w:rsid w:val="00D96A26"/>
    <w:rsid w:val="00D97C01"/>
    <w:rsid w:val="00DA094A"/>
    <w:rsid w:val="00DA0B19"/>
    <w:rsid w:val="00DA114B"/>
    <w:rsid w:val="00DA2ACE"/>
    <w:rsid w:val="00DA3B43"/>
    <w:rsid w:val="00DA423D"/>
    <w:rsid w:val="00DA5013"/>
    <w:rsid w:val="00DA51D3"/>
    <w:rsid w:val="00DA5390"/>
    <w:rsid w:val="00DA54EF"/>
    <w:rsid w:val="00DA57BE"/>
    <w:rsid w:val="00DA59E5"/>
    <w:rsid w:val="00DA6710"/>
    <w:rsid w:val="00DA6C3F"/>
    <w:rsid w:val="00DA6E11"/>
    <w:rsid w:val="00DA7E6A"/>
    <w:rsid w:val="00DB0628"/>
    <w:rsid w:val="00DB06CF"/>
    <w:rsid w:val="00DB114B"/>
    <w:rsid w:val="00DB1634"/>
    <w:rsid w:val="00DB24B2"/>
    <w:rsid w:val="00DB28B6"/>
    <w:rsid w:val="00DB35CD"/>
    <w:rsid w:val="00DB45E3"/>
    <w:rsid w:val="00DB4C40"/>
    <w:rsid w:val="00DB4D25"/>
    <w:rsid w:val="00DB5D56"/>
    <w:rsid w:val="00DB5F95"/>
    <w:rsid w:val="00DB614A"/>
    <w:rsid w:val="00DB622B"/>
    <w:rsid w:val="00DB6DB2"/>
    <w:rsid w:val="00DB7F86"/>
    <w:rsid w:val="00DC030F"/>
    <w:rsid w:val="00DC0C78"/>
    <w:rsid w:val="00DC204D"/>
    <w:rsid w:val="00DC2412"/>
    <w:rsid w:val="00DC2781"/>
    <w:rsid w:val="00DC2E5B"/>
    <w:rsid w:val="00DC2FDE"/>
    <w:rsid w:val="00DC337D"/>
    <w:rsid w:val="00DC33E9"/>
    <w:rsid w:val="00DC372F"/>
    <w:rsid w:val="00DC39B4"/>
    <w:rsid w:val="00DC3AE4"/>
    <w:rsid w:val="00DC4EE9"/>
    <w:rsid w:val="00DC504F"/>
    <w:rsid w:val="00DC514C"/>
    <w:rsid w:val="00DC573B"/>
    <w:rsid w:val="00DC585E"/>
    <w:rsid w:val="00DC588A"/>
    <w:rsid w:val="00DC5C76"/>
    <w:rsid w:val="00DC6382"/>
    <w:rsid w:val="00DC6651"/>
    <w:rsid w:val="00DC68BB"/>
    <w:rsid w:val="00DC72A4"/>
    <w:rsid w:val="00DC7B3D"/>
    <w:rsid w:val="00DD03BF"/>
    <w:rsid w:val="00DD0572"/>
    <w:rsid w:val="00DD05C6"/>
    <w:rsid w:val="00DD0729"/>
    <w:rsid w:val="00DD0F53"/>
    <w:rsid w:val="00DD0FF1"/>
    <w:rsid w:val="00DD40BB"/>
    <w:rsid w:val="00DD41B2"/>
    <w:rsid w:val="00DD4555"/>
    <w:rsid w:val="00DD4560"/>
    <w:rsid w:val="00DD69C1"/>
    <w:rsid w:val="00DD7B97"/>
    <w:rsid w:val="00DE02C4"/>
    <w:rsid w:val="00DE055D"/>
    <w:rsid w:val="00DE1166"/>
    <w:rsid w:val="00DE123E"/>
    <w:rsid w:val="00DE186D"/>
    <w:rsid w:val="00DE1F41"/>
    <w:rsid w:val="00DE2365"/>
    <w:rsid w:val="00DE2622"/>
    <w:rsid w:val="00DE2A36"/>
    <w:rsid w:val="00DE3114"/>
    <w:rsid w:val="00DE31C5"/>
    <w:rsid w:val="00DE3342"/>
    <w:rsid w:val="00DE366C"/>
    <w:rsid w:val="00DE391A"/>
    <w:rsid w:val="00DE3AA2"/>
    <w:rsid w:val="00DE4AEB"/>
    <w:rsid w:val="00DE560F"/>
    <w:rsid w:val="00DE62FA"/>
    <w:rsid w:val="00DE660E"/>
    <w:rsid w:val="00DE680E"/>
    <w:rsid w:val="00DE6EF1"/>
    <w:rsid w:val="00DE7F30"/>
    <w:rsid w:val="00DF0948"/>
    <w:rsid w:val="00DF0B61"/>
    <w:rsid w:val="00DF0C2F"/>
    <w:rsid w:val="00DF182F"/>
    <w:rsid w:val="00DF19E9"/>
    <w:rsid w:val="00DF1BE4"/>
    <w:rsid w:val="00DF3720"/>
    <w:rsid w:val="00DF3E1C"/>
    <w:rsid w:val="00DF4B97"/>
    <w:rsid w:val="00DF4C9E"/>
    <w:rsid w:val="00DF512F"/>
    <w:rsid w:val="00DF557A"/>
    <w:rsid w:val="00DF5867"/>
    <w:rsid w:val="00DF5D26"/>
    <w:rsid w:val="00DF68BD"/>
    <w:rsid w:val="00DF7A96"/>
    <w:rsid w:val="00DF7EBE"/>
    <w:rsid w:val="00E00C06"/>
    <w:rsid w:val="00E00E1C"/>
    <w:rsid w:val="00E00E32"/>
    <w:rsid w:val="00E01325"/>
    <w:rsid w:val="00E01607"/>
    <w:rsid w:val="00E0252E"/>
    <w:rsid w:val="00E028EE"/>
    <w:rsid w:val="00E06EB6"/>
    <w:rsid w:val="00E10172"/>
    <w:rsid w:val="00E10FA8"/>
    <w:rsid w:val="00E118D2"/>
    <w:rsid w:val="00E1196B"/>
    <w:rsid w:val="00E1212D"/>
    <w:rsid w:val="00E133F6"/>
    <w:rsid w:val="00E147AF"/>
    <w:rsid w:val="00E150B7"/>
    <w:rsid w:val="00E1528A"/>
    <w:rsid w:val="00E15958"/>
    <w:rsid w:val="00E15B32"/>
    <w:rsid w:val="00E16DC6"/>
    <w:rsid w:val="00E1707F"/>
    <w:rsid w:val="00E205D5"/>
    <w:rsid w:val="00E20FF0"/>
    <w:rsid w:val="00E21A09"/>
    <w:rsid w:val="00E21B88"/>
    <w:rsid w:val="00E22969"/>
    <w:rsid w:val="00E22984"/>
    <w:rsid w:val="00E2313D"/>
    <w:rsid w:val="00E23772"/>
    <w:rsid w:val="00E25599"/>
    <w:rsid w:val="00E265BB"/>
    <w:rsid w:val="00E270F5"/>
    <w:rsid w:val="00E3017E"/>
    <w:rsid w:val="00E30E6E"/>
    <w:rsid w:val="00E3124F"/>
    <w:rsid w:val="00E31E79"/>
    <w:rsid w:val="00E32430"/>
    <w:rsid w:val="00E32777"/>
    <w:rsid w:val="00E332C5"/>
    <w:rsid w:val="00E33488"/>
    <w:rsid w:val="00E337CC"/>
    <w:rsid w:val="00E345E5"/>
    <w:rsid w:val="00E34D72"/>
    <w:rsid w:val="00E35F85"/>
    <w:rsid w:val="00E367F7"/>
    <w:rsid w:val="00E37DAC"/>
    <w:rsid w:val="00E40360"/>
    <w:rsid w:val="00E40977"/>
    <w:rsid w:val="00E41252"/>
    <w:rsid w:val="00E421BC"/>
    <w:rsid w:val="00E42485"/>
    <w:rsid w:val="00E429A6"/>
    <w:rsid w:val="00E429FF"/>
    <w:rsid w:val="00E43BD1"/>
    <w:rsid w:val="00E43D9C"/>
    <w:rsid w:val="00E462C0"/>
    <w:rsid w:val="00E46B3D"/>
    <w:rsid w:val="00E4784B"/>
    <w:rsid w:val="00E503C8"/>
    <w:rsid w:val="00E5050B"/>
    <w:rsid w:val="00E50670"/>
    <w:rsid w:val="00E509CB"/>
    <w:rsid w:val="00E50E9C"/>
    <w:rsid w:val="00E51C5C"/>
    <w:rsid w:val="00E51E11"/>
    <w:rsid w:val="00E522BA"/>
    <w:rsid w:val="00E5273C"/>
    <w:rsid w:val="00E5284E"/>
    <w:rsid w:val="00E52B91"/>
    <w:rsid w:val="00E52CB3"/>
    <w:rsid w:val="00E52E21"/>
    <w:rsid w:val="00E52F1C"/>
    <w:rsid w:val="00E53F5E"/>
    <w:rsid w:val="00E553F3"/>
    <w:rsid w:val="00E55A9F"/>
    <w:rsid w:val="00E55F16"/>
    <w:rsid w:val="00E563AC"/>
    <w:rsid w:val="00E56626"/>
    <w:rsid w:val="00E56B18"/>
    <w:rsid w:val="00E57689"/>
    <w:rsid w:val="00E578AC"/>
    <w:rsid w:val="00E60510"/>
    <w:rsid w:val="00E60FA3"/>
    <w:rsid w:val="00E611BC"/>
    <w:rsid w:val="00E61DE0"/>
    <w:rsid w:val="00E622FF"/>
    <w:rsid w:val="00E6296C"/>
    <w:rsid w:val="00E62980"/>
    <w:rsid w:val="00E62F36"/>
    <w:rsid w:val="00E63237"/>
    <w:rsid w:val="00E6367F"/>
    <w:rsid w:val="00E63BAE"/>
    <w:rsid w:val="00E64BEC"/>
    <w:rsid w:val="00E64C04"/>
    <w:rsid w:val="00E64D25"/>
    <w:rsid w:val="00E652B5"/>
    <w:rsid w:val="00E65547"/>
    <w:rsid w:val="00E656C1"/>
    <w:rsid w:val="00E657B4"/>
    <w:rsid w:val="00E659FA"/>
    <w:rsid w:val="00E6777F"/>
    <w:rsid w:val="00E67D93"/>
    <w:rsid w:val="00E67F38"/>
    <w:rsid w:val="00E70A80"/>
    <w:rsid w:val="00E70E0C"/>
    <w:rsid w:val="00E70EB7"/>
    <w:rsid w:val="00E7117D"/>
    <w:rsid w:val="00E71889"/>
    <w:rsid w:val="00E72D6F"/>
    <w:rsid w:val="00E74931"/>
    <w:rsid w:val="00E762FD"/>
    <w:rsid w:val="00E76E82"/>
    <w:rsid w:val="00E80069"/>
    <w:rsid w:val="00E804F8"/>
    <w:rsid w:val="00E80E46"/>
    <w:rsid w:val="00E81DB1"/>
    <w:rsid w:val="00E824E2"/>
    <w:rsid w:val="00E82D4B"/>
    <w:rsid w:val="00E841AA"/>
    <w:rsid w:val="00E84432"/>
    <w:rsid w:val="00E84DDC"/>
    <w:rsid w:val="00E86E1D"/>
    <w:rsid w:val="00E90A98"/>
    <w:rsid w:val="00E915B3"/>
    <w:rsid w:val="00E9171D"/>
    <w:rsid w:val="00E918E6"/>
    <w:rsid w:val="00E93496"/>
    <w:rsid w:val="00E93694"/>
    <w:rsid w:val="00E936DB"/>
    <w:rsid w:val="00E93A44"/>
    <w:rsid w:val="00E94092"/>
    <w:rsid w:val="00E94ECD"/>
    <w:rsid w:val="00E951F8"/>
    <w:rsid w:val="00E95D39"/>
    <w:rsid w:val="00E95E0D"/>
    <w:rsid w:val="00E962A5"/>
    <w:rsid w:val="00E96512"/>
    <w:rsid w:val="00E96A36"/>
    <w:rsid w:val="00E970E7"/>
    <w:rsid w:val="00E97615"/>
    <w:rsid w:val="00E97CBD"/>
    <w:rsid w:val="00EA042C"/>
    <w:rsid w:val="00EA0AD9"/>
    <w:rsid w:val="00EA12D1"/>
    <w:rsid w:val="00EA16F2"/>
    <w:rsid w:val="00EA1D4A"/>
    <w:rsid w:val="00EA1F8F"/>
    <w:rsid w:val="00EA36D0"/>
    <w:rsid w:val="00EA4169"/>
    <w:rsid w:val="00EA464F"/>
    <w:rsid w:val="00EA5098"/>
    <w:rsid w:val="00EA5654"/>
    <w:rsid w:val="00EA5D92"/>
    <w:rsid w:val="00EA60AF"/>
    <w:rsid w:val="00EA6457"/>
    <w:rsid w:val="00EA7211"/>
    <w:rsid w:val="00EA7E5F"/>
    <w:rsid w:val="00EB0DB4"/>
    <w:rsid w:val="00EB111A"/>
    <w:rsid w:val="00EB2137"/>
    <w:rsid w:val="00EB2A49"/>
    <w:rsid w:val="00EB41C4"/>
    <w:rsid w:val="00EB4281"/>
    <w:rsid w:val="00EB4C93"/>
    <w:rsid w:val="00EB64DE"/>
    <w:rsid w:val="00EB6E85"/>
    <w:rsid w:val="00EB6F7A"/>
    <w:rsid w:val="00EB745F"/>
    <w:rsid w:val="00EC0495"/>
    <w:rsid w:val="00EC20C8"/>
    <w:rsid w:val="00EC21CA"/>
    <w:rsid w:val="00EC2382"/>
    <w:rsid w:val="00EC2D00"/>
    <w:rsid w:val="00EC3F5D"/>
    <w:rsid w:val="00EC4D54"/>
    <w:rsid w:val="00EC4E4F"/>
    <w:rsid w:val="00EC4EA4"/>
    <w:rsid w:val="00EC58B7"/>
    <w:rsid w:val="00EC5A47"/>
    <w:rsid w:val="00EC6434"/>
    <w:rsid w:val="00EC69E1"/>
    <w:rsid w:val="00EC75E6"/>
    <w:rsid w:val="00ED10E9"/>
    <w:rsid w:val="00ED2B77"/>
    <w:rsid w:val="00ED2C53"/>
    <w:rsid w:val="00ED2E92"/>
    <w:rsid w:val="00ED314F"/>
    <w:rsid w:val="00ED3579"/>
    <w:rsid w:val="00ED3D79"/>
    <w:rsid w:val="00ED4547"/>
    <w:rsid w:val="00ED4A4D"/>
    <w:rsid w:val="00ED59E5"/>
    <w:rsid w:val="00ED5DA8"/>
    <w:rsid w:val="00ED694B"/>
    <w:rsid w:val="00ED69E0"/>
    <w:rsid w:val="00EE000B"/>
    <w:rsid w:val="00EE04A7"/>
    <w:rsid w:val="00EE115A"/>
    <w:rsid w:val="00EE1838"/>
    <w:rsid w:val="00EE1C47"/>
    <w:rsid w:val="00EE426D"/>
    <w:rsid w:val="00EE4541"/>
    <w:rsid w:val="00EE4CBF"/>
    <w:rsid w:val="00EE5730"/>
    <w:rsid w:val="00EE6A21"/>
    <w:rsid w:val="00EE6DD9"/>
    <w:rsid w:val="00EE743A"/>
    <w:rsid w:val="00EE7827"/>
    <w:rsid w:val="00EE7E05"/>
    <w:rsid w:val="00EF00DA"/>
    <w:rsid w:val="00EF0525"/>
    <w:rsid w:val="00EF062B"/>
    <w:rsid w:val="00EF068E"/>
    <w:rsid w:val="00EF074B"/>
    <w:rsid w:val="00EF1A17"/>
    <w:rsid w:val="00EF1D5B"/>
    <w:rsid w:val="00EF2B27"/>
    <w:rsid w:val="00EF31F7"/>
    <w:rsid w:val="00EF33CE"/>
    <w:rsid w:val="00EF37F7"/>
    <w:rsid w:val="00EF41E8"/>
    <w:rsid w:val="00EF56B4"/>
    <w:rsid w:val="00EF6148"/>
    <w:rsid w:val="00EF6449"/>
    <w:rsid w:val="00EF6ADC"/>
    <w:rsid w:val="00EF7A03"/>
    <w:rsid w:val="00EF7AF2"/>
    <w:rsid w:val="00F0064F"/>
    <w:rsid w:val="00F00D88"/>
    <w:rsid w:val="00F019CC"/>
    <w:rsid w:val="00F01D1F"/>
    <w:rsid w:val="00F02156"/>
    <w:rsid w:val="00F024E6"/>
    <w:rsid w:val="00F02788"/>
    <w:rsid w:val="00F02B13"/>
    <w:rsid w:val="00F02DF8"/>
    <w:rsid w:val="00F0329B"/>
    <w:rsid w:val="00F0330C"/>
    <w:rsid w:val="00F04006"/>
    <w:rsid w:val="00F0413B"/>
    <w:rsid w:val="00F048C6"/>
    <w:rsid w:val="00F04935"/>
    <w:rsid w:val="00F05779"/>
    <w:rsid w:val="00F06D9A"/>
    <w:rsid w:val="00F073CC"/>
    <w:rsid w:val="00F073D5"/>
    <w:rsid w:val="00F07654"/>
    <w:rsid w:val="00F1096C"/>
    <w:rsid w:val="00F10ECC"/>
    <w:rsid w:val="00F1162E"/>
    <w:rsid w:val="00F11ABC"/>
    <w:rsid w:val="00F123BA"/>
    <w:rsid w:val="00F12FF2"/>
    <w:rsid w:val="00F14FD0"/>
    <w:rsid w:val="00F1567D"/>
    <w:rsid w:val="00F156FD"/>
    <w:rsid w:val="00F166B2"/>
    <w:rsid w:val="00F16C99"/>
    <w:rsid w:val="00F171D1"/>
    <w:rsid w:val="00F1737F"/>
    <w:rsid w:val="00F17BBC"/>
    <w:rsid w:val="00F20551"/>
    <w:rsid w:val="00F20699"/>
    <w:rsid w:val="00F216E5"/>
    <w:rsid w:val="00F21E62"/>
    <w:rsid w:val="00F22A1E"/>
    <w:rsid w:val="00F23631"/>
    <w:rsid w:val="00F23A89"/>
    <w:rsid w:val="00F23FF5"/>
    <w:rsid w:val="00F243DC"/>
    <w:rsid w:val="00F247A2"/>
    <w:rsid w:val="00F265F6"/>
    <w:rsid w:val="00F26C61"/>
    <w:rsid w:val="00F273EB"/>
    <w:rsid w:val="00F276CE"/>
    <w:rsid w:val="00F27DD7"/>
    <w:rsid w:val="00F27EC0"/>
    <w:rsid w:val="00F30241"/>
    <w:rsid w:val="00F30A20"/>
    <w:rsid w:val="00F30C33"/>
    <w:rsid w:val="00F30FAC"/>
    <w:rsid w:val="00F31F9A"/>
    <w:rsid w:val="00F328DC"/>
    <w:rsid w:val="00F34136"/>
    <w:rsid w:val="00F36469"/>
    <w:rsid w:val="00F36CDC"/>
    <w:rsid w:val="00F3710E"/>
    <w:rsid w:val="00F37981"/>
    <w:rsid w:val="00F37C02"/>
    <w:rsid w:val="00F37CDD"/>
    <w:rsid w:val="00F37DA6"/>
    <w:rsid w:val="00F4058B"/>
    <w:rsid w:val="00F40A52"/>
    <w:rsid w:val="00F41045"/>
    <w:rsid w:val="00F41198"/>
    <w:rsid w:val="00F418DD"/>
    <w:rsid w:val="00F41E56"/>
    <w:rsid w:val="00F41F4D"/>
    <w:rsid w:val="00F42920"/>
    <w:rsid w:val="00F4292F"/>
    <w:rsid w:val="00F44429"/>
    <w:rsid w:val="00F45A23"/>
    <w:rsid w:val="00F45A7C"/>
    <w:rsid w:val="00F45DBA"/>
    <w:rsid w:val="00F469DA"/>
    <w:rsid w:val="00F46E84"/>
    <w:rsid w:val="00F478DE"/>
    <w:rsid w:val="00F47D8F"/>
    <w:rsid w:val="00F50A29"/>
    <w:rsid w:val="00F50D41"/>
    <w:rsid w:val="00F51B53"/>
    <w:rsid w:val="00F522CD"/>
    <w:rsid w:val="00F536EE"/>
    <w:rsid w:val="00F542D4"/>
    <w:rsid w:val="00F55742"/>
    <w:rsid w:val="00F557D2"/>
    <w:rsid w:val="00F55F7F"/>
    <w:rsid w:val="00F6182E"/>
    <w:rsid w:val="00F629B0"/>
    <w:rsid w:val="00F62BCA"/>
    <w:rsid w:val="00F62CDB"/>
    <w:rsid w:val="00F63436"/>
    <w:rsid w:val="00F63C2A"/>
    <w:rsid w:val="00F64276"/>
    <w:rsid w:val="00F6462B"/>
    <w:rsid w:val="00F647AB"/>
    <w:rsid w:val="00F64849"/>
    <w:rsid w:val="00F649F9"/>
    <w:rsid w:val="00F65103"/>
    <w:rsid w:val="00F654B1"/>
    <w:rsid w:val="00F656AD"/>
    <w:rsid w:val="00F65B26"/>
    <w:rsid w:val="00F668B4"/>
    <w:rsid w:val="00F66E95"/>
    <w:rsid w:val="00F676C5"/>
    <w:rsid w:val="00F710C7"/>
    <w:rsid w:val="00F710CD"/>
    <w:rsid w:val="00F711C5"/>
    <w:rsid w:val="00F71248"/>
    <w:rsid w:val="00F714B8"/>
    <w:rsid w:val="00F71E28"/>
    <w:rsid w:val="00F72F8D"/>
    <w:rsid w:val="00F73EC4"/>
    <w:rsid w:val="00F75AB9"/>
    <w:rsid w:val="00F766E2"/>
    <w:rsid w:val="00F76EDC"/>
    <w:rsid w:val="00F77A68"/>
    <w:rsid w:val="00F77ECB"/>
    <w:rsid w:val="00F8054D"/>
    <w:rsid w:val="00F8094A"/>
    <w:rsid w:val="00F80B00"/>
    <w:rsid w:val="00F80C3E"/>
    <w:rsid w:val="00F81A09"/>
    <w:rsid w:val="00F82219"/>
    <w:rsid w:val="00F82CF0"/>
    <w:rsid w:val="00F83501"/>
    <w:rsid w:val="00F83955"/>
    <w:rsid w:val="00F846CE"/>
    <w:rsid w:val="00F8550F"/>
    <w:rsid w:val="00F86E64"/>
    <w:rsid w:val="00F8734A"/>
    <w:rsid w:val="00F901CC"/>
    <w:rsid w:val="00F9089C"/>
    <w:rsid w:val="00F90AF0"/>
    <w:rsid w:val="00F9110F"/>
    <w:rsid w:val="00F91119"/>
    <w:rsid w:val="00F91B1D"/>
    <w:rsid w:val="00F926D3"/>
    <w:rsid w:val="00F9373F"/>
    <w:rsid w:val="00F93B53"/>
    <w:rsid w:val="00F93C9E"/>
    <w:rsid w:val="00F94C3C"/>
    <w:rsid w:val="00F961D7"/>
    <w:rsid w:val="00F96AED"/>
    <w:rsid w:val="00FA175A"/>
    <w:rsid w:val="00FA1B9A"/>
    <w:rsid w:val="00FA2606"/>
    <w:rsid w:val="00FA2696"/>
    <w:rsid w:val="00FA27CE"/>
    <w:rsid w:val="00FA3BDE"/>
    <w:rsid w:val="00FA3D07"/>
    <w:rsid w:val="00FA49EA"/>
    <w:rsid w:val="00FA4E67"/>
    <w:rsid w:val="00FA52EE"/>
    <w:rsid w:val="00FA536E"/>
    <w:rsid w:val="00FA56F1"/>
    <w:rsid w:val="00FA7645"/>
    <w:rsid w:val="00FA7E88"/>
    <w:rsid w:val="00FA7FA1"/>
    <w:rsid w:val="00FB0032"/>
    <w:rsid w:val="00FB12A4"/>
    <w:rsid w:val="00FB14A6"/>
    <w:rsid w:val="00FB1BF9"/>
    <w:rsid w:val="00FB1F4B"/>
    <w:rsid w:val="00FB2076"/>
    <w:rsid w:val="00FB4777"/>
    <w:rsid w:val="00FB549D"/>
    <w:rsid w:val="00FB6641"/>
    <w:rsid w:val="00FB66F9"/>
    <w:rsid w:val="00FB6703"/>
    <w:rsid w:val="00FB6C6C"/>
    <w:rsid w:val="00FB6C9E"/>
    <w:rsid w:val="00FB7276"/>
    <w:rsid w:val="00FB74F8"/>
    <w:rsid w:val="00FB7600"/>
    <w:rsid w:val="00FC0522"/>
    <w:rsid w:val="00FC06B2"/>
    <w:rsid w:val="00FC213D"/>
    <w:rsid w:val="00FC277A"/>
    <w:rsid w:val="00FC2C34"/>
    <w:rsid w:val="00FC34E1"/>
    <w:rsid w:val="00FC3756"/>
    <w:rsid w:val="00FC475D"/>
    <w:rsid w:val="00FC4B57"/>
    <w:rsid w:val="00FC4C09"/>
    <w:rsid w:val="00FC50DA"/>
    <w:rsid w:val="00FC5A2F"/>
    <w:rsid w:val="00FC5BE8"/>
    <w:rsid w:val="00FC7828"/>
    <w:rsid w:val="00FC7873"/>
    <w:rsid w:val="00FC79E7"/>
    <w:rsid w:val="00FD06FC"/>
    <w:rsid w:val="00FD0995"/>
    <w:rsid w:val="00FD0C43"/>
    <w:rsid w:val="00FD0E7C"/>
    <w:rsid w:val="00FD13C2"/>
    <w:rsid w:val="00FD1E81"/>
    <w:rsid w:val="00FD2005"/>
    <w:rsid w:val="00FD29B8"/>
    <w:rsid w:val="00FD326A"/>
    <w:rsid w:val="00FD46D0"/>
    <w:rsid w:val="00FD5ED8"/>
    <w:rsid w:val="00FD68D2"/>
    <w:rsid w:val="00FD698E"/>
    <w:rsid w:val="00FD6DF8"/>
    <w:rsid w:val="00FD7850"/>
    <w:rsid w:val="00FD78F2"/>
    <w:rsid w:val="00FE0945"/>
    <w:rsid w:val="00FE19AE"/>
    <w:rsid w:val="00FE1D12"/>
    <w:rsid w:val="00FE2107"/>
    <w:rsid w:val="00FE22D0"/>
    <w:rsid w:val="00FE2FBD"/>
    <w:rsid w:val="00FE341D"/>
    <w:rsid w:val="00FE3F4D"/>
    <w:rsid w:val="00FE42CE"/>
    <w:rsid w:val="00FE620D"/>
    <w:rsid w:val="00FF0012"/>
    <w:rsid w:val="00FF0925"/>
    <w:rsid w:val="00FF0BA4"/>
    <w:rsid w:val="00FF1190"/>
    <w:rsid w:val="00FF2680"/>
    <w:rsid w:val="00FF2819"/>
    <w:rsid w:val="00FF2A55"/>
    <w:rsid w:val="00FF30E9"/>
    <w:rsid w:val="00FF3A47"/>
    <w:rsid w:val="00FF4E00"/>
    <w:rsid w:val="00FF5240"/>
    <w:rsid w:val="00FF53A2"/>
    <w:rsid w:val="00FF599A"/>
    <w:rsid w:val="00FF77D6"/>
    <w:rsid w:val="010C6E72"/>
    <w:rsid w:val="01225184"/>
    <w:rsid w:val="0133737B"/>
    <w:rsid w:val="01564A1C"/>
    <w:rsid w:val="01612614"/>
    <w:rsid w:val="01616496"/>
    <w:rsid w:val="01791217"/>
    <w:rsid w:val="01B5597C"/>
    <w:rsid w:val="02085719"/>
    <w:rsid w:val="021A6A19"/>
    <w:rsid w:val="023A04EB"/>
    <w:rsid w:val="0242209E"/>
    <w:rsid w:val="025423E8"/>
    <w:rsid w:val="02A9641A"/>
    <w:rsid w:val="02F1144E"/>
    <w:rsid w:val="02F63E0E"/>
    <w:rsid w:val="02F73F69"/>
    <w:rsid w:val="030116F4"/>
    <w:rsid w:val="03201274"/>
    <w:rsid w:val="03217B0B"/>
    <w:rsid w:val="03370063"/>
    <w:rsid w:val="03397C53"/>
    <w:rsid w:val="035631CA"/>
    <w:rsid w:val="035F428A"/>
    <w:rsid w:val="036D5E9C"/>
    <w:rsid w:val="03882985"/>
    <w:rsid w:val="03CC0EAA"/>
    <w:rsid w:val="04255A41"/>
    <w:rsid w:val="04494955"/>
    <w:rsid w:val="0452178C"/>
    <w:rsid w:val="04B21134"/>
    <w:rsid w:val="04BC223F"/>
    <w:rsid w:val="04C13C76"/>
    <w:rsid w:val="04C75C3E"/>
    <w:rsid w:val="04D37AE8"/>
    <w:rsid w:val="04D66287"/>
    <w:rsid w:val="04E46181"/>
    <w:rsid w:val="05C1382C"/>
    <w:rsid w:val="05CE7AF3"/>
    <w:rsid w:val="063C478B"/>
    <w:rsid w:val="06492986"/>
    <w:rsid w:val="064C36C3"/>
    <w:rsid w:val="065570AB"/>
    <w:rsid w:val="06917296"/>
    <w:rsid w:val="06D643A7"/>
    <w:rsid w:val="07067408"/>
    <w:rsid w:val="074B7FB4"/>
    <w:rsid w:val="074E6FB6"/>
    <w:rsid w:val="076F140A"/>
    <w:rsid w:val="07997691"/>
    <w:rsid w:val="07BC5DA3"/>
    <w:rsid w:val="07E42729"/>
    <w:rsid w:val="07FE4450"/>
    <w:rsid w:val="08085BB6"/>
    <w:rsid w:val="087956C8"/>
    <w:rsid w:val="09433546"/>
    <w:rsid w:val="095D6FAA"/>
    <w:rsid w:val="09685006"/>
    <w:rsid w:val="09952CC2"/>
    <w:rsid w:val="09DA791F"/>
    <w:rsid w:val="09F46871"/>
    <w:rsid w:val="0A00271C"/>
    <w:rsid w:val="0A004C69"/>
    <w:rsid w:val="0A080E23"/>
    <w:rsid w:val="0A4B0ECF"/>
    <w:rsid w:val="0A4F31FE"/>
    <w:rsid w:val="0A5038C7"/>
    <w:rsid w:val="0AA6541D"/>
    <w:rsid w:val="0AD971B7"/>
    <w:rsid w:val="0B081ED1"/>
    <w:rsid w:val="0B2D5B24"/>
    <w:rsid w:val="0B2F48BF"/>
    <w:rsid w:val="0BB767A4"/>
    <w:rsid w:val="0BBA64B5"/>
    <w:rsid w:val="0BBF3E7E"/>
    <w:rsid w:val="0BC524F3"/>
    <w:rsid w:val="0C1F5547"/>
    <w:rsid w:val="0C383B20"/>
    <w:rsid w:val="0C5C7DA2"/>
    <w:rsid w:val="0C885A83"/>
    <w:rsid w:val="0C937B5D"/>
    <w:rsid w:val="0C9B508F"/>
    <w:rsid w:val="0CCF50FB"/>
    <w:rsid w:val="0CEF4C9D"/>
    <w:rsid w:val="0CF42366"/>
    <w:rsid w:val="0D0E66B8"/>
    <w:rsid w:val="0D782321"/>
    <w:rsid w:val="0D8D27E7"/>
    <w:rsid w:val="0DA22D74"/>
    <w:rsid w:val="0DBD36B4"/>
    <w:rsid w:val="0E481840"/>
    <w:rsid w:val="0E825155"/>
    <w:rsid w:val="0EA27097"/>
    <w:rsid w:val="0F0B2F30"/>
    <w:rsid w:val="0F2A2243"/>
    <w:rsid w:val="0F2E29AF"/>
    <w:rsid w:val="0F4462D8"/>
    <w:rsid w:val="0F6630EC"/>
    <w:rsid w:val="0F8B0C29"/>
    <w:rsid w:val="0F8C611D"/>
    <w:rsid w:val="0FD85DE9"/>
    <w:rsid w:val="10352A5F"/>
    <w:rsid w:val="107039B5"/>
    <w:rsid w:val="10B0030B"/>
    <w:rsid w:val="10C06F58"/>
    <w:rsid w:val="10C814C8"/>
    <w:rsid w:val="10FD49EE"/>
    <w:rsid w:val="119D03C3"/>
    <w:rsid w:val="11B23970"/>
    <w:rsid w:val="11C76BB4"/>
    <w:rsid w:val="11D32D07"/>
    <w:rsid w:val="11D56517"/>
    <w:rsid w:val="11DC4211"/>
    <w:rsid w:val="11F55170"/>
    <w:rsid w:val="11FB2433"/>
    <w:rsid w:val="11FC6C38"/>
    <w:rsid w:val="12387CE2"/>
    <w:rsid w:val="12440B03"/>
    <w:rsid w:val="12972ED4"/>
    <w:rsid w:val="12C7228C"/>
    <w:rsid w:val="12ED51A7"/>
    <w:rsid w:val="13191383"/>
    <w:rsid w:val="139532C3"/>
    <w:rsid w:val="139C42FB"/>
    <w:rsid w:val="13E26F75"/>
    <w:rsid w:val="13E410D3"/>
    <w:rsid w:val="13EB5120"/>
    <w:rsid w:val="14123AF4"/>
    <w:rsid w:val="143D11AE"/>
    <w:rsid w:val="14631AA0"/>
    <w:rsid w:val="14736FB1"/>
    <w:rsid w:val="148178FB"/>
    <w:rsid w:val="14A45347"/>
    <w:rsid w:val="14C61B9F"/>
    <w:rsid w:val="1506729B"/>
    <w:rsid w:val="15AC35B9"/>
    <w:rsid w:val="160D35B9"/>
    <w:rsid w:val="16165691"/>
    <w:rsid w:val="163C0C39"/>
    <w:rsid w:val="163E7F31"/>
    <w:rsid w:val="16716D0C"/>
    <w:rsid w:val="167D1B8A"/>
    <w:rsid w:val="16855EA8"/>
    <w:rsid w:val="16E53F19"/>
    <w:rsid w:val="17185E8B"/>
    <w:rsid w:val="171A3844"/>
    <w:rsid w:val="173365B2"/>
    <w:rsid w:val="17B972AA"/>
    <w:rsid w:val="17E64DD5"/>
    <w:rsid w:val="17FA0448"/>
    <w:rsid w:val="18756838"/>
    <w:rsid w:val="188B667B"/>
    <w:rsid w:val="18CC6A02"/>
    <w:rsid w:val="19797AF2"/>
    <w:rsid w:val="19B45AF5"/>
    <w:rsid w:val="19C2761D"/>
    <w:rsid w:val="19ED7173"/>
    <w:rsid w:val="1A506045"/>
    <w:rsid w:val="1A6E4EAC"/>
    <w:rsid w:val="1A7B4B0C"/>
    <w:rsid w:val="1A887C5E"/>
    <w:rsid w:val="1AC845B1"/>
    <w:rsid w:val="1B6608D6"/>
    <w:rsid w:val="1B66592C"/>
    <w:rsid w:val="1B8C6575"/>
    <w:rsid w:val="1BBB75FF"/>
    <w:rsid w:val="1BC66CB3"/>
    <w:rsid w:val="1C943B03"/>
    <w:rsid w:val="1CAC3282"/>
    <w:rsid w:val="1CE510E5"/>
    <w:rsid w:val="1CFF5CDA"/>
    <w:rsid w:val="1D0263AC"/>
    <w:rsid w:val="1D026659"/>
    <w:rsid w:val="1D2D7EA2"/>
    <w:rsid w:val="1D4E5CF0"/>
    <w:rsid w:val="1D9D65CC"/>
    <w:rsid w:val="1DB326C1"/>
    <w:rsid w:val="1E2E5200"/>
    <w:rsid w:val="1E4369EF"/>
    <w:rsid w:val="1E4B73D9"/>
    <w:rsid w:val="1E9D6CAC"/>
    <w:rsid w:val="1F163D12"/>
    <w:rsid w:val="1F66104E"/>
    <w:rsid w:val="1FED2FF9"/>
    <w:rsid w:val="204107E0"/>
    <w:rsid w:val="204B415C"/>
    <w:rsid w:val="207E0DDB"/>
    <w:rsid w:val="20B9612D"/>
    <w:rsid w:val="210D4E59"/>
    <w:rsid w:val="211B57CF"/>
    <w:rsid w:val="21342317"/>
    <w:rsid w:val="21636FB0"/>
    <w:rsid w:val="21C340D4"/>
    <w:rsid w:val="221B1020"/>
    <w:rsid w:val="228E6A6C"/>
    <w:rsid w:val="229E108D"/>
    <w:rsid w:val="22A21E4E"/>
    <w:rsid w:val="22C221F1"/>
    <w:rsid w:val="22CC65B5"/>
    <w:rsid w:val="22E57893"/>
    <w:rsid w:val="233920E8"/>
    <w:rsid w:val="234A4C2C"/>
    <w:rsid w:val="23870500"/>
    <w:rsid w:val="23894DE5"/>
    <w:rsid w:val="239D5781"/>
    <w:rsid w:val="23B945E1"/>
    <w:rsid w:val="23ED6835"/>
    <w:rsid w:val="242C4E04"/>
    <w:rsid w:val="247B12EC"/>
    <w:rsid w:val="249A1BD9"/>
    <w:rsid w:val="24C4255D"/>
    <w:rsid w:val="25681324"/>
    <w:rsid w:val="257D6B39"/>
    <w:rsid w:val="25976459"/>
    <w:rsid w:val="25B14C6A"/>
    <w:rsid w:val="25D60699"/>
    <w:rsid w:val="26016FBE"/>
    <w:rsid w:val="261751A9"/>
    <w:rsid w:val="26693966"/>
    <w:rsid w:val="26B35587"/>
    <w:rsid w:val="26B56C53"/>
    <w:rsid w:val="26B934DE"/>
    <w:rsid w:val="26C94982"/>
    <w:rsid w:val="27065C93"/>
    <w:rsid w:val="27082992"/>
    <w:rsid w:val="27116D33"/>
    <w:rsid w:val="2726548E"/>
    <w:rsid w:val="273D0A00"/>
    <w:rsid w:val="2755370B"/>
    <w:rsid w:val="276667CD"/>
    <w:rsid w:val="276951AA"/>
    <w:rsid w:val="27F82B6F"/>
    <w:rsid w:val="28277B77"/>
    <w:rsid w:val="283A1F85"/>
    <w:rsid w:val="2899611C"/>
    <w:rsid w:val="28C52334"/>
    <w:rsid w:val="29074C4A"/>
    <w:rsid w:val="290B7C8B"/>
    <w:rsid w:val="29113566"/>
    <w:rsid w:val="291D714E"/>
    <w:rsid w:val="2950115A"/>
    <w:rsid w:val="297379E8"/>
    <w:rsid w:val="29A35484"/>
    <w:rsid w:val="2A2C369B"/>
    <w:rsid w:val="2A407386"/>
    <w:rsid w:val="2A4D514E"/>
    <w:rsid w:val="2A647136"/>
    <w:rsid w:val="2AA806B9"/>
    <w:rsid w:val="2AD63932"/>
    <w:rsid w:val="2AFD7114"/>
    <w:rsid w:val="2B0A134B"/>
    <w:rsid w:val="2B2C6865"/>
    <w:rsid w:val="2B5B603D"/>
    <w:rsid w:val="2BB00F2B"/>
    <w:rsid w:val="2BE0251D"/>
    <w:rsid w:val="2BF463CE"/>
    <w:rsid w:val="2BF803F5"/>
    <w:rsid w:val="2C4A29B9"/>
    <w:rsid w:val="2C562C61"/>
    <w:rsid w:val="2C5D5B7C"/>
    <w:rsid w:val="2C7752F1"/>
    <w:rsid w:val="2CD46BCA"/>
    <w:rsid w:val="2CF974D9"/>
    <w:rsid w:val="2D0573EF"/>
    <w:rsid w:val="2D5E584E"/>
    <w:rsid w:val="2D967703"/>
    <w:rsid w:val="2DA76609"/>
    <w:rsid w:val="2DA8286C"/>
    <w:rsid w:val="2E062C7A"/>
    <w:rsid w:val="2E215663"/>
    <w:rsid w:val="2E3739A6"/>
    <w:rsid w:val="2E721AB7"/>
    <w:rsid w:val="2EFD7F73"/>
    <w:rsid w:val="2F2A1410"/>
    <w:rsid w:val="2F2F548D"/>
    <w:rsid w:val="2FA02949"/>
    <w:rsid w:val="2FA400FF"/>
    <w:rsid w:val="2FD06B57"/>
    <w:rsid w:val="2FFC2C27"/>
    <w:rsid w:val="301A74C7"/>
    <w:rsid w:val="303F280C"/>
    <w:rsid w:val="30E93F59"/>
    <w:rsid w:val="30EF34A4"/>
    <w:rsid w:val="31321D65"/>
    <w:rsid w:val="31446630"/>
    <w:rsid w:val="31512CB0"/>
    <w:rsid w:val="3157784F"/>
    <w:rsid w:val="316A274A"/>
    <w:rsid w:val="32081B3D"/>
    <w:rsid w:val="32122141"/>
    <w:rsid w:val="324A46A0"/>
    <w:rsid w:val="32725E06"/>
    <w:rsid w:val="328D30BA"/>
    <w:rsid w:val="329824EA"/>
    <w:rsid w:val="32A40CA9"/>
    <w:rsid w:val="32A822C5"/>
    <w:rsid w:val="32CF3EC7"/>
    <w:rsid w:val="32F371B1"/>
    <w:rsid w:val="33042E28"/>
    <w:rsid w:val="33343141"/>
    <w:rsid w:val="337F3836"/>
    <w:rsid w:val="339E7FF3"/>
    <w:rsid w:val="33B72BE2"/>
    <w:rsid w:val="33C85F7D"/>
    <w:rsid w:val="33DE7B46"/>
    <w:rsid w:val="343F71C2"/>
    <w:rsid w:val="34422188"/>
    <w:rsid w:val="34707212"/>
    <w:rsid w:val="3490097E"/>
    <w:rsid w:val="34D24C27"/>
    <w:rsid w:val="354C2067"/>
    <w:rsid w:val="35917D03"/>
    <w:rsid w:val="36020F07"/>
    <w:rsid w:val="360D3BD0"/>
    <w:rsid w:val="36612F33"/>
    <w:rsid w:val="378E4B13"/>
    <w:rsid w:val="37BD1717"/>
    <w:rsid w:val="37E11D26"/>
    <w:rsid w:val="37E45CB6"/>
    <w:rsid w:val="37ED1D14"/>
    <w:rsid w:val="37EE0069"/>
    <w:rsid w:val="384633C8"/>
    <w:rsid w:val="384759F9"/>
    <w:rsid w:val="38EA44E5"/>
    <w:rsid w:val="38F82358"/>
    <w:rsid w:val="38FC20E9"/>
    <w:rsid w:val="39130BA8"/>
    <w:rsid w:val="391F557E"/>
    <w:rsid w:val="397924B1"/>
    <w:rsid w:val="39E776F2"/>
    <w:rsid w:val="3A661001"/>
    <w:rsid w:val="3A723299"/>
    <w:rsid w:val="3AD27D67"/>
    <w:rsid w:val="3AED4C75"/>
    <w:rsid w:val="3B2021BB"/>
    <w:rsid w:val="3B61644E"/>
    <w:rsid w:val="3BC8112F"/>
    <w:rsid w:val="3BF6786F"/>
    <w:rsid w:val="3BFF5C0E"/>
    <w:rsid w:val="3C401B1B"/>
    <w:rsid w:val="3C41702C"/>
    <w:rsid w:val="3C892708"/>
    <w:rsid w:val="3CB86CA9"/>
    <w:rsid w:val="3CF72019"/>
    <w:rsid w:val="3D393414"/>
    <w:rsid w:val="3D5260DC"/>
    <w:rsid w:val="3D5B324F"/>
    <w:rsid w:val="3D9407A6"/>
    <w:rsid w:val="3E404BFB"/>
    <w:rsid w:val="3E96199B"/>
    <w:rsid w:val="3EA22846"/>
    <w:rsid w:val="3ED70A73"/>
    <w:rsid w:val="3FE17D04"/>
    <w:rsid w:val="401E454D"/>
    <w:rsid w:val="404E3BC5"/>
    <w:rsid w:val="40D460DE"/>
    <w:rsid w:val="40E30763"/>
    <w:rsid w:val="40E4609D"/>
    <w:rsid w:val="40F353BE"/>
    <w:rsid w:val="41687B80"/>
    <w:rsid w:val="41794B30"/>
    <w:rsid w:val="41860730"/>
    <w:rsid w:val="41A97C69"/>
    <w:rsid w:val="41E42B5E"/>
    <w:rsid w:val="41F9661A"/>
    <w:rsid w:val="42241C0C"/>
    <w:rsid w:val="422D535D"/>
    <w:rsid w:val="424B4A95"/>
    <w:rsid w:val="4252208D"/>
    <w:rsid w:val="42630B2E"/>
    <w:rsid w:val="42723AF9"/>
    <w:rsid w:val="42753C23"/>
    <w:rsid w:val="42795C7F"/>
    <w:rsid w:val="42873C05"/>
    <w:rsid w:val="43180C5F"/>
    <w:rsid w:val="43696BE7"/>
    <w:rsid w:val="436D6A89"/>
    <w:rsid w:val="43CE394E"/>
    <w:rsid w:val="44175F5D"/>
    <w:rsid w:val="446E7D70"/>
    <w:rsid w:val="44781B68"/>
    <w:rsid w:val="447E5B06"/>
    <w:rsid w:val="449A2F2E"/>
    <w:rsid w:val="44A17571"/>
    <w:rsid w:val="44A6560D"/>
    <w:rsid w:val="44D54158"/>
    <w:rsid w:val="44E80FED"/>
    <w:rsid w:val="44EE3FC0"/>
    <w:rsid w:val="451D7F4C"/>
    <w:rsid w:val="45490EA5"/>
    <w:rsid w:val="456E3390"/>
    <w:rsid w:val="459A5CFB"/>
    <w:rsid w:val="45A61411"/>
    <w:rsid w:val="45CE71FA"/>
    <w:rsid w:val="45E74EA4"/>
    <w:rsid w:val="460616BC"/>
    <w:rsid w:val="461439AB"/>
    <w:rsid w:val="461E6898"/>
    <w:rsid w:val="46291382"/>
    <w:rsid w:val="467A1335"/>
    <w:rsid w:val="467C68B7"/>
    <w:rsid w:val="467F0159"/>
    <w:rsid w:val="46832122"/>
    <w:rsid w:val="468C5D67"/>
    <w:rsid w:val="46A112EC"/>
    <w:rsid w:val="46E413A7"/>
    <w:rsid w:val="46E97395"/>
    <w:rsid w:val="46EC3FB8"/>
    <w:rsid w:val="46F06198"/>
    <w:rsid w:val="46F14B7D"/>
    <w:rsid w:val="46F54178"/>
    <w:rsid w:val="471B79FA"/>
    <w:rsid w:val="472B48E9"/>
    <w:rsid w:val="474712B8"/>
    <w:rsid w:val="47530A57"/>
    <w:rsid w:val="47647D95"/>
    <w:rsid w:val="47A11CC7"/>
    <w:rsid w:val="47AC5203"/>
    <w:rsid w:val="47F53D28"/>
    <w:rsid w:val="48115F4C"/>
    <w:rsid w:val="481B498C"/>
    <w:rsid w:val="481E2AFE"/>
    <w:rsid w:val="48372A6F"/>
    <w:rsid w:val="485A2AB9"/>
    <w:rsid w:val="48640AC9"/>
    <w:rsid w:val="486535EC"/>
    <w:rsid w:val="48762BE1"/>
    <w:rsid w:val="48AB6CF9"/>
    <w:rsid w:val="48AC1A34"/>
    <w:rsid w:val="48B80235"/>
    <w:rsid w:val="48BA0324"/>
    <w:rsid w:val="4933575C"/>
    <w:rsid w:val="49857F02"/>
    <w:rsid w:val="49AA41A6"/>
    <w:rsid w:val="49B07514"/>
    <w:rsid w:val="49D2511F"/>
    <w:rsid w:val="49F8229F"/>
    <w:rsid w:val="4A0C7E96"/>
    <w:rsid w:val="4A1478B9"/>
    <w:rsid w:val="4A2766ED"/>
    <w:rsid w:val="4A7E7516"/>
    <w:rsid w:val="4ABD56F0"/>
    <w:rsid w:val="4AFE71DC"/>
    <w:rsid w:val="4B262E59"/>
    <w:rsid w:val="4B337618"/>
    <w:rsid w:val="4B343E22"/>
    <w:rsid w:val="4B813369"/>
    <w:rsid w:val="4BDC1158"/>
    <w:rsid w:val="4BF83B6D"/>
    <w:rsid w:val="4C2D0E55"/>
    <w:rsid w:val="4C3D3C61"/>
    <w:rsid w:val="4C4719E7"/>
    <w:rsid w:val="4C633DBA"/>
    <w:rsid w:val="4CE90B91"/>
    <w:rsid w:val="4D127438"/>
    <w:rsid w:val="4D164BE3"/>
    <w:rsid w:val="4D2748B4"/>
    <w:rsid w:val="4D571EBB"/>
    <w:rsid w:val="4D601A8F"/>
    <w:rsid w:val="4D650075"/>
    <w:rsid w:val="4D9A3898"/>
    <w:rsid w:val="4DF274B0"/>
    <w:rsid w:val="4DF73C43"/>
    <w:rsid w:val="4E01562B"/>
    <w:rsid w:val="4E86087E"/>
    <w:rsid w:val="4E8E5E5C"/>
    <w:rsid w:val="4E9C7459"/>
    <w:rsid w:val="4E9F2921"/>
    <w:rsid w:val="4EC5342F"/>
    <w:rsid w:val="4EFF165D"/>
    <w:rsid w:val="4F6274E6"/>
    <w:rsid w:val="4F8360FB"/>
    <w:rsid w:val="4FF62627"/>
    <w:rsid w:val="50097D57"/>
    <w:rsid w:val="507B1D48"/>
    <w:rsid w:val="50A55414"/>
    <w:rsid w:val="513A276E"/>
    <w:rsid w:val="513E2148"/>
    <w:rsid w:val="51484D17"/>
    <w:rsid w:val="51A359F4"/>
    <w:rsid w:val="523A5F5D"/>
    <w:rsid w:val="52A25FF3"/>
    <w:rsid w:val="52C07256"/>
    <w:rsid w:val="53110CF3"/>
    <w:rsid w:val="5354292D"/>
    <w:rsid w:val="535E2932"/>
    <w:rsid w:val="53640308"/>
    <w:rsid w:val="537F51B7"/>
    <w:rsid w:val="539A6511"/>
    <w:rsid w:val="53C46383"/>
    <w:rsid w:val="53DC0715"/>
    <w:rsid w:val="53EE0588"/>
    <w:rsid w:val="541D694D"/>
    <w:rsid w:val="54501B0C"/>
    <w:rsid w:val="54623920"/>
    <w:rsid w:val="54D64CC8"/>
    <w:rsid w:val="55204607"/>
    <w:rsid w:val="556B606F"/>
    <w:rsid w:val="55A0150D"/>
    <w:rsid w:val="55AC5CB8"/>
    <w:rsid w:val="55C5700F"/>
    <w:rsid w:val="55DA7870"/>
    <w:rsid w:val="55FD4F6A"/>
    <w:rsid w:val="56457122"/>
    <w:rsid w:val="56DB1304"/>
    <w:rsid w:val="56E9002B"/>
    <w:rsid w:val="570204E9"/>
    <w:rsid w:val="57665F78"/>
    <w:rsid w:val="578D2FBC"/>
    <w:rsid w:val="57AF75E2"/>
    <w:rsid w:val="57B91720"/>
    <w:rsid w:val="581F663D"/>
    <w:rsid w:val="58B57333"/>
    <w:rsid w:val="59AB3574"/>
    <w:rsid w:val="59B1022E"/>
    <w:rsid w:val="59BF4AA9"/>
    <w:rsid w:val="59E0458A"/>
    <w:rsid w:val="59FD1614"/>
    <w:rsid w:val="5A1251BF"/>
    <w:rsid w:val="5A2C1BF8"/>
    <w:rsid w:val="5A3A04F4"/>
    <w:rsid w:val="5A484E07"/>
    <w:rsid w:val="5A532F3B"/>
    <w:rsid w:val="5A650811"/>
    <w:rsid w:val="5A6A36DF"/>
    <w:rsid w:val="5A6F1AFF"/>
    <w:rsid w:val="5A851868"/>
    <w:rsid w:val="5AB5585F"/>
    <w:rsid w:val="5AC3671C"/>
    <w:rsid w:val="5B2826C1"/>
    <w:rsid w:val="5B3D524D"/>
    <w:rsid w:val="5B7A43BB"/>
    <w:rsid w:val="5BC4248B"/>
    <w:rsid w:val="5BF61B6C"/>
    <w:rsid w:val="5C19376C"/>
    <w:rsid w:val="5C217CCD"/>
    <w:rsid w:val="5C6518AC"/>
    <w:rsid w:val="5CBB2B06"/>
    <w:rsid w:val="5CF708FC"/>
    <w:rsid w:val="5D05406F"/>
    <w:rsid w:val="5D082CC5"/>
    <w:rsid w:val="5D6265C3"/>
    <w:rsid w:val="5D95547B"/>
    <w:rsid w:val="5DA27420"/>
    <w:rsid w:val="5DA77519"/>
    <w:rsid w:val="5DD34626"/>
    <w:rsid w:val="5DD776A4"/>
    <w:rsid w:val="5E0D21DF"/>
    <w:rsid w:val="5E525423"/>
    <w:rsid w:val="5EE120F1"/>
    <w:rsid w:val="5F044A12"/>
    <w:rsid w:val="5F1143BA"/>
    <w:rsid w:val="5F392BFC"/>
    <w:rsid w:val="5F8B4B89"/>
    <w:rsid w:val="5F9A4282"/>
    <w:rsid w:val="5FD00C79"/>
    <w:rsid w:val="60720FF1"/>
    <w:rsid w:val="60C868D3"/>
    <w:rsid w:val="60D122CA"/>
    <w:rsid w:val="60E14D19"/>
    <w:rsid w:val="611B4680"/>
    <w:rsid w:val="618130BF"/>
    <w:rsid w:val="6182342C"/>
    <w:rsid w:val="61DB0D15"/>
    <w:rsid w:val="622049AE"/>
    <w:rsid w:val="630E37FD"/>
    <w:rsid w:val="631963A6"/>
    <w:rsid w:val="63712A8B"/>
    <w:rsid w:val="639928C8"/>
    <w:rsid w:val="63BE728A"/>
    <w:rsid w:val="63D07C7C"/>
    <w:rsid w:val="63D71934"/>
    <w:rsid w:val="63E103FC"/>
    <w:rsid w:val="63F443CA"/>
    <w:rsid w:val="64390802"/>
    <w:rsid w:val="64517400"/>
    <w:rsid w:val="651871D1"/>
    <w:rsid w:val="654421E4"/>
    <w:rsid w:val="65772A26"/>
    <w:rsid w:val="659A5030"/>
    <w:rsid w:val="65A6316A"/>
    <w:rsid w:val="65C3086C"/>
    <w:rsid w:val="65C6214B"/>
    <w:rsid w:val="661C6014"/>
    <w:rsid w:val="665E5FF9"/>
    <w:rsid w:val="669A7356"/>
    <w:rsid w:val="66D45F34"/>
    <w:rsid w:val="66E33B0B"/>
    <w:rsid w:val="670032E4"/>
    <w:rsid w:val="6705396B"/>
    <w:rsid w:val="67271D2F"/>
    <w:rsid w:val="67566AF3"/>
    <w:rsid w:val="675E72BD"/>
    <w:rsid w:val="67A61834"/>
    <w:rsid w:val="67AF3BF3"/>
    <w:rsid w:val="67BC0E8E"/>
    <w:rsid w:val="68563F4D"/>
    <w:rsid w:val="68567A26"/>
    <w:rsid w:val="68D010D0"/>
    <w:rsid w:val="68F325B4"/>
    <w:rsid w:val="68FE75A4"/>
    <w:rsid w:val="69096701"/>
    <w:rsid w:val="695C098E"/>
    <w:rsid w:val="696D7446"/>
    <w:rsid w:val="69A62C5A"/>
    <w:rsid w:val="69C11FBD"/>
    <w:rsid w:val="69C23CE9"/>
    <w:rsid w:val="69C71CF7"/>
    <w:rsid w:val="6A1F4EEB"/>
    <w:rsid w:val="6A365EC5"/>
    <w:rsid w:val="6A672ABD"/>
    <w:rsid w:val="6AAF1634"/>
    <w:rsid w:val="6ABC2A4A"/>
    <w:rsid w:val="6AD334AE"/>
    <w:rsid w:val="6B2254E7"/>
    <w:rsid w:val="6B3701D2"/>
    <w:rsid w:val="6B7F2D81"/>
    <w:rsid w:val="6BF0269B"/>
    <w:rsid w:val="6C0574CC"/>
    <w:rsid w:val="6C6A6582"/>
    <w:rsid w:val="6C7615C6"/>
    <w:rsid w:val="6D773D62"/>
    <w:rsid w:val="6DB81837"/>
    <w:rsid w:val="6DD11D01"/>
    <w:rsid w:val="6DDF78D8"/>
    <w:rsid w:val="6E674013"/>
    <w:rsid w:val="6E7C7D0E"/>
    <w:rsid w:val="6EC410C0"/>
    <w:rsid w:val="6EC75BCB"/>
    <w:rsid w:val="6EE427C2"/>
    <w:rsid w:val="6EFB04A4"/>
    <w:rsid w:val="6EFF2382"/>
    <w:rsid w:val="6F2952DC"/>
    <w:rsid w:val="6F3E5ED5"/>
    <w:rsid w:val="6F7055D0"/>
    <w:rsid w:val="6F8972E6"/>
    <w:rsid w:val="6FC35534"/>
    <w:rsid w:val="6FFD4927"/>
    <w:rsid w:val="701A1F06"/>
    <w:rsid w:val="70207BF5"/>
    <w:rsid w:val="702E1AC3"/>
    <w:rsid w:val="7090701C"/>
    <w:rsid w:val="70BA78D7"/>
    <w:rsid w:val="70C51F0A"/>
    <w:rsid w:val="70F97749"/>
    <w:rsid w:val="70FA18DF"/>
    <w:rsid w:val="71466CAF"/>
    <w:rsid w:val="71514B90"/>
    <w:rsid w:val="71871B0F"/>
    <w:rsid w:val="71E70599"/>
    <w:rsid w:val="72207A5D"/>
    <w:rsid w:val="72234EF0"/>
    <w:rsid w:val="72BA6E3F"/>
    <w:rsid w:val="72DB6738"/>
    <w:rsid w:val="72EE6127"/>
    <w:rsid w:val="72F2322E"/>
    <w:rsid w:val="732D3A3A"/>
    <w:rsid w:val="733711AC"/>
    <w:rsid w:val="73475AA3"/>
    <w:rsid w:val="73650CA7"/>
    <w:rsid w:val="73D0437F"/>
    <w:rsid w:val="73F673A4"/>
    <w:rsid w:val="73FE6DD7"/>
    <w:rsid w:val="7446095F"/>
    <w:rsid w:val="74581BF6"/>
    <w:rsid w:val="74685CEB"/>
    <w:rsid w:val="753C4EF6"/>
    <w:rsid w:val="754C5FB4"/>
    <w:rsid w:val="75935F13"/>
    <w:rsid w:val="75A568E2"/>
    <w:rsid w:val="75B43019"/>
    <w:rsid w:val="75B43693"/>
    <w:rsid w:val="75C84BAD"/>
    <w:rsid w:val="760323E8"/>
    <w:rsid w:val="76350CA9"/>
    <w:rsid w:val="76404FCF"/>
    <w:rsid w:val="76655485"/>
    <w:rsid w:val="76731A41"/>
    <w:rsid w:val="767E4A1C"/>
    <w:rsid w:val="769B6DA2"/>
    <w:rsid w:val="76E03C6D"/>
    <w:rsid w:val="76F06DE0"/>
    <w:rsid w:val="76F33910"/>
    <w:rsid w:val="76F347AF"/>
    <w:rsid w:val="76FA0700"/>
    <w:rsid w:val="77187258"/>
    <w:rsid w:val="773436D4"/>
    <w:rsid w:val="77E07057"/>
    <w:rsid w:val="77EF5EAD"/>
    <w:rsid w:val="78367849"/>
    <w:rsid w:val="786920C6"/>
    <w:rsid w:val="7880430A"/>
    <w:rsid w:val="789515F6"/>
    <w:rsid w:val="78BF7AF9"/>
    <w:rsid w:val="78C7600C"/>
    <w:rsid w:val="794A6D78"/>
    <w:rsid w:val="79BA7AB8"/>
    <w:rsid w:val="79D229F4"/>
    <w:rsid w:val="79ED7C3A"/>
    <w:rsid w:val="7AD6378B"/>
    <w:rsid w:val="7AFA6416"/>
    <w:rsid w:val="7B0111AC"/>
    <w:rsid w:val="7B0B24EE"/>
    <w:rsid w:val="7B634145"/>
    <w:rsid w:val="7B8C378B"/>
    <w:rsid w:val="7B9F2369"/>
    <w:rsid w:val="7BA50A88"/>
    <w:rsid w:val="7BB95389"/>
    <w:rsid w:val="7BC345BD"/>
    <w:rsid w:val="7CE079DE"/>
    <w:rsid w:val="7D3B08D3"/>
    <w:rsid w:val="7D4F3C6C"/>
    <w:rsid w:val="7D57411B"/>
    <w:rsid w:val="7D734FFB"/>
    <w:rsid w:val="7DA343F0"/>
    <w:rsid w:val="7DD6657E"/>
    <w:rsid w:val="7DF34447"/>
    <w:rsid w:val="7E0D7A45"/>
    <w:rsid w:val="7E5875DB"/>
    <w:rsid w:val="7E5C643B"/>
    <w:rsid w:val="7E645D3E"/>
    <w:rsid w:val="7E6C0349"/>
    <w:rsid w:val="7E926177"/>
    <w:rsid w:val="7EE56924"/>
    <w:rsid w:val="7F08419F"/>
    <w:rsid w:val="7F155932"/>
    <w:rsid w:val="7F3910EB"/>
    <w:rsid w:val="7F4A168E"/>
    <w:rsid w:val="7F513046"/>
    <w:rsid w:val="7F5D3C44"/>
    <w:rsid w:val="7F9A4739"/>
    <w:rsid w:val="7FBF61B7"/>
    <w:rsid w:val="7FDB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link w:val="58"/>
    <w:qFormat/>
    <w:uiPriority w:val="0"/>
    <w:pPr>
      <w:keepNext/>
      <w:keepLines/>
      <w:widowControl w:val="0"/>
      <w:tabs>
        <w:tab w:val="left" w:pos="840"/>
      </w:tabs>
      <w:adjustRightInd w:val="0"/>
      <w:snapToGrid w:val="0"/>
      <w:spacing w:line="360" w:lineRule="auto"/>
      <w:jc w:val="both"/>
      <w:outlineLvl w:val="0"/>
    </w:pPr>
    <w:rPr>
      <w:rFonts w:ascii="宋体"/>
      <w:b/>
      <w:kern w:val="44"/>
      <w:sz w:val="24"/>
    </w:rPr>
  </w:style>
  <w:style w:type="paragraph" w:styleId="5">
    <w:name w:val="heading 2"/>
    <w:basedOn w:val="1"/>
    <w:next w:val="1"/>
    <w:link w:val="59"/>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60"/>
    <w:qFormat/>
    <w:uiPriority w:val="0"/>
    <w:pPr>
      <w:keepNext/>
      <w:keepLines/>
      <w:spacing w:before="260" w:after="260" w:line="416" w:lineRule="auto"/>
      <w:outlineLvl w:val="2"/>
    </w:pPr>
    <w:rPr>
      <w:b/>
      <w:bCs/>
      <w:sz w:val="32"/>
      <w:szCs w:val="32"/>
    </w:rPr>
  </w:style>
  <w:style w:type="paragraph" w:styleId="7">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2"/>
    <w:qFormat/>
    <w:uiPriority w:val="0"/>
    <w:pPr>
      <w:keepNext/>
      <w:widowControl w:val="0"/>
      <w:autoSpaceDE w:val="0"/>
      <w:autoSpaceDN w:val="0"/>
      <w:adjustRightInd w:val="0"/>
      <w:jc w:val="both"/>
      <w:outlineLvl w:val="4"/>
    </w:pPr>
    <w:rPr>
      <w:color w:val="000000"/>
      <w:kern w:val="2"/>
      <w:sz w:val="28"/>
    </w:rPr>
  </w:style>
  <w:style w:type="paragraph" w:styleId="9">
    <w:name w:val="heading 6"/>
    <w:basedOn w:val="1"/>
    <w:next w:val="10"/>
    <w:link w:val="64"/>
    <w:qFormat/>
    <w:uiPriority w:val="0"/>
    <w:pPr>
      <w:keepNext/>
      <w:keepLines/>
      <w:widowControl w:val="0"/>
      <w:numPr>
        <w:ilvl w:val="5"/>
        <w:numId w:val="1"/>
      </w:numPr>
      <w:tabs>
        <w:tab w:val="left" w:pos="1152"/>
        <w:tab w:val="left" w:pos="1200"/>
      </w:tabs>
      <w:spacing w:before="240" w:after="64" w:line="320" w:lineRule="auto"/>
      <w:outlineLvl w:val="5"/>
    </w:pPr>
    <w:rPr>
      <w:rFonts w:ascii="Arial" w:hAnsi="Arial" w:eastAsia="黑体"/>
      <w:b/>
      <w:bCs/>
      <w:spacing w:val="6"/>
      <w:kern w:val="2"/>
      <w:sz w:val="24"/>
      <w:szCs w:val="24"/>
    </w:rPr>
  </w:style>
  <w:style w:type="paragraph" w:styleId="11">
    <w:name w:val="heading 7"/>
    <w:basedOn w:val="1"/>
    <w:next w:val="10"/>
    <w:link w:val="65"/>
    <w:qFormat/>
    <w:uiPriority w:val="0"/>
    <w:pPr>
      <w:keepNext/>
      <w:keepLines/>
      <w:widowControl w:val="0"/>
      <w:numPr>
        <w:ilvl w:val="6"/>
        <w:numId w:val="1"/>
      </w:numPr>
      <w:tabs>
        <w:tab w:val="left" w:pos="1200"/>
        <w:tab w:val="left" w:pos="1296"/>
      </w:tabs>
      <w:spacing w:before="240" w:after="64" w:line="320" w:lineRule="auto"/>
      <w:outlineLvl w:val="6"/>
    </w:pPr>
    <w:rPr>
      <w:b/>
      <w:bCs/>
      <w:spacing w:val="6"/>
      <w:kern w:val="2"/>
      <w:sz w:val="24"/>
      <w:szCs w:val="24"/>
    </w:rPr>
  </w:style>
  <w:style w:type="paragraph" w:styleId="12">
    <w:name w:val="heading 8"/>
    <w:basedOn w:val="1"/>
    <w:next w:val="10"/>
    <w:link w:val="66"/>
    <w:qFormat/>
    <w:uiPriority w:val="0"/>
    <w:pPr>
      <w:keepNext/>
      <w:keepLines/>
      <w:widowControl w:val="0"/>
      <w:numPr>
        <w:ilvl w:val="7"/>
        <w:numId w:val="1"/>
      </w:numPr>
      <w:tabs>
        <w:tab w:val="left" w:pos="1200"/>
        <w:tab w:val="left" w:pos="1440"/>
      </w:tabs>
      <w:spacing w:before="240" w:after="64" w:line="320" w:lineRule="auto"/>
      <w:outlineLvl w:val="7"/>
    </w:pPr>
    <w:rPr>
      <w:rFonts w:ascii="Arial" w:hAnsi="Arial" w:eastAsia="黑体"/>
      <w:spacing w:val="6"/>
      <w:kern w:val="2"/>
      <w:sz w:val="24"/>
      <w:szCs w:val="24"/>
    </w:rPr>
  </w:style>
  <w:style w:type="paragraph" w:styleId="13">
    <w:name w:val="heading 9"/>
    <w:basedOn w:val="1"/>
    <w:next w:val="10"/>
    <w:link w:val="67"/>
    <w:qFormat/>
    <w:uiPriority w:val="0"/>
    <w:pPr>
      <w:keepNext/>
      <w:keepLines/>
      <w:widowControl w:val="0"/>
      <w:numPr>
        <w:ilvl w:val="8"/>
        <w:numId w:val="1"/>
      </w:numPr>
      <w:tabs>
        <w:tab w:val="left" w:pos="1200"/>
        <w:tab w:val="left" w:pos="1584"/>
      </w:tabs>
      <w:spacing w:before="240" w:after="64" w:line="320" w:lineRule="auto"/>
      <w:outlineLvl w:val="8"/>
    </w:pPr>
    <w:rPr>
      <w:rFonts w:ascii="Arial" w:hAnsi="Arial" w:eastAsia="黑体"/>
      <w:spacing w:val="6"/>
      <w:kern w:val="2"/>
      <w:sz w:val="24"/>
      <w:szCs w:val="24"/>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72"/>
    <w:qFormat/>
    <w:uiPriority w:val="99"/>
    <w:pPr>
      <w:widowControl/>
      <w:spacing w:after="120" w:line="240" w:lineRule="auto"/>
      <w:ind w:firstLine="420" w:firstLineChars="100"/>
      <w:jc w:val="left"/>
    </w:pPr>
    <w:rPr>
      <w:rFonts w:ascii="Times New Roman"/>
      <w:sz w:val="21"/>
    </w:rPr>
  </w:style>
  <w:style w:type="paragraph" w:styleId="3">
    <w:name w:val="Body Text"/>
    <w:basedOn w:val="1"/>
    <w:next w:val="1"/>
    <w:link w:val="71"/>
    <w:qFormat/>
    <w:uiPriority w:val="99"/>
    <w:pPr>
      <w:widowControl w:val="0"/>
      <w:spacing w:line="360" w:lineRule="auto"/>
      <w:jc w:val="both"/>
    </w:pPr>
    <w:rPr>
      <w:rFonts w:ascii="楷体_GB2312" w:eastAsia="楷体_GB2312"/>
      <w:kern w:val="2"/>
      <w:sz w:val="32"/>
    </w:rPr>
  </w:style>
  <w:style w:type="paragraph" w:styleId="10">
    <w:name w:val="Normal Indent"/>
    <w:basedOn w:val="1"/>
    <w:link w:val="63"/>
    <w:qFormat/>
    <w:uiPriority w:val="0"/>
    <w:pPr>
      <w:ind w:firstLine="420"/>
    </w:pPr>
  </w:style>
  <w:style w:type="paragraph" w:styleId="14">
    <w:name w:val="List 3"/>
    <w:basedOn w:val="1"/>
    <w:qFormat/>
    <w:uiPriority w:val="0"/>
    <w:pPr>
      <w:widowControl w:val="0"/>
      <w:ind w:left="100" w:leftChars="400" w:hanging="200" w:hangingChars="200"/>
      <w:jc w:val="both"/>
    </w:pPr>
    <w:rPr>
      <w:kern w:val="2"/>
      <w:szCs w:val="24"/>
    </w:rPr>
  </w:style>
  <w:style w:type="paragraph" w:styleId="15">
    <w:name w:val="List Number 2"/>
    <w:basedOn w:val="1"/>
    <w:qFormat/>
    <w:uiPriority w:val="0"/>
    <w:pPr>
      <w:tabs>
        <w:tab w:val="left" w:pos="2414"/>
      </w:tabs>
      <w:spacing w:afterLines="50"/>
      <w:ind w:left="3360" w:hanging="1170"/>
    </w:pPr>
    <w:rPr>
      <w:sz w:val="24"/>
    </w:rPr>
  </w:style>
  <w:style w:type="paragraph" w:styleId="16">
    <w:name w:val="List Number"/>
    <w:basedOn w:val="1"/>
    <w:qFormat/>
    <w:uiPriority w:val="0"/>
    <w:pPr>
      <w:tabs>
        <w:tab w:val="left" w:pos="454"/>
        <w:tab w:val="left" w:pos="720"/>
        <w:tab w:val="left" w:pos="1140"/>
      </w:tabs>
      <w:spacing w:after="50" w:afterLines="50"/>
      <w:ind w:left="454" w:hanging="284"/>
    </w:pPr>
    <w:rPr>
      <w:sz w:val="24"/>
    </w:rPr>
  </w:style>
  <w:style w:type="paragraph" w:styleId="17">
    <w:name w:val="caption"/>
    <w:basedOn w:val="1"/>
    <w:next w:val="1"/>
    <w:qFormat/>
    <w:uiPriority w:val="0"/>
    <w:pPr>
      <w:widowControl w:val="0"/>
      <w:spacing w:before="152" w:after="160"/>
      <w:jc w:val="both"/>
    </w:pPr>
    <w:rPr>
      <w:rFonts w:ascii="Arial" w:hAnsi="Arial" w:eastAsia="黑体" w:cs="Arial"/>
      <w:kern w:val="2"/>
      <w:sz w:val="20"/>
    </w:rPr>
  </w:style>
  <w:style w:type="paragraph" w:styleId="18">
    <w:name w:val="Document Map"/>
    <w:basedOn w:val="1"/>
    <w:link w:val="68"/>
    <w:qFormat/>
    <w:uiPriority w:val="0"/>
    <w:rPr>
      <w:rFonts w:ascii="宋体"/>
      <w:sz w:val="18"/>
      <w:szCs w:val="18"/>
    </w:rPr>
  </w:style>
  <w:style w:type="paragraph" w:styleId="19">
    <w:name w:val="annotation text"/>
    <w:basedOn w:val="1"/>
    <w:link w:val="69"/>
    <w:qFormat/>
    <w:uiPriority w:val="0"/>
  </w:style>
  <w:style w:type="paragraph" w:styleId="20">
    <w:name w:val="Body Text 3"/>
    <w:basedOn w:val="1"/>
    <w:link w:val="70"/>
    <w:qFormat/>
    <w:uiPriority w:val="0"/>
    <w:pPr>
      <w:widowControl w:val="0"/>
      <w:spacing w:after="120"/>
      <w:jc w:val="both"/>
    </w:pPr>
    <w:rPr>
      <w:kern w:val="2"/>
      <w:sz w:val="16"/>
      <w:szCs w:val="16"/>
    </w:rPr>
  </w:style>
  <w:style w:type="paragraph" w:styleId="21">
    <w:name w:val="Body Text Indent"/>
    <w:basedOn w:val="1"/>
    <w:next w:val="1"/>
    <w:link w:val="56"/>
    <w:qFormat/>
    <w:uiPriority w:val="0"/>
    <w:pPr>
      <w:spacing w:after="120"/>
      <w:ind w:left="420" w:leftChars="200"/>
    </w:pPr>
  </w:style>
  <w:style w:type="paragraph" w:styleId="22">
    <w:name w:val="List Number 3"/>
    <w:basedOn w:val="1"/>
    <w:qFormat/>
    <w:uiPriority w:val="99"/>
    <w:pPr>
      <w:tabs>
        <w:tab w:val="left" w:pos="1200"/>
      </w:tabs>
      <w:ind w:left="1200" w:hanging="360"/>
      <w:contextualSpacing/>
    </w:pPr>
  </w:style>
  <w:style w:type="paragraph" w:styleId="23">
    <w:name w:val="List 2"/>
    <w:basedOn w:val="1"/>
    <w:qFormat/>
    <w:uiPriority w:val="0"/>
    <w:pPr>
      <w:widowControl w:val="0"/>
      <w:ind w:left="100" w:leftChars="200" w:hanging="200" w:hangingChars="200"/>
      <w:jc w:val="both"/>
    </w:pPr>
    <w:rPr>
      <w:rFonts w:ascii="Calibri" w:hAnsi="Calibri"/>
      <w:kern w:val="2"/>
      <w:szCs w:val="22"/>
    </w:rPr>
  </w:style>
  <w:style w:type="paragraph" w:styleId="24">
    <w:name w:val="List Bullet 2"/>
    <w:basedOn w:val="1"/>
    <w:qFormat/>
    <w:uiPriority w:val="0"/>
    <w:pPr>
      <w:widowControl w:val="0"/>
      <w:tabs>
        <w:tab w:val="left" w:pos="780"/>
        <w:tab w:val="left" w:pos="851"/>
        <w:tab w:val="left" w:pos="960"/>
      </w:tabs>
      <w:spacing w:line="460" w:lineRule="exact"/>
      <w:ind w:left="360" w:hanging="360"/>
      <w:jc w:val="both"/>
    </w:pPr>
    <w:rPr>
      <w:spacing w:val="12"/>
      <w:kern w:val="2"/>
      <w:sz w:val="24"/>
    </w:rPr>
  </w:style>
  <w:style w:type="paragraph" w:styleId="25">
    <w:name w:val="index 4"/>
    <w:basedOn w:val="1"/>
    <w:next w:val="1"/>
    <w:qFormat/>
    <w:uiPriority w:val="0"/>
    <w:pPr>
      <w:widowControl w:val="0"/>
      <w:ind w:left="600" w:leftChars="600"/>
      <w:jc w:val="both"/>
    </w:pPr>
    <w:rPr>
      <w:kern w:val="2"/>
      <w:szCs w:val="24"/>
    </w:rPr>
  </w:style>
  <w:style w:type="paragraph" w:styleId="26">
    <w:name w:val="toc 3"/>
    <w:basedOn w:val="1"/>
    <w:next w:val="1"/>
    <w:qFormat/>
    <w:uiPriority w:val="39"/>
    <w:pPr>
      <w:ind w:left="840" w:leftChars="400"/>
    </w:pPr>
  </w:style>
  <w:style w:type="paragraph" w:styleId="27">
    <w:name w:val="Plain Text"/>
    <w:basedOn w:val="1"/>
    <w:next w:val="1"/>
    <w:link w:val="73"/>
    <w:qFormat/>
    <w:uiPriority w:val="0"/>
    <w:pPr>
      <w:widowControl w:val="0"/>
      <w:jc w:val="both"/>
    </w:pPr>
    <w:rPr>
      <w:rFonts w:ascii="宋体" w:hAnsi="Courier New"/>
      <w:kern w:val="2"/>
    </w:rPr>
  </w:style>
  <w:style w:type="paragraph" w:styleId="28">
    <w:name w:val="Date"/>
    <w:basedOn w:val="1"/>
    <w:next w:val="1"/>
    <w:link w:val="74"/>
    <w:qFormat/>
    <w:uiPriority w:val="99"/>
    <w:pPr>
      <w:widowControl w:val="0"/>
      <w:jc w:val="both"/>
    </w:pPr>
    <w:rPr>
      <w:rFonts w:ascii="宋体"/>
      <w:sz w:val="24"/>
    </w:rPr>
  </w:style>
  <w:style w:type="paragraph" w:styleId="29">
    <w:name w:val="Body Text Indent 2"/>
    <w:basedOn w:val="1"/>
    <w:link w:val="75"/>
    <w:qFormat/>
    <w:uiPriority w:val="0"/>
    <w:pPr>
      <w:spacing w:after="120" w:line="480" w:lineRule="auto"/>
      <w:ind w:left="420" w:leftChars="200"/>
    </w:pPr>
  </w:style>
  <w:style w:type="paragraph" w:styleId="30">
    <w:name w:val="Balloon Text"/>
    <w:basedOn w:val="1"/>
    <w:link w:val="76"/>
    <w:qFormat/>
    <w:uiPriority w:val="0"/>
    <w:rPr>
      <w:sz w:val="18"/>
      <w:szCs w:val="18"/>
    </w:rPr>
  </w:style>
  <w:style w:type="paragraph" w:styleId="31">
    <w:name w:val="footer"/>
    <w:basedOn w:val="1"/>
    <w:link w:val="77"/>
    <w:qFormat/>
    <w:uiPriority w:val="99"/>
    <w:pPr>
      <w:tabs>
        <w:tab w:val="center" w:pos="4153"/>
        <w:tab w:val="right" w:pos="8306"/>
      </w:tabs>
      <w:snapToGrid w:val="0"/>
    </w:pPr>
    <w:rPr>
      <w:sz w:val="18"/>
    </w:rPr>
  </w:style>
  <w:style w:type="paragraph" w:styleId="32">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middleDot" w:pos="8948"/>
      </w:tabs>
    </w:pPr>
    <w:rPr>
      <w:rFonts w:ascii="宋体" w:hAnsi="宋体"/>
      <w:b/>
      <w:bCs/>
      <w:caps/>
      <w:szCs w:val="21"/>
    </w:rPr>
  </w:style>
  <w:style w:type="paragraph" w:styleId="34">
    <w:name w:val="List"/>
    <w:basedOn w:val="1"/>
    <w:qFormat/>
    <w:uiPriority w:val="0"/>
    <w:pPr>
      <w:widowControl w:val="0"/>
      <w:ind w:left="200" w:hanging="200" w:hangingChars="200"/>
      <w:jc w:val="both"/>
    </w:pPr>
    <w:rPr>
      <w:kern w:val="2"/>
      <w:sz w:val="28"/>
      <w:szCs w:val="24"/>
    </w:rPr>
  </w:style>
  <w:style w:type="paragraph" w:styleId="35">
    <w:name w:val="footnote text"/>
    <w:basedOn w:val="1"/>
    <w:link w:val="79"/>
    <w:qFormat/>
    <w:uiPriority w:val="0"/>
    <w:pPr>
      <w:widowControl w:val="0"/>
      <w:jc w:val="both"/>
    </w:pPr>
    <w:rPr>
      <w:kern w:val="2"/>
      <w:sz w:val="20"/>
    </w:rPr>
  </w:style>
  <w:style w:type="paragraph" w:styleId="36">
    <w:name w:val="toc 6"/>
    <w:basedOn w:val="1"/>
    <w:next w:val="1"/>
    <w:qFormat/>
    <w:uiPriority w:val="39"/>
    <w:pPr>
      <w:widowControl w:val="0"/>
      <w:ind w:left="2100" w:leftChars="1000"/>
      <w:jc w:val="both"/>
    </w:pPr>
    <w:rPr>
      <w:kern w:val="2"/>
      <w:szCs w:val="24"/>
    </w:rPr>
  </w:style>
  <w:style w:type="paragraph" w:styleId="37">
    <w:name w:val="Body Text Indent 3"/>
    <w:basedOn w:val="1"/>
    <w:link w:val="80"/>
    <w:qFormat/>
    <w:uiPriority w:val="0"/>
    <w:pPr>
      <w:spacing w:after="120"/>
      <w:ind w:left="420" w:leftChars="200"/>
    </w:pPr>
    <w:rPr>
      <w:sz w:val="16"/>
      <w:szCs w:val="16"/>
    </w:rPr>
  </w:style>
  <w:style w:type="paragraph" w:styleId="38">
    <w:name w:val="table of figures"/>
    <w:basedOn w:val="1"/>
    <w:next w:val="1"/>
    <w:qFormat/>
    <w:uiPriority w:val="0"/>
    <w:pPr>
      <w:ind w:left="840" w:leftChars="200" w:hanging="420" w:hangingChars="200"/>
    </w:pPr>
  </w:style>
  <w:style w:type="paragraph" w:styleId="39">
    <w:name w:val="toc 2"/>
    <w:basedOn w:val="1"/>
    <w:next w:val="1"/>
    <w:qFormat/>
    <w:uiPriority w:val="39"/>
    <w:pPr>
      <w:tabs>
        <w:tab w:val="right" w:leader="middleDot" w:pos="8948"/>
      </w:tabs>
      <w:spacing w:before="60" w:after="60"/>
      <w:ind w:left="210"/>
    </w:pPr>
    <w:rPr>
      <w:smallCaps/>
    </w:rPr>
  </w:style>
  <w:style w:type="paragraph" w:styleId="40">
    <w:name w:val="Body Text 2"/>
    <w:basedOn w:val="1"/>
    <w:link w:val="81"/>
    <w:qFormat/>
    <w:uiPriority w:val="0"/>
    <w:pPr>
      <w:spacing w:after="120" w:line="480" w:lineRule="auto"/>
    </w:p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sz w:val="24"/>
      <w:szCs w:val="24"/>
    </w:rPr>
  </w:style>
  <w:style w:type="paragraph" w:styleId="42">
    <w:name w:val="Normal (Web)"/>
    <w:basedOn w:val="1"/>
    <w:qFormat/>
    <w:uiPriority w:val="99"/>
    <w:pPr>
      <w:spacing w:before="100" w:beforeAutospacing="1" w:after="100" w:afterAutospacing="1"/>
    </w:pPr>
    <w:rPr>
      <w:rFonts w:ascii="Arial Unicode MS" w:hAnsi="Arial Unicode MS" w:eastAsia="Times New Roman"/>
      <w:color w:val="000000"/>
      <w:sz w:val="24"/>
      <w:szCs w:val="24"/>
    </w:rPr>
  </w:style>
  <w:style w:type="paragraph" w:styleId="43">
    <w:name w:val="Title"/>
    <w:basedOn w:val="1"/>
    <w:link w:val="82"/>
    <w:qFormat/>
    <w:uiPriority w:val="0"/>
    <w:pPr>
      <w:overflowPunct w:val="0"/>
      <w:autoSpaceDE w:val="0"/>
      <w:autoSpaceDN w:val="0"/>
      <w:adjustRightInd w:val="0"/>
      <w:jc w:val="center"/>
      <w:textAlignment w:val="baseline"/>
    </w:pPr>
    <w:rPr>
      <w:b/>
      <w:sz w:val="24"/>
      <w:lang w:val="en-GB"/>
    </w:rPr>
  </w:style>
  <w:style w:type="paragraph" w:styleId="44">
    <w:name w:val="annotation subject"/>
    <w:basedOn w:val="19"/>
    <w:next w:val="19"/>
    <w:link w:val="83"/>
    <w:qFormat/>
    <w:uiPriority w:val="0"/>
    <w:rPr>
      <w:b/>
      <w:bCs/>
    </w:rPr>
  </w:style>
  <w:style w:type="paragraph" w:styleId="45">
    <w:name w:val="Body Text First Indent 2"/>
    <w:basedOn w:val="21"/>
    <w:link w:val="57"/>
    <w:qFormat/>
    <w:uiPriority w:val="0"/>
    <w:pPr>
      <w:widowControl w:val="0"/>
      <w:ind w:firstLine="420" w:firstLineChars="200"/>
      <w:jc w:val="both"/>
    </w:pPr>
    <w:rPr>
      <w:rFonts w:ascii="等线" w:hAnsi="等线" w:eastAsia="等线"/>
      <w:kern w:val="2"/>
      <w:szCs w:val="24"/>
    </w:rPr>
  </w:style>
  <w:style w:type="table" w:styleId="47">
    <w:name w:val="Table Grid"/>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rFonts w:hint="eastAsia" w:ascii="宋体" w:hAnsi="宋体" w:eastAsia="宋体" w:cs="宋体"/>
      <w:color w:val="000000"/>
      <w:sz w:val="18"/>
      <w:szCs w:val="18"/>
      <w:u w:val="none"/>
    </w:rPr>
  </w:style>
  <w:style w:type="character" w:styleId="52">
    <w:name w:val="Emphasis"/>
    <w:qFormat/>
    <w:uiPriority w:val="20"/>
    <w:rPr>
      <w:i/>
      <w:iCs/>
    </w:rPr>
  </w:style>
  <w:style w:type="character" w:styleId="53">
    <w:name w:val="line number"/>
    <w:basedOn w:val="48"/>
    <w:qFormat/>
    <w:uiPriority w:val="0"/>
  </w:style>
  <w:style w:type="character" w:styleId="54">
    <w:name w:val="Hyperlink"/>
    <w:qFormat/>
    <w:uiPriority w:val="99"/>
    <w:rPr>
      <w:rFonts w:hint="eastAsia" w:ascii="宋体" w:hAnsi="宋体" w:eastAsia="宋体" w:cs="宋体"/>
      <w:color w:val="000000"/>
      <w:sz w:val="18"/>
      <w:szCs w:val="18"/>
      <w:u w:val="none"/>
    </w:rPr>
  </w:style>
  <w:style w:type="character" w:styleId="55">
    <w:name w:val="annotation reference"/>
    <w:qFormat/>
    <w:uiPriority w:val="0"/>
    <w:rPr>
      <w:sz w:val="21"/>
      <w:szCs w:val="21"/>
    </w:rPr>
  </w:style>
  <w:style w:type="character" w:customStyle="1" w:styleId="56">
    <w:name w:val="正文文本缩进 Char"/>
    <w:link w:val="21"/>
    <w:qFormat/>
    <w:uiPriority w:val="0"/>
    <w:rPr>
      <w:rFonts w:ascii="Times New Roman" w:hAnsi="Times New Roman"/>
      <w:sz w:val="21"/>
    </w:rPr>
  </w:style>
  <w:style w:type="character" w:customStyle="1" w:styleId="57">
    <w:name w:val="正文首行缩进 2 Char"/>
    <w:link w:val="45"/>
    <w:qFormat/>
    <w:uiPriority w:val="0"/>
    <w:rPr>
      <w:rFonts w:ascii="等线" w:hAnsi="等线" w:eastAsia="等线"/>
      <w:kern w:val="2"/>
      <w:sz w:val="21"/>
      <w:szCs w:val="24"/>
    </w:rPr>
  </w:style>
  <w:style w:type="character" w:customStyle="1" w:styleId="58">
    <w:name w:val="标题 1 Char"/>
    <w:link w:val="4"/>
    <w:qFormat/>
    <w:uiPriority w:val="0"/>
    <w:rPr>
      <w:rFonts w:ascii="宋体" w:hAnsi="Times New Roman" w:eastAsia="宋体" w:cs="Times New Roman"/>
      <w:b/>
      <w:kern w:val="44"/>
      <w:sz w:val="24"/>
      <w:szCs w:val="20"/>
    </w:rPr>
  </w:style>
  <w:style w:type="character" w:customStyle="1" w:styleId="59">
    <w:name w:val="标题 2 Char"/>
    <w:link w:val="5"/>
    <w:qFormat/>
    <w:uiPriority w:val="9"/>
    <w:rPr>
      <w:rFonts w:ascii="Cambria" w:hAnsi="Cambria" w:eastAsia="宋体" w:cs="Times New Roman"/>
      <w:b/>
      <w:bCs/>
      <w:sz w:val="32"/>
      <w:szCs w:val="32"/>
    </w:rPr>
  </w:style>
  <w:style w:type="character" w:customStyle="1" w:styleId="60">
    <w:name w:val="标题 3 Char"/>
    <w:link w:val="6"/>
    <w:qFormat/>
    <w:uiPriority w:val="0"/>
    <w:rPr>
      <w:rFonts w:ascii="Times New Roman" w:hAnsi="Times New Roman"/>
      <w:b/>
      <w:bCs/>
      <w:sz w:val="32"/>
      <w:szCs w:val="32"/>
    </w:rPr>
  </w:style>
  <w:style w:type="character" w:customStyle="1" w:styleId="61">
    <w:name w:val="标题 4 Char"/>
    <w:link w:val="7"/>
    <w:qFormat/>
    <w:uiPriority w:val="0"/>
    <w:rPr>
      <w:rFonts w:ascii="Arial" w:hAnsi="Arial" w:eastAsia="黑体"/>
      <w:b/>
      <w:bCs/>
      <w:sz w:val="28"/>
      <w:szCs w:val="28"/>
    </w:rPr>
  </w:style>
  <w:style w:type="character" w:customStyle="1" w:styleId="62">
    <w:name w:val="标题 5 Char"/>
    <w:link w:val="8"/>
    <w:qFormat/>
    <w:uiPriority w:val="0"/>
    <w:rPr>
      <w:rFonts w:ascii="Times New Roman" w:hAnsi="Times New Roman"/>
      <w:color w:val="000000"/>
      <w:kern w:val="2"/>
      <w:sz w:val="28"/>
    </w:rPr>
  </w:style>
  <w:style w:type="character" w:customStyle="1" w:styleId="63">
    <w:name w:val="正文缩进 Char"/>
    <w:link w:val="10"/>
    <w:qFormat/>
    <w:uiPriority w:val="0"/>
    <w:rPr>
      <w:rFonts w:ascii="Times New Roman" w:hAnsi="Times New Roman"/>
      <w:sz w:val="21"/>
    </w:rPr>
  </w:style>
  <w:style w:type="character" w:customStyle="1" w:styleId="64">
    <w:name w:val="标题 6 Char"/>
    <w:link w:val="9"/>
    <w:qFormat/>
    <w:uiPriority w:val="0"/>
    <w:rPr>
      <w:rFonts w:ascii="Arial" w:hAnsi="Arial" w:eastAsia="黑体"/>
      <w:b/>
      <w:bCs/>
      <w:spacing w:val="6"/>
      <w:kern w:val="2"/>
      <w:sz w:val="24"/>
      <w:szCs w:val="24"/>
    </w:rPr>
  </w:style>
  <w:style w:type="character" w:customStyle="1" w:styleId="65">
    <w:name w:val="标题 7 Char"/>
    <w:link w:val="11"/>
    <w:qFormat/>
    <w:uiPriority w:val="0"/>
    <w:rPr>
      <w:b/>
      <w:bCs/>
      <w:spacing w:val="6"/>
      <w:kern w:val="2"/>
      <w:sz w:val="24"/>
      <w:szCs w:val="24"/>
    </w:rPr>
  </w:style>
  <w:style w:type="character" w:customStyle="1" w:styleId="66">
    <w:name w:val="标题 8 Char"/>
    <w:link w:val="12"/>
    <w:qFormat/>
    <w:uiPriority w:val="0"/>
    <w:rPr>
      <w:rFonts w:ascii="Arial" w:hAnsi="Arial" w:eastAsia="黑体"/>
      <w:spacing w:val="6"/>
      <w:kern w:val="2"/>
      <w:sz w:val="24"/>
      <w:szCs w:val="24"/>
    </w:rPr>
  </w:style>
  <w:style w:type="character" w:customStyle="1" w:styleId="67">
    <w:name w:val="标题 9 Char"/>
    <w:link w:val="13"/>
    <w:qFormat/>
    <w:uiPriority w:val="0"/>
    <w:rPr>
      <w:rFonts w:ascii="Arial" w:hAnsi="Arial" w:eastAsia="黑体"/>
      <w:spacing w:val="6"/>
      <w:kern w:val="2"/>
      <w:sz w:val="24"/>
      <w:szCs w:val="24"/>
    </w:rPr>
  </w:style>
  <w:style w:type="character" w:customStyle="1" w:styleId="68">
    <w:name w:val="文档结构图 Char"/>
    <w:link w:val="18"/>
    <w:qFormat/>
    <w:uiPriority w:val="0"/>
    <w:rPr>
      <w:rFonts w:ascii="宋体" w:hAnsi="Times New Roman"/>
      <w:sz w:val="18"/>
      <w:szCs w:val="18"/>
    </w:rPr>
  </w:style>
  <w:style w:type="character" w:customStyle="1" w:styleId="69">
    <w:name w:val="批注文字 Char"/>
    <w:link w:val="19"/>
    <w:qFormat/>
    <w:uiPriority w:val="0"/>
    <w:rPr>
      <w:rFonts w:ascii="Times New Roman" w:hAnsi="Times New Roman"/>
      <w:sz w:val="21"/>
    </w:rPr>
  </w:style>
  <w:style w:type="character" w:customStyle="1" w:styleId="70">
    <w:name w:val="正文文本 3 Char"/>
    <w:link w:val="20"/>
    <w:qFormat/>
    <w:uiPriority w:val="0"/>
    <w:rPr>
      <w:rFonts w:ascii="Times New Roman" w:hAnsi="Times New Roman"/>
      <w:kern w:val="2"/>
      <w:sz w:val="16"/>
      <w:szCs w:val="16"/>
    </w:rPr>
  </w:style>
  <w:style w:type="character" w:customStyle="1" w:styleId="71">
    <w:name w:val="正文文本 Char"/>
    <w:link w:val="3"/>
    <w:qFormat/>
    <w:uiPriority w:val="99"/>
    <w:rPr>
      <w:rFonts w:ascii="楷体_GB2312" w:hAnsi="Times New Roman" w:eastAsia="楷体_GB2312"/>
      <w:kern w:val="2"/>
      <w:sz w:val="32"/>
    </w:rPr>
  </w:style>
  <w:style w:type="character" w:customStyle="1" w:styleId="72">
    <w:name w:val="正文首行缩进 Char"/>
    <w:link w:val="2"/>
    <w:qFormat/>
    <w:uiPriority w:val="99"/>
    <w:rPr>
      <w:rFonts w:ascii="Times New Roman" w:hAnsi="Times New Roman" w:eastAsia="楷体_GB2312"/>
      <w:kern w:val="2"/>
      <w:sz w:val="21"/>
    </w:rPr>
  </w:style>
  <w:style w:type="character" w:customStyle="1" w:styleId="73">
    <w:name w:val="纯文本 Char"/>
    <w:link w:val="27"/>
    <w:qFormat/>
    <w:uiPriority w:val="0"/>
    <w:rPr>
      <w:rFonts w:ascii="宋体" w:hAnsi="Courier New" w:eastAsia="宋体"/>
      <w:kern w:val="2"/>
      <w:sz w:val="21"/>
      <w:lang w:val="en-US" w:eastAsia="zh-CN" w:bidi="ar-SA"/>
    </w:rPr>
  </w:style>
  <w:style w:type="character" w:customStyle="1" w:styleId="74">
    <w:name w:val="日期 Char"/>
    <w:link w:val="28"/>
    <w:qFormat/>
    <w:uiPriority w:val="99"/>
    <w:rPr>
      <w:rFonts w:ascii="宋体"/>
      <w:sz w:val="24"/>
    </w:rPr>
  </w:style>
  <w:style w:type="character" w:customStyle="1" w:styleId="75">
    <w:name w:val="正文文本缩进 2 Char"/>
    <w:link w:val="29"/>
    <w:qFormat/>
    <w:uiPriority w:val="0"/>
    <w:rPr>
      <w:rFonts w:ascii="Times New Roman" w:hAnsi="Times New Roman"/>
      <w:sz w:val="21"/>
    </w:rPr>
  </w:style>
  <w:style w:type="character" w:customStyle="1" w:styleId="76">
    <w:name w:val="批注框文本 Char"/>
    <w:link w:val="30"/>
    <w:qFormat/>
    <w:uiPriority w:val="0"/>
    <w:rPr>
      <w:rFonts w:ascii="Times New Roman" w:hAnsi="Times New Roman"/>
      <w:sz w:val="18"/>
      <w:szCs w:val="18"/>
    </w:rPr>
  </w:style>
  <w:style w:type="character" w:customStyle="1" w:styleId="77">
    <w:name w:val="页脚 Char"/>
    <w:link w:val="31"/>
    <w:qFormat/>
    <w:uiPriority w:val="99"/>
    <w:rPr>
      <w:rFonts w:ascii="Times New Roman" w:hAnsi="Times New Roman" w:eastAsia="宋体" w:cs="Times New Roman"/>
      <w:kern w:val="0"/>
      <w:sz w:val="18"/>
      <w:szCs w:val="20"/>
    </w:rPr>
  </w:style>
  <w:style w:type="character" w:customStyle="1" w:styleId="78">
    <w:name w:val="页眉 Char"/>
    <w:link w:val="32"/>
    <w:qFormat/>
    <w:uiPriority w:val="99"/>
    <w:rPr>
      <w:rFonts w:ascii="Times New Roman" w:hAnsi="Times New Roman" w:eastAsia="宋体" w:cs="Times New Roman"/>
      <w:kern w:val="0"/>
      <w:sz w:val="18"/>
      <w:szCs w:val="18"/>
    </w:rPr>
  </w:style>
  <w:style w:type="character" w:customStyle="1" w:styleId="79">
    <w:name w:val="脚注文本 Char"/>
    <w:link w:val="35"/>
    <w:qFormat/>
    <w:uiPriority w:val="0"/>
    <w:rPr>
      <w:kern w:val="2"/>
    </w:rPr>
  </w:style>
  <w:style w:type="character" w:customStyle="1" w:styleId="80">
    <w:name w:val="正文文本缩进 3 Char"/>
    <w:link w:val="37"/>
    <w:qFormat/>
    <w:uiPriority w:val="0"/>
    <w:rPr>
      <w:rFonts w:ascii="Times New Roman" w:hAnsi="Times New Roman"/>
      <w:sz w:val="16"/>
      <w:szCs w:val="16"/>
    </w:rPr>
  </w:style>
  <w:style w:type="character" w:customStyle="1" w:styleId="81">
    <w:name w:val="正文文本 2 Char"/>
    <w:link w:val="40"/>
    <w:qFormat/>
    <w:uiPriority w:val="0"/>
    <w:rPr>
      <w:rFonts w:ascii="Times New Roman" w:hAnsi="Times New Roman"/>
      <w:sz w:val="21"/>
    </w:rPr>
  </w:style>
  <w:style w:type="character" w:customStyle="1" w:styleId="82">
    <w:name w:val="标题 Char"/>
    <w:link w:val="43"/>
    <w:qFormat/>
    <w:uiPriority w:val="0"/>
    <w:rPr>
      <w:rFonts w:ascii="Times New Roman" w:hAnsi="Times New Roman"/>
      <w:b/>
      <w:sz w:val="24"/>
      <w:lang w:val="en-GB"/>
    </w:rPr>
  </w:style>
  <w:style w:type="character" w:customStyle="1" w:styleId="83">
    <w:name w:val="批注主题 Char"/>
    <w:link w:val="44"/>
    <w:qFormat/>
    <w:uiPriority w:val="0"/>
    <w:rPr>
      <w:rFonts w:ascii="Times New Roman" w:hAnsi="Times New Roman"/>
      <w:b/>
      <w:bCs/>
      <w:sz w:val="21"/>
    </w:rPr>
  </w:style>
  <w:style w:type="character" w:customStyle="1" w:styleId="84">
    <w:name w:val="font11"/>
    <w:qFormat/>
    <w:uiPriority w:val="0"/>
    <w:rPr>
      <w:rFonts w:hint="default" w:ascii="Times New Roman" w:hAnsi="Times New Roman" w:cs="Times New Roman"/>
      <w:color w:val="000000"/>
      <w:sz w:val="24"/>
      <w:szCs w:val="24"/>
      <w:u w:val="none"/>
    </w:rPr>
  </w:style>
  <w:style w:type="character" w:customStyle="1" w:styleId="85">
    <w:name w:val="纯文本 Char1"/>
    <w:qFormat/>
    <w:uiPriority w:val="0"/>
    <w:rPr>
      <w:rFonts w:ascii="宋体" w:hAnsi="Courier New" w:eastAsia="宋体"/>
      <w:kern w:val="2"/>
      <w:sz w:val="21"/>
      <w:lang w:val="en-US" w:eastAsia="zh-CN" w:bidi="ar-SA"/>
    </w:rPr>
  </w:style>
  <w:style w:type="character" w:customStyle="1" w:styleId="86">
    <w:name w:val="文档结构图 Char1"/>
    <w:qFormat/>
    <w:uiPriority w:val="99"/>
    <w:rPr>
      <w:sz w:val="21"/>
      <w:shd w:val="clear" w:color="auto" w:fill="000080"/>
    </w:rPr>
  </w:style>
  <w:style w:type="character" w:customStyle="1" w:styleId="87">
    <w:name w:val="font31"/>
    <w:qFormat/>
    <w:uiPriority w:val="6"/>
    <w:rPr>
      <w:rFonts w:hint="eastAsia" w:ascii="宋体" w:hAnsi="宋体" w:eastAsia="宋体" w:cs="宋体"/>
      <w:color w:val="000000"/>
      <w:sz w:val="32"/>
      <w:szCs w:val="32"/>
      <w:u w:val="none"/>
    </w:rPr>
  </w:style>
  <w:style w:type="character" w:customStyle="1" w:styleId="88">
    <w:name w:val="ca-81"/>
    <w:qFormat/>
    <w:uiPriority w:val="0"/>
    <w:rPr>
      <w:rFonts w:hint="eastAsia" w:ascii="仿宋体" w:eastAsia="仿宋体"/>
      <w:i/>
      <w:iCs/>
      <w:sz w:val="21"/>
      <w:szCs w:val="21"/>
    </w:rPr>
  </w:style>
  <w:style w:type="character" w:customStyle="1" w:styleId="89">
    <w:name w:val="ca-1"/>
    <w:qFormat/>
    <w:uiPriority w:val="0"/>
  </w:style>
  <w:style w:type="character" w:customStyle="1" w:styleId="90">
    <w:name w:val="Char Char22"/>
    <w:qFormat/>
    <w:uiPriority w:val="0"/>
    <w:rPr>
      <w:lang w:bidi="ar-SA"/>
    </w:rPr>
  </w:style>
  <w:style w:type="character" w:customStyle="1" w:styleId="91">
    <w:name w:val="Char Char5"/>
    <w:qFormat/>
    <w:uiPriority w:val="0"/>
    <w:rPr>
      <w:rFonts w:eastAsia="宋体"/>
      <w:sz w:val="18"/>
      <w:lang w:val="en-US" w:eastAsia="zh-CN" w:bidi="ar-SA"/>
    </w:rPr>
  </w:style>
  <w:style w:type="character" w:customStyle="1" w:styleId="92">
    <w:name w:val="页码1"/>
    <w:qFormat/>
    <w:uiPriority w:val="0"/>
  </w:style>
  <w:style w:type="character" w:customStyle="1" w:styleId="93">
    <w:name w:val="ca-21"/>
    <w:qFormat/>
    <w:uiPriority w:val="0"/>
    <w:rPr>
      <w:rFonts w:hint="eastAsia" w:ascii="仿宋体" w:eastAsia="仿宋体"/>
      <w:sz w:val="21"/>
      <w:szCs w:val="21"/>
    </w:rPr>
  </w:style>
  <w:style w:type="character" w:customStyle="1" w:styleId="94">
    <w:name w:val="批注引用1"/>
    <w:qFormat/>
    <w:uiPriority w:val="0"/>
    <w:rPr>
      <w:sz w:val="21"/>
      <w:szCs w:val="21"/>
    </w:rPr>
  </w:style>
  <w:style w:type="character" w:customStyle="1" w:styleId="95">
    <w:name w:val="页眉 Char1"/>
    <w:qFormat/>
    <w:uiPriority w:val="0"/>
    <w:rPr>
      <w:sz w:val="18"/>
    </w:rPr>
  </w:style>
  <w:style w:type="character" w:customStyle="1" w:styleId="96">
    <w:name w:val="自定义正文 Char Char"/>
    <w:link w:val="97"/>
    <w:qFormat/>
    <w:uiPriority w:val="0"/>
    <w:rPr>
      <w:kern w:val="2"/>
      <w:sz w:val="24"/>
    </w:rPr>
  </w:style>
  <w:style w:type="paragraph" w:customStyle="1" w:styleId="97">
    <w:name w:val="自定义正文"/>
    <w:basedOn w:val="1"/>
    <w:link w:val="96"/>
    <w:qFormat/>
    <w:uiPriority w:val="0"/>
    <w:pPr>
      <w:widowControl w:val="0"/>
      <w:spacing w:after="156" w:afterLines="50" w:line="360" w:lineRule="auto"/>
      <w:ind w:firstLine="200" w:firstLineChars="200"/>
    </w:pPr>
    <w:rPr>
      <w:kern w:val="2"/>
      <w:sz w:val="24"/>
    </w:rPr>
  </w:style>
  <w:style w:type="character" w:customStyle="1" w:styleId="98">
    <w:name w:val="纯文本 Char2"/>
    <w:qFormat/>
    <w:uiPriority w:val="0"/>
    <w:rPr>
      <w:rFonts w:ascii="宋体" w:hAnsi="Courier New" w:eastAsia="宋体"/>
      <w:kern w:val="2"/>
      <w:sz w:val="24"/>
      <w:szCs w:val="24"/>
      <w:lang w:val="en-US" w:eastAsia="zh-CN" w:bidi="ar-SA"/>
    </w:rPr>
  </w:style>
  <w:style w:type="character" w:customStyle="1" w:styleId="99">
    <w:name w:val="grame"/>
    <w:qFormat/>
    <w:uiPriority w:val="0"/>
  </w:style>
  <w:style w:type="character" w:customStyle="1" w:styleId="100">
    <w:name w:val="Char Char8"/>
    <w:qFormat/>
    <w:uiPriority w:val="0"/>
    <w:rPr>
      <w:rFonts w:ascii="Cambria" w:hAnsi="Cambria" w:eastAsia="宋体" w:cs="Times New Roman"/>
      <w:b/>
      <w:bCs/>
      <w:sz w:val="32"/>
      <w:szCs w:val="32"/>
    </w:rPr>
  </w:style>
  <w:style w:type="character" w:customStyle="1" w:styleId="101">
    <w:name w:val="headline-content2"/>
    <w:qFormat/>
    <w:uiPriority w:val="0"/>
  </w:style>
  <w:style w:type="character" w:customStyle="1" w:styleId="102">
    <w:name w:val="op-map-singlepoint-info-right1"/>
    <w:qFormat/>
    <w:uiPriority w:val="0"/>
  </w:style>
  <w:style w:type="character" w:customStyle="1" w:styleId="103">
    <w:name w:val="NormalCharacter"/>
    <w:qFormat/>
    <w:uiPriority w:val="0"/>
  </w:style>
  <w:style w:type="character" w:customStyle="1" w:styleId="104">
    <w:name w:val="附表正文 Char"/>
    <w:link w:val="105"/>
    <w:qFormat/>
    <w:locked/>
    <w:uiPriority w:val="0"/>
    <w:rPr>
      <w:rFonts w:ascii="宋体"/>
      <w:kern w:val="2"/>
      <w:sz w:val="21"/>
    </w:rPr>
  </w:style>
  <w:style w:type="paragraph" w:customStyle="1" w:styleId="105">
    <w:name w:val="附表正文"/>
    <w:basedOn w:val="1"/>
    <w:link w:val="104"/>
    <w:qFormat/>
    <w:uiPriority w:val="0"/>
    <w:pPr>
      <w:widowControl w:val="0"/>
      <w:snapToGrid w:val="0"/>
      <w:jc w:val="both"/>
    </w:pPr>
    <w:rPr>
      <w:rFonts w:ascii="宋体"/>
      <w:kern w:val="2"/>
    </w:rPr>
  </w:style>
  <w:style w:type="character" w:customStyle="1" w:styleId="106">
    <w:name w:val="Texte Char Char"/>
    <w:qFormat/>
    <w:uiPriority w:val="0"/>
    <w:rPr>
      <w:rFonts w:ascii="宋体" w:hAnsi="Courier New" w:eastAsia="宋体"/>
      <w:sz w:val="21"/>
      <w:szCs w:val="21"/>
      <w:lang w:val="en-US" w:eastAsia="zh-CN" w:bidi="ar-SA"/>
    </w:rPr>
  </w:style>
  <w:style w:type="character" w:customStyle="1" w:styleId="107">
    <w:name w:val="标书1 Char1"/>
    <w:qFormat/>
    <w:uiPriority w:val="0"/>
    <w:rPr>
      <w:rFonts w:ascii="宋体" w:hAnsi="Times New Roman" w:eastAsia="宋体" w:cs="Times New Roman"/>
      <w:b/>
      <w:kern w:val="44"/>
      <w:sz w:val="24"/>
      <w:szCs w:val="20"/>
    </w:rPr>
  </w:style>
  <w:style w:type="character" w:customStyle="1" w:styleId="108">
    <w:name w:val="ca-51"/>
    <w:qFormat/>
    <w:uiPriority w:val="0"/>
    <w:rPr>
      <w:rFonts w:hint="eastAsia" w:ascii="宋体" w:hAnsi="宋体" w:eastAsia="宋体"/>
      <w:color w:val="000000"/>
      <w:sz w:val="24"/>
      <w:szCs w:val="24"/>
    </w:rPr>
  </w:style>
  <w:style w:type="character" w:customStyle="1" w:styleId="109">
    <w:name w:val="Char Char"/>
    <w:qFormat/>
    <w:uiPriority w:val="0"/>
    <w:rPr>
      <w:rFonts w:ascii="楷体_GB2312" w:hAnsi="Times New Roman" w:eastAsia="楷体_GB2312"/>
      <w:kern w:val="2"/>
      <w:sz w:val="32"/>
    </w:rPr>
  </w:style>
  <w:style w:type="character" w:customStyle="1" w:styleId="110">
    <w:name w:val="纯文本字符"/>
    <w:qFormat/>
    <w:uiPriority w:val="0"/>
    <w:rPr>
      <w:rFonts w:ascii="宋体" w:hAnsi="Courier New"/>
      <w:kern w:val="2"/>
      <w:sz w:val="24"/>
      <w:szCs w:val="24"/>
      <w:lang w:bidi="ar-SA"/>
    </w:rPr>
  </w:style>
  <w:style w:type="character" w:customStyle="1" w:styleId="111">
    <w:name w:val="Char Char7"/>
    <w:qFormat/>
    <w:uiPriority w:val="0"/>
    <w:rPr>
      <w:rFonts w:ascii="Cambria" w:hAnsi="Cambria" w:eastAsia="宋体"/>
      <w:b/>
      <w:bCs/>
      <w:sz w:val="32"/>
      <w:szCs w:val="32"/>
      <w:lang w:val="en-US" w:eastAsia="zh-CN" w:bidi="ar-SA"/>
    </w:rPr>
  </w:style>
  <w:style w:type="character" w:customStyle="1" w:styleId="112">
    <w:name w:val="正文文字首行缩进 Char"/>
    <w:qFormat/>
    <w:uiPriority w:val="0"/>
    <w:rPr>
      <w:rFonts w:ascii="Times New Roman" w:hAnsi="Times New Roman"/>
      <w:sz w:val="21"/>
    </w:rPr>
  </w:style>
  <w:style w:type="character" w:customStyle="1" w:styleId="113">
    <w:name w:val="ca-41"/>
    <w:qFormat/>
    <w:uiPriority w:val="0"/>
    <w:rPr>
      <w:rFonts w:hint="default" w:ascii="Times New Roman" w:hAnsi="Times New Roman" w:cs="Times New Roman"/>
      <w:sz w:val="21"/>
      <w:szCs w:val="21"/>
    </w:rPr>
  </w:style>
  <w:style w:type="character" w:customStyle="1" w:styleId="114">
    <w:name w:val="样式 黑色"/>
    <w:qFormat/>
    <w:uiPriority w:val="0"/>
    <w:rPr>
      <w:color w:val="000000"/>
      <w:spacing w:val="4"/>
    </w:rPr>
  </w:style>
  <w:style w:type="character" w:customStyle="1" w:styleId="115">
    <w:name w:val="标题 1 Char Char"/>
    <w:qFormat/>
    <w:uiPriority w:val="0"/>
    <w:rPr>
      <w:rFonts w:eastAsia="宋体"/>
      <w:b/>
      <w:spacing w:val="-2"/>
      <w:sz w:val="24"/>
      <w:lang w:val="en-US" w:eastAsia="zh-CN" w:bidi="ar-SA"/>
    </w:rPr>
  </w:style>
  <w:style w:type="character" w:customStyle="1" w:styleId="116">
    <w:name w:val="small"/>
    <w:qFormat/>
    <w:uiPriority w:val="0"/>
  </w:style>
  <w:style w:type="character" w:customStyle="1" w:styleId="117">
    <w:name w:val="列出段落 Char"/>
    <w:link w:val="118"/>
    <w:qFormat/>
    <w:uiPriority w:val="0"/>
    <w:rPr>
      <w:rFonts w:ascii="Times New Roman" w:hAnsi="Times New Roman"/>
      <w:sz w:val="21"/>
    </w:rPr>
  </w:style>
  <w:style w:type="paragraph" w:styleId="118">
    <w:name w:val="List Paragraph"/>
    <w:basedOn w:val="1"/>
    <w:next w:val="1"/>
    <w:link w:val="117"/>
    <w:qFormat/>
    <w:uiPriority w:val="34"/>
    <w:pPr>
      <w:ind w:firstLine="420" w:firstLineChars="200"/>
    </w:pPr>
  </w:style>
  <w:style w:type="character" w:customStyle="1" w:styleId="119">
    <w:name w:val="标书1 Char"/>
    <w:qFormat/>
    <w:uiPriority w:val="0"/>
    <w:rPr>
      <w:rFonts w:ascii="宋体" w:hAnsi="Times New Roman" w:eastAsia="宋体" w:cs="Times New Roman"/>
      <w:b/>
      <w:kern w:val="44"/>
      <w:sz w:val="24"/>
      <w:szCs w:val="20"/>
    </w:rPr>
  </w:style>
  <w:style w:type="character" w:customStyle="1" w:styleId="120">
    <w:name w:val="标题 2 Char1"/>
    <w:qFormat/>
    <w:uiPriority w:val="0"/>
    <w:rPr>
      <w:rFonts w:ascii="Cambria" w:hAnsi="Cambria"/>
      <w:b/>
      <w:bCs/>
      <w:sz w:val="32"/>
      <w:szCs w:val="32"/>
    </w:rPr>
  </w:style>
  <w:style w:type="character" w:customStyle="1" w:styleId="121">
    <w:name w:val="List Paragraph Char"/>
    <w:link w:val="122"/>
    <w:qFormat/>
    <w:locked/>
    <w:uiPriority w:val="0"/>
    <w:rPr>
      <w:rFonts w:ascii="Calibri" w:hAnsi="Calibri"/>
      <w:kern w:val="2"/>
      <w:sz w:val="21"/>
      <w:szCs w:val="22"/>
    </w:rPr>
  </w:style>
  <w:style w:type="paragraph" w:customStyle="1" w:styleId="122">
    <w:name w:val="List Paragraph11"/>
    <w:basedOn w:val="1"/>
    <w:link w:val="121"/>
    <w:qFormat/>
    <w:uiPriority w:val="0"/>
    <w:pPr>
      <w:widowControl w:val="0"/>
      <w:ind w:firstLine="420" w:firstLineChars="200"/>
      <w:jc w:val="both"/>
    </w:pPr>
    <w:rPr>
      <w:rFonts w:ascii="Calibri" w:hAnsi="Calibri"/>
      <w:kern w:val="2"/>
      <w:szCs w:val="22"/>
    </w:rPr>
  </w:style>
  <w:style w:type="character" w:customStyle="1" w:styleId="123">
    <w:name w:val="Char Char9"/>
    <w:qFormat/>
    <w:uiPriority w:val="0"/>
    <w:rPr>
      <w:rFonts w:ascii="Times New Roman" w:hAnsi="Times New Roman"/>
      <w:b/>
      <w:bCs/>
      <w:sz w:val="32"/>
      <w:szCs w:val="32"/>
    </w:rPr>
  </w:style>
  <w:style w:type="character" w:customStyle="1" w:styleId="124">
    <w:name w:val="Char Char6"/>
    <w:qFormat/>
    <w:uiPriority w:val="0"/>
    <w:rPr>
      <w:rFonts w:ascii="宋体" w:eastAsia="宋体"/>
      <w:b/>
      <w:kern w:val="44"/>
      <w:sz w:val="24"/>
      <w:lang w:val="en-US" w:eastAsia="zh-CN" w:bidi="ar-SA"/>
    </w:rPr>
  </w:style>
  <w:style w:type="character" w:customStyle="1" w:styleId="125">
    <w:name w:val="z-窗体底端 Char"/>
    <w:link w:val="126"/>
    <w:qFormat/>
    <w:uiPriority w:val="0"/>
    <w:rPr>
      <w:rFonts w:ascii="Arial" w:hAnsi="Arial" w:cs="Arial"/>
      <w:vanish/>
      <w:sz w:val="16"/>
      <w:szCs w:val="16"/>
    </w:rPr>
  </w:style>
  <w:style w:type="paragraph" w:customStyle="1" w:styleId="126">
    <w:name w:val="_Style 125"/>
    <w:basedOn w:val="1"/>
    <w:next w:val="1"/>
    <w:link w:val="125"/>
    <w:qFormat/>
    <w:uiPriority w:val="0"/>
    <w:pPr>
      <w:pBdr>
        <w:top w:val="single" w:color="auto" w:sz="6" w:space="1"/>
      </w:pBdr>
      <w:jc w:val="center"/>
    </w:pPr>
    <w:rPr>
      <w:rFonts w:ascii="Arial" w:hAnsi="Arial"/>
      <w:vanish/>
      <w:sz w:val="16"/>
      <w:szCs w:val="16"/>
    </w:rPr>
  </w:style>
  <w:style w:type="character" w:customStyle="1" w:styleId="127">
    <w:name w:val="Char Char Char Char Char"/>
    <w:qFormat/>
    <w:uiPriority w:val="0"/>
    <w:rPr>
      <w:rFonts w:ascii="宋体" w:hAnsi="Courier New" w:eastAsia="宋体"/>
      <w:sz w:val="21"/>
      <w:lang w:val="en-US" w:eastAsia="zh-CN" w:bidi="ar-SA"/>
    </w:rPr>
  </w:style>
  <w:style w:type="character" w:customStyle="1" w:styleId="128">
    <w:name w:val="标题 1 Char1"/>
    <w:qFormat/>
    <w:uiPriority w:val="0"/>
    <w:rPr>
      <w:rFonts w:ascii="宋体"/>
      <w:b/>
      <w:kern w:val="44"/>
      <w:sz w:val="24"/>
    </w:rPr>
  </w:style>
  <w:style w:type="character" w:customStyle="1" w:styleId="129">
    <w:name w:val="Char Char17"/>
    <w:qFormat/>
    <w:uiPriority w:val="0"/>
    <w:rPr>
      <w:rFonts w:ascii="宋体" w:eastAsia="宋体"/>
      <w:b/>
      <w:kern w:val="44"/>
      <w:sz w:val="24"/>
      <w:lang w:val="en-US" w:eastAsia="zh-CN" w:bidi="ar-SA"/>
    </w:rPr>
  </w:style>
  <w:style w:type="character" w:customStyle="1" w:styleId="130">
    <w:name w:val="正文（首行缩进两字） Char"/>
    <w:qFormat/>
    <w:uiPriority w:val="0"/>
    <w:rPr>
      <w:rFonts w:eastAsia="宋体"/>
      <w:sz w:val="21"/>
      <w:lang w:val="en-US" w:eastAsia="zh-CN" w:bidi="ar-SA"/>
    </w:rPr>
  </w:style>
  <w:style w:type="character" w:customStyle="1" w:styleId="131">
    <w:name w:val="表正文 Char"/>
    <w:qFormat/>
    <w:uiPriority w:val="0"/>
    <w:rPr>
      <w:rFonts w:ascii="Times New Roman" w:hAnsi="Times New Roman"/>
      <w:sz w:val="21"/>
    </w:rPr>
  </w:style>
  <w:style w:type="character" w:customStyle="1" w:styleId="132">
    <w:name w:val="Char Char2"/>
    <w:qFormat/>
    <w:uiPriority w:val="0"/>
    <w:rPr>
      <w:rFonts w:ascii="楷体_GB2312" w:eastAsia="楷体_GB2312"/>
      <w:kern w:val="2"/>
      <w:sz w:val="32"/>
      <w:lang w:val="en-US" w:eastAsia="zh-CN" w:bidi="ar-SA"/>
    </w:rPr>
  </w:style>
  <w:style w:type="character" w:customStyle="1" w:styleId="133">
    <w:name w:val="Footer-Even Char Char"/>
    <w:qFormat/>
    <w:uiPriority w:val="0"/>
    <w:rPr>
      <w:rFonts w:ascii="Times New Roman" w:hAnsi="Times New Roman" w:eastAsia="宋体" w:cs="Times New Roman"/>
      <w:kern w:val="0"/>
      <w:sz w:val="18"/>
      <w:szCs w:val="20"/>
    </w:rPr>
  </w:style>
  <w:style w:type="character" w:customStyle="1" w:styleId="134">
    <w:name w:val="z-窗体顶端 Char"/>
    <w:link w:val="135"/>
    <w:qFormat/>
    <w:uiPriority w:val="0"/>
    <w:rPr>
      <w:rFonts w:ascii="Arial" w:hAnsi="Arial" w:cs="Arial"/>
      <w:vanish/>
      <w:sz w:val="16"/>
      <w:szCs w:val="16"/>
    </w:rPr>
  </w:style>
  <w:style w:type="paragraph" w:customStyle="1" w:styleId="135">
    <w:name w:val="_Style 134"/>
    <w:basedOn w:val="1"/>
    <w:next w:val="1"/>
    <w:link w:val="134"/>
    <w:qFormat/>
    <w:uiPriority w:val="0"/>
    <w:pPr>
      <w:pBdr>
        <w:bottom w:val="single" w:color="auto" w:sz="6" w:space="1"/>
      </w:pBdr>
      <w:jc w:val="center"/>
    </w:pPr>
    <w:rPr>
      <w:rFonts w:ascii="Arial" w:hAnsi="Arial"/>
      <w:vanish/>
      <w:sz w:val="16"/>
      <w:szCs w:val="16"/>
    </w:rPr>
  </w:style>
  <w:style w:type="character" w:customStyle="1" w:styleId="136">
    <w:name w:val="font21"/>
    <w:qFormat/>
    <w:uiPriority w:val="0"/>
    <w:rPr>
      <w:rFonts w:ascii="MingLiU" w:hAnsi="MingLiU" w:eastAsia="MingLiU" w:cs="MingLiU"/>
      <w:color w:val="000000"/>
      <w:sz w:val="24"/>
      <w:szCs w:val="24"/>
      <w:u w:val="none"/>
    </w:rPr>
  </w:style>
  <w:style w:type="character" w:customStyle="1" w:styleId="137">
    <w:name w:val="Char Char71"/>
    <w:qFormat/>
    <w:uiPriority w:val="0"/>
    <w:rPr>
      <w:rFonts w:ascii="宋体" w:hAnsi="Times New Roman" w:eastAsia="宋体" w:cs="Times New Roman"/>
      <w:b/>
      <w:kern w:val="44"/>
      <w:sz w:val="24"/>
      <w:szCs w:val="20"/>
    </w:rPr>
  </w:style>
  <w:style w:type="character" w:customStyle="1" w:styleId="138">
    <w:name w:val="h Char"/>
    <w:qFormat/>
    <w:uiPriority w:val="0"/>
    <w:rPr>
      <w:rFonts w:ascii="Times New Roman" w:hAnsi="Times New Roman" w:eastAsia="宋体" w:cs="Times New Roman"/>
      <w:kern w:val="0"/>
      <w:sz w:val="18"/>
      <w:szCs w:val="18"/>
    </w:rPr>
  </w:style>
  <w:style w:type="character" w:customStyle="1" w:styleId="139">
    <w:name w:val="普通文字 Char Char1"/>
    <w:qFormat/>
    <w:uiPriority w:val="0"/>
    <w:rPr>
      <w:rFonts w:ascii="宋体" w:hAnsi="Courier New"/>
      <w:kern w:val="2"/>
      <w:sz w:val="24"/>
      <w:szCs w:val="24"/>
      <w:lang w:bidi="ar-SA"/>
    </w:rPr>
  </w:style>
  <w:style w:type="character" w:customStyle="1" w:styleId="140">
    <w:name w:val="日期 Char3"/>
    <w:qFormat/>
    <w:uiPriority w:val="0"/>
    <w:rPr>
      <w:rFonts w:ascii="宋体"/>
      <w:sz w:val="24"/>
    </w:rPr>
  </w:style>
  <w:style w:type="character" w:customStyle="1" w:styleId="141">
    <w:name w:val="font01"/>
    <w:qFormat/>
    <w:uiPriority w:val="0"/>
    <w:rPr>
      <w:rFonts w:hint="eastAsia" w:ascii="宋体" w:hAnsi="宋体" w:eastAsia="宋体" w:cs="宋体"/>
      <w:color w:val="000000"/>
      <w:sz w:val="24"/>
      <w:szCs w:val="24"/>
      <w:vertAlign w:val="superscript"/>
    </w:rPr>
  </w:style>
  <w:style w:type="character" w:customStyle="1" w:styleId="142">
    <w:name w:val="标题2 Char1"/>
    <w:qFormat/>
    <w:uiPriority w:val="0"/>
    <w:rPr>
      <w:rFonts w:ascii="Cambria" w:hAnsi="Cambria" w:eastAsia="宋体" w:cs="Times New Roman"/>
      <w:b/>
      <w:bCs/>
      <w:sz w:val="32"/>
      <w:szCs w:val="32"/>
    </w:rPr>
  </w:style>
  <w:style w:type="paragraph" w:customStyle="1" w:styleId="143">
    <w:name w:val="中等深浅网格 1 - 强调文字颜色 21"/>
    <w:basedOn w:val="1"/>
    <w:qFormat/>
    <w:uiPriority w:val="99"/>
    <w:pPr>
      <w:ind w:firstLine="420" w:firstLineChars="200"/>
    </w:pPr>
  </w:style>
  <w:style w:type="paragraph" w:customStyle="1" w:styleId="144">
    <w:name w:val="Char Char Char Char Char Char Char"/>
    <w:basedOn w:val="1"/>
    <w:qFormat/>
    <w:uiPriority w:val="0"/>
    <w:pPr>
      <w:widowControl w:val="0"/>
      <w:jc w:val="both"/>
    </w:pPr>
    <w:rPr>
      <w:rFonts w:ascii="仿宋_GB2312" w:eastAsia="仿宋_GB2312"/>
      <w:b/>
      <w:kern w:val="2"/>
      <w:sz w:val="32"/>
      <w:szCs w:val="32"/>
    </w:rPr>
  </w:style>
  <w:style w:type="paragraph" w:customStyle="1" w:styleId="145">
    <w:name w:val="图表目录1"/>
    <w:basedOn w:val="1"/>
    <w:next w:val="1"/>
    <w:qFormat/>
    <w:uiPriority w:val="0"/>
    <w:pPr>
      <w:ind w:left="840" w:leftChars="200" w:hanging="420" w:hangingChars="200"/>
    </w:pPr>
  </w:style>
  <w:style w:type="paragraph" w:customStyle="1" w:styleId="146">
    <w:name w:val="正文缩进1"/>
    <w:basedOn w:val="1"/>
    <w:qFormat/>
    <w:uiPriority w:val="0"/>
    <w:pPr>
      <w:ind w:firstLine="420"/>
    </w:pPr>
    <w:rPr>
      <w:rFonts w:eastAsia="Times New Roman"/>
    </w:rPr>
  </w:style>
  <w:style w:type="paragraph" w:customStyle="1" w:styleId="14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48">
    <w:name w:val="正文首行缩进两字"/>
    <w:qFormat/>
    <w:uiPriority w:val="0"/>
    <w:pPr>
      <w:widowControl w:val="0"/>
      <w:spacing w:beforeLines="50" w:afterLines="50" w:line="360" w:lineRule="auto"/>
      <w:ind w:right="220"/>
    </w:pPr>
    <w:rPr>
      <w:rFonts w:ascii="宋体" w:hAnsi="宋体" w:eastAsia="宋体" w:cs="Times New Roman"/>
      <w:bCs/>
      <w:color w:val="000000"/>
      <w:sz w:val="21"/>
      <w:szCs w:val="21"/>
      <w:lang w:val="en-US" w:eastAsia="zh-CN" w:bidi="ar-SA"/>
    </w:rPr>
  </w:style>
  <w:style w:type="paragraph" w:customStyle="1" w:styleId="149">
    <w:name w:val="Char1"/>
    <w:basedOn w:val="1"/>
    <w:qFormat/>
    <w:uiPriority w:val="0"/>
  </w:style>
  <w:style w:type="paragraph" w:customStyle="1" w:styleId="150">
    <w:name w:val="正文文本缩进 21"/>
    <w:basedOn w:val="1"/>
    <w:qFormat/>
    <w:uiPriority w:val="0"/>
    <w:pPr>
      <w:widowControl w:val="0"/>
      <w:ind w:firstLine="538" w:firstLineChars="192"/>
      <w:jc w:val="both"/>
    </w:pPr>
    <w:rPr>
      <w:color w:val="FF0000"/>
      <w:kern w:val="2"/>
      <w:sz w:val="28"/>
      <w:szCs w:val="24"/>
    </w:rPr>
  </w:style>
  <w:style w:type="paragraph" w:customStyle="1" w:styleId="151">
    <w:name w:val="p0"/>
    <w:basedOn w:val="1"/>
    <w:qFormat/>
    <w:uiPriority w:val="0"/>
    <w:pPr>
      <w:jc w:val="both"/>
    </w:pPr>
    <w:rPr>
      <w:rFonts w:ascii="Calibri" w:hAnsi="Calibri" w:cs="宋体"/>
      <w:szCs w:val="21"/>
    </w:rPr>
  </w:style>
  <w:style w:type="paragraph" w:customStyle="1" w:styleId="152">
    <w:name w:val="Table Paragraph"/>
    <w:basedOn w:val="1"/>
    <w:qFormat/>
    <w:uiPriority w:val="99"/>
    <w:pPr>
      <w:widowControl w:val="0"/>
      <w:autoSpaceDE w:val="0"/>
      <w:autoSpaceDN w:val="0"/>
    </w:pPr>
    <w:rPr>
      <w:rFonts w:ascii="宋体" w:hAnsi="宋体" w:cs="宋体"/>
      <w:sz w:val="22"/>
      <w:szCs w:val="22"/>
      <w:lang w:eastAsia="en-US"/>
    </w:rPr>
  </w:style>
  <w:style w:type="paragraph" w:customStyle="1" w:styleId="153">
    <w:name w:val="14shadhxxx"/>
    <w:basedOn w:val="1"/>
    <w:qFormat/>
    <w:uiPriority w:val="0"/>
    <w:pPr>
      <w:spacing w:before="100" w:beforeAutospacing="1" w:after="100" w:afterAutospacing="1"/>
    </w:pPr>
    <w:rPr>
      <w:rFonts w:ascii="宋体" w:hAnsi="宋体"/>
      <w:b/>
      <w:bCs/>
      <w:color w:val="000000"/>
      <w:sz w:val="26"/>
      <w:szCs w:val="26"/>
    </w:rPr>
  </w:style>
  <w:style w:type="paragraph" w:customStyle="1" w:styleId="154">
    <w:name w:val="Char Char1 Char Char Char Char Char Char Char Char Char Char"/>
    <w:basedOn w:val="1"/>
    <w:qFormat/>
    <w:uiPriority w:val="0"/>
    <w:pPr>
      <w:widowControl w:val="0"/>
      <w:tabs>
        <w:tab w:val="left" w:pos="360"/>
      </w:tabs>
      <w:ind w:firstLine="420" w:firstLineChars="150"/>
      <w:jc w:val="both"/>
    </w:pPr>
    <w:rPr>
      <w:rFonts w:ascii="Arial" w:hAnsi="Arial" w:cs="Arial"/>
      <w:kern w:val="2"/>
      <w:sz w:val="20"/>
    </w:rPr>
  </w:style>
  <w:style w:type="paragraph" w:customStyle="1" w:styleId="155">
    <w:name w:val="l18"/>
    <w:basedOn w:val="1"/>
    <w:qFormat/>
    <w:uiPriority w:val="0"/>
    <w:pPr>
      <w:spacing w:before="100" w:beforeAutospacing="1" w:after="100" w:afterAutospacing="1" w:line="337" w:lineRule="atLeast"/>
    </w:pPr>
    <w:rPr>
      <w:rFonts w:ascii="宋体" w:hAnsi="宋体"/>
      <w:sz w:val="24"/>
      <w:szCs w:val="24"/>
    </w:rPr>
  </w:style>
  <w:style w:type="paragraph" w:customStyle="1" w:styleId="156">
    <w:name w:val="l17"/>
    <w:basedOn w:val="1"/>
    <w:qFormat/>
    <w:uiPriority w:val="0"/>
    <w:pPr>
      <w:spacing w:before="100" w:beforeAutospacing="1" w:after="100" w:afterAutospacing="1" w:line="318" w:lineRule="atLeast"/>
    </w:pPr>
    <w:rPr>
      <w:rFonts w:ascii="宋体" w:hAnsi="宋体"/>
      <w:sz w:val="24"/>
      <w:szCs w:val="24"/>
    </w:rPr>
  </w:style>
  <w:style w:type="paragraph" w:customStyle="1" w:styleId="157">
    <w:name w:val="reader-word-layer reader-word-s1-8"/>
    <w:basedOn w:val="1"/>
    <w:qFormat/>
    <w:uiPriority w:val="0"/>
    <w:pPr>
      <w:spacing w:before="100" w:beforeAutospacing="1" w:after="100" w:afterAutospacing="1"/>
    </w:pPr>
    <w:rPr>
      <w:rFonts w:ascii="宋体" w:hAnsi="宋体" w:cs="宋体"/>
      <w:sz w:val="24"/>
      <w:szCs w:val="24"/>
    </w:rPr>
  </w:style>
  <w:style w:type="paragraph" w:customStyle="1" w:styleId="158">
    <w:name w:val="Char"/>
    <w:basedOn w:val="1"/>
    <w:qFormat/>
    <w:uiPriority w:val="0"/>
    <w:pPr>
      <w:widowControl w:val="0"/>
      <w:jc w:val="both"/>
    </w:pPr>
    <w:rPr>
      <w:rFonts w:ascii="仿宋_GB2312" w:eastAsia="仿宋_GB2312"/>
      <w:b/>
      <w:kern w:val="2"/>
      <w:sz w:val="32"/>
      <w:szCs w:val="32"/>
    </w:rPr>
  </w:style>
  <w:style w:type="paragraph" w:customStyle="1" w:styleId="159">
    <w:name w:val="样式 标题 3 + 红色"/>
    <w:basedOn w:val="6"/>
    <w:qFormat/>
    <w:uiPriority w:val="0"/>
    <w:pPr>
      <w:widowControl w:val="0"/>
      <w:spacing w:before="120" w:after="120" w:line="700" w:lineRule="exact"/>
    </w:pPr>
    <w:rPr>
      <w:rFonts w:ascii="宋体" w:hAnsi="宋体"/>
      <w:color w:val="FF0000"/>
      <w:spacing w:val="10"/>
      <w:kern w:val="24"/>
      <w:sz w:val="28"/>
    </w:rPr>
  </w:style>
  <w:style w:type="paragraph" w:customStyle="1" w:styleId="160">
    <w:name w:val="right"/>
    <w:basedOn w:val="1"/>
    <w:qFormat/>
    <w:uiPriority w:val="0"/>
    <w:pPr>
      <w:spacing w:before="100" w:beforeAutospacing="1" w:after="100" w:afterAutospacing="1"/>
    </w:pPr>
    <w:rPr>
      <w:rFonts w:ascii="宋体" w:hAnsi="宋体"/>
      <w:sz w:val="24"/>
      <w:szCs w:val="24"/>
    </w:rPr>
  </w:style>
  <w:style w:type="paragraph" w:customStyle="1" w:styleId="161">
    <w:name w:val="日期1"/>
    <w:basedOn w:val="1"/>
    <w:next w:val="1"/>
    <w:qFormat/>
    <w:uiPriority w:val="0"/>
    <w:pPr>
      <w:widowControl w:val="0"/>
      <w:ind w:left="100" w:leftChars="2500"/>
      <w:jc w:val="both"/>
    </w:pPr>
    <w:rPr>
      <w:kern w:val="2"/>
      <w:sz w:val="24"/>
      <w:szCs w:val="24"/>
    </w:rPr>
  </w:style>
  <w:style w:type="paragraph" w:customStyle="1" w:styleId="162">
    <w:name w:val="标书标题4"/>
    <w:basedOn w:val="7"/>
    <w:qFormat/>
    <w:uiPriority w:val="0"/>
    <w:pPr>
      <w:keepLines w:val="0"/>
      <w:widowControl w:val="0"/>
      <w:tabs>
        <w:tab w:val="left" w:pos="425"/>
      </w:tabs>
      <w:adjustRightInd w:val="0"/>
      <w:snapToGrid w:val="0"/>
      <w:spacing w:before="0" w:after="0" w:line="300" w:lineRule="auto"/>
      <w:jc w:val="both"/>
    </w:pPr>
    <w:rPr>
      <w:rFonts w:ascii="Arial Narrow" w:hAnsi="Arial Narrow" w:eastAsia="仿宋_GB2312"/>
      <w:bCs w:val="0"/>
      <w:color w:val="000000"/>
      <w:szCs w:val="32"/>
    </w:rPr>
  </w:style>
  <w:style w:type="paragraph" w:customStyle="1" w:styleId="163">
    <w:name w:val="_Style 70"/>
    <w:basedOn w:val="1"/>
    <w:qFormat/>
    <w:uiPriority w:val="0"/>
    <w:pPr>
      <w:widowControl w:val="0"/>
      <w:jc w:val="both"/>
    </w:pPr>
    <w:rPr>
      <w:kern w:val="2"/>
    </w:rPr>
  </w:style>
  <w:style w:type="paragraph" w:customStyle="1" w:styleId="16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65">
    <w:name w:val="pa-2"/>
    <w:basedOn w:val="1"/>
    <w:qFormat/>
    <w:uiPriority w:val="0"/>
    <w:pPr>
      <w:spacing w:line="240" w:lineRule="atLeast"/>
      <w:jc w:val="both"/>
    </w:pPr>
    <w:rPr>
      <w:rFonts w:ascii="宋体" w:hAnsi="宋体" w:cs="宋体"/>
      <w:sz w:val="24"/>
      <w:szCs w:val="24"/>
    </w:rPr>
  </w:style>
  <w:style w:type="paragraph" w:customStyle="1" w:styleId="16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xl55"/>
    <w:basedOn w:val="1"/>
    <w:qFormat/>
    <w:uiPriority w:val="0"/>
    <w:pPr>
      <w:spacing w:before="100" w:beforeAutospacing="1" w:after="100" w:afterAutospacing="1"/>
      <w:jc w:val="center"/>
      <w:textAlignment w:val="center"/>
    </w:pPr>
    <w:rPr>
      <w:rFonts w:ascii="Arial Unicode MS" w:hAnsi="Arial Unicode MS"/>
      <w:sz w:val="24"/>
      <w:szCs w:val="24"/>
    </w:rPr>
  </w:style>
  <w:style w:type="paragraph" w:customStyle="1" w:styleId="168">
    <w:name w:val="PP 行"/>
    <w:basedOn w:val="169"/>
    <w:qFormat/>
    <w:uiPriority w:val="0"/>
  </w:style>
  <w:style w:type="paragraph" w:customStyle="1" w:styleId="169">
    <w:name w:val="签名1"/>
    <w:basedOn w:val="1"/>
    <w:qFormat/>
    <w:uiPriority w:val="0"/>
    <w:pPr>
      <w:widowControl w:val="0"/>
      <w:spacing w:line="460" w:lineRule="exact"/>
      <w:ind w:left="100" w:leftChars="2100" w:firstLine="200" w:firstLineChars="200"/>
      <w:jc w:val="both"/>
    </w:pPr>
    <w:rPr>
      <w:spacing w:val="12"/>
      <w:kern w:val="2"/>
      <w:sz w:val="24"/>
    </w:rPr>
  </w:style>
  <w:style w:type="paragraph" w:customStyle="1" w:styleId="170">
    <w:name w:val="样式 标题 4 + 非加粗"/>
    <w:basedOn w:val="7"/>
    <w:qFormat/>
    <w:uiPriority w:val="2"/>
    <w:pPr>
      <w:spacing w:before="120" w:after="120" w:line="377" w:lineRule="auto"/>
    </w:pPr>
    <w:rPr>
      <w:bCs w:val="0"/>
      <w:spacing w:val="4"/>
      <w:szCs w:val="24"/>
    </w:rPr>
  </w:style>
  <w:style w:type="paragraph" w:customStyle="1" w:styleId="171">
    <w:name w:val="标书标题2"/>
    <w:basedOn w:val="5"/>
    <w:qFormat/>
    <w:uiPriority w:val="0"/>
    <w:pPr>
      <w:keepLines w:val="0"/>
      <w:tabs>
        <w:tab w:val="left" w:pos="567"/>
      </w:tabs>
      <w:adjustRightInd w:val="0"/>
      <w:snapToGrid w:val="0"/>
      <w:spacing w:before="156" w:beforeLines="50" w:after="60" w:line="300" w:lineRule="auto"/>
      <w:ind w:left="567" w:hanging="567"/>
    </w:pPr>
    <w:rPr>
      <w:rFonts w:ascii="Arial Narrow" w:hAnsi="Arial Narrow" w:eastAsia="仿宋_GB2312"/>
      <w:bCs w:val="0"/>
      <w:sz w:val="28"/>
      <w:szCs w:val="20"/>
    </w:rPr>
  </w:style>
  <w:style w:type="paragraph" w:customStyle="1" w:styleId="172">
    <w:name w:val="xl35"/>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Arial Unicode MS" w:hAnsi="Arial Unicode MS" w:eastAsia="Arial Unicode MS"/>
      <w:sz w:val="24"/>
      <w:szCs w:val="24"/>
    </w:rPr>
  </w:style>
  <w:style w:type="paragraph" w:customStyle="1" w:styleId="173">
    <w:name w:val="zhang"/>
    <w:basedOn w:val="1"/>
    <w:qFormat/>
    <w:uiPriority w:val="0"/>
    <w:pPr>
      <w:spacing w:before="100" w:beforeAutospacing="1" w:after="100" w:afterAutospacing="1"/>
    </w:pPr>
    <w:rPr>
      <w:rFonts w:ascii="宋体" w:hAnsi="宋体" w:cs="宋体"/>
      <w:b/>
      <w:bCs/>
      <w:smallCaps/>
      <w:color w:val="000000"/>
      <w:sz w:val="20"/>
    </w:rPr>
  </w:style>
  <w:style w:type="paragraph" w:customStyle="1" w:styleId="174">
    <w:name w:val="无间隔1"/>
    <w:qFormat/>
    <w:uiPriority w:val="0"/>
    <w:rPr>
      <w:rFonts w:ascii="Times New Roman" w:hAnsi="Times New Roman" w:eastAsia="宋体" w:cs="Times New Roman"/>
      <w:sz w:val="22"/>
      <w:szCs w:val="22"/>
      <w:lang w:val="en-US" w:eastAsia="en-US" w:bidi="ar-SA"/>
    </w:rPr>
  </w:style>
  <w:style w:type="paragraph" w:customStyle="1" w:styleId="175">
    <w:name w:val="12shad1"/>
    <w:basedOn w:val="1"/>
    <w:qFormat/>
    <w:uiPriority w:val="0"/>
    <w:pPr>
      <w:spacing w:before="100" w:beforeAutospacing="1" w:after="100" w:afterAutospacing="1"/>
    </w:pPr>
    <w:rPr>
      <w:rFonts w:ascii="宋体" w:hAnsi="宋体"/>
      <w:b/>
      <w:bCs/>
      <w:color w:val="FFFFFF"/>
      <w:sz w:val="22"/>
      <w:szCs w:val="22"/>
    </w:rPr>
  </w:style>
  <w:style w:type="paragraph" w:customStyle="1" w:styleId="176">
    <w:name w:val="正文2"/>
    <w:basedOn w:val="1"/>
    <w:qFormat/>
    <w:uiPriority w:val="0"/>
    <w:pPr>
      <w:widowControl w:val="0"/>
      <w:spacing w:before="156" w:line="360" w:lineRule="auto"/>
      <w:ind w:firstLine="510" w:firstLineChars="200"/>
      <w:jc w:val="both"/>
    </w:pPr>
    <w:rPr>
      <w:kern w:val="2"/>
      <w:sz w:val="24"/>
    </w:rPr>
  </w:style>
  <w:style w:type="paragraph" w:customStyle="1" w:styleId="177">
    <w:name w:val="font4_1"/>
    <w:basedOn w:val="1"/>
    <w:qFormat/>
    <w:uiPriority w:val="0"/>
    <w:pPr>
      <w:spacing w:before="100" w:beforeAutospacing="1" w:after="100" w:afterAutospacing="1"/>
    </w:pPr>
    <w:rPr>
      <w:rFonts w:ascii="宋体" w:hAnsi="宋体"/>
      <w:color w:val="FFFFFF"/>
      <w:sz w:val="24"/>
      <w:szCs w:val="24"/>
    </w:rPr>
  </w:style>
  <w:style w:type="paragraph" w:customStyle="1" w:styleId="178">
    <w:name w:val="Char Char Char Char Char Char Char Char Char Char Char Char Char Char Char Char"/>
    <w:basedOn w:val="1"/>
    <w:qFormat/>
    <w:uiPriority w:val="0"/>
    <w:pPr>
      <w:tabs>
        <w:tab w:val="left" w:pos="360"/>
      </w:tabs>
    </w:pPr>
    <w:rPr>
      <w:rFonts w:ascii="Calibri" w:hAnsi="Calibri"/>
    </w:rPr>
  </w:style>
  <w:style w:type="paragraph" w:customStyle="1" w:styleId="179">
    <w:name w:val="默认段落字体 Para Char Char Char Char Char Char Char Char Char1 Char Char Char Char"/>
    <w:basedOn w:val="1"/>
    <w:qFormat/>
    <w:uiPriority w:val="0"/>
    <w:pPr>
      <w:widowControl w:val="0"/>
      <w:jc w:val="both"/>
    </w:pPr>
    <w:rPr>
      <w:rFonts w:ascii="Tahoma" w:hAnsi="Tahoma"/>
      <w:kern w:val="2"/>
      <w:sz w:val="24"/>
    </w:rPr>
  </w:style>
  <w:style w:type="paragraph" w:customStyle="1" w:styleId="180">
    <w:name w:val="附件"/>
    <w:basedOn w:val="4"/>
    <w:qFormat/>
    <w:uiPriority w:val="0"/>
    <w:pPr>
      <w:keepNext w:val="0"/>
      <w:keepLines w:val="0"/>
      <w:pageBreakBefore/>
      <w:spacing w:before="312" w:beforeLines="100" w:after="312" w:afterLines="100" w:line="240" w:lineRule="auto"/>
      <w:jc w:val="center"/>
    </w:pPr>
    <w:rPr>
      <w:rFonts w:hAnsi="宋体"/>
      <w:sz w:val="28"/>
      <w:szCs w:val="36"/>
    </w:rPr>
  </w:style>
  <w:style w:type="paragraph" w:customStyle="1" w:styleId="181">
    <w:name w:val="bullets (T)"/>
    <w:basedOn w:val="1"/>
    <w:qFormat/>
    <w:uiPriority w:val="0"/>
    <w:pPr>
      <w:widowControl w:val="0"/>
      <w:tabs>
        <w:tab w:val="left" w:pos="360"/>
        <w:tab w:val="left" w:pos="420"/>
        <w:tab w:val="left" w:pos="851"/>
        <w:tab w:val="left" w:pos="956"/>
        <w:tab w:val="left" w:pos="1138"/>
      </w:tabs>
      <w:spacing w:after="100" w:line="240" w:lineRule="exact"/>
      <w:ind w:left="720" w:hanging="720"/>
      <w:jc w:val="both"/>
    </w:pPr>
    <w:rPr>
      <w:snapToGrid w:val="0"/>
      <w:color w:val="000000"/>
      <w:kern w:val="2"/>
      <w:sz w:val="20"/>
    </w:rPr>
  </w:style>
  <w:style w:type="paragraph" w:customStyle="1" w:styleId="182">
    <w:name w:val="Char21"/>
    <w:basedOn w:val="1"/>
    <w:qFormat/>
    <w:uiPriority w:val="0"/>
    <w:pPr>
      <w:widowControl w:val="0"/>
      <w:jc w:val="both"/>
    </w:pPr>
    <w:rPr>
      <w:kern w:val="2"/>
    </w:rPr>
  </w:style>
  <w:style w:type="paragraph" w:customStyle="1" w:styleId="183">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样式3"/>
    <w:basedOn w:val="27"/>
    <w:qFormat/>
    <w:uiPriority w:val="0"/>
    <w:pPr>
      <w:spacing w:line="0" w:lineRule="atLeast"/>
      <w:outlineLvl w:val="0"/>
    </w:pPr>
    <w:rPr>
      <w:sz w:val="28"/>
    </w:rPr>
  </w:style>
  <w:style w:type="paragraph" w:customStyle="1" w:styleId="185">
    <w:name w:val="正文－恩普"/>
    <w:basedOn w:val="10"/>
    <w:qFormat/>
    <w:uiPriority w:val="0"/>
    <w:pPr>
      <w:framePr w:wrap="around" w:vAnchor="text" w:hAnchor="text" w:y="1"/>
      <w:widowControl w:val="0"/>
      <w:spacing w:line="360" w:lineRule="auto"/>
      <w:ind w:firstLine="200" w:firstLineChars="200"/>
      <w:jc w:val="both"/>
    </w:pPr>
    <w:rPr>
      <w:kern w:val="2"/>
      <w:sz w:val="24"/>
      <w:szCs w:val="24"/>
    </w:rPr>
  </w:style>
  <w:style w:type="paragraph" w:customStyle="1" w:styleId="186">
    <w:name w:val="b5-1"/>
    <w:basedOn w:val="1"/>
    <w:qFormat/>
    <w:uiPriority w:val="0"/>
    <w:pPr>
      <w:spacing w:before="100" w:beforeAutospacing="1" w:after="100" w:afterAutospacing="1" w:line="355" w:lineRule="atLeast"/>
    </w:pPr>
    <w:rPr>
      <w:rFonts w:ascii="宋体" w:hAnsi="宋体"/>
      <w:sz w:val="24"/>
      <w:szCs w:val="24"/>
    </w:rPr>
  </w:style>
  <w:style w:type="paragraph" w:customStyle="1" w:styleId="187">
    <w:name w:val="彩色底纹 - 强调文字颜色 11"/>
    <w:unhideWhenUsed/>
    <w:qFormat/>
    <w:uiPriority w:val="0"/>
    <w:rPr>
      <w:rFonts w:ascii="Times New Roman" w:hAnsi="Times New Roman" w:eastAsia="宋体" w:cs="Times New Roman"/>
      <w:sz w:val="21"/>
      <w:lang w:val="en-US" w:eastAsia="zh-CN" w:bidi="ar-SA"/>
    </w:rPr>
  </w:style>
  <w:style w:type="paragraph" w:customStyle="1" w:styleId="188">
    <w:name w:val="正文文字表格居中"/>
    <w:basedOn w:val="1"/>
    <w:next w:val="40"/>
    <w:qFormat/>
    <w:uiPriority w:val="0"/>
    <w:pPr>
      <w:widowControl w:val="0"/>
      <w:spacing w:line="400" w:lineRule="exact"/>
      <w:jc w:val="center"/>
    </w:pPr>
    <w:rPr>
      <w:b/>
      <w:bCs/>
      <w:kern w:val="2"/>
      <w:sz w:val="24"/>
      <w:szCs w:val="24"/>
    </w:rPr>
  </w:style>
  <w:style w:type="paragraph" w:customStyle="1" w:styleId="189">
    <w:name w:val="b3-1"/>
    <w:basedOn w:val="1"/>
    <w:qFormat/>
    <w:uiPriority w:val="0"/>
    <w:pPr>
      <w:spacing w:before="100" w:beforeAutospacing="1" w:after="100" w:afterAutospacing="1" w:line="355" w:lineRule="atLeast"/>
    </w:pPr>
    <w:rPr>
      <w:rFonts w:ascii="宋体" w:hAnsi="宋体"/>
      <w:sz w:val="24"/>
      <w:szCs w:val="24"/>
    </w:rPr>
  </w:style>
  <w:style w:type="paragraph" w:customStyle="1" w:styleId="190">
    <w:name w:val="p14a"/>
    <w:basedOn w:val="1"/>
    <w:qFormat/>
    <w:uiPriority w:val="0"/>
    <w:pPr>
      <w:spacing w:before="100" w:beforeAutospacing="1" w:after="100" w:afterAutospacing="1" w:line="411" w:lineRule="atLeast"/>
    </w:pPr>
    <w:rPr>
      <w:rFonts w:ascii="宋体" w:hAnsi="宋体"/>
      <w:sz w:val="26"/>
      <w:szCs w:val="26"/>
    </w:rPr>
  </w:style>
  <w:style w:type="paragraph" w:customStyle="1" w:styleId="191">
    <w:name w:val="正文格式"/>
    <w:basedOn w:val="1"/>
    <w:qFormat/>
    <w:uiPriority w:val="0"/>
    <w:pPr>
      <w:widowControl w:val="0"/>
      <w:spacing w:before="120" w:after="120" w:line="360" w:lineRule="auto"/>
      <w:ind w:firstLine="482"/>
    </w:pPr>
    <w:rPr>
      <w:kern w:val="2"/>
      <w:sz w:val="24"/>
    </w:rPr>
  </w:style>
  <w:style w:type="paragraph" w:customStyle="1" w:styleId="192">
    <w:name w:val="_Style 50"/>
    <w:next w:val="1"/>
    <w:qFormat/>
    <w:uiPriority w:val="0"/>
    <w:rPr>
      <w:rFonts w:ascii="Times New Roman" w:hAnsi="Times New Roman" w:eastAsia="宋体" w:cs="Times New Roman"/>
      <w:sz w:val="21"/>
      <w:lang w:val="en-US" w:eastAsia="zh-CN" w:bidi="ar-SA"/>
    </w:rPr>
  </w:style>
  <w:style w:type="paragraph" w:customStyle="1" w:styleId="193">
    <w:name w:val="正文文本缩进{858D7CFB-ED40-4347-BF05-701D383B685F}{858D7CFB-ED40-4347-BF05-701D383B685F}"/>
    <w:basedOn w:val="1"/>
    <w:qFormat/>
    <w:uiPriority w:val="0"/>
    <w:pPr>
      <w:spacing w:line="360" w:lineRule="auto"/>
      <w:ind w:left="980"/>
    </w:pPr>
  </w:style>
  <w:style w:type="paragraph" w:customStyle="1" w:styleId="194">
    <w:name w:val="表内文字"/>
    <w:basedOn w:val="1"/>
    <w:qFormat/>
    <w:uiPriority w:val="0"/>
    <w:pPr>
      <w:widowControl w:val="0"/>
      <w:spacing w:line="500" w:lineRule="atLeast"/>
      <w:jc w:val="center"/>
    </w:pPr>
    <w:rPr>
      <w:rFonts w:ascii="Arial" w:hAnsi="Arial" w:eastAsia="楷体_GB2312"/>
      <w:kern w:val="2"/>
      <w:sz w:val="28"/>
    </w:rPr>
  </w:style>
  <w:style w:type="paragraph" w:customStyle="1" w:styleId="195">
    <w:name w:val="12shad"/>
    <w:basedOn w:val="1"/>
    <w:qFormat/>
    <w:uiPriority w:val="0"/>
    <w:pPr>
      <w:spacing w:before="100" w:beforeAutospacing="1" w:after="100" w:afterAutospacing="1"/>
    </w:pPr>
    <w:rPr>
      <w:rFonts w:ascii="宋体" w:hAnsi="宋体"/>
      <w:color w:val="FFFFFF"/>
      <w:sz w:val="22"/>
      <w:szCs w:val="22"/>
    </w:rPr>
  </w:style>
  <w:style w:type="paragraph" w:customStyle="1" w:styleId="196">
    <w:name w:val="font15"/>
    <w:basedOn w:val="1"/>
    <w:qFormat/>
    <w:uiPriority w:val="0"/>
    <w:pPr>
      <w:spacing w:before="100" w:beforeAutospacing="1" w:after="100" w:afterAutospacing="1"/>
    </w:pPr>
    <w:rPr>
      <w:rFonts w:ascii="宋体" w:hAnsi="宋体"/>
      <w:b/>
      <w:bCs/>
      <w:color w:val="5C9DDF"/>
      <w:sz w:val="24"/>
      <w:szCs w:val="24"/>
    </w:rPr>
  </w:style>
  <w:style w:type="paragraph" w:customStyle="1" w:styleId="197">
    <w:name w:val="Char Char Char"/>
    <w:basedOn w:val="1"/>
    <w:qFormat/>
    <w:uiPriority w:val="0"/>
    <w:pPr>
      <w:widowControl w:val="0"/>
      <w:jc w:val="both"/>
    </w:pPr>
    <w:rPr>
      <w:kern w:val="2"/>
    </w:rPr>
  </w:style>
  <w:style w:type="paragraph" w:customStyle="1" w:styleId="198">
    <w:name w:val="Char2"/>
    <w:basedOn w:val="1"/>
    <w:qFormat/>
    <w:uiPriority w:val="0"/>
    <w:pPr>
      <w:widowControl w:val="0"/>
      <w:jc w:val="both"/>
    </w:pPr>
    <w:rPr>
      <w:rFonts w:ascii="仿宋_GB2312" w:eastAsia="仿宋_GB2312"/>
      <w:b/>
      <w:kern w:val="2"/>
      <w:sz w:val="32"/>
      <w:szCs w:val="32"/>
    </w:rPr>
  </w:style>
  <w:style w:type="paragraph" w:customStyle="1" w:styleId="199">
    <w:name w:val="小节"/>
    <w:basedOn w:val="6"/>
    <w:qFormat/>
    <w:uiPriority w:val="0"/>
    <w:pPr>
      <w:widowControl w:val="0"/>
      <w:spacing w:before="200" w:after="200" w:line="560" w:lineRule="exact"/>
    </w:pPr>
    <w:rPr>
      <w:rFonts w:ascii="宋体" w:hAnsi="宋体"/>
      <w:bCs w:val="0"/>
      <w:color w:val="000000"/>
      <w:spacing w:val="10"/>
      <w:kern w:val="24"/>
      <w:sz w:val="28"/>
    </w:rPr>
  </w:style>
  <w:style w:type="paragraph" w:customStyle="1" w:styleId="200">
    <w:name w:val="b2-1"/>
    <w:basedOn w:val="1"/>
    <w:qFormat/>
    <w:uiPriority w:val="0"/>
    <w:pPr>
      <w:spacing w:before="100" w:beforeAutospacing="1" w:after="100" w:afterAutospacing="1" w:line="355" w:lineRule="atLeast"/>
    </w:pPr>
    <w:rPr>
      <w:rFonts w:ascii="宋体" w:hAnsi="宋体"/>
      <w:sz w:val="24"/>
      <w:szCs w:val="24"/>
    </w:rPr>
  </w:style>
  <w:style w:type="paragraph" w:customStyle="1" w:styleId="201">
    <w:name w:val="正文文字格式"/>
    <w:basedOn w:val="1"/>
    <w:qFormat/>
    <w:uiPriority w:val="0"/>
    <w:pPr>
      <w:widowControl w:val="0"/>
      <w:spacing w:line="460" w:lineRule="exact"/>
      <w:ind w:firstLine="505"/>
    </w:pPr>
    <w:rPr>
      <w:rFonts w:ascii="宋体"/>
      <w:kern w:val="24"/>
      <w:sz w:val="24"/>
    </w:rPr>
  </w:style>
  <w:style w:type="paragraph" w:customStyle="1" w:styleId="202">
    <w:name w:val="正文文本缩进1"/>
    <w:basedOn w:val="1"/>
    <w:qFormat/>
    <w:uiPriority w:val="0"/>
    <w:pPr>
      <w:widowControl w:val="0"/>
      <w:ind w:left="281" w:leftChars="134"/>
      <w:jc w:val="both"/>
    </w:pPr>
    <w:rPr>
      <w:kern w:val="2"/>
      <w:sz w:val="28"/>
      <w:szCs w:val="24"/>
    </w:rPr>
  </w:style>
  <w:style w:type="paragraph" w:customStyle="1" w:styleId="203">
    <w:name w:val="标题6"/>
    <w:basedOn w:val="1"/>
    <w:next w:val="4"/>
    <w:qFormat/>
    <w:uiPriority w:val="0"/>
    <w:pPr>
      <w:snapToGrid w:val="0"/>
      <w:spacing w:before="50" w:beforeLines="50" w:after="50" w:afterLines="50" w:line="520" w:lineRule="atLeast"/>
      <w:ind w:firstLine="200" w:firstLineChars="200"/>
      <w:jc w:val="both"/>
    </w:pPr>
    <w:rPr>
      <w:rFonts w:cs="Arial"/>
      <w:b/>
      <w:kern w:val="2"/>
      <w:sz w:val="24"/>
      <w:szCs w:val="24"/>
    </w:rPr>
  </w:style>
  <w:style w:type="paragraph" w:customStyle="1" w:styleId="204">
    <w:name w:val="标题1"/>
    <w:basedOn w:val="1"/>
    <w:qFormat/>
    <w:uiPriority w:val="0"/>
    <w:pPr>
      <w:spacing w:before="100" w:beforeAutospacing="1" w:after="100" w:afterAutospacing="1"/>
    </w:pPr>
    <w:rPr>
      <w:rFonts w:ascii="宋体" w:hAnsi="宋体"/>
      <w:b/>
      <w:bCs/>
      <w:color w:val="0000CC"/>
      <w:sz w:val="34"/>
      <w:szCs w:val="34"/>
    </w:rPr>
  </w:style>
  <w:style w:type="paragraph" w:customStyle="1" w:styleId="205">
    <w:name w:val="样式 列表编号 + 段后: 0.5 行"/>
    <w:basedOn w:val="16"/>
    <w:qFormat/>
    <w:uiPriority w:val="0"/>
    <w:pPr>
      <w:tabs>
        <w:tab w:val="clear" w:pos="454"/>
        <w:tab w:val="clear" w:pos="720"/>
        <w:tab w:val="clear" w:pos="1140"/>
      </w:tabs>
      <w:spacing w:after="0"/>
      <w:ind w:left="1680" w:hanging="420"/>
    </w:pPr>
  </w:style>
  <w:style w:type="paragraph" w:customStyle="1" w:styleId="206">
    <w:name w:val="Char Char1"/>
    <w:basedOn w:val="1"/>
    <w:qFormat/>
    <w:uiPriority w:val="0"/>
    <w:pPr>
      <w:widowControl w:val="0"/>
      <w:jc w:val="both"/>
    </w:pPr>
    <w:rPr>
      <w:rFonts w:ascii="仿宋_GB2312" w:eastAsia="仿宋_GB2312"/>
      <w:b/>
      <w:kern w:val="2"/>
      <w:sz w:val="32"/>
      <w:szCs w:val="32"/>
    </w:rPr>
  </w:style>
  <w:style w:type="paragraph" w:customStyle="1" w:styleId="207">
    <w:name w:val="reader-word-layer"/>
    <w:basedOn w:val="1"/>
    <w:qFormat/>
    <w:uiPriority w:val="0"/>
    <w:pPr>
      <w:spacing w:before="100" w:beforeAutospacing="1" w:after="100" w:afterAutospacing="1"/>
    </w:pPr>
    <w:rPr>
      <w:rFonts w:ascii="宋体" w:hAnsi="宋体" w:cs="宋体"/>
      <w:sz w:val="24"/>
      <w:szCs w:val="24"/>
    </w:rPr>
  </w:style>
  <w:style w:type="paragraph" w:customStyle="1" w:styleId="208">
    <w:name w:val="正文文本 31"/>
    <w:basedOn w:val="1"/>
    <w:qFormat/>
    <w:uiPriority w:val="0"/>
    <w:pPr>
      <w:widowControl w:val="0"/>
      <w:spacing w:before="312" w:beforeLines="100" w:after="312" w:afterLines="100" w:line="400" w:lineRule="exact"/>
      <w:jc w:val="both"/>
    </w:pPr>
    <w:rPr>
      <w:rFonts w:ascii="宋体" w:hAnsi="宋体"/>
      <w:kern w:val="2"/>
      <w:sz w:val="24"/>
      <w:szCs w:val="24"/>
    </w:rPr>
  </w:style>
  <w:style w:type="paragraph" w:customStyle="1" w:styleId="209">
    <w:name w:val="Char Char Char2 Char"/>
    <w:basedOn w:val="1"/>
    <w:qFormat/>
    <w:uiPriority w:val="0"/>
    <w:pPr>
      <w:tabs>
        <w:tab w:val="left" w:pos="360"/>
      </w:tabs>
      <w:ind w:left="360" w:hanging="360"/>
    </w:pPr>
  </w:style>
  <w:style w:type="paragraph" w:customStyle="1" w:styleId="210">
    <w:name w:val="font14"/>
    <w:basedOn w:val="1"/>
    <w:qFormat/>
    <w:uiPriority w:val="0"/>
    <w:pPr>
      <w:spacing w:before="100" w:beforeAutospacing="1" w:after="100" w:afterAutospacing="1"/>
    </w:pPr>
    <w:rPr>
      <w:rFonts w:ascii="宋体" w:hAnsi="宋体"/>
      <w:color w:val="AECFEE"/>
      <w:sz w:val="24"/>
      <w:szCs w:val="24"/>
    </w:rPr>
  </w:style>
  <w:style w:type="paragraph" w:customStyle="1" w:styleId="211">
    <w:name w:val="_Style 135"/>
    <w:basedOn w:val="1"/>
    <w:qFormat/>
    <w:uiPriority w:val="0"/>
    <w:pPr>
      <w:widowControl w:val="0"/>
      <w:jc w:val="both"/>
    </w:pPr>
    <w:rPr>
      <w:rFonts w:eastAsia="仿宋_GB2312"/>
      <w:sz w:val="28"/>
    </w:rPr>
  </w:style>
  <w:style w:type="paragraph" w:customStyle="1" w:styleId="212">
    <w:name w:val="Char Char Char Char"/>
    <w:basedOn w:val="18"/>
    <w:qFormat/>
    <w:uiPriority w:val="0"/>
    <w:pPr>
      <w:widowControl w:val="0"/>
      <w:shd w:val="clear" w:color="auto" w:fill="000080"/>
      <w:adjustRightInd w:val="0"/>
      <w:snapToGrid w:val="0"/>
      <w:spacing w:line="360" w:lineRule="auto"/>
      <w:jc w:val="both"/>
    </w:pPr>
    <w:rPr>
      <w:rFonts w:ascii="Tahoma" w:hAnsi="Tahoma"/>
      <w:kern w:val="2"/>
      <w:sz w:val="24"/>
      <w:szCs w:val="24"/>
    </w:rPr>
  </w:style>
  <w:style w:type="paragraph" w:customStyle="1" w:styleId="213">
    <w:name w:val="正文 + 宋体"/>
    <w:basedOn w:val="1"/>
    <w:qFormat/>
    <w:uiPriority w:val="0"/>
    <w:pPr>
      <w:ind w:firstLine="403" w:firstLineChars="192"/>
    </w:pPr>
    <w:rPr>
      <w:szCs w:val="21"/>
    </w:rPr>
  </w:style>
  <w:style w:type="paragraph" w:customStyle="1" w:styleId="214">
    <w:name w:val="xl30"/>
    <w:basedOn w:val="1"/>
    <w:qFormat/>
    <w:uiPriority w:val="0"/>
    <w:pPr>
      <w:pBdr>
        <w:bottom w:val="single" w:color="auto" w:sz="8" w:space="0"/>
        <w:right w:val="single" w:color="auto" w:sz="8" w:space="0"/>
      </w:pBdr>
      <w:spacing w:before="100" w:beforeAutospacing="1" w:after="100" w:afterAutospacing="1"/>
      <w:jc w:val="center"/>
    </w:pPr>
    <w:rPr>
      <w:rFonts w:hint="eastAsia" w:ascii="仿宋_GB2312" w:hAnsi="宋体" w:eastAsia="仿宋_GB2312"/>
      <w:color w:val="0000FF"/>
      <w:szCs w:val="21"/>
    </w:rPr>
  </w:style>
  <w:style w:type="paragraph" w:customStyle="1" w:styleId="215">
    <w:name w:val="标书标题3"/>
    <w:basedOn w:val="6"/>
    <w:qFormat/>
    <w:uiPriority w:val="0"/>
    <w:pPr>
      <w:keepLines w:val="0"/>
      <w:adjustRightInd w:val="0"/>
      <w:snapToGrid w:val="0"/>
      <w:spacing w:before="120" w:after="60" w:line="300" w:lineRule="auto"/>
    </w:pPr>
    <w:rPr>
      <w:rFonts w:ascii="Arial Narrow" w:hAnsi="Arial Narrow" w:eastAsia="仿宋_GB2312"/>
      <w:b w:val="0"/>
      <w:bCs w:val="0"/>
      <w:color w:val="000000"/>
      <w:sz w:val="28"/>
    </w:rPr>
  </w:style>
  <w:style w:type="paragraph" w:customStyle="1" w:styleId="216">
    <w:name w:val="b3-2"/>
    <w:basedOn w:val="1"/>
    <w:qFormat/>
    <w:uiPriority w:val="0"/>
    <w:pPr>
      <w:spacing w:before="100" w:beforeAutospacing="1" w:after="100" w:afterAutospacing="1" w:line="355" w:lineRule="atLeast"/>
    </w:pPr>
    <w:rPr>
      <w:rFonts w:ascii="宋体" w:hAnsi="宋体"/>
      <w:sz w:val="24"/>
      <w:szCs w:val="24"/>
    </w:rPr>
  </w:style>
  <w:style w:type="paragraph" w:customStyle="1" w:styleId="217">
    <w:name w:val="_Style 5"/>
    <w:basedOn w:val="1"/>
    <w:qFormat/>
    <w:uiPriority w:val="0"/>
    <w:pPr>
      <w:ind w:firstLine="420" w:firstLineChars="200"/>
    </w:pPr>
  </w:style>
  <w:style w:type="paragraph" w:customStyle="1" w:styleId="218">
    <w:name w:val="Char Char Char Char Char Char Char Char Char Char Char Char Char Char"/>
    <w:basedOn w:val="1"/>
    <w:qFormat/>
    <w:uiPriority w:val="0"/>
    <w:pPr>
      <w:spacing w:after="160" w:line="240" w:lineRule="exact"/>
    </w:pPr>
    <w:rPr>
      <w:rFonts w:ascii="Verdana" w:hAnsi="Verdana" w:cs="宋体"/>
      <w:b/>
      <w:sz w:val="20"/>
      <w:lang w:eastAsia="en-US"/>
    </w:rPr>
  </w:style>
  <w:style w:type="paragraph" w:customStyle="1" w:styleId="219">
    <w:name w:val="样式 宋体 首行缩进:  0.87 厘米"/>
    <w:basedOn w:val="1"/>
    <w:qFormat/>
    <w:uiPriority w:val="0"/>
    <w:pPr>
      <w:spacing w:line="480" w:lineRule="exact"/>
      <w:ind w:firstLine="493"/>
    </w:pPr>
    <w:rPr>
      <w:rFonts w:ascii="宋体" w:hAnsi="宋体"/>
      <w:spacing w:val="6"/>
      <w:kern w:val="2"/>
      <w:szCs w:val="24"/>
    </w:rPr>
  </w:style>
  <w:style w:type="paragraph" w:customStyle="1" w:styleId="220">
    <w:name w:val="Char Char7 Char"/>
    <w:basedOn w:val="1"/>
    <w:qFormat/>
    <w:uiPriority w:val="0"/>
    <w:pPr>
      <w:widowControl w:val="0"/>
      <w:tabs>
        <w:tab w:val="left" w:pos="425"/>
      </w:tabs>
      <w:ind w:left="420" w:leftChars="200" w:firstLine="270" w:firstLineChars="150"/>
      <w:jc w:val="both"/>
    </w:pPr>
    <w:rPr>
      <w:rFonts w:ascii="宋体" w:hAnsi="宋体" w:cs="Arial"/>
      <w:color w:val="5E5E5E"/>
      <w:szCs w:val="21"/>
    </w:rPr>
  </w:style>
  <w:style w:type="paragraph" w:customStyle="1" w:styleId="221">
    <w:name w:val="p14_1"/>
    <w:basedOn w:val="1"/>
    <w:qFormat/>
    <w:uiPriority w:val="0"/>
    <w:pPr>
      <w:spacing w:before="100" w:beforeAutospacing="1" w:after="100" w:afterAutospacing="1"/>
    </w:pPr>
    <w:rPr>
      <w:rFonts w:ascii="宋体" w:hAnsi="宋体"/>
      <w:color w:val="000000"/>
      <w:sz w:val="26"/>
      <w:szCs w:val="26"/>
    </w:rPr>
  </w:style>
  <w:style w:type="paragraph" w:customStyle="1" w:styleId="222">
    <w:name w:val="节"/>
    <w:basedOn w:val="5"/>
    <w:qFormat/>
    <w:uiPriority w:val="0"/>
    <w:pPr>
      <w:widowControl w:val="0"/>
      <w:spacing w:before="160" w:after="160" w:line="720" w:lineRule="exact"/>
      <w:jc w:val="center"/>
    </w:pPr>
    <w:rPr>
      <w:rFonts w:ascii="Arial" w:hAnsi="Arial" w:eastAsia="黑体"/>
      <w:b w:val="0"/>
      <w:bCs w:val="0"/>
      <w:spacing w:val="14"/>
      <w:kern w:val="24"/>
      <w:szCs w:val="20"/>
    </w:rPr>
  </w:style>
  <w:style w:type="paragraph" w:customStyle="1" w:styleId="223">
    <w:name w:val="表格1"/>
    <w:basedOn w:val="1"/>
    <w:qFormat/>
    <w:uiPriority w:val="0"/>
    <w:pPr>
      <w:topLinePunct/>
      <w:adjustRightInd w:val="0"/>
      <w:snapToGrid w:val="0"/>
      <w:jc w:val="both"/>
    </w:pPr>
    <w:rPr>
      <w:rFonts w:ascii="仿宋_GB2312" w:hAnsi="宋体" w:eastAsia="仿宋_GB2312" w:cs="宋体"/>
      <w:b/>
      <w:sz w:val="24"/>
      <w:szCs w:val="24"/>
    </w:rPr>
  </w:style>
  <w:style w:type="paragraph" w:customStyle="1" w:styleId="224">
    <w:name w:val="b2-2"/>
    <w:basedOn w:val="1"/>
    <w:qFormat/>
    <w:uiPriority w:val="0"/>
    <w:pPr>
      <w:spacing w:before="100" w:beforeAutospacing="1" w:after="100" w:afterAutospacing="1" w:line="355" w:lineRule="atLeast"/>
    </w:pPr>
    <w:rPr>
      <w:rFonts w:ascii="宋体" w:hAnsi="宋体"/>
      <w:sz w:val="24"/>
      <w:szCs w:val="24"/>
    </w:rPr>
  </w:style>
  <w:style w:type="paragraph" w:customStyle="1" w:styleId="225">
    <w:name w:val="正文文本缩进 31"/>
    <w:basedOn w:val="1"/>
    <w:qFormat/>
    <w:uiPriority w:val="0"/>
    <w:pPr>
      <w:widowControl w:val="0"/>
      <w:spacing w:line="580" w:lineRule="exact"/>
      <w:ind w:firstLine="538" w:firstLineChars="192"/>
      <w:jc w:val="both"/>
    </w:pPr>
    <w:rPr>
      <w:kern w:val="2"/>
      <w:sz w:val="28"/>
      <w:szCs w:val="24"/>
    </w:rPr>
  </w:style>
  <w:style w:type="paragraph" w:customStyle="1" w:styleId="226">
    <w:name w:val="font12"/>
    <w:basedOn w:val="1"/>
    <w:qFormat/>
    <w:uiPriority w:val="0"/>
    <w:pPr>
      <w:spacing w:before="100" w:beforeAutospacing="1" w:after="100" w:afterAutospacing="1"/>
    </w:pPr>
    <w:rPr>
      <w:rFonts w:ascii="Arial" w:hAnsi="Arial" w:cs="Arial"/>
      <w:b/>
      <w:bCs/>
      <w:sz w:val="24"/>
      <w:szCs w:val="24"/>
    </w:rPr>
  </w:style>
  <w:style w:type="paragraph" w:customStyle="1" w:styleId="227">
    <w:name w:val="此正文"/>
    <w:basedOn w:val="1"/>
    <w:qFormat/>
    <w:uiPriority w:val="0"/>
    <w:pPr>
      <w:widowControl w:val="0"/>
      <w:spacing w:line="360" w:lineRule="auto"/>
      <w:ind w:firstLine="480" w:firstLineChars="200"/>
      <w:jc w:val="both"/>
    </w:pPr>
    <w:rPr>
      <w:kern w:val="2"/>
      <w:sz w:val="24"/>
      <w:szCs w:val="24"/>
    </w:rPr>
  </w:style>
  <w:style w:type="paragraph" w:customStyle="1" w:styleId="228">
    <w:name w:val="p14"/>
    <w:basedOn w:val="1"/>
    <w:qFormat/>
    <w:uiPriority w:val="0"/>
    <w:pPr>
      <w:spacing w:before="100" w:beforeAutospacing="1" w:after="100" w:afterAutospacing="1" w:line="411" w:lineRule="atLeast"/>
    </w:pPr>
    <w:rPr>
      <w:rFonts w:ascii="宋体" w:hAnsi="宋体"/>
      <w:sz w:val="26"/>
      <w:szCs w:val="26"/>
    </w:rPr>
  </w:style>
  <w:style w:type="paragraph" w:customStyle="1" w:styleId="229">
    <w:name w:val="font"/>
    <w:basedOn w:val="1"/>
    <w:qFormat/>
    <w:uiPriority w:val="0"/>
    <w:pPr>
      <w:spacing w:before="100" w:beforeAutospacing="1" w:after="100" w:afterAutospacing="1" w:line="260" w:lineRule="atLeast"/>
    </w:pPr>
    <w:rPr>
      <w:rFonts w:ascii="Arial Unicode MS" w:hAnsi="Arial Unicode MS" w:eastAsia="Arial Unicode MS"/>
      <w:sz w:val="22"/>
    </w:rPr>
  </w:style>
  <w:style w:type="paragraph" w:customStyle="1" w:styleId="230">
    <w:name w:val="普通(网站)1"/>
    <w:basedOn w:val="1"/>
    <w:qFormat/>
    <w:uiPriority w:val="0"/>
    <w:pPr>
      <w:spacing w:before="100" w:beforeAutospacing="1" w:after="100" w:afterAutospacing="1"/>
    </w:pPr>
    <w:rPr>
      <w:rFonts w:ascii="宋体" w:hAnsi="宋体"/>
      <w:sz w:val="24"/>
      <w:szCs w:val="24"/>
    </w:rPr>
  </w:style>
  <w:style w:type="paragraph" w:customStyle="1" w:styleId="231">
    <w:name w:val="文档结构图1"/>
    <w:basedOn w:val="1"/>
    <w:qFormat/>
    <w:uiPriority w:val="0"/>
    <w:rPr>
      <w:rFonts w:ascii="宋体" w:eastAsia="Times New Roman"/>
      <w:sz w:val="18"/>
      <w:szCs w:val="18"/>
    </w:rPr>
  </w:style>
  <w:style w:type="paragraph" w:customStyle="1" w:styleId="232">
    <w:name w:val="left"/>
    <w:basedOn w:val="1"/>
    <w:qFormat/>
    <w:uiPriority w:val="0"/>
    <w:pPr>
      <w:spacing w:before="100" w:beforeAutospacing="1" w:after="100" w:afterAutospacing="1"/>
    </w:pPr>
    <w:rPr>
      <w:rFonts w:ascii="宋体" w:hAnsi="宋体"/>
      <w:sz w:val="24"/>
      <w:szCs w:val="24"/>
    </w:rPr>
  </w:style>
  <w:style w:type="paragraph" w:customStyle="1" w:styleId="233">
    <w:name w:val="批注主题1"/>
    <w:basedOn w:val="19"/>
    <w:next w:val="19"/>
    <w:qFormat/>
    <w:uiPriority w:val="0"/>
    <w:pPr>
      <w:widowControl w:val="0"/>
    </w:pPr>
    <w:rPr>
      <w:b/>
      <w:bCs/>
      <w:kern w:val="2"/>
      <w:szCs w:val="24"/>
    </w:rPr>
  </w:style>
  <w:style w:type="paragraph" w:customStyle="1" w:styleId="234">
    <w:name w:val="纯文本1"/>
    <w:basedOn w:val="147"/>
    <w:link w:val="235"/>
    <w:qFormat/>
    <w:uiPriority w:val="0"/>
    <w:rPr>
      <w:rFonts w:hint="default" w:ascii="宋体" w:hAnsi="Courier New"/>
      <w:szCs w:val="24"/>
    </w:rPr>
  </w:style>
  <w:style w:type="character" w:customStyle="1" w:styleId="235">
    <w:name w:val="Plain Text Char Char"/>
    <w:link w:val="234"/>
    <w:qFormat/>
    <w:uiPriority w:val="0"/>
    <w:rPr>
      <w:rFonts w:ascii="宋体" w:hAnsi="Courier New"/>
      <w:kern w:val="2"/>
      <w:sz w:val="21"/>
      <w:szCs w:val="24"/>
    </w:rPr>
  </w:style>
  <w:style w:type="paragraph" w:customStyle="1" w:styleId="236">
    <w:name w:val="Char Char Char Char Char Char Char Char Char Char Char Char Char Char Char Char Char Char Char"/>
    <w:basedOn w:val="1"/>
    <w:qFormat/>
    <w:uiPriority w:val="0"/>
    <w:pPr>
      <w:widowControl w:val="0"/>
      <w:jc w:val="both"/>
    </w:pPr>
    <w:rPr>
      <w:rFonts w:ascii="仿宋_GB2312" w:eastAsia="仿宋_GB2312"/>
      <w:b/>
      <w:kern w:val="2"/>
      <w:sz w:val="32"/>
      <w:szCs w:val="32"/>
    </w:rPr>
  </w:style>
  <w:style w:type="paragraph" w:customStyle="1" w:styleId="237">
    <w:name w:val="标书正文"/>
    <w:basedOn w:val="3"/>
    <w:qFormat/>
    <w:uiPriority w:val="0"/>
    <w:pPr>
      <w:adjustRightInd w:val="0"/>
      <w:snapToGrid w:val="0"/>
      <w:spacing w:line="400" w:lineRule="exact"/>
      <w:ind w:firstLine="1276"/>
    </w:pPr>
    <w:rPr>
      <w:rFonts w:ascii="宋体" w:hAnsi="宋体" w:eastAsia="黑体"/>
      <w:kern w:val="0"/>
      <w:sz w:val="24"/>
    </w:rPr>
  </w:style>
  <w:style w:type="paragraph" w:customStyle="1" w:styleId="238">
    <w:name w:val="默认段落字体 Para Char Char Char Char Char Char Char"/>
    <w:basedOn w:val="1"/>
    <w:qFormat/>
    <w:uiPriority w:val="0"/>
    <w:pPr>
      <w:widowControl w:val="0"/>
      <w:jc w:val="both"/>
    </w:pPr>
    <w:rPr>
      <w:rFonts w:ascii="Tahoma" w:hAnsi="Tahoma"/>
      <w:kern w:val="2"/>
      <w:sz w:val="24"/>
    </w:rPr>
  </w:style>
  <w:style w:type="paragraph" w:customStyle="1" w:styleId="239">
    <w:name w:val="正文段"/>
    <w:basedOn w:val="1"/>
    <w:qFormat/>
    <w:uiPriority w:val="0"/>
    <w:pPr>
      <w:snapToGrid w:val="0"/>
      <w:spacing w:after="156" w:afterLines="50"/>
      <w:ind w:firstLine="200" w:firstLineChars="200"/>
      <w:jc w:val="both"/>
    </w:pPr>
    <w:rPr>
      <w:sz w:val="24"/>
    </w:rPr>
  </w:style>
  <w:style w:type="paragraph" w:customStyle="1" w:styleId="240">
    <w:name w:val="list_sx"/>
    <w:basedOn w:val="1"/>
    <w:qFormat/>
    <w:uiPriority w:val="0"/>
    <w:pPr>
      <w:spacing w:before="100" w:beforeAutospacing="1" w:after="100" w:afterAutospacing="1"/>
    </w:pPr>
    <w:rPr>
      <w:rFonts w:ascii="宋体" w:hAnsi="宋体"/>
      <w:color w:val="3166CE"/>
      <w:sz w:val="24"/>
      <w:szCs w:val="24"/>
    </w:rPr>
  </w:style>
  <w:style w:type="paragraph" w:customStyle="1" w:styleId="241">
    <w:name w:val="reader-word-layer reader-word-s2-8"/>
    <w:basedOn w:val="1"/>
    <w:qFormat/>
    <w:uiPriority w:val="0"/>
    <w:pPr>
      <w:spacing w:before="100" w:beforeAutospacing="1" w:after="100" w:afterAutospacing="1"/>
    </w:pPr>
    <w:rPr>
      <w:rFonts w:ascii="宋体" w:hAnsi="宋体" w:cs="宋体"/>
      <w:sz w:val="24"/>
      <w:szCs w:val="24"/>
    </w:rPr>
  </w:style>
  <w:style w:type="paragraph" w:customStyle="1" w:styleId="242">
    <w:name w:val="表格文字"/>
    <w:basedOn w:val="27"/>
    <w:next w:val="3"/>
    <w:qFormat/>
    <w:uiPriority w:val="0"/>
    <w:pPr>
      <w:adjustRightInd w:val="0"/>
      <w:spacing w:line="420" w:lineRule="atLeast"/>
      <w:textAlignment w:val="baseline"/>
    </w:pPr>
    <w:rPr>
      <w:szCs w:val="24"/>
    </w:rPr>
  </w:style>
  <w:style w:type="paragraph" w:customStyle="1" w:styleId="243">
    <w:name w:val="简单回函地址"/>
    <w:basedOn w:val="1"/>
    <w:qFormat/>
    <w:uiPriority w:val="0"/>
    <w:pPr>
      <w:widowControl w:val="0"/>
      <w:spacing w:line="460" w:lineRule="exact"/>
      <w:ind w:firstLine="200" w:firstLineChars="200"/>
      <w:jc w:val="both"/>
    </w:pPr>
    <w:rPr>
      <w:spacing w:val="12"/>
      <w:kern w:val="2"/>
      <w:sz w:val="24"/>
    </w:rPr>
  </w:style>
  <w:style w:type="paragraph" w:customStyle="1" w:styleId="244">
    <w:name w:val="my title2"/>
    <w:basedOn w:val="1"/>
    <w:qFormat/>
    <w:uiPriority w:val="0"/>
    <w:pPr>
      <w:jc w:val="both"/>
    </w:pPr>
    <w:rPr>
      <w:rFonts w:eastAsia="仿宋_GB2312"/>
      <w:sz w:val="24"/>
    </w:rPr>
  </w:style>
  <w:style w:type="paragraph" w:customStyle="1" w:styleId="245">
    <w:name w:val="font2"/>
    <w:basedOn w:val="1"/>
    <w:qFormat/>
    <w:uiPriority w:val="0"/>
    <w:pPr>
      <w:spacing w:before="100" w:beforeAutospacing="1" w:after="100" w:afterAutospacing="1"/>
    </w:pPr>
    <w:rPr>
      <w:rFonts w:ascii="宋体" w:hAnsi="宋体"/>
      <w:color w:val="FF0000"/>
      <w:sz w:val="24"/>
      <w:szCs w:val="24"/>
    </w:rPr>
  </w:style>
  <w:style w:type="paragraph" w:customStyle="1" w:styleId="246">
    <w:name w:val="zbzw1"/>
    <w:basedOn w:val="247"/>
    <w:qFormat/>
    <w:uiPriority w:val="0"/>
    <w:pPr>
      <w:keepNext w:val="0"/>
      <w:keepLines w:val="0"/>
      <w:tabs>
        <w:tab w:val="left" w:pos="720"/>
      </w:tabs>
      <w:spacing w:before="0" w:after="0" w:line="350" w:lineRule="exact"/>
      <w:ind w:right="-76" w:firstLine="422" w:firstLineChars="200"/>
      <w:outlineLvl w:val="9"/>
    </w:pPr>
    <w:rPr>
      <w:rFonts w:ascii="宋体" w:hAnsi="宋体"/>
      <w:kern w:val="2"/>
      <w:sz w:val="21"/>
      <w:szCs w:val="21"/>
    </w:rPr>
  </w:style>
  <w:style w:type="paragraph" w:customStyle="1" w:styleId="247">
    <w:name w:val="样式1"/>
    <w:basedOn w:val="6"/>
    <w:qFormat/>
    <w:uiPriority w:val="0"/>
    <w:pPr>
      <w:widowControl w:val="0"/>
      <w:jc w:val="both"/>
    </w:pPr>
    <w:rPr>
      <w:rFonts w:ascii="Arial" w:hAnsi="Arial"/>
      <w:bCs w:val="0"/>
      <w:kern w:val="28"/>
      <w:sz w:val="28"/>
      <w:szCs w:val="20"/>
    </w:rPr>
  </w:style>
  <w:style w:type="paragraph" w:customStyle="1" w:styleId="248">
    <w:name w:val="Char Char4"/>
    <w:basedOn w:val="1"/>
    <w:qFormat/>
    <w:uiPriority w:val="0"/>
    <w:pPr>
      <w:widowControl w:val="0"/>
      <w:jc w:val="both"/>
    </w:pPr>
    <w:rPr>
      <w:rFonts w:ascii="Tahoma" w:hAnsi="Tahoma"/>
      <w:kern w:val="2"/>
      <w:sz w:val="24"/>
    </w:rPr>
  </w:style>
  <w:style w:type="paragraph" w:customStyle="1" w:styleId="249">
    <w:name w:val="部分1"/>
    <w:basedOn w:val="1"/>
    <w:qFormat/>
    <w:uiPriority w:val="0"/>
    <w:pPr>
      <w:keepNext/>
      <w:pageBreakBefore/>
      <w:widowControl w:val="0"/>
      <w:tabs>
        <w:tab w:val="left" w:pos="720"/>
      </w:tabs>
      <w:spacing w:line="360" w:lineRule="auto"/>
      <w:jc w:val="center"/>
      <w:outlineLvl w:val="0"/>
    </w:pPr>
    <w:rPr>
      <w:rFonts w:eastAsia="黑体"/>
      <w:b/>
      <w:kern w:val="44"/>
      <w:sz w:val="36"/>
    </w:rPr>
  </w:style>
  <w:style w:type="paragraph" w:customStyle="1" w:styleId="250">
    <w:name w:val="reader-word-layer reader-word-s1-11"/>
    <w:basedOn w:val="1"/>
    <w:qFormat/>
    <w:uiPriority w:val="0"/>
    <w:pPr>
      <w:spacing w:before="100" w:beforeAutospacing="1" w:after="100" w:afterAutospacing="1"/>
    </w:pPr>
    <w:rPr>
      <w:rFonts w:ascii="宋体" w:hAnsi="宋体" w:cs="宋体"/>
      <w:sz w:val="24"/>
      <w:szCs w:val="24"/>
    </w:rPr>
  </w:style>
  <w:style w:type="paragraph" w:customStyle="1" w:styleId="251">
    <w:name w:val="正文文本缩进11"/>
    <w:basedOn w:val="1"/>
    <w:qFormat/>
    <w:uiPriority w:val="0"/>
    <w:pPr>
      <w:spacing w:line="200" w:lineRule="exact"/>
      <w:ind w:firstLine="301"/>
    </w:pPr>
  </w:style>
  <w:style w:type="paragraph" w:customStyle="1" w:styleId="252">
    <w:name w:val="正文（项目编号）"/>
    <w:basedOn w:val="1"/>
    <w:qFormat/>
    <w:uiPriority w:val="0"/>
    <w:pPr>
      <w:widowControl w:val="0"/>
      <w:numPr>
        <w:ilvl w:val="0"/>
        <w:numId w:val="2"/>
      </w:numPr>
      <w:tabs>
        <w:tab w:val="left" w:pos="834"/>
        <w:tab w:val="left" w:pos="980"/>
        <w:tab w:val="left" w:pos="1140"/>
        <w:tab w:val="left" w:pos="1260"/>
        <w:tab w:val="clear" w:pos="851"/>
      </w:tabs>
      <w:spacing w:line="480" w:lineRule="exact"/>
      <w:jc w:val="both"/>
    </w:pPr>
    <w:rPr>
      <w:bCs/>
      <w:kern w:val="2"/>
      <w:sz w:val="28"/>
    </w:rPr>
  </w:style>
  <w:style w:type="paragraph" w:customStyle="1" w:styleId="253">
    <w:name w:val="样式 标题 3 + 非加粗 自动设置"/>
    <w:basedOn w:val="6"/>
    <w:qFormat/>
    <w:uiPriority w:val="0"/>
    <w:pPr>
      <w:widowControl w:val="0"/>
      <w:spacing w:before="120" w:after="120" w:line="700" w:lineRule="exact"/>
    </w:pPr>
    <w:rPr>
      <w:rFonts w:ascii="宋体" w:hAnsi="宋体"/>
      <w:b w:val="0"/>
      <w:bCs w:val="0"/>
      <w:spacing w:val="10"/>
      <w:kern w:val="24"/>
      <w:sz w:val="28"/>
    </w:rPr>
  </w:style>
  <w:style w:type="paragraph" w:customStyle="1" w:styleId="254">
    <w:name w:val="样式 样式 标题 4 + 非加粗 + (中文) 黑体 段前: 0 磅 段后: 0 磅 行距: 固定值 22 磅"/>
    <w:basedOn w:val="170"/>
    <w:qFormat/>
    <w:uiPriority w:val="2"/>
    <w:pPr>
      <w:spacing w:before="50" w:beforeLines="50" w:after="50" w:afterLines="50" w:line="500" w:lineRule="exact"/>
    </w:pPr>
    <w:rPr>
      <w:rFonts w:cs="宋体"/>
      <w:bCs/>
      <w:spacing w:val="0"/>
    </w:rPr>
  </w:style>
  <w:style w:type="paragraph" w:customStyle="1" w:styleId="255">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256">
    <w:name w:val="Char Char Char1"/>
    <w:basedOn w:val="1"/>
    <w:qFormat/>
    <w:uiPriority w:val="0"/>
    <w:pPr>
      <w:spacing w:after="160" w:line="240" w:lineRule="exact"/>
    </w:pPr>
    <w:rPr>
      <w:rFonts w:ascii="Verdana" w:hAnsi="Verdana"/>
      <w:sz w:val="20"/>
      <w:lang w:eastAsia="en-US"/>
    </w:rPr>
  </w:style>
  <w:style w:type="paragraph" w:customStyle="1" w:styleId="257">
    <w:name w:val="_Style 256"/>
    <w:unhideWhenUsed/>
    <w:qFormat/>
    <w:uiPriority w:val="99"/>
    <w:rPr>
      <w:rFonts w:ascii="Times New Roman" w:hAnsi="Times New Roman" w:eastAsia="宋体" w:cs="Times New Roman"/>
      <w:sz w:val="21"/>
      <w:lang w:val="en-US" w:eastAsia="zh-CN" w:bidi="ar-SA"/>
    </w:rPr>
  </w:style>
  <w:style w:type="paragraph" w:customStyle="1" w:styleId="258">
    <w:name w:val="_Style 7"/>
    <w:basedOn w:val="1"/>
    <w:qFormat/>
    <w:uiPriority w:val="34"/>
    <w:pPr>
      <w:ind w:left="851" w:firstLine="420"/>
    </w:pPr>
    <w:rPr>
      <w:sz w:val="20"/>
    </w:rPr>
  </w:style>
  <w:style w:type="paragraph" w:customStyle="1" w:styleId="259">
    <w:name w:val="表正文黑体"/>
    <w:basedOn w:val="1"/>
    <w:qFormat/>
    <w:uiPriority w:val="0"/>
    <w:rPr>
      <w:rFonts w:ascii="Calibri" w:hAnsi="Calibri" w:eastAsia="黑体"/>
    </w:rPr>
  </w:style>
  <w:style w:type="paragraph" w:customStyle="1" w:styleId="260">
    <w:name w:val="Item List"/>
    <w:qFormat/>
    <w:uiPriority w:val="0"/>
    <w:pPr>
      <w:numPr>
        <w:ilvl w:val="0"/>
        <w:numId w:val="3"/>
      </w:numPr>
      <w:tabs>
        <w:tab w:val="left" w:pos="709"/>
      </w:tabs>
      <w:adjustRightInd w:val="0"/>
      <w:snapToGrid w:val="0"/>
      <w:spacing w:before="80" w:after="80" w:line="240" w:lineRule="atLeast"/>
    </w:pPr>
    <w:rPr>
      <w:rFonts w:ascii="Times New Roman" w:hAnsi="Times New Roman" w:eastAsia="宋体" w:cs="Times New Roman"/>
      <w:szCs w:val="21"/>
      <w:lang w:val="en-US" w:eastAsia="zh-CN" w:bidi="ar-SA"/>
    </w:rPr>
  </w:style>
  <w:style w:type="paragraph" w:customStyle="1" w:styleId="261">
    <w:name w:val="列出段落1"/>
    <w:basedOn w:val="1"/>
    <w:qFormat/>
    <w:uiPriority w:val="0"/>
    <w:pPr>
      <w:spacing w:beforeLines="50"/>
      <w:ind w:firstLine="420"/>
    </w:pPr>
    <w:rPr>
      <w:rFonts w:ascii="Calibri" w:hAnsi="Calibri"/>
      <w:sz w:val="28"/>
      <w:szCs w:val="22"/>
    </w:rPr>
  </w:style>
  <w:style w:type="paragraph" w:customStyle="1" w:styleId="262">
    <w:name w:val="样式 宋体 行距: 固定值 20 磅 首行缩进:  2 字符"/>
    <w:basedOn w:val="1"/>
    <w:qFormat/>
    <w:uiPriority w:val="0"/>
    <w:pPr>
      <w:spacing w:line="400" w:lineRule="exact"/>
      <w:ind w:firstLine="435" w:firstLineChars="207"/>
    </w:pPr>
    <w:rPr>
      <w:rFonts w:ascii="宋体" w:hAnsi="宋体" w:cs="宋体"/>
    </w:rPr>
  </w:style>
  <w:style w:type="paragraph" w:customStyle="1" w:styleId="263">
    <w:name w:val="表格文字（两侧对齐）"/>
    <w:basedOn w:val="1"/>
    <w:qFormat/>
    <w:uiPriority w:val="0"/>
    <w:pPr>
      <w:widowControl w:val="0"/>
      <w:snapToGrid w:val="0"/>
    </w:pPr>
    <w:rPr>
      <w:sz w:val="20"/>
    </w:rPr>
  </w:style>
  <w:style w:type="paragraph" w:customStyle="1" w:styleId="26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65">
    <w:name w:val="List Paragraph1"/>
    <w:basedOn w:val="1"/>
    <w:qFormat/>
    <w:uiPriority w:val="0"/>
    <w:pPr>
      <w:spacing w:after="200" w:line="276" w:lineRule="auto"/>
      <w:ind w:firstLine="420" w:firstLineChars="200"/>
    </w:pPr>
    <w:rPr>
      <w:rFonts w:ascii="Calibri" w:hAnsi="Calibri"/>
      <w:sz w:val="22"/>
      <w:szCs w:val="22"/>
      <w:lang w:eastAsia="en-US" w:bidi="en-US"/>
    </w:rPr>
  </w:style>
  <w:style w:type="paragraph" w:customStyle="1" w:styleId="266">
    <w:name w:val="Pa4"/>
    <w:basedOn w:val="264"/>
    <w:next w:val="264"/>
    <w:qFormat/>
    <w:uiPriority w:val="99"/>
    <w:pPr>
      <w:spacing w:line="241" w:lineRule="atLeast"/>
    </w:pPr>
    <w:rPr>
      <w:rFonts w:ascii="FrutigerNext LT Regular" w:hAnsi="FrutigerNext LT Regular" w:eastAsia="宋体" w:cs="Times New Roman"/>
      <w:color w:val="auto"/>
    </w:rPr>
  </w:style>
  <w:style w:type="character" w:customStyle="1" w:styleId="267">
    <w:name w:val="正文文本缩进 字符"/>
    <w:qFormat/>
    <w:uiPriority w:val="0"/>
    <w:rPr>
      <w:rFonts w:ascii="Calibri" w:hAnsi="Calibri" w:eastAsia="宋体" w:cs="Times New Roman"/>
      <w:kern w:val="2"/>
      <w:sz w:val="21"/>
      <w:szCs w:val="22"/>
    </w:rPr>
  </w:style>
  <w:style w:type="character" w:customStyle="1" w:styleId="268">
    <w:name w:val="Normal Indent Char Char"/>
    <w:qFormat/>
    <w:uiPriority w:val="0"/>
    <w:rPr>
      <w:rFonts w:eastAsia="宋体"/>
      <w:sz w:val="21"/>
      <w:lang w:val="en-US" w:eastAsia="zh-CN" w:bidi="ar-SA"/>
    </w:rPr>
  </w:style>
  <w:style w:type="character" w:customStyle="1" w:styleId="269">
    <w:name w:val="Para head"/>
    <w:qFormat/>
    <w:uiPriority w:val="0"/>
    <w:rPr>
      <w:rFonts w:ascii="Arial" w:hAnsi="Arial" w:eastAsia="Times New Roman"/>
      <w:sz w:val="20"/>
    </w:rPr>
  </w:style>
  <w:style w:type="character" w:customStyle="1" w:styleId="270">
    <w:name w:val="unnamed51"/>
    <w:qFormat/>
    <w:uiPriority w:val="0"/>
    <w:rPr>
      <w:sz w:val="22"/>
      <w:szCs w:val="22"/>
    </w:rPr>
  </w:style>
  <w:style w:type="paragraph" w:customStyle="1" w:styleId="271">
    <w:name w:val="font0"/>
    <w:basedOn w:val="1"/>
    <w:qFormat/>
    <w:uiPriority w:val="0"/>
    <w:pPr>
      <w:spacing w:before="100" w:beforeAutospacing="1" w:after="100" w:afterAutospacing="1"/>
    </w:pPr>
    <w:rPr>
      <w:rFonts w:hint="eastAsia" w:ascii="宋体" w:hAnsi="宋体" w:cs="Courier New"/>
      <w:sz w:val="24"/>
      <w:szCs w:val="24"/>
      <w:lang w:eastAsia="en-US"/>
    </w:rPr>
  </w:style>
  <w:style w:type="paragraph" w:customStyle="1" w:styleId="272">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0"/>
      <w:lang w:eastAsia="en-US"/>
    </w:rPr>
  </w:style>
  <w:style w:type="paragraph" w:customStyle="1" w:styleId="273">
    <w:name w:val="菲页1"/>
    <w:basedOn w:val="5"/>
    <w:qFormat/>
    <w:uiPriority w:val="0"/>
    <w:pPr>
      <w:jc w:val="center"/>
    </w:pPr>
    <w:rPr>
      <w:rFonts w:ascii="黑体" w:hAnsi="宋体" w:eastAsia="黑体"/>
      <w:b w:val="0"/>
      <w:color w:val="000000"/>
      <w:sz w:val="52"/>
    </w:rPr>
  </w:style>
  <w:style w:type="paragraph" w:customStyle="1" w:styleId="274">
    <w:name w:val="table_1stline"/>
    <w:basedOn w:val="1"/>
    <w:qFormat/>
    <w:uiPriority w:val="0"/>
    <w:pPr>
      <w:spacing w:before="120"/>
    </w:pPr>
    <w:rPr>
      <w:bCs/>
      <w:sz w:val="20"/>
      <w:lang w:val="de-DE" w:eastAsia="de-DE"/>
    </w:rPr>
  </w:style>
  <w:style w:type="paragraph" w:customStyle="1" w:styleId="275">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Cs w:val="21"/>
      <w:lang w:eastAsia="en-US"/>
    </w:rPr>
  </w:style>
  <w:style w:type="paragraph" w:customStyle="1" w:styleId="276">
    <w:name w:val="Char Char Char Char1"/>
    <w:basedOn w:val="18"/>
    <w:qFormat/>
    <w:uiPriority w:val="0"/>
    <w:pPr>
      <w:widowControl w:val="0"/>
      <w:shd w:val="clear" w:color="auto" w:fill="000080"/>
      <w:jc w:val="both"/>
    </w:pPr>
    <w:rPr>
      <w:rFonts w:ascii="Times New Roman"/>
      <w:kern w:val="2"/>
      <w:sz w:val="21"/>
      <w:szCs w:val="24"/>
    </w:rPr>
  </w:style>
  <w:style w:type="paragraph" w:customStyle="1" w:styleId="277">
    <w:name w:val="font5"/>
    <w:basedOn w:val="1"/>
    <w:qFormat/>
    <w:uiPriority w:val="0"/>
    <w:pPr>
      <w:spacing w:before="100" w:beforeAutospacing="1" w:after="100" w:afterAutospacing="1"/>
    </w:pPr>
    <w:rPr>
      <w:rFonts w:hint="eastAsia" w:ascii="宋体" w:hAnsi="宋体" w:cs="Courier New"/>
      <w:sz w:val="18"/>
      <w:szCs w:val="18"/>
      <w:lang w:eastAsia="en-US"/>
    </w:rPr>
  </w:style>
  <w:style w:type="paragraph" w:customStyle="1" w:styleId="278">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24"/>
      <w:szCs w:val="24"/>
      <w:lang w:eastAsia="en-US"/>
    </w:rPr>
  </w:style>
  <w:style w:type="paragraph" w:customStyle="1" w:styleId="27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Cs w:val="21"/>
      <w:lang w:eastAsia="en-US"/>
    </w:rPr>
  </w:style>
  <w:style w:type="paragraph" w:customStyle="1" w:styleId="281">
    <w:name w:val="font8"/>
    <w:basedOn w:val="1"/>
    <w:qFormat/>
    <w:uiPriority w:val="0"/>
    <w:pPr>
      <w:spacing w:before="100" w:beforeAutospacing="1" w:after="100" w:afterAutospacing="1"/>
    </w:pPr>
    <w:rPr>
      <w:rFonts w:eastAsia="Arial Unicode MS"/>
      <w:sz w:val="24"/>
      <w:szCs w:val="24"/>
      <w:lang w:eastAsia="en-US"/>
    </w:rPr>
  </w:style>
  <w:style w:type="paragraph" w:customStyle="1" w:styleId="282">
    <w:name w:val="目录"/>
    <w:basedOn w:val="1"/>
    <w:qFormat/>
    <w:uiPriority w:val="0"/>
    <w:pPr>
      <w:jc w:val="center"/>
    </w:pPr>
    <w:rPr>
      <w:rFonts w:hint="eastAsia" w:ascii="宋体"/>
      <w:b/>
      <w:sz w:val="36"/>
    </w:rPr>
  </w:style>
  <w:style w:type="paragraph" w:customStyle="1" w:styleId="283">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14"/>
      <w:szCs w:val="14"/>
      <w:lang w:eastAsia="en-US"/>
    </w:rPr>
  </w:style>
  <w:style w:type="paragraph" w:customStyle="1" w:styleId="284">
    <w:name w:val="Char Char Char Char Char Char Char1"/>
    <w:basedOn w:val="1"/>
    <w:qFormat/>
    <w:uiPriority w:val="0"/>
    <w:pPr>
      <w:widowControl w:val="0"/>
      <w:jc w:val="both"/>
    </w:pPr>
    <w:rPr>
      <w:rFonts w:ascii="宋体" w:hAnsi="宋体" w:cs="宋体"/>
      <w:color w:val="FF0000"/>
      <w:szCs w:val="21"/>
    </w:rPr>
  </w:style>
  <w:style w:type="paragraph" w:customStyle="1" w:styleId="285">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22"/>
      <w:szCs w:val="22"/>
    </w:rPr>
  </w:style>
  <w:style w:type="paragraph" w:customStyle="1" w:styleId="286">
    <w:name w:val="Indent a)"/>
    <w:basedOn w:val="1"/>
    <w:qFormat/>
    <w:uiPriority w:val="0"/>
    <w:pPr>
      <w:tabs>
        <w:tab w:val="left" w:pos="1843"/>
        <w:tab w:val="right" w:pos="9072"/>
      </w:tabs>
      <w:suppressAutoHyphens/>
      <w:spacing w:line="360" w:lineRule="auto"/>
      <w:ind w:right="-21" w:rightChars="-10" w:firstLine="420" w:firstLineChars="200"/>
      <w:jc w:val="both"/>
    </w:pPr>
    <w:rPr>
      <w:rFonts w:ascii="宋体" w:hAnsi="宋体"/>
      <w:color w:val="000000"/>
      <w:kern w:val="2"/>
    </w:rPr>
  </w:style>
  <w:style w:type="paragraph" w:customStyle="1" w:styleId="2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sz w:val="24"/>
      <w:szCs w:val="24"/>
      <w:lang w:eastAsia="en-US"/>
    </w:rPr>
  </w:style>
  <w:style w:type="paragraph" w:customStyle="1" w:styleId="2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u w:val="single"/>
    </w:rPr>
  </w:style>
  <w:style w:type="paragraph" w:customStyle="1" w:styleId="289">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290">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 w:val="24"/>
      <w:szCs w:val="24"/>
      <w:lang w:eastAsia="en-US"/>
    </w:rPr>
  </w:style>
  <w:style w:type="paragraph" w:customStyle="1" w:styleId="291">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sz w:val="16"/>
      <w:szCs w:val="16"/>
      <w:lang w:eastAsia="en-US"/>
    </w:rPr>
  </w:style>
  <w:style w:type="paragraph" w:customStyle="1" w:styleId="292">
    <w:name w:val="菲页2"/>
    <w:basedOn w:val="6"/>
    <w:qFormat/>
    <w:uiPriority w:val="0"/>
    <w:pPr>
      <w:numPr>
        <w:ilvl w:val="2"/>
        <w:numId w:val="4"/>
      </w:numPr>
      <w:tabs>
        <w:tab w:val="left" w:pos="2040"/>
      </w:tabs>
      <w:spacing w:before="120" w:after="120" w:line="360" w:lineRule="auto"/>
      <w:jc w:val="center"/>
    </w:pPr>
    <w:rPr>
      <w:rFonts w:ascii="黑体" w:hAnsi="宋体" w:eastAsia="黑体"/>
      <w:b w:val="0"/>
      <w:bCs w:val="0"/>
      <w:sz w:val="44"/>
      <w:szCs w:val="20"/>
    </w:rPr>
  </w:style>
  <w:style w:type="paragraph" w:customStyle="1" w:styleId="293">
    <w:name w:val="菲页(卷)"/>
    <w:basedOn w:val="4"/>
    <w:next w:val="147"/>
    <w:qFormat/>
    <w:uiPriority w:val="0"/>
    <w:pPr>
      <w:keepLines w:val="0"/>
      <w:widowControl/>
      <w:numPr>
        <w:ilvl w:val="0"/>
        <w:numId w:val="4"/>
      </w:numPr>
      <w:tabs>
        <w:tab w:val="left" w:pos="1200"/>
        <w:tab w:val="clear" w:pos="840"/>
      </w:tabs>
      <w:adjustRightInd/>
      <w:snapToGrid/>
      <w:spacing w:line="240" w:lineRule="auto"/>
      <w:jc w:val="center"/>
      <w:outlineLvl w:val="1"/>
    </w:pPr>
    <w:rPr>
      <w:rFonts w:ascii="黑体" w:eastAsia="黑体"/>
      <w:b w:val="0"/>
      <w:kern w:val="0"/>
      <w:sz w:val="52"/>
    </w:rPr>
  </w:style>
  <w:style w:type="paragraph" w:customStyle="1" w:styleId="294">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szCs w:val="21"/>
      <w:lang w:eastAsia="en-US"/>
    </w:rPr>
  </w:style>
  <w:style w:type="paragraph" w:customStyle="1" w:styleId="295">
    <w:name w:val="xl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sz w:val="18"/>
      <w:szCs w:val="18"/>
    </w:rPr>
  </w:style>
  <w:style w:type="paragraph" w:customStyle="1" w:styleId="296">
    <w:name w:val="目录文字"/>
    <w:basedOn w:val="1"/>
    <w:qFormat/>
    <w:uiPriority w:val="0"/>
    <w:pPr>
      <w:spacing w:line="480" w:lineRule="auto"/>
    </w:pPr>
    <w:rPr>
      <w:rFonts w:ascii="宋体" w:hAnsi="宋体"/>
      <w:sz w:val="24"/>
    </w:rPr>
  </w:style>
  <w:style w:type="paragraph" w:customStyle="1" w:styleId="297">
    <w:name w:val="font7"/>
    <w:basedOn w:val="1"/>
    <w:qFormat/>
    <w:uiPriority w:val="0"/>
    <w:pPr>
      <w:spacing w:before="100" w:beforeAutospacing="1" w:after="100" w:afterAutospacing="1"/>
    </w:pPr>
    <w:rPr>
      <w:rFonts w:hint="eastAsia" w:ascii="宋体" w:hAnsi="宋体" w:cs="Courier New"/>
      <w:szCs w:val="21"/>
      <w:lang w:eastAsia="en-US"/>
    </w:rPr>
  </w:style>
  <w:style w:type="paragraph" w:customStyle="1" w:styleId="298">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Courier New"/>
      <w:sz w:val="24"/>
      <w:szCs w:val="24"/>
      <w:lang w:eastAsia="en-US"/>
    </w:rPr>
  </w:style>
  <w:style w:type="paragraph" w:customStyle="1" w:styleId="299">
    <w:name w:val="保留正文"/>
    <w:basedOn w:val="3"/>
    <w:qFormat/>
    <w:uiPriority w:val="0"/>
    <w:pPr>
      <w:keepNext/>
      <w:spacing w:after="160" w:line="240" w:lineRule="auto"/>
    </w:pPr>
    <w:rPr>
      <w:rFonts w:ascii="Times New Roman" w:eastAsia="宋体"/>
      <w:sz w:val="21"/>
      <w:szCs w:val="24"/>
    </w:rPr>
  </w:style>
  <w:style w:type="paragraph" w:customStyle="1" w:styleId="300">
    <w:name w:val="font6"/>
    <w:basedOn w:val="1"/>
    <w:qFormat/>
    <w:uiPriority w:val="0"/>
    <w:pPr>
      <w:spacing w:before="100" w:beforeAutospacing="1" w:after="100" w:afterAutospacing="1"/>
    </w:pPr>
    <w:rPr>
      <w:rFonts w:eastAsia="Arial Unicode MS"/>
      <w:szCs w:val="21"/>
      <w:lang w:eastAsia="en-US"/>
    </w:rPr>
  </w:style>
  <w:style w:type="paragraph" w:customStyle="1" w:styleId="301">
    <w:name w:val="font1"/>
    <w:basedOn w:val="1"/>
    <w:qFormat/>
    <w:uiPriority w:val="0"/>
    <w:pPr>
      <w:spacing w:before="100" w:beforeAutospacing="1" w:after="100" w:afterAutospacing="1"/>
    </w:pPr>
    <w:rPr>
      <w:rFonts w:ascii="宋体" w:hAnsi="宋体" w:cs="宋体"/>
      <w:color w:val="000000"/>
      <w:sz w:val="22"/>
      <w:szCs w:val="22"/>
    </w:rPr>
  </w:style>
  <w:style w:type="paragraph" w:customStyle="1" w:styleId="302">
    <w:name w:val="xl65"/>
    <w:basedOn w:val="1"/>
    <w:qFormat/>
    <w:uiPriority w:val="0"/>
    <w:pPr>
      <w:spacing w:before="100" w:beforeAutospacing="1" w:after="100" w:afterAutospacing="1"/>
      <w:jc w:val="center"/>
    </w:pPr>
    <w:rPr>
      <w:rFonts w:ascii="宋体" w:hAnsi="宋体" w:cs="宋体"/>
      <w:sz w:val="18"/>
      <w:szCs w:val="18"/>
    </w:rPr>
  </w:style>
  <w:style w:type="paragraph" w:customStyle="1" w:styleId="303">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4">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0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06">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18"/>
      <w:szCs w:val="18"/>
    </w:rPr>
  </w:style>
  <w:style w:type="paragraph" w:customStyle="1" w:styleId="307">
    <w:name w:val="xl72"/>
    <w:basedOn w:val="1"/>
    <w:qFormat/>
    <w:uiPriority w:val="0"/>
    <w:pPr>
      <w:spacing w:before="100" w:beforeAutospacing="1" w:after="100" w:afterAutospacing="1"/>
      <w:jc w:val="center"/>
    </w:pPr>
    <w:rPr>
      <w:rFonts w:ascii="宋体" w:hAnsi="宋体" w:cs="宋体"/>
      <w:sz w:val="20"/>
    </w:rPr>
  </w:style>
  <w:style w:type="paragraph" w:customStyle="1" w:styleId="308">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0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0">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rPr>
  </w:style>
  <w:style w:type="paragraph" w:customStyle="1" w:styleId="311">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12">
    <w:name w:val="xl7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18"/>
      <w:szCs w:val="18"/>
    </w:rPr>
  </w:style>
  <w:style w:type="paragraph" w:customStyle="1" w:styleId="313">
    <w:name w:val="xl7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14">
    <w:name w:val="xl80"/>
    <w:basedOn w:val="1"/>
    <w:qFormat/>
    <w:uiPriority w:val="0"/>
    <w:pPr>
      <w:pBdr>
        <w:bottom w:val="single" w:color="auto" w:sz="4" w:space="0"/>
      </w:pBdr>
      <w:spacing w:before="100" w:beforeAutospacing="1" w:after="100" w:afterAutospacing="1"/>
      <w:jc w:val="center"/>
    </w:pPr>
    <w:rPr>
      <w:rFonts w:ascii="方正小标宋简体" w:hAnsi="宋体" w:eastAsia="方正小标宋简体" w:cs="宋体"/>
      <w:sz w:val="32"/>
      <w:szCs w:val="32"/>
    </w:rPr>
  </w:style>
  <w:style w:type="paragraph" w:customStyle="1" w:styleId="315">
    <w:name w:val="xl8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6">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7">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8">
    <w:name w:val="xl8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19">
    <w:name w:val="xl63"/>
    <w:basedOn w:val="1"/>
    <w:qFormat/>
    <w:uiPriority w:val="0"/>
    <w:pPr>
      <w:spacing w:before="100" w:beforeAutospacing="1" w:after="100" w:afterAutospacing="1"/>
      <w:jc w:val="center"/>
    </w:pPr>
    <w:rPr>
      <w:rFonts w:ascii="宋体" w:hAnsi="宋体" w:cs="宋体"/>
      <w:sz w:val="20"/>
    </w:rPr>
  </w:style>
  <w:style w:type="paragraph" w:customStyle="1" w:styleId="320">
    <w:name w:val="xl64"/>
    <w:basedOn w:val="1"/>
    <w:qFormat/>
    <w:uiPriority w:val="0"/>
    <w:pPr>
      <w:spacing w:before="100" w:beforeAutospacing="1" w:after="100" w:afterAutospacing="1"/>
      <w:jc w:val="center"/>
    </w:pPr>
    <w:rPr>
      <w:rFonts w:ascii="宋体" w:hAnsi="宋体" w:cs="宋体"/>
      <w:sz w:val="24"/>
      <w:szCs w:val="24"/>
    </w:rPr>
  </w:style>
  <w:style w:type="character" w:customStyle="1" w:styleId="321">
    <w:name w:val="正文缩进 字符"/>
    <w:qFormat/>
    <w:uiPriority w:val="0"/>
    <w:rPr>
      <w:rFonts w:ascii="Calibri" w:hAnsi="Calibri" w:eastAsia="宋体" w:cs="Times New Roman"/>
      <w:kern w:val="2"/>
      <w:sz w:val="21"/>
      <w:szCs w:val="22"/>
    </w:rPr>
  </w:style>
  <w:style w:type="paragraph" w:customStyle="1" w:styleId="322">
    <w:name w:val="l正文"/>
    <w:basedOn w:val="1"/>
    <w:qFormat/>
    <w:uiPriority w:val="0"/>
    <w:pPr>
      <w:widowControl w:val="0"/>
      <w:spacing w:line="300" w:lineRule="auto"/>
      <w:ind w:firstLine="200" w:firstLineChars="200"/>
    </w:pPr>
    <w:rPr>
      <w:rFonts w:ascii="楷体_GB2312" w:hAnsi="Times" w:eastAsia="楷体_GB2312" w:cs="等线"/>
      <w:kern w:val="2"/>
      <w:sz w:val="24"/>
      <w:szCs w:val="24"/>
    </w:rPr>
  </w:style>
  <w:style w:type="character" w:customStyle="1" w:styleId="323">
    <w:name w:val="正文缩进 Char1"/>
    <w:qFormat/>
    <w:uiPriority w:val="0"/>
    <w:rPr>
      <w:rFonts w:ascii="Times New Roman" w:hAnsi="Times New Roman"/>
      <w:sz w:val="21"/>
    </w:rPr>
  </w:style>
  <w:style w:type="character" w:customStyle="1" w:styleId="324">
    <w:name w:val="正文文本 Char1"/>
    <w:qFormat/>
    <w:uiPriority w:val="0"/>
    <w:rPr>
      <w:rFonts w:ascii="楷体_GB2312" w:hAnsi="Times New Roman" w:eastAsia="楷体_GB2312"/>
      <w:kern w:val="2"/>
      <w:sz w:val="32"/>
    </w:rPr>
  </w:style>
  <w:style w:type="paragraph" w:customStyle="1" w:styleId="325">
    <w:name w:val="无间隔11"/>
    <w:qFormat/>
    <w:uiPriority w:val="0"/>
    <w:pPr>
      <w:widowControl w:val="0"/>
      <w:spacing w:line="360" w:lineRule="auto"/>
    </w:pPr>
    <w:rPr>
      <w:rFonts w:ascii="Calibri" w:hAnsi="Calibri" w:eastAsia="宋体" w:cs="Times New Roman"/>
      <w:kern w:val="2"/>
      <w:sz w:val="21"/>
      <w:szCs w:val="22"/>
      <w:lang w:val="en-US" w:eastAsia="zh-CN" w:bidi="ar-SA"/>
    </w:rPr>
  </w:style>
  <w:style w:type="paragraph" w:customStyle="1" w:styleId="326">
    <w:name w:val="首行缩进"/>
    <w:basedOn w:val="1"/>
    <w:qFormat/>
    <w:uiPriority w:val="0"/>
    <w:pPr>
      <w:tabs>
        <w:tab w:val="left" w:pos="822"/>
        <w:tab w:val="left" w:pos="1296"/>
      </w:tabs>
      <w:snapToGrid w:val="0"/>
      <w:spacing w:before="40" w:after="40" w:line="300" w:lineRule="atLeast"/>
      <w:ind w:left="1296" w:hanging="1296"/>
      <w:jc w:val="both"/>
    </w:pPr>
    <w:rPr>
      <w:rFonts w:ascii="Arial" w:hAnsi="Arial"/>
    </w:rPr>
  </w:style>
  <w:style w:type="paragraph" w:customStyle="1" w:styleId="327">
    <w:name w:val="BodyText1I"/>
    <w:basedOn w:val="328"/>
    <w:qFormat/>
    <w:uiPriority w:val="99"/>
    <w:pPr>
      <w:spacing w:after="120" w:line="240" w:lineRule="auto"/>
      <w:ind w:firstLine="420" w:firstLineChars="100"/>
      <w:jc w:val="left"/>
    </w:pPr>
    <w:rPr>
      <w:rFonts w:ascii="Times New Roman" w:eastAsia="宋体" w:cs="Times New Roman"/>
      <w:kern w:val="0"/>
      <w:sz w:val="21"/>
      <w:szCs w:val="21"/>
    </w:rPr>
  </w:style>
  <w:style w:type="paragraph" w:customStyle="1" w:styleId="328">
    <w:name w:val="BodyText"/>
    <w:basedOn w:val="1"/>
    <w:next w:val="327"/>
    <w:qFormat/>
    <w:uiPriority w:val="99"/>
    <w:pPr>
      <w:spacing w:line="360" w:lineRule="auto"/>
      <w:jc w:val="both"/>
    </w:pPr>
    <w:rPr>
      <w:rFonts w:ascii="楷体_GB2312" w:eastAsia="楷体_GB2312" w:cs="楷体_GB2312"/>
      <w:kern w:val="2"/>
      <w:sz w:val="32"/>
      <w:szCs w:val="32"/>
    </w:rPr>
  </w:style>
  <w:style w:type="character" w:customStyle="1" w:styleId="329">
    <w:name w:val="font61"/>
    <w:basedOn w:val="48"/>
    <w:uiPriority w:val="0"/>
    <w:rPr>
      <w:rFonts w:hint="eastAsia" w:ascii="宋体" w:hAnsi="宋体" w:eastAsia="宋体" w:cs="宋体"/>
      <w:color w:val="000000"/>
      <w:sz w:val="24"/>
      <w:szCs w:val="24"/>
      <w:u w:val="none"/>
    </w:rPr>
  </w:style>
  <w:style w:type="character" w:customStyle="1" w:styleId="330">
    <w:name w:val="font81"/>
    <w:basedOn w:val="48"/>
    <w:uiPriority w:val="0"/>
    <w:rPr>
      <w:rFonts w:hint="eastAsia" w:ascii="等线" w:hAnsi="等线" w:eastAsia="等线" w:cs="等线"/>
      <w:color w:val="000000"/>
      <w:sz w:val="21"/>
      <w:szCs w:val="21"/>
      <w:u w:val="none"/>
    </w:rPr>
  </w:style>
  <w:style w:type="character" w:customStyle="1" w:styleId="331">
    <w:name w:val="font91"/>
    <w:basedOn w:val="48"/>
    <w:uiPriority w:val="0"/>
    <w:rPr>
      <w:rFonts w:hint="default" w:ascii="Times New Roman" w:hAnsi="Times New Roman" w:cs="Times New Roman"/>
      <w:color w:val="000000"/>
      <w:sz w:val="18"/>
      <w:szCs w:val="18"/>
      <w:u w:val="none"/>
    </w:rPr>
  </w:style>
  <w:style w:type="character" w:customStyle="1" w:styleId="332">
    <w:name w:val="font71"/>
    <w:basedOn w:val="4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raztb</Company>
  <Pages>59</Pages>
  <Words>37058</Words>
  <Characters>39319</Characters>
  <Lines>419</Lines>
  <Paragraphs>118</Paragraphs>
  <TotalTime>4</TotalTime>
  <ScaleCrop>false</ScaleCrop>
  <LinksUpToDate>false</LinksUpToDate>
  <CharactersWithSpaces>44914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2022-09-13T01:07:00Z</dcterms:created>
  <dc:creator>ccl</dc:creator>
  <cp:lastModifiedBy>Light feather</cp:lastModifiedBy>
  <cp:lastPrinted>2021-11-19T02:47:00Z</cp:lastPrinted>
  <dcterms:modified xsi:type="dcterms:W3CDTF">2022-10-09T08:26:41Z</dcterms:modified>
  <dc:title>瑞安市公共资源交易中心</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AAAAA</vt:lpwstr>
  </property>
  <property fmtid="{D5CDD505-2E9C-101B-9397-08002B2CF9AE}" pid="3" name="KSOProductBuildVer">
    <vt:lpwstr>2052-11.1.0.12358</vt:lpwstr>
  </property>
  <property fmtid="{D5CDD505-2E9C-101B-9397-08002B2CF9AE}" pid="4" name="ICV">
    <vt:lpwstr>0E5E6946054049A88E7BB0341599C20B</vt:lpwstr>
  </property>
  <property fmtid="{D5CDD505-2E9C-101B-9397-08002B2CF9AE}" pid="5" name="commondata">
    <vt:lpwstr>eyJoZGlkIjoiZDBhNWFmOTE3ZTU0YTJiN2Q0Njc1N2I0M2FkYjk3YjEifQ==</vt:lpwstr>
  </property>
</Properties>
</file>