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auto"/>
          <w:spacing w:val="100"/>
          <w:sz w:val="72"/>
          <w:szCs w:val="72"/>
          <w:highlight w:val="none"/>
        </w:rPr>
      </w:pPr>
    </w:p>
    <w:p>
      <w:pPr>
        <w:jc w:val="center"/>
        <w:rPr>
          <w:rFonts w:ascii="宋体"/>
          <w:b/>
          <w:bCs/>
          <w:color w:val="auto"/>
          <w:spacing w:val="100"/>
          <w:sz w:val="72"/>
          <w:szCs w:val="72"/>
          <w:highlight w:val="none"/>
        </w:rPr>
      </w:pPr>
      <w:r>
        <w:rPr>
          <w:rFonts w:hint="eastAsia" w:ascii="宋体" w:hAnsi="宋体"/>
          <w:b/>
          <w:bCs/>
          <w:color w:val="auto"/>
          <w:spacing w:val="100"/>
          <w:sz w:val="72"/>
          <w:szCs w:val="72"/>
          <w:highlight w:val="none"/>
        </w:rPr>
        <w:t>泰顺县政府采购</w:t>
      </w:r>
    </w:p>
    <w:p>
      <w:pPr>
        <w:jc w:val="center"/>
        <w:rPr>
          <w:rFonts w:ascii="新宋体" w:hAnsi="新宋体" w:eastAsia="新宋体"/>
          <w:b/>
          <w:bCs/>
          <w:color w:val="auto"/>
          <w:spacing w:val="140"/>
          <w:sz w:val="72"/>
          <w:szCs w:val="72"/>
          <w:highlight w:val="none"/>
        </w:rPr>
      </w:pPr>
      <w:r>
        <w:rPr>
          <w:rFonts w:ascii="新宋体" w:hAnsi="新宋体" w:eastAsia="新宋体"/>
          <w:b/>
          <w:bCs/>
          <w:color w:val="auto"/>
          <w:spacing w:val="140"/>
          <w:sz w:val="72"/>
          <w:szCs w:val="72"/>
          <w:highlight w:val="none"/>
        </w:rPr>
        <w:t xml:space="preserve"> </w:t>
      </w:r>
    </w:p>
    <w:p>
      <w:pPr>
        <w:jc w:val="center"/>
        <w:rPr>
          <w:rFonts w:ascii="新宋体" w:hAnsi="新宋体" w:eastAsia="新宋体"/>
          <w:b/>
          <w:bCs/>
          <w:color w:val="auto"/>
          <w:spacing w:val="140"/>
          <w:sz w:val="72"/>
          <w:szCs w:val="72"/>
          <w:highlight w:val="none"/>
        </w:rPr>
      </w:pPr>
    </w:p>
    <w:p>
      <w:pPr>
        <w:jc w:val="center"/>
        <w:rPr>
          <w:rFonts w:ascii="新宋体" w:hAnsi="新宋体" w:eastAsia="新宋体"/>
          <w:b/>
          <w:bCs/>
          <w:color w:val="auto"/>
          <w:spacing w:val="140"/>
          <w:sz w:val="72"/>
          <w:szCs w:val="72"/>
          <w:highlight w:val="none"/>
        </w:rPr>
      </w:pPr>
    </w:p>
    <w:p>
      <w:pPr>
        <w:spacing w:line="900" w:lineRule="exact"/>
        <w:jc w:val="center"/>
        <w:rPr>
          <w:rFonts w:ascii="楷体" w:hAnsi="楷体" w:eastAsia="楷体"/>
          <w:b/>
          <w:bCs/>
          <w:color w:val="auto"/>
          <w:spacing w:val="140"/>
          <w:sz w:val="72"/>
          <w:szCs w:val="72"/>
          <w:highlight w:val="none"/>
        </w:rPr>
      </w:pPr>
      <w:r>
        <w:rPr>
          <w:rFonts w:ascii="黑体" w:hAnsi="新宋体" w:eastAsia="黑体"/>
          <w:b/>
          <w:bCs/>
          <w:color w:val="auto"/>
          <w:spacing w:val="140"/>
          <w:sz w:val="84"/>
          <w:szCs w:val="84"/>
          <w:highlight w:val="none"/>
        </w:rPr>
        <w:t xml:space="preserve"> </w:t>
      </w:r>
      <w:r>
        <w:rPr>
          <w:rFonts w:hint="eastAsia" w:ascii="楷体" w:hAnsi="楷体" w:eastAsia="楷体"/>
          <w:b/>
          <w:bCs/>
          <w:color w:val="auto"/>
          <w:spacing w:val="140"/>
          <w:sz w:val="72"/>
          <w:szCs w:val="72"/>
          <w:highlight w:val="none"/>
        </w:rPr>
        <w:t>招</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件</w:t>
      </w:r>
    </w:p>
    <w:p>
      <w:pPr>
        <w:jc w:val="center"/>
        <w:rPr>
          <w:rFonts w:ascii="宋体"/>
          <w:b/>
          <w:color w:val="auto"/>
          <w:sz w:val="72"/>
          <w:szCs w:val="72"/>
          <w:highlight w:val="none"/>
        </w:rPr>
      </w:pPr>
    </w:p>
    <w:tbl>
      <w:tblPr>
        <w:tblStyle w:val="28"/>
        <w:tblW w:w="861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756"/>
        <w:gridCol w:w="586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756" w:type="dxa"/>
            <w:tcBorders>
              <w:tl2br w:val="nil"/>
              <w:tr2bl w:val="nil"/>
            </w:tcBorders>
            <w:vAlign w:val="center"/>
          </w:tcPr>
          <w:p>
            <w:pPr>
              <w:rPr>
                <w:rFonts w:ascii="宋体"/>
                <w:b/>
                <w:color w:val="auto"/>
                <w:sz w:val="30"/>
                <w:szCs w:val="30"/>
                <w:highlight w:val="none"/>
              </w:rPr>
            </w:pPr>
            <w:r>
              <w:rPr>
                <w:rFonts w:hint="eastAsia" w:ascii="宋体" w:hAnsi="宋体"/>
                <w:b/>
                <w:color w:val="auto"/>
                <w:sz w:val="30"/>
                <w:szCs w:val="30"/>
                <w:highlight w:val="none"/>
              </w:rPr>
              <w:t>招标编号</w:t>
            </w:r>
          </w:p>
        </w:tc>
        <w:tc>
          <w:tcPr>
            <w:tcW w:w="5863" w:type="dxa"/>
            <w:tcBorders>
              <w:tl2br w:val="nil"/>
              <w:tr2bl w:val="nil"/>
            </w:tcBorders>
            <w:vAlign w:val="center"/>
          </w:tcPr>
          <w:p>
            <w:pPr>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TSCG202302002</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756" w:type="dxa"/>
            <w:tcBorders>
              <w:tl2br w:val="nil"/>
              <w:tr2bl w:val="nil"/>
            </w:tcBorders>
            <w:vAlign w:val="center"/>
          </w:tcPr>
          <w:p>
            <w:pPr>
              <w:snapToGrid w:val="0"/>
              <w:spacing w:line="440" w:lineRule="exact"/>
              <w:rPr>
                <w:rFonts w:ascii="宋体" w:hAnsi="宋体" w:cs="新宋体"/>
                <w:b/>
                <w:bCs/>
                <w:color w:val="auto"/>
                <w:sz w:val="30"/>
                <w:szCs w:val="30"/>
                <w:highlight w:val="none"/>
              </w:rPr>
            </w:pPr>
            <w:r>
              <w:rPr>
                <w:rFonts w:hint="eastAsia" w:ascii="宋体" w:hAnsi="宋体" w:cs="新宋体"/>
                <w:b/>
                <w:bCs/>
                <w:color w:val="auto"/>
                <w:sz w:val="30"/>
                <w:szCs w:val="30"/>
                <w:highlight w:val="none"/>
              </w:rPr>
              <w:t>项目名称</w:t>
            </w:r>
          </w:p>
        </w:tc>
        <w:tc>
          <w:tcPr>
            <w:tcW w:w="5863" w:type="dxa"/>
            <w:tcBorders>
              <w:tl2br w:val="nil"/>
              <w:tr2bl w:val="nil"/>
            </w:tcBorders>
            <w:vAlign w:val="center"/>
          </w:tcPr>
          <w:p>
            <w:pPr>
              <w:snapToGrid w:val="0"/>
              <w:spacing w:line="440" w:lineRule="exact"/>
              <w:rPr>
                <w:rFonts w:ascii="宋体" w:hAnsi="宋体" w:cs="新宋体"/>
                <w:b/>
                <w:bCs/>
                <w:color w:val="auto"/>
                <w:sz w:val="30"/>
                <w:szCs w:val="30"/>
                <w:highlight w:val="none"/>
              </w:rPr>
            </w:pPr>
            <w:r>
              <w:rPr>
                <w:rFonts w:hint="eastAsia" w:ascii="宋体" w:hAnsi="宋体" w:cs="新宋体"/>
                <w:b/>
                <w:bCs/>
                <w:color w:val="auto"/>
                <w:sz w:val="30"/>
                <w:szCs w:val="30"/>
                <w:highlight w:val="none"/>
              </w:rPr>
              <w:t>泰顺县城区生活垃圾再生资源回收利用采购项目</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756" w:type="dxa"/>
            <w:tcBorders>
              <w:tl2br w:val="nil"/>
              <w:tr2bl w:val="nil"/>
            </w:tcBorders>
            <w:vAlign w:val="center"/>
          </w:tcPr>
          <w:p>
            <w:pPr>
              <w:rPr>
                <w:rFonts w:ascii="宋体"/>
                <w:b/>
                <w:color w:val="auto"/>
                <w:sz w:val="30"/>
                <w:szCs w:val="30"/>
                <w:highlight w:val="none"/>
              </w:rPr>
            </w:pPr>
            <w:r>
              <w:rPr>
                <w:rFonts w:hint="eastAsia" w:ascii="宋体" w:hAnsi="宋体"/>
                <w:b/>
                <w:color w:val="auto"/>
                <w:sz w:val="30"/>
                <w:szCs w:val="30"/>
                <w:highlight w:val="none"/>
              </w:rPr>
              <w:t>招标方式</w:t>
            </w:r>
          </w:p>
        </w:tc>
        <w:tc>
          <w:tcPr>
            <w:tcW w:w="5863" w:type="dxa"/>
            <w:tcBorders>
              <w:tl2br w:val="nil"/>
              <w:tr2bl w:val="nil"/>
            </w:tcBorders>
            <w:vAlign w:val="center"/>
          </w:tcPr>
          <w:p>
            <w:pPr>
              <w:rPr>
                <w:rFonts w:ascii="宋体"/>
                <w:b/>
                <w:color w:val="auto"/>
                <w:sz w:val="30"/>
                <w:szCs w:val="30"/>
                <w:highlight w:val="none"/>
              </w:rPr>
            </w:pPr>
            <w:r>
              <w:rPr>
                <w:rFonts w:hint="eastAsia" w:ascii="宋体" w:hAnsi="宋体"/>
                <w:b/>
                <w:color w:val="auto"/>
                <w:sz w:val="30"/>
                <w:szCs w:val="30"/>
                <w:highlight w:val="none"/>
              </w:rPr>
              <w:t>公开招标</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756" w:type="dxa"/>
            <w:tcBorders>
              <w:tl2br w:val="nil"/>
              <w:tr2bl w:val="nil"/>
            </w:tcBorders>
            <w:vAlign w:val="center"/>
          </w:tcPr>
          <w:p>
            <w:pPr>
              <w:rPr>
                <w:rFonts w:ascii="宋体"/>
                <w:b/>
                <w:color w:val="auto"/>
                <w:sz w:val="30"/>
                <w:szCs w:val="30"/>
                <w:highlight w:val="none"/>
              </w:rPr>
            </w:pPr>
            <w:r>
              <w:rPr>
                <w:rFonts w:hint="eastAsia" w:ascii="宋体" w:hAnsi="宋体"/>
                <w:b/>
                <w:color w:val="auto"/>
                <w:sz w:val="30"/>
                <w:szCs w:val="30"/>
                <w:highlight w:val="none"/>
              </w:rPr>
              <w:t>采购单位</w:t>
            </w:r>
          </w:p>
        </w:tc>
        <w:tc>
          <w:tcPr>
            <w:tcW w:w="5863" w:type="dxa"/>
            <w:tcBorders>
              <w:tl2br w:val="nil"/>
              <w:tr2bl w:val="nil"/>
            </w:tcBorders>
            <w:vAlign w:val="center"/>
          </w:tcPr>
          <w:p>
            <w:pPr>
              <w:snapToGrid w:val="0"/>
              <w:spacing w:line="500" w:lineRule="atLeast"/>
              <w:rPr>
                <w:rFonts w:ascii="宋体"/>
                <w:b/>
                <w:color w:val="auto"/>
                <w:sz w:val="30"/>
                <w:szCs w:val="30"/>
                <w:highlight w:val="none"/>
              </w:rPr>
            </w:pPr>
            <w:r>
              <w:rPr>
                <w:rFonts w:hint="eastAsia" w:ascii="宋体" w:hAnsi="宋体"/>
                <w:b/>
                <w:color w:val="auto"/>
                <w:sz w:val="30"/>
                <w:szCs w:val="30"/>
                <w:highlight w:val="none"/>
              </w:rPr>
              <w:t>泰顺县综合行政执法局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756" w:type="dxa"/>
            <w:tcBorders>
              <w:tl2br w:val="nil"/>
              <w:tr2bl w:val="nil"/>
            </w:tcBorders>
            <w:vAlign w:val="center"/>
          </w:tcPr>
          <w:p>
            <w:pPr>
              <w:rPr>
                <w:rFonts w:ascii="宋体"/>
                <w:b/>
                <w:color w:val="auto"/>
                <w:sz w:val="30"/>
                <w:szCs w:val="30"/>
                <w:highlight w:val="none"/>
              </w:rPr>
            </w:pPr>
            <w:r>
              <w:rPr>
                <w:rFonts w:hint="eastAsia" w:ascii="宋体" w:hAnsi="宋体"/>
                <w:b/>
                <w:color w:val="auto"/>
                <w:sz w:val="30"/>
                <w:szCs w:val="30"/>
                <w:highlight w:val="none"/>
              </w:rPr>
              <w:t>招标代理机构</w:t>
            </w:r>
          </w:p>
        </w:tc>
        <w:tc>
          <w:tcPr>
            <w:tcW w:w="5863" w:type="dxa"/>
            <w:tcBorders>
              <w:tl2br w:val="nil"/>
              <w:tr2bl w:val="nil"/>
            </w:tcBorders>
            <w:vAlign w:val="center"/>
          </w:tcPr>
          <w:p>
            <w:pPr>
              <w:rPr>
                <w:rFonts w:ascii="宋体"/>
                <w:b/>
                <w:color w:val="auto"/>
                <w:sz w:val="30"/>
                <w:szCs w:val="30"/>
                <w:highlight w:val="none"/>
              </w:rPr>
            </w:pPr>
            <w:r>
              <w:rPr>
                <w:rFonts w:hint="eastAsia" w:ascii="宋体" w:hAnsi="宋体"/>
                <w:b/>
                <w:color w:val="auto"/>
                <w:sz w:val="30"/>
                <w:szCs w:val="30"/>
                <w:highlight w:val="none"/>
              </w:rPr>
              <w:t>泰顺县公共资源交易中心</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756" w:type="dxa"/>
            <w:tcBorders>
              <w:tl2br w:val="nil"/>
              <w:tr2bl w:val="nil"/>
            </w:tcBorders>
            <w:vAlign w:val="center"/>
          </w:tcPr>
          <w:p>
            <w:pPr>
              <w:rPr>
                <w:rFonts w:ascii="宋体" w:cs="Arial"/>
                <w:b/>
                <w:bCs/>
                <w:color w:val="auto"/>
                <w:sz w:val="28"/>
                <w:szCs w:val="28"/>
                <w:highlight w:val="none"/>
              </w:rPr>
            </w:pPr>
            <w:r>
              <w:rPr>
                <w:rFonts w:hint="eastAsia" w:ascii="宋体" w:hAnsi="宋体"/>
                <w:b/>
                <w:color w:val="auto"/>
                <w:sz w:val="30"/>
                <w:szCs w:val="30"/>
                <w:highlight w:val="none"/>
              </w:rPr>
              <w:t>监督及备案机构</w:t>
            </w:r>
          </w:p>
        </w:tc>
        <w:tc>
          <w:tcPr>
            <w:tcW w:w="5863" w:type="dxa"/>
            <w:tcBorders>
              <w:tl2br w:val="nil"/>
              <w:tr2bl w:val="nil"/>
            </w:tcBorders>
            <w:vAlign w:val="center"/>
          </w:tcPr>
          <w:p>
            <w:pPr>
              <w:rPr>
                <w:rFonts w:ascii="宋体" w:cs="Arial"/>
                <w:b/>
                <w:bCs/>
                <w:color w:val="auto"/>
                <w:sz w:val="28"/>
                <w:szCs w:val="28"/>
                <w:highlight w:val="none"/>
              </w:rPr>
            </w:pPr>
            <w:bookmarkStart w:id="0" w:name="B20_同级政府采购监督管理部门"/>
            <w:r>
              <w:rPr>
                <w:rFonts w:hint="eastAsia" w:ascii="宋体" w:hAnsi="宋体"/>
                <w:b/>
                <w:color w:val="auto"/>
                <w:sz w:val="30"/>
                <w:szCs w:val="30"/>
                <w:highlight w:val="none"/>
              </w:rPr>
              <w:t>泰顺县</w:t>
            </w:r>
            <w:bookmarkEnd w:id="0"/>
            <w:r>
              <w:rPr>
                <w:rFonts w:hint="eastAsia" w:ascii="宋体" w:hAnsi="宋体"/>
                <w:b/>
                <w:color w:val="auto"/>
                <w:sz w:val="30"/>
                <w:szCs w:val="30"/>
                <w:highlight w:val="none"/>
              </w:rPr>
              <w:t>财政局</w:t>
            </w:r>
          </w:p>
        </w:tc>
      </w:tr>
    </w:tbl>
    <w:p>
      <w:pPr>
        <w:snapToGrid w:val="0"/>
        <w:spacing w:line="500" w:lineRule="atLeast"/>
        <w:ind w:left="1220" w:leftChars="581" w:firstLine="741" w:firstLineChars="247"/>
        <w:rPr>
          <w:rFonts w:ascii="宋体"/>
          <w:b/>
          <w:color w:val="auto"/>
          <w:sz w:val="30"/>
          <w:szCs w:val="30"/>
          <w:highlight w:val="none"/>
        </w:rPr>
      </w:pPr>
    </w:p>
    <w:p>
      <w:pPr>
        <w:jc w:val="center"/>
        <w:rPr>
          <w:rFonts w:ascii="宋体"/>
          <w:b/>
          <w:color w:val="auto"/>
          <w:sz w:val="30"/>
          <w:szCs w:val="30"/>
          <w:highlight w:val="none"/>
        </w:rPr>
      </w:pPr>
    </w:p>
    <w:p>
      <w:pPr>
        <w:jc w:val="center"/>
        <w:rPr>
          <w:rFonts w:ascii="宋体"/>
          <w:color w:val="auto"/>
          <w:sz w:val="36"/>
          <w:szCs w:val="36"/>
          <w:highlight w:val="none"/>
        </w:rPr>
      </w:pPr>
      <w:r>
        <w:rPr>
          <w:rFonts w:hint="eastAsia" w:ascii="宋体" w:hAnsi="宋体"/>
          <w:b/>
          <w:color w:val="auto"/>
          <w:sz w:val="30"/>
          <w:szCs w:val="30"/>
          <w:highlight w:val="none"/>
        </w:rPr>
        <w:t>二○二三年</w:t>
      </w:r>
      <w:r>
        <w:rPr>
          <w:rFonts w:hint="eastAsia" w:ascii="宋体" w:hAnsi="宋体"/>
          <w:b/>
          <w:color w:val="auto"/>
          <w:sz w:val="30"/>
          <w:szCs w:val="30"/>
          <w:highlight w:val="none"/>
          <w:lang w:val="en-US" w:eastAsia="zh-CN"/>
        </w:rPr>
        <w:t>二</w:t>
      </w:r>
      <w:r>
        <w:rPr>
          <w:rFonts w:hint="eastAsia" w:ascii="宋体" w:hAnsi="宋体"/>
          <w:b/>
          <w:color w:val="auto"/>
          <w:sz w:val="30"/>
          <w:szCs w:val="30"/>
          <w:highlight w:val="none"/>
        </w:rPr>
        <w:t>月</w:t>
      </w:r>
    </w:p>
    <w:p>
      <w:pPr>
        <w:autoSpaceDE w:val="0"/>
        <w:autoSpaceDN w:val="0"/>
        <w:spacing w:line="480" w:lineRule="exact"/>
        <w:jc w:val="center"/>
        <w:textAlignment w:val="bottom"/>
        <w:rPr>
          <w:color w:val="auto"/>
          <w:highlight w:val="none"/>
        </w:rPr>
        <w:sectPr>
          <w:headerReference r:id="rId4" w:type="first"/>
          <w:footerReference r:id="rId6" w:type="first"/>
          <w:headerReference r:id="rId3" w:type="default"/>
          <w:footerReference r:id="rId5" w:type="default"/>
          <w:pgSz w:w="11906" w:h="16838"/>
          <w:pgMar w:top="1440" w:right="1419" w:bottom="1440" w:left="1247" w:header="851" w:footer="992" w:gutter="0"/>
          <w:pgNumType w:start="1"/>
          <w:cols w:space="720" w:num="1"/>
          <w:titlePg/>
          <w:docGrid w:type="linesAndChars" w:linePitch="312" w:charSpace="0"/>
        </w:sectPr>
      </w:pPr>
    </w:p>
    <w:p>
      <w:pPr>
        <w:autoSpaceDE w:val="0"/>
        <w:autoSpaceDN w:val="0"/>
        <w:spacing w:line="480" w:lineRule="exact"/>
        <w:jc w:val="center"/>
        <w:textAlignment w:val="bottom"/>
        <w:rPr>
          <w:rFonts w:ascii="楷体" w:hAnsi="楷体" w:eastAsia="楷体"/>
          <w:b/>
          <w:color w:val="auto"/>
          <w:sz w:val="44"/>
          <w:szCs w:val="44"/>
          <w:highlight w:val="none"/>
        </w:rPr>
      </w:pPr>
    </w:p>
    <w:p>
      <w:pPr>
        <w:autoSpaceDE w:val="0"/>
        <w:autoSpaceDN w:val="0"/>
        <w:spacing w:line="480" w:lineRule="exact"/>
        <w:jc w:val="center"/>
        <w:textAlignment w:val="bottom"/>
        <w:rPr>
          <w:rFonts w:ascii="楷体" w:hAnsi="楷体" w:eastAsia="楷体"/>
          <w:b/>
          <w:color w:val="auto"/>
          <w:sz w:val="44"/>
          <w:szCs w:val="44"/>
          <w:highlight w:val="none"/>
        </w:rPr>
      </w:pPr>
    </w:p>
    <w:p>
      <w:pPr>
        <w:autoSpaceDE w:val="0"/>
        <w:autoSpaceDN w:val="0"/>
        <w:spacing w:line="480" w:lineRule="exact"/>
        <w:jc w:val="center"/>
        <w:textAlignment w:val="bottom"/>
        <w:rPr>
          <w:rFonts w:ascii="楷体" w:hAnsi="楷体" w:eastAsia="楷体"/>
          <w:b/>
          <w:color w:val="auto"/>
          <w:sz w:val="44"/>
          <w:szCs w:val="44"/>
          <w:highlight w:val="none"/>
        </w:rPr>
      </w:pPr>
    </w:p>
    <w:p>
      <w:pPr>
        <w:autoSpaceDE w:val="0"/>
        <w:autoSpaceDN w:val="0"/>
        <w:spacing w:line="480" w:lineRule="exact"/>
        <w:jc w:val="center"/>
        <w:textAlignment w:val="bottom"/>
        <w:rPr>
          <w:rFonts w:ascii="楷体" w:hAnsi="楷体" w:eastAsia="楷体"/>
          <w:b/>
          <w:color w:val="auto"/>
          <w:sz w:val="44"/>
          <w:szCs w:val="44"/>
          <w:highlight w:val="none"/>
        </w:rPr>
      </w:pPr>
      <w:r>
        <w:rPr>
          <w:rFonts w:hint="eastAsia" w:ascii="楷体" w:hAnsi="楷体" w:eastAsia="楷体"/>
          <w:b/>
          <w:color w:val="auto"/>
          <w:sz w:val="44"/>
          <w:szCs w:val="44"/>
          <w:highlight w:val="none"/>
        </w:rPr>
        <w:t>招标文件目录</w:t>
      </w:r>
    </w:p>
    <w:p>
      <w:pPr>
        <w:autoSpaceDE w:val="0"/>
        <w:autoSpaceDN w:val="0"/>
        <w:adjustRightInd w:val="0"/>
        <w:spacing w:line="580" w:lineRule="atLeast"/>
        <w:ind w:left="1050" w:leftChars="500" w:firstLine="420" w:firstLineChars="150"/>
        <w:textAlignment w:val="baseline"/>
        <w:rPr>
          <w:rFonts w:ascii="宋体"/>
          <w:color w:val="auto"/>
          <w:sz w:val="28"/>
          <w:szCs w:val="28"/>
          <w:highlight w:val="none"/>
          <w:lang w:val="zh-CN"/>
        </w:rPr>
      </w:pPr>
      <w:r>
        <w:rPr>
          <w:rFonts w:hint="eastAsia" w:ascii="宋体"/>
          <w:color w:val="auto"/>
          <w:sz w:val="28"/>
          <w:szCs w:val="28"/>
          <w:highlight w:val="none"/>
          <w:lang w:val="zh-CN"/>
        </w:rPr>
        <w:t>第一部分、投标邀请函（投标须知前附表）</w:t>
      </w:r>
    </w:p>
    <w:p>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第二部分、招标内容及技术要求</w:t>
      </w:r>
    </w:p>
    <w:p>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第三部分、供应商须知</w:t>
      </w:r>
    </w:p>
    <w:p>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一、说明</w:t>
      </w:r>
    </w:p>
    <w:p>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二、招标文件</w:t>
      </w:r>
    </w:p>
    <w:p>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三、投标文件</w:t>
      </w:r>
    </w:p>
    <w:p>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四、投标文件的密封与递交</w:t>
      </w:r>
    </w:p>
    <w:p>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五、开标和评标</w:t>
      </w:r>
    </w:p>
    <w:p>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六、授予合同</w:t>
      </w:r>
    </w:p>
    <w:p>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第四部分、政府采购政策功能相关说明</w:t>
      </w:r>
    </w:p>
    <w:p>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第五部分、合同格式</w:t>
      </w:r>
    </w:p>
    <w:p>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第六部分、附件：投标文件格式</w:t>
      </w:r>
      <w:r>
        <w:rPr>
          <w:rFonts w:ascii="宋体"/>
          <w:color w:val="auto"/>
          <w:sz w:val="28"/>
          <w:szCs w:val="28"/>
          <w:highlight w:val="none"/>
          <w:lang w:val="zh-CN"/>
        </w:rPr>
        <w:t xml:space="preserve">        </w:t>
      </w:r>
    </w:p>
    <w:p>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第七部分、评标办法</w:t>
      </w:r>
    </w:p>
    <w:p>
      <w:pPr>
        <w:pStyle w:val="2"/>
        <w:rPr>
          <w:rFonts w:ascii="宋体"/>
          <w:color w:val="auto"/>
          <w:sz w:val="28"/>
          <w:szCs w:val="28"/>
          <w:highlight w:val="none"/>
          <w:lang w:val="zh-CN"/>
        </w:rPr>
      </w:pPr>
    </w:p>
    <w:p>
      <w:pPr>
        <w:snapToGrid w:val="0"/>
        <w:spacing w:line="440" w:lineRule="exact"/>
        <w:ind w:firstLine="442" w:firstLineChars="200"/>
        <w:rPr>
          <w:rFonts w:ascii="楷体" w:hAnsi="楷体" w:eastAsia="楷体"/>
          <w:b/>
          <w:bCs/>
          <w:color w:val="auto"/>
          <w:sz w:val="22"/>
          <w:szCs w:val="22"/>
          <w:highlight w:val="none"/>
        </w:rPr>
      </w:pPr>
      <w:r>
        <w:rPr>
          <w:rFonts w:hint="eastAsia" w:ascii="宋体" w:hAnsi="宋体" w:cs="新宋体"/>
          <w:b/>
          <w:bCs/>
          <w:color w:val="auto"/>
          <w:sz w:val="22"/>
          <w:szCs w:val="22"/>
          <w:highlight w:val="none"/>
          <w:u w:val="single"/>
        </w:rPr>
        <w:t>注：招标文件中标“▲”号的为招标的实质性要求和条件，不允许负偏离，否则作无效标处理，着重提醒各供应商必须响应。各供应商必须认真阅读和理解招标文件中的每一个条款及要求，因误读招标文件而造成的后果，采购人概不负责。</w:t>
      </w:r>
    </w:p>
    <w:p>
      <w:pPr>
        <w:pStyle w:val="2"/>
        <w:rPr>
          <w:rFonts w:ascii="宋体"/>
          <w:color w:val="auto"/>
          <w:sz w:val="28"/>
          <w:szCs w:val="28"/>
          <w:highlight w:val="none"/>
          <w:lang w:val="zh-CN"/>
        </w:rPr>
      </w:pPr>
    </w:p>
    <w:p>
      <w:pPr>
        <w:spacing w:line="400" w:lineRule="exact"/>
        <w:ind w:firstLine="602" w:firstLineChars="200"/>
        <w:jc w:val="center"/>
        <w:rPr>
          <w:rFonts w:ascii="宋体" w:hAnsi="宋体"/>
          <w:b/>
          <w:bCs/>
          <w:color w:val="auto"/>
          <w:sz w:val="30"/>
          <w:szCs w:val="30"/>
          <w:highlight w:val="none"/>
        </w:rPr>
      </w:pPr>
    </w:p>
    <w:p>
      <w:pPr>
        <w:spacing w:line="400" w:lineRule="exact"/>
        <w:ind w:firstLine="602" w:firstLineChars="200"/>
        <w:jc w:val="center"/>
        <w:rPr>
          <w:rFonts w:ascii="宋体" w:hAnsi="宋体"/>
          <w:b/>
          <w:bCs/>
          <w:color w:val="auto"/>
          <w:sz w:val="30"/>
          <w:szCs w:val="30"/>
          <w:highlight w:val="none"/>
        </w:rPr>
      </w:pPr>
    </w:p>
    <w:p>
      <w:pPr>
        <w:spacing w:line="400" w:lineRule="exact"/>
        <w:ind w:firstLine="602" w:firstLineChars="200"/>
        <w:jc w:val="center"/>
        <w:rPr>
          <w:rFonts w:ascii="宋体" w:hAnsi="宋体"/>
          <w:b/>
          <w:bCs/>
          <w:color w:val="auto"/>
          <w:sz w:val="30"/>
          <w:szCs w:val="30"/>
          <w:highlight w:val="none"/>
        </w:rPr>
      </w:pPr>
    </w:p>
    <w:p>
      <w:pPr>
        <w:tabs>
          <w:tab w:val="left" w:pos="1080"/>
          <w:tab w:val="left" w:pos="1426"/>
          <w:tab w:val="center" w:pos="4768"/>
        </w:tabs>
        <w:autoSpaceDE w:val="0"/>
        <w:autoSpaceDN w:val="0"/>
        <w:adjustRightInd w:val="0"/>
        <w:spacing w:line="500" w:lineRule="atLeast"/>
        <w:jc w:val="left"/>
        <w:textAlignment w:val="baseline"/>
        <w:rPr>
          <w:rFonts w:ascii="宋体"/>
          <w:b/>
          <w:bCs/>
          <w:color w:val="auto"/>
          <w:sz w:val="32"/>
          <w:szCs w:val="32"/>
          <w:highlight w:val="none"/>
        </w:rPr>
      </w:pPr>
      <w:bookmarkStart w:id="1" w:name="_Toc483388386"/>
      <w:r>
        <w:rPr>
          <w:rFonts w:hint="eastAsia" w:ascii="宋体"/>
          <w:b/>
          <w:bCs/>
          <w:color w:val="auto"/>
          <w:sz w:val="32"/>
          <w:szCs w:val="32"/>
          <w:highlight w:val="none"/>
        </w:rPr>
        <w:tab/>
      </w:r>
    </w:p>
    <w:p>
      <w:pPr>
        <w:tabs>
          <w:tab w:val="left" w:pos="1080"/>
          <w:tab w:val="left" w:pos="1426"/>
          <w:tab w:val="center" w:pos="4768"/>
        </w:tabs>
        <w:autoSpaceDE w:val="0"/>
        <w:autoSpaceDN w:val="0"/>
        <w:adjustRightInd w:val="0"/>
        <w:spacing w:line="500" w:lineRule="atLeast"/>
        <w:jc w:val="left"/>
        <w:textAlignment w:val="baseline"/>
        <w:rPr>
          <w:rFonts w:ascii="宋体"/>
          <w:b/>
          <w:bCs/>
          <w:color w:val="auto"/>
          <w:sz w:val="32"/>
          <w:szCs w:val="32"/>
          <w:highlight w:val="none"/>
        </w:rPr>
      </w:pPr>
    </w:p>
    <w:p>
      <w:pPr>
        <w:pStyle w:val="3"/>
        <w:keepNext w:val="0"/>
        <w:keepLines w:val="0"/>
        <w:widowControl/>
        <w:spacing w:before="0" w:after="0" w:line="225" w:lineRule="atLeast"/>
        <w:jc w:val="center"/>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关于泰顺县城区生活垃圾再生资源回收利用采购项目的招标公告</w:t>
      </w: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089" w:type="dxa"/>
          </w:tcPr>
          <w:p>
            <w:pPr>
              <w:pStyle w:val="27"/>
              <w:ind w:firstLine="0"/>
              <w:rPr>
                <w:rFonts w:ascii="宋体" w:hAnsi="宋体" w:cs="宋体"/>
                <w:color w:val="auto"/>
                <w:sz w:val="22"/>
                <w:szCs w:val="22"/>
                <w:highlight w:val="none"/>
              </w:rPr>
            </w:pPr>
            <w:r>
              <w:rPr>
                <w:rFonts w:hint="eastAsia" w:ascii="宋体" w:hAnsi="宋体" w:cs="宋体"/>
                <w:color w:val="auto"/>
                <w:sz w:val="22"/>
                <w:szCs w:val="22"/>
                <w:highlight w:val="none"/>
              </w:rPr>
              <w:t>项目概况：</w:t>
            </w:r>
          </w:p>
          <w:p>
            <w:pPr>
              <w:pStyle w:val="27"/>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泰顺县城区生活垃圾再生资源回收利用采购项目</w:t>
            </w:r>
            <w:r>
              <w:rPr>
                <w:rFonts w:hint="eastAsia" w:hAnsi="宋体" w:cs="宋体"/>
                <w:color w:val="auto"/>
                <w:sz w:val="22"/>
                <w:szCs w:val="22"/>
                <w:highlight w:val="none"/>
                <w:u w:val="single"/>
              </w:rPr>
              <w:t xml:space="preserve"> </w:t>
            </w:r>
            <w:r>
              <w:rPr>
                <w:rFonts w:hint="eastAsia" w:ascii="宋体" w:hAnsi="宋体" w:cs="宋体"/>
                <w:color w:val="auto"/>
                <w:sz w:val="22"/>
                <w:szCs w:val="22"/>
                <w:highlight w:val="none"/>
              </w:rPr>
              <w:t>招标项目的潜在投标人应在</w:t>
            </w:r>
            <w:r>
              <w:rPr>
                <w:rFonts w:hint="eastAsia" w:ascii="宋体" w:hAnsi="宋体" w:cs="宋体"/>
                <w:color w:val="auto"/>
                <w:sz w:val="22"/>
                <w:szCs w:val="22"/>
                <w:highlight w:val="none"/>
                <w:u w:val="single"/>
              </w:rPr>
              <w:t>政采云平台（http://zfcg.czt.zj.gov.cn）</w:t>
            </w:r>
            <w:r>
              <w:rPr>
                <w:rFonts w:hint="eastAsia" w:ascii="宋体" w:hAnsi="宋体" w:cs="宋体"/>
                <w:color w:val="auto"/>
                <w:sz w:val="22"/>
                <w:szCs w:val="22"/>
                <w:highlight w:val="none"/>
              </w:rPr>
              <w:t>获取（下载）招标文件，并于</w:t>
            </w:r>
            <w:r>
              <w:rPr>
                <w:rFonts w:hint="eastAsia" w:ascii="宋体" w:hAnsi="宋体" w:cs="宋体"/>
                <w:color w:val="auto"/>
                <w:sz w:val="22"/>
                <w:szCs w:val="22"/>
                <w:highlight w:val="none"/>
                <w:u w:val="single"/>
                <w:lang w:eastAsia="zh-CN"/>
              </w:rPr>
              <w:t>2023年3月2日</w:t>
            </w:r>
            <w:r>
              <w:rPr>
                <w:rFonts w:hint="eastAsia" w:ascii="宋体" w:hAnsi="宋体" w:cs="宋体"/>
                <w:color w:val="auto"/>
                <w:sz w:val="22"/>
                <w:szCs w:val="22"/>
                <w:highlight w:val="none"/>
                <w:u w:val="single"/>
              </w:rPr>
              <w:t>09点</w:t>
            </w:r>
            <w:r>
              <w:rPr>
                <w:rFonts w:hint="eastAsia" w:hAnsi="宋体" w:cs="宋体"/>
                <w:color w:val="auto"/>
                <w:sz w:val="22"/>
                <w:szCs w:val="22"/>
                <w:highlight w:val="none"/>
                <w:u w:val="single"/>
              </w:rPr>
              <w:t>00</w:t>
            </w:r>
            <w:r>
              <w:rPr>
                <w:rFonts w:hint="eastAsia" w:ascii="宋体" w:hAnsi="宋体" w:cs="宋体"/>
                <w:color w:val="auto"/>
                <w:sz w:val="22"/>
                <w:szCs w:val="22"/>
                <w:highlight w:val="none"/>
                <w:u w:val="single"/>
              </w:rPr>
              <w:t>分（北京时间）</w:t>
            </w:r>
            <w:r>
              <w:rPr>
                <w:rFonts w:hint="eastAsia" w:ascii="宋体" w:hAnsi="宋体" w:cs="宋体"/>
                <w:color w:val="auto"/>
                <w:sz w:val="22"/>
                <w:szCs w:val="22"/>
                <w:highlight w:val="none"/>
              </w:rPr>
              <w:t>前递交（上传）投标文件。</w:t>
            </w:r>
          </w:p>
        </w:tc>
      </w:tr>
    </w:tbl>
    <w:p>
      <w:pPr>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一、项目基本情况                                            </w:t>
      </w:r>
    </w:p>
    <w:p>
      <w:pPr>
        <w:spacing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TSCG202302002</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项目名称：泰顺县城区生活垃圾再生资源回收利用采购项目 </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预算金额（元）：10662015</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最高限价（元）：10662015</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采购需求：</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标项名称: 泰顺县城区生活垃圾再生资源回收利用采购项目 </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数量：1</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预算金额（元）：10662015</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简要规格描述或项目基本概况介绍、用途：详见招标文件第二部分采购内容及要求。</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备注：</w:t>
      </w:r>
    </w:p>
    <w:p>
      <w:pPr>
        <w:pStyle w:val="80"/>
        <w:spacing w:line="400" w:lineRule="exact"/>
        <w:rPr>
          <w:rFonts w:ascii="宋体" w:hAnsi="宋体" w:eastAsia="宋体" w:cs="宋体"/>
          <w:color w:val="auto"/>
          <w:sz w:val="22"/>
          <w:szCs w:val="22"/>
          <w:highlight w:val="none"/>
        </w:rPr>
      </w:pP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合同履约期限：标项 1，详见招标文件。  </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本项目（否）接受联合体投标。</w:t>
      </w:r>
    </w:p>
    <w:p>
      <w:pPr>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二、申请人的资格要求：</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2.落实政府采购政策需满足的资格要求：无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3.本项目的特定资格要求：无</w:t>
      </w:r>
    </w:p>
    <w:p>
      <w:pPr>
        <w:spacing w:line="400" w:lineRule="exact"/>
        <w:rPr>
          <w:rFonts w:ascii="宋体" w:hAnsi="宋体" w:cs="宋体"/>
          <w:color w:val="auto"/>
          <w:sz w:val="22"/>
          <w:szCs w:val="22"/>
          <w:highlight w:val="none"/>
        </w:rPr>
      </w:pPr>
      <w:r>
        <w:rPr>
          <w:rFonts w:hint="eastAsia" w:ascii="宋体" w:hAnsi="宋体" w:cs="宋体"/>
          <w:b/>
          <w:bCs/>
          <w:color w:val="auto"/>
          <w:sz w:val="22"/>
          <w:szCs w:val="22"/>
          <w:highlight w:val="none"/>
        </w:rPr>
        <w:t>三、获取招标文件</w:t>
      </w:r>
      <w:r>
        <w:rPr>
          <w:rFonts w:hint="eastAsia" w:ascii="宋体" w:hAnsi="宋体" w:cs="宋体"/>
          <w:color w:val="auto"/>
          <w:sz w:val="22"/>
          <w:szCs w:val="22"/>
          <w:highlight w:val="none"/>
        </w:rPr>
        <w:t xml:space="preserve">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时间：/至</w:t>
      </w:r>
      <w:r>
        <w:rPr>
          <w:rFonts w:hint="eastAsia" w:ascii="宋体" w:hAnsi="宋体" w:cs="宋体"/>
          <w:color w:val="auto"/>
          <w:sz w:val="22"/>
          <w:szCs w:val="22"/>
          <w:highlight w:val="none"/>
          <w:lang w:eastAsia="zh-CN"/>
        </w:rPr>
        <w:t>2023年3月2日</w:t>
      </w:r>
      <w:r>
        <w:rPr>
          <w:rFonts w:hint="eastAsia" w:ascii="宋体" w:hAnsi="宋体" w:cs="宋体"/>
          <w:color w:val="auto"/>
          <w:sz w:val="22"/>
          <w:szCs w:val="22"/>
          <w:highlight w:val="none"/>
        </w:rPr>
        <w:t xml:space="preserve"> ，每天上午00:00至12:00 ，下午12:00至23:59（北京时间，线上获取法定节假日均可，线下获取文件法定节假日除外）</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地点（网址）：政采云平台（http://zfcg.czt.zj.gov.cn）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方式：线上获取 </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售价（元）：0 </w:t>
      </w:r>
    </w:p>
    <w:p>
      <w:pPr>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四、提交投标文件截止时间、开标时间和地点</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1、投标截止时间：</w:t>
      </w:r>
      <w:r>
        <w:rPr>
          <w:rFonts w:hint="eastAsia" w:ascii="宋体" w:hAnsi="宋体" w:cs="宋体"/>
          <w:color w:val="auto"/>
          <w:sz w:val="22"/>
          <w:szCs w:val="22"/>
          <w:highlight w:val="none"/>
          <w:lang w:eastAsia="zh-CN"/>
        </w:rPr>
        <w:t>2023年3月2日</w:t>
      </w:r>
      <w:r>
        <w:rPr>
          <w:rFonts w:hint="eastAsia" w:ascii="宋体" w:hAnsi="宋体" w:cs="宋体"/>
          <w:color w:val="auto"/>
          <w:sz w:val="22"/>
          <w:szCs w:val="22"/>
          <w:highlight w:val="none"/>
        </w:rPr>
        <w:t>09点00分（北京时间）</w:t>
      </w:r>
    </w:p>
    <w:p>
      <w:pPr>
        <w:spacing w:line="400" w:lineRule="exact"/>
        <w:rPr>
          <w:rFonts w:ascii="宋体" w:hAnsi="宋体" w:cs="宋体"/>
          <w:color w:val="auto"/>
          <w:sz w:val="22"/>
          <w:szCs w:val="22"/>
          <w:highlight w:val="none"/>
        </w:rPr>
      </w:pPr>
      <w:bookmarkStart w:id="2" w:name="_Toc28359084"/>
      <w:bookmarkStart w:id="3" w:name="_Toc35393625"/>
      <w:bookmarkStart w:id="4" w:name="_Toc35393794"/>
      <w:bookmarkStart w:id="5" w:name="_Toc28359007"/>
      <w:r>
        <w:rPr>
          <w:rFonts w:hint="eastAsia" w:ascii="宋体" w:hAnsi="宋体" w:cs="宋体"/>
          <w:color w:val="auto"/>
          <w:sz w:val="22"/>
          <w:szCs w:val="22"/>
          <w:highlight w:val="none"/>
        </w:rPr>
        <w:t>2、投标地点(网址）：“政府采购云平台（http://zfcg.czt.zj.gov.cn/）”在线递交</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3、开标时间：</w:t>
      </w:r>
      <w:r>
        <w:rPr>
          <w:rFonts w:hint="eastAsia" w:ascii="宋体" w:hAnsi="宋体" w:cs="宋体"/>
          <w:color w:val="auto"/>
          <w:sz w:val="22"/>
          <w:szCs w:val="22"/>
          <w:highlight w:val="none"/>
          <w:lang w:eastAsia="zh-CN"/>
        </w:rPr>
        <w:t>2023年3月2日</w:t>
      </w:r>
      <w:r>
        <w:rPr>
          <w:rFonts w:hint="eastAsia" w:ascii="宋体" w:hAnsi="宋体" w:cs="宋体"/>
          <w:color w:val="auto"/>
          <w:sz w:val="22"/>
          <w:szCs w:val="22"/>
          <w:highlight w:val="none"/>
        </w:rPr>
        <w:t>09点00分</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4、开评标地点（网址）：“政府采购云平台（http://zfcg.czt.zj.gov.cn/）”在线开标</w:t>
      </w:r>
    </w:p>
    <w:p>
      <w:pPr>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五、公告期限</w:t>
      </w:r>
      <w:bookmarkEnd w:id="2"/>
      <w:bookmarkEnd w:id="3"/>
      <w:bookmarkEnd w:id="4"/>
      <w:bookmarkEnd w:id="5"/>
    </w:p>
    <w:p>
      <w:pPr>
        <w:spacing w:line="40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自本公告发布之日起5个工作日。</w:t>
      </w:r>
    </w:p>
    <w:p>
      <w:pPr>
        <w:spacing w:line="400" w:lineRule="exact"/>
        <w:rPr>
          <w:rFonts w:ascii="宋体" w:hAnsi="宋体" w:cs="宋体"/>
          <w:b/>
          <w:bCs/>
          <w:color w:val="auto"/>
          <w:sz w:val="22"/>
          <w:szCs w:val="22"/>
          <w:highlight w:val="none"/>
        </w:rPr>
      </w:pPr>
      <w:bookmarkStart w:id="6" w:name="_Toc35393795"/>
      <w:bookmarkStart w:id="7" w:name="_Toc35393626"/>
      <w:r>
        <w:rPr>
          <w:rFonts w:hint="eastAsia" w:ascii="宋体" w:hAnsi="宋体" w:cs="宋体"/>
          <w:b/>
          <w:bCs/>
          <w:color w:val="auto"/>
          <w:sz w:val="22"/>
          <w:szCs w:val="22"/>
          <w:highlight w:val="none"/>
        </w:rPr>
        <w:t>六、其他补充事宜</w:t>
      </w:r>
      <w:bookmarkEnd w:id="6"/>
      <w:bookmarkEnd w:id="7"/>
    </w:p>
    <w:p>
      <w:pPr>
        <w:spacing w:line="400" w:lineRule="exact"/>
        <w:rPr>
          <w:rFonts w:ascii="宋体" w:hAnsi="宋体" w:cs="宋体"/>
          <w:color w:val="auto"/>
          <w:sz w:val="22"/>
          <w:szCs w:val="22"/>
          <w:highlight w:val="none"/>
        </w:rPr>
      </w:pPr>
      <w:bookmarkStart w:id="8" w:name="_Toc28359008"/>
      <w:bookmarkStart w:id="9" w:name="_Toc28359085"/>
      <w:bookmarkStart w:id="10" w:name="_Toc35393627"/>
      <w:bookmarkStart w:id="11" w:name="_Toc35393796"/>
      <w:r>
        <w:rPr>
          <w:rFonts w:hint="eastAsia" w:ascii="宋体" w:hAnsi="宋体" w:cs="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3.其他事项：</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rPr>
        <w:t> 。</w:t>
      </w:r>
    </w:p>
    <w:p>
      <w:pPr>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七、</w:t>
      </w:r>
      <w:bookmarkEnd w:id="8"/>
      <w:bookmarkEnd w:id="9"/>
      <w:bookmarkEnd w:id="10"/>
      <w:bookmarkEnd w:id="11"/>
      <w:r>
        <w:rPr>
          <w:rFonts w:hint="eastAsia" w:ascii="宋体" w:hAnsi="宋体" w:cs="宋体"/>
          <w:b/>
          <w:bCs/>
          <w:color w:val="auto"/>
          <w:sz w:val="22"/>
          <w:szCs w:val="22"/>
          <w:highlight w:val="none"/>
        </w:rPr>
        <w:t>对本次采购提出询问、质疑、投诉，请按以下方式联系</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1.采购人信息</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名称：泰顺县综合行政执法局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地址：温州市泰顺</w:t>
      </w:r>
      <w:bookmarkStart w:id="71" w:name="_GoBack"/>
      <w:bookmarkEnd w:id="71"/>
      <w:r>
        <w:rPr>
          <w:rFonts w:hint="eastAsia" w:ascii="宋体" w:hAnsi="宋体" w:cs="宋体"/>
          <w:color w:val="auto"/>
          <w:sz w:val="22"/>
          <w:szCs w:val="22"/>
          <w:highlight w:val="none"/>
        </w:rPr>
        <w:t>县罗阳镇廊桥大道76号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传真：/  </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项目联系人（询问）：</w:t>
      </w:r>
      <w:r>
        <w:rPr>
          <w:rFonts w:hint="eastAsia" w:ascii="宋体" w:hAnsi="宋体" w:eastAsia="宋体" w:cs="宋体"/>
          <w:color w:val="auto"/>
          <w:sz w:val="22"/>
          <w:szCs w:val="22"/>
          <w:highlight w:val="none"/>
        </w:rPr>
        <w:t>欧阳曙   </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项目联系方式（询问）：0577-67616099 </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质疑联系人：林微微 </w:t>
      </w:r>
    </w:p>
    <w:p>
      <w:pPr>
        <w:spacing w:line="400" w:lineRule="exact"/>
        <w:rPr>
          <w:rFonts w:ascii="宋体" w:hAnsi="宋体" w:cs="宋体"/>
          <w:color w:val="auto"/>
          <w:sz w:val="22"/>
          <w:szCs w:val="22"/>
          <w:highlight w:val="none"/>
        </w:rPr>
      </w:pPr>
      <w:r>
        <w:rPr>
          <w:rFonts w:hint="eastAsia" w:ascii="宋体" w:hAnsi="宋体" w:eastAsia="宋体" w:cs="宋体"/>
          <w:color w:val="auto"/>
          <w:sz w:val="22"/>
          <w:szCs w:val="22"/>
          <w:highlight w:val="none"/>
        </w:rPr>
        <w:t>质疑联系方式：0577-67616099</w:t>
      </w:r>
      <w:r>
        <w:rPr>
          <w:rFonts w:hint="eastAsia" w:ascii="宋体" w:hAnsi="宋体" w:cs="宋体"/>
          <w:color w:val="auto"/>
          <w:sz w:val="22"/>
          <w:szCs w:val="22"/>
          <w:highlight w:val="none"/>
        </w:rPr>
        <w:t xml:space="preserve">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2.采购代理机构信息</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名称：泰顺县公共资源交易中心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地址：温州市泰顺县罗阳镇新城大道123号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传真：/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项目联系人（询问）：吴华兵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项目联系方式（询问）：0577-67592508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质疑联系人：叶阿明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质疑联系方式：0577-67592508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3.同级政府采购监督管理部门</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名称：泰顺县财政局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地址：温州市泰顺县罗阳镇公园路48号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传真：/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联系人 ：董青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监督投诉电话：0577-67588502</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w:t>
      </w: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lang w:val="zh-CN"/>
        </w:rPr>
      </w:pPr>
      <w:r>
        <w:rPr>
          <w:rFonts w:hint="eastAsia" w:ascii="宋体"/>
          <w:b/>
          <w:bCs/>
          <w:color w:val="auto"/>
          <w:sz w:val="32"/>
          <w:szCs w:val="32"/>
          <w:highlight w:val="none"/>
        </w:rPr>
        <w:t>第</w:t>
      </w:r>
      <w:r>
        <w:rPr>
          <w:rFonts w:hint="eastAsia" w:ascii="宋体"/>
          <w:b/>
          <w:bCs/>
          <w:color w:val="auto"/>
          <w:sz w:val="32"/>
          <w:szCs w:val="32"/>
          <w:highlight w:val="none"/>
          <w:lang w:val="zh-CN"/>
        </w:rPr>
        <w:t>一部分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投标邀请函（投标须知前附表）</w:t>
      </w:r>
      <w:bookmarkEnd w:id="1"/>
    </w:p>
    <w:tbl>
      <w:tblPr>
        <w:tblStyle w:val="28"/>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4" w:hRule="atLeast"/>
          <w:jc w:val="center"/>
        </w:trPr>
        <w:tc>
          <w:tcPr>
            <w:tcW w:w="952" w:type="dxa"/>
            <w:tcBorders>
              <w:top w:val="single" w:color="auto" w:sz="12" w:space="0"/>
            </w:tcBorders>
            <w:vAlign w:val="center"/>
          </w:tcPr>
          <w:p>
            <w:pPr>
              <w:spacing w:line="400" w:lineRule="atLeast"/>
              <w:jc w:val="right"/>
              <w:rPr>
                <w:rFonts w:ascii="宋体" w:cs="Arial"/>
                <w:color w:val="auto"/>
                <w:sz w:val="22"/>
                <w:szCs w:val="22"/>
                <w:highlight w:val="none"/>
              </w:rPr>
            </w:pPr>
            <w:r>
              <w:rPr>
                <w:rFonts w:hint="eastAsia" w:ascii="宋体" w:cs="Arial"/>
                <w:color w:val="auto"/>
                <w:sz w:val="22"/>
                <w:szCs w:val="22"/>
                <w:highlight w:val="none"/>
              </w:rPr>
              <w:t>项号</w:t>
            </w:r>
          </w:p>
        </w:tc>
        <w:tc>
          <w:tcPr>
            <w:tcW w:w="1600" w:type="dxa"/>
            <w:tcBorders>
              <w:top w:val="single" w:color="auto" w:sz="12" w:space="0"/>
            </w:tcBorders>
            <w:vAlign w:val="center"/>
          </w:tcPr>
          <w:p>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内容</w:t>
            </w:r>
          </w:p>
        </w:tc>
        <w:tc>
          <w:tcPr>
            <w:tcW w:w="7619" w:type="dxa"/>
            <w:tcBorders>
              <w:top w:val="single" w:color="auto" w:sz="12" w:space="0"/>
            </w:tcBorders>
            <w:vAlign w:val="center"/>
          </w:tcPr>
          <w:p>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rPr>
                <w:rFonts w:ascii="宋体" w:cs="Arial"/>
                <w:color w:val="auto"/>
                <w:sz w:val="22"/>
                <w:szCs w:val="22"/>
                <w:highlight w:val="none"/>
              </w:rPr>
            </w:pPr>
            <w:r>
              <w:rPr>
                <w:rFonts w:hint="eastAsia" w:ascii="宋体" w:cs="Arial"/>
                <w:color w:val="auto"/>
                <w:sz w:val="22"/>
                <w:szCs w:val="22"/>
                <w:highlight w:val="none"/>
              </w:rPr>
              <w:t>项目名称</w:t>
            </w:r>
          </w:p>
        </w:tc>
        <w:tc>
          <w:tcPr>
            <w:tcW w:w="7619" w:type="dxa"/>
            <w:vAlign w:val="center"/>
          </w:tcPr>
          <w:p>
            <w:pPr>
              <w:rPr>
                <w:rFonts w:ascii="宋体"/>
                <w:color w:val="auto"/>
                <w:sz w:val="22"/>
                <w:szCs w:val="22"/>
                <w:highlight w:val="none"/>
              </w:rPr>
            </w:pPr>
            <w:r>
              <w:rPr>
                <w:rFonts w:hint="eastAsia" w:ascii="宋体" w:cs="Arial"/>
                <w:color w:val="auto"/>
                <w:sz w:val="22"/>
                <w:szCs w:val="22"/>
                <w:highlight w:val="none"/>
              </w:rPr>
              <w:t>泰顺县城区生活垃圾再生资源回收利用采购项目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600" w:type="dxa"/>
            <w:vAlign w:val="center"/>
          </w:tcPr>
          <w:p>
            <w:pPr>
              <w:rPr>
                <w:rFonts w:ascii="宋体"/>
                <w:color w:val="auto"/>
                <w:sz w:val="22"/>
                <w:szCs w:val="22"/>
                <w:highlight w:val="none"/>
              </w:rPr>
            </w:pPr>
            <w:r>
              <w:rPr>
                <w:rFonts w:hint="eastAsia" w:ascii="宋体"/>
                <w:color w:val="auto"/>
                <w:sz w:val="22"/>
                <w:szCs w:val="22"/>
                <w:highlight w:val="none"/>
              </w:rPr>
              <w:t>项目编号</w:t>
            </w:r>
          </w:p>
        </w:tc>
        <w:tc>
          <w:tcPr>
            <w:tcW w:w="7619" w:type="dxa"/>
            <w:vAlign w:val="center"/>
          </w:tcPr>
          <w:p>
            <w:pPr>
              <w:rPr>
                <w:rFonts w:hint="eastAsia" w:ascii="宋体" w:eastAsia="宋体"/>
                <w:color w:val="auto"/>
                <w:sz w:val="22"/>
                <w:szCs w:val="22"/>
                <w:highlight w:val="none"/>
                <w:lang w:eastAsia="zh-CN"/>
              </w:rPr>
            </w:pPr>
            <w:r>
              <w:rPr>
                <w:rFonts w:hint="eastAsia" w:ascii="宋体"/>
                <w:color w:val="auto"/>
                <w:sz w:val="22"/>
                <w:szCs w:val="22"/>
                <w:highlight w:val="none"/>
                <w:lang w:eastAsia="zh-CN"/>
              </w:rPr>
              <w:t>TSCG202302002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rPr>
                <w:rFonts w:ascii="宋体" w:cs="Arial"/>
                <w:color w:val="auto"/>
                <w:sz w:val="22"/>
                <w:szCs w:val="22"/>
                <w:highlight w:val="none"/>
              </w:rPr>
            </w:pPr>
            <w:r>
              <w:rPr>
                <w:rFonts w:hint="eastAsia" w:ascii="宋体"/>
                <w:color w:val="auto"/>
                <w:sz w:val="22"/>
                <w:szCs w:val="22"/>
                <w:highlight w:val="none"/>
              </w:rPr>
              <w:t>资金来源</w:t>
            </w:r>
          </w:p>
        </w:tc>
        <w:tc>
          <w:tcPr>
            <w:tcW w:w="7619" w:type="dxa"/>
            <w:vAlign w:val="center"/>
          </w:tcPr>
          <w:p>
            <w:pPr>
              <w:rPr>
                <w:rFonts w:ascii="宋体" w:cs="Arial"/>
                <w:color w:val="auto"/>
                <w:sz w:val="22"/>
                <w:szCs w:val="22"/>
                <w:highlight w:val="none"/>
              </w:rPr>
            </w:pPr>
            <w:r>
              <w:rPr>
                <w:rFonts w:hint="eastAsia" w:ascii="宋体"/>
                <w:color w:val="auto"/>
                <w:sz w:val="22"/>
                <w:szCs w:val="22"/>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rPr>
                <w:rFonts w:ascii="宋体"/>
                <w:color w:val="auto"/>
                <w:sz w:val="22"/>
                <w:szCs w:val="22"/>
                <w:highlight w:val="none"/>
              </w:rPr>
            </w:pPr>
            <w:r>
              <w:rPr>
                <w:rFonts w:hint="eastAsia" w:ascii="宋体"/>
                <w:color w:val="auto"/>
                <w:sz w:val="22"/>
                <w:szCs w:val="22"/>
                <w:highlight w:val="none"/>
              </w:rPr>
              <w:t>采购方式</w:t>
            </w:r>
          </w:p>
        </w:tc>
        <w:tc>
          <w:tcPr>
            <w:tcW w:w="7619" w:type="dxa"/>
            <w:vAlign w:val="center"/>
          </w:tcPr>
          <w:p>
            <w:pPr>
              <w:rPr>
                <w:rFonts w:ascii="宋体"/>
                <w:color w:val="auto"/>
                <w:sz w:val="22"/>
                <w:szCs w:val="22"/>
                <w:highlight w:val="none"/>
              </w:rPr>
            </w:pPr>
            <w:r>
              <w:rPr>
                <w:rFonts w:hint="eastAsia" w:ascii="宋体"/>
                <w:color w:val="auto"/>
                <w:sz w:val="22"/>
                <w:szCs w:val="22"/>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2"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rPr>
                <w:rFonts w:ascii="宋体" w:cs="宋体"/>
                <w:color w:val="auto"/>
                <w:sz w:val="22"/>
                <w:szCs w:val="22"/>
                <w:highlight w:val="none"/>
              </w:rPr>
            </w:pPr>
            <w:r>
              <w:rPr>
                <w:rFonts w:hint="eastAsia" w:ascii="宋体" w:hAnsi="宋体" w:cs="宋体"/>
                <w:color w:val="auto"/>
                <w:sz w:val="22"/>
                <w:szCs w:val="22"/>
                <w:highlight w:val="none"/>
              </w:rPr>
              <w:t>采购预算（最高限价）</w:t>
            </w:r>
          </w:p>
        </w:tc>
        <w:tc>
          <w:tcPr>
            <w:tcW w:w="7619" w:type="dxa"/>
            <w:vAlign w:val="center"/>
          </w:tcPr>
          <w:p>
            <w:pPr>
              <w:rPr>
                <w:rFonts w:ascii="宋体" w:cs="宋体"/>
                <w:color w:val="auto"/>
                <w:sz w:val="22"/>
                <w:szCs w:val="22"/>
                <w:highlight w:val="none"/>
              </w:rPr>
            </w:pPr>
            <w:r>
              <w:rPr>
                <w:rFonts w:hint="eastAsia" w:ascii="宋体" w:cs="宋体"/>
                <w:color w:val="auto"/>
                <w:sz w:val="22"/>
                <w:szCs w:val="22"/>
                <w:highlight w:val="none"/>
              </w:rPr>
              <w:t>10662015元人民币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adjustRightInd w:val="0"/>
              <w:rPr>
                <w:rFonts w:ascii="宋体" w:hAnsi="宋体" w:cs="宋体"/>
                <w:color w:val="auto"/>
                <w:sz w:val="22"/>
                <w:szCs w:val="22"/>
                <w:highlight w:val="none"/>
              </w:rPr>
            </w:pPr>
            <w:r>
              <w:rPr>
                <w:rFonts w:hint="eastAsia" w:ascii="宋体" w:hAnsi="宋体" w:cs="宋体"/>
                <w:color w:val="auto"/>
                <w:sz w:val="22"/>
                <w:highlight w:val="none"/>
              </w:rPr>
              <w:t>采购人</w:t>
            </w:r>
          </w:p>
        </w:tc>
        <w:tc>
          <w:tcPr>
            <w:tcW w:w="7619" w:type="dxa"/>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20"/>
                <w:tab w:val="clear" w:pos="720"/>
              </w:tabs>
              <w:ind w:left="420" w:right="105"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600" w:type="dxa"/>
            <w:vAlign w:val="center"/>
          </w:tcPr>
          <w:p>
            <w:pPr>
              <w:tabs>
                <w:tab w:val="left" w:pos="1069"/>
              </w:tabs>
              <w:jc w:val="center"/>
              <w:rPr>
                <w:rFonts w:ascii="宋体"/>
                <w:color w:val="auto"/>
                <w:sz w:val="22"/>
                <w:szCs w:val="22"/>
                <w:highlight w:val="none"/>
              </w:rPr>
            </w:pPr>
            <w:r>
              <w:rPr>
                <w:rFonts w:hint="eastAsia" w:ascii="宋体" w:hAnsi="宋体" w:cs="宋体"/>
                <w:color w:val="auto"/>
                <w:sz w:val="22"/>
                <w:highlight w:val="none"/>
              </w:rPr>
              <w:t>招标代理机构</w:t>
            </w:r>
          </w:p>
        </w:tc>
        <w:tc>
          <w:tcPr>
            <w:tcW w:w="7619" w:type="dxa"/>
            <w:vAlign w:val="center"/>
          </w:tcPr>
          <w:p>
            <w:pPr>
              <w:tabs>
                <w:tab w:val="left" w:pos="1069"/>
              </w:tabs>
              <w:adjustRightInd w:val="0"/>
              <w:jc w:val="left"/>
              <w:rPr>
                <w:rFonts w:ascii="宋体"/>
                <w:color w:val="auto"/>
                <w:sz w:val="22"/>
                <w:szCs w:val="22"/>
                <w:highlight w:val="none"/>
              </w:rPr>
            </w:pPr>
            <w:r>
              <w:rPr>
                <w:rFonts w:hint="eastAsia" w:ascii="宋体" w:hAnsi="宋体" w:cs="宋体"/>
                <w:color w:val="auto"/>
                <w:sz w:val="22"/>
                <w:szCs w:val="22"/>
                <w:highlight w:val="none"/>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20"/>
                <w:tab w:val="clear" w:pos="720"/>
              </w:tabs>
              <w:ind w:left="420" w:right="105" w:hanging="420"/>
              <w:jc w:val="right"/>
              <w:rPr>
                <w:rFonts w:ascii="宋体" w:cs="Arial"/>
                <w:color w:val="auto"/>
                <w:sz w:val="22"/>
                <w:szCs w:val="22"/>
                <w:highlight w:val="none"/>
              </w:rPr>
            </w:pPr>
          </w:p>
        </w:tc>
        <w:tc>
          <w:tcPr>
            <w:tcW w:w="1600" w:type="dxa"/>
            <w:vAlign w:val="center"/>
          </w:tcPr>
          <w:p>
            <w:pPr>
              <w:rPr>
                <w:rFonts w:ascii="宋体" w:cs="Arial"/>
                <w:color w:val="auto"/>
                <w:sz w:val="22"/>
                <w:szCs w:val="22"/>
                <w:highlight w:val="none"/>
              </w:rPr>
            </w:pPr>
            <w:r>
              <w:rPr>
                <w:rFonts w:hint="eastAsia" w:ascii="宋体" w:cs="Arial"/>
                <w:color w:val="auto"/>
                <w:sz w:val="22"/>
                <w:szCs w:val="22"/>
                <w:highlight w:val="none"/>
              </w:rPr>
              <w:t>评标办法</w:t>
            </w:r>
          </w:p>
        </w:tc>
        <w:tc>
          <w:tcPr>
            <w:tcW w:w="7619" w:type="dxa"/>
            <w:vAlign w:val="center"/>
          </w:tcPr>
          <w:p>
            <w:pPr>
              <w:adjustRightInd w:val="0"/>
              <w:rPr>
                <w:rFonts w:ascii="宋体"/>
                <w:color w:val="auto"/>
                <w:sz w:val="22"/>
                <w:szCs w:val="22"/>
                <w:highlight w:val="none"/>
              </w:rPr>
            </w:pPr>
            <w:r>
              <w:rPr>
                <w:rFonts w:hint="eastAsia" w:ascii="宋体"/>
                <w:color w:val="auto"/>
                <w:sz w:val="22"/>
                <w:szCs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rPr>
                <w:rFonts w:ascii="宋体" w:cs="Arial"/>
                <w:color w:val="auto"/>
                <w:sz w:val="22"/>
                <w:szCs w:val="22"/>
                <w:highlight w:val="none"/>
              </w:rPr>
            </w:pPr>
            <w:r>
              <w:rPr>
                <w:rFonts w:hint="eastAsia" w:ascii="宋体" w:cs="Arial"/>
                <w:color w:val="auto"/>
                <w:sz w:val="22"/>
                <w:szCs w:val="22"/>
                <w:highlight w:val="none"/>
              </w:rPr>
              <w:t>招标内容</w:t>
            </w:r>
          </w:p>
        </w:tc>
        <w:tc>
          <w:tcPr>
            <w:tcW w:w="7619" w:type="dxa"/>
            <w:vAlign w:val="center"/>
          </w:tcPr>
          <w:p>
            <w:pPr>
              <w:adjustRightInd w:val="0"/>
              <w:rPr>
                <w:rFonts w:ascii="宋体"/>
                <w:color w:val="auto"/>
                <w:sz w:val="22"/>
                <w:szCs w:val="22"/>
                <w:highlight w:val="none"/>
              </w:rPr>
            </w:pPr>
            <w:r>
              <w:rPr>
                <w:rFonts w:hint="eastAsia" w:ascii="宋体"/>
                <w:color w:val="auto"/>
                <w:sz w:val="22"/>
                <w:szCs w:val="22"/>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left"/>
              <w:rPr>
                <w:rFonts w:ascii="宋体"/>
                <w:color w:val="auto"/>
                <w:sz w:val="22"/>
                <w:szCs w:val="22"/>
                <w:highlight w:val="none"/>
              </w:rPr>
            </w:pPr>
            <w:r>
              <w:rPr>
                <w:rFonts w:hint="eastAsia" w:ascii="宋体"/>
                <w:color w:val="auto"/>
                <w:sz w:val="22"/>
                <w:szCs w:val="22"/>
                <w:highlight w:val="none"/>
              </w:rPr>
              <w:t>投标供应商</w:t>
            </w:r>
          </w:p>
          <w:p>
            <w:pPr>
              <w:jc w:val="left"/>
              <w:rPr>
                <w:rFonts w:ascii="宋体"/>
                <w:color w:val="auto"/>
                <w:sz w:val="22"/>
                <w:szCs w:val="22"/>
                <w:highlight w:val="none"/>
              </w:rPr>
            </w:pPr>
            <w:r>
              <w:rPr>
                <w:rFonts w:hint="eastAsia" w:ascii="宋体"/>
                <w:color w:val="auto"/>
                <w:sz w:val="22"/>
                <w:szCs w:val="22"/>
                <w:highlight w:val="none"/>
              </w:rPr>
              <w:t>资格要求</w:t>
            </w:r>
          </w:p>
        </w:tc>
        <w:tc>
          <w:tcPr>
            <w:tcW w:w="7619" w:type="dxa"/>
            <w:vAlign w:val="center"/>
          </w:tcPr>
          <w:p>
            <w:pPr>
              <w:jc w:val="left"/>
              <w:rPr>
                <w:rFonts w:ascii="宋体"/>
                <w:color w:val="auto"/>
                <w:sz w:val="22"/>
                <w:szCs w:val="22"/>
                <w:highlight w:val="none"/>
              </w:rPr>
            </w:pPr>
            <w:r>
              <w:rPr>
                <w:rFonts w:hint="eastAsia" w:ascii="宋体" w:hAnsi="宋体" w:cs="宋体"/>
                <w:color w:val="auto"/>
                <w:sz w:val="22"/>
                <w:szCs w:val="22"/>
                <w:highlight w:val="none"/>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adjustRightInd w:val="0"/>
              <w:rPr>
                <w:rFonts w:ascii="宋体"/>
                <w:color w:val="auto"/>
                <w:sz w:val="22"/>
                <w:szCs w:val="22"/>
                <w:highlight w:val="none"/>
              </w:rPr>
            </w:pPr>
            <w:r>
              <w:rPr>
                <w:rFonts w:hint="eastAsia" w:ascii="宋体"/>
                <w:color w:val="auto"/>
                <w:sz w:val="22"/>
                <w:szCs w:val="22"/>
                <w:highlight w:val="none"/>
              </w:rPr>
              <w:t>是否接受联合体投标</w:t>
            </w:r>
          </w:p>
        </w:tc>
        <w:tc>
          <w:tcPr>
            <w:tcW w:w="7619" w:type="dxa"/>
            <w:vAlign w:val="center"/>
          </w:tcPr>
          <w:p>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不接受</w:t>
            </w:r>
          </w:p>
          <w:p>
            <w:pPr>
              <w:adjustRightInd w:val="0"/>
              <w:rPr>
                <w:rFonts w:ascii="宋体"/>
                <w:color w:val="auto"/>
                <w:sz w:val="22"/>
                <w:szCs w:val="22"/>
                <w:highlight w:val="none"/>
              </w:rPr>
            </w:pPr>
            <w:r>
              <w:rPr>
                <w:rFonts w:hint="eastAsia" w:ascii="MS Gothic" w:hAnsi="MS Gothic" w:cs="MS Gothic"/>
                <w:color w:val="auto"/>
                <w:sz w:val="22"/>
                <w:szCs w:val="22"/>
                <w:highlight w:val="none"/>
              </w:rPr>
              <w:t>□</w:t>
            </w:r>
            <w:r>
              <w:rPr>
                <w:rFonts w:hint="eastAsia" w:ascii="宋体"/>
                <w:color w:val="auto"/>
                <w:sz w:val="22"/>
                <w:szCs w:val="22"/>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adjustRightInd w:val="0"/>
              <w:rPr>
                <w:rFonts w:ascii="宋体"/>
                <w:color w:val="auto"/>
                <w:sz w:val="22"/>
                <w:szCs w:val="22"/>
                <w:highlight w:val="none"/>
              </w:rPr>
            </w:pPr>
            <w:r>
              <w:rPr>
                <w:rFonts w:hint="eastAsia" w:ascii="宋体"/>
                <w:color w:val="auto"/>
                <w:sz w:val="22"/>
                <w:szCs w:val="22"/>
                <w:highlight w:val="none"/>
              </w:rPr>
              <w:t>踏勘现场</w:t>
            </w:r>
          </w:p>
        </w:tc>
        <w:tc>
          <w:tcPr>
            <w:tcW w:w="7619" w:type="dxa"/>
            <w:vAlign w:val="center"/>
          </w:tcPr>
          <w:p>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hint="eastAsia" w:ascii="宋体"/>
                <w:b/>
                <w:bCs/>
                <w:color w:val="auto"/>
                <w:position w:val="2"/>
                <w:sz w:val="15"/>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不组织：采购人不统一组织，供应商自行勘察现场。</w:t>
            </w:r>
          </w:p>
          <w:p>
            <w:pPr>
              <w:adjustRightInd w:val="0"/>
              <w:rPr>
                <w:rFonts w:ascii="宋体"/>
                <w:color w:val="auto"/>
                <w:sz w:val="22"/>
                <w:szCs w:val="22"/>
                <w:highlight w:val="none"/>
              </w:rPr>
            </w:pPr>
            <w:r>
              <w:rPr>
                <w:rFonts w:hint="eastAsia" w:ascii="宋体"/>
                <w:color w:val="auto"/>
                <w:sz w:val="22"/>
                <w:szCs w:val="22"/>
                <w:highlight w:val="none"/>
              </w:rPr>
              <w:t>□组织</w:t>
            </w:r>
            <w:r>
              <w:rPr>
                <w:rFonts w:ascii="宋体"/>
                <w:color w:val="auto"/>
                <w:sz w:val="22"/>
                <w:szCs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adjustRightInd w:val="0"/>
              <w:rPr>
                <w:rFonts w:ascii="宋体"/>
                <w:color w:val="auto"/>
                <w:sz w:val="22"/>
                <w:szCs w:val="22"/>
                <w:highlight w:val="none"/>
              </w:rPr>
            </w:pPr>
            <w:r>
              <w:rPr>
                <w:rFonts w:hint="eastAsia" w:ascii="宋体"/>
                <w:color w:val="auto"/>
                <w:sz w:val="22"/>
                <w:szCs w:val="22"/>
                <w:highlight w:val="none"/>
              </w:rPr>
              <w:t>是否允许递交备选投标方案</w:t>
            </w:r>
          </w:p>
        </w:tc>
        <w:tc>
          <w:tcPr>
            <w:tcW w:w="7619" w:type="dxa"/>
            <w:vAlign w:val="center"/>
          </w:tcPr>
          <w:p>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ascii="宋体"/>
                <w:color w:val="auto"/>
                <w:sz w:val="22"/>
                <w:szCs w:val="22"/>
                <w:highlight w:val="none"/>
              </w:rPr>
              <w:t xml:space="preserve"> </w:t>
            </w:r>
            <w:r>
              <w:rPr>
                <w:rFonts w:hint="eastAsia" w:ascii="宋体"/>
                <w:color w:val="auto"/>
                <w:sz w:val="22"/>
                <w:szCs w:val="22"/>
                <w:highlight w:val="none"/>
              </w:rPr>
              <w:t>不允许</w:t>
            </w:r>
          </w:p>
          <w:p>
            <w:pPr>
              <w:adjustRightInd w:val="0"/>
              <w:rPr>
                <w:rFonts w:ascii="宋体" w:cs="仿宋_GB2312"/>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 xml:space="preserve"> </w:t>
            </w:r>
            <w:r>
              <w:rPr>
                <w:rFonts w:hint="eastAsia" w:ascii="宋体"/>
                <w:color w:val="auto"/>
                <w:sz w:val="22"/>
                <w:szCs w:val="22"/>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adjustRightInd w:val="0"/>
              <w:rPr>
                <w:rFonts w:ascii="宋体"/>
                <w:color w:val="auto"/>
                <w:sz w:val="22"/>
                <w:szCs w:val="22"/>
                <w:highlight w:val="none"/>
              </w:rPr>
            </w:pPr>
            <w:r>
              <w:rPr>
                <w:rFonts w:hint="eastAsia" w:ascii="宋体"/>
                <w:color w:val="auto"/>
                <w:sz w:val="22"/>
                <w:szCs w:val="22"/>
                <w:highlight w:val="none"/>
              </w:rPr>
              <w:t>投标货币</w:t>
            </w:r>
          </w:p>
        </w:tc>
        <w:tc>
          <w:tcPr>
            <w:tcW w:w="7619" w:type="dxa"/>
            <w:vAlign w:val="center"/>
          </w:tcPr>
          <w:p>
            <w:pPr>
              <w:adjustRightInd w:val="0"/>
              <w:rPr>
                <w:rFonts w:ascii="宋体"/>
                <w:color w:val="auto"/>
                <w:sz w:val="22"/>
                <w:szCs w:val="22"/>
                <w:highlight w:val="none"/>
              </w:rPr>
            </w:pPr>
            <w:r>
              <w:rPr>
                <w:rFonts w:hint="eastAsia" w:ascii="宋体"/>
                <w:color w:val="auto"/>
                <w:sz w:val="22"/>
                <w:szCs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adjustRightInd w:val="0"/>
              <w:rPr>
                <w:rFonts w:ascii="宋体"/>
                <w:color w:val="auto"/>
                <w:sz w:val="22"/>
                <w:szCs w:val="22"/>
                <w:highlight w:val="none"/>
              </w:rPr>
            </w:pPr>
            <w:r>
              <w:rPr>
                <w:rFonts w:hint="eastAsia" w:ascii="宋体"/>
                <w:color w:val="auto"/>
                <w:sz w:val="22"/>
                <w:szCs w:val="22"/>
                <w:highlight w:val="none"/>
              </w:rPr>
              <w:t>投标语言</w:t>
            </w:r>
          </w:p>
        </w:tc>
        <w:tc>
          <w:tcPr>
            <w:tcW w:w="7619" w:type="dxa"/>
            <w:vAlign w:val="center"/>
          </w:tcPr>
          <w:p>
            <w:pPr>
              <w:adjustRightInd w:val="0"/>
              <w:rPr>
                <w:rFonts w:ascii="宋体"/>
                <w:color w:val="auto"/>
                <w:sz w:val="22"/>
                <w:szCs w:val="22"/>
                <w:highlight w:val="none"/>
              </w:rPr>
            </w:pPr>
            <w:r>
              <w:rPr>
                <w:rFonts w:hint="eastAsia" w:ascii="宋体"/>
                <w:color w:val="auto"/>
                <w:sz w:val="22"/>
                <w:szCs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rPr>
                <w:rFonts w:ascii="宋体" w:cs="Arial"/>
                <w:color w:val="auto"/>
                <w:sz w:val="22"/>
                <w:szCs w:val="22"/>
                <w:highlight w:val="none"/>
              </w:rPr>
            </w:pPr>
            <w:r>
              <w:rPr>
                <w:rFonts w:hint="eastAsia"/>
                <w:b/>
                <w:bCs/>
                <w:color w:val="auto"/>
                <w:sz w:val="22"/>
                <w:szCs w:val="22"/>
                <w:highlight w:val="none"/>
                <w:lang w:val="zh-CN"/>
              </w:rPr>
              <w:t>投标文件</w:t>
            </w:r>
            <w:r>
              <w:rPr>
                <w:rFonts w:hint="eastAsia"/>
                <w:b/>
                <w:bCs/>
                <w:color w:val="auto"/>
                <w:sz w:val="22"/>
                <w:szCs w:val="22"/>
                <w:highlight w:val="none"/>
              </w:rPr>
              <w:t>说明</w:t>
            </w:r>
          </w:p>
        </w:tc>
        <w:tc>
          <w:tcPr>
            <w:tcW w:w="7619" w:type="dxa"/>
            <w:vAlign w:val="center"/>
          </w:tcPr>
          <w:p>
            <w:pPr>
              <w:autoSpaceDE w:val="0"/>
              <w:autoSpaceDN w:val="0"/>
              <w:adjustRightInd w:val="0"/>
              <w:jc w:val="left"/>
              <w:rPr>
                <w:rFonts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1、</w:t>
            </w:r>
            <w:r>
              <w:rPr>
                <w:rFonts w:hint="eastAsia" w:asciiTheme="majorEastAsia" w:hAnsiTheme="majorEastAsia" w:eastAsiaTheme="majorEastAsia" w:cstheme="majorEastAsia"/>
                <w:b/>
                <w:bCs/>
                <w:color w:val="auto"/>
                <w:sz w:val="22"/>
                <w:szCs w:val="22"/>
                <w:highlight w:val="none"/>
                <w:lang w:val="zh-CN"/>
              </w:rPr>
              <w:t>投标文件组成：</w:t>
            </w:r>
            <w:r>
              <w:rPr>
                <w:rFonts w:hint="eastAsia" w:asciiTheme="majorEastAsia" w:hAnsiTheme="majorEastAsia" w:eastAsiaTheme="majorEastAsia" w:cstheme="majorEastAsia"/>
                <w:color w:val="auto"/>
                <w:sz w:val="22"/>
                <w:szCs w:val="22"/>
                <w:highlight w:val="none"/>
                <w:lang w:val="zh-CN"/>
              </w:rPr>
              <w:t>《资格文件》及《商务技术文件》和《报价文件》。</w:t>
            </w:r>
          </w:p>
          <w:p>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b/>
                <w:bCs/>
                <w:color w:val="auto"/>
                <w:sz w:val="22"/>
                <w:szCs w:val="22"/>
                <w:highlight w:val="none"/>
              </w:rPr>
              <w:t>投标文件编制：</w:t>
            </w:r>
            <w:r>
              <w:rPr>
                <w:rFonts w:hint="eastAsia" w:asciiTheme="majorEastAsia" w:hAnsiTheme="majorEastAsia" w:eastAsiaTheme="majorEastAsia" w:cstheme="majorEastAsia"/>
                <w:color w:val="auto"/>
                <w:sz w:val="22"/>
                <w:szCs w:val="22"/>
                <w:highlight w:val="none"/>
              </w:rPr>
              <w:t>供应商应先安装“政采云电子交易客户端”，并按照本采购文件和“政府采购云平台”的要求，通过“政采云电子交易客户端”编制并加密投标文件。</w:t>
            </w:r>
          </w:p>
          <w:p>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w:t>
            </w:r>
            <w:r>
              <w:rPr>
                <w:rFonts w:hint="eastAsia" w:asciiTheme="majorEastAsia" w:hAnsiTheme="majorEastAsia" w:eastAsiaTheme="majorEastAsia" w:cstheme="majorEastAsia"/>
                <w:b/>
                <w:bCs/>
                <w:color w:val="auto"/>
                <w:sz w:val="22"/>
                <w:szCs w:val="22"/>
                <w:highlight w:val="none"/>
              </w:rPr>
              <w:t>投标文件的签章：</w:t>
            </w:r>
            <w:r>
              <w:rPr>
                <w:rFonts w:hint="eastAsia" w:asciiTheme="majorEastAsia" w:hAnsiTheme="majorEastAsia" w:eastAsiaTheme="majorEastAsia" w:cstheme="majorEastAsia"/>
                <w:color w:val="auto"/>
                <w:sz w:val="22"/>
                <w:szCs w:val="22"/>
                <w:highlight w:val="none"/>
              </w:rPr>
              <w:t>电子签章。</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rPr>
              <w:t>4、</w:t>
            </w:r>
            <w:r>
              <w:rPr>
                <w:rFonts w:hint="eastAsia" w:asciiTheme="majorEastAsia" w:hAnsiTheme="majorEastAsia" w:eastAsiaTheme="majorEastAsia" w:cstheme="majorEastAsia"/>
                <w:b/>
                <w:bCs/>
                <w:color w:val="auto"/>
                <w:sz w:val="22"/>
                <w:szCs w:val="22"/>
                <w:highlight w:val="none"/>
              </w:rPr>
              <w:t>投标文件的形式：</w:t>
            </w:r>
            <w:r>
              <w:rPr>
                <w:rFonts w:hint="eastAsia" w:asciiTheme="majorEastAsia" w:hAnsiTheme="majorEastAsia" w:eastAsiaTheme="majorEastAsia" w:cstheme="majorEastAsia"/>
                <w:color w:val="auto"/>
                <w:sz w:val="22"/>
                <w:szCs w:val="22"/>
                <w:highlight w:val="none"/>
              </w:rPr>
              <w:t>☑电子投标文件（“</w:t>
            </w:r>
            <w:r>
              <w:rPr>
                <w:rFonts w:hint="eastAsia" w:asciiTheme="majorEastAsia" w:hAnsiTheme="majorEastAsia" w:eastAsiaTheme="majorEastAsia" w:cstheme="majorEastAsia"/>
                <w:color w:val="auto"/>
                <w:sz w:val="22"/>
                <w:szCs w:val="22"/>
                <w:highlight w:val="none"/>
                <w:lang w:bidi="ar"/>
              </w:rPr>
              <w:t>电子加密投标文件”）；</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“电子加密投标文件”是指通过“政采云电子交易客户端”完成投标文件编制后生成并加密的数据电文形式的投标文件。</w:t>
            </w:r>
          </w:p>
          <w:p>
            <w:pPr>
              <w:autoSpaceDE w:val="0"/>
              <w:autoSpaceDN w:val="0"/>
              <w:adjustRightInd w:val="0"/>
              <w:jc w:val="left"/>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b/>
                <w:bCs/>
                <w:color w:val="auto"/>
                <w:sz w:val="22"/>
                <w:szCs w:val="22"/>
                <w:highlight w:val="none"/>
                <w:lang w:bidi="ar"/>
              </w:rPr>
              <w:t>5、投标文件份数：</w:t>
            </w:r>
            <w:r>
              <w:rPr>
                <w:rFonts w:hint="eastAsia" w:asciiTheme="majorEastAsia" w:hAnsiTheme="majorEastAsia" w:eastAsiaTheme="majorEastAsia" w:cstheme="majorEastAsia"/>
                <w:color w:val="auto"/>
                <w:sz w:val="22"/>
                <w:szCs w:val="22"/>
                <w:highlight w:val="none"/>
                <w:lang w:bidi="ar"/>
              </w:rPr>
              <w:t>（1）“电子加密投标文件”：在线上传递交。</w:t>
            </w:r>
          </w:p>
          <w:p>
            <w:pPr>
              <w:rPr>
                <w:rFonts w:asciiTheme="majorEastAsia" w:hAnsiTheme="majorEastAsia" w:eastAsiaTheme="majorEastAsia" w:cstheme="majorEastAsia"/>
                <w:b/>
                <w:bCs/>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6、</w:t>
            </w:r>
            <w:r>
              <w:rPr>
                <w:rFonts w:hint="eastAsia" w:asciiTheme="majorEastAsia" w:hAnsiTheme="majorEastAsia" w:eastAsiaTheme="majorEastAsia" w:cstheme="majorEastAsia"/>
                <w:b/>
                <w:bCs/>
                <w:color w:val="auto"/>
                <w:sz w:val="22"/>
                <w:szCs w:val="22"/>
                <w:highlight w:val="none"/>
                <w:lang w:bidi="ar"/>
              </w:rPr>
              <w:t>投标文件的上传和递交：</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（1）“电子加密投标文件”的上传、递交：</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a.供应商应在投标截止时间前将“电子加密投标文件”成功上传递交至“政府采购云平台”，否则投标无效。</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b.“电子加密投标文件”成功上传递交后，供应商可自行打印投标文件接收回执。</w:t>
            </w:r>
          </w:p>
          <w:p>
            <w:pPr>
              <w:rPr>
                <w:rFonts w:asciiTheme="majorEastAsia" w:hAnsiTheme="majorEastAsia" w:eastAsiaTheme="majorEastAsia" w:cstheme="majorEastAsia"/>
                <w:b/>
                <w:bCs/>
                <w:color w:val="auto"/>
                <w:sz w:val="22"/>
                <w:szCs w:val="22"/>
                <w:highlight w:val="none"/>
                <w:lang w:bidi="ar"/>
              </w:rPr>
            </w:pPr>
            <w:r>
              <w:rPr>
                <w:rFonts w:hint="eastAsia" w:asciiTheme="majorEastAsia" w:hAnsiTheme="majorEastAsia" w:eastAsiaTheme="majorEastAsia" w:cstheme="majorEastAsia"/>
                <w:b/>
                <w:bCs/>
                <w:color w:val="auto"/>
                <w:sz w:val="22"/>
                <w:szCs w:val="22"/>
                <w:highlight w:val="none"/>
                <w:lang w:bidi="ar"/>
              </w:rPr>
              <w:t>7、电子加密投标文件的解密：</w:t>
            </w:r>
          </w:p>
          <w:p>
            <w:pPr>
              <w:autoSpaceDE w:val="0"/>
              <w:autoSpaceDN w:val="0"/>
              <w:adjustRightInd w:val="0"/>
              <w:jc w:val="left"/>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（1）开标后，采购组织机构将向各供应商发出“电子加密投标文件”的解密通知，各供应商代表应当在接到解密通知后30分钟内自行完成“电子加密投标文件”的在线解密。</w:t>
            </w:r>
          </w:p>
          <w:p>
            <w:pPr>
              <w:autoSpaceDE w:val="0"/>
              <w:autoSpaceDN w:val="0"/>
              <w:adjustRightInd w:val="0"/>
              <w:jc w:val="left"/>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（2）通过“政府采购云平台”成功上传递交的“电子加密投标文件”无法按时解密的，投标无效。</w:t>
            </w:r>
          </w:p>
          <w:p>
            <w:pPr>
              <w:snapToGrid w:val="0"/>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8、投标截止后，在投标有效期内，供应商不能撤销投标文件。</w:t>
            </w:r>
          </w:p>
          <w:p>
            <w:pPr>
              <w:snapToGrid w:val="0"/>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9、存在下列行为的，招标代理机构将其失信行为上报政府采购主管部门，由主管部门按有关规定对其违法失信行为记录进行公开：</w:t>
            </w:r>
          </w:p>
          <w:p>
            <w:pPr>
              <w:snapToGrid w:val="0"/>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（1）中标或者成交后，拒绝签订政府采购合同的；</w:t>
            </w:r>
          </w:p>
          <w:p>
            <w:pPr>
              <w:rPr>
                <w:rFonts w:eastAsia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bidi="ar"/>
              </w:rPr>
              <w:t>（2）投标有效期内撤销投标文件的</w:t>
            </w:r>
            <w:r>
              <w:rPr>
                <w:rFonts w:hint="eastAsia" w:asciiTheme="majorEastAsia" w:hAnsiTheme="majorEastAsia" w:eastAsiaTheme="majorEastAsia" w:cstheme="majorEastAsia"/>
                <w:color w:val="auto"/>
                <w:sz w:val="22"/>
                <w:szCs w:val="22"/>
                <w:highlight w:val="none"/>
                <w:lang w:bidi="ar"/>
              </w:rPr>
              <w:br w:type="textWrapping"/>
            </w:r>
            <w:r>
              <w:rPr>
                <w:rFonts w:hint="eastAsia" w:asciiTheme="majorEastAsia" w:hAnsiTheme="majorEastAsia" w:eastAsiaTheme="majorEastAsia" w:cstheme="majorEastAsia"/>
                <w:color w:val="auto"/>
                <w:sz w:val="22"/>
                <w:szCs w:val="22"/>
                <w:highlight w:val="none"/>
                <w:lang w:bidi="ar"/>
              </w:rPr>
              <w:t>10、</w:t>
            </w:r>
            <w:r>
              <w:rPr>
                <w:rFonts w:hint="eastAsia" w:asciiTheme="majorEastAsia" w:hAnsiTheme="majorEastAsia" w:eastAsiaTheme="majorEastAsia" w:cstheme="majorEastAsia"/>
                <w:b/>
                <w:bCs/>
                <w:color w:val="auto"/>
                <w:sz w:val="22"/>
                <w:szCs w:val="22"/>
                <w:highlight w:val="none"/>
                <w:u w:val="single"/>
                <w:lang w:bidi="ar"/>
              </w:rPr>
              <w:t>中标后，中标供应商须提供4份纸质投标文件至招标代理机构处作为纸质存档。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adjustRightInd w:val="0"/>
              <w:jc w:val="center"/>
              <w:rPr>
                <w:rFonts w:ascii="宋体"/>
                <w:color w:val="auto"/>
                <w:sz w:val="22"/>
                <w:szCs w:val="22"/>
                <w:highlight w:val="none"/>
              </w:rPr>
            </w:pPr>
            <w:r>
              <w:rPr>
                <w:rFonts w:hint="eastAsia" w:ascii="宋体"/>
                <w:color w:val="auto"/>
                <w:sz w:val="22"/>
                <w:szCs w:val="22"/>
                <w:highlight w:val="none"/>
              </w:rPr>
              <w:t>投标样品</w:t>
            </w:r>
          </w:p>
        </w:tc>
        <w:tc>
          <w:tcPr>
            <w:tcW w:w="7619" w:type="dxa"/>
            <w:vAlign w:val="center"/>
          </w:tcPr>
          <w:p>
            <w:pPr>
              <w:adjustRightInd w:val="0"/>
              <w:rPr>
                <w:rFonts w:ascii="宋体"/>
                <w:color w:val="auto"/>
                <w:sz w:val="22"/>
                <w:szCs w:val="22"/>
                <w:highlight w:val="none"/>
              </w:rPr>
            </w:pPr>
            <w:r>
              <w:rPr>
                <w:rFonts w:hint="eastAsia" w:asciiTheme="majorEastAsia" w:hAnsiTheme="majorEastAsia" w:eastAsiaTheme="majorEastAsia" w:cstheme="majorEastAsia"/>
                <w:color w:val="auto"/>
                <w:sz w:val="22"/>
                <w:szCs w:val="22"/>
                <w:highlight w:val="none"/>
                <w:lang w:bidi="ar"/>
              </w:rPr>
              <w:sym w:font="Wingdings 2" w:char="0052"/>
            </w:r>
            <w:r>
              <w:rPr>
                <w:rFonts w:hint="eastAsia" w:ascii="宋体"/>
                <w:color w:val="auto"/>
                <w:sz w:val="22"/>
                <w:szCs w:val="22"/>
                <w:highlight w:val="none"/>
              </w:rPr>
              <w:t>不需要</w:t>
            </w:r>
          </w:p>
          <w:p>
            <w:pPr>
              <w:adjustRightInd w:val="0"/>
              <w:rPr>
                <w:rFonts w:ascii="宋体"/>
                <w:color w:val="auto"/>
                <w:sz w:val="22"/>
                <w:szCs w:val="22"/>
                <w:highlight w:val="none"/>
              </w:rPr>
            </w:pPr>
            <w:r>
              <w:rPr>
                <w:rFonts w:hint="eastAsia" w:ascii="宋体"/>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s="Arial"/>
                <w:color w:val="auto"/>
                <w:sz w:val="22"/>
                <w:szCs w:val="22"/>
                <w:highlight w:val="none"/>
              </w:rPr>
            </w:pPr>
            <w:r>
              <w:rPr>
                <w:rFonts w:hint="eastAsia" w:ascii="宋体" w:cs="Arial"/>
                <w:color w:val="auto"/>
                <w:sz w:val="22"/>
                <w:szCs w:val="22"/>
                <w:highlight w:val="none"/>
              </w:rPr>
              <w:t>投标保证金</w:t>
            </w:r>
          </w:p>
        </w:tc>
        <w:tc>
          <w:tcPr>
            <w:tcW w:w="7619" w:type="dxa"/>
            <w:vAlign w:val="center"/>
          </w:tcPr>
          <w:p>
            <w:pPr>
              <w:widowControl/>
              <w:jc w:val="left"/>
              <w:rPr>
                <w:rFonts w:ascii="Arial" w:hAnsi="Arial" w:cs="Arial"/>
                <w:color w:val="auto"/>
                <w:sz w:val="22"/>
                <w:szCs w:val="22"/>
                <w:highlight w:val="none"/>
              </w:rPr>
            </w:pPr>
            <w:r>
              <w:rPr>
                <w:rFonts w:hint="eastAsia" w:ascii="Arial" w:hAnsi="Arial" w:cs="Arial"/>
                <w:color w:val="auto"/>
                <w:sz w:val="22"/>
                <w:szCs w:val="22"/>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adjustRightInd w:val="0"/>
              <w:jc w:val="center"/>
              <w:rPr>
                <w:rFonts w:ascii="宋体"/>
                <w:color w:val="auto"/>
                <w:sz w:val="22"/>
                <w:szCs w:val="22"/>
                <w:highlight w:val="none"/>
              </w:rPr>
            </w:pPr>
            <w:r>
              <w:rPr>
                <w:rFonts w:hint="eastAsia" w:ascii="宋体"/>
                <w:color w:val="auto"/>
                <w:sz w:val="22"/>
                <w:szCs w:val="22"/>
                <w:highlight w:val="none"/>
              </w:rPr>
              <w:t>履约担保</w:t>
            </w:r>
          </w:p>
        </w:tc>
        <w:tc>
          <w:tcPr>
            <w:tcW w:w="7619" w:type="dxa"/>
            <w:vAlign w:val="center"/>
          </w:tcPr>
          <w:p>
            <w:pPr>
              <w:snapToGrid w:val="0"/>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sym w:font="Wingdings 2" w:char="00A3"/>
            </w:r>
            <w:r>
              <w:rPr>
                <w:rFonts w:hint="eastAsia" w:asciiTheme="majorEastAsia" w:hAnsiTheme="majorEastAsia" w:eastAsiaTheme="majorEastAsia" w:cstheme="majorEastAsia"/>
                <w:color w:val="auto"/>
                <w:sz w:val="22"/>
                <w:szCs w:val="22"/>
                <w:highlight w:val="none"/>
                <w:lang w:bidi="ar"/>
              </w:rPr>
              <w:t>不需要</w:t>
            </w:r>
          </w:p>
          <w:p>
            <w:pPr>
              <w:snapToGrid w:val="0"/>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fldChar w:fldCharType="begin"/>
            </w:r>
            <w:r>
              <w:rPr>
                <w:rFonts w:hint="eastAsia" w:asciiTheme="majorEastAsia" w:hAnsiTheme="majorEastAsia" w:eastAsiaTheme="majorEastAsia" w:cstheme="majorEastAsia"/>
                <w:color w:val="auto"/>
                <w:sz w:val="22"/>
                <w:szCs w:val="22"/>
                <w:highlight w:val="none"/>
                <w:lang w:bidi="ar"/>
              </w:rPr>
              <w:instrText xml:space="preserve"> eq \o\ac(□,</w:instrText>
            </w:r>
            <w:r>
              <w:rPr>
                <w:rFonts w:hint="eastAsia" w:asciiTheme="majorEastAsia" w:hAnsiTheme="majorEastAsia" w:eastAsiaTheme="majorEastAsia" w:cstheme="majorEastAsia"/>
                <w:color w:val="auto"/>
                <w:position w:val="2"/>
                <w:sz w:val="15"/>
                <w:szCs w:val="22"/>
                <w:highlight w:val="none"/>
                <w:lang w:bidi="ar"/>
              </w:rPr>
              <w:instrText xml:space="preserve">√</w:instrText>
            </w:r>
            <w:r>
              <w:rPr>
                <w:rFonts w:hint="eastAsia" w:asciiTheme="majorEastAsia" w:hAnsiTheme="majorEastAsia" w:eastAsiaTheme="majorEastAsia" w:cstheme="majorEastAsia"/>
                <w:color w:val="auto"/>
                <w:sz w:val="22"/>
                <w:szCs w:val="22"/>
                <w:highlight w:val="none"/>
                <w:lang w:bidi="ar"/>
              </w:rPr>
              <w:instrText xml:space="preserve">)</w:instrText>
            </w:r>
            <w:r>
              <w:rPr>
                <w:rFonts w:hint="eastAsia" w:asciiTheme="majorEastAsia" w:hAnsiTheme="majorEastAsia" w:eastAsiaTheme="majorEastAsia" w:cstheme="majorEastAsia"/>
                <w:color w:val="auto"/>
                <w:sz w:val="22"/>
                <w:szCs w:val="22"/>
                <w:highlight w:val="none"/>
                <w:lang w:bidi="ar"/>
              </w:rPr>
              <w:fldChar w:fldCharType="end"/>
            </w:r>
            <w:r>
              <w:rPr>
                <w:rFonts w:hint="eastAsia" w:asciiTheme="majorEastAsia" w:hAnsiTheme="majorEastAsia" w:eastAsiaTheme="majorEastAsia" w:cstheme="majorEastAsia"/>
                <w:color w:val="auto"/>
                <w:sz w:val="22"/>
                <w:szCs w:val="22"/>
                <w:highlight w:val="none"/>
                <w:lang w:bidi="ar"/>
              </w:rPr>
              <w:t>需要：</w:t>
            </w:r>
            <w:r>
              <w:rPr>
                <w:rFonts w:hint="eastAsia" w:ascii="宋体" w:hAnsi="宋体" w:cs="宋体"/>
                <w:color w:val="auto"/>
                <w:sz w:val="22"/>
                <w:highlight w:val="none"/>
              </w:rPr>
              <w:t>合同签订前，中标（成交）供应商须提供合同金额1%的履约保证金至采购人账户（以转账或者金融机构、担保机构出具的保函等非现金形式提交）</w:t>
            </w:r>
            <w:r>
              <w:rPr>
                <w:rFonts w:hint="eastAsia" w:ascii="宋体" w:hAnsi="宋体" w:cs="宋体"/>
                <w:color w:val="auto"/>
                <w:sz w:val="22"/>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s="Arial"/>
                <w:color w:val="auto"/>
                <w:sz w:val="22"/>
                <w:szCs w:val="22"/>
                <w:highlight w:val="none"/>
              </w:rPr>
            </w:pPr>
            <w:r>
              <w:rPr>
                <w:rFonts w:hint="eastAsia" w:ascii="宋体" w:cs="Arial"/>
                <w:color w:val="auto"/>
                <w:sz w:val="22"/>
                <w:szCs w:val="22"/>
                <w:highlight w:val="none"/>
              </w:rPr>
              <w:t>招标文件获取方式</w:t>
            </w:r>
          </w:p>
        </w:tc>
        <w:tc>
          <w:tcPr>
            <w:tcW w:w="7619" w:type="dxa"/>
            <w:vAlign w:val="center"/>
          </w:tcPr>
          <w:p>
            <w:pPr>
              <w:snapToGrid w:val="0"/>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登录浙江省政府采购网（网址：</w:t>
            </w:r>
            <w:r>
              <w:rPr>
                <w:color w:val="auto"/>
                <w:highlight w:val="none"/>
              </w:rPr>
              <w:fldChar w:fldCharType="begin"/>
            </w:r>
            <w:r>
              <w:rPr>
                <w:color w:val="auto"/>
                <w:highlight w:val="none"/>
              </w:rPr>
              <w:instrText xml:space="preserve"> HYPERLINK "http://www.zjzfcg.gov.cn）查找本项目并获取采购文件，获取采购文件时应填写正确的电子邮箱。" </w:instrText>
            </w:r>
            <w:r>
              <w:rPr>
                <w:color w:val="auto"/>
                <w:highlight w:val="none"/>
              </w:rPr>
              <w:fldChar w:fldCharType="separate"/>
            </w:r>
            <w:r>
              <w:rPr>
                <w:rFonts w:hint="eastAsia" w:ascii="宋体" w:hAnsi="宋体" w:cs="宋体"/>
                <w:color w:val="auto"/>
                <w:sz w:val="22"/>
                <w:highlight w:val="none"/>
              </w:rPr>
              <w:t>http://zfcg.czt.zj.gov.cn/</w:t>
            </w:r>
            <w:r>
              <w:rPr>
                <w:rFonts w:hint="eastAsia" w:asciiTheme="majorEastAsia" w:hAnsiTheme="majorEastAsia" w:eastAsiaTheme="majorEastAsia" w:cstheme="majorEastAsia"/>
                <w:color w:val="auto"/>
                <w:sz w:val="22"/>
                <w:szCs w:val="22"/>
                <w:highlight w:val="none"/>
                <w:lang w:bidi="ar"/>
              </w:rPr>
              <w:t>）查找本项目并获取采购文件。</w:t>
            </w:r>
            <w:r>
              <w:rPr>
                <w:rFonts w:hint="eastAsia" w:asciiTheme="majorEastAsia" w:hAnsiTheme="majorEastAsia" w:eastAsiaTheme="majorEastAsia" w:cstheme="majorEastAsia"/>
                <w:color w:val="auto"/>
                <w:sz w:val="22"/>
                <w:szCs w:val="22"/>
                <w:highlight w:val="none"/>
                <w:lang w:bidi="ar"/>
              </w:rPr>
              <w:br w:type="textWrapping"/>
            </w:r>
            <w:r>
              <w:rPr>
                <w:rFonts w:hint="eastAsia" w:asciiTheme="majorEastAsia" w:hAnsiTheme="majorEastAsia" w:eastAsiaTheme="majorEastAsia" w:cstheme="majorEastAsia"/>
                <w:color w:val="auto"/>
                <w:sz w:val="22"/>
                <w:szCs w:val="22"/>
                <w:highlight w:val="none"/>
                <w:lang w:bidi="ar"/>
              </w:rPr>
              <w:fldChar w:fldCharType="end"/>
            </w:r>
            <w:r>
              <w:rPr>
                <w:rFonts w:hint="eastAsia" w:asciiTheme="majorEastAsia" w:hAnsiTheme="majorEastAsia" w:eastAsiaTheme="majorEastAsia" w:cstheme="majorEastAsia"/>
                <w:color w:val="auto"/>
                <w:sz w:val="22"/>
                <w:szCs w:val="22"/>
                <w:highlight w:val="none"/>
                <w:lang w:bidi="ar"/>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s="Arial"/>
                <w:color w:val="auto"/>
                <w:sz w:val="22"/>
                <w:szCs w:val="22"/>
                <w:highlight w:val="none"/>
              </w:rPr>
            </w:pPr>
            <w:r>
              <w:rPr>
                <w:rFonts w:hint="eastAsia" w:ascii="宋体" w:hAnsi="宋体" w:cs="宋体"/>
                <w:color w:val="auto"/>
                <w:sz w:val="22"/>
                <w:highlight w:val="none"/>
              </w:rPr>
              <w:t>投标文件递交截止时间及地点</w:t>
            </w:r>
          </w:p>
        </w:tc>
        <w:tc>
          <w:tcPr>
            <w:tcW w:w="7619" w:type="dxa"/>
            <w:vAlign w:val="center"/>
          </w:tcPr>
          <w:p>
            <w:pPr>
              <w:rPr>
                <w:rFonts w:ascii="宋体" w:hAnsi="宋体" w:cs="宋体"/>
                <w:color w:val="auto"/>
                <w:sz w:val="22"/>
                <w:highlight w:val="none"/>
              </w:rPr>
            </w:pPr>
            <w:r>
              <w:rPr>
                <w:rFonts w:hint="eastAsia" w:ascii="宋体" w:hAnsi="宋体" w:cs="宋体"/>
                <w:color w:val="auto"/>
                <w:sz w:val="22"/>
                <w:highlight w:val="none"/>
                <w:lang w:eastAsia="zh-CN"/>
              </w:rPr>
              <w:t>2023年3月2日</w:t>
            </w:r>
            <w:r>
              <w:rPr>
                <w:rFonts w:hint="eastAsia" w:ascii="宋体" w:hAnsi="宋体" w:cs="宋体"/>
                <w:color w:val="auto"/>
                <w:sz w:val="22"/>
                <w:highlight w:val="none"/>
              </w:rPr>
              <w:t>09点00分(北京时间)；</w:t>
            </w:r>
          </w:p>
          <w:p>
            <w:pPr>
              <w:rPr>
                <w:rFonts w:ascii="宋体" w:cs="Arial"/>
                <w:color w:val="auto"/>
                <w:sz w:val="22"/>
                <w:szCs w:val="22"/>
                <w:highlight w:val="none"/>
              </w:rPr>
            </w:pPr>
            <w:r>
              <w:rPr>
                <w:rFonts w:hint="eastAsia" w:ascii="宋体" w:hAnsi="宋体" w:cs="宋体"/>
                <w:bCs/>
                <w:color w:val="auto"/>
                <w:sz w:val="22"/>
                <w:highlight w:val="none"/>
              </w:rPr>
              <w:t>投标文件递交地点：</w:t>
            </w:r>
            <w:r>
              <w:rPr>
                <w:rFonts w:hint="eastAsia" w:ascii="宋体" w:hAnsi="宋体" w:cs="宋体"/>
                <w:color w:val="auto"/>
                <w:sz w:val="22"/>
                <w:highlight w:val="none"/>
              </w:rPr>
              <w:t>“政府采购云平台（http://zfcg.czt.zj.gov.cn/）”在线递交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hAnsi="宋体" w:cs="宋体"/>
                <w:color w:val="auto"/>
                <w:sz w:val="22"/>
                <w:highlight w:val="none"/>
              </w:rPr>
            </w:pPr>
            <w:r>
              <w:rPr>
                <w:rFonts w:hint="eastAsia" w:ascii="宋体" w:hAnsi="宋体" w:cs="宋体"/>
                <w:color w:val="auto"/>
                <w:sz w:val="22"/>
                <w:highlight w:val="none"/>
              </w:rPr>
              <w:t>开标时间</w:t>
            </w:r>
          </w:p>
          <w:p>
            <w:pPr>
              <w:jc w:val="center"/>
              <w:rPr>
                <w:rFonts w:ascii="宋体" w:cs="Arial"/>
                <w:color w:val="auto"/>
                <w:sz w:val="22"/>
                <w:szCs w:val="22"/>
                <w:highlight w:val="none"/>
              </w:rPr>
            </w:pPr>
            <w:r>
              <w:rPr>
                <w:rFonts w:hint="eastAsia" w:ascii="宋体" w:hAnsi="宋体" w:cs="宋体"/>
                <w:color w:val="auto"/>
                <w:sz w:val="22"/>
                <w:highlight w:val="none"/>
              </w:rPr>
              <w:t>开标地点</w:t>
            </w:r>
          </w:p>
        </w:tc>
        <w:tc>
          <w:tcPr>
            <w:tcW w:w="7619" w:type="dxa"/>
            <w:vAlign w:val="center"/>
          </w:tcPr>
          <w:p>
            <w:pPr>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2023年3月2日</w:t>
            </w:r>
            <w:r>
              <w:rPr>
                <w:rFonts w:hint="eastAsia" w:ascii="宋体" w:hAnsi="宋体" w:cs="宋体"/>
                <w:color w:val="auto"/>
                <w:sz w:val="22"/>
                <w:highlight w:val="none"/>
              </w:rPr>
              <w:t>09点00分 (北京时间)；</w:t>
            </w:r>
          </w:p>
          <w:p>
            <w:pPr>
              <w:rPr>
                <w:rFonts w:ascii="宋体" w:cs="Arial"/>
                <w:color w:val="auto"/>
                <w:sz w:val="22"/>
                <w:szCs w:val="22"/>
                <w:highlight w:val="none"/>
              </w:rPr>
            </w:pPr>
            <w:r>
              <w:rPr>
                <w:rFonts w:hint="eastAsia" w:ascii="宋体" w:hAnsi="宋体" w:cs="宋体"/>
                <w:color w:val="auto"/>
                <w:sz w:val="22"/>
                <w:highlight w:val="none"/>
              </w:rPr>
              <w:t>开标地点：“政府采购云平台（http://zfcg.czt.zj.gov.cn/）”在线开标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s="Arial"/>
                <w:color w:val="auto"/>
                <w:sz w:val="22"/>
                <w:szCs w:val="22"/>
                <w:highlight w:val="none"/>
              </w:rPr>
            </w:pPr>
            <w:r>
              <w:rPr>
                <w:rFonts w:hint="eastAsia" w:ascii="宋体" w:hAnsi="宋体" w:cs="宋体"/>
                <w:color w:val="auto"/>
                <w:sz w:val="22"/>
                <w:highlight w:val="none"/>
              </w:rPr>
              <w:t>评标地点</w:t>
            </w:r>
          </w:p>
        </w:tc>
        <w:tc>
          <w:tcPr>
            <w:tcW w:w="7619" w:type="dxa"/>
            <w:vAlign w:val="center"/>
          </w:tcPr>
          <w:p>
            <w:pPr>
              <w:rPr>
                <w:rFonts w:ascii="宋体"/>
                <w:color w:val="auto"/>
                <w:sz w:val="22"/>
                <w:szCs w:val="22"/>
                <w:highlight w:val="none"/>
              </w:rPr>
            </w:pPr>
            <w:r>
              <w:rPr>
                <w:rFonts w:hint="eastAsia" w:hAnsi="宋体"/>
                <w:color w:val="auto"/>
                <w:sz w:val="22"/>
                <w:szCs w:val="22"/>
                <w:highlight w:val="none"/>
              </w:rPr>
              <w:t>泰顺县行政审批服务中心5楼评标室1</w:t>
            </w:r>
            <w:r>
              <w:rPr>
                <w:rFonts w:hint="eastAsia" w:hAnsi="宋体"/>
                <w:bCs/>
                <w:color w:val="auto"/>
                <w:sz w:val="22"/>
                <w:szCs w:val="22"/>
                <w:highlight w:val="none"/>
              </w:rPr>
              <w:t>（温州市泰顺县罗阳镇新城大道123号）</w:t>
            </w:r>
            <w:r>
              <w:rPr>
                <w:rFonts w:hint="eastAsia" w:hAnsi="宋体"/>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7"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s="Arial"/>
                <w:color w:val="auto"/>
                <w:sz w:val="22"/>
                <w:szCs w:val="22"/>
                <w:highlight w:val="none"/>
              </w:rPr>
            </w:pPr>
            <w:r>
              <w:rPr>
                <w:rFonts w:hint="eastAsia" w:ascii="宋体" w:cs="Arial"/>
                <w:color w:val="auto"/>
                <w:sz w:val="22"/>
                <w:szCs w:val="22"/>
                <w:highlight w:val="none"/>
              </w:rPr>
              <w:t>评审委员会的</w:t>
            </w:r>
          </w:p>
          <w:p>
            <w:pPr>
              <w:jc w:val="center"/>
              <w:rPr>
                <w:rFonts w:ascii="宋体" w:cs="Arial"/>
                <w:color w:val="auto"/>
                <w:sz w:val="22"/>
                <w:szCs w:val="22"/>
                <w:highlight w:val="none"/>
              </w:rPr>
            </w:pPr>
            <w:r>
              <w:rPr>
                <w:rFonts w:hint="eastAsia" w:ascii="宋体" w:cs="Arial"/>
                <w:color w:val="auto"/>
                <w:sz w:val="22"/>
                <w:szCs w:val="22"/>
                <w:highlight w:val="none"/>
              </w:rPr>
              <w:t>组建</w:t>
            </w:r>
          </w:p>
        </w:tc>
        <w:tc>
          <w:tcPr>
            <w:tcW w:w="7619" w:type="dxa"/>
            <w:vAlign w:val="center"/>
          </w:tcPr>
          <w:p>
            <w:pPr>
              <w:rPr>
                <w:rFonts w:ascii="宋体" w:cs="Arial"/>
                <w:color w:val="auto"/>
                <w:sz w:val="22"/>
                <w:szCs w:val="22"/>
                <w:highlight w:val="none"/>
              </w:rPr>
            </w:pPr>
            <w:r>
              <w:rPr>
                <w:rFonts w:hint="eastAsia" w:ascii="宋体" w:cs="Arial"/>
                <w:color w:val="auto"/>
                <w:sz w:val="22"/>
                <w:szCs w:val="22"/>
                <w:highlight w:val="none"/>
              </w:rPr>
              <w:t>评审委员会构成：</w:t>
            </w:r>
            <w:r>
              <w:rPr>
                <w:rFonts w:ascii="宋体" w:cs="Arial"/>
                <w:color w:val="auto"/>
                <w:sz w:val="22"/>
                <w:szCs w:val="22"/>
                <w:highlight w:val="none"/>
              </w:rPr>
              <w:t xml:space="preserve"> </w:t>
            </w:r>
            <w:r>
              <w:rPr>
                <w:rFonts w:hint="eastAsia" w:ascii="宋体" w:cs="Arial"/>
                <w:color w:val="auto"/>
                <w:sz w:val="22"/>
                <w:szCs w:val="22"/>
                <w:highlight w:val="none"/>
              </w:rPr>
              <w:t>由采购人代表以及有关技术、经济等方面的专家组成，成员为5人及以上单数，其中技术、经济类专家不得少于总人数的</w:t>
            </w:r>
            <w:r>
              <w:rPr>
                <w:rFonts w:ascii="宋体" w:cs="Arial"/>
                <w:color w:val="auto"/>
                <w:sz w:val="22"/>
                <w:szCs w:val="22"/>
                <w:highlight w:val="none"/>
              </w:rPr>
              <w:t>2/3</w:t>
            </w:r>
            <w:r>
              <w:rPr>
                <w:rFonts w:hint="eastAsia" w:ascii="宋体" w:cs="Arial"/>
                <w:color w:val="auto"/>
                <w:sz w:val="22"/>
                <w:szCs w:val="22"/>
                <w:highlight w:val="none"/>
              </w:rPr>
              <w:t>；评标专家确定方式：按相关规定从专家库中抽取。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adjustRightInd w:val="0"/>
              <w:jc w:val="center"/>
              <w:rPr>
                <w:rFonts w:ascii="宋体"/>
                <w:color w:val="auto"/>
                <w:sz w:val="22"/>
                <w:szCs w:val="22"/>
                <w:highlight w:val="none"/>
              </w:rPr>
            </w:pPr>
            <w:r>
              <w:rPr>
                <w:rFonts w:hint="eastAsia" w:ascii="宋体"/>
                <w:color w:val="auto"/>
                <w:sz w:val="22"/>
                <w:szCs w:val="22"/>
                <w:highlight w:val="none"/>
              </w:rPr>
              <w:t>政府采购</w:t>
            </w:r>
          </w:p>
          <w:p>
            <w:pPr>
              <w:adjustRightInd w:val="0"/>
              <w:jc w:val="center"/>
              <w:rPr>
                <w:rFonts w:ascii="宋体"/>
                <w:color w:val="auto"/>
                <w:sz w:val="22"/>
                <w:szCs w:val="22"/>
                <w:highlight w:val="none"/>
              </w:rPr>
            </w:pPr>
            <w:r>
              <w:rPr>
                <w:rFonts w:hint="eastAsia" w:ascii="宋体"/>
                <w:color w:val="auto"/>
                <w:sz w:val="22"/>
                <w:szCs w:val="22"/>
                <w:highlight w:val="none"/>
              </w:rPr>
              <w:t>扶持政策</w:t>
            </w:r>
          </w:p>
        </w:tc>
        <w:tc>
          <w:tcPr>
            <w:tcW w:w="7619" w:type="dxa"/>
            <w:vAlign w:val="center"/>
          </w:tcPr>
          <w:p>
            <w:pPr>
              <w:rPr>
                <w:rFonts w:ascii="宋体" w:cs="Arial"/>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w:t>
            </w:r>
            <w:r>
              <w:rPr>
                <w:rFonts w:hint="eastAsia" w:ascii="宋体" w:cs="Arial"/>
                <w:color w:val="auto"/>
                <w:sz w:val="22"/>
                <w:szCs w:val="22"/>
                <w:highlight w:val="none"/>
              </w:rPr>
              <w:t>对符合财政扶持政策的小微企业（或监狱企业、或残疾人福利性单位）给予评标价格折扣。供应商企业属于以上多种性质的，</w:t>
            </w:r>
            <w:r>
              <w:rPr>
                <w:rFonts w:hint="eastAsia" w:ascii="Arial" w:hAnsi="Arial" w:cs="Arial"/>
                <w:color w:val="auto"/>
                <w:sz w:val="22"/>
                <w:szCs w:val="22"/>
                <w:highlight w:val="none"/>
              </w:rPr>
              <w:t>不重复享受扶持政策</w:t>
            </w:r>
            <w:r>
              <w:rPr>
                <w:rFonts w:hint="eastAsia" w:ascii="宋体" w:cs="Arial"/>
                <w:color w:val="auto"/>
                <w:sz w:val="22"/>
                <w:szCs w:val="22"/>
                <w:highlight w:val="none"/>
              </w:rPr>
              <w:t>。</w:t>
            </w:r>
          </w:p>
          <w:p>
            <w:pPr>
              <w:rPr>
                <w:rFonts w:ascii="宋体"/>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rPr>
              <w:t>、对节能、环保产品优先采购。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s="Arial"/>
                <w:color w:val="auto"/>
                <w:sz w:val="22"/>
                <w:szCs w:val="22"/>
                <w:highlight w:val="none"/>
              </w:rPr>
            </w:pPr>
            <w:r>
              <w:rPr>
                <w:rFonts w:hint="eastAsia" w:ascii="宋体" w:cs="Arial"/>
                <w:color w:val="auto"/>
                <w:sz w:val="22"/>
                <w:szCs w:val="22"/>
                <w:highlight w:val="none"/>
              </w:rPr>
              <w:t>供应商信用查询</w:t>
            </w:r>
          </w:p>
        </w:tc>
        <w:tc>
          <w:tcPr>
            <w:tcW w:w="7619" w:type="dxa"/>
            <w:vAlign w:val="center"/>
          </w:tcPr>
          <w:p>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rPr>
              <w:t>、投标供应商信用信息查询的查询渠道：“信用中国”</w:t>
            </w:r>
            <w:r>
              <w:rPr>
                <w:rFonts w:ascii="宋体" w:cs="Arial"/>
                <w:color w:val="auto"/>
                <w:sz w:val="22"/>
                <w:szCs w:val="22"/>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cs="Arial"/>
                <w:color w:val="auto"/>
                <w:sz w:val="22"/>
                <w:szCs w:val="22"/>
                <w:highlight w:val="none"/>
              </w:rPr>
              <w:t>www.creditchina.gov.cn</w:t>
            </w:r>
            <w:r>
              <w:rPr>
                <w:rFonts w:ascii="宋体" w:cs="Arial"/>
                <w:color w:val="auto"/>
                <w:sz w:val="22"/>
                <w:szCs w:val="22"/>
                <w:highlight w:val="none"/>
              </w:rPr>
              <w:fldChar w:fldCharType="end"/>
            </w:r>
            <w:r>
              <w:rPr>
                <w:rFonts w:ascii="宋体" w:cs="Arial"/>
                <w:color w:val="auto"/>
                <w:sz w:val="22"/>
                <w:szCs w:val="22"/>
                <w:highlight w:val="none"/>
              </w:rPr>
              <w:t>)</w:t>
            </w:r>
            <w:r>
              <w:rPr>
                <w:rFonts w:hint="eastAsia" w:ascii="宋体" w:cs="Arial"/>
                <w:color w:val="auto"/>
                <w:sz w:val="22"/>
                <w:szCs w:val="22"/>
                <w:highlight w:val="none"/>
              </w:rPr>
              <w:t>；“中国政府采购网”（</w:t>
            </w:r>
            <w:r>
              <w:rPr>
                <w:rFonts w:ascii="宋体" w:cs="Arial"/>
                <w:color w:val="auto"/>
                <w:sz w:val="22"/>
                <w:szCs w:val="22"/>
                <w:highlight w:val="none"/>
              </w:rPr>
              <w:t>http://www.ccgp.gov.cn/</w:t>
            </w:r>
            <w:r>
              <w:rPr>
                <w:rFonts w:hint="eastAsia" w:ascii="宋体" w:cs="Arial"/>
                <w:color w:val="auto"/>
                <w:sz w:val="22"/>
                <w:szCs w:val="22"/>
                <w:highlight w:val="none"/>
              </w:rPr>
              <w:t>）；</w:t>
            </w:r>
          </w:p>
          <w:p>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rPr>
              <w:t>、投标供应商信用信息查询截止时点：本项目投标截止时间。</w:t>
            </w:r>
          </w:p>
          <w:p>
            <w:pPr>
              <w:rPr>
                <w:rFonts w:ascii="宋体" w:cs="Arial"/>
                <w:color w:val="auto"/>
                <w:sz w:val="22"/>
                <w:szCs w:val="22"/>
                <w:highlight w:val="none"/>
              </w:rPr>
            </w:pPr>
            <w:r>
              <w:rPr>
                <w:rFonts w:ascii="宋体" w:cs="Arial"/>
                <w:color w:val="auto"/>
                <w:sz w:val="22"/>
                <w:szCs w:val="22"/>
                <w:highlight w:val="none"/>
              </w:rPr>
              <w:t>3</w:t>
            </w:r>
            <w:r>
              <w:rPr>
                <w:rFonts w:hint="eastAsia" w:ascii="宋体" w:cs="Arial"/>
                <w:color w:val="auto"/>
                <w:sz w:val="22"/>
                <w:szCs w:val="22"/>
                <w:highlight w:val="none"/>
              </w:rPr>
              <w:t>、投标供应商信用信息查询记录和证据留存的具体方式：网页截图打印；</w:t>
            </w:r>
          </w:p>
          <w:p>
            <w:pPr>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rPr>
              <w:t>、信用信息的使用规则：“信用中国”被列入失信被执行人名单、重大税收违法案件当事人名单的供应商，或“中国政府采购网”具有严重违法失信行为信息记录的供应商，其投标做无效投标处理。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9"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s="Arial"/>
                <w:color w:val="auto"/>
                <w:sz w:val="22"/>
                <w:szCs w:val="22"/>
                <w:highlight w:val="none"/>
              </w:rPr>
            </w:pPr>
            <w:r>
              <w:rPr>
                <w:rFonts w:hint="eastAsia" w:ascii="宋体" w:cs="Arial"/>
                <w:color w:val="auto"/>
                <w:sz w:val="22"/>
                <w:szCs w:val="22"/>
                <w:highlight w:val="none"/>
              </w:rPr>
              <w:t>合同备案</w:t>
            </w:r>
          </w:p>
        </w:tc>
        <w:tc>
          <w:tcPr>
            <w:tcW w:w="7619" w:type="dxa"/>
            <w:vAlign w:val="center"/>
          </w:tcPr>
          <w:p>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rPr>
              <w:t>、中标供应商须在发出中标通知书之日起</w:t>
            </w:r>
            <w:r>
              <w:rPr>
                <w:rFonts w:ascii="宋体" w:cs="Arial"/>
                <w:color w:val="auto"/>
                <w:sz w:val="22"/>
                <w:szCs w:val="22"/>
                <w:highlight w:val="none"/>
              </w:rPr>
              <w:t>30</w:t>
            </w:r>
            <w:r>
              <w:rPr>
                <w:rFonts w:hint="eastAsia" w:ascii="宋体" w:cs="Arial"/>
                <w:color w:val="auto"/>
                <w:sz w:val="22"/>
                <w:szCs w:val="22"/>
                <w:highlight w:val="none"/>
              </w:rPr>
              <w:t>日历天内与采购人签订合同。</w:t>
            </w:r>
          </w:p>
          <w:p>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rPr>
              <w:t>、中标供应商与采购人签订合同后，</w:t>
            </w:r>
            <w:r>
              <w:rPr>
                <w:rFonts w:ascii="宋体" w:cs="Arial"/>
                <w:color w:val="auto"/>
                <w:sz w:val="22"/>
                <w:szCs w:val="22"/>
                <w:highlight w:val="none"/>
              </w:rPr>
              <w:t>2</w:t>
            </w:r>
            <w:r>
              <w:rPr>
                <w:rFonts w:hint="eastAsia" w:ascii="宋体" w:cs="Arial"/>
                <w:color w:val="auto"/>
                <w:sz w:val="22"/>
                <w:szCs w:val="22"/>
                <w:highlight w:val="none"/>
              </w:rPr>
              <w:t>日历天内将合同原件交给招标代理机构备案。</w:t>
            </w:r>
          </w:p>
          <w:p>
            <w:pPr>
              <w:rPr>
                <w:rFonts w:ascii="宋体" w:cs="Arial"/>
                <w:color w:val="auto"/>
                <w:sz w:val="22"/>
                <w:szCs w:val="22"/>
                <w:highlight w:val="none"/>
              </w:rPr>
            </w:pPr>
            <w:r>
              <w:rPr>
                <w:rFonts w:ascii="宋体" w:cs="Arial"/>
                <w:color w:val="auto"/>
                <w:sz w:val="22"/>
                <w:szCs w:val="22"/>
                <w:highlight w:val="none"/>
              </w:rPr>
              <w:t>3</w:t>
            </w:r>
            <w:r>
              <w:rPr>
                <w:rFonts w:hint="eastAsia" w:ascii="宋体" w:cs="Arial"/>
                <w:color w:val="auto"/>
                <w:sz w:val="22"/>
                <w:szCs w:val="22"/>
                <w:highlight w:val="none"/>
              </w:rPr>
              <w:t>、本项目政府采购合同按规定在</w:t>
            </w:r>
            <w:r>
              <w:rPr>
                <w:rFonts w:hint="eastAsia"/>
                <w:color w:val="auto"/>
                <w:sz w:val="22"/>
                <w:szCs w:val="22"/>
                <w:highlight w:val="none"/>
              </w:rPr>
              <w:t>浙江政府采购网（</w:t>
            </w:r>
            <w:r>
              <w:rPr>
                <w:rFonts w:hint="eastAsia" w:ascii="宋体" w:hAnsi="宋体" w:cs="宋体"/>
                <w:color w:val="auto"/>
                <w:sz w:val="22"/>
                <w:highlight w:val="none"/>
              </w:rPr>
              <w:t>http://zfcg.czt.zj.gov.cn/</w:t>
            </w:r>
            <w:r>
              <w:rPr>
                <w:rFonts w:hint="eastAsia"/>
                <w:color w:val="auto"/>
                <w:sz w:val="22"/>
                <w:szCs w:val="22"/>
                <w:highlight w:val="none"/>
              </w:rPr>
              <w:t>）</w:t>
            </w:r>
            <w:r>
              <w:rPr>
                <w:rFonts w:hint="eastAsia" w:ascii="宋体" w:cs="Arial"/>
                <w:color w:val="auto"/>
                <w:sz w:val="22"/>
                <w:szCs w:val="22"/>
                <w:highlight w:val="none"/>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olor w:val="auto"/>
                <w:sz w:val="22"/>
                <w:szCs w:val="22"/>
                <w:highlight w:val="none"/>
              </w:rPr>
            </w:pPr>
            <w:r>
              <w:rPr>
                <w:rFonts w:hint="eastAsia" w:ascii="宋体"/>
                <w:color w:val="auto"/>
                <w:sz w:val="22"/>
                <w:szCs w:val="22"/>
                <w:highlight w:val="none"/>
              </w:rPr>
              <w:t>合同履约管理</w:t>
            </w:r>
          </w:p>
        </w:tc>
        <w:tc>
          <w:tcPr>
            <w:tcW w:w="7619" w:type="dxa"/>
            <w:vAlign w:val="center"/>
          </w:tcPr>
          <w:p>
            <w:pPr>
              <w:rPr>
                <w:rFonts w:ascii="宋体" w:cs="Arial"/>
                <w:color w:val="auto"/>
                <w:sz w:val="22"/>
                <w:szCs w:val="22"/>
                <w:highlight w:val="none"/>
              </w:rPr>
            </w:pPr>
            <w:r>
              <w:rPr>
                <w:rFonts w:hint="eastAsia" w:ascii="宋体" w:cs="Arial"/>
                <w:color w:val="auto"/>
                <w:sz w:val="22"/>
                <w:szCs w:val="22"/>
                <w:highlight w:val="none"/>
              </w:rPr>
              <w:t>合同签订后，采购人依法加强对合同履约进行管理，并在中标供应商供货、项目验收等重要关节，如实填写《合同验收报告》（表附合同条款中），并及时向同级财政部门报告验收过程中遇到的问题。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olor w:val="auto"/>
                <w:sz w:val="22"/>
                <w:szCs w:val="22"/>
                <w:highlight w:val="none"/>
              </w:rPr>
            </w:pPr>
            <w:r>
              <w:rPr>
                <w:rFonts w:hint="eastAsia" w:ascii="宋体"/>
                <w:color w:val="auto"/>
                <w:sz w:val="22"/>
                <w:szCs w:val="22"/>
                <w:highlight w:val="none"/>
              </w:rPr>
              <w:t>免责声明</w:t>
            </w:r>
          </w:p>
        </w:tc>
        <w:tc>
          <w:tcPr>
            <w:tcW w:w="7619" w:type="dxa"/>
            <w:vAlign w:val="center"/>
          </w:tcPr>
          <w:p>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rPr>
              <w:t>、投标供应商自行承担投标过程中产生的费用。无论何种因素导致采购项目延期开标、废标（流标）、投标供应商未中标、项目终止采购的，采购人与代理机构均不承担供应商投标费用。</w:t>
            </w:r>
          </w:p>
          <w:p>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rPr>
              <w:t>、投标供应商在投标、合同履行过程中必须做好安全保障工作，不因项目实施而危及自身及第三方人员、财产安全。若发生任何安全事故，由中标供应商自行承担一切责任并赔偿损失。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vAlign w:val="center"/>
          </w:tcPr>
          <w:p>
            <w:pPr>
              <w:jc w:val="center"/>
              <w:rPr>
                <w:rFonts w:ascii="宋体" w:cs="Arial"/>
                <w:color w:val="auto"/>
                <w:sz w:val="22"/>
                <w:szCs w:val="22"/>
                <w:highlight w:val="none"/>
              </w:rPr>
            </w:pPr>
            <w:r>
              <w:rPr>
                <w:rFonts w:hint="eastAsia" w:ascii="宋体" w:cs="Arial"/>
                <w:color w:val="auto"/>
                <w:sz w:val="22"/>
                <w:szCs w:val="22"/>
                <w:highlight w:val="none"/>
              </w:rPr>
              <w:t>解释权</w:t>
            </w:r>
          </w:p>
        </w:tc>
        <w:tc>
          <w:tcPr>
            <w:tcW w:w="7619" w:type="dxa"/>
            <w:vAlign w:val="center"/>
          </w:tcPr>
          <w:p>
            <w:pPr>
              <w:rPr>
                <w:rFonts w:ascii="宋体" w:cs="Arial"/>
                <w:color w:val="auto"/>
                <w:sz w:val="22"/>
                <w:szCs w:val="22"/>
                <w:highlight w:val="none"/>
              </w:rPr>
            </w:pPr>
            <w:r>
              <w:rPr>
                <w:rFonts w:hint="eastAsia" w:ascii="宋体" w:cs="Arial"/>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pPr>
              <w:widowControl/>
              <w:numPr>
                <w:ilvl w:val="0"/>
                <w:numId w:val="6"/>
              </w:numPr>
              <w:tabs>
                <w:tab w:val="left" w:pos="420"/>
                <w:tab w:val="clear" w:pos="720"/>
              </w:tabs>
              <w:ind w:left="420" w:hanging="420"/>
              <w:jc w:val="right"/>
              <w:rPr>
                <w:rFonts w:ascii="宋体" w:cs="Arial"/>
                <w:color w:val="auto"/>
                <w:sz w:val="22"/>
                <w:szCs w:val="22"/>
                <w:highlight w:val="none"/>
              </w:rPr>
            </w:pPr>
          </w:p>
        </w:tc>
        <w:tc>
          <w:tcPr>
            <w:tcW w:w="1600" w:type="dxa"/>
            <w:tcBorders>
              <w:bottom w:val="single" w:color="auto" w:sz="12" w:space="0"/>
            </w:tcBorders>
            <w:vAlign w:val="center"/>
          </w:tcPr>
          <w:p>
            <w:pPr>
              <w:rPr>
                <w:rFonts w:ascii="宋体" w:cs="Arial"/>
                <w:color w:val="auto"/>
                <w:sz w:val="22"/>
                <w:szCs w:val="22"/>
                <w:highlight w:val="none"/>
              </w:rPr>
            </w:pPr>
            <w:r>
              <w:rPr>
                <w:rFonts w:hint="eastAsia" w:ascii="宋体" w:cs="Arial"/>
                <w:color w:val="auto"/>
                <w:sz w:val="22"/>
                <w:szCs w:val="22"/>
                <w:highlight w:val="none"/>
              </w:rPr>
              <w:t>注意事项</w:t>
            </w:r>
          </w:p>
        </w:tc>
        <w:tc>
          <w:tcPr>
            <w:tcW w:w="7619" w:type="dxa"/>
            <w:tcBorders>
              <w:bottom w:val="single" w:color="auto" w:sz="12" w:space="0"/>
            </w:tcBorders>
            <w:vAlign w:val="center"/>
          </w:tcPr>
          <w:p>
            <w:pPr>
              <w:rPr>
                <w:rFonts w:ascii="宋体" w:cs="Arial"/>
                <w:color w:val="auto"/>
                <w:sz w:val="22"/>
                <w:szCs w:val="22"/>
                <w:highlight w:val="none"/>
              </w:rPr>
            </w:pPr>
            <w:r>
              <w:rPr>
                <w:rFonts w:hint="eastAsia" w:ascii="宋体" w:cs="Arial"/>
                <w:color w:val="auto"/>
                <w:sz w:val="22"/>
                <w:szCs w:val="22"/>
                <w:highlight w:val="none"/>
              </w:rPr>
              <w:t>1.请务必确保投标文件制作客户端为最新版本，旧版本可能导致投标文件解密失败。</w:t>
            </w:r>
          </w:p>
          <w:p>
            <w:pPr>
              <w:rPr>
                <w:rFonts w:ascii="宋体" w:cs="Arial"/>
                <w:color w:val="auto"/>
                <w:sz w:val="22"/>
                <w:szCs w:val="22"/>
                <w:highlight w:val="none"/>
              </w:rPr>
            </w:pPr>
            <w:r>
              <w:rPr>
                <w:rFonts w:hint="eastAsia" w:ascii="宋体" w:cs="Arial"/>
                <w:color w:val="auto"/>
                <w:sz w:val="22"/>
                <w:szCs w:val="22"/>
                <w:highlight w:val="none"/>
              </w:rPr>
              <w:t>2.请务必确保投标文件制作时所用的 CA 锁与投标文件解密时的 CA 锁为同一把，否则可能导致投标文件解密失败。</w:t>
            </w:r>
          </w:p>
        </w:tc>
      </w:tr>
    </w:tbl>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rFonts w:ascii="宋体" w:hAnsi="宋体"/>
          <w:b/>
          <w:color w:val="auto"/>
          <w:sz w:val="32"/>
          <w:szCs w:val="32"/>
          <w:highlight w:val="none"/>
        </w:rPr>
      </w:pPr>
    </w:p>
    <w:p>
      <w:pPr>
        <w:autoSpaceDE w:val="0"/>
        <w:autoSpaceDN w:val="0"/>
        <w:adjustRightInd w:val="0"/>
        <w:snapToGrid w:val="0"/>
        <w:spacing w:line="400" w:lineRule="atLeast"/>
        <w:jc w:val="center"/>
        <w:textAlignment w:val="bottom"/>
        <w:rPr>
          <w:color w:val="auto"/>
          <w:highlight w:val="none"/>
        </w:rPr>
      </w:pPr>
      <w:r>
        <w:rPr>
          <w:rFonts w:hint="eastAsia" w:ascii="宋体" w:hAnsi="宋体"/>
          <w:b/>
          <w:color w:val="auto"/>
          <w:sz w:val="32"/>
          <w:szCs w:val="32"/>
          <w:highlight w:val="none"/>
        </w:rPr>
        <w:t>第二部分 招标内容及技术要求</w:t>
      </w:r>
      <w:bookmarkStart w:id="12" w:name="_Toc142902564"/>
      <w:bookmarkEnd w:id="12"/>
    </w:p>
    <w:p>
      <w:pPr>
        <w:snapToGrid w:val="0"/>
        <w:spacing w:line="400" w:lineRule="exact"/>
        <w:ind w:firstLine="431" w:firstLineChars="196"/>
        <w:rPr>
          <w:rFonts w:ascii="宋体" w:hAnsi="宋体" w:cs="宋体"/>
          <w:b/>
          <w:color w:val="auto"/>
          <w:sz w:val="22"/>
          <w:szCs w:val="22"/>
          <w:highlight w:val="none"/>
        </w:rPr>
      </w:pPr>
      <w:bookmarkStart w:id="13" w:name="_Toc518847666"/>
      <w:r>
        <w:rPr>
          <w:rFonts w:hint="eastAsia" w:ascii="宋体" w:hAnsi="宋体" w:cs="宋体"/>
          <w:color w:val="auto"/>
          <w:sz w:val="22"/>
          <w:szCs w:val="22"/>
          <w:highlight w:val="none"/>
        </w:rPr>
        <w:t xml:space="preserve"> </w:t>
      </w:r>
      <w:bookmarkStart w:id="14" w:name="_Toc518847667"/>
      <w:bookmarkStart w:id="15" w:name="_Toc15813"/>
      <w:r>
        <w:rPr>
          <w:rFonts w:hint="eastAsia" w:ascii="宋体" w:hAnsi="宋体" w:cs="宋体"/>
          <w:b/>
          <w:bCs/>
          <w:color w:val="auto"/>
          <w:sz w:val="22"/>
          <w:szCs w:val="22"/>
          <w:highlight w:val="none"/>
        </w:rPr>
        <w:t>一、</w:t>
      </w:r>
      <w:bookmarkEnd w:id="14"/>
      <w:bookmarkEnd w:id="15"/>
      <w:bookmarkStart w:id="16" w:name="_Toc23180"/>
      <w:bookmarkStart w:id="17" w:name="_Toc522117517"/>
      <w:r>
        <w:rPr>
          <w:rFonts w:hint="eastAsia" w:ascii="宋体" w:hAnsi="宋体" w:cs="宋体"/>
          <w:b/>
          <w:color w:val="auto"/>
          <w:sz w:val="22"/>
          <w:szCs w:val="22"/>
          <w:highlight w:val="none"/>
        </w:rPr>
        <w:t>项目背景</w:t>
      </w:r>
      <w:bookmarkEnd w:id="16"/>
    </w:p>
    <w:p>
      <w:pPr>
        <w:pStyle w:val="79"/>
        <w:spacing w:line="400" w:lineRule="exact"/>
        <w:ind w:firstLine="440" w:firstLineChars="200"/>
        <w:rPr>
          <w:rFonts w:ascii="宋体" w:hAnsi="宋体" w:cs="宋体"/>
          <w:color w:val="auto"/>
          <w:sz w:val="22"/>
          <w:szCs w:val="22"/>
          <w:highlight w:val="none"/>
        </w:rPr>
      </w:pPr>
      <w:r>
        <w:rPr>
          <w:rFonts w:hint="eastAsia" w:ascii="宋体" w:hAnsi="宋体" w:cs="宋体"/>
          <w:bCs/>
          <w:color w:val="auto"/>
          <w:sz w:val="22"/>
          <w:szCs w:val="22"/>
          <w:highlight w:val="none"/>
        </w:rPr>
        <w:t>“加快培育生活垃圾再生资源回收利用市场主体，构建全链条回收利用体系”，是深入贯彻落实习近平总书记关于垃圾分类系列重要指示、省市垃圾治理攻坚大会以及有关文件精神的重要抓手（《浙江省城镇生活垃圾分类管理理办法》《关于加快培育生活垃圾再生资源回收利用市场主体的意见》《关于高水平推进生活垃圾治理工作的意见》《浙江省“无废城市”建设实施方案》。根据县委县政府高水平推进我县城区生活垃圾分类工作，打造全省领先的城区生活垃圾分类“泰顺模式”的指示精神，本项目针对生活垃圾中的可回收物和有害垃圾，前端由居民分类，将生活垃圾中的可回收物和有害垃圾投放至指定专用收集袋，再由中标单位上门收集，将收集袋中的垃圾运送至分拣中心精细化分拣，促进资源回收利用，并对全过程进行智慧化监管。</w:t>
      </w:r>
    </w:p>
    <w:p>
      <w:pPr>
        <w:snapToGrid w:val="0"/>
        <w:spacing w:line="40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二、服务范围及内容</w:t>
      </w:r>
    </w:p>
    <w:p>
      <w:pPr>
        <w:adjustRightInd w:val="0"/>
        <w:spacing w:line="400" w:lineRule="exact"/>
        <w:ind w:firstLine="440" w:firstLineChars="200"/>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本项目服务范围为纳入服务区域的</w:t>
      </w:r>
      <w:r>
        <w:rPr>
          <w:rFonts w:hint="eastAsia" w:ascii="宋体" w:hAnsi="宋体" w:cs="宋体"/>
          <w:color w:val="auto"/>
          <w:kern w:val="56"/>
          <w:sz w:val="22"/>
          <w:szCs w:val="22"/>
          <w:highlight w:val="none"/>
          <w:shd w:val="clear" w:color="auto" w:fill="FFFFFF"/>
        </w:rPr>
        <w:t>的居民住宅、商铺、企事业单位（工业企业除外）等</w:t>
      </w:r>
      <w:r>
        <w:rPr>
          <w:rFonts w:hint="eastAsia" w:ascii="宋体" w:hAnsi="宋体" w:cs="宋体"/>
          <w:color w:val="auto"/>
          <w:kern w:val="0"/>
          <w:sz w:val="22"/>
          <w:szCs w:val="22"/>
          <w:highlight w:val="none"/>
        </w:rPr>
        <w:t>，数量</w:t>
      </w:r>
      <w:r>
        <w:rPr>
          <w:rFonts w:hint="eastAsia" w:ascii="宋体" w:hAnsi="宋体" w:cs="宋体"/>
          <w:color w:val="auto"/>
          <w:sz w:val="22"/>
          <w:szCs w:val="22"/>
          <w:highlight w:val="none"/>
        </w:rPr>
        <w:t>不低于</w:t>
      </w:r>
      <w:r>
        <w:rPr>
          <w:rFonts w:hint="eastAsia" w:ascii="宋体" w:hAnsi="宋体" w:cs="宋体"/>
          <w:color w:val="auto"/>
          <w:kern w:val="0"/>
          <w:sz w:val="22"/>
          <w:szCs w:val="22"/>
          <w:highlight w:val="none"/>
        </w:rPr>
        <w:t>32000户。</w:t>
      </w:r>
    </w:p>
    <w:tbl>
      <w:tblPr>
        <w:tblStyle w:val="28"/>
        <w:tblW w:w="4755" w:type="pct"/>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2458"/>
        <w:gridCol w:w="1649"/>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Align w:val="center"/>
          </w:tcPr>
          <w:p>
            <w:pPr>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区块</w:t>
            </w:r>
          </w:p>
        </w:tc>
        <w:tc>
          <w:tcPr>
            <w:tcW w:w="1398" w:type="pct"/>
            <w:vAlign w:val="center"/>
          </w:tcPr>
          <w:p>
            <w:pPr>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社区</w:t>
            </w:r>
          </w:p>
        </w:tc>
        <w:tc>
          <w:tcPr>
            <w:tcW w:w="937" w:type="pct"/>
            <w:vAlign w:val="center"/>
          </w:tcPr>
          <w:p>
            <w:pPr>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户数</w:t>
            </w:r>
          </w:p>
        </w:tc>
        <w:tc>
          <w:tcPr>
            <w:tcW w:w="1817" w:type="pct"/>
            <w:vAlign w:val="center"/>
          </w:tcPr>
          <w:p>
            <w:pPr>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Merge w:val="restart"/>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泰顺县城区</w:t>
            </w:r>
          </w:p>
        </w:tc>
        <w:tc>
          <w:tcPr>
            <w:tcW w:w="1398" w:type="pct"/>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东龙社区</w:t>
            </w:r>
          </w:p>
        </w:tc>
        <w:tc>
          <w:tcPr>
            <w:tcW w:w="937" w:type="pct"/>
            <w:vMerge w:val="restart"/>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不低于32000户</w:t>
            </w:r>
          </w:p>
        </w:tc>
        <w:tc>
          <w:tcPr>
            <w:tcW w:w="1817" w:type="pct"/>
            <w:vMerge w:val="restart"/>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kern w:val="56"/>
                <w:sz w:val="22"/>
                <w:szCs w:val="22"/>
                <w:highlight w:val="none"/>
                <w:shd w:val="clear" w:color="auto" w:fill="FFFFFF"/>
              </w:rPr>
              <w:t>最高限价</w:t>
            </w:r>
            <w:r>
              <w:rPr>
                <w:rFonts w:hint="eastAsia" w:ascii="宋体" w:hAnsi="宋体" w:cs="宋体"/>
                <w:color w:val="auto"/>
                <w:kern w:val="56"/>
                <w:sz w:val="22"/>
                <w:szCs w:val="22"/>
                <w:highlight w:val="none"/>
                <w:shd w:val="clear" w:color="auto" w:fill="FFFFFF"/>
                <w:lang w:val="zh-CN"/>
              </w:rPr>
              <w:t>：</w:t>
            </w:r>
            <w:r>
              <w:rPr>
                <w:rFonts w:hint="eastAsia" w:ascii="宋体" w:hAnsi="宋体" w:cs="宋体"/>
                <w:color w:val="auto"/>
                <w:kern w:val="56"/>
                <w:sz w:val="22"/>
                <w:szCs w:val="22"/>
                <w:highlight w:val="none"/>
                <w:shd w:val="clear" w:color="auto" w:fill="FFFFFF"/>
              </w:rPr>
              <w:t>1066.2015</w:t>
            </w:r>
            <w:r>
              <w:rPr>
                <w:rFonts w:hint="eastAsia" w:ascii="宋体" w:hAnsi="宋体" w:cs="宋体"/>
                <w:color w:val="auto"/>
                <w:kern w:val="56"/>
                <w:sz w:val="22"/>
                <w:szCs w:val="22"/>
                <w:highlight w:val="none"/>
                <w:shd w:val="clear" w:color="auto" w:fill="FFFFFF"/>
                <w:lang w:val="zh-CN" w:eastAsia="zh-Hans"/>
              </w:rPr>
              <w:t>万元/年</w:t>
            </w:r>
            <w:r>
              <w:rPr>
                <w:rFonts w:hint="eastAsia" w:ascii="宋体" w:hAnsi="宋体" w:cs="宋体"/>
                <w:color w:val="auto"/>
                <w:kern w:val="56"/>
                <w:sz w:val="22"/>
                <w:szCs w:val="22"/>
                <w:highlight w:val="none"/>
                <w:shd w:val="clear" w:color="auto" w:fill="FFFFFF"/>
                <w:lang w:val="zh-CN"/>
              </w:rPr>
              <w:t>,</w:t>
            </w:r>
            <w:r>
              <w:rPr>
                <w:rFonts w:hint="eastAsia" w:ascii="宋体" w:hAnsi="宋体" w:cs="宋体"/>
                <w:color w:val="auto"/>
                <w:kern w:val="56"/>
                <w:sz w:val="22"/>
                <w:szCs w:val="22"/>
                <w:highlight w:val="none"/>
                <w:shd w:val="clear" w:color="auto" w:fill="FFFFFF"/>
              </w:rPr>
              <w:t>每户单价</w:t>
            </w:r>
            <w:r>
              <w:rPr>
                <w:rFonts w:hint="eastAsia" w:ascii="宋体" w:hAnsi="宋体" w:cs="宋体"/>
                <w:color w:val="auto"/>
                <w:kern w:val="56"/>
                <w:sz w:val="22"/>
                <w:szCs w:val="22"/>
                <w:highlight w:val="none"/>
                <w:shd w:val="clear" w:color="auto" w:fill="FFFFFF"/>
                <w:lang w:val="zh-CN"/>
              </w:rPr>
              <w:t>不得超过</w:t>
            </w:r>
            <w:r>
              <w:rPr>
                <w:rFonts w:hint="eastAsia" w:ascii="宋体" w:hAnsi="宋体" w:cs="宋体"/>
                <w:color w:val="auto"/>
                <w:kern w:val="56"/>
                <w:sz w:val="22"/>
                <w:szCs w:val="22"/>
                <w:highlight w:val="none"/>
                <w:shd w:val="clear" w:color="auto" w:fill="FFFFFF"/>
              </w:rPr>
              <w:t>3</w:t>
            </w:r>
            <w:r>
              <w:rPr>
                <w:rFonts w:hint="eastAsia" w:ascii="宋体" w:hAnsi="宋体" w:cs="宋体"/>
                <w:color w:val="auto"/>
                <w:kern w:val="56"/>
                <w:sz w:val="22"/>
                <w:szCs w:val="22"/>
                <w:highlight w:val="none"/>
                <w:shd w:val="clear" w:color="auto" w:fill="FFFFFF"/>
                <w:lang w:val="zh-CN"/>
              </w:rPr>
              <w:t>32</w:t>
            </w:r>
            <w:r>
              <w:rPr>
                <w:rFonts w:hint="eastAsia" w:ascii="宋体" w:hAnsi="宋体" w:cs="宋体"/>
                <w:color w:val="auto"/>
                <w:kern w:val="56"/>
                <w:sz w:val="22"/>
                <w:szCs w:val="22"/>
                <w:highlight w:val="none"/>
                <w:shd w:val="clear" w:color="auto" w:fill="FFFFFF"/>
                <w:lang w:eastAsia="zh-Hans"/>
              </w:rPr>
              <w:t>.</w:t>
            </w:r>
            <w:r>
              <w:rPr>
                <w:rFonts w:hint="eastAsia" w:ascii="宋体" w:hAnsi="宋体" w:cs="宋体"/>
                <w:color w:val="auto"/>
                <w:kern w:val="56"/>
                <w:sz w:val="22"/>
                <w:szCs w:val="22"/>
                <w:highlight w:val="none"/>
                <w:shd w:val="clear" w:color="auto" w:fill="FFFFFF"/>
                <w:lang w:val="zh-CN" w:eastAsia="zh-Hans"/>
              </w:rPr>
              <w:t>15</w:t>
            </w:r>
            <w:r>
              <w:rPr>
                <w:rFonts w:hint="eastAsia" w:ascii="宋体" w:hAnsi="宋体" w:cs="宋体"/>
                <w:color w:val="auto"/>
                <w:kern w:val="56"/>
                <w:sz w:val="22"/>
                <w:szCs w:val="22"/>
                <w:highlight w:val="none"/>
                <w:shd w:val="clear" w:color="auto" w:fill="FFFFFF"/>
                <w:lang w:val="zh-CN"/>
              </w:rPr>
              <w:t>元/户/年。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Merge w:val="continue"/>
            <w:vAlign w:val="center"/>
          </w:tcPr>
          <w:p>
            <w:pPr>
              <w:spacing w:line="400" w:lineRule="exact"/>
              <w:jc w:val="center"/>
              <w:rPr>
                <w:rFonts w:ascii="宋体" w:hAnsi="宋体" w:cs="宋体"/>
                <w:color w:val="auto"/>
                <w:sz w:val="22"/>
                <w:szCs w:val="22"/>
                <w:highlight w:val="none"/>
              </w:rPr>
            </w:pPr>
          </w:p>
        </w:tc>
        <w:tc>
          <w:tcPr>
            <w:tcW w:w="1398" w:type="pct"/>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南洋社区</w:t>
            </w:r>
          </w:p>
        </w:tc>
        <w:tc>
          <w:tcPr>
            <w:tcW w:w="937" w:type="pct"/>
            <w:vMerge w:val="continue"/>
            <w:vAlign w:val="center"/>
          </w:tcPr>
          <w:p>
            <w:pPr>
              <w:spacing w:line="400" w:lineRule="exact"/>
              <w:jc w:val="center"/>
              <w:rPr>
                <w:rFonts w:ascii="宋体" w:hAnsi="宋体" w:cs="宋体"/>
                <w:color w:val="auto"/>
                <w:sz w:val="22"/>
                <w:szCs w:val="22"/>
                <w:highlight w:val="none"/>
              </w:rPr>
            </w:pPr>
          </w:p>
        </w:tc>
        <w:tc>
          <w:tcPr>
            <w:tcW w:w="1817" w:type="pct"/>
            <w:vMerge w:val="continue"/>
            <w:vAlign w:val="center"/>
          </w:tcPr>
          <w:p>
            <w:pPr>
              <w:spacing w:line="40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Merge w:val="continue"/>
            <w:vAlign w:val="center"/>
          </w:tcPr>
          <w:p>
            <w:pPr>
              <w:spacing w:line="400" w:lineRule="exact"/>
              <w:jc w:val="center"/>
              <w:rPr>
                <w:rFonts w:ascii="宋体" w:hAnsi="宋体" w:cs="宋体"/>
                <w:color w:val="auto"/>
                <w:sz w:val="22"/>
                <w:szCs w:val="22"/>
                <w:highlight w:val="none"/>
              </w:rPr>
            </w:pPr>
          </w:p>
        </w:tc>
        <w:tc>
          <w:tcPr>
            <w:tcW w:w="1398" w:type="pct"/>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关山社区</w:t>
            </w:r>
          </w:p>
        </w:tc>
        <w:tc>
          <w:tcPr>
            <w:tcW w:w="937" w:type="pct"/>
            <w:vMerge w:val="continue"/>
            <w:vAlign w:val="center"/>
          </w:tcPr>
          <w:p>
            <w:pPr>
              <w:spacing w:line="400" w:lineRule="exact"/>
              <w:jc w:val="center"/>
              <w:rPr>
                <w:rFonts w:ascii="宋体" w:hAnsi="宋体" w:cs="宋体"/>
                <w:color w:val="auto"/>
                <w:sz w:val="22"/>
                <w:szCs w:val="22"/>
                <w:highlight w:val="none"/>
              </w:rPr>
            </w:pPr>
          </w:p>
        </w:tc>
        <w:tc>
          <w:tcPr>
            <w:tcW w:w="1817" w:type="pct"/>
            <w:vMerge w:val="continue"/>
            <w:vAlign w:val="center"/>
          </w:tcPr>
          <w:p>
            <w:pPr>
              <w:spacing w:line="40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Merge w:val="continue"/>
            <w:vAlign w:val="center"/>
          </w:tcPr>
          <w:p>
            <w:pPr>
              <w:spacing w:line="400" w:lineRule="exact"/>
              <w:jc w:val="center"/>
              <w:rPr>
                <w:rFonts w:ascii="宋体" w:hAnsi="宋体" w:cs="宋体"/>
                <w:color w:val="auto"/>
                <w:sz w:val="22"/>
                <w:szCs w:val="22"/>
                <w:highlight w:val="none"/>
              </w:rPr>
            </w:pPr>
          </w:p>
        </w:tc>
        <w:tc>
          <w:tcPr>
            <w:tcW w:w="1398" w:type="pct"/>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万罗社区</w:t>
            </w:r>
          </w:p>
        </w:tc>
        <w:tc>
          <w:tcPr>
            <w:tcW w:w="937" w:type="pct"/>
            <w:vMerge w:val="continue"/>
            <w:vAlign w:val="center"/>
          </w:tcPr>
          <w:p>
            <w:pPr>
              <w:spacing w:line="400" w:lineRule="exact"/>
              <w:jc w:val="center"/>
              <w:rPr>
                <w:rFonts w:ascii="宋体" w:hAnsi="宋体" w:cs="宋体"/>
                <w:color w:val="auto"/>
                <w:sz w:val="22"/>
                <w:szCs w:val="22"/>
                <w:highlight w:val="none"/>
              </w:rPr>
            </w:pPr>
          </w:p>
        </w:tc>
        <w:tc>
          <w:tcPr>
            <w:tcW w:w="1817" w:type="pct"/>
            <w:vMerge w:val="continue"/>
            <w:vAlign w:val="center"/>
          </w:tcPr>
          <w:p>
            <w:pPr>
              <w:spacing w:line="40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Merge w:val="continue"/>
            <w:vAlign w:val="center"/>
          </w:tcPr>
          <w:p>
            <w:pPr>
              <w:spacing w:line="400" w:lineRule="exact"/>
              <w:jc w:val="center"/>
              <w:rPr>
                <w:rFonts w:ascii="宋体" w:hAnsi="宋体" w:cs="宋体"/>
                <w:color w:val="auto"/>
                <w:sz w:val="22"/>
                <w:szCs w:val="22"/>
                <w:highlight w:val="none"/>
              </w:rPr>
            </w:pPr>
          </w:p>
        </w:tc>
        <w:tc>
          <w:tcPr>
            <w:tcW w:w="1398" w:type="pct"/>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文祥社区</w:t>
            </w:r>
          </w:p>
        </w:tc>
        <w:tc>
          <w:tcPr>
            <w:tcW w:w="937" w:type="pct"/>
            <w:vMerge w:val="continue"/>
            <w:vAlign w:val="center"/>
          </w:tcPr>
          <w:p>
            <w:pPr>
              <w:spacing w:line="400" w:lineRule="exact"/>
              <w:jc w:val="center"/>
              <w:rPr>
                <w:rFonts w:ascii="宋体" w:hAnsi="宋体" w:cs="宋体"/>
                <w:color w:val="auto"/>
                <w:sz w:val="22"/>
                <w:szCs w:val="22"/>
                <w:highlight w:val="none"/>
              </w:rPr>
            </w:pPr>
          </w:p>
        </w:tc>
        <w:tc>
          <w:tcPr>
            <w:tcW w:w="1817" w:type="pct"/>
            <w:vMerge w:val="continue"/>
            <w:vAlign w:val="center"/>
          </w:tcPr>
          <w:p>
            <w:pPr>
              <w:spacing w:line="40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Merge w:val="continue"/>
            <w:vAlign w:val="center"/>
          </w:tcPr>
          <w:p>
            <w:pPr>
              <w:spacing w:line="400" w:lineRule="exact"/>
              <w:jc w:val="center"/>
              <w:rPr>
                <w:rFonts w:ascii="宋体" w:hAnsi="宋体" w:cs="宋体"/>
                <w:color w:val="auto"/>
                <w:sz w:val="22"/>
                <w:szCs w:val="22"/>
                <w:highlight w:val="none"/>
              </w:rPr>
            </w:pPr>
          </w:p>
        </w:tc>
        <w:tc>
          <w:tcPr>
            <w:tcW w:w="1398" w:type="pct"/>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金湖社区</w:t>
            </w:r>
          </w:p>
        </w:tc>
        <w:tc>
          <w:tcPr>
            <w:tcW w:w="937" w:type="pct"/>
            <w:vMerge w:val="continue"/>
            <w:vAlign w:val="center"/>
          </w:tcPr>
          <w:p>
            <w:pPr>
              <w:spacing w:line="400" w:lineRule="exact"/>
              <w:jc w:val="center"/>
              <w:rPr>
                <w:rFonts w:ascii="宋体" w:hAnsi="宋体" w:cs="宋体"/>
                <w:color w:val="auto"/>
                <w:sz w:val="22"/>
                <w:szCs w:val="22"/>
                <w:highlight w:val="none"/>
              </w:rPr>
            </w:pPr>
          </w:p>
        </w:tc>
        <w:tc>
          <w:tcPr>
            <w:tcW w:w="1817" w:type="pct"/>
            <w:vMerge w:val="continue"/>
            <w:vAlign w:val="center"/>
          </w:tcPr>
          <w:p>
            <w:pPr>
              <w:spacing w:line="400" w:lineRule="exact"/>
              <w:jc w:val="center"/>
              <w:rPr>
                <w:rFonts w:ascii="宋体" w:hAnsi="宋体" w:cs="宋体"/>
                <w:color w:val="auto"/>
                <w:sz w:val="22"/>
                <w:szCs w:val="22"/>
                <w:highlight w:val="none"/>
              </w:rPr>
            </w:pPr>
          </w:p>
        </w:tc>
      </w:tr>
    </w:tbl>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1、生活垃圾分类方式</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针对</w:t>
      </w:r>
      <w:r>
        <w:rPr>
          <w:rFonts w:hint="eastAsia" w:ascii="宋体" w:hAnsi="宋体" w:cs="宋体"/>
          <w:color w:val="auto"/>
          <w:kern w:val="56"/>
          <w:sz w:val="22"/>
          <w:szCs w:val="22"/>
          <w:highlight w:val="none"/>
          <w:shd w:val="clear" w:color="auto" w:fill="FFFFFF"/>
        </w:rPr>
        <w:t>居民住宅、商铺、企事业单位（工业企业除外）等</w:t>
      </w:r>
      <w:r>
        <w:rPr>
          <w:rFonts w:hint="eastAsia" w:ascii="宋体" w:hAnsi="宋体" w:cs="宋体"/>
          <w:bCs/>
          <w:color w:val="auto"/>
          <w:sz w:val="22"/>
          <w:szCs w:val="22"/>
          <w:highlight w:val="none"/>
        </w:rPr>
        <w:t xml:space="preserve">，将生活垃圾中的可回收物和有害垃圾分类投放至中标单位提供的专用收集袋内。 </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1.1可回收物类</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包括玻璃类、金属类、塑料类、纸类、纺织类、废弃电子产品类、废纸铝塑复合包装等（以《浙江省城镇生活垃圾分类标准》中的垃圾类别为准）。</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1.2有害垃圾类</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废电池类、废灯管灯泡类、家用化学品类、显影胶片、废水银温度计等（以《浙江省城镇生活垃圾分类标准》中的垃圾类别为准）。</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2、生活垃圾收运流程</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002.1配置服务站</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统一按照平均2000户左右居民为单位，建设1个服务站。服务站用房由中标方负责租赁，租赁费用包含在采购费用中。中标方负责配置上门回收人员、回收工具、收运车辆等。</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2.2前端分类</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（1）建立居民垃圾分类回收呼叫信息平台，建立企业与居民互动的APP、微信号等实时呼叫系统，该系统向居民展示生活垃圾的分类方式、呼叫通道、呼叫信息，生活垃圾分类回收信息实时纳入信息平台。</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定期向用户发放专用收集袋、收集袋支架和居民分类手册。可回收物专用收集袋和支架是垃圾分类体系的最前端，收集袋的设计容量平均可装纳约10kg可回收物。由街道、社区组织，协助中标方向居民发放专用生活垃圾收集袋、支架以及垃圾分类手册，中标方按照采购人的要求对居民进行分类投放指导，相关费用由中标方承担。</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（3）分类投放。居民根据《浙江省城镇生活垃圾分类标准》中的垃圾类别，将可回收物和有害垃圾投放至专用收集袋中。</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（4）呼叫回收员。居民通过中标方提供的微信公众号、APP等方式，呼叫上门回收服务，回收员必须在1小时内上门服务。</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（5）鼓励措施。为鼓励居民垃圾分类的积极性，对居民投放至收集袋中的可回收物、有害垃圾，给于环保积分奖励，</w:t>
      </w:r>
      <w:r>
        <w:rPr>
          <w:rFonts w:hint="eastAsia" w:ascii="宋体" w:hAnsi="宋体" w:cs="宋体"/>
          <w:bCs/>
          <w:color w:val="auto"/>
          <w:sz w:val="22"/>
          <w:szCs w:val="22"/>
          <w:highlight w:val="none"/>
          <w:lang w:eastAsia="zh-Hans"/>
        </w:rPr>
        <w:t>居民精细分类后单独打包回收的</w:t>
      </w:r>
      <w:r>
        <w:rPr>
          <w:rFonts w:hint="eastAsia" w:ascii="宋体" w:hAnsi="宋体" w:cs="宋体"/>
          <w:bCs/>
          <w:color w:val="auto"/>
          <w:sz w:val="22"/>
          <w:szCs w:val="22"/>
          <w:highlight w:val="none"/>
        </w:rPr>
        <w:t>废纸类垃圾根据市场调节价实施；</w:t>
      </w:r>
      <w:r>
        <w:rPr>
          <w:rFonts w:hint="eastAsia" w:ascii="宋体" w:hAnsi="宋体" w:cs="宋体"/>
          <w:bCs/>
          <w:color w:val="auto"/>
          <w:sz w:val="22"/>
          <w:szCs w:val="22"/>
          <w:highlight w:val="none"/>
          <w:lang w:eastAsia="zh-Hans"/>
        </w:rPr>
        <w:t>放入收集袋内的</w:t>
      </w:r>
      <w:r>
        <w:rPr>
          <w:rFonts w:hint="eastAsia" w:ascii="宋体" w:hAnsi="宋体" w:cs="宋体"/>
          <w:bCs/>
          <w:color w:val="auto"/>
          <w:sz w:val="22"/>
          <w:szCs w:val="22"/>
          <w:highlight w:val="none"/>
        </w:rPr>
        <w:t>玻璃类、纺织物类（衣服、鞋帽、床单被褥等）、</w:t>
      </w:r>
      <w:r>
        <w:rPr>
          <w:rFonts w:hint="eastAsia" w:ascii="宋体" w:hAnsi="宋体" w:cs="宋体"/>
          <w:bCs/>
          <w:color w:val="auto"/>
          <w:sz w:val="22"/>
          <w:szCs w:val="22"/>
          <w:highlight w:val="none"/>
          <w:lang w:eastAsia="zh-Hans"/>
        </w:rPr>
        <w:t>金属、塑料和零散的废纸</w:t>
      </w:r>
      <w:r>
        <w:rPr>
          <w:rFonts w:hint="eastAsia" w:ascii="宋体" w:hAnsi="宋体" w:cs="宋体"/>
          <w:bCs/>
          <w:color w:val="auto"/>
          <w:sz w:val="22"/>
          <w:szCs w:val="22"/>
          <w:highlight w:val="none"/>
        </w:rPr>
        <w:t>等混合类</w:t>
      </w:r>
      <w:r>
        <w:rPr>
          <w:rFonts w:hint="eastAsia" w:ascii="宋体" w:hAnsi="宋体" w:cs="宋体"/>
          <w:bCs/>
          <w:color w:val="auto"/>
          <w:sz w:val="22"/>
          <w:szCs w:val="22"/>
          <w:highlight w:val="none"/>
          <w:lang w:eastAsia="zh-Hans"/>
        </w:rPr>
        <w:t>可回收物及有害垃圾</w:t>
      </w:r>
      <w:r>
        <w:rPr>
          <w:rFonts w:hint="eastAsia" w:ascii="宋体" w:hAnsi="宋体" w:cs="宋体"/>
          <w:bCs/>
          <w:color w:val="auto"/>
          <w:sz w:val="22"/>
          <w:szCs w:val="22"/>
          <w:highlight w:val="none"/>
        </w:rPr>
        <w:t>按照0.3元/公斤计算。奖励的环保积分存入居民的账户中，积分标准可以由中标方根据市场情况调节（调节后须向采购人报备）。环保积分由中标单位支付，综合考虑在投标报价内。中标方必须满足居民通过互联网平台随时实现商品兑换，不允许中标方采用周、月等集中兑换方式。</w:t>
      </w:r>
    </w:p>
    <w:p>
      <w:pPr>
        <w:tabs>
          <w:tab w:val="left" w:pos="1200"/>
        </w:tabs>
        <w:adjustRightInd w:val="0"/>
        <w:snapToGrid w:val="0"/>
        <w:spacing w:line="400" w:lineRule="exact"/>
        <w:ind w:firstLine="440" w:firstLineChars="200"/>
        <w:rPr>
          <w:rFonts w:ascii="宋体" w:hAnsi="宋体" w:cs="宋体"/>
          <w:color w:val="auto"/>
          <w:sz w:val="22"/>
          <w:szCs w:val="22"/>
          <w:highlight w:val="none"/>
        </w:rPr>
      </w:pPr>
      <w:r>
        <w:rPr>
          <w:rFonts w:hint="eastAsia" w:ascii="宋体" w:hAnsi="宋体" w:cs="宋体"/>
          <w:bCs/>
          <w:color w:val="auto"/>
          <w:sz w:val="22"/>
          <w:szCs w:val="22"/>
          <w:highlight w:val="none"/>
        </w:rPr>
        <w:t>（6）每</w:t>
      </w:r>
      <w:r>
        <w:rPr>
          <w:rFonts w:hint="eastAsia" w:ascii="宋体" w:hAnsi="宋体" w:cs="宋体"/>
          <w:color w:val="auto"/>
          <w:sz w:val="22"/>
          <w:szCs w:val="22"/>
          <w:highlight w:val="none"/>
        </w:rPr>
        <w:t>年组织不少于2场大型宣传活动，每月不少于1次进社区宣传活动，社区宣传覆盖率100%。举办大型宣传活动前应将活动方案递交采购人审核。活动的奖品、照片、工作信息由中标方自行落实完成。</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color w:val="auto"/>
          <w:sz w:val="22"/>
          <w:szCs w:val="22"/>
          <w:highlight w:val="none"/>
        </w:rPr>
        <w:t>（7）</w:t>
      </w:r>
      <w:r>
        <w:rPr>
          <w:rFonts w:hint="eastAsia" w:ascii="宋体" w:hAnsi="宋体" w:cs="宋体"/>
          <w:bCs/>
          <w:color w:val="auto"/>
          <w:sz w:val="22"/>
          <w:szCs w:val="22"/>
          <w:highlight w:val="none"/>
        </w:rPr>
        <w:t>监管措施。中标方向政府提供垃圾分类信息监管平台，居民投放的垃圾分类信息，实时同步扫描纳入监管平台，住址信息详实到门牌号、居民信息精准到个人、重量信息精准到0.01公斤、投放时间精准到秒。</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2.3中端运输</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（1）日产日清。所有垃圾在服务站集中暂存，每日清运至分拣中心。</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（2）自备物流车辆。中标方自备密闭专用清运车，每个车辆安装GPS系统，车辆轨迹可查。</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（3）监管措施。每个服务站安装视频监控系统，实时监管，防止出现管理漏洞。服务站垃圾暂存重量信息，纳入企业监管系统备查，接受主管部门实时监管抽查。</w:t>
      </w:r>
    </w:p>
    <w:p>
      <w:pPr>
        <w:spacing w:before="120" w:beforeLines="50"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3、生活垃圾末端利用处置要求</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3.1分拣中心</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中标方须自行建立可回收物和有害垃圾分拣中心，允许租赁厂房运营，厂房面积不应低于2500㎡。分拣中心建设规划应符合《再生资源回收体系建设规范》，有害垃圾中转贮存应符合《危险废物贮存污染控制标准》。</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3.2资源化效率</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可回收物和有害垃圾在分拣中心进行精细分类，分类的品种不少于40种，分拣后再生原料的利用率达到95%以上。</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3.3分类垃圾去向</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精细分类后的垃圾作为再生原料进入下游资源利用企业，资源利用企业需具备合法经营的资质，5%以下的不可利用的垃圾和有害垃圾，由中标单位委托合法企业进行处置，做到无害化率100%。</w:t>
      </w:r>
    </w:p>
    <w:p>
      <w:pPr>
        <w:spacing w:before="120" w:beforeLines="50" w:line="400" w:lineRule="exact"/>
        <w:ind w:left="643"/>
        <w:rPr>
          <w:rFonts w:ascii="宋体" w:hAnsi="宋体" w:cs="宋体"/>
          <w:bCs/>
          <w:color w:val="auto"/>
          <w:sz w:val="22"/>
          <w:szCs w:val="22"/>
          <w:highlight w:val="none"/>
        </w:rPr>
      </w:pPr>
      <w:r>
        <w:rPr>
          <w:rFonts w:hint="eastAsia" w:ascii="宋体" w:hAnsi="宋体" w:cs="宋体"/>
          <w:bCs/>
          <w:color w:val="auto"/>
          <w:sz w:val="22"/>
          <w:szCs w:val="22"/>
          <w:highlight w:val="none"/>
        </w:rPr>
        <w:t>4、生活垃圾分类信息平台</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中标方必须为政府提供生活垃圾分类信息综合管理平台服务，由中标方投资开发、数据传输、链路租用及运营维护。为便于项目监管，平台对垃圾收集、运输及精细分类相关的数据录入或查询、汇总等功能向采购人开放。</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（1）精准到户的垃圾分类回收实时在线信息；</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垃圾分类统计实时动态信息，做到按照日、月、季度实时查看。包括且不限于：户均垃圾减量情况、居民参与情况、垃圾回收总量、积分发放和兑换信息、垃圾资源化利用情况、分类垃圾的最终去向信息。各类垃圾分类相关台账资料须根据主管部门要求，做到可随时提取、报送。</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（3）垃圾收集、运输及分拣中心的相关监控设施、GPS信息等数据接入。</w:t>
      </w:r>
    </w:p>
    <w:p>
      <w:pPr>
        <w:adjustRightInd w:val="0"/>
        <w:spacing w:line="400" w:lineRule="exact"/>
        <w:ind w:firstLine="442" w:firstLineChars="200"/>
        <w:jc w:val="left"/>
        <w:textAlignment w:val="baseline"/>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三、服务要求</w:t>
      </w:r>
    </w:p>
    <w:p>
      <w:pPr>
        <w:spacing w:line="400" w:lineRule="exact"/>
        <w:jc w:val="left"/>
        <w:rPr>
          <w:rFonts w:hint="eastAsia" w:ascii="宋体" w:hAnsi="宋体" w:cs="宋体"/>
          <w:b/>
          <w:color w:val="auto"/>
          <w:sz w:val="22"/>
          <w:szCs w:val="22"/>
          <w:highlight w:val="none"/>
          <w:u w:val="single"/>
        </w:rPr>
      </w:pPr>
      <w:r>
        <w:rPr>
          <w:rFonts w:hint="eastAsia" w:ascii="宋体" w:hAnsi="宋体" w:cs="宋体"/>
          <w:bCs/>
          <w:color w:val="auto"/>
          <w:sz w:val="22"/>
          <w:szCs w:val="22"/>
          <w:highlight w:val="none"/>
        </w:rPr>
        <w:t>1、最低投入设施设备一览表</w:t>
      </w:r>
      <w:r>
        <w:rPr>
          <w:rFonts w:hint="eastAsia" w:ascii="宋体" w:hAnsi="宋体" w:cs="宋体"/>
          <w:bCs/>
          <w:color w:val="auto"/>
          <w:sz w:val="22"/>
          <w:szCs w:val="22"/>
          <w:highlight w:val="none"/>
        </w:rPr>
        <w:br w:type="textWrapping"/>
      </w:r>
      <w:r>
        <w:rPr>
          <w:rFonts w:hint="eastAsia" w:ascii="宋体" w:hAnsi="宋体" w:cs="宋体"/>
          <w:b/>
          <w:color w:val="auto"/>
          <w:sz w:val="22"/>
          <w:szCs w:val="22"/>
          <w:highlight w:val="none"/>
          <w:u w:val="single"/>
        </w:rPr>
        <w:t>投标时须承诺按下表所列要求配备齐全，否则取消其中标资格并按提供虚假承诺的情况向</w:t>
      </w:r>
    </w:p>
    <w:p>
      <w:pPr>
        <w:spacing w:line="400" w:lineRule="exact"/>
        <w:jc w:val="left"/>
        <w:rPr>
          <w:rFonts w:ascii="宋体" w:hAnsi="宋体" w:cs="宋体"/>
          <w:b/>
          <w:bCs/>
          <w:color w:val="auto"/>
          <w:sz w:val="22"/>
          <w:szCs w:val="22"/>
          <w:highlight w:val="none"/>
          <w:u w:val="single"/>
          <w:lang w:val="zh-CN"/>
        </w:rPr>
      </w:pPr>
      <w:r>
        <w:rPr>
          <w:rFonts w:hint="eastAsia" w:ascii="宋体" w:hAnsi="宋体" w:cs="宋体"/>
          <w:b/>
          <w:color w:val="auto"/>
          <w:sz w:val="22"/>
          <w:szCs w:val="22"/>
          <w:highlight w:val="none"/>
          <w:u w:val="single"/>
        </w:rPr>
        <w:t>财政部门汇报，中标人投入的设施设备所有权属于中标人</w:t>
      </w:r>
      <w:r>
        <w:rPr>
          <w:rFonts w:hint="eastAsia" w:ascii="宋体" w:hAnsi="宋体" w:cs="宋体"/>
          <w:b/>
          <w:bCs/>
          <w:color w:val="auto"/>
          <w:sz w:val="22"/>
          <w:szCs w:val="22"/>
          <w:highlight w:val="none"/>
          <w:u w:val="single"/>
          <w:lang w:val="zh-CN"/>
        </w:rPr>
        <w:t>。</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488"/>
        <w:gridCol w:w="1650"/>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774"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内容</w:t>
            </w:r>
          </w:p>
        </w:tc>
        <w:tc>
          <w:tcPr>
            <w:tcW w:w="1488"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数量或规模</w:t>
            </w:r>
          </w:p>
        </w:tc>
        <w:tc>
          <w:tcPr>
            <w:tcW w:w="16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配备期限</w:t>
            </w:r>
          </w:p>
        </w:tc>
        <w:tc>
          <w:tcPr>
            <w:tcW w:w="3992"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774"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小区服务站点建设</w:t>
            </w:r>
          </w:p>
        </w:tc>
        <w:tc>
          <w:tcPr>
            <w:tcW w:w="1488"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16个</w:t>
            </w:r>
          </w:p>
        </w:tc>
        <w:tc>
          <w:tcPr>
            <w:tcW w:w="16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w:t>
            </w:r>
          </w:p>
        </w:tc>
        <w:tc>
          <w:tcPr>
            <w:tcW w:w="3992"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配备基本的货架、空调、地秤、系统、监控设备等，统一标识、制度上墙等。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jc w:val="center"/>
        </w:trPr>
        <w:tc>
          <w:tcPr>
            <w:tcW w:w="1774"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运输车辆（机动车）</w:t>
            </w:r>
          </w:p>
        </w:tc>
        <w:tc>
          <w:tcPr>
            <w:tcW w:w="1488"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4辆 </w:t>
            </w:r>
          </w:p>
        </w:tc>
        <w:tc>
          <w:tcPr>
            <w:tcW w:w="16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w:t>
            </w:r>
          </w:p>
        </w:tc>
        <w:tc>
          <w:tcPr>
            <w:tcW w:w="3992"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必须配置厢式车辆用于中端运输，安装GPS定位设备。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2" w:hRule="atLeast"/>
          <w:jc w:val="center"/>
        </w:trPr>
        <w:tc>
          <w:tcPr>
            <w:tcW w:w="1774"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小区运输电动三轮车</w:t>
            </w:r>
          </w:p>
        </w:tc>
        <w:tc>
          <w:tcPr>
            <w:tcW w:w="1488"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32辆</w:t>
            </w:r>
          </w:p>
        </w:tc>
        <w:tc>
          <w:tcPr>
            <w:tcW w:w="16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w:t>
            </w:r>
          </w:p>
        </w:tc>
        <w:tc>
          <w:tcPr>
            <w:tcW w:w="3992"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每个回收员配置一辆电动三轮车，专门用于小区上门回收。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4"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分拣中心</w:t>
            </w:r>
          </w:p>
        </w:tc>
        <w:tc>
          <w:tcPr>
            <w:tcW w:w="1488"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厂房面积不少于2500平方米</w:t>
            </w:r>
          </w:p>
        </w:tc>
        <w:tc>
          <w:tcPr>
            <w:tcW w:w="16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合同签订后90天内，厂房落地。</w:t>
            </w:r>
          </w:p>
        </w:tc>
        <w:tc>
          <w:tcPr>
            <w:tcW w:w="3992"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为使项目尽快落地，允许租赁厂房作为运营。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74"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基建和设备</w:t>
            </w:r>
          </w:p>
        </w:tc>
        <w:tc>
          <w:tcPr>
            <w:tcW w:w="1488"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lang w:eastAsia="zh-Hans"/>
              </w:rPr>
              <w:t>基建</w:t>
            </w:r>
            <w:r>
              <w:rPr>
                <w:rFonts w:hint="eastAsia" w:ascii="宋体" w:hAnsi="宋体" w:cs="宋体"/>
                <w:color w:val="auto"/>
                <w:sz w:val="22"/>
                <w:szCs w:val="22"/>
                <w:highlight w:val="none"/>
              </w:rPr>
              <w:t>投资不少于800万元</w:t>
            </w:r>
          </w:p>
        </w:tc>
        <w:tc>
          <w:tcPr>
            <w:tcW w:w="16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w:t>
            </w:r>
          </w:p>
        </w:tc>
        <w:tc>
          <w:tcPr>
            <w:tcW w:w="3992"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根据投标人垃圾处理的工艺流程，配置机器设备及必要的厂房、</w:t>
            </w:r>
            <w:r>
              <w:rPr>
                <w:rFonts w:hint="eastAsia" w:ascii="宋体" w:hAnsi="宋体" w:cs="宋体"/>
                <w:color w:val="auto"/>
                <w:sz w:val="22"/>
                <w:szCs w:val="22"/>
                <w:highlight w:val="none"/>
                <w:lang w:eastAsia="zh-Hans"/>
              </w:rPr>
              <w:t>车辆、站点、</w:t>
            </w:r>
            <w:r>
              <w:rPr>
                <w:rFonts w:hint="eastAsia" w:ascii="宋体" w:hAnsi="宋体" w:cs="宋体"/>
                <w:color w:val="auto"/>
                <w:sz w:val="22"/>
                <w:szCs w:val="22"/>
                <w:highlight w:val="none"/>
              </w:rPr>
              <w:t>办公区、辅助设施等改造建设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774"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监管平台</w:t>
            </w:r>
          </w:p>
        </w:tc>
        <w:tc>
          <w:tcPr>
            <w:tcW w:w="1488"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1项</w:t>
            </w:r>
          </w:p>
        </w:tc>
        <w:tc>
          <w:tcPr>
            <w:tcW w:w="16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w:t>
            </w:r>
          </w:p>
        </w:tc>
        <w:tc>
          <w:tcPr>
            <w:tcW w:w="3992"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包括系统平台设计开发、运维、数据管理等。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774"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其他设备</w:t>
            </w:r>
          </w:p>
        </w:tc>
        <w:tc>
          <w:tcPr>
            <w:tcW w:w="1488"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手持终端、办公设备等按需配置</w:t>
            </w:r>
          </w:p>
        </w:tc>
        <w:tc>
          <w:tcPr>
            <w:tcW w:w="16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w:t>
            </w:r>
          </w:p>
        </w:tc>
        <w:tc>
          <w:tcPr>
            <w:tcW w:w="3992"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每名回收员配置手持终端一个，办公设备等其他设备按需配置。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774"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易耗品</w:t>
            </w:r>
          </w:p>
        </w:tc>
        <w:tc>
          <w:tcPr>
            <w:tcW w:w="1488"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每户居民实时上门发放专用收集袋和支架。</w:t>
            </w:r>
          </w:p>
        </w:tc>
        <w:tc>
          <w:tcPr>
            <w:tcW w:w="16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本合同签订后90天内。</w:t>
            </w:r>
          </w:p>
        </w:tc>
        <w:tc>
          <w:tcPr>
            <w:tcW w:w="3992"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投标人根据项目运作特点，按需配置收集袋及支架、宣传品等所需的其他易耗品。</w:t>
            </w:r>
          </w:p>
        </w:tc>
      </w:tr>
    </w:tbl>
    <w:p>
      <w:pPr>
        <w:spacing w:line="400" w:lineRule="exact"/>
        <w:rPr>
          <w:rFonts w:ascii="宋体" w:hAnsi="宋体" w:cs="宋体"/>
          <w:color w:val="auto"/>
          <w:sz w:val="22"/>
          <w:szCs w:val="22"/>
          <w:highlight w:val="none"/>
        </w:rPr>
      </w:pP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2、服务站点要求</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每个服务站点面积为40㎡左右，由中标方进行统一设计、统一装修，统一标识、制度上墙等，站点配置应符合采购方要求。服务站点的租金、装修施工方案及投资预算、服务站点所有水电物业等运维费用由中标方承担。</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3、积分兑换平台要求</w:t>
      </w:r>
    </w:p>
    <w:p>
      <w:pPr>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积分兑换平台由中标方自行负责落实，遵循便利性原则，兑换商品以居民常见的日常物资为主。中标方需提供可供居民随时兑换的互联网平台，满足居民随时兑换的需求，并支持实时提现。</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4、运输车辆</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4.1 根据垃圾上门回收要求，用于小区内运输的电动三轮车必须进行统一标识，规范使用。</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4.2 根据城区运输及项目特点，中标方应保证收集的垃圾日收日清，按需配置。车辆载重在1吨（含）以上，车辆性能及排放标准符合国家及地方相关标准。每辆车安装视频监控及GPS定位设备，车身具有显著的统一标识。</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5、分拣中心</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分拣中心区域设置规范，功能分区合理，厂区环境保持整洁有序。大体应区分为装卸货区、辅料仓库、分拣车间、打包车间、成品存储区、出入库磅房、办公区等组成。根据回收垃圾特点，在分拣中心配备生活垃圾精细分类设备。</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6、系统平台搭建</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根据政府监管要求，中标方配置系统平台，负责运行维护、数据传输、链路租用等费用。系统平台应实现的功能包括但不限于以下要求：</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6.1 呼叫回收服务监管功能</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实时响应用户的呼叫需求，用户呼叫信息、服务人员轨迹和到达信息、服务完成信息同步到监管平台；实时显示工作人员的在线状态、数量、轨迹信息。</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6.2 前端信息采集监管功能</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（1）垃圾分类信息精度要求：垃圾分类信息精确到住户住址门牌号码，具体投放人信息精确到个人，垃圾投放重量信息精确到0.01公斤。</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（2）垃圾分类信息监管的同步要求：居民投放垃圾原始信息（类别、重量、住址、联系方式）同步给监管平台，除网速原因外，不允许有时滞，不允许修改原始信息。</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（3）一袋一码：回收的垃圾按照每袋对应唯一二维码，每袋垃圾可溯源至住户。</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6.3中端清运信息监管功能</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（1）库存信息在线：实时上传各服务站的暂存垃圾重量信息。</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（2）清运信息在线：车辆GPS信息实时在线。</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6.4 末端精细分类信息监管功能</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垃圾组分信息在线录入：为体现垃圾真实分类和资源再生利用的情况，系统提供至少40种以上精细分类后的组分重量比例实时变动信息。</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6.5 统计服务功能</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垃圾分类统计信息：系统自动生成户别、站别、街道及全覆盖范围内的垃圾重量的日、周、月、季度、半年度和年度统计信息；自动生成上述不同维度的动态变化曲线。自动生成覆盖区域内的40种以上垃圾组分的日、周、月、季度、半年度和年度动态统计信息。</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（2）垃圾分类居民参与情况统计信息：实时显示各服务小区的居民垃圾分类参与情况信息，自动生成日、周、月、季度、半年度和年度各小区的居民参与频次的统计信息。</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（3）垃圾分类鼓励积分兑换信息：系统实时提供居民垃圾分类鼓励积分的兑换信息，并且自动生成日、周、月、季度、半年度和年度各小区的居民积分兑换的统计信息。</w:t>
      </w:r>
    </w:p>
    <w:p>
      <w:pPr>
        <w:tabs>
          <w:tab w:val="left" w:pos="1200"/>
        </w:tabs>
        <w:adjustRightInd w:val="0"/>
        <w:snapToGrid w:val="0"/>
        <w:spacing w:line="400" w:lineRule="exact"/>
        <w:ind w:firstLine="442" w:firstLineChars="200"/>
        <w:rPr>
          <w:rFonts w:ascii="宋体" w:hAnsi="宋体" w:cs="宋体"/>
          <w:b/>
          <w:color w:val="auto"/>
          <w:sz w:val="22"/>
          <w:szCs w:val="22"/>
          <w:highlight w:val="none"/>
        </w:rPr>
      </w:pPr>
      <w:bookmarkStart w:id="18" w:name="_Toc4876"/>
      <w:bookmarkStart w:id="19" w:name="_Toc27456"/>
      <w:bookmarkStart w:id="20" w:name="_Toc20046"/>
      <w:r>
        <w:rPr>
          <w:rFonts w:hint="eastAsia" w:ascii="宋体" w:hAnsi="宋体" w:cs="宋体"/>
          <w:b/>
          <w:color w:val="auto"/>
          <w:sz w:val="22"/>
          <w:szCs w:val="22"/>
          <w:highlight w:val="none"/>
        </w:rPr>
        <w:t>四、投入人员</w:t>
      </w:r>
      <w:bookmarkEnd w:id="18"/>
      <w:bookmarkEnd w:id="19"/>
      <w:r>
        <w:rPr>
          <w:rFonts w:hint="eastAsia" w:ascii="宋体" w:hAnsi="宋体" w:cs="宋体"/>
          <w:b/>
          <w:color w:val="auto"/>
          <w:sz w:val="22"/>
          <w:szCs w:val="22"/>
          <w:highlight w:val="none"/>
        </w:rPr>
        <w:t>要求</w:t>
      </w:r>
      <w:bookmarkEnd w:id="20"/>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bookmarkStart w:id="21" w:name="_Toc515"/>
      <w:r>
        <w:rPr>
          <w:rFonts w:hint="eastAsia" w:ascii="宋体" w:hAnsi="宋体" w:cs="宋体"/>
          <w:bCs/>
          <w:color w:val="auto"/>
          <w:sz w:val="22"/>
          <w:szCs w:val="22"/>
          <w:highlight w:val="none"/>
        </w:rPr>
        <w:t>1、最低人员配置一览表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827"/>
        <w:gridCol w:w="1636"/>
        <w:gridCol w:w="3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岗位</w:t>
            </w:r>
          </w:p>
        </w:tc>
        <w:tc>
          <w:tcPr>
            <w:tcW w:w="182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数量</w:t>
            </w:r>
          </w:p>
        </w:tc>
        <w:tc>
          <w:tcPr>
            <w:tcW w:w="163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配备期限</w:t>
            </w:r>
          </w:p>
        </w:tc>
        <w:tc>
          <w:tcPr>
            <w:tcW w:w="352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回收员（前端）</w:t>
            </w:r>
          </w:p>
        </w:tc>
        <w:tc>
          <w:tcPr>
            <w:tcW w:w="182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32人</w:t>
            </w:r>
          </w:p>
        </w:tc>
        <w:tc>
          <w:tcPr>
            <w:tcW w:w="163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w:t>
            </w:r>
          </w:p>
        </w:tc>
        <w:tc>
          <w:tcPr>
            <w:tcW w:w="352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每个站点不少于2名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宣传员（前端）</w:t>
            </w:r>
          </w:p>
        </w:tc>
        <w:tc>
          <w:tcPr>
            <w:tcW w:w="182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48人</w:t>
            </w:r>
          </w:p>
        </w:tc>
        <w:tc>
          <w:tcPr>
            <w:tcW w:w="163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w:t>
            </w:r>
          </w:p>
        </w:tc>
        <w:tc>
          <w:tcPr>
            <w:tcW w:w="352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每个站点不少于3名，但只需配置项目运行的前6个月。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驾驶员（中端）</w:t>
            </w:r>
          </w:p>
        </w:tc>
        <w:tc>
          <w:tcPr>
            <w:tcW w:w="182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4人</w:t>
            </w:r>
          </w:p>
        </w:tc>
        <w:tc>
          <w:tcPr>
            <w:tcW w:w="163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w:t>
            </w:r>
          </w:p>
        </w:tc>
        <w:tc>
          <w:tcPr>
            <w:tcW w:w="352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按每辆车至少配备1名计，机动1名。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行政管理人员</w:t>
            </w:r>
          </w:p>
        </w:tc>
        <w:tc>
          <w:tcPr>
            <w:tcW w:w="182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9人</w:t>
            </w:r>
          </w:p>
        </w:tc>
        <w:tc>
          <w:tcPr>
            <w:tcW w:w="163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w:t>
            </w:r>
          </w:p>
        </w:tc>
        <w:tc>
          <w:tcPr>
            <w:tcW w:w="352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包括负责人、财务、技术人员、办公室、门卫、保洁等后勤人员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劳动力（分拣中心）</w:t>
            </w:r>
          </w:p>
        </w:tc>
        <w:tc>
          <w:tcPr>
            <w:tcW w:w="182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15人</w:t>
            </w:r>
          </w:p>
        </w:tc>
        <w:tc>
          <w:tcPr>
            <w:tcW w:w="163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w:t>
            </w:r>
          </w:p>
        </w:tc>
        <w:tc>
          <w:tcPr>
            <w:tcW w:w="352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包括分拣员和必要的辅助工种。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2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合计</w:t>
            </w:r>
          </w:p>
        </w:tc>
        <w:tc>
          <w:tcPr>
            <w:tcW w:w="6983" w:type="dxa"/>
            <w:gridSpan w:val="3"/>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108人</w:t>
            </w:r>
          </w:p>
        </w:tc>
      </w:tr>
    </w:tbl>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2、为确保项目顺利实施，中标方聘请员工应从电子设备的使用、岗位需求等角度录用年龄、文化素质相匹配的人员，并经培训合格后予以上岗。</w:t>
      </w:r>
      <w:bookmarkEnd w:id="21"/>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bookmarkStart w:id="22" w:name="_Toc25464"/>
      <w:r>
        <w:rPr>
          <w:rFonts w:hint="eastAsia" w:ascii="宋体" w:hAnsi="宋体" w:cs="宋体"/>
          <w:bCs/>
          <w:color w:val="auto"/>
          <w:sz w:val="22"/>
          <w:szCs w:val="22"/>
          <w:highlight w:val="none"/>
        </w:rPr>
        <w:t>3、中标方聘请工作人员应符合国家法律规定，薪酬发放应按照国家法律及地方有关标准执行。</w:t>
      </w:r>
      <w:bookmarkEnd w:id="22"/>
      <w:r>
        <w:rPr>
          <w:rFonts w:hint="eastAsia" w:ascii="宋体" w:hAnsi="宋体" w:cs="宋体"/>
          <w:color w:val="auto"/>
          <w:sz w:val="22"/>
          <w:szCs w:val="22"/>
          <w:highlight w:val="none"/>
        </w:rPr>
        <w:t>人员的数量必须严格按照招标文件要求的进行配备。人员费用至少应包括：人员工资、社保、法定节假日加班工资、高温补贴等费用。</w:t>
      </w:r>
      <w:r>
        <w:rPr>
          <w:rFonts w:hint="eastAsia" w:ascii="宋体" w:hAnsi="宋体" w:cs="宋体"/>
          <w:bCs/>
          <w:color w:val="auto"/>
          <w:sz w:val="22"/>
          <w:szCs w:val="22"/>
          <w:highlight w:val="none"/>
        </w:rPr>
        <w:t>中标方应设立专门的工资发放账户，保证账户资金充足，如应中标方拖欠工资，采购人概不负责。</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bookmarkStart w:id="23" w:name="_Toc14916"/>
      <w:r>
        <w:rPr>
          <w:rFonts w:hint="eastAsia" w:ascii="宋体" w:hAnsi="宋体" w:cs="宋体"/>
          <w:bCs/>
          <w:color w:val="auto"/>
          <w:sz w:val="22"/>
          <w:szCs w:val="22"/>
          <w:highlight w:val="none"/>
        </w:rPr>
        <w:t>4、为体现城镇生活垃圾分类服务的规范化管理，所有人员应统一着装，文明作业，自觉接受采购人及管理部门领导的检查考核和社会监督，对发现的问题要及时整改。</w:t>
      </w:r>
      <w:bookmarkEnd w:id="23"/>
    </w:p>
    <w:p>
      <w:pPr>
        <w:spacing w:line="400" w:lineRule="exact"/>
        <w:ind w:firstLine="440" w:firstLineChars="200"/>
        <w:jc w:val="left"/>
        <w:rPr>
          <w:rFonts w:ascii="宋体" w:hAnsi="宋体" w:cs="宋体"/>
          <w:color w:val="auto"/>
          <w:sz w:val="22"/>
          <w:szCs w:val="22"/>
          <w:highlight w:val="none"/>
        </w:rPr>
      </w:pPr>
      <w:bookmarkStart w:id="24" w:name="_Toc26963"/>
      <w:bookmarkStart w:id="25" w:name="_Toc8240"/>
      <w:bookmarkStart w:id="26" w:name="_Toc2372"/>
      <w:r>
        <w:rPr>
          <w:rFonts w:hint="eastAsia" w:ascii="宋体" w:hAnsi="宋体" w:cs="宋体"/>
          <w:color w:val="auto"/>
          <w:sz w:val="22"/>
          <w:szCs w:val="22"/>
          <w:highlight w:val="none"/>
        </w:rPr>
        <w:t>5、服务期间中标供应商不得随意更换投标文件中承诺的人员，如有特殊情况需要更换，须经采购人同意，且更换后的人员不得低于原中标供应商投标承诺人员所具有的资格和业绩条件。</w:t>
      </w:r>
    </w:p>
    <w:p>
      <w:pPr>
        <w:tabs>
          <w:tab w:val="left" w:pos="1200"/>
        </w:tabs>
        <w:adjustRightInd w:val="0"/>
        <w:snapToGrid w:val="0"/>
        <w:spacing w:line="40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五、投标人默认响应服务</w:t>
      </w:r>
      <w:bookmarkEnd w:id="24"/>
      <w:bookmarkEnd w:id="25"/>
      <w:bookmarkEnd w:id="26"/>
      <w:r>
        <w:rPr>
          <w:rFonts w:hint="eastAsia" w:ascii="宋体" w:hAnsi="宋体" w:cs="宋体"/>
          <w:b/>
          <w:color w:val="auto"/>
          <w:sz w:val="22"/>
          <w:szCs w:val="22"/>
          <w:highlight w:val="none"/>
        </w:rPr>
        <w:t>内容</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1、前端分类：负责小区内服务站及配套设施的装修和运营管理；负责专用收集袋、收集袋支架、分类指导手册的制作；负责提供1小时上门回收服务；负责积分奖励的兑换。</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2、中转运输：负责自建一整套服务站储存、物流清运、末端分选的收集、运输体系，做到每个服务站垃圾日产日清。</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3、末端资源化：负责自建末端分拣中心，分类垃圾资源化去向明确。负责基建及固定资产投资建设，负责所有设施设备投入。</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4、总体服务：负责人员的招聘、培训和管理；负责全体系日常运营管理；负责为政府提供到家到户的生活垃圾分类监管平台，信息开放。</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5、服务期内投标人承诺必须进行上门回收，且对回收范围内的垃圾应收尽收，回收垃圾的资源再生利用率达到95%以上，无害化率达到100%。</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6、有害垃圾处置，必须按照环保要求，建立有害垃圾存储点，并定期交给具有有害垃圾处置资质的末端企业进行集中收集和处置，处置费用由中标方支付。</w:t>
      </w:r>
    </w:p>
    <w:bookmarkEnd w:id="13"/>
    <w:bookmarkEnd w:id="17"/>
    <w:p>
      <w:pPr>
        <w:tabs>
          <w:tab w:val="left" w:pos="1200"/>
        </w:tabs>
        <w:adjustRightInd w:val="0"/>
        <w:snapToGrid w:val="0"/>
        <w:spacing w:line="400" w:lineRule="exact"/>
        <w:ind w:firstLine="442" w:firstLineChars="200"/>
        <w:rPr>
          <w:rFonts w:ascii="宋体" w:hAnsi="宋体" w:cs="宋体"/>
          <w:b/>
          <w:color w:val="auto"/>
          <w:sz w:val="22"/>
          <w:szCs w:val="22"/>
          <w:highlight w:val="none"/>
        </w:rPr>
      </w:pPr>
      <w:bookmarkStart w:id="27" w:name="_Toc10647"/>
      <w:r>
        <w:rPr>
          <w:rFonts w:hint="eastAsia" w:ascii="宋体" w:hAnsi="宋体" w:cs="宋体"/>
          <w:b/>
          <w:color w:val="auto"/>
          <w:sz w:val="22"/>
          <w:szCs w:val="22"/>
          <w:highlight w:val="none"/>
        </w:rPr>
        <w:t>六、</w:t>
      </w:r>
      <w:bookmarkEnd w:id="27"/>
      <w:r>
        <w:rPr>
          <w:rFonts w:hint="eastAsia" w:ascii="宋体" w:hAnsi="宋体" w:cs="宋体"/>
          <w:b/>
          <w:color w:val="auto"/>
          <w:sz w:val="22"/>
          <w:szCs w:val="22"/>
          <w:highlight w:val="none"/>
        </w:rPr>
        <w:t>服务期限</w:t>
      </w:r>
    </w:p>
    <w:p>
      <w:pPr>
        <w:tabs>
          <w:tab w:val="left" w:pos="1200"/>
        </w:tabs>
        <w:adjustRightInd w:val="0"/>
        <w:snapToGrid w:val="0"/>
        <w:spacing w:line="400" w:lineRule="exact"/>
        <w:ind w:firstLine="440" w:firstLineChars="200"/>
        <w:rPr>
          <w:rFonts w:hint="eastAsia" w:ascii="Times New Roman" w:hAnsi="Times New Roman"/>
          <w:color w:val="auto"/>
          <w:sz w:val="22"/>
          <w:szCs w:val="22"/>
          <w:highlight w:val="none"/>
        </w:rPr>
      </w:pPr>
      <w:r>
        <w:rPr>
          <w:rFonts w:hint="eastAsia" w:ascii="Times New Roman" w:hAnsi="Times New Roman"/>
          <w:color w:val="auto"/>
          <w:sz w:val="22"/>
          <w:szCs w:val="22"/>
          <w:highlight w:val="none"/>
        </w:rPr>
        <w:t>项目建设准备和试运行期为：180个日历天。</w:t>
      </w:r>
    </w:p>
    <w:p>
      <w:pPr>
        <w:tabs>
          <w:tab w:val="left" w:pos="1200"/>
        </w:tabs>
        <w:adjustRightInd w:val="0"/>
        <w:snapToGrid w:val="0"/>
        <w:spacing w:line="400" w:lineRule="exact"/>
        <w:ind w:firstLine="440" w:firstLineChars="200"/>
        <w:rPr>
          <w:rFonts w:ascii="Times New Roman" w:hAnsi="Times New Roman"/>
          <w:color w:val="auto"/>
          <w:sz w:val="22"/>
          <w:szCs w:val="22"/>
          <w:highlight w:val="none"/>
        </w:rPr>
      </w:pPr>
      <w:r>
        <w:rPr>
          <w:rFonts w:hint="eastAsia" w:ascii="Times New Roman" w:hAnsi="Times New Roman"/>
          <w:color w:val="auto"/>
          <w:sz w:val="22"/>
          <w:szCs w:val="22"/>
          <w:highlight w:val="none"/>
        </w:rPr>
        <w:t>服务期限：1+1+1年（自项目正式投入运营之日起开始计算），根据上年度平均考核分值为90分以上（含90分）的，可以续签合同，合同为1年1签。第一年以32000户（服务户数为覆盖范围内的住房套数，以下同）为基准支付服务费。第二年起，如服务户数不足32000户，按照实际覆盖户数支付服务费；实际服务户数在35000户以下，仍按照32000户支付服务费；如实际服务户数超过35000户，超出35000户的部分，在甲方征得县政府同意后增加预算，根据中标单价，支付相应的服务费。</w:t>
      </w:r>
    </w:p>
    <w:p>
      <w:pPr>
        <w:spacing w:line="400" w:lineRule="exact"/>
        <w:ind w:firstLine="442" w:firstLineChars="200"/>
        <w:rPr>
          <w:rFonts w:ascii="宋体" w:cs="Arial"/>
          <w:b/>
          <w:bCs/>
          <w:color w:val="auto"/>
          <w:sz w:val="22"/>
          <w:szCs w:val="22"/>
          <w:highlight w:val="none"/>
        </w:rPr>
      </w:pPr>
      <w:r>
        <w:rPr>
          <w:rFonts w:hint="eastAsia" w:ascii="宋体" w:cs="Arial"/>
          <w:b/>
          <w:bCs/>
          <w:color w:val="auto"/>
          <w:sz w:val="22"/>
          <w:szCs w:val="22"/>
          <w:highlight w:val="none"/>
        </w:rPr>
        <w:t>七、考核方法及付款方式</w:t>
      </w:r>
    </w:p>
    <w:p>
      <w:pPr>
        <w:spacing w:line="400" w:lineRule="exact"/>
        <w:ind w:firstLine="562" w:firstLineChars="200"/>
        <w:jc w:val="center"/>
        <w:rPr>
          <w:rFonts w:ascii="宋体"/>
          <w:b/>
          <w:bCs/>
          <w:color w:val="auto"/>
          <w:sz w:val="28"/>
          <w:szCs w:val="28"/>
          <w:highlight w:val="none"/>
        </w:rPr>
      </w:pPr>
    </w:p>
    <w:p>
      <w:pPr>
        <w:spacing w:line="400" w:lineRule="exact"/>
        <w:ind w:firstLine="562" w:firstLineChars="200"/>
        <w:jc w:val="center"/>
        <w:rPr>
          <w:rFonts w:ascii="宋体"/>
          <w:b/>
          <w:bCs/>
          <w:color w:val="auto"/>
          <w:sz w:val="28"/>
          <w:szCs w:val="28"/>
          <w:highlight w:val="none"/>
        </w:rPr>
      </w:pPr>
    </w:p>
    <w:p>
      <w:pPr>
        <w:spacing w:line="400" w:lineRule="exact"/>
        <w:ind w:firstLine="562" w:firstLineChars="200"/>
        <w:jc w:val="center"/>
        <w:rPr>
          <w:rFonts w:ascii="宋体"/>
          <w:b/>
          <w:bCs/>
          <w:color w:val="auto"/>
          <w:sz w:val="28"/>
          <w:szCs w:val="28"/>
          <w:highlight w:val="none"/>
        </w:rPr>
      </w:pPr>
      <w:r>
        <w:rPr>
          <w:rFonts w:hint="eastAsia" w:ascii="宋体"/>
          <w:b/>
          <w:bCs/>
          <w:color w:val="auto"/>
          <w:sz w:val="28"/>
          <w:szCs w:val="28"/>
          <w:highlight w:val="none"/>
        </w:rPr>
        <w:t>项目运营考核评分细则</w:t>
      </w:r>
    </w:p>
    <w:tbl>
      <w:tblPr>
        <w:tblStyle w:val="28"/>
        <w:tblpPr w:leftFromText="180" w:rightFromText="180" w:vertAnchor="text" w:horzAnchor="page" w:tblpXSpec="center" w:tblpY="285"/>
        <w:tblOverlap w:val="never"/>
        <w:tblW w:w="978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73"/>
        <w:gridCol w:w="1287"/>
        <w:gridCol w:w="2750"/>
        <w:gridCol w:w="875"/>
        <w:gridCol w:w="389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3" w:type="dxa"/>
            <w:vAlign w:val="center"/>
          </w:tcPr>
          <w:p>
            <w:pPr>
              <w:widowControl/>
              <w:spacing w:line="400" w:lineRule="exact"/>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1287" w:type="dxa"/>
            <w:vAlign w:val="center"/>
          </w:tcPr>
          <w:p>
            <w:pPr>
              <w:widowControl/>
              <w:spacing w:line="400" w:lineRule="exact"/>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考核项目</w:t>
            </w:r>
          </w:p>
        </w:tc>
        <w:tc>
          <w:tcPr>
            <w:tcW w:w="2750" w:type="dxa"/>
            <w:vAlign w:val="center"/>
          </w:tcPr>
          <w:p>
            <w:pPr>
              <w:widowControl/>
              <w:spacing w:line="400" w:lineRule="exact"/>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考核内容</w:t>
            </w:r>
          </w:p>
        </w:tc>
        <w:tc>
          <w:tcPr>
            <w:tcW w:w="875" w:type="dxa"/>
            <w:vAlign w:val="center"/>
          </w:tcPr>
          <w:p>
            <w:pPr>
              <w:widowControl/>
              <w:spacing w:line="400" w:lineRule="exact"/>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分值</w:t>
            </w:r>
          </w:p>
        </w:tc>
        <w:tc>
          <w:tcPr>
            <w:tcW w:w="3897" w:type="dxa"/>
            <w:vAlign w:val="center"/>
          </w:tcPr>
          <w:p>
            <w:pPr>
              <w:widowControl/>
              <w:spacing w:line="400" w:lineRule="exact"/>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评分标准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973" w:type="dxa"/>
            <w:vMerge w:val="restart"/>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w:t>
            </w:r>
          </w:p>
        </w:tc>
        <w:tc>
          <w:tcPr>
            <w:tcW w:w="1287" w:type="dxa"/>
            <w:vMerge w:val="restart"/>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减量</w:t>
            </w:r>
          </w:p>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考核</w:t>
            </w:r>
          </w:p>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（30分）</w:t>
            </w:r>
          </w:p>
        </w:tc>
        <w:tc>
          <w:tcPr>
            <w:tcW w:w="2750" w:type="dxa"/>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1.源头减量：覆盖区域内按照全域平均，每季度户均减量达到0.3公斤/日（含）以上。（户数按照付款户数计算）</w:t>
            </w:r>
          </w:p>
        </w:tc>
        <w:tc>
          <w:tcPr>
            <w:tcW w:w="875" w:type="dxa"/>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3897" w:type="dxa"/>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户均减量在0.2-0.3公斤/日，户均每下降0.03公斤/日，扣1分。户均减量低于0.2公斤/日，扣10分。户均减量低于0.15公斤/日，扣15分。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3" w:type="dxa"/>
            <w:vMerge w:val="continue"/>
            <w:vAlign w:val="center"/>
          </w:tcPr>
          <w:p>
            <w:pPr>
              <w:widowControl/>
              <w:spacing w:line="400" w:lineRule="exact"/>
              <w:rPr>
                <w:rFonts w:ascii="宋体" w:hAnsi="宋体" w:cs="宋体"/>
                <w:color w:val="auto"/>
                <w:kern w:val="0"/>
                <w:sz w:val="22"/>
                <w:szCs w:val="22"/>
                <w:highlight w:val="none"/>
              </w:rPr>
            </w:pPr>
          </w:p>
        </w:tc>
        <w:tc>
          <w:tcPr>
            <w:tcW w:w="1287" w:type="dxa"/>
            <w:vMerge w:val="continue"/>
            <w:vAlign w:val="center"/>
          </w:tcPr>
          <w:p>
            <w:pPr>
              <w:widowControl/>
              <w:spacing w:line="400" w:lineRule="exact"/>
              <w:rPr>
                <w:rFonts w:ascii="宋体" w:hAnsi="宋体" w:cs="宋体"/>
                <w:color w:val="auto"/>
                <w:kern w:val="0"/>
                <w:sz w:val="22"/>
                <w:szCs w:val="22"/>
                <w:highlight w:val="none"/>
              </w:rPr>
            </w:pPr>
          </w:p>
        </w:tc>
        <w:tc>
          <w:tcPr>
            <w:tcW w:w="2750" w:type="dxa"/>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2.资源再生利用率：精细分类后的可回收物去向明确，资源再生利用率（以送往有资质再生利用企业的数量为准）达到95%以上，无害化率达到100%。</w:t>
            </w:r>
          </w:p>
        </w:tc>
        <w:tc>
          <w:tcPr>
            <w:tcW w:w="875" w:type="dxa"/>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3897" w:type="dxa"/>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资源再生利用率每下降1%，扣2分，有害垃圾及不可利用部分处置去向不明，扣10分。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8" w:hRule="atLeast"/>
          <w:jc w:val="center"/>
        </w:trPr>
        <w:tc>
          <w:tcPr>
            <w:tcW w:w="973" w:type="dxa"/>
            <w:vMerge w:val="restart"/>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w:t>
            </w:r>
          </w:p>
        </w:tc>
        <w:tc>
          <w:tcPr>
            <w:tcW w:w="1287" w:type="dxa"/>
            <w:vMerge w:val="restart"/>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基础</w:t>
            </w:r>
          </w:p>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配置</w:t>
            </w:r>
          </w:p>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（27分）</w:t>
            </w:r>
          </w:p>
        </w:tc>
        <w:tc>
          <w:tcPr>
            <w:tcW w:w="2750" w:type="dxa"/>
            <w:tcBorders>
              <w:bottom w:val="single" w:color="auto" w:sz="4" w:space="0"/>
            </w:tcBorders>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1.人员配备。以1500-2000户左右为单位，配备2名收运人员，垃圾分类宣传员3名（配置6个月），不得出现人员数量不足。</w:t>
            </w:r>
          </w:p>
        </w:tc>
        <w:tc>
          <w:tcPr>
            <w:tcW w:w="875" w:type="dxa"/>
            <w:tcBorders>
              <w:bottom w:val="single" w:color="auto" w:sz="4" w:space="0"/>
            </w:tcBorders>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3897" w:type="dxa"/>
            <w:tcBorders>
              <w:bottom w:val="single" w:color="auto" w:sz="4" w:space="0"/>
            </w:tcBorders>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人员数量未达到人数要求，每少一个扣0.2分；未将人员信息上墙公示的，每发现一处扣0.1分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8" w:hRule="atLeast"/>
          <w:jc w:val="center"/>
        </w:trPr>
        <w:tc>
          <w:tcPr>
            <w:tcW w:w="973" w:type="dxa"/>
            <w:vMerge w:val="continue"/>
            <w:vAlign w:val="center"/>
          </w:tcPr>
          <w:p>
            <w:pPr>
              <w:widowControl/>
              <w:spacing w:line="400" w:lineRule="exact"/>
              <w:jc w:val="center"/>
              <w:rPr>
                <w:rFonts w:ascii="宋体" w:hAnsi="宋体" w:cs="宋体"/>
                <w:color w:val="auto"/>
                <w:kern w:val="0"/>
                <w:sz w:val="22"/>
                <w:szCs w:val="22"/>
                <w:highlight w:val="none"/>
              </w:rPr>
            </w:pPr>
          </w:p>
        </w:tc>
        <w:tc>
          <w:tcPr>
            <w:tcW w:w="1287" w:type="dxa"/>
            <w:vMerge w:val="continue"/>
            <w:vAlign w:val="center"/>
          </w:tcPr>
          <w:p>
            <w:pPr>
              <w:widowControl/>
              <w:spacing w:line="400" w:lineRule="exact"/>
              <w:jc w:val="center"/>
              <w:rPr>
                <w:rFonts w:ascii="宋体" w:hAnsi="宋体" w:cs="宋体"/>
                <w:color w:val="auto"/>
                <w:kern w:val="0"/>
                <w:sz w:val="22"/>
                <w:szCs w:val="22"/>
                <w:highlight w:val="none"/>
              </w:rPr>
            </w:pPr>
          </w:p>
        </w:tc>
        <w:tc>
          <w:tcPr>
            <w:tcW w:w="2750" w:type="dxa"/>
            <w:tcBorders>
              <w:top w:val="single" w:color="auto" w:sz="4" w:space="0"/>
            </w:tcBorders>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2.设施配备。以1500-2000户左右为单位配备“服务站”1个。每个站点配备2位收运人员，每位收运人员须配置1辆电动三轮车。配套设施、标志标识统一规范。</w:t>
            </w:r>
          </w:p>
        </w:tc>
        <w:tc>
          <w:tcPr>
            <w:tcW w:w="875" w:type="dxa"/>
            <w:tcBorders>
              <w:top w:val="single" w:color="auto" w:sz="4" w:space="0"/>
            </w:tcBorders>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3897" w:type="dxa"/>
            <w:tcBorders>
              <w:top w:val="single" w:color="auto" w:sz="4" w:space="0"/>
            </w:tcBorders>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电动三轮车配置数量未达到要求的，每少1个扣0.5分。“服务站”未能正常运转，每个扣2.5分。外观标识、内部配套设施等不统一不规范，每发现一次扣2分。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62" w:hRule="atLeast"/>
          <w:jc w:val="center"/>
        </w:trPr>
        <w:tc>
          <w:tcPr>
            <w:tcW w:w="973" w:type="dxa"/>
            <w:vMerge w:val="restart"/>
            <w:vAlign w:val="center"/>
          </w:tcPr>
          <w:p>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w:t>
            </w:r>
          </w:p>
        </w:tc>
        <w:tc>
          <w:tcPr>
            <w:tcW w:w="1287" w:type="dxa"/>
            <w:vMerge w:val="restart"/>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日常</w:t>
            </w:r>
          </w:p>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管理</w:t>
            </w:r>
          </w:p>
          <w:p>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（30分）</w:t>
            </w:r>
          </w:p>
        </w:tc>
        <w:tc>
          <w:tcPr>
            <w:tcW w:w="2750" w:type="dxa"/>
            <w:tcBorders>
              <w:top w:val="single" w:color="auto" w:sz="4" w:space="0"/>
              <w:bottom w:val="single" w:color="auto" w:sz="4" w:space="0"/>
            </w:tcBorders>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1.安全管理。落实安全生产管理各项制度。</w:t>
            </w:r>
          </w:p>
        </w:tc>
        <w:tc>
          <w:tcPr>
            <w:tcW w:w="875" w:type="dxa"/>
            <w:tcBorders>
              <w:top w:val="single" w:color="auto" w:sz="4" w:space="0"/>
              <w:bottom w:val="single" w:color="auto" w:sz="4" w:space="0"/>
            </w:tcBorders>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3897" w:type="dxa"/>
            <w:tcBorders>
              <w:top w:val="single" w:color="auto" w:sz="4" w:space="0"/>
              <w:bottom w:val="single" w:color="auto" w:sz="4" w:space="0"/>
            </w:tcBorders>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未定期开展消防安全培训、考核回收人员安全技能掌握情况的，每发现一次扣0.5分/人；发现消防安全隐患的，每发现一次扣2分；未按照要求定期检查灭火器压强情况并做好记录的（至少半月一次），每发现一次扣1分；未落实安全生产责任，发生一般安全生产责任事故，每发生一起扣1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973" w:type="dxa"/>
            <w:vMerge w:val="continue"/>
            <w:vAlign w:val="center"/>
          </w:tcPr>
          <w:p>
            <w:pPr>
              <w:spacing w:line="400" w:lineRule="exact"/>
              <w:jc w:val="center"/>
              <w:rPr>
                <w:rFonts w:ascii="宋体" w:hAnsi="宋体" w:cs="宋体"/>
                <w:color w:val="auto"/>
                <w:kern w:val="0"/>
                <w:sz w:val="22"/>
                <w:szCs w:val="22"/>
                <w:highlight w:val="none"/>
              </w:rPr>
            </w:pPr>
          </w:p>
        </w:tc>
        <w:tc>
          <w:tcPr>
            <w:tcW w:w="1287" w:type="dxa"/>
            <w:vMerge w:val="continue"/>
            <w:vAlign w:val="center"/>
          </w:tcPr>
          <w:p>
            <w:pPr>
              <w:spacing w:line="400" w:lineRule="exact"/>
              <w:jc w:val="center"/>
              <w:rPr>
                <w:rFonts w:ascii="宋体" w:hAnsi="宋体" w:cs="宋体"/>
                <w:color w:val="auto"/>
                <w:kern w:val="0"/>
                <w:sz w:val="22"/>
                <w:szCs w:val="22"/>
                <w:highlight w:val="none"/>
              </w:rPr>
            </w:pPr>
          </w:p>
        </w:tc>
        <w:tc>
          <w:tcPr>
            <w:tcW w:w="2750" w:type="dxa"/>
            <w:tcBorders>
              <w:top w:val="single" w:color="auto" w:sz="4" w:space="0"/>
            </w:tcBorders>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2.服务质量：服务人员须规范着装，APP、小程序、电话等多渠道服务，在用户呼叫后及时上门收集，及时兑换积分</w:t>
            </w:r>
          </w:p>
        </w:tc>
        <w:tc>
          <w:tcPr>
            <w:tcW w:w="875" w:type="dxa"/>
            <w:tcBorders>
              <w:top w:val="single" w:color="auto" w:sz="4" w:space="0"/>
            </w:tcBorders>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3897" w:type="dxa"/>
            <w:tcBorders>
              <w:top w:val="single" w:color="auto" w:sz="4" w:space="0"/>
            </w:tcBorders>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工作期间服务人员未按要求穿着工作服，每发现一例扣0.1分，服务人员无故拒绝上门，核实1例，扣0.2分。兑换不及时核实1例扣0.2分。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973" w:type="dxa"/>
            <w:vMerge w:val="continue"/>
            <w:vAlign w:val="center"/>
          </w:tcPr>
          <w:p>
            <w:pPr>
              <w:widowControl/>
              <w:spacing w:line="400" w:lineRule="exact"/>
              <w:jc w:val="center"/>
              <w:rPr>
                <w:rFonts w:ascii="宋体" w:hAnsi="宋体" w:cs="宋体"/>
                <w:color w:val="auto"/>
                <w:kern w:val="0"/>
                <w:sz w:val="22"/>
                <w:szCs w:val="22"/>
                <w:highlight w:val="none"/>
              </w:rPr>
            </w:pPr>
          </w:p>
        </w:tc>
        <w:tc>
          <w:tcPr>
            <w:tcW w:w="1287" w:type="dxa"/>
            <w:vMerge w:val="continue"/>
            <w:vAlign w:val="center"/>
          </w:tcPr>
          <w:p>
            <w:pPr>
              <w:widowControl/>
              <w:spacing w:line="400" w:lineRule="exact"/>
              <w:jc w:val="center"/>
              <w:rPr>
                <w:rFonts w:ascii="宋体" w:hAnsi="宋体" w:cs="宋体"/>
                <w:color w:val="auto"/>
                <w:kern w:val="0"/>
                <w:sz w:val="22"/>
                <w:szCs w:val="22"/>
                <w:highlight w:val="none"/>
              </w:rPr>
            </w:pPr>
          </w:p>
        </w:tc>
        <w:tc>
          <w:tcPr>
            <w:tcW w:w="2750" w:type="dxa"/>
            <w:tcBorders>
              <w:top w:val="single" w:color="auto" w:sz="4" w:space="0"/>
              <w:left w:val="single" w:color="auto" w:sz="4" w:space="0"/>
            </w:tcBorders>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3.站点管理。服务站门外无垃圾堆积现象，服务站内回收垃圾分类摆放整齐。</w:t>
            </w:r>
          </w:p>
        </w:tc>
        <w:tc>
          <w:tcPr>
            <w:tcW w:w="875" w:type="dxa"/>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3897" w:type="dxa"/>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服务站垃圾清运不及时导致垃圾堆积，每发现一次扣0.2分，并直接扣除服务费100元。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8" w:hRule="atLeast"/>
          <w:jc w:val="center"/>
        </w:trPr>
        <w:tc>
          <w:tcPr>
            <w:tcW w:w="973" w:type="dxa"/>
            <w:vMerge w:val="continue"/>
            <w:vAlign w:val="center"/>
          </w:tcPr>
          <w:p>
            <w:pPr>
              <w:widowControl/>
              <w:spacing w:line="400" w:lineRule="exact"/>
              <w:jc w:val="center"/>
              <w:rPr>
                <w:rFonts w:ascii="宋体" w:hAnsi="宋体" w:cs="宋体"/>
                <w:color w:val="auto"/>
                <w:kern w:val="0"/>
                <w:sz w:val="22"/>
                <w:szCs w:val="22"/>
                <w:highlight w:val="none"/>
              </w:rPr>
            </w:pPr>
          </w:p>
        </w:tc>
        <w:tc>
          <w:tcPr>
            <w:tcW w:w="1287" w:type="dxa"/>
            <w:vMerge w:val="continue"/>
            <w:vAlign w:val="center"/>
          </w:tcPr>
          <w:p>
            <w:pPr>
              <w:widowControl/>
              <w:spacing w:line="400" w:lineRule="exact"/>
              <w:jc w:val="center"/>
              <w:rPr>
                <w:rFonts w:ascii="宋体" w:hAnsi="宋体" w:cs="宋体"/>
                <w:color w:val="auto"/>
                <w:kern w:val="0"/>
                <w:sz w:val="22"/>
                <w:szCs w:val="22"/>
                <w:highlight w:val="none"/>
              </w:rPr>
            </w:pPr>
          </w:p>
        </w:tc>
        <w:tc>
          <w:tcPr>
            <w:tcW w:w="2750" w:type="dxa"/>
            <w:tcBorders>
              <w:left w:val="single" w:color="auto" w:sz="4" w:space="0"/>
            </w:tcBorders>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4.车辆管理。车辆外观干净整洁，分类标识标识和监督电话在车身明显位置，规范停车及作业（包括非机动车）。</w:t>
            </w:r>
          </w:p>
        </w:tc>
        <w:tc>
          <w:tcPr>
            <w:tcW w:w="875" w:type="dxa"/>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3897" w:type="dxa"/>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车辆不洁，分类标志标识不正确，监督电话错误，每发现一次扣0.2分；车辆未按要求停放、作业，遭到投诉的每次扣0.2分，并直接扣除服务费100元。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3" w:type="dxa"/>
            <w:vMerge w:val="continue"/>
            <w:vAlign w:val="center"/>
          </w:tcPr>
          <w:p>
            <w:pPr>
              <w:widowControl/>
              <w:spacing w:line="400" w:lineRule="exact"/>
              <w:jc w:val="center"/>
              <w:rPr>
                <w:rFonts w:ascii="宋体" w:hAnsi="宋体" w:cs="宋体"/>
                <w:color w:val="auto"/>
                <w:kern w:val="0"/>
                <w:sz w:val="22"/>
                <w:szCs w:val="22"/>
                <w:highlight w:val="none"/>
              </w:rPr>
            </w:pPr>
          </w:p>
        </w:tc>
        <w:tc>
          <w:tcPr>
            <w:tcW w:w="1287" w:type="dxa"/>
            <w:vMerge w:val="continue"/>
            <w:vAlign w:val="center"/>
          </w:tcPr>
          <w:p>
            <w:pPr>
              <w:widowControl/>
              <w:spacing w:line="400" w:lineRule="exact"/>
              <w:jc w:val="center"/>
              <w:rPr>
                <w:rFonts w:ascii="宋体" w:hAnsi="宋体" w:cs="宋体"/>
                <w:color w:val="auto"/>
                <w:kern w:val="0"/>
                <w:sz w:val="22"/>
                <w:szCs w:val="22"/>
                <w:highlight w:val="none"/>
              </w:rPr>
            </w:pPr>
          </w:p>
        </w:tc>
        <w:tc>
          <w:tcPr>
            <w:tcW w:w="2750" w:type="dxa"/>
            <w:tcBorders>
              <w:left w:val="single" w:color="auto" w:sz="4" w:space="0"/>
              <w:bottom w:val="single" w:color="auto" w:sz="4" w:space="0"/>
            </w:tcBorders>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5.按规定要求回收品类内的垃圾且分类后进行处置。要求去向明确，有详细登记明细，严禁混装处置。有害垃圾按照危险废物进行管理，并在浙江省固体废物监管平台上及时申报有害垃圾产生利用处置信息。</w:t>
            </w:r>
          </w:p>
        </w:tc>
        <w:tc>
          <w:tcPr>
            <w:tcW w:w="875" w:type="dxa"/>
            <w:tcBorders>
              <w:bottom w:val="single" w:color="auto" w:sz="4" w:space="0"/>
            </w:tcBorders>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3897" w:type="dxa"/>
            <w:tcBorders>
              <w:bottom w:val="single" w:color="auto" w:sz="4" w:space="0"/>
            </w:tcBorders>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去向不明，无详细登记明细的不得分。未分类直接处置发生一起扣2分，发现一次核减服务费10000元。有害垃圾贮存不规范，每发现一次扣1分，未及时申报有害垃圾产生利用处置信息，每发现一次扣1分。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973" w:type="dxa"/>
            <w:vMerge w:val="restart"/>
            <w:vAlign w:val="center"/>
          </w:tcPr>
          <w:p>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四</w:t>
            </w:r>
          </w:p>
        </w:tc>
        <w:tc>
          <w:tcPr>
            <w:tcW w:w="1287" w:type="dxa"/>
            <w:vMerge w:val="restart"/>
            <w:vAlign w:val="center"/>
          </w:tcPr>
          <w:p>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宣传</w:t>
            </w:r>
          </w:p>
          <w:p>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引导</w:t>
            </w:r>
          </w:p>
          <w:p>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（10分）</w:t>
            </w:r>
          </w:p>
        </w:tc>
        <w:tc>
          <w:tcPr>
            <w:tcW w:w="2750" w:type="dxa"/>
            <w:tcBorders>
              <w:top w:val="single" w:color="auto" w:sz="4" w:space="0"/>
              <w:left w:val="single" w:color="auto" w:sz="4" w:space="0"/>
              <w:bottom w:val="single" w:color="auto" w:sz="4" w:space="0"/>
            </w:tcBorders>
            <w:vAlign w:val="center"/>
          </w:tcPr>
          <w:p>
            <w:pPr>
              <w:widowControl/>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1、每年组织不少于2场宣传活动，每月不少于1次进社区宣传活动，社区宣传覆盖率达100%。</w:t>
            </w:r>
          </w:p>
        </w:tc>
        <w:tc>
          <w:tcPr>
            <w:tcW w:w="875" w:type="dxa"/>
            <w:tcBorders>
              <w:top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3897" w:type="dxa"/>
            <w:tcBorders>
              <w:top w:val="single" w:color="auto" w:sz="4" w:space="0"/>
              <w:left w:val="single" w:color="auto" w:sz="4" w:space="0"/>
              <w:bottom w:val="single" w:color="auto" w:sz="4" w:space="0"/>
            </w:tcBorders>
            <w:vAlign w:val="center"/>
          </w:tcPr>
          <w:p>
            <w:pPr>
              <w:widowControl/>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Hans"/>
              </w:rPr>
              <w:t>服务期第一年，年</w:t>
            </w:r>
            <w:r>
              <w:rPr>
                <w:rFonts w:hint="eastAsia" w:ascii="宋体" w:hAnsi="宋体" w:cs="宋体"/>
                <w:color w:val="auto"/>
                <w:kern w:val="0"/>
                <w:sz w:val="22"/>
                <w:szCs w:val="22"/>
                <w:highlight w:val="none"/>
              </w:rPr>
              <w:t>度活动未组织的，扣3分；每月进社区活动未组织的扣2分。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25" w:hRule="atLeast"/>
          <w:jc w:val="center"/>
        </w:trPr>
        <w:tc>
          <w:tcPr>
            <w:tcW w:w="973" w:type="dxa"/>
            <w:vMerge w:val="continue"/>
            <w:vAlign w:val="center"/>
          </w:tcPr>
          <w:p>
            <w:pPr>
              <w:spacing w:line="400" w:lineRule="exact"/>
              <w:jc w:val="center"/>
              <w:rPr>
                <w:rFonts w:ascii="宋体" w:hAnsi="宋体" w:cs="宋体"/>
                <w:color w:val="auto"/>
                <w:kern w:val="0"/>
                <w:sz w:val="22"/>
                <w:szCs w:val="22"/>
                <w:highlight w:val="none"/>
              </w:rPr>
            </w:pPr>
          </w:p>
        </w:tc>
        <w:tc>
          <w:tcPr>
            <w:tcW w:w="1287" w:type="dxa"/>
            <w:vMerge w:val="continue"/>
            <w:vAlign w:val="center"/>
          </w:tcPr>
          <w:p>
            <w:pPr>
              <w:spacing w:line="400" w:lineRule="exact"/>
              <w:jc w:val="center"/>
              <w:rPr>
                <w:rFonts w:ascii="宋体" w:hAnsi="宋体" w:cs="宋体"/>
                <w:color w:val="auto"/>
                <w:kern w:val="0"/>
                <w:sz w:val="22"/>
                <w:szCs w:val="22"/>
                <w:highlight w:val="none"/>
              </w:rPr>
            </w:pPr>
          </w:p>
        </w:tc>
        <w:tc>
          <w:tcPr>
            <w:tcW w:w="2750" w:type="dxa"/>
            <w:tcBorders>
              <w:top w:val="single" w:color="auto" w:sz="4" w:space="0"/>
              <w:left w:val="single" w:color="auto" w:sz="4" w:space="0"/>
            </w:tcBorders>
            <w:vAlign w:val="center"/>
          </w:tcPr>
          <w:p>
            <w:pPr>
              <w:widowControl/>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2.配合街道和社区在每个覆盖小区开展垃圾分类知识培训及入户宣传活动，入户宣到达率100%。</w:t>
            </w:r>
          </w:p>
        </w:tc>
        <w:tc>
          <w:tcPr>
            <w:tcW w:w="875" w:type="dxa"/>
            <w:tcBorders>
              <w:top w:val="single" w:color="auto" w:sz="4" w:space="0"/>
              <w:right w:val="single" w:color="auto" w:sz="4" w:space="0"/>
            </w:tcBorders>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3897" w:type="dxa"/>
            <w:tcBorders>
              <w:top w:val="single" w:color="auto" w:sz="4" w:space="0"/>
              <w:left w:val="single" w:color="auto" w:sz="4" w:space="0"/>
              <w:bottom w:val="single" w:color="auto" w:sz="4" w:space="0"/>
            </w:tcBorders>
            <w:vAlign w:val="center"/>
          </w:tcPr>
          <w:p>
            <w:pPr>
              <w:widowControl/>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未有效配合开展知识培训和入户宣传活动的，每次扣1分。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973" w:type="dxa"/>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五</w:t>
            </w:r>
          </w:p>
        </w:tc>
        <w:tc>
          <w:tcPr>
            <w:tcW w:w="1287" w:type="dxa"/>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社会</w:t>
            </w:r>
          </w:p>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评价</w:t>
            </w:r>
          </w:p>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（3分）</w:t>
            </w:r>
          </w:p>
        </w:tc>
        <w:tc>
          <w:tcPr>
            <w:tcW w:w="27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1.公众监督。对12345等各类信访投诉、领导交办件及各类媒体负面报道进行统计分析，对有责任的进行扣分。</w:t>
            </w:r>
          </w:p>
        </w:tc>
        <w:tc>
          <w:tcPr>
            <w:tcW w:w="8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3897" w:type="dxa"/>
            <w:tcBorders>
              <w:top w:val="single" w:color="auto" w:sz="4" w:space="0"/>
              <w:left w:val="single" w:color="auto" w:sz="4" w:space="0"/>
              <w:bottom w:val="single" w:color="auto" w:sz="4" w:space="0"/>
            </w:tcBorders>
            <w:vAlign w:val="center"/>
          </w:tcPr>
          <w:p>
            <w:pPr>
              <w:widowControl/>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12345等受理的问题投诉每发生1次扣0.3分；市级以上媒体曝光，每发生1次扣1分；领导交办件有责的每件扣2分；省级以上媒体曝光，每发生1次扣3分。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9" w:hRule="atLeast"/>
          <w:jc w:val="center"/>
        </w:trPr>
        <w:tc>
          <w:tcPr>
            <w:tcW w:w="973" w:type="dxa"/>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六</w:t>
            </w:r>
          </w:p>
        </w:tc>
        <w:tc>
          <w:tcPr>
            <w:tcW w:w="1287" w:type="dxa"/>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加分项</w:t>
            </w:r>
          </w:p>
        </w:tc>
        <w:tc>
          <w:tcPr>
            <w:tcW w:w="7522" w:type="dxa"/>
            <w:gridSpan w:val="3"/>
            <w:tcBorders>
              <w:top w:val="single" w:color="auto" w:sz="4" w:space="0"/>
              <w:left w:val="single" w:color="auto" w:sz="4" w:space="0"/>
              <w:bottom w:val="single" w:color="auto" w:sz="4" w:space="0"/>
            </w:tcBorders>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该项目服务内容国家级、省、市级媒体进行正面报道的，每件分别加5分、3分、1分；该项目服务内容受到国家、省、市级政府表彰的，分别加10分、5分、3分。该项目服务内容受到国家、省、市级政府部门批示的，分别加5分、3分、2分。每月每户减量达到0.4（含0.4）公斤/日的加2分，每月每户减量达到0.5（含0.5）公斤/日的加5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973" w:type="dxa"/>
            <w:vAlign w:val="center"/>
          </w:tcPr>
          <w:p>
            <w:pPr>
              <w:widowControl/>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七</w:t>
            </w:r>
          </w:p>
        </w:tc>
        <w:tc>
          <w:tcPr>
            <w:tcW w:w="1287" w:type="dxa"/>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一票否决制</w:t>
            </w:r>
          </w:p>
        </w:tc>
        <w:tc>
          <w:tcPr>
            <w:tcW w:w="7522" w:type="dxa"/>
            <w:gridSpan w:val="3"/>
            <w:tcBorders>
              <w:top w:val="single" w:color="auto" w:sz="4" w:space="0"/>
              <w:left w:val="single" w:color="auto" w:sz="4" w:space="0"/>
            </w:tcBorders>
            <w:vAlign w:val="center"/>
          </w:tcPr>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1.项目运行期间，发生安全生产事故造成较大影响的，考核不合格；</w:t>
            </w:r>
          </w:p>
          <w:p>
            <w:pPr>
              <w:widowControl/>
              <w:spacing w:line="400" w:lineRule="exact"/>
              <w:rPr>
                <w:rFonts w:ascii="宋体" w:hAnsi="宋体" w:cs="宋体"/>
                <w:color w:val="auto"/>
                <w:sz w:val="22"/>
                <w:szCs w:val="22"/>
                <w:highlight w:val="none"/>
              </w:rPr>
            </w:pPr>
            <w:r>
              <w:rPr>
                <w:rFonts w:hint="eastAsia" w:ascii="宋体" w:hAnsi="宋体" w:cs="宋体"/>
                <w:color w:val="auto"/>
                <w:kern w:val="0"/>
                <w:sz w:val="22"/>
                <w:szCs w:val="22"/>
                <w:highlight w:val="none"/>
              </w:rPr>
              <w:t>2.项目运行期间，发生违法行为的，考核不合格。</w:t>
            </w:r>
          </w:p>
        </w:tc>
      </w:tr>
    </w:tbl>
    <w:p>
      <w:pPr>
        <w:spacing w:line="400" w:lineRule="exact"/>
        <w:ind w:firstLine="440" w:firstLineChars="200"/>
        <w:rPr>
          <w:rFonts w:ascii="宋体"/>
          <w:color w:val="auto"/>
          <w:sz w:val="22"/>
          <w:szCs w:val="22"/>
          <w:highlight w:val="none"/>
        </w:rPr>
      </w:pPr>
    </w:p>
    <w:p>
      <w:pPr>
        <w:numPr>
          <w:ilvl w:val="0"/>
          <w:numId w:val="7"/>
        </w:numPr>
        <w:snapToGrid w:val="0"/>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highlight w:val="none"/>
        </w:rPr>
        <w:t>合同签订前，中标（成交）供应商须提供合同金额1%的履约保证金至采购人账户（以转账或者金融机构、担保机构出具的保函等非现金形式提交）。</w:t>
      </w:r>
    </w:p>
    <w:p>
      <w:pPr>
        <w:numPr>
          <w:ilvl w:val="0"/>
          <w:numId w:val="7"/>
        </w:numPr>
        <w:snapToGrid w:val="0"/>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预付款：由中标供应商与采购人签订合同时协商。</w:t>
      </w:r>
    </w:p>
    <w:p>
      <w:pPr>
        <w:numPr>
          <w:ilvl w:val="0"/>
          <w:numId w:val="7"/>
        </w:numPr>
        <w:snapToGrid w:val="0"/>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按月考核，根据季度考核分按季度支付服务费，季度考核分取该季度三个月考核分的平均分：季度考核得分90分（含）以上的，支付该季度费用的100%；季度考核得分85分（含）至90分的，扣减当季度服务费的5%；季度考核得分80分（含）至85分的，扣减当季度服务费的10%；季度考核得分75分（含）至80分的，扣减当季度服务费的15%；季度考核得分70分（含）至75分的，扣减当季度服务费的20%；70分以下为不合格，第一次考核不合格的，扣减当季度服务费的50%；第二次考核不合格的，扣减当季度服务费的100%；第三次考核不合格的，扣减当季度服务费的100%，没收全部履约保证金并终止合同。所有打分精确到小数点后两位,付款前中标方须开具符合税务要求的发票给采购人。</w:t>
      </w:r>
    </w:p>
    <w:p>
      <w:pPr>
        <w:numPr>
          <w:ilvl w:val="0"/>
          <w:numId w:val="7"/>
        </w:numPr>
        <w:snapToGrid w:val="0"/>
        <w:spacing w:line="400" w:lineRule="exact"/>
        <w:ind w:firstLine="440" w:firstLineChars="200"/>
        <w:rPr>
          <w:rFonts w:ascii="宋体" w:hAnsi="宋体" w:cs="宋体"/>
          <w:color w:val="auto"/>
          <w:sz w:val="22"/>
          <w:szCs w:val="22"/>
          <w:highlight w:val="none"/>
        </w:rPr>
      </w:pPr>
      <w:r>
        <w:rPr>
          <w:rFonts w:hint="eastAsia" w:ascii="宋体" w:hAnsi="宋体" w:cs="宋体"/>
          <w:bCs/>
          <w:color w:val="auto"/>
          <w:sz w:val="22"/>
          <w:szCs w:val="22"/>
          <w:highlight w:val="none"/>
        </w:rPr>
        <w:t xml:space="preserve">以双方合同签订日起，为项目建设准备期（    </w:t>
      </w:r>
      <w:r>
        <w:rPr>
          <w:rFonts w:hint="eastAsia" w:ascii="宋体" w:hAnsi="宋体" w:cs="宋体"/>
          <w:color w:val="auto"/>
          <w:sz w:val="22"/>
          <w:szCs w:val="22"/>
          <w:highlight w:val="none"/>
        </w:rPr>
        <w:t>年    月    日止，鼓励提前完成项目建设准备期</w:t>
      </w:r>
      <w:r>
        <w:rPr>
          <w:rFonts w:hint="eastAsia" w:ascii="宋体" w:hAnsi="宋体" w:cs="宋体"/>
          <w:bCs/>
          <w:color w:val="auto"/>
          <w:sz w:val="22"/>
          <w:szCs w:val="22"/>
          <w:highlight w:val="none"/>
        </w:rPr>
        <w:t>），</w:t>
      </w:r>
      <w:r>
        <w:rPr>
          <w:rFonts w:hint="eastAsia" w:ascii="宋体" w:hAnsi="宋体" w:cs="宋体"/>
          <w:color w:val="auto"/>
          <w:sz w:val="22"/>
          <w:szCs w:val="22"/>
          <w:highlight w:val="none"/>
        </w:rPr>
        <w:t>分拣中心正式投运之日起三个月为试运营期（分拣中心正式投运之日由甲乙双方确认），试运营期后为正式运营期。</w:t>
      </w:r>
    </w:p>
    <w:p>
      <w:pPr>
        <w:tabs>
          <w:tab w:val="left" w:pos="1200"/>
        </w:tabs>
        <w:adjustRightInd w:val="0"/>
        <w:snapToGrid w:val="0"/>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项目建设准备期：供应商应按规定配置项目正常运营所需的设备设施、系统平台及相关人员配置与培训工作，积极开展项目宣传推广活动，确保项目能顺利运行。供应商在建设准备期设备设施和人员配置未达最低投入要求，或无法正常进入试运营的，采购人可以终止合同，所有损失由供应商承担。如供应商提前完成上述建设准备工作的，经与采购人协商一致后可立即进入项目试运营期。项目建设准备期不计入服务期，不支付服务费。</w:t>
      </w:r>
    </w:p>
    <w:p>
      <w:pPr>
        <w:tabs>
          <w:tab w:val="left" w:pos="1200"/>
        </w:tabs>
        <w:adjustRightInd w:val="0"/>
        <w:snapToGrid w:val="0"/>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试运营期：试运营期间采购人将根据供应商在项目设备设施、人员、车辆、服务站点配置是否达到投标要求，是否开展大型垃圾分类宣传（每月4场），新媒体宣传（每月20篇）方面进行考核，供应商应全面开展服务户数信息采集登记，建立并完善基础服务数据，达到以上要求的全额支付服务费，未达到按完成的应付服务费的70%支付。试运营期结束后供应商不能正常提供服务的，采购人可以终止合同，所有损失由供应商承担。</w:t>
      </w:r>
    </w:p>
    <w:p>
      <w:pPr>
        <w:tabs>
          <w:tab w:val="left" w:pos="1200"/>
        </w:tabs>
        <w:adjustRightInd w:val="0"/>
        <w:snapToGrid w:val="0"/>
        <w:spacing w:line="400" w:lineRule="exact"/>
        <w:ind w:firstLine="440" w:firstLineChars="200"/>
        <w:rPr>
          <w:rFonts w:ascii="宋体" w:hAnsi="宋体" w:cs="宋体"/>
          <w:bCs/>
          <w:color w:val="auto"/>
          <w:sz w:val="22"/>
          <w:szCs w:val="22"/>
          <w:highlight w:val="none"/>
        </w:rPr>
      </w:pPr>
      <w:r>
        <w:rPr>
          <w:rFonts w:hint="eastAsia" w:ascii="宋体" w:hAnsi="宋体" w:cs="宋体"/>
          <w:color w:val="auto"/>
          <w:sz w:val="22"/>
          <w:szCs w:val="22"/>
          <w:highlight w:val="none"/>
        </w:rPr>
        <w:t>正式运营期：供应商应按采购要求提供全部服务，采购人按考核标准考核并支付服务费。正式运营期考核不合格的，采购人责令整改，整改后考核仍然不合格的，采购人可以终止合同，并扣除履约保证金，由此造成的一切后果和所有损失由供应商承担</w:t>
      </w:r>
      <w:r>
        <w:rPr>
          <w:rFonts w:hint="eastAsia" w:ascii="宋体" w:hAnsi="宋体" w:cs="宋体"/>
          <w:bCs/>
          <w:color w:val="auto"/>
          <w:sz w:val="22"/>
          <w:szCs w:val="22"/>
          <w:highlight w:val="none"/>
        </w:rPr>
        <w:t>。</w:t>
      </w:r>
    </w:p>
    <w:p>
      <w:pPr>
        <w:numPr>
          <w:ilvl w:val="0"/>
          <w:numId w:val="7"/>
        </w:numPr>
        <w:tabs>
          <w:tab w:val="left" w:pos="1200"/>
          <w:tab w:val="clear" w:pos="312"/>
        </w:tabs>
        <w:adjustRightInd w:val="0"/>
        <w:snapToGrid w:val="0"/>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中标方未按实施方案、技术方案严格执行或未达到质量要求的项目，采购人即时提出警告，并责令1个月内限期整改，暂缓支付未付款项；供应商在整改限期内不能达标或拒绝整改的，未付款项不予支付并可终止合同。</w:t>
      </w:r>
    </w:p>
    <w:p>
      <w:pPr>
        <w:numPr>
          <w:ilvl w:val="0"/>
          <w:numId w:val="7"/>
        </w:numPr>
        <w:tabs>
          <w:tab w:val="left" w:pos="1200"/>
          <w:tab w:val="clear" w:pos="312"/>
        </w:tabs>
        <w:adjustRightInd w:val="0"/>
        <w:snapToGrid w:val="0"/>
        <w:spacing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采购人在接到中标供应商增值税发票7个工作日内支付款项。</w:t>
      </w:r>
    </w:p>
    <w:p>
      <w:pPr>
        <w:numPr>
          <w:ilvl w:val="0"/>
          <w:numId w:val="7"/>
        </w:numPr>
        <w:tabs>
          <w:tab w:val="left" w:pos="1200"/>
          <w:tab w:val="clear" w:pos="312"/>
        </w:tabs>
        <w:adjustRightInd w:val="0"/>
        <w:snapToGrid w:val="0"/>
        <w:spacing w:line="400" w:lineRule="exact"/>
        <w:ind w:firstLine="442" w:firstLineChars="200"/>
        <w:rPr>
          <w:rFonts w:ascii="宋体" w:hAnsi="宋体" w:cs="宋体"/>
          <w:color w:val="auto"/>
          <w:sz w:val="22"/>
          <w:szCs w:val="22"/>
          <w:highlight w:val="none"/>
          <w:lang w:val="zh-CN"/>
        </w:rPr>
      </w:pPr>
      <w:r>
        <w:rPr>
          <w:rFonts w:hint="eastAsia" w:ascii="宋体" w:hAnsi="宋体" w:cs="宋体"/>
          <w:b/>
          <w:bCs/>
          <w:color w:val="auto"/>
          <w:sz w:val="22"/>
          <w:szCs w:val="22"/>
          <w:highlight w:val="none"/>
          <w:lang w:val="zh-CN"/>
        </w:rPr>
        <w:t>以上考核评分为暂定，采购人可结合采购内容及要求进行调整或更新</w:t>
      </w:r>
      <w:r>
        <w:rPr>
          <w:rFonts w:hint="eastAsia" w:ascii="宋体" w:hAnsi="宋体" w:cs="宋体"/>
          <w:color w:val="auto"/>
          <w:sz w:val="22"/>
          <w:szCs w:val="22"/>
          <w:highlight w:val="none"/>
          <w:lang w:val="zh-CN"/>
        </w:rPr>
        <w:t>。</w:t>
      </w:r>
    </w:p>
    <w:p>
      <w:pPr>
        <w:numPr>
          <w:ilvl w:val="0"/>
          <w:numId w:val="7"/>
        </w:numPr>
        <w:snapToGrid w:val="0"/>
        <w:spacing w:line="400" w:lineRule="exact"/>
        <w:ind w:firstLine="440" w:firstLineChars="200"/>
        <w:rPr>
          <w:rFonts w:ascii="宋体" w:hAnsi="宋体" w:cs="宋体"/>
          <w:color w:val="auto"/>
          <w:sz w:val="22"/>
          <w:szCs w:val="22"/>
          <w:highlight w:val="none"/>
          <w:lang w:val="zh-CN"/>
        </w:rPr>
        <w:sectPr>
          <w:footerReference r:id="rId7" w:type="default"/>
          <w:pgSz w:w="11906" w:h="16838"/>
          <w:pgMar w:top="1440" w:right="1440" w:bottom="1440" w:left="1440" w:header="851" w:footer="992" w:gutter="0"/>
          <w:pgNumType w:start="1"/>
          <w:cols w:space="0" w:num="1"/>
          <w:docGrid w:linePitch="312" w:charSpace="0"/>
        </w:sectPr>
      </w:pPr>
    </w:p>
    <w:p>
      <w:pPr>
        <w:adjustRightInd w:val="0"/>
        <w:snapToGrid w:val="0"/>
        <w:spacing w:line="454" w:lineRule="atLeast"/>
        <w:jc w:val="center"/>
        <w:rPr>
          <w:rFonts w:ascii="宋体" w:hAnsi="宋体"/>
          <w:b/>
          <w:color w:val="auto"/>
          <w:sz w:val="32"/>
          <w:szCs w:val="32"/>
          <w:highlight w:val="none"/>
        </w:rPr>
      </w:pPr>
      <w:r>
        <w:rPr>
          <w:rFonts w:hint="eastAsia" w:ascii="宋体" w:hAnsi="宋体"/>
          <w:b/>
          <w:color w:val="auto"/>
          <w:sz w:val="32"/>
          <w:szCs w:val="32"/>
          <w:highlight w:val="none"/>
        </w:rPr>
        <w:t>第三部分</w:t>
      </w:r>
      <w:r>
        <w:rPr>
          <w:rFonts w:ascii="宋体" w:hAnsi="宋体"/>
          <w:b/>
          <w:color w:val="auto"/>
          <w:sz w:val="32"/>
          <w:szCs w:val="32"/>
          <w:highlight w:val="none"/>
        </w:rPr>
        <w:t xml:space="preserve">   </w:t>
      </w:r>
      <w:r>
        <w:rPr>
          <w:rFonts w:hint="eastAsia" w:ascii="宋体" w:hAnsi="宋体"/>
          <w:b/>
          <w:color w:val="auto"/>
          <w:sz w:val="32"/>
          <w:szCs w:val="32"/>
          <w:highlight w:val="none"/>
        </w:rPr>
        <w:t>供应商须知</w:t>
      </w:r>
    </w:p>
    <w:p>
      <w:pPr>
        <w:adjustRightInd w:val="0"/>
        <w:snapToGrid w:val="0"/>
        <w:spacing w:line="454" w:lineRule="atLeast"/>
        <w:ind w:firstLine="446" w:firstLineChars="200"/>
        <w:rPr>
          <w:rFonts w:ascii="宋体"/>
          <w:b/>
          <w:bCs/>
          <w:color w:val="auto"/>
          <w:sz w:val="32"/>
          <w:szCs w:val="32"/>
          <w:highlight w:val="none"/>
        </w:rPr>
      </w:pPr>
      <w:r>
        <w:rPr>
          <w:rFonts w:hint="eastAsia" w:ascii="宋体" w:hAnsi="宋体"/>
          <w:b/>
          <w:bCs/>
          <w:color w:val="auto"/>
          <w:sz w:val="22"/>
          <w:szCs w:val="22"/>
          <w:highlight w:val="none"/>
          <w:lang w:val="zh-CN"/>
        </w:rPr>
        <w:t>一、说明</w:t>
      </w:r>
    </w:p>
    <w:p>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w:t>
      </w:r>
      <w:r>
        <w:rPr>
          <w:rFonts w:hint="eastAsia" w:ascii="宋体" w:hAnsi="宋体" w:cs="仿宋_GB2312"/>
          <w:color w:val="auto"/>
          <w:sz w:val="22"/>
          <w:szCs w:val="22"/>
          <w:highlight w:val="none"/>
          <w:lang w:val="zh-CN"/>
        </w:rPr>
        <w:t>本次采购工作是按照《中华人民共和国政府采购法》、《政府采购货物和服务招标投标管理办法》及相关法律规章组织和实施。</w:t>
      </w:r>
    </w:p>
    <w:p>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w:t>
      </w:r>
      <w:r>
        <w:rPr>
          <w:rFonts w:hint="eastAsia" w:ascii="宋体" w:hAnsi="宋体"/>
          <w:color w:val="auto"/>
          <w:sz w:val="22"/>
          <w:szCs w:val="22"/>
          <w:highlight w:val="none"/>
        </w:rPr>
        <w:t>供应商必须对本项目全部内容进行投标报价，只对部分内容进行报价的供应商将按无效投标处理。</w:t>
      </w:r>
    </w:p>
    <w:p>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、无论投标过程中的作法和结果如何，供应商自行承担投标活动中所发生的全部费用；采购人有权选择供应商的供货和服务范围。</w:t>
      </w:r>
    </w:p>
    <w:p>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4</w:t>
      </w:r>
      <w:r>
        <w:rPr>
          <w:rFonts w:hint="eastAsia" w:ascii="宋体"/>
          <w:color w:val="auto"/>
          <w:sz w:val="22"/>
          <w:szCs w:val="22"/>
          <w:highlight w:val="none"/>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pPr>
        <w:adjustRightInd w:val="0"/>
        <w:spacing w:line="400" w:lineRule="atLeast"/>
        <w:ind w:firstLine="436" w:firstLineChars="196"/>
        <w:rPr>
          <w:rFonts w:ascii="宋体" w:hAnsi="宋体" w:cs="宋体"/>
          <w:color w:val="auto"/>
          <w:sz w:val="22"/>
          <w:highlight w:val="none"/>
        </w:rPr>
      </w:pPr>
      <w:r>
        <w:rPr>
          <w:rFonts w:ascii="宋体"/>
          <w:color w:val="auto"/>
          <w:sz w:val="22"/>
          <w:szCs w:val="22"/>
          <w:highlight w:val="none"/>
        </w:rPr>
        <w:t>5</w:t>
      </w:r>
      <w:r>
        <w:rPr>
          <w:rFonts w:hint="eastAsia" w:ascii="宋体"/>
          <w:color w:val="auto"/>
          <w:sz w:val="22"/>
          <w:szCs w:val="22"/>
          <w:highlight w:val="none"/>
        </w:rPr>
        <w:t>、</w:t>
      </w:r>
      <w:r>
        <w:rPr>
          <w:rFonts w:hint="eastAsia" w:ascii="宋体" w:hAnsi="宋体" w:cs="宋体"/>
          <w:color w:val="auto"/>
          <w:sz w:val="22"/>
          <w:highlight w:val="none"/>
        </w:rPr>
        <w:t>安全生产</w:t>
      </w:r>
    </w:p>
    <w:p>
      <w:pPr>
        <w:adjustRightInd w:val="0"/>
        <w:spacing w:line="400" w:lineRule="atLeast"/>
        <w:ind w:firstLine="436" w:firstLineChars="196"/>
        <w:rPr>
          <w:rFonts w:ascii="宋体"/>
          <w:color w:val="auto"/>
          <w:sz w:val="22"/>
          <w:szCs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6知识产权</w:t>
      </w:r>
    </w:p>
    <w:p>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w:t>
      </w:r>
      <w:r>
        <w:rPr>
          <w:rFonts w:ascii="宋体"/>
          <w:color w:val="auto"/>
          <w:sz w:val="22"/>
          <w:highlight w:val="none"/>
        </w:rPr>
        <w:t>.1</w:t>
      </w:r>
      <w:r>
        <w:rPr>
          <w:rFonts w:hint="eastAsia" w:ascii="宋体"/>
          <w:color w:val="auto"/>
          <w:sz w:val="22"/>
          <w:highlight w:val="none"/>
        </w:rPr>
        <w:t>供应商应保证，采购人在中华人民共和国使用货物和服务的任何一部分时，免受第三方提出侵犯其专利权、商标权或其它知识产权的起诉。</w:t>
      </w:r>
    </w:p>
    <w:p>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w:t>
      </w:r>
      <w:r>
        <w:rPr>
          <w:rFonts w:ascii="宋体"/>
          <w:color w:val="auto"/>
          <w:sz w:val="22"/>
          <w:highlight w:val="none"/>
        </w:rPr>
        <w:t>.2</w:t>
      </w:r>
      <w:r>
        <w:rPr>
          <w:rFonts w:hint="eastAsia" w:ascii="宋体"/>
          <w:color w:val="auto"/>
          <w:sz w:val="22"/>
          <w:highlight w:val="none"/>
        </w:rPr>
        <w:t>投标供应商应对采购人在使用该产品时所涉及到的专利权负责，不损害采购人的利益。</w:t>
      </w:r>
    </w:p>
    <w:p>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w:t>
      </w:r>
      <w:r>
        <w:rPr>
          <w:rFonts w:ascii="宋体"/>
          <w:color w:val="auto"/>
          <w:sz w:val="22"/>
          <w:highlight w:val="none"/>
        </w:rPr>
        <w:t>.3</w:t>
      </w:r>
      <w:r>
        <w:rPr>
          <w:rFonts w:hint="eastAsia" w:ascii="宋体"/>
          <w:color w:val="auto"/>
          <w:sz w:val="22"/>
          <w:highlight w:val="none"/>
        </w:rPr>
        <w:t>报价应包括所有应支付的对专利权和版权、设计或其他知识产权而需要向其他方支付的版税。</w:t>
      </w:r>
    </w:p>
    <w:p>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w:t>
      </w:r>
      <w:r>
        <w:rPr>
          <w:rFonts w:ascii="宋体"/>
          <w:color w:val="auto"/>
          <w:sz w:val="22"/>
          <w:highlight w:val="none"/>
        </w:rPr>
        <w:t>.4</w:t>
      </w:r>
      <w:r>
        <w:rPr>
          <w:rFonts w:hint="eastAsia" w:ascii="宋体"/>
          <w:color w:val="auto"/>
          <w:sz w:val="22"/>
          <w:highlight w:val="none"/>
        </w:rPr>
        <w:t>投标供应商提供得货物或服务中如使用其他公司的相关专利，应在标书中出示相关授权，如未出示但使用了其他公司的专利，导致供应商中标而引起相关诉讼，由投标供应商承担。</w:t>
      </w:r>
    </w:p>
    <w:p>
      <w:pPr>
        <w:adjustRightInd w:val="0"/>
        <w:spacing w:line="400" w:lineRule="atLeast"/>
        <w:ind w:firstLine="436" w:firstLineChars="196"/>
        <w:rPr>
          <w:rFonts w:ascii="宋体"/>
          <w:color w:val="auto"/>
          <w:sz w:val="22"/>
          <w:highlight w:val="none"/>
          <w:lang w:val="zh-CN"/>
        </w:rPr>
      </w:pPr>
      <w:r>
        <w:rPr>
          <w:rFonts w:hint="eastAsia" w:ascii="宋体"/>
          <w:color w:val="auto"/>
          <w:sz w:val="22"/>
          <w:highlight w:val="none"/>
        </w:rPr>
        <w:t>7、</w:t>
      </w:r>
      <w:r>
        <w:rPr>
          <w:rFonts w:hint="eastAsia" w:ascii="宋体"/>
          <w:color w:val="auto"/>
          <w:sz w:val="22"/>
          <w:highlight w:val="non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pPr>
        <w:adjustRightInd w:val="0"/>
        <w:spacing w:line="400" w:lineRule="atLeast"/>
        <w:ind w:firstLine="436" w:firstLineChars="196"/>
        <w:rPr>
          <w:rFonts w:ascii="宋体" w:cs="仿宋_GB2312"/>
          <w:color w:val="auto"/>
          <w:sz w:val="22"/>
          <w:szCs w:val="22"/>
          <w:highlight w:val="none"/>
          <w:lang w:val="zh-CN"/>
        </w:rPr>
      </w:pPr>
      <w:r>
        <w:rPr>
          <w:rFonts w:hint="eastAsia" w:ascii="宋体" w:hAnsi="宋体" w:cs="仿宋_GB2312"/>
          <w:color w:val="auto"/>
          <w:sz w:val="22"/>
          <w:szCs w:val="22"/>
          <w:highlight w:val="none"/>
        </w:rPr>
        <w:t>8、</w:t>
      </w:r>
      <w:r>
        <w:rPr>
          <w:rFonts w:hint="eastAsia" w:ascii="宋体" w:hAnsi="宋体" w:cs="仿宋_GB2312"/>
          <w:color w:val="auto"/>
          <w:sz w:val="22"/>
          <w:szCs w:val="22"/>
          <w:highlight w:val="none"/>
          <w:lang w:val="zh-CN"/>
        </w:rPr>
        <w:t>为采购项目提供整体设计、规范编制或者项目管理、监理、检测等服务的供应商，不得再参加该采购项目的其他采购活动。</w:t>
      </w:r>
    </w:p>
    <w:p>
      <w:pPr>
        <w:adjustRightInd w:val="0"/>
        <w:spacing w:line="400" w:lineRule="atLeast"/>
        <w:ind w:firstLine="436" w:firstLineChars="196"/>
        <w:rPr>
          <w:rFonts w:ascii="宋体" w:cs="仿宋_GB2312"/>
          <w:color w:val="auto"/>
          <w:sz w:val="22"/>
          <w:szCs w:val="22"/>
          <w:highlight w:val="none"/>
          <w:lang w:val="zh-CN"/>
        </w:rPr>
      </w:pPr>
      <w:r>
        <w:rPr>
          <w:rFonts w:hint="eastAsia" w:ascii="宋体" w:hAnsi="宋体" w:cs="仿宋_GB2312"/>
          <w:color w:val="auto"/>
          <w:sz w:val="22"/>
          <w:szCs w:val="22"/>
          <w:highlight w:val="none"/>
        </w:rPr>
        <w:t>9、</w:t>
      </w:r>
      <w:r>
        <w:rPr>
          <w:rFonts w:hint="eastAsia" w:ascii="宋体" w:hAnsi="宋体" w:cs="仿宋_GB2312"/>
          <w:color w:val="auto"/>
          <w:sz w:val="22"/>
          <w:szCs w:val="22"/>
          <w:highlight w:val="none"/>
          <w:lang w:val="zh-CN"/>
        </w:rPr>
        <w:t>本项目投标文件签章须采用供应商正式公章，不得以投标专用章或业务章、合同章等代替。</w:t>
      </w:r>
    </w:p>
    <w:p>
      <w:pPr>
        <w:autoSpaceDE w:val="0"/>
        <w:autoSpaceDN w:val="0"/>
        <w:adjustRightInd w:val="0"/>
        <w:spacing w:line="400" w:lineRule="atLeast"/>
        <w:ind w:firstLine="446" w:firstLineChars="200"/>
        <w:textAlignment w:val="bottom"/>
        <w:rPr>
          <w:rFonts w:ascii="宋体"/>
          <w:b/>
          <w:color w:val="auto"/>
          <w:sz w:val="22"/>
          <w:szCs w:val="22"/>
          <w:highlight w:val="none"/>
        </w:rPr>
      </w:pPr>
      <w:r>
        <w:rPr>
          <w:rFonts w:hint="eastAsia" w:ascii="宋体" w:hAnsi="宋体"/>
          <w:color w:val="auto"/>
          <w:sz w:val="22"/>
          <w:szCs w:val="22"/>
          <w:highlight w:val="none"/>
        </w:rPr>
        <w:t>10、</w:t>
      </w:r>
      <w:r>
        <w:rPr>
          <w:rFonts w:hint="eastAsia" w:ascii="宋体" w:hAnsi="宋体"/>
          <w:b/>
          <w:color w:val="auto"/>
          <w:sz w:val="22"/>
          <w:szCs w:val="22"/>
          <w:highlight w:val="none"/>
        </w:rPr>
        <w:t>▲供应商须具有良好的商业信誉：</w:t>
      </w:r>
    </w:p>
    <w:p>
      <w:pPr>
        <w:autoSpaceDE w:val="0"/>
        <w:autoSpaceDN w:val="0"/>
        <w:adjustRightInd w:val="0"/>
        <w:spacing w:line="400" w:lineRule="atLeast"/>
        <w:ind w:firstLine="44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1</w:t>
      </w:r>
      <w:r>
        <w:rPr>
          <w:rFonts w:hint="eastAsia" w:ascii="宋体" w:hAnsi="宋体"/>
          <w:b/>
          <w:color w:val="auto"/>
          <w:sz w:val="22"/>
          <w:szCs w:val="22"/>
          <w:highlight w:val="none"/>
          <w:u w:val="single"/>
        </w:rPr>
        <w:t>）供应商在国家企业信用信息公示系统网：（https://www.gsxt.gov.cn/index.html）严重违法企业记录。</w:t>
      </w:r>
      <w:r>
        <w:rPr>
          <w:rFonts w:ascii="宋体" w:hAnsi="宋体"/>
          <w:b/>
          <w:color w:val="auto"/>
          <w:sz w:val="22"/>
          <w:szCs w:val="22"/>
          <w:highlight w:val="none"/>
          <w:u w:val="single"/>
        </w:rPr>
        <w:t xml:space="preserve">    </w:t>
      </w:r>
    </w:p>
    <w:p>
      <w:pPr>
        <w:autoSpaceDE w:val="0"/>
        <w:autoSpaceDN w:val="0"/>
        <w:adjustRightInd w:val="0"/>
        <w:spacing w:line="400" w:lineRule="atLeast"/>
        <w:ind w:firstLine="44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2</w:t>
      </w:r>
      <w:r>
        <w:rPr>
          <w:rFonts w:hint="eastAsia" w:ascii="宋体" w:hAnsi="宋体"/>
          <w:b/>
          <w:color w:val="auto"/>
          <w:sz w:val="22"/>
          <w:szCs w:val="22"/>
          <w:highlight w:val="none"/>
          <w:u w:val="single"/>
        </w:rPr>
        <w:t>）供应商在中国执行信息公开网（</w:t>
      </w:r>
      <w:r>
        <w:rPr>
          <w:rFonts w:hint="eastAsia" w:ascii="宋体" w:hAnsi="宋体"/>
          <w:b/>
          <w:color w:val="auto"/>
          <w:sz w:val="22"/>
          <w:highlight w:val="none"/>
          <w:u w:val="single"/>
        </w:rPr>
        <w:t>http://zxgk.court.gov.cn/</w:t>
      </w:r>
      <w:r>
        <w:rPr>
          <w:rFonts w:hint="eastAsia" w:ascii="宋体" w:hAnsi="宋体"/>
          <w:b/>
          <w:color w:val="auto"/>
          <w:sz w:val="22"/>
          <w:szCs w:val="22"/>
          <w:highlight w:val="none"/>
          <w:u w:val="single"/>
        </w:rPr>
        <w:t>）无失信信息记录。</w:t>
      </w:r>
      <w:r>
        <w:rPr>
          <w:rFonts w:ascii="宋体" w:hAnsi="宋体"/>
          <w:b/>
          <w:color w:val="auto"/>
          <w:sz w:val="22"/>
          <w:szCs w:val="22"/>
          <w:highlight w:val="none"/>
          <w:u w:val="single"/>
        </w:rPr>
        <w:t xml:space="preserve">   </w:t>
      </w:r>
    </w:p>
    <w:p>
      <w:pPr>
        <w:autoSpaceDE w:val="0"/>
        <w:autoSpaceDN w:val="0"/>
        <w:adjustRightInd w:val="0"/>
        <w:spacing w:line="400" w:lineRule="atLeast"/>
        <w:ind w:firstLine="44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3</w:t>
      </w:r>
      <w:r>
        <w:rPr>
          <w:rFonts w:hint="eastAsia" w:ascii="宋体" w:hAnsi="宋体"/>
          <w:b/>
          <w:color w:val="auto"/>
          <w:sz w:val="22"/>
          <w:szCs w:val="22"/>
          <w:highlight w:val="none"/>
          <w:u w:val="single"/>
        </w:rPr>
        <w:t>）供应商在中国政府采购网（</w:t>
      </w:r>
      <w:r>
        <w:rPr>
          <w:rFonts w:ascii="宋体" w:hAnsi="宋体"/>
          <w:b/>
          <w:color w:val="auto"/>
          <w:sz w:val="22"/>
          <w:szCs w:val="22"/>
          <w:highlight w:val="none"/>
          <w:u w:val="single"/>
        </w:rPr>
        <w:t>http://www.ccgp.gov.cn/cr/list</w:t>
      </w:r>
      <w:r>
        <w:rPr>
          <w:rFonts w:hint="eastAsia" w:ascii="宋体" w:hAnsi="宋体"/>
          <w:b/>
          <w:color w:val="auto"/>
          <w:sz w:val="22"/>
          <w:szCs w:val="22"/>
          <w:highlight w:val="none"/>
          <w:u w:val="single"/>
        </w:rPr>
        <w:t>）无严重违法行为记录。</w:t>
      </w:r>
      <w:r>
        <w:rPr>
          <w:rFonts w:ascii="宋体" w:hAnsi="宋体"/>
          <w:b/>
          <w:color w:val="auto"/>
          <w:sz w:val="22"/>
          <w:szCs w:val="22"/>
          <w:highlight w:val="none"/>
          <w:u w:val="single"/>
        </w:rPr>
        <w:t xml:space="preserve">   </w:t>
      </w:r>
    </w:p>
    <w:p>
      <w:pPr>
        <w:widowControl/>
        <w:snapToGrid w:val="0"/>
        <w:spacing w:line="400" w:lineRule="atLeast"/>
        <w:ind w:firstLine="446" w:firstLineChars="200"/>
        <w:jc w:val="left"/>
        <w:rPr>
          <w:rFonts w:ascii="宋体"/>
          <w:b/>
          <w:color w:val="auto"/>
          <w:sz w:val="22"/>
          <w:szCs w:val="22"/>
          <w:highlight w:val="none"/>
          <w:u w:val="single"/>
        </w:rPr>
      </w:pPr>
      <w:r>
        <w:rPr>
          <w:rFonts w:ascii="宋体" w:hAnsi="宋体"/>
          <w:b/>
          <w:color w:val="auto"/>
          <w:sz w:val="22"/>
          <w:szCs w:val="22"/>
          <w:highlight w:val="none"/>
          <w:u w:val="single"/>
        </w:rPr>
        <w:t xml:space="preserve"> 4</w:t>
      </w:r>
      <w:r>
        <w:rPr>
          <w:rFonts w:hint="eastAsia" w:ascii="宋体" w:hAnsi="宋体"/>
          <w:b/>
          <w:color w:val="auto"/>
          <w:sz w:val="22"/>
          <w:szCs w:val="22"/>
          <w:highlight w:val="none"/>
          <w:u w:val="single"/>
        </w:rPr>
        <w:t>）未被各级财政部门列入政府采购黑名单或被各级财政部门禁止参加政府采购项目投标。</w:t>
      </w:r>
      <w:r>
        <w:rPr>
          <w:rFonts w:ascii="宋体" w:hAnsi="宋体"/>
          <w:b/>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b/>
          <w:color w:val="auto"/>
          <w:sz w:val="22"/>
          <w:szCs w:val="22"/>
          <w:highlight w:val="none"/>
          <w:u w:val="single"/>
        </w:rPr>
        <w:t>如供应商有上述情形并参与本项目投标的，一经查实，其投标做无效投标处理。</w:t>
      </w:r>
    </w:p>
    <w:p>
      <w:pPr>
        <w:widowControl/>
        <w:snapToGrid w:val="0"/>
        <w:spacing w:line="400" w:lineRule="atLeast"/>
        <w:ind w:firstLine="446" w:firstLineChars="200"/>
        <w:jc w:val="left"/>
        <w:rPr>
          <w:rFonts w:ascii="宋体"/>
          <w:b/>
          <w:color w:val="auto"/>
          <w:sz w:val="22"/>
          <w:szCs w:val="22"/>
          <w:highlight w:val="none"/>
        </w:rPr>
      </w:pPr>
      <w:r>
        <w:rPr>
          <w:rFonts w:hint="eastAsia" w:ascii="宋体" w:hAnsi="宋体"/>
          <w:b/>
          <w:color w:val="auto"/>
          <w:sz w:val="22"/>
          <w:szCs w:val="22"/>
          <w:highlight w:val="none"/>
        </w:rPr>
        <w:t>11、</w:t>
      </w:r>
      <w:r>
        <w:rPr>
          <w:rFonts w:hint="eastAsia" w:ascii="宋体" w:hAnsi="宋体"/>
          <w:b/>
          <w:color w:val="auto"/>
          <w:sz w:val="22"/>
          <w:szCs w:val="22"/>
          <w:highlight w:val="none"/>
          <w:u w:val="single"/>
        </w:rPr>
        <w:t>▲中标</w:t>
      </w:r>
      <w:r>
        <w:rPr>
          <w:rFonts w:ascii="宋体" w:hAnsi="宋体"/>
          <w:b/>
          <w:color w:val="auto"/>
          <w:sz w:val="22"/>
          <w:szCs w:val="22"/>
          <w:highlight w:val="none"/>
          <w:u w:val="single"/>
        </w:rPr>
        <w:t>/</w:t>
      </w:r>
      <w:r>
        <w:rPr>
          <w:rFonts w:hint="eastAsia" w:ascii="宋体" w:hAnsi="宋体"/>
          <w:b/>
          <w:color w:val="auto"/>
          <w:sz w:val="22"/>
          <w:szCs w:val="22"/>
          <w:highlight w:val="none"/>
          <w:u w:val="single"/>
        </w:rPr>
        <w:t>成交方必须通过浙江政府采购网（http://zfcg.czt.zj.gov.cn/）或各地分网站，向注册所在地或组织采购活动的招标代理机构（包括招标代理机构和社会中介招标代理机构）、采购单位等进行注册申请，按规定审核后，登记加入</w:t>
      </w:r>
      <w:r>
        <w:rPr>
          <w:rFonts w:hint="eastAsia" w:ascii="宋体"/>
          <w:b/>
          <w:color w:val="auto"/>
          <w:sz w:val="22"/>
          <w:szCs w:val="22"/>
          <w:highlight w:val="none"/>
          <w:u w:val="single"/>
        </w:rPr>
        <w:t>“</w:t>
      </w:r>
      <w:r>
        <w:rPr>
          <w:rFonts w:hint="eastAsia" w:ascii="宋体" w:hAnsi="宋体"/>
          <w:b/>
          <w:color w:val="auto"/>
          <w:sz w:val="22"/>
          <w:szCs w:val="22"/>
          <w:highlight w:val="none"/>
          <w:u w:val="single"/>
        </w:rPr>
        <w:t>浙江省政府采购供应商库</w:t>
      </w:r>
      <w:r>
        <w:rPr>
          <w:rFonts w:hint="eastAsia" w:ascii="宋体"/>
          <w:b/>
          <w:color w:val="auto"/>
          <w:sz w:val="22"/>
          <w:szCs w:val="22"/>
          <w:highlight w:val="none"/>
          <w:u w:val="single"/>
        </w:rPr>
        <w:t>”</w:t>
      </w:r>
      <w:r>
        <w:rPr>
          <w:rFonts w:hint="eastAsia" w:ascii="宋体" w:hAnsi="宋体"/>
          <w:b/>
          <w:color w:val="auto"/>
          <w:sz w:val="22"/>
          <w:szCs w:val="22"/>
          <w:highlight w:val="none"/>
          <w:u w:val="single"/>
        </w:rPr>
        <w:t>。</w:t>
      </w:r>
    </w:p>
    <w:p>
      <w:pPr>
        <w:widowControl/>
        <w:snapToGrid w:val="0"/>
        <w:spacing w:line="400" w:lineRule="atLeast"/>
        <w:ind w:firstLine="486" w:firstLineChars="200"/>
        <w:rPr>
          <w:rFonts w:ascii="宋体"/>
          <w:color w:val="auto"/>
          <w:sz w:val="22"/>
          <w:szCs w:val="22"/>
          <w:highlight w:val="none"/>
          <w:u w:val="single"/>
        </w:rPr>
      </w:pPr>
      <w:r>
        <w:rPr>
          <w:rFonts w:ascii="宋体" w:hAnsi="宋体" w:cs="宋体"/>
          <w:color w:val="auto"/>
          <w:sz w:val="24"/>
          <w:highlight w:val="none"/>
        </w:rPr>
        <w:t>1</w:t>
      </w:r>
      <w:r>
        <w:rPr>
          <w:rFonts w:hint="eastAsia" w:ascii="宋体" w:hAnsi="宋体" w:cs="宋体"/>
          <w:color w:val="auto"/>
          <w:sz w:val="24"/>
          <w:highlight w:val="none"/>
        </w:rPr>
        <w:t>2、</w:t>
      </w:r>
      <w:r>
        <w:rPr>
          <w:rFonts w:hint="eastAsia" w:ascii="宋体" w:hAnsi="宋体"/>
          <w:color w:val="auto"/>
          <w:sz w:val="22"/>
          <w:szCs w:val="22"/>
          <w:highlight w:val="none"/>
        </w:rPr>
        <w:t>本项目采用资格后审，符合资格要求的供应商均可在本公告附件下载招标文件，并按招标文件规定的时间、地点递交投标文件（招标文件下载网址</w:t>
      </w:r>
      <w:r>
        <w:rPr>
          <w:rFonts w:ascii="宋体" w:hAnsi="宋体"/>
          <w:color w:val="auto"/>
          <w:sz w:val="22"/>
          <w:szCs w:val="22"/>
          <w:highlight w:val="none"/>
        </w:rPr>
        <w:t xml:space="preserve"> </w:t>
      </w:r>
      <w:r>
        <w:rPr>
          <w:rFonts w:hint="eastAsia" w:ascii="宋体" w:hAnsi="宋体"/>
          <w:color w:val="auto"/>
          <w:sz w:val="22"/>
          <w:szCs w:val="22"/>
          <w:highlight w:val="none"/>
        </w:rPr>
        <w:t>：浙江政府采购网（http://zfcg.czt.zj.gov.cn/）</w:t>
      </w:r>
      <w:r>
        <w:rPr>
          <w:rFonts w:ascii="宋体"/>
          <w:color w:val="auto"/>
          <w:sz w:val="22"/>
          <w:szCs w:val="22"/>
          <w:highlight w:val="none"/>
        </w:rPr>
        <w:t>,</w:t>
      </w:r>
      <w:r>
        <w:rPr>
          <w:rFonts w:hint="eastAsia" w:ascii="宋体" w:hAnsi="宋体"/>
          <w:color w:val="auto"/>
          <w:sz w:val="22"/>
          <w:szCs w:val="22"/>
          <w:highlight w:val="none"/>
        </w:rPr>
        <w:t>招标文件如有补充更正均见浙江政府采购网（http://zfcg.czt.zj.gov.cn/）。供应商须在投标截止前自行查看是否有补充、更正文件，并按补充、更正文件要求投标，否则责任自负。</w:t>
      </w:r>
    </w:p>
    <w:p>
      <w:pPr>
        <w:autoSpaceDE w:val="0"/>
        <w:autoSpaceDN w:val="0"/>
        <w:adjustRightInd w:val="0"/>
        <w:snapToGrid w:val="0"/>
        <w:spacing w:line="400" w:lineRule="atLeast"/>
        <w:ind w:firstLine="486" w:firstLineChars="200"/>
        <w:rPr>
          <w:rFonts w:ascii="宋体"/>
          <w:b/>
          <w:bCs/>
          <w:color w:val="auto"/>
          <w:sz w:val="24"/>
          <w:highlight w:val="none"/>
          <w:lang w:val="zh-CN"/>
        </w:rPr>
      </w:pPr>
      <w:r>
        <w:rPr>
          <w:rFonts w:hint="eastAsia" w:ascii="宋体"/>
          <w:b/>
          <w:bCs/>
          <w:color w:val="auto"/>
          <w:sz w:val="24"/>
          <w:highlight w:val="none"/>
          <w:lang w:val="zh-CN"/>
        </w:rPr>
        <w:t>二、招标文件</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招标文件</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1.1 </w:t>
      </w:r>
      <w:r>
        <w:rPr>
          <w:rFonts w:hint="eastAsia" w:ascii="宋体"/>
          <w:color w:val="auto"/>
          <w:sz w:val="22"/>
          <w:szCs w:val="22"/>
          <w:highlight w:val="none"/>
        </w:rPr>
        <w:t>招标文件约束力</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u w:val="single"/>
        </w:rPr>
      </w:pPr>
      <w:r>
        <w:rPr>
          <w:rFonts w:hint="eastAsia" w:ascii="宋体"/>
          <w:color w:val="auto"/>
          <w:sz w:val="22"/>
          <w:szCs w:val="22"/>
          <w:highlight w:val="none"/>
          <w:u w:val="single"/>
        </w:rPr>
        <w:t>▲供应商一旦获取了本招标文件并参加投标，即被认为接受了本招标文件中所有条款和规定。</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1.2 </w:t>
      </w:r>
      <w:r>
        <w:rPr>
          <w:rFonts w:hint="eastAsia" w:ascii="宋体"/>
          <w:color w:val="auto"/>
          <w:sz w:val="22"/>
          <w:szCs w:val="22"/>
          <w:highlight w:val="none"/>
        </w:rPr>
        <w:t>招标文件的组成</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hint="eastAsia" w:ascii="宋体"/>
          <w:color w:val="auto"/>
          <w:sz w:val="22"/>
          <w:szCs w:val="22"/>
          <w:highlight w:val="none"/>
        </w:rPr>
        <w:t>招标文件由招标文件总目录所列内容及补充资料等组成。</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招标文件的澄清</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hint="eastAsia" w:ascii="宋体"/>
          <w:color w:val="auto"/>
          <w:sz w:val="22"/>
          <w:szCs w:val="22"/>
          <w:highlight w:val="none"/>
        </w:rPr>
        <w:t>供应商对招标文件如有质疑或需要澄清，可用书面形式（包括信函、传真，下同）通知采购人或招标代理机构，但通知不得迟于规定的质疑时间前使采购人或招标代理机构收到，采购人或招标代理机构将用书面形式予以答复。如有必要，可将不说明来源的答复书面发给各有关供应商并予以公告。任何口头答复均不作为投标依据。</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招标文件的修改</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3.1 </w:t>
      </w:r>
      <w:r>
        <w:rPr>
          <w:rFonts w:hint="eastAsia" w:ascii="宋体"/>
          <w:color w:val="auto"/>
          <w:sz w:val="22"/>
          <w:szCs w:val="22"/>
          <w:highlight w:val="none"/>
        </w:rPr>
        <w:t>在投标截止时间前，采购人有权澄清或者修改招标文件，并以书面形式（补充、更正文件）通知供应商。补充、更正文件作为招标文件的组成部分，对所有投标供应商均有约束力。</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3.2 </w:t>
      </w:r>
      <w:r>
        <w:rPr>
          <w:rFonts w:hint="eastAsia" w:ascii="宋体"/>
          <w:color w:val="auto"/>
          <w:sz w:val="22"/>
          <w:szCs w:val="22"/>
          <w:highlight w:val="none"/>
        </w:rPr>
        <w:t>澄清或者修改的内容可能影响投标文件编制的，采购人或者招标代理机构在投标截止时间至少</w:t>
      </w:r>
      <w:r>
        <w:rPr>
          <w:rFonts w:ascii="宋体"/>
          <w:color w:val="auto"/>
          <w:sz w:val="22"/>
          <w:szCs w:val="22"/>
          <w:highlight w:val="none"/>
        </w:rPr>
        <w:t>15</w:t>
      </w:r>
      <w:r>
        <w:rPr>
          <w:rFonts w:hint="eastAsia" w:ascii="宋体"/>
          <w:color w:val="auto"/>
          <w:sz w:val="22"/>
          <w:szCs w:val="22"/>
          <w:highlight w:val="none"/>
        </w:rPr>
        <w:t>日前，通知所有获取招标文件的潜在投标供应商；不足</w:t>
      </w:r>
      <w:r>
        <w:rPr>
          <w:rFonts w:ascii="宋体"/>
          <w:color w:val="auto"/>
          <w:sz w:val="22"/>
          <w:szCs w:val="22"/>
          <w:highlight w:val="none"/>
        </w:rPr>
        <w:t>15</w:t>
      </w:r>
      <w:r>
        <w:rPr>
          <w:rFonts w:hint="eastAsia" w:ascii="宋体"/>
          <w:color w:val="auto"/>
          <w:sz w:val="22"/>
          <w:szCs w:val="22"/>
          <w:highlight w:val="none"/>
        </w:rPr>
        <w:t>日的，采购人或者招标代理机构顺延提交投标文件的截止时间。</w:t>
      </w:r>
    </w:p>
    <w:p>
      <w:pPr>
        <w:autoSpaceDE w:val="0"/>
        <w:autoSpaceDN w:val="0"/>
        <w:adjustRightInd w:val="0"/>
        <w:snapToGrid w:val="0"/>
        <w:spacing w:line="400" w:lineRule="atLeast"/>
        <w:ind w:firstLine="446" w:firstLineChars="200"/>
        <w:textAlignment w:val="bottom"/>
        <w:outlineLvl w:val="0"/>
        <w:rPr>
          <w:rFonts w:ascii="宋体"/>
          <w:b/>
          <w:bCs/>
          <w:color w:val="auto"/>
          <w:sz w:val="22"/>
          <w:szCs w:val="22"/>
          <w:highlight w:val="none"/>
        </w:rPr>
      </w:pPr>
      <w:r>
        <w:rPr>
          <w:rFonts w:hint="eastAsia" w:ascii="宋体"/>
          <w:b/>
          <w:bCs/>
          <w:color w:val="auto"/>
          <w:sz w:val="22"/>
          <w:szCs w:val="22"/>
          <w:highlight w:val="none"/>
        </w:rPr>
        <w:t>三、投标文件</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w:t>
      </w:r>
    </w:p>
    <w:p>
      <w:pPr>
        <w:autoSpaceDE w:val="0"/>
        <w:autoSpaceDN w:val="0"/>
        <w:adjustRightInd w:val="0"/>
        <w:snapToGrid w:val="0"/>
        <w:spacing w:line="400" w:lineRule="atLeast"/>
        <w:ind w:firstLine="486" w:firstLineChars="200"/>
        <w:textAlignment w:val="bottom"/>
        <w:rPr>
          <w:rFonts w:ascii="宋体" w:cs="Arial"/>
          <w:color w:val="auto"/>
          <w:sz w:val="22"/>
          <w:szCs w:val="22"/>
          <w:highlight w:val="none"/>
        </w:rPr>
      </w:pPr>
      <w:r>
        <w:rPr>
          <w:rFonts w:ascii="宋体"/>
          <w:color w:val="auto"/>
          <w:sz w:val="24"/>
          <w:highlight w:val="none"/>
        </w:rPr>
        <w:t>1</w:t>
      </w:r>
      <w:r>
        <w:rPr>
          <w:rFonts w:ascii="宋体" w:cs="Arial"/>
          <w:color w:val="auto"/>
          <w:sz w:val="22"/>
          <w:szCs w:val="22"/>
          <w:highlight w:val="none"/>
        </w:rPr>
        <w:t xml:space="preserve">.1 </w:t>
      </w:r>
      <w:r>
        <w:rPr>
          <w:rFonts w:hint="eastAsia" w:ascii="宋体" w:cs="Arial"/>
          <w:color w:val="auto"/>
          <w:sz w:val="22"/>
          <w:szCs w:val="22"/>
          <w:highlight w:val="none"/>
        </w:rPr>
        <w:t>供应商提交的投标文件以及供应商与采购人就有关投标的所有来往函电均应使用中文。供应商可以提交用其它语言印制的资料，但必须译成中文，在有差异和矛盾时以中文为准。</w:t>
      </w:r>
    </w:p>
    <w:p>
      <w:pPr>
        <w:autoSpaceDE w:val="0"/>
        <w:autoSpaceDN w:val="0"/>
        <w:adjustRightInd w:val="0"/>
        <w:snapToGrid w:val="0"/>
        <w:spacing w:line="400" w:lineRule="atLeast"/>
        <w:ind w:firstLine="44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2 </w:t>
      </w:r>
      <w:r>
        <w:rPr>
          <w:rFonts w:hint="eastAsia" w:ascii="宋体" w:cs="Arial"/>
          <w:color w:val="auto"/>
          <w:sz w:val="22"/>
          <w:szCs w:val="22"/>
          <w:highlight w:val="none"/>
        </w:rPr>
        <w:t>供应商提交的投标文件报价均采用人民币报价。</w:t>
      </w:r>
    </w:p>
    <w:p>
      <w:pPr>
        <w:autoSpaceDE w:val="0"/>
        <w:autoSpaceDN w:val="0"/>
        <w:adjustRightInd w:val="0"/>
        <w:snapToGrid w:val="0"/>
        <w:spacing w:line="400" w:lineRule="atLeast"/>
        <w:ind w:firstLine="44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3 </w:t>
      </w:r>
      <w:r>
        <w:rPr>
          <w:rFonts w:hint="eastAsia" w:ascii="宋体" w:cs="Arial"/>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napToGrid w:val="0"/>
        <w:spacing w:line="400" w:lineRule="atLeast"/>
        <w:ind w:firstLine="44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4 </w:t>
      </w:r>
      <w:r>
        <w:rPr>
          <w:rFonts w:hint="eastAsia" w:ascii="宋体" w:cs="Arial"/>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00" w:lineRule="atLeast"/>
        <w:ind w:firstLine="446" w:firstLineChars="200"/>
        <w:rPr>
          <w:rFonts w:ascii="宋体"/>
          <w:color w:val="auto"/>
          <w:sz w:val="22"/>
          <w:highlight w:val="none"/>
          <w:lang w:val="zh-CN"/>
        </w:rPr>
      </w:pPr>
      <w:r>
        <w:rPr>
          <w:rFonts w:ascii="宋体" w:cs="仿宋_GB2312"/>
          <w:color w:val="auto"/>
          <w:sz w:val="22"/>
          <w:szCs w:val="22"/>
          <w:highlight w:val="none"/>
          <w:lang w:val="zh-CN"/>
        </w:rPr>
        <w:t>1.</w:t>
      </w:r>
      <w:r>
        <w:rPr>
          <w:rFonts w:ascii="宋体" w:cs="仿宋_GB2312"/>
          <w:color w:val="auto"/>
          <w:sz w:val="22"/>
          <w:szCs w:val="22"/>
          <w:highlight w:val="none"/>
        </w:rPr>
        <w:t xml:space="preserve">5 </w:t>
      </w:r>
      <w:r>
        <w:rPr>
          <w:rFonts w:hint="eastAsia" w:ascii="宋体" w:cs="仿宋_GB2312"/>
          <w:color w:val="auto"/>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00" w:lineRule="atLeast"/>
        <w:ind w:firstLine="446" w:firstLineChars="200"/>
        <w:rPr>
          <w:rFonts w:ascii="宋体"/>
          <w:color w:val="auto"/>
          <w:sz w:val="22"/>
          <w:highlight w:val="none"/>
          <w:lang w:val="zh-CN"/>
        </w:rPr>
      </w:pPr>
      <w:r>
        <w:rPr>
          <w:rFonts w:ascii="宋体"/>
          <w:color w:val="auto"/>
          <w:sz w:val="22"/>
          <w:highlight w:val="none"/>
          <w:lang w:val="zh-CN"/>
        </w:rPr>
        <w:t>2.</w:t>
      </w:r>
      <w:r>
        <w:rPr>
          <w:rFonts w:hint="eastAsia" w:ascii="宋体"/>
          <w:color w:val="auto"/>
          <w:sz w:val="22"/>
          <w:highlight w:val="none"/>
          <w:lang w:val="zh-CN"/>
        </w:rPr>
        <w:t>投标文件的组成</w:t>
      </w:r>
    </w:p>
    <w:p>
      <w:pPr>
        <w:autoSpaceDE w:val="0"/>
        <w:autoSpaceDN w:val="0"/>
        <w:adjustRightInd w:val="0"/>
        <w:snapToGrid w:val="0"/>
        <w:spacing w:line="400" w:lineRule="atLeast"/>
        <w:ind w:firstLine="446" w:firstLineChars="200"/>
        <w:rPr>
          <w:rFonts w:ascii="宋体"/>
          <w:b/>
          <w:bCs/>
          <w:color w:val="auto"/>
          <w:sz w:val="22"/>
          <w:highlight w:val="none"/>
          <w:u w:val="single"/>
          <w:lang w:val="zh-CN"/>
        </w:rPr>
      </w:pPr>
      <w:r>
        <w:rPr>
          <w:rFonts w:hint="eastAsia" w:ascii="宋体"/>
          <w:b/>
          <w:bCs/>
          <w:color w:val="auto"/>
          <w:sz w:val="22"/>
          <w:highlight w:val="none"/>
          <w:u w:val="single"/>
        </w:rPr>
        <w:t>投标文件由《资格文件》《商务技术文件》《报价文件》三部分组成。《资格文件》和《商务技术文件》不得含报价，否则投标将被拒绝。</w:t>
      </w:r>
    </w:p>
    <w:p>
      <w:pPr>
        <w:autoSpaceDE w:val="0"/>
        <w:autoSpaceDN w:val="0"/>
        <w:adjustRightInd w:val="0"/>
        <w:snapToGrid w:val="0"/>
        <w:spacing w:line="400" w:lineRule="atLeast"/>
        <w:ind w:firstLine="446" w:firstLineChars="200"/>
        <w:rPr>
          <w:rFonts w:ascii="宋体"/>
          <w:b/>
          <w:bCs/>
          <w:color w:val="auto"/>
          <w:sz w:val="22"/>
          <w:highlight w:val="none"/>
          <w:lang w:val="zh-CN"/>
        </w:rPr>
      </w:pPr>
      <w:r>
        <w:rPr>
          <w:rFonts w:ascii="宋体"/>
          <w:color w:val="auto"/>
          <w:sz w:val="22"/>
          <w:highlight w:val="none"/>
          <w:lang w:val="zh-CN"/>
        </w:rPr>
        <w:t>2.1</w:t>
      </w:r>
      <w:r>
        <w:rPr>
          <w:rFonts w:ascii="宋体"/>
          <w:color w:val="auto"/>
          <w:sz w:val="22"/>
          <w:highlight w:val="none"/>
        </w:rPr>
        <w:t xml:space="preserve"> </w:t>
      </w:r>
      <w:r>
        <w:rPr>
          <w:rFonts w:hint="eastAsia" w:ascii="宋体"/>
          <w:b/>
          <w:bCs/>
          <w:color w:val="auto"/>
          <w:sz w:val="22"/>
          <w:highlight w:val="none"/>
        </w:rPr>
        <w:t>《报价文件》</w:t>
      </w:r>
      <w:r>
        <w:rPr>
          <w:rFonts w:hint="eastAsia" w:ascii="宋体"/>
          <w:b/>
          <w:bCs/>
          <w:color w:val="auto"/>
          <w:sz w:val="22"/>
          <w:highlight w:val="none"/>
          <w:lang w:val="zh-CN"/>
        </w:rPr>
        <w:t>组成</w:t>
      </w:r>
    </w:p>
    <w:tbl>
      <w:tblPr>
        <w:tblStyle w:val="2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序号</w:t>
            </w:r>
          </w:p>
        </w:tc>
        <w:tc>
          <w:tcPr>
            <w:tcW w:w="8663" w:type="dxa"/>
          </w:tcPr>
          <w:p>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内容（</w:t>
            </w:r>
            <w:r>
              <w:rPr>
                <w:rFonts w:hint="eastAsia" w:ascii="宋体"/>
                <w:b/>
                <w:bCs/>
                <w:color w:val="auto"/>
                <w:sz w:val="22"/>
                <w:szCs w:val="22"/>
                <w:highlight w:val="none"/>
                <w:lang w:val="zh-CN"/>
              </w:rPr>
              <w:t>▲序号</w:t>
            </w:r>
            <w:r>
              <w:rPr>
                <w:rFonts w:ascii="宋体"/>
                <w:b/>
                <w:bCs/>
                <w:color w:val="auto"/>
                <w:sz w:val="22"/>
                <w:szCs w:val="22"/>
                <w:highlight w:val="none"/>
                <w:lang w:val="zh-CN"/>
              </w:rPr>
              <w:t>1</w:t>
            </w:r>
            <w:r>
              <w:rPr>
                <w:rFonts w:hint="eastAsia" w:ascii="宋体"/>
                <w:b/>
                <w:bCs/>
                <w:color w:val="auto"/>
                <w:sz w:val="22"/>
                <w:szCs w:val="22"/>
                <w:highlight w:val="none"/>
              </w:rPr>
              <w:t>-2</w:t>
            </w:r>
            <w:r>
              <w:rPr>
                <w:rFonts w:hint="eastAsia" w:ascii="宋体"/>
                <w:b/>
                <w:bCs/>
                <w:color w:val="auto"/>
                <w:sz w:val="22"/>
                <w:szCs w:val="22"/>
                <w:highlight w:val="none"/>
                <w:lang w:val="zh-CN"/>
              </w:rPr>
              <w:t>项供应商必须提供，否则不能通过符合性审查的，责任自负</w:t>
            </w:r>
            <w:r>
              <w:rPr>
                <w:rFonts w:hint="eastAsia" w:ascii="宋体"/>
                <w:color w:val="auto"/>
                <w:sz w:val="22"/>
                <w:szCs w:val="2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autoSpaceDE w:val="0"/>
              <w:autoSpaceDN w:val="0"/>
              <w:adjustRightInd w:val="0"/>
              <w:snapToGrid w:val="0"/>
              <w:spacing w:line="400" w:lineRule="atLeast"/>
              <w:rPr>
                <w:rFonts w:ascii="宋体"/>
                <w:color w:val="auto"/>
                <w:sz w:val="22"/>
                <w:szCs w:val="22"/>
                <w:highlight w:val="none"/>
              </w:rPr>
            </w:pPr>
            <w:r>
              <w:rPr>
                <w:rFonts w:ascii="宋体"/>
                <w:color w:val="auto"/>
                <w:sz w:val="22"/>
                <w:szCs w:val="22"/>
                <w:highlight w:val="none"/>
              </w:rPr>
              <w:t>1.</w:t>
            </w:r>
          </w:p>
        </w:tc>
        <w:tc>
          <w:tcPr>
            <w:tcW w:w="8663" w:type="dxa"/>
          </w:tcPr>
          <w:p>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szCs w:val="22"/>
                <w:highlight w:val="none"/>
              </w:rPr>
              <w:t>开标一览表（附件一）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autoSpaceDE w:val="0"/>
              <w:autoSpaceDN w:val="0"/>
              <w:adjustRightInd w:val="0"/>
              <w:snapToGrid w:val="0"/>
              <w:spacing w:line="400" w:lineRule="atLeast"/>
              <w:rPr>
                <w:rFonts w:ascii="宋体"/>
                <w:color w:val="auto"/>
                <w:sz w:val="22"/>
                <w:szCs w:val="22"/>
                <w:highlight w:val="none"/>
              </w:rPr>
            </w:pPr>
            <w:r>
              <w:rPr>
                <w:rFonts w:hint="eastAsia" w:ascii="宋体"/>
                <w:color w:val="auto"/>
                <w:sz w:val="22"/>
                <w:szCs w:val="22"/>
                <w:highlight w:val="none"/>
              </w:rPr>
              <w:t>2.</w:t>
            </w:r>
          </w:p>
        </w:tc>
        <w:tc>
          <w:tcPr>
            <w:tcW w:w="8663" w:type="dxa"/>
          </w:tcPr>
          <w:p>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szCs w:val="22"/>
                <w:highlight w:val="none"/>
              </w:rPr>
              <w:t>投标分项报价表（附件二）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autoSpaceDE w:val="0"/>
              <w:autoSpaceDN w:val="0"/>
              <w:adjustRightInd w:val="0"/>
              <w:snapToGrid w:val="0"/>
              <w:spacing w:line="400" w:lineRule="atLeast"/>
              <w:rPr>
                <w:rFonts w:ascii="宋体"/>
                <w:color w:val="auto"/>
                <w:sz w:val="22"/>
                <w:szCs w:val="22"/>
                <w:highlight w:val="none"/>
              </w:rPr>
            </w:pPr>
            <w:r>
              <w:rPr>
                <w:rFonts w:hint="eastAsia" w:ascii="宋体"/>
                <w:color w:val="auto"/>
                <w:sz w:val="22"/>
                <w:szCs w:val="22"/>
                <w:highlight w:val="none"/>
              </w:rPr>
              <w:t>3.</w:t>
            </w:r>
          </w:p>
        </w:tc>
        <w:tc>
          <w:tcPr>
            <w:tcW w:w="8663" w:type="dxa"/>
          </w:tcPr>
          <w:p>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享受小微企业（含监狱企业、残疾人福利性单位）价格折扣须按供应商单位性质提供以下相关的证明材料：</w:t>
            </w:r>
          </w:p>
          <w:p>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（1）小微企业</w:t>
            </w:r>
          </w:p>
          <w:p>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中小企业声明函（原件，加盖供应商公章，格式见招标文件第四部分附件1）</w:t>
            </w:r>
          </w:p>
          <w:p>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autoSpaceDE w:val="0"/>
              <w:autoSpaceDN w:val="0"/>
              <w:adjustRightInd w:val="0"/>
              <w:spacing w:line="260" w:lineRule="exact"/>
              <w:jc w:val="left"/>
              <w:textAlignment w:val="bottom"/>
              <w:rPr>
                <w:rFonts w:ascii="宋体"/>
                <w:color w:val="auto"/>
                <w:sz w:val="22"/>
                <w:szCs w:val="22"/>
                <w:highlight w:val="none"/>
              </w:rPr>
            </w:pPr>
            <w:r>
              <w:rPr>
                <w:rFonts w:hint="eastAsia" w:ascii="宋体" w:hAnsi="宋体" w:cs="Arial"/>
                <w:color w:val="auto"/>
                <w:sz w:val="22"/>
                <w:highlight w:val="none"/>
              </w:rPr>
              <w:t>（3）残疾人福利性单位声明函（原件，加盖供应商公章，格式见招标文件第四部分附件2）在政府采购活动中，残疾人福利性单位视同小型、微型企业，享受评审中价格扣除政策。</w:t>
            </w:r>
          </w:p>
        </w:tc>
      </w:tr>
    </w:tbl>
    <w:p>
      <w:pPr>
        <w:autoSpaceDE w:val="0"/>
        <w:autoSpaceDN w:val="0"/>
        <w:adjustRightInd w:val="0"/>
        <w:snapToGrid w:val="0"/>
        <w:spacing w:line="430" w:lineRule="atLeast"/>
        <w:ind w:firstLine="446" w:firstLineChars="200"/>
        <w:textAlignment w:val="bottom"/>
        <w:rPr>
          <w:rFonts w:ascii="宋体" w:hAnsi="宋体"/>
          <w:color w:val="auto"/>
          <w:sz w:val="22"/>
          <w:highlight w:val="none"/>
        </w:rPr>
      </w:pPr>
      <w:r>
        <w:rPr>
          <w:rFonts w:ascii="宋体"/>
          <w:color w:val="auto"/>
          <w:sz w:val="22"/>
          <w:highlight w:val="none"/>
        </w:rPr>
        <w:t xml:space="preserve">2.2 </w:t>
      </w:r>
      <w:r>
        <w:rPr>
          <w:rFonts w:hint="eastAsia" w:ascii="宋体"/>
          <w:b/>
          <w:bCs/>
          <w:color w:val="auto"/>
          <w:sz w:val="22"/>
          <w:highlight w:val="none"/>
        </w:rPr>
        <w:t>《资格文件》组成</w:t>
      </w:r>
    </w:p>
    <w:tbl>
      <w:tblPr>
        <w:tblStyle w:val="28"/>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b/>
                <w:bCs/>
                <w:color w:val="auto"/>
                <w:sz w:val="22"/>
                <w:highlight w:val="none"/>
                <w:lang w:val="zh-CN"/>
              </w:rPr>
              <w:t>（▲</w:t>
            </w:r>
            <w:r>
              <w:rPr>
                <w:rFonts w:hint="eastAsia" w:ascii="宋体" w:hAnsi="宋体"/>
                <w:b/>
                <w:bCs/>
                <w:color w:val="auto"/>
                <w:sz w:val="22"/>
                <w:highlight w:val="none"/>
              </w:rPr>
              <w:t>下表所列1-7项</w:t>
            </w:r>
            <w:r>
              <w:rPr>
                <w:rFonts w:hint="eastAsia" w:ascii="宋体" w:hAnsi="宋体"/>
                <w:b/>
                <w:bCs/>
                <w:color w:val="auto"/>
                <w:sz w:val="22"/>
                <w:highlight w:val="none"/>
                <w:lang w:val="zh-CN"/>
              </w:rPr>
              <w:t>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napToGrid w:val="0"/>
              <w:spacing w:line="400" w:lineRule="atLeast"/>
              <w:rPr>
                <w:rFonts w:ascii="宋体"/>
                <w:color w:val="auto"/>
                <w:sz w:val="22"/>
                <w:highlight w:val="none"/>
              </w:rPr>
            </w:pPr>
            <w:r>
              <w:rPr>
                <w:rFonts w:hint="eastAsia" w:ascii="宋体" w:hAnsi="宋体"/>
                <w:color w:val="auto"/>
                <w:sz w:val="22"/>
                <w:highlight w:val="none"/>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napToGrid w:val="0"/>
              <w:spacing w:line="430" w:lineRule="atLeast"/>
              <w:rPr>
                <w:rFonts w:ascii="宋体"/>
                <w:color w:val="auto"/>
                <w:sz w:val="22"/>
                <w:highlight w:val="none"/>
              </w:rPr>
            </w:pPr>
            <w:r>
              <w:rPr>
                <w:rFonts w:hint="eastAsia" w:ascii="宋体" w:hAnsi="宋体" w:cs="Courier New"/>
                <w:color w:val="auto"/>
                <w:sz w:val="22"/>
                <w:highlight w:val="none"/>
              </w:rPr>
              <w:t>投标供应商近期财务报表（扫描件加盖公章，新成立企业应提供情况说明）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具有履行合同所必需的设备和专业技术能力的承诺函（附件三）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3" w:type="dxa"/>
          </w:tcPr>
          <w:p>
            <w:pPr>
              <w:numPr>
                <w:ilvl w:val="0"/>
                <w:numId w:val="8"/>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依法缴纳税收和社会保障资金的材料：纳税证明、社保缴纳证明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Courier New"/>
                <w:color w:val="auto"/>
                <w:sz w:val="22"/>
                <w:highlight w:val="none"/>
              </w:rPr>
              <w:t>参加政府采购活动前</w:t>
            </w:r>
            <w:r>
              <w:rPr>
                <w:rFonts w:ascii="宋体" w:hAnsi="宋体" w:cs="Courier New"/>
                <w:color w:val="auto"/>
                <w:sz w:val="22"/>
                <w:highlight w:val="none"/>
              </w:rPr>
              <w:t>3年内在经营活动中没有重大违法记录的声明函</w:t>
            </w:r>
            <w:r>
              <w:rPr>
                <w:rFonts w:hint="eastAsia" w:ascii="宋体" w:hAnsi="宋体" w:cs="Courier New"/>
                <w:color w:val="auto"/>
                <w:sz w:val="22"/>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pacing w:line="260" w:lineRule="exact"/>
              <w:jc w:val="left"/>
              <w:textAlignment w:val="bottom"/>
              <w:rPr>
                <w:rFonts w:ascii="宋体" w:hAnsi="宋体"/>
                <w:color w:val="auto"/>
                <w:sz w:val="22"/>
                <w:highlight w:val="none"/>
              </w:rPr>
            </w:pPr>
            <w:r>
              <w:rPr>
                <w:rFonts w:hint="eastAsia" w:ascii="宋体" w:hAnsi="宋体" w:cs="Arial"/>
                <w:color w:val="auto"/>
                <w:sz w:val="22"/>
                <w:highlight w:val="none"/>
              </w:rPr>
              <w:t>供应商“信用中国”(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Arial"/>
                <w:color w:val="auto"/>
                <w:sz w:val="22"/>
                <w:highlight w:val="none"/>
              </w:rPr>
              <w:t>www.creditchina.gov.cn</w:t>
            </w:r>
            <w:r>
              <w:rPr>
                <w:rFonts w:hint="eastAsia" w:ascii="宋体" w:hAnsi="宋体" w:cs="Arial"/>
                <w:color w:val="auto"/>
                <w:sz w:val="22"/>
                <w:highlight w:val="none"/>
              </w:rPr>
              <w:fldChar w:fldCharType="end"/>
            </w:r>
            <w:r>
              <w:rPr>
                <w:rFonts w:hint="eastAsia" w:ascii="宋体" w:hAnsi="宋体" w:cs="Arial"/>
                <w:color w:val="auto"/>
                <w:sz w:val="22"/>
                <w:highlight w:val="none"/>
              </w:rPr>
              <w:t>)；“中国政府采购网”（http://www.ccgp.gov.cn/）信用记录网页截图（招标公告发布之日至投标截止时间前均可）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napToGrid w:val="0"/>
              <w:spacing w:line="430" w:lineRule="atLeast"/>
              <w:rPr>
                <w:rFonts w:ascii="宋体" w:hAnsi="宋体"/>
                <w:color w:val="auto"/>
                <w:sz w:val="22"/>
                <w:highlight w:val="none"/>
              </w:rPr>
            </w:pPr>
            <w:r>
              <w:rPr>
                <w:rFonts w:hint="eastAsia" w:ascii="宋体"/>
                <w:color w:val="auto"/>
                <w:sz w:val="22"/>
                <w:highlight w:val="none"/>
              </w:rPr>
              <w:t>法定代表人授权书（附件五）</w:t>
            </w:r>
          </w:p>
        </w:tc>
      </w:tr>
    </w:tbl>
    <w:p>
      <w:pPr>
        <w:autoSpaceDE w:val="0"/>
        <w:autoSpaceDN w:val="0"/>
        <w:adjustRightInd w:val="0"/>
        <w:snapToGrid w:val="0"/>
        <w:spacing w:line="430" w:lineRule="atLeast"/>
        <w:ind w:firstLine="446" w:firstLineChars="200"/>
        <w:textAlignment w:val="bottom"/>
        <w:rPr>
          <w:rFonts w:ascii="宋体" w:hAnsi="宋体"/>
          <w:color w:val="auto"/>
          <w:sz w:val="22"/>
          <w:highlight w:val="none"/>
        </w:rPr>
      </w:pPr>
      <w:r>
        <w:rPr>
          <w:rFonts w:hint="eastAsia" w:ascii="宋体"/>
          <w:color w:val="auto"/>
          <w:sz w:val="22"/>
          <w:highlight w:val="none"/>
        </w:rPr>
        <w:t xml:space="preserve">2.3 </w:t>
      </w:r>
      <w:r>
        <w:rPr>
          <w:rFonts w:hint="eastAsia" w:ascii="宋体"/>
          <w:b/>
          <w:bCs/>
          <w:color w:val="auto"/>
          <w:sz w:val="22"/>
          <w:highlight w:val="none"/>
        </w:rPr>
        <w:t>《商务技术文件》组成</w:t>
      </w:r>
    </w:p>
    <w:tbl>
      <w:tblPr>
        <w:tblStyle w:val="28"/>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b/>
                <w:bCs/>
                <w:color w:val="auto"/>
                <w:sz w:val="22"/>
                <w:highlight w:val="none"/>
                <w:lang w:val="zh-CN"/>
              </w:rPr>
              <w:t>▲</w:t>
            </w:r>
            <w:r>
              <w:rPr>
                <w:rFonts w:hint="eastAsia" w:ascii="宋体" w:hAnsi="宋体"/>
                <w:b/>
                <w:bCs/>
                <w:color w:val="auto"/>
                <w:sz w:val="22"/>
                <w:highlight w:val="none"/>
              </w:rPr>
              <w:t>下表1-7</w:t>
            </w:r>
            <w:r>
              <w:rPr>
                <w:rFonts w:hint="eastAsia" w:ascii="宋体" w:hAnsi="宋体"/>
                <w:b/>
                <w:bCs/>
                <w:color w:val="auto"/>
                <w:sz w:val="22"/>
                <w:highlight w:val="none"/>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9"/>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napToGrid w:val="0"/>
              <w:spacing w:line="430" w:lineRule="atLeast"/>
              <w:rPr>
                <w:rFonts w:ascii="宋体" w:hAnsi="宋体"/>
                <w:b/>
                <w:bCs/>
                <w:color w:val="auto"/>
                <w:sz w:val="22"/>
                <w:highlight w:val="none"/>
                <w:lang w:val="zh-CN"/>
              </w:rPr>
            </w:pPr>
            <w:r>
              <w:rPr>
                <w:rFonts w:hint="eastAsia" w:ascii="宋体" w:hAnsi="宋体"/>
                <w:b/>
                <w:bCs/>
                <w:color w:val="auto"/>
                <w:sz w:val="22"/>
                <w:highlight w:val="none"/>
              </w:rPr>
              <w:t>投标函（附件六）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9"/>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napToGrid w:val="0"/>
              <w:spacing w:line="430" w:lineRule="atLeast"/>
              <w:rPr>
                <w:rFonts w:ascii="宋体" w:hAnsi="宋体"/>
                <w:b/>
                <w:bCs/>
                <w:color w:val="auto"/>
                <w:sz w:val="22"/>
                <w:highlight w:val="none"/>
              </w:rPr>
            </w:pPr>
            <w:r>
              <w:rPr>
                <w:rFonts w:hint="eastAsia" w:ascii="宋体"/>
                <w:b/>
                <w:bCs/>
                <w:color w:val="auto"/>
                <w:sz w:val="22"/>
                <w:highlight w:val="none"/>
              </w:rPr>
              <w:t>供应商参与政府采购活动投标资格声明（附件七）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9"/>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法定代表人诚信投标承诺书（附件八）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9"/>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商务偏离表（附件九（一））、技术偏离表（附件九（二））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9"/>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napToGrid w:val="0"/>
              <w:spacing w:line="430" w:lineRule="atLeast"/>
              <w:rPr>
                <w:rFonts w:ascii="宋体"/>
                <w:b/>
                <w:bCs/>
                <w:color w:val="auto"/>
                <w:sz w:val="22"/>
                <w:highlight w:val="none"/>
              </w:rPr>
            </w:pPr>
            <w:r>
              <w:rPr>
                <w:rFonts w:hint="eastAsia" w:ascii="宋体"/>
                <w:b/>
                <w:bCs/>
                <w:color w:val="auto"/>
                <w:sz w:val="22"/>
                <w:highlight w:val="none"/>
              </w:rPr>
              <w:t>针对本项目的服务方案,包含但不限于以下内容：</w:t>
            </w:r>
            <w:r>
              <w:rPr>
                <w:rFonts w:hint="eastAsia" w:ascii="宋体"/>
                <w:b/>
                <w:bCs/>
                <w:color w:val="auto"/>
                <w:sz w:val="22"/>
                <w:highlight w:val="none"/>
              </w:rPr>
              <w:br w:type="textWrapping"/>
            </w:r>
            <w:r>
              <w:rPr>
                <w:rFonts w:hint="eastAsia" w:ascii="宋体"/>
                <w:b/>
                <w:bCs/>
                <w:color w:val="auto"/>
                <w:sz w:val="22"/>
                <w:highlight w:val="none"/>
              </w:rPr>
              <w:t>A.收集方案；B.分拣处置方案；C.分拣中心建设情况；D.项目管理方案。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pPr>
              <w:numPr>
                <w:ilvl w:val="0"/>
                <w:numId w:val="9"/>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napToGrid w:val="0"/>
              <w:spacing w:line="430" w:lineRule="atLeast"/>
              <w:rPr>
                <w:rFonts w:ascii="宋体"/>
                <w:b/>
                <w:bCs/>
                <w:color w:val="auto"/>
                <w:sz w:val="22"/>
                <w:highlight w:val="none"/>
              </w:rPr>
            </w:pPr>
            <w:r>
              <w:rPr>
                <w:rFonts w:hint="eastAsia" w:ascii="宋体"/>
                <w:b/>
                <w:bCs/>
                <w:color w:val="auto"/>
                <w:sz w:val="22"/>
                <w:highlight w:val="none"/>
              </w:rPr>
              <w:t>针对本项目配备的设备及车辆清单（附件十）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pPr>
              <w:numPr>
                <w:ilvl w:val="0"/>
                <w:numId w:val="9"/>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供应商项目服务人员汇总表（附件十一）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9"/>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cs="Arial"/>
                <w:b/>
                <w:bCs/>
                <w:color w:val="auto"/>
                <w:sz w:val="22"/>
                <w:highlight w:val="none"/>
              </w:rPr>
              <w:t>距离采购人最近的服务机构的详细介绍、服务机构总负责人，电话，地址，技术力量配置等；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pPr>
              <w:numPr>
                <w:ilvl w:val="0"/>
                <w:numId w:val="9"/>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napToGrid w:val="0"/>
              <w:spacing w:line="430" w:lineRule="atLeast"/>
              <w:rPr>
                <w:rFonts w:ascii="宋体" w:hAnsi="宋体"/>
                <w:color w:val="auto"/>
                <w:sz w:val="22"/>
                <w:szCs w:val="22"/>
                <w:highlight w:val="none"/>
              </w:rPr>
            </w:pPr>
            <w:r>
              <w:rPr>
                <w:rFonts w:hint="eastAsia" w:ascii="宋体" w:hAnsi="宋体"/>
                <w:color w:val="auto"/>
                <w:sz w:val="22"/>
                <w:highlight w:val="none"/>
              </w:rPr>
              <w:t>供应商质量体系认证证书、供应商环境体系认证证书、供应商职业健康体系认证证书（（如有则提供）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pPr>
              <w:numPr>
                <w:ilvl w:val="0"/>
                <w:numId w:val="9"/>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供应商项目业绩清单（如有则提供）（附件十二）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9"/>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9"/>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政府采购活动现场确认声明书（附件十三）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9"/>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根据招标文件规范要求中的采购内容与技术要求、评标细则，需要提供的其它文件和资料。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9"/>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9"/>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供应商针对评分细则，编制目录索引，注明评标细则项目所在投标文件页码。</w:t>
            </w:r>
          </w:p>
        </w:tc>
      </w:tr>
    </w:tbl>
    <w:p>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3.</w:t>
      </w:r>
      <w:r>
        <w:rPr>
          <w:rFonts w:hint="eastAsia" w:ascii="宋体"/>
          <w:color w:val="auto"/>
          <w:sz w:val="22"/>
          <w:highlight w:val="none"/>
        </w:rPr>
        <w:t>投标内容填写说明</w:t>
      </w:r>
    </w:p>
    <w:p>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 xml:space="preserve">3.1 </w:t>
      </w:r>
      <w:r>
        <w:rPr>
          <w:rFonts w:hint="eastAsia" w:ascii="宋体"/>
          <w:color w:val="auto"/>
          <w:sz w:val="22"/>
          <w:highlight w:val="none"/>
        </w:rPr>
        <w:t>投标文件格式</w:t>
      </w:r>
    </w:p>
    <w:p>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hint="eastAsia" w:ascii="宋体"/>
          <w:color w:val="auto"/>
          <w:sz w:val="22"/>
          <w:highlight w:val="none"/>
        </w:rPr>
        <w:t>供应商应按照（上表）所列出的内容及格式组成投标文件。</w:t>
      </w:r>
    </w:p>
    <w:p>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 xml:space="preserve">3.2 </w:t>
      </w:r>
      <w:r>
        <w:rPr>
          <w:rFonts w:hint="eastAsia" w:ascii="宋体"/>
          <w:color w:val="auto"/>
          <w:sz w:val="22"/>
          <w:highlight w:val="none"/>
        </w:rPr>
        <w:t>开标一览表为在</w:t>
      </w:r>
      <w:r>
        <w:rPr>
          <w:rFonts w:hint="eastAsia" w:ascii="宋体" w:cs="Arial"/>
          <w:color w:val="auto"/>
          <w:sz w:val="22"/>
          <w:szCs w:val="22"/>
          <w:highlight w:val="none"/>
        </w:rPr>
        <w:t>商务标</w:t>
      </w:r>
      <w:r>
        <w:rPr>
          <w:rFonts w:hint="eastAsia" w:ascii="宋体"/>
          <w:color w:val="auto"/>
          <w:sz w:val="22"/>
          <w:highlight w:val="none"/>
        </w:rPr>
        <w:t>开标仪式上唱标的内容，供应商需按格式填写，统一规格，不得自行增减内容。</w:t>
      </w:r>
    </w:p>
    <w:p>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bookmarkStart w:id="28" w:name="_Toc132122115"/>
      <w:bookmarkStart w:id="29" w:name="_Toc132122412"/>
      <w:bookmarkStart w:id="30" w:name="_Toc132122116"/>
      <w:bookmarkStart w:id="31" w:name="_Toc132122413"/>
      <w:r>
        <w:rPr>
          <w:rFonts w:ascii="宋体"/>
          <w:color w:val="auto"/>
          <w:sz w:val="22"/>
          <w:szCs w:val="22"/>
          <w:highlight w:val="none"/>
        </w:rPr>
        <w:t>4.</w:t>
      </w:r>
      <w:r>
        <w:rPr>
          <w:rFonts w:hint="eastAsia" w:ascii="宋体"/>
          <w:color w:val="auto"/>
          <w:sz w:val="22"/>
          <w:szCs w:val="22"/>
          <w:highlight w:val="none"/>
        </w:rPr>
        <w:t>投标报价</w:t>
      </w:r>
      <w:bookmarkEnd w:id="28"/>
      <w:bookmarkEnd w:id="29"/>
    </w:p>
    <w:p>
      <w:pPr>
        <w:autoSpaceDE w:val="0"/>
        <w:autoSpaceDN w:val="0"/>
        <w:adjustRightInd w:val="0"/>
        <w:snapToGrid w:val="0"/>
        <w:spacing w:line="400" w:lineRule="atLeast"/>
        <w:ind w:firstLine="450"/>
        <w:textAlignment w:val="bottom"/>
        <w:rPr>
          <w:rFonts w:ascii="宋体"/>
          <w:color w:val="auto"/>
          <w:sz w:val="22"/>
          <w:highlight w:val="none"/>
        </w:rPr>
      </w:pPr>
      <w:r>
        <w:rPr>
          <w:rFonts w:ascii="宋体" w:cs="Arial"/>
          <w:color w:val="auto"/>
          <w:sz w:val="22"/>
          <w:szCs w:val="22"/>
          <w:highlight w:val="none"/>
        </w:rPr>
        <w:t xml:space="preserve">4.1 </w:t>
      </w:r>
      <w:r>
        <w:rPr>
          <w:rFonts w:hint="eastAsia" w:ascii="宋体" w:hAnsi="宋体" w:cs="Arial"/>
          <w:color w:val="auto"/>
          <w:sz w:val="22"/>
          <w:highlight w:val="none"/>
        </w:rPr>
        <w:t>供应商应按招标文件中《开标一览表》填写投标报价</w:t>
      </w:r>
      <w:r>
        <w:rPr>
          <w:rFonts w:hint="eastAsia" w:ascii="宋体"/>
          <w:color w:val="auto"/>
          <w:sz w:val="22"/>
          <w:highlight w:val="none"/>
        </w:rPr>
        <w:t>。</w:t>
      </w:r>
    </w:p>
    <w:p>
      <w:pPr>
        <w:autoSpaceDE w:val="0"/>
        <w:autoSpaceDN w:val="0"/>
        <w:adjustRightInd w:val="0"/>
        <w:snapToGrid w:val="0"/>
        <w:spacing w:line="400" w:lineRule="atLeast"/>
        <w:ind w:firstLine="450"/>
        <w:textAlignment w:val="bottom"/>
        <w:rPr>
          <w:rFonts w:ascii="宋体" w:cs="Arial"/>
          <w:color w:val="auto"/>
          <w:sz w:val="22"/>
          <w:szCs w:val="22"/>
          <w:highlight w:val="none"/>
        </w:rPr>
      </w:pPr>
      <w:r>
        <w:rPr>
          <w:rFonts w:ascii="宋体" w:cs="Arial"/>
          <w:color w:val="auto"/>
          <w:sz w:val="22"/>
          <w:szCs w:val="22"/>
          <w:highlight w:val="none"/>
        </w:rPr>
        <w:t xml:space="preserve">4.2 </w:t>
      </w:r>
      <w:r>
        <w:rPr>
          <w:rFonts w:hint="eastAsia" w:ascii="宋体" w:cs="Arial"/>
          <w:color w:val="auto"/>
          <w:sz w:val="22"/>
          <w:szCs w:val="22"/>
          <w:highlight w:val="none"/>
        </w:rPr>
        <w:t>本次招标只允许有一个报价，有选择的报价将不予接受。</w:t>
      </w:r>
    </w:p>
    <w:p>
      <w:pPr>
        <w:autoSpaceDE w:val="0"/>
        <w:autoSpaceDN w:val="0"/>
        <w:adjustRightInd w:val="0"/>
        <w:snapToGrid w:val="0"/>
        <w:spacing w:line="400" w:lineRule="atLeast"/>
        <w:ind w:firstLine="450"/>
        <w:textAlignment w:val="bottom"/>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本次招标只有一次投标报价的机会，</w:t>
      </w:r>
      <w:r>
        <w:rPr>
          <w:rFonts w:hint="eastAsia" w:ascii="宋体" w:cs="Arial"/>
          <w:color w:val="auto"/>
          <w:sz w:val="22"/>
          <w:szCs w:val="22"/>
          <w:highlight w:val="none"/>
        </w:rPr>
        <w:t>投标报价为投标总价</w:t>
      </w:r>
      <w:r>
        <w:rPr>
          <w:rFonts w:hint="eastAsia" w:ascii="宋体"/>
          <w:color w:val="auto"/>
          <w:sz w:val="22"/>
          <w:szCs w:val="22"/>
          <w:highlight w:val="none"/>
        </w:rPr>
        <w:t>。供应商应在各自技术和商务占优势的基础上并充分考虑本项目的重要性，提供对采购人最优惠的报价。</w:t>
      </w:r>
    </w:p>
    <w:p>
      <w:pPr>
        <w:tabs>
          <w:tab w:val="left" w:pos="1025"/>
        </w:tabs>
        <w:adjustRightInd w:val="0"/>
        <w:snapToGrid w:val="0"/>
        <w:spacing w:line="430" w:lineRule="atLeast"/>
        <w:ind w:firstLine="446" w:firstLineChars="200"/>
        <w:rPr>
          <w:rFonts w:ascii="宋体"/>
          <w:color w:val="auto"/>
          <w:sz w:val="22"/>
          <w:szCs w:val="22"/>
          <w:highlight w:val="none"/>
        </w:rPr>
      </w:pPr>
      <w:r>
        <w:rPr>
          <w:rFonts w:ascii="宋体"/>
          <w:color w:val="auto"/>
          <w:sz w:val="22"/>
          <w:szCs w:val="22"/>
          <w:highlight w:val="none"/>
        </w:rPr>
        <w:t xml:space="preserve">4.4 </w:t>
      </w:r>
      <w:r>
        <w:rPr>
          <w:rFonts w:hint="eastAsia" w:ascii="宋体"/>
          <w:color w:val="auto"/>
          <w:sz w:val="22"/>
          <w:szCs w:val="22"/>
          <w:highlight w:val="none"/>
        </w:rPr>
        <w:t>供应商在投标报价中应充分考虑所有可能发生的费用。投标供应商对在合同执行中，除招标文件规定的由中标供应商负责的工作范围以外需要采购人协调或提供便利的工作应当在投标文件中说明。</w:t>
      </w:r>
    </w:p>
    <w:p>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5.</w:t>
      </w:r>
      <w:r>
        <w:rPr>
          <w:rFonts w:hint="eastAsia" w:ascii="宋体"/>
          <w:color w:val="auto"/>
          <w:sz w:val="22"/>
          <w:highlight w:val="none"/>
        </w:rPr>
        <w:t>采购人要求分类报价是为了方便评标与合同执行，但在任何情况下不限制采购人以其认为最合适的条款签订合同的权利。</w:t>
      </w:r>
    </w:p>
    <w:bookmarkEnd w:id="30"/>
    <w:bookmarkEnd w:id="31"/>
    <w:p>
      <w:pPr>
        <w:pStyle w:val="43"/>
        <w:adjustRightInd w:val="0"/>
        <w:snapToGrid w:val="0"/>
        <w:spacing w:line="400" w:lineRule="atLeast"/>
        <w:ind w:firstLine="446" w:firstLineChars="200"/>
        <w:rPr>
          <w:rFonts w:hAnsi="宋体"/>
          <w:color w:val="auto"/>
          <w:sz w:val="22"/>
          <w:highlight w:val="none"/>
        </w:rPr>
      </w:pPr>
      <w:bookmarkStart w:id="32" w:name="_Toc132122414"/>
      <w:bookmarkStart w:id="33" w:name="_Toc132122117"/>
      <w:r>
        <w:rPr>
          <w:rFonts w:hint="eastAsia" w:hAnsi="宋体"/>
          <w:color w:val="auto"/>
          <w:sz w:val="22"/>
          <w:highlight w:val="none"/>
        </w:rPr>
        <w:t>6</w:t>
      </w:r>
      <w:r>
        <w:rPr>
          <w:rFonts w:hAnsi="宋体"/>
          <w:color w:val="auto"/>
          <w:sz w:val="22"/>
          <w:highlight w:val="none"/>
        </w:rPr>
        <w:t>.</w:t>
      </w:r>
      <w:r>
        <w:rPr>
          <w:rFonts w:hint="eastAsia" w:hAnsi="宋体"/>
          <w:color w:val="auto"/>
          <w:sz w:val="22"/>
          <w:highlight w:val="none"/>
        </w:rPr>
        <w:t>投标文件的有效期</w:t>
      </w:r>
      <w:bookmarkEnd w:id="32"/>
      <w:bookmarkEnd w:id="33"/>
    </w:p>
    <w:p>
      <w:pPr>
        <w:pStyle w:val="43"/>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.1</w:t>
      </w:r>
      <w:r>
        <w:rPr>
          <w:rFonts w:hint="eastAsia" w:hAnsi="宋体"/>
          <w:color w:val="auto"/>
          <w:sz w:val="22"/>
          <w:highlight w:val="none"/>
        </w:rPr>
        <w:t>自投标截止时间起</w:t>
      </w:r>
      <w:r>
        <w:rPr>
          <w:rFonts w:hAnsi="宋体"/>
          <w:color w:val="auto"/>
          <w:sz w:val="22"/>
          <w:highlight w:val="none"/>
        </w:rPr>
        <w:t>90</w:t>
      </w:r>
      <w:r>
        <w:rPr>
          <w:rFonts w:hint="eastAsia" w:hAnsi="宋体"/>
          <w:color w:val="auto"/>
          <w:sz w:val="22"/>
          <w:highlight w:val="none"/>
        </w:rPr>
        <w:t>天内，投标文件应保持有效。有效期短于这个规定期限的投标将被拒绝。</w:t>
      </w:r>
    </w:p>
    <w:p>
      <w:pPr>
        <w:pStyle w:val="43"/>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.2</w:t>
      </w:r>
      <w:r>
        <w:rPr>
          <w:rFonts w:hint="eastAsia" w:hAnsi="宋体"/>
          <w:color w:val="auto"/>
          <w:sz w:val="22"/>
          <w:highlight w:val="none"/>
        </w:rPr>
        <w:t>在特殊情况下，采购人可与供应商协商延长投标文件的有效期，这种要求和答复均应以书面形式进行。</w:t>
      </w:r>
    </w:p>
    <w:p>
      <w:pPr>
        <w:pStyle w:val="43"/>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.3</w:t>
      </w:r>
      <w:r>
        <w:rPr>
          <w:rFonts w:hint="eastAsia" w:hAnsi="宋体"/>
          <w:color w:val="auto"/>
          <w:sz w:val="22"/>
          <w:highlight w:val="none"/>
        </w:rPr>
        <w:t>供应商可拒绝接受延期要求而不会导致投标保证金被不予退还。同意延长有效期的供应商不能修改投标文件。</w:t>
      </w:r>
    </w:p>
    <w:p>
      <w:pPr>
        <w:pStyle w:val="43"/>
        <w:adjustRightInd w:val="0"/>
        <w:snapToGrid w:val="0"/>
        <w:spacing w:line="400" w:lineRule="atLeast"/>
        <w:ind w:firstLine="440"/>
        <w:outlineLvl w:val="0"/>
        <w:rPr>
          <w:rFonts w:hAnsi="宋体" w:cs="Arial"/>
          <w:color w:val="auto"/>
          <w:sz w:val="22"/>
          <w:szCs w:val="22"/>
          <w:highlight w:val="none"/>
        </w:rPr>
      </w:pPr>
      <w:bookmarkStart w:id="34" w:name="_Toc132122118"/>
      <w:bookmarkStart w:id="35" w:name="_Toc132122415"/>
      <w:r>
        <w:rPr>
          <w:rFonts w:hint="eastAsia" w:hAnsi="宋体" w:cs="Arial"/>
          <w:color w:val="auto"/>
          <w:sz w:val="22"/>
          <w:szCs w:val="22"/>
          <w:highlight w:val="none"/>
        </w:rPr>
        <w:t>7</w:t>
      </w:r>
      <w:r>
        <w:rPr>
          <w:rFonts w:hAnsi="宋体" w:cs="Arial"/>
          <w:color w:val="auto"/>
          <w:sz w:val="22"/>
          <w:szCs w:val="22"/>
          <w:highlight w:val="none"/>
        </w:rPr>
        <w:t>.</w:t>
      </w:r>
      <w:r>
        <w:rPr>
          <w:rFonts w:hint="eastAsia" w:hAnsi="宋体" w:cs="Arial"/>
          <w:color w:val="auto"/>
          <w:sz w:val="22"/>
          <w:szCs w:val="22"/>
          <w:highlight w:val="none"/>
        </w:rPr>
        <w:t>投标文件的签署</w:t>
      </w:r>
      <w:bookmarkEnd w:id="34"/>
      <w:bookmarkEnd w:id="35"/>
    </w:p>
    <w:p>
      <w:pPr>
        <w:pStyle w:val="43"/>
        <w:adjustRightInd w:val="0"/>
        <w:snapToGrid w:val="0"/>
        <w:spacing w:line="400" w:lineRule="atLeast"/>
        <w:ind w:firstLine="446" w:firstLineChars="200"/>
        <w:rPr>
          <w:rFonts w:hAnsi="宋体" w:cs="Arial"/>
          <w:color w:val="auto"/>
          <w:sz w:val="22"/>
          <w:szCs w:val="22"/>
          <w:highlight w:val="none"/>
        </w:rPr>
      </w:pPr>
      <w:r>
        <w:rPr>
          <w:rFonts w:hint="eastAsia" w:hAnsi="宋体" w:cs="Arial"/>
          <w:color w:val="auto"/>
          <w:sz w:val="22"/>
          <w:szCs w:val="22"/>
          <w:highlight w:val="none"/>
        </w:rPr>
        <w:t>7</w:t>
      </w:r>
      <w:r>
        <w:rPr>
          <w:rFonts w:hAnsi="宋体" w:cs="Arial"/>
          <w:color w:val="auto"/>
          <w:sz w:val="22"/>
          <w:szCs w:val="22"/>
          <w:highlight w:val="none"/>
        </w:rPr>
        <w:t>.1</w:t>
      </w:r>
      <w:r>
        <w:rPr>
          <w:rFonts w:hint="eastAsia" w:hAnsi="宋体" w:cs="Arial"/>
          <w:color w:val="auto"/>
          <w:sz w:val="22"/>
          <w:szCs w:val="22"/>
          <w:highlight w:val="none"/>
        </w:rPr>
        <w:t>投标文件不得涂改和增删，如有错漏必须修改，修改处须由同一签署人签字或盖章。由于字迹模糊或表达不清引起的后果由供应商负责。</w:t>
      </w:r>
    </w:p>
    <w:p>
      <w:pPr>
        <w:pStyle w:val="43"/>
        <w:adjustRightInd w:val="0"/>
        <w:snapToGrid w:val="0"/>
        <w:spacing w:line="400" w:lineRule="atLeast"/>
        <w:rPr>
          <w:rFonts w:hAnsi="宋体" w:cs="Arial"/>
          <w:color w:val="auto"/>
          <w:sz w:val="22"/>
          <w:szCs w:val="22"/>
          <w:highlight w:val="none"/>
        </w:rPr>
      </w:pPr>
      <w:r>
        <w:rPr>
          <w:rFonts w:hAnsi="宋体" w:cs="Arial"/>
          <w:color w:val="auto"/>
          <w:sz w:val="22"/>
          <w:szCs w:val="22"/>
          <w:highlight w:val="none"/>
        </w:rPr>
        <w:t xml:space="preserve">    </w:t>
      </w:r>
      <w:r>
        <w:rPr>
          <w:rFonts w:hint="eastAsia" w:hAnsi="宋体" w:cs="Arial"/>
          <w:color w:val="auto"/>
          <w:sz w:val="22"/>
          <w:szCs w:val="22"/>
          <w:highlight w:val="none"/>
        </w:rPr>
        <w:t>7</w:t>
      </w:r>
      <w:r>
        <w:rPr>
          <w:rFonts w:hAnsi="宋体" w:cs="Arial"/>
          <w:color w:val="auto"/>
          <w:sz w:val="22"/>
          <w:szCs w:val="22"/>
          <w:highlight w:val="none"/>
        </w:rPr>
        <w:t>.2</w:t>
      </w:r>
      <w:r>
        <w:rPr>
          <w:rFonts w:hint="eastAsia" w:hAnsi="宋体" w:cs="Arial"/>
          <w:color w:val="auto"/>
          <w:sz w:val="22"/>
          <w:szCs w:val="22"/>
          <w:highlight w:val="none"/>
        </w:rPr>
        <w:t>投标文件须由供应商盖章并由法定代表人或法定代表人授权代表签署，供应商应写全称。</w:t>
      </w:r>
    </w:p>
    <w:p>
      <w:pPr>
        <w:pStyle w:val="43"/>
        <w:adjustRightInd w:val="0"/>
        <w:snapToGrid w:val="0"/>
        <w:spacing w:line="400" w:lineRule="atLeast"/>
        <w:ind w:firstLine="446" w:firstLineChars="200"/>
        <w:outlineLvl w:val="0"/>
        <w:rPr>
          <w:rFonts w:hAnsi="宋体" w:cs="Arial"/>
          <w:b/>
          <w:bCs/>
          <w:color w:val="auto"/>
          <w:sz w:val="22"/>
          <w:szCs w:val="22"/>
          <w:highlight w:val="none"/>
        </w:rPr>
      </w:pPr>
      <w:bookmarkStart w:id="36" w:name="_Toc132123838"/>
      <w:bookmarkStart w:id="37" w:name="_Toc132655776"/>
      <w:bookmarkStart w:id="38" w:name="_Toc132122416"/>
      <w:bookmarkStart w:id="39" w:name="_Toc132126154"/>
      <w:bookmarkStart w:id="40" w:name="_Toc132123634"/>
      <w:bookmarkStart w:id="41" w:name="_Toc132123439"/>
      <w:bookmarkStart w:id="42" w:name="_Toc132125983"/>
      <w:bookmarkStart w:id="43" w:name="_Toc132122119"/>
      <w:bookmarkStart w:id="44" w:name="_Toc132125574"/>
      <w:bookmarkStart w:id="45" w:name="_Toc132124594"/>
      <w:bookmarkStart w:id="46" w:name="_Toc132123547"/>
      <w:bookmarkStart w:id="47" w:name="_Toc132125151"/>
      <w:bookmarkStart w:id="48" w:name="_Toc132123881"/>
      <w:bookmarkStart w:id="49" w:name="_Toc132125095"/>
      <w:bookmarkStart w:id="50" w:name="_Toc132125037"/>
      <w:r>
        <w:rPr>
          <w:rFonts w:hint="eastAsia" w:hAnsi="宋体" w:cs="Arial"/>
          <w:b/>
          <w:bCs/>
          <w:color w:val="auto"/>
          <w:sz w:val="22"/>
          <w:szCs w:val="22"/>
          <w:highlight w:val="none"/>
        </w:rPr>
        <w:t>四、投标文件的递交</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 投标文件的上传、递交：见《投标邀请函（投标须知前附表）》。</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2.“电子加密投标文件”解密：见《投标邀请函（投标须知前附表）》。</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3.投标文件的补充、修改或撤回</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3.2投标截止时间后，供应商不得撤回、修改《投标文件》。</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4.投标文件的备选方案</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4.1供应商不得递交任何的投标备选（替代）方案，否则其投标文件将作无效标处理。</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 投标截止期</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5.1供应商应按前附表中规定的时间、地点将投标文件递交给采购人，采购人将拒绝接受逾期送达的投标文件。</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pPr>
        <w:pStyle w:val="43"/>
        <w:adjustRightInd w:val="0"/>
        <w:snapToGrid w:val="0"/>
        <w:spacing w:line="400" w:lineRule="atLeast"/>
        <w:ind w:firstLine="436" w:firstLineChars="196"/>
        <w:rPr>
          <w:rFonts w:hAnsi="宋体"/>
          <w:b/>
          <w:bCs/>
          <w:color w:val="auto"/>
          <w:sz w:val="22"/>
          <w:szCs w:val="22"/>
          <w:highlight w:val="none"/>
        </w:rPr>
      </w:pPr>
      <w:r>
        <w:rPr>
          <w:rFonts w:hint="eastAsia" w:hAnsi="宋体"/>
          <w:b/>
          <w:bCs/>
          <w:color w:val="auto"/>
          <w:sz w:val="22"/>
          <w:szCs w:val="22"/>
          <w:highlight w:val="none"/>
        </w:rPr>
        <w:t>五、开标和评标</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1.开标</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（一）开标形式</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1.1 采购组织机构将按照采购文件规定的时间通过“政府采购云平台”组织开标、开启投标文件，所有供应商均应当准时在线参加。</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（二） 开标准备</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2.1开标的准备工作由采购组织机构负责落实；</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（三）开标流程（两阶段）</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3.1开标第一阶段</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（1）向各供应商发出电子加密投标文件【开始解密】通知，由供应商按采购文件规定的时间内自行进行投标文件解密。供应商在规定的时间内无法完成已递交的“电子加密投标文件”解密的其投标无效；</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（2）投标文件解密结束；</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（3）开启投标文件，进入资格审查；</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（4）开启资格审查通过的供应商的商务技术文件进入符合性审查、商务技术评审；</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（5）第一阶段开标结束。</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备注：开标大会的第一阶段结束后，采购人或采购代理机构将对依法对供应商的资格进行审查，资格审查结束后进入符合性审查和技术资信的评审工作。</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3.2开标大会第二阶段</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符合性审查、技术资信评审结束后，举行开标大会第二阶段会议。首先在线公布符合性审查、技术资信评审无效供应商名称及理由；公布经技术资信评审后有效供应商的名单，同时公布其技术资信得分情况。</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（2）开启符合性审查、技术资信评审有效供应商的《报价文件》，在线公布开标一览表有关内容。评标委员会对报价的合理性、准确性等进行审查核实。</w:t>
      </w:r>
    </w:p>
    <w:p>
      <w:pPr>
        <w:pStyle w:val="43"/>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（3）评审结束后，在线公布开标结果。</w:t>
      </w:r>
    </w:p>
    <w:p>
      <w:pPr>
        <w:pStyle w:val="43"/>
        <w:adjustRightInd w:val="0"/>
        <w:snapToGrid w:val="0"/>
        <w:spacing w:line="400" w:lineRule="atLeast"/>
        <w:ind w:firstLine="436" w:firstLineChars="196"/>
        <w:rPr>
          <w:rFonts w:hAnsi="宋体"/>
          <w:b/>
          <w:bCs/>
          <w:color w:val="auto"/>
          <w:sz w:val="22"/>
          <w:szCs w:val="22"/>
          <w:highlight w:val="none"/>
        </w:rPr>
      </w:pPr>
      <w:r>
        <w:rPr>
          <w:rFonts w:hint="eastAsia" w:hAnsi="宋体"/>
          <w:b/>
          <w:bCs/>
          <w:color w:val="auto"/>
          <w:sz w:val="22"/>
          <w:szCs w:val="22"/>
          <w:highlight w:val="none"/>
        </w:rPr>
        <w:t>特别说明：如遇“政府采购云平台”电子化开标或评审程序调整的，按调整后程序执行。</w:t>
      </w:r>
    </w:p>
    <w:p>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评标</w:t>
      </w:r>
    </w:p>
    <w:p>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2.1</w:t>
      </w:r>
      <w:r>
        <w:rPr>
          <w:rFonts w:hint="eastAsia" w:hAnsi="宋体" w:cs="Arial"/>
          <w:color w:val="auto"/>
          <w:sz w:val="22"/>
          <w:szCs w:val="22"/>
          <w:highlight w:val="none"/>
        </w:rPr>
        <w:t>评标由采购人依法组建的评标委员会负责</w:t>
      </w:r>
      <w:r>
        <w:rPr>
          <w:rFonts w:hint="eastAsia" w:hAnsi="宋体"/>
          <w:color w:val="auto"/>
          <w:sz w:val="22"/>
          <w:szCs w:val="22"/>
          <w:highlight w:val="none"/>
        </w:rPr>
        <w:t>，并独立履行下列职责：</w:t>
      </w:r>
    </w:p>
    <w:p>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）审查投标文件是否符合招标文件要求，并做出评价；</w:t>
      </w:r>
    </w:p>
    <w:p>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）要求供应商对投标文件有关事项做出解释或者澄清；</w:t>
      </w:r>
    </w:p>
    <w:p>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）按照招标文件确定的评标办法确定中标供应商，并对其排序；综合得分最高的供应商推荐为中标供应商；</w:t>
      </w:r>
    </w:p>
    <w:p>
      <w:pPr>
        <w:pStyle w:val="43"/>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）向采购人或者有关部门报告非法干预评标工作的行为。</w:t>
      </w:r>
    </w:p>
    <w:p>
      <w:pPr>
        <w:pStyle w:val="43"/>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）根据采购人的授权确定中标供应商名单；</w:t>
      </w:r>
    </w:p>
    <w:p>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2.2</w:t>
      </w:r>
      <w:r>
        <w:rPr>
          <w:rFonts w:hint="eastAsia" w:ascii="宋体"/>
          <w:color w:val="auto"/>
          <w:sz w:val="22"/>
          <w:szCs w:val="22"/>
          <w:highlight w:val="none"/>
        </w:rPr>
        <w:t>评标应当遵循下列工作程序：</w:t>
      </w:r>
    </w:p>
    <w:p>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）投标文件初审。初审分为资格性检查和符合性检查。</w:t>
      </w:r>
    </w:p>
    <w:p>
      <w:pPr>
        <w:snapToGrid w:val="0"/>
        <w:spacing w:line="400" w:lineRule="atLeast"/>
        <w:ind w:firstLine="327"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1)</w:t>
      </w:r>
      <w:r>
        <w:rPr>
          <w:rFonts w:hint="eastAsia" w:ascii="宋体"/>
          <w:color w:val="auto"/>
          <w:sz w:val="22"/>
          <w:szCs w:val="22"/>
          <w:highlight w:val="none"/>
        </w:rPr>
        <w:t>资格性检查。依据法律法规和招标文件的规定，对投标文件中的资格证明文件等进行审查，以确定供应商是否具备投标资格。</w:t>
      </w:r>
    </w:p>
    <w:p>
      <w:pPr>
        <w:snapToGrid w:val="0"/>
        <w:spacing w:line="400" w:lineRule="atLeast"/>
        <w:ind w:firstLine="327"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2)</w:t>
      </w:r>
      <w:r>
        <w:rPr>
          <w:rFonts w:hint="eastAsia" w:ascii="宋体"/>
          <w:color w:val="auto"/>
          <w:sz w:val="22"/>
          <w:szCs w:val="22"/>
          <w:highlight w:val="none"/>
        </w:rPr>
        <w:t>符合性检查。依据招标文件的规定，从投标文件的有效性、完整性和对招标文件的响应程度进行审查，以确定是否对招标文件的实质性要求做出响应。</w:t>
      </w:r>
    </w:p>
    <w:p>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澄清有关问题。对投标文件中含义不明确、同类问题表述不一致或者有明显文字和计算错误的内容，评标委员会可以要求供应商做出必要的澄清、说明或者纠正。供应商的澄清、说明或者补正应当由其授权的代表签字，并不得超出投标文件的范围或者改变投标文件的实质性内容。</w:t>
      </w:r>
    </w:p>
    <w:p>
      <w:pPr>
        <w:adjustRightInd w:val="0"/>
        <w:snapToGrid w:val="0"/>
        <w:spacing w:line="400" w:lineRule="atLeast"/>
        <w:ind w:firstLine="438" w:firstLineChars="197"/>
        <w:rPr>
          <w:rFonts w:ascii="宋体" w:cs="Arial"/>
          <w:color w:val="auto"/>
          <w:sz w:val="22"/>
          <w:szCs w:val="22"/>
          <w:highlight w:val="none"/>
        </w:rPr>
      </w:pPr>
      <w:r>
        <w:rPr>
          <w:rFonts w:hint="eastAsia" w:ascii="宋体" w:cs="Arial"/>
          <w:color w:val="auto"/>
          <w:sz w:val="22"/>
          <w:szCs w:val="22"/>
          <w:highlight w:val="none"/>
        </w:rPr>
        <w:t>实质上没有响应招标文件要求的投标将被拒绝。供应商不得通过修正或撤消不合要求的偏离从而使其投标成为实质上响应的投标。</w:t>
      </w:r>
      <w:r>
        <w:rPr>
          <w:rFonts w:hint="eastAsia" w:ascii="宋体" w:cs="Arial"/>
          <w:color w:val="auto"/>
          <w:sz w:val="22"/>
          <w:szCs w:val="22"/>
          <w:highlight w:val="none"/>
        </w:rPr>
        <w:br w:type="textWrapping"/>
      </w:r>
      <w:r>
        <w:rPr>
          <w:rFonts w:hint="eastAsia" w:ascii="宋体" w:cs="Arial"/>
          <w:color w:val="auto"/>
          <w:sz w:val="22"/>
          <w:szCs w:val="22"/>
          <w:highlight w:val="none"/>
        </w:rPr>
        <w:t xml:space="preserve">    </w:t>
      </w:r>
      <w:r>
        <w:rPr>
          <w:rFonts w:hint="eastAsia" w:hAnsi="宋体"/>
          <w:color w:val="auto"/>
          <w:sz w:val="22"/>
          <w:szCs w:val="22"/>
          <w:highlight w:val="none"/>
        </w:rPr>
        <w:t>▲</w:t>
      </w:r>
      <w:r>
        <w:rPr>
          <w:rFonts w:hint="eastAsia" w:ascii="宋体" w:cs="Arial"/>
          <w:b/>
          <w:bCs/>
          <w:color w:val="auto"/>
          <w:sz w:val="22"/>
          <w:szCs w:val="22"/>
          <w:highlight w:val="none"/>
        </w:rPr>
        <w:t>供应商政采云系统填写报价和电子投标文件（开标一览表）中填写不一致的，以电子投标文件（开标一览表）为准，如果不接受调整价格的做废标处理。</w:t>
      </w:r>
    </w:p>
    <w:p>
      <w:pPr>
        <w:snapToGrid w:val="0"/>
        <w:spacing w:line="400" w:lineRule="atLeast"/>
        <w:ind w:firstLine="438" w:firstLineChars="197"/>
        <w:rPr>
          <w:rFonts w:ascii="宋体"/>
          <w:color w:val="auto"/>
          <w:sz w:val="22"/>
          <w:szCs w:val="22"/>
          <w:highlight w:val="none"/>
        </w:rPr>
      </w:pPr>
      <w:r>
        <w:rPr>
          <w:rFonts w:hint="eastAsia" w:cs="Arial"/>
          <w:color w:val="auto"/>
          <w:sz w:val="22"/>
          <w:szCs w:val="22"/>
          <w:highlight w:val="none"/>
        </w:rPr>
        <w:t>评标委员会对投标文件的判定，只依据投标文件内容本身，不依靠开标后的任何外来证明。</w:t>
      </w:r>
    </w:p>
    <w:p>
      <w:pPr>
        <w:pStyle w:val="43"/>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）评价。按招标文件中规定的评标方法和标准，对资格性检查和符合性检查合格的投标文件进行商务和技术评估，综合评价。</w:t>
      </w:r>
    </w:p>
    <w:p>
      <w:pPr>
        <w:pStyle w:val="43"/>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）推荐中标供应商候选人名单，并根据采购人的授权确定中标供应商。</w:t>
      </w:r>
    </w:p>
    <w:p>
      <w:pPr>
        <w:pStyle w:val="43"/>
        <w:adjustRightInd w:val="0"/>
        <w:snapToGrid w:val="0"/>
        <w:spacing w:line="400" w:lineRule="atLeast"/>
        <w:ind w:firstLine="438" w:firstLineChars="197"/>
        <w:rPr>
          <w:rFonts w:hAnsi="宋体" w:cs="Arial"/>
          <w:color w:val="auto"/>
          <w:sz w:val="22"/>
          <w:szCs w:val="22"/>
          <w:highlight w:val="none"/>
        </w:rPr>
      </w:pPr>
      <w:r>
        <w:rPr>
          <w:color w:val="auto"/>
          <w:sz w:val="22"/>
          <w:szCs w:val="22"/>
          <w:highlight w:val="none"/>
        </w:rPr>
        <w:t>2.3</w:t>
      </w:r>
      <w:r>
        <w:rPr>
          <w:b/>
          <w:bCs/>
          <w:color w:val="auto"/>
          <w:sz w:val="22"/>
          <w:szCs w:val="22"/>
          <w:highlight w:val="none"/>
        </w:rPr>
        <w:t xml:space="preserve"> </w:t>
      </w:r>
      <w:r>
        <w:rPr>
          <w:rFonts w:hint="eastAsia" w:hAnsi="宋体"/>
          <w:b/>
          <w:bCs/>
          <w:color w:val="auto"/>
          <w:sz w:val="22"/>
          <w:szCs w:val="22"/>
          <w:highlight w:val="none"/>
        </w:rPr>
        <w:t>▲</w:t>
      </w:r>
      <w:r>
        <w:rPr>
          <w:rFonts w:hint="eastAsia" w:hAnsi="宋体" w:cs="Arial"/>
          <w:b/>
          <w:bCs/>
          <w:color w:val="auto"/>
          <w:sz w:val="22"/>
          <w:szCs w:val="22"/>
          <w:highlight w:val="none"/>
        </w:rPr>
        <w:t>投标供应商存在下列情况之一的，投标无效</w:t>
      </w:r>
      <w:r>
        <w:rPr>
          <w:rFonts w:hAnsi="宋体" w:cs="Arial"/>
          <w:color w:val="auto"/>
          <w:sz w:val="22"/>
          <w:szCs w:val="22"/>
          <w:highlight w:val="none"/>
        </w:rPr>
        <w:t>:</w:t>
      </w:r>
    </w:p>
    <w:p>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）投标文件未按招标文件要求签署、盖章的；</w:t>
      </w:r>
    </w:p>
    <w:p>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2）不具备招标文件中规定的资格要求的；</w:t>
      </w:r>
    </w:p>
    <w:p>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3）报价超过招标文件中规定的预算金额或者最高限价的；</w:t>
      </w:r>
    </w:p>
    <w:p>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4）投标文件含有采购人不能接受的附加条件的（包括招标文件中明确要求不得偏离的招标要求，存在负偏离的）</w:t>
      </w:r>
      <w:r>
        <w:rPr>
          <w:rFonts w:hAnsi="宋体" w:cs="Arial"/>
          <w:color w:val="auto"/>
          <w:sz w:val="22"/>
          <w:szCs w:val="22"/>
          <w:highlight w:val="none"/>
        </w:rPr>
        <w:t>;</w:t>
      </w:r>
    </w:p>
    <w:p>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5）供应商递交两份或两份以上内容不同的投标文件，未声明哪一份有效的；</w:t>
      </w:r>
    </w:p>
    <w:p>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6）对关键条文的偏离、保留或反对，例如关于付款方式、完工期、免费质保期、适用法律法规、标准、税费等其他内容；</w:t>
      </w:r>
    </w:p>
    <w:p>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7）存在串标、抬标或弄虚作假情况的；</w:t>
      </w:r>
    </w:p>
    <w:p>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8）法律、法规和招标文件规定的其他无效情形（或出现重大偏差）。</w:t>
      </w:r>
    </w:p>
    <w:p>
      <w:pPr>
        <w:pStyle w:val="43"/>
        <w:adjustRightInd w:val="0"/>
        <w:snapToGrid w:val="0"/>
        <w:spacing w:line="400" w:lineRule="atLeast"/>
        <w:ind w:firstLine="438" w:firstLineChars="197"/>
        <w:rPr>
          <w:rFonts w:hAnsi="宋体" w:cs="Arial"/>
          <w:color w:val="auto"/>
          <w:sz w:val="22"/>
          <w:szCs w:val="22"/>
          <w:highlight w:val="none"/>
        </w:rPr>
      </w:pPr>
      <w:r>
        <w:rPr>
          <w:color w:val="auto"/>
          <w:sz w:val="22"/>
          <w:szCs w:val="22"/>
          <w:highlight w:val="none"/>
        </w:rPr>
        <w:t xml:space="preserve">2.4 </w:t>
      </w:r>
      <w:r>
        <w:rPr>
          <w:rFonts w:hint="eastAsia" w:hAnsi="宋体"/>
          <w:color w:val="auto"/>
          <w:sz w:val="22"/>
          <w:szCs w:val="22"/>
          <w:highlight w:val="none"/>
        </w:rPr>
        <w:t>▲</w:t>
      </w:r>
      <w:r>
        <w:rPr>
          <w:rFonts w:hint="eastAsia" w:hAnsi="宋体" w:cs="Arial"/>
          <w:b/>
          <w:bCs/>
          <w:color w:val="auto"/>
          <w:sz w:val="22"/>
          <w:szCs w:val="22"/>
          <w:highlight w:val="none"/>
        </w:rPr>
        <w:t>评标委员会发现投标文件有下列情形之一的属于重大偏差</w:t>
      </w:r>
      <w:r>
        <w:rPr>
          <w:rFonts w:hAnsi="宋体" w:cs="Arial"/>
          <w:b/>
          <w:bCs/>
          <w:color w:val="auto"/>
          <w:sz w:val="22"/>
          <w:szCs w:val="22"/>
          <w:highlight w:val="none"/>
        </w:rPr>
        <w:t>(</w:t>
      </w:r>
      <w:r>
        <w:rPr>
          <w:rFonts w:hint="eastAsia" w:hAnsi="宋体" w:cs="Arial"/>
          <w:b/>
          <w:bCs/>
          <w:color w:val="auto"/>
          <w:sz w:val="22"/>
          <w:szCs w:val="22"/>
          <w:highlight w:val="none"/>
        </w:rPr>
        <w:t>评标委员会按少数服从多数原则认定</w:t>
      </w:r>
      <w:r>
        <w:rPr>
          <w:rFonts w:hAnsi="宋体" w:cs="Arial"/>
          <w:b/>
          <w:bCs/>
          <w:color w:val="auto"/>
          <w:sz w:val="22"/>
          <w:szCs w:val="22"/>
          <w:highlight w:val="none"/>
        </w:rPr>
        <w:t>),</w:t>
      </w:r>
      <w:r>
        <w:rPr>
          <w:rFonts w:hint="eastAsia" w:hAnsi="宋体" w:cs="Arial"/>
          <w:b/>
          <w:bCs/>
          <w:color w:val="auto"/>
          <w:sz w:val="22"/>
          <w:szCs w:val="22"/>
          <w:highlight w:val="none"/>
        </w:rPr>
        <w:t>按照无效投标处理</w:t>
      </w:r>
      <w:r>
        <w:rPr>
          <w:rFonts w:hint="eastAsia" w:hAnsi="宋体" w:cs="Arial"/>
          <w:color w:val="auto"/>
          <w:sz w:val="22"/>
          <w:szCs w:val="22"/>
          <w:highlight w:val="none"/>
        </w:rPr>
        <w:t>：</w:t>
      </w:r>
    </w:p>
    <w:p>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）未按招标文件要求编制或字迹模糊、辨认不清的投标文件；</w:t>
      </w:r>
    </w:p>
    <w:p>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）供应商《商务技术文件》、《资格文件》中出现投标报价；</w:t>
      </w:r>
    </w:p>
    <w:p>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条款以外，出现其它明显不符合技术规格、技术标准的要求或不满足招标文件技术规格书中的主要参数的投标文件；</w:t>
      </w:r>
    </w:p>
    <w:p>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4</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条款以外，出现投标数量与招标文件对比出现较大偏差；商务报价明细表计算错误，出现较大差错；</w:t>
      </w:r>
    </w:p>
    <w:p>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条款以外，出现其它不符合招标文件中规定的实质性要求的投标文件，是否为偏离实质性要求由评标委员会认定。</w:t>
      </w:r>
    </w:p>
    <w:p>
      <w:pPr>
        <w:adjustRightInd w:val="0"/>
        <w:snapToGrid w:val="0"/>
        <w:spacing w:line="400" w:lineRule="atLeast"/>
        <w:ind w:firstLine="438" w:firstLineChars="197"/>
        <w:rPr>
          <w:rFonts w:cs="Arial"/>
          <w:color w:val="auto"/>
          <w:sz w:val="22"/>
          <w:szCs w:val="22"/>
          <w:highlight w:val="none"/>
        </w:rPr>
      </w:pPr>
      <w:r>
        <w:rPr>
          <w:rFonts w:ascii="宋体"/>
          <w:color w:val="auto"/>
          <w:sz w:val="22"/>
          <w:highlight w:val="none"/>
        </w:rPr>
        <w:t>2.</w:t>
      </w:r>
      <w:r>
        <w:rPr>
          <w:rFonts w:hint="eastAsia" w:ascii="宋体"/>
          <w:color w:val="auto"/>
          <w:sz w:val="22"/>
          <w:highlight w:val="none"/>
        </w:rPr>
        <w:t>5</w:t>
      </w:r>
      <w:r>
        <w:rPr>
          <w:rFonts w:ascii="宋体"/>
          <w:color w:val="auto"/>
          <w:sz w:val="22"/>
          <w:highlight w:val="none"/>
        </w:rPr>
        <w:t xml:space="preserve"> </w:t>
      </w:r>
      <w:r>
        <w:rPr>
          <w:rFonts w:hint="eastAsia" w:ascii="宋体"/>
          <w:color w:val="auto"/>
          <w:sz w:val="22"/>
          <w:highlight w:val="none"/>
        </w:rPr>
        <w:t>▲评标委员会认为投标供应商的报价明显低于其他通过符合性审查投标供应商的报价，有可能影响产品质量或者不能诚信履约的，应当要求其在合理的时间内提供测算依据和理由，必要时提交相关证明材料；投标供应商不能证明其报价合理性的，评标委员会应当将其作为无效投标处理。</w:t>
      </w:r>
    </w:p>
    <w:p>
      <w:pPr>
        <w:pStyle w:val="43"/>
        <w:adjustRightInd w:val="0"/>
        <w:snapToGrid w:val="0"/>
        <w:spacing w:line="400" w:lineRule="atLeast"/>
        <w:ind w:firstLine="438" w:firstLineChars="197"/>
        <w:rPr>
          <w:rFonts w:hAnsi="宋体"/>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6评标委员会</w:t>
      </w:r>
      <w:r>
        <w:rPr>
          <w:rFonts w:hint="eastAsia" w:hAnsi="宋体"/>
          <w:color w:val="auto"/>
          <w:sz w:val="22"/>
          <w:szCs w:val="22"/>
          <w:highlight w:val="none"/>
        </w:rPr>
        <w:t>在评标中，不得改变招标文件中规定的评标标准、方法和中标条件。</w:t>
      </w:r>
    </w:p>
    <w:p>
      <w:pPr>
        <w:pStyle w:val="43"/>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7评标时如遇到招标文件未规定的特殊情况，由评标委员会按少数服从多数原则集体决定处理。</w:t>
      </w:r>
    </w:p>
    <w:p>
      <w:pPr>
        <w:pStyle w:val="43"/>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8评标委员会对未中标的供应商不作解释。同时根据政府采购法实施条例第四十条规定，本项目不对供应商公布详细的评审情况，不公布具体评标细则中小项得分。</w:t>
      </w:r>
    </w:p>
    <w:p>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投标文件的澄清</w:t>
      </w:r>
    </w:p>
    <w:p>
      <w:pPr>
        <w:adjustRightInd w:val="0"/>
        <w:snapToGrid w:val="0"/>
        <w:spacing w:line="400" w:lineRule="atLeast"/>
        <w:ind w:firstLine="438" w:firstLineChars="197"/>
        <w:rPr>
          <w:rFonts w:ascii="宋体" w:cs="Arial"/>
          <w:color w:val="auto"/>
          <w:sz w:val="22"/>
          <w:szCs w:val="22"/>
          <w:highlight w:val="none"/>
        </w:rPr>
      </w:pPr>
      <w:r>
        <w:rPr>
          <w:rFonts w:ascii="宋体" w:cs="Arial"/>
          <w:color w:val="auto"/>
          <w:sz w:val="22"/>
          <w:szCs w:val="22"/>
          <w:highlight w:val="none"/>
        </w:rPr>
        <w:t xml:space="preserve">3.1 </w:t>
      </w:r>
      <w:r>
        <w:rPr>
          <w:rFonts w:hint="eastAsia" w:ascii="宋体" w:cs="Arial"/>
          <w:color w:val="auto"/>
          <w:sz w:val="22"/>
          <w:szCs w:val="22"/>
          <w:highlight w:val="none"/>
        </w:rPr>
        <w:t>为有利于对投标文件的评议，必要时采购人及评标委员会可要求供应商对投标文件及合同条款进行澄清。须有投标授权代表签字并作为投标内容的一部分。</w:t>
      </w:r>
    </w:p>
    <w:p>
      <w:pPr>
        <w:adjustRightInd w:val="0"/>
        <w:snapToGrid w:val="0"/>
        <w:spacing w:line="400" w:lineRule="atLeast"/>
        <w:ind w:firstLine="438" w:firstLineChars="197"/>
        <w:rPr>
          <w:rFonts w:ascii="宋体" w:cs="Arial"/>
          <w:color w:val="auto"/>
          <w:sz w:val="22"/>
          <w:szCs w:val="22"/>
          <w:highlight w:val="none"/>
        </w:rPr>
      </w:pPr>
      <w:r>
        <w:rPr>
          <w:rFonts w:ascii="宋体" w:cs="Arial"/>
          <w:color w:val="auto"/>
          <w:sz w:val="22"/>
          <w:szCs w:val="22"/>
          <w:highlight w:val="none"/>
        </w:rPr>
        <w:t xml:space="preserve">3.2 </w:t>
      </w:r>
      <w:r>
        <w:rPr>
          <w:rFonts w:hint="eastAsia" w:ascii="宋体" w:cs="Arial"/>
          <w:color w:val="auto"/>
          <w:sz w:val="22"/>
          <w:szCs w:val="22"/>
          <w:highlight w:val="none"/>
        </w:rPr>
        <w:t>供应商对投标文件的澄清不得寻求、提供或允许改变投标价格等实质性内容。</w:t>
      </w:r>
      <w:r>
        <w:rPr>
          <w:rFonts w:ascii="宋体" w:cs="Arial"/>
          <w:color w:val="auto"/>
          <w:sz w:val="22"/>
          <w:szCs w:val="22"/>
          <w:highlight w:val="none"/>
        </w:rPr>
        <w:t xml:space="preserve"> </w:t>
      </w:r>
    </w:p>
    <w:p>
      <w:pPr>
        <w:adjustRightInd w:val="0"/>
        <w:snapToGrid w:val="0"/>
        <w:spacing w:line="400" w:lineRule="atLeast"/>
        <w:ind w:left="419" w:leftChars="197"/>
        <w:rPr>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rPr>
        <w:t>禁止供应商相互串通投标。</w:t>
      </w:r>
      <w:r>
        <w:rPr>
          <w:rFonts w:ascii="宋体" w:cs="Arial"/>
          <w:color w:val="auto"/>
          <w:sz w:val="22"/>
          <w:szCs w:val="22"/>
          <w:highlight w:val="none"/>
        </w:rPr>
        <w:br w:type="textWrapping"/>
      </w:r>
      <w:r>
        <w:rPr>
          <w:rFonts w:ascii="宋体" w:cs="Arial"/>
          <w:color w:val="auto"/>
          <w:sz w:val="22"/>
          <w:szCs w:val="22"/>
          <w:highlight w:val="none"/>
        </w:rPr>
        <w:t>4.1</w:t>
      </w:r>
      <w:r>
        <w:rPr>
          <w:rFonts w:hint="eastAsia" w:ascii="宋体" w:cs="Arial"/>
          <w:color w:val="auto"/>
          <w:sz w:val="22"/>
          <w:szCs w:val="22"/>
          <w:highlight w:val="none"/>
        </w:rPr>
        <w:t xml:space="preserve"> 有下列情形之一的，视为供应商相互串通投标：</w:t>
      </w:r>
      <w:r>
        <w:rPr>
          <w:rFonts w:ascii="宋体" w:cs="Arial"/>
          <w:color w:val="auto"/>
          <w:sz w:val="22"/>
          <w:szCs w:val="22"/>
          <w:highlight w:val="none"/>
        </w:rPr>
        <w:br w:type="textWrapping"/>
      </w:r>
      <w:r>
        <w:rPr>
          <w:rFonts w:hint="eastAsia" w:ascii="宋体" w:cs="Arial"/>
          <w:color w:val="auto"/>
          <w:sz w:val="22"/>
          <w:szCs w:val="22"/>
          <w:highlight w:val="none"/>
        </w:rPr>
        <w:t>（</w:t>
      </w:r>
      <w:r>
        <w:rPr>
          <w:rFonts w:ascii="宋体" w:cs="Arial"/>
          <w:color w:val="auto"/>
          <w:sz w:val="22"/>
          <w:szCs w:val="22"/>
          <w:highlight w:val="none"/>
        </w:rPr>
        <w:t>1</w:t>
      </w:r>
      <w:r>
        <w:rPr>
          <w:rFonts w:hint="eastAsia" w:ascii="宋体" w:cs="Arial"/>
          <w:color w:val="auto"/>
          <w:sz w:val="22"/>
          <w:szCs w:val="22"/>
          <w:highlight w:val="none"/>
        </w:rPr>
        <w:t>）不同供应商的投标文件由同一单位或者个人编制；</w:t>
      </w:r>
      <w:r>
        <w:rPr>
          <w:rFonts w:ascii="宋体" w:cs="Arial"/>
          <w:color w:val="auto"/>
          <w:sz w:val="22"/>
          <w:szCs w:val="22"/>
          <w:highlight w:val="none"/>
        </w:rPr>
        <w:br w:type="textWrapping"/>
      </w:r>
      <w:r>
        <w:rPr>
          <w:rFonts w:hint="eastAsia" w:ascii="宋体" w:cs="Arial"/>
          <w:color w:val="auto"/>
          <w:sz w:val="22"/>
          <w:szCs w:val="22"/>
          <w:highlight w:val="none"/>
        </w:rPr>
        <w:t>（</w:t>
      </w:r>
      <w:r>
        <w:rPr>
          <w:rFonts w:ascii="宋体" w:cs="Arial"/>
          <w:color w:val="auto"/>
          <w:sz w:val="22"/>
          <w:szCs w:val="22"/>
          <w:highlight w:val="none"/>
        </w:rPr>
        <w:t>2</w:t>
      </w:r>
      <w:r>
        <w:rPr>
          <w:rFonts w:hint="eastAsia" w:ascii="宋体" w:cs="Arial"/>
          <w:color w:val="auto"/>
          <w:sz w:val="22"/>
          <w:szCs w:val="22"/>
          <w:highlight w:val="none"/>
        </w:rPr>
        <w:t>）不同供应商委托同一单位或者个人办理投标事宜；</w:t>
      </w:r>
      <w:r>
        <w:rPr>
          <w:rFonts w:ascii="宋体" w:cs="Arial"/>
          <w:color w:val="auto"/>
          <w:sz w:val="22"/>
          <w:szCs w:val="22"/>
          <w:highlight w:val="none"/>
        </w:rPr>
        <w:br w:type="textWrapping"/>
      </w:r>
      <w:r>
        <w:rPr>
          <w:rFonts w:hint="eastAsia" w:ascii="宋体" w:cs="Arial"/>
          <w:color w:val="auto"/>
          <w:sz w:val="22"/>
          <w:szCs w:val="22"/>
          <w:highlight w:val="none"/>
        </w:rPr>
        <w:t>（</w:t>
      </w:r>
      <w:r>
        <w:rPr>
          <w:rFonts w:ascii="宋体" w:cs="Arial"/>
          <w:color w:val="auto"/>
          <w:sz w:val="22"/>
          <w:szCs w:val="22"/>
          <w:highlight w:val="none"/>
        </w:rPr>
        <w:t>3</w:t>
      </w:r>
      <w:r>
        <w:rPr>
          <w:rFonts w:hint="eastAsia" w:ascii="宋体" w:cs="Arial"/>
          <w:color w:val="auto"/>
          <w:sz w:val="22"/>
          <w:szCs w:val="22"/>
          <w:highlight w:val="none"/>
        </w:rPr>
        <w:t>）不同供应商的投标文件载明的项目管理成员为同一人；</w:t>
      </w:r>
      <w:r>
        <w:rPr>
          <w:rFonts w:ascii="宋体" w:cs="Arial"/>
          <w:color w:val="auto"/>
          <w:sz w:val="22"/>
          <w:szCs w:val="22"/>
          <w:highlight w:val="none"/>
        </w:rPr>
        <w:br w:type="textWrapping"/>
      </w:r>
      <w:r>
        <w:rPr>
          <w:rFonts w:hint="eastAsia" w:ascii="宋体" w:cs="Arial"/>
          <w:color w:val="auto"/>
          <w:sz w:val="22"/>
          <w:szCs w:val="22"/>
          <w:highlight w:val="none"/>
        </w:rPr>
        <w:t>（</w:t>
      </w:r>
      <w:r>
        <w:rPr>
          <w:rFonts w:ascii="宋体" w:cs="Arial"/>
          <w:color w:val="auto"/>
          <w:sz w:val="22"/>
          <w:szCs w:val="22"/>
          <w:highlight w:val="none"/>
        </w:rPr>
        <w:t>4</w:t>
      </w:r>
      <w:r>
        <w:rPr>
          <w:rFonts w:hint="eastAsia" w:ascii="宋体" w:cs="Arial"/>
          <w:color w:val="auto"/>
          <w:sz w:val="22"/>
          <w:szCs w:val="22"/>
          <w:highlight w:val="none"/>
        </w:rPr>
        <w:t>）不同供应商的投标文件异常一致或者投标报价呈规律性差异；</w:t>
      </w:r>
      <w:r>
        <w:rPr>
          <w:rFonts w:ascii="宋体" w:cs="Arial"/>
          <w:color w:val="auto"/>
          <w:sz w:val="22"/>
          <w:szCs w:val="22"/>
          <w:highlight w:val="none"/>
        </w:rPr>
        <w:br w:type="textWrapping"/>
      </w:r>
      <w:r>
        <w:rPr>
          <w:rFonts w:hint="eastAsia" w:ascii="宋体" w:cs="Arial"/>
          <w:color w:val="auto"/>
          <w:sz w:val="22"/>
          <w:szCs w:val="22"/>
          <w:highlight w:val="none"/>
        </w:rPr>
        <w:t>（</w:t>
      </w:r>
      <w:r>
        <w:rPr>
          <w:rFonts w:ascii="宋体" w:cs="Arial"/>
          <w:color w:val="auto"/>
          <w:sz w:val="22"/>
          <w:szCs w:val="22"/>
          <w:highlight w:val="none"/>
        </w:rPr>
        <w:t>5</w:t>
      </w:r>
      <w:r>
        <w:rPr>
          <w:rFonts w:hint="eastAsia" w:ascii="宋体" w:cs="Arial"/>
          <w:color w:val="auto"/>
          <w:sz w:val="22"/>
          <w:szCs w:val="22"/>
          <w:highlight w:val="none"/>
        </w:rPr>
        <w:t>）不同供应商的投标文件相互混装传；</w:t>
      </w:r>
      <w:r>
        <w:rPr>
          <w:rFonts w:ascii="宋体" w:cs="Arial"/>
          <w:color w:val="auto"/>
          <w:sz w:val="22"/>
          <w:szCs w:val="22"/>
          <w:highlight w:val="none"/>
        </w:rPr>
        <w:br w:type="textWrapping"/>
      </w:r>
      <w:r>
        <w:rPr>
          <w:rFonts w:ascii="宋体" w:cs="Arial"/>
          <w:color w:val="auto"/>
          <w:sz w:val="22"/>
          <w:szCs w:val="22"/>
          <w:highlight w:val="none"/>
        </w:rPr>
        <w:t>4.2</w:t>
      </w:r>
      <w:r>
        <w:rPr>
          <w:rFonts w:hint="eastAsia" w:ascii="宋体" w:cs="Arial"/>
          <w:color w:val="auto"/>
          <w:sz w:val="22"/>
          <w:szCs w:val="22"/>
          <w:highlight w:val="none"/>
        </w:rPr>
        <w:t xml:space="preserve"> 经评标委员会认定供应商进行串通投标的，评标委员会可以对相关供应商做出无效投标处理，并上报政府采购管理部门进行进一步处理。</w:t>
      </w:r>
    </w:p>
    <w:p>
      <w:pPr>
        <w:pStyle w:val="43"/>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评标原则</w:t>
      </w:r>
    </w:p>
    <w:p>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w:t>
      </w:r>
      <w:r>
        <w:rPr>
          <w:rFonts w:hint="eastAsia" w:hAnsi="宋体" w:cs="Arial"/>
          <w:b/>
          <w:bCs/>
          <w:color w:val="auto"/>
          <w:sz w:val="22"/>
          <w:szCs w:val="22"/>
          <w:highlight w:val="none"/>
          <w:u w:val="single"/>
        </w:rPr>
        <w:t>投标截止时或评审过程中有效投标供应商不足三家的，不予开标或评标</w:t>
      </w:r>
      <w:r>
        <w:rPr>
          <w:rFonts w:hint="eastAsia" w:hAnsi="宋体" w:cs="Arial"/>
          <w:color w:val="auto"/>
          <w:sz w:val="22"/>
          <w:szCs w:val="22"/>
          <w:highlight w:val="none"/>
        </w:rPr>
        <w:t>。</w:t>
      </w:r>
    </w:p>
    <w:p>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评标委员会按照招标文件的要求和条件对投标文件进行商务和技术评估，综合评价。</w:t>
      </w:r>
    </w:p>
    <w:p>
      <w:pPr>
        <w:pStyle w:val="43"/>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评标办法具体见本招标文件第七部分。</w:t>
      </w:r>
    </w:p>
    <w:p>
      <w:pPr>
        <w:pStyle w:val="43"/>
        <w:adjustRightInd w:val="0"/>
        <w:snapToGrid w:val="0"/>
        <w:spacing w:line="400" w:lineRule="atLeast"/>
        <w:ind w:firstLine="438" w:firstLineChars="197"/>
        <w:outlineLvl w:val="0"/>
        <w:rPr>
          <w:rFonts w:hAnsi="宋体"/>
          <w:b/>
          <w:bCs/>
          <w:color w:val="auto"/>
          <w:sz w:val="22"/>
          <w:szCs w:val="22"/>
          <w:highlight w:val="none"/>
        </w:rPr>
      </w:pPr>
      <w:r>
        <w:rPr>
          <w:rFonts w:hint="eastAsia" w:hAnsi="宋体"/>
          <w:b/>
          <w:bCs/>
          <w:color w:val="auto"/>
          <w:sz w:val="22"/>
          <w:szCs w:val="22"/>
          <w:highlight w:val="none"/>
        </w:rPr>
        <w:t>六、授予合同</w:t>
      </w:r>
    </w:p>
    <w:p>
      <w:pPr>
        <w:pStyle w:val="43"/>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决标</w:t>
      </w:r>
    </w:p>
    <w:p>
      <w:pPr>
        <w:pStyle w:val="43"/>
        <w:adjustRightInd w:val="0"/>
        <w:snapToGrid w:val="0"/>
        <w:spacing w:line="400" w:lineRule="atLeast"/>
        <w:ind w:firstLine="438" w:firstLineChars="197"/>
        <w:rPr>
          <w:rFonts w:hAnsi="宋体"/>
          <w:color w:val="auto"/>
          <w:sz w:val="22"/>
          <w:szCs w:val="22"/>
          <w:highlight w:val="none"/>
        </w:rPr>
      </w:pPr>
      <w:r>
        <w:rPr>
          <w:rFonts w:hint="eastAsia" w:hAnsi="宋体"/>
          <w:color w:val="auto"/>
          <w:sz w:val="22"/>
          <w:szCs w:val="22"/>
          <w:highlight w:val="none"/>
        </w:rPr>
        <w:t>评标结束后，评标委员会按照招标文件确定的评标办法推荐中标供应商。</w:t>
      </w:r>
    </w:p>
    <w:p>
      <w:pPr>
        <w:pStyle w:val="43"/>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中标通知书</w:t>
      </w:r>
    </w:p>
    <w:p>
      <w:pPr>
        <w:spacing w:line="400" w:lineRule="exact"/>
        <w:ind w:firstLine="438" w:firstLineChars="197"/>
        <w:rPr>
          <w:rFonts w:ascii="宋体"/>
          <w:color w:val="auto"/>
          <w:sz w:val="22"/>
          <w:szCs w:val="22"/>
          <w:highlight w:val="none"/>
        </w:rPr>
      </w:pPr>
      <w:r>
        <w:rPr>
          <w:rFonts w:ascii="宋体"/>
          <w:color w:val="auto"/>
          <w:sz w:val="22"/>
          <w:szCs w:val="22"/>
          <w:highlight w:val="none"/>
        </w:rPr>
        <w:t xml:space="preserve">2.1 </w:t>
      </w:r>
      <w:r>
        <w:rPr>
          <w:rFonts w:hint="eastAsia" w:ascii="宋体" w:hAnsi="宋体"/>
          <w:color w:val="auto"/>
          <w:sz w:val="22"/>
          <w:highlight w:val="none"/>
        </w:rPr>
        <w:t xml:space="preserve"> 采购人依法确认中标供应商后，代理机构在浙江省政府采购网、泰顺县人民政府县公共资源交易中心网上公示中标供应商名单，公示期限为</w:t>
      </w:r>
      <w:r>
        <w:rPr>
          <w:rFonts w:ascii="宋体" w:hAnsi="宋体"/>
          <w:color w:val="auto"/>
          <w:sz w:val="22"/>
          <w:highlight w:val="none"/>
        </w:rPr>
        <w:t>1</w:t>
      </w:r>
      <w:r>
        <w:rPr>
          <w:rFonts w:hint="eastAsia" w:ascii="宋体" w:hAnsi="宋体"/>
          <w:color w:val="auto"/>
          <w:sz w:val="22"/>
          <w:highlight w:val="none"/>
        </w:rPr>
        <w:t>个工作日。同时向中标供应商发出中标通知书。</w:t>
      </w:r>
    </w:p>
    <w:p>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2.2 </w:t>
      </w:r>
      <w:r>
        <w:rPr>
          <w:rFonts w:hint="eastAsia" w:ascii="宋体"/>
          <w:color w:val="auto"/>
          <w:sz w:val="22"/>
          <w:szCs w:val="22"/>
          <w:highlight w:val="none"/>
        </w:rPr>
        <w:t>中标通知书对采购人和中标供应商具有法律约束力。中标通知书发出后，采购人改变中标结果或者中标供应商放弃中标的，应当承担法律责任。</w:t>
      </w:r>
    </w:p>
    <w:p>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2.3 </w:t>
      </w:r>
      <w:r>
        <w:rPr>
          <w:rFonts w:hint="eastAsia" w:ascii="宋体"/>
          <w:color w:val="auto"/>
          <w:sz w:val="22"/>
          <w:szCs w:val="22"/>
          <w:highlight w:val="none"/>
        </w:rPr>
        <w:t>中标无效</w:t>
      </w:r>
    </w:p>
    <w:p>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）发现中标供应商资格无效或中标供应商放弃中标或拒绝与采购人签订合同的，</w:t>
      </w:r>
      <w:r>
        <w:rPr>
          <w:rFonts w:hint="eastAsia" w:ascii="宋体" w:hAnsi="宋体" w:cs="宋体"/>
          <w:color w:val="auto"/>
          <w:sz w:val="22"/>
          <w:highlight w:val="none"/>
        </w:rPr>
        <w:t>按相关法律法规规定执行，原则上重新开展政府采购活动</w:t>
      </w:r>
      <w:r>
        <w:rPr>
          <w:rFonts w:hint="eastAsia" w:ascii="宋体"/>
          <w:color w:val="auto"/>
          <w:sz w:val="22"/>
          <w:szCs w:val="22"/>
          <w:highlight w:val="none"/>
        </w:rPr>
        <w:t>。</w:t>
      </w:r>
      <w:r>
        <w:rPr>
          <w:rFonts w:ascii="宋体"/>
          <w:color w:val="auto"/>
          <w:sz w:val="22"/>
          <w:szCs w:val="22"/>
          <w:highlight w:val="none"/>
        </w:rPr>
        <w:br w:type="textWrapping"/>
      </w:r>
      <w:r>
        <w:rPr>
          <w:rFonts w:ascii="宋体"/>
          <w:color w:val="auto"/>
          <w:sz w:val="22"/>
          <w:szCs w:val="22"/>
          <w:highlight w:val="none"/>
        </w:rPr>
        <w:t xml:space="preserve">    2</w:t>
      </w:r>
      <w:r>
        <w:rPr>
          <w:rFonts w:hint="eastAsia" w:ascii="宋体"/>
          <w:color w:val="auto"/>
          <w:sz w:val="22"/>
          <w:szCs w:val="22"/>
          <w:highlight w:val="none"/>
        </w:rPr>
        <w:t>）有《中华人民共和国政府采购法实施条例》第七十一条、第七十二条、第七十三条、第七十四条规定的违法行为之一，由政府采购监管部门依法处理。</w:t>
      </w:r>
    </w:p>
    <w:p>
      <w:pPr>
        <w:adjustRightInd w:val="0"/>
        <w:snapToGrid w:val="0"/>
        <w:spacing w:line="400" w:lineRule="atLeast"/>
        <w:ind w:firstLine="438" w:firstLineChars="197"/>
        <w:rPr>
          <w:color w:val="auto"/>
          <w:sz w:val="22"/>
          <w:szCs w:val="22"/>
          <w:highlight w:val="none"/>
        </w:rPr>
      </w:pPr>
      <w:r>
        <w:rPr>
          <w:color w:val="auto"/>
          <w:sz w:val="22"/>
          <w:szCs w:val="22"/>
          <w:highlight w:val="none"/>
        </w:rPr>
        <w:t>4.</w:t>
      </w:r>
      <w:r>
        <w:rPr>
          <w:rFonts w:hint="eastAsia"/>
          <w:color w:val="auto"/>
          <w:sz w:val="22"/>
          <w:szCs w:val="22"/>
          <w:highlight w:val="none"/>
        </w:rPr>
        <w:t>签订合同</w:t>
      </w:r>
    </w:p>
    <w:p>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4.1 </w:t>
      </w:r>
      <w:r>
        <w:rPr>
          <w:rFonts w:hint="eastAsia" w:ascii="宋体"/>
          <w:color w:val="auto"/>
          <w:sz w:val="22"/>
          <w:szCs w:val="22"/>
          <w:highlight w:val="none"/>
        </w:rPr>
        <w:t>中标供应商须主动联系采购人或采购机构领取中标通知书。中标供应商应当在中标通知书发出之日起</w:t>
      </w:r>
      <w:r>
        <w:rPr>
          <w:rFonts w:ascii="宋体"/>
          <w:color w:val="auto"/>
          <w:sz w:val="22"/>
          <w:szCs w:val="22"/>
          <w:highlight w:val="none"/>
        </w:rPr>
        <w:t>30</w:t>
      </w:r>
      <w:r>
        <w:rPr>
          <w:rFonts w:hint="eastAsia" w:ascii="宋体"/>
          <w:color w:val="auto"/>
          <w:sz w:val="22"/>
          <w:szCs w:val="22"/>
          <w:highlight w:val="none"/>
        </w:rPr>
        <w:t>日内与采购人签订合同。中标供应商未经采购人许可，在规定时间内未到采购人处与采购人签订合同，则视为拒签合同。</w:t>
      </w:r>
    </w:p>
    <w:p>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4.2 </w:t>
      </w:r>
      <w:r>
        <w:rPr>
          <w:rFonts w:hint="eastAsia" w:ascii="宋体"/>
          <w:color w:val="auto"/>
          <w:sz w:val="22"/>
          <w:szCs w:val="22"/>
          <w:highlight w:val="none"/>
        </w:rPr>
        <w:t>招标文件、中标供应商的投标文件及投标修改文件、评标过程中有关澄清文件及经双方签字的询标纪要（承诺）和中标通知书均作为合同附件。</w:t>
      </w:r>
    </w:p>
    <w:p>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拒签合同的责任</w:t>
      </w:r>
    </w:p>
    <w:p>
      <w:pPr>
        <w:pStyle w:val="43"/>
        <w:adjustRightInd w:val="0"/>
        <w:snapToGrid w:val="0"/>
        <w:spacing w:line="400" w:lineRule="atLeast"/>
        <w:ind w:firstLine="438" w:firstLineChars="197"/>
        <w:rPr>
          <w:rFonts w:hAnsi="宋体"/>
          <w:color w:val="auto"/>
          <w:sz w:val="22"/>
          <w:szCs w:val="22"/>
          <w:highlight w:val="none"/>
        </w:rPr>
      </w:pPr>
      <w:r>
        <w:rPr>
          <w:rFonts w:hint="eastAsia"/>
          <w:color w:val="auto"/>
          <w:sz w:val="22"/>
          <w:szCs w:val="22"/>
          <w:highlight w:val="none"/>
        </w:rPr>
        <w:t>中标供应商在规定时间内（</w:t>
      </w:r>
      <w:r>
        <w:rPr>
          <w:color w:val="auto"/>
          <w:sz w:val="22"/>
          <w:szCs w:val="22"/>
          <w:highlight w:val="none"/>
        </w:rPr>
        <w:t>30</w:t>
      </w:r>
      <w:r>
        <w:rPr>
          <w:rFonts w:hint="eastAsia"/>
          <w:color w:val="auto"/>
          <w:sz w:val="22"/>
          <w:szCs w:val="22"/>
          <w:highlight w:val="none"/>
        </w:rPr>
        <w:t>日历天）借故否认已经承诺的条件、拒签合同者，以投标违约处理，并赔偿采购人由此造成的直接经济损失；采购人重新组织招标的，所需费用由原中标供应商承担。</w:t>
      </w:r>
    </w:p>
    <w:p>
      <w:pPr>
        <w:pStyle w:val="43"/>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履约保证金</w:t>
      </w:r>
    </w:p>
    <w:p>
      <w:pPr>
        <w:pStyle w:val="43"/>
        <w:spacing w:line="400" w:lineRule="atLeast"/>
        <w:ind w:firstLine="468" w:firstLineChars="210"/>
        <w:rPr>
          <w:rFonts w:hAnsi="宋体" w:cs="Arial"/>
          <w:color w:val="auto"/>
          <w:sz w:val="22"/>
          <w:szCs w:val="22"/>
          <w:highlight w:val="none"/>
        </w:rPr>
      </w:pPr>
      <w:r>
        <w:rPr>
          <w:rFonts w:hint="eastAsia" w:hAnsi="宋体" w:cs="宋体"/>
          <w:color w:val="auto"/>
          <w:sz w:val="22"/>
          <w:highlight w:val="none"/>
        </w:rPr>
        <w:t>合同签订前，中标（成交）供应商须提供合同金额1%的履约保证金至采购人账户（以转账或者金融机构、担保机构出具的保函等非现金形式提交）</w:t>
      </w:r>
      <w:r>
        <w:rPr>
          <w:rFonts w:hint="eastAsia"/>
          <w:color w:val="auto"/>
          <w:sz w:val="22"/>
          <w:szCs w:val="22"/>
          <w:highlight w:val="none"/>
        </w:rPr>
        <w:t>。</w:t>
      </w:r>
    </w:p>
    <w:p>
      <w:pPr>
        <w:adjustRightInd w:val="0"/>
        <w:snapToGrid w:val="0"/>
        <w:spacing w:line="400" w:lineRule="exact"/>
        <w:ind w:firstLine="446" w:firstLineChars="200"/>
        <w:jc w:val="left"/>
        <w:rPr>
          <w:rFonts w:ascii="宋体"/>
          <w:b/>
          <w:bCs/>
          <w:color w:val="auto"/>
          <w:sz w:val="22"/>
          <w:highlight w:val="none"/>
        </w:rPr>
      </w:pPr>
      <w:r>
        <w:rPr>
          <w:rFonts w:hint="eastAsia" w:ascii="宋体" w:hAnsi="宋体"/>
          <w:b/>
          <w:bCs/>
          <w:color w:val="auto"/>
          <w:sz w:val="22"/>
          <w:highlight w:val="none"/>
        </w:rPr>
        <w:t>七、投诉质疑</w:t>
      </w:r>
    </w:p>
    <w:p>
      <w:pPr>
        <w:pStyle w:val="44"/>
        <w:snapToGrid w:val="0"/>
        <w:spacing w:line="400" w:lineRule="exact"/>
        <w:ind w:firstLine="448"/>
        <w:rPr>
          <w:rFonts w:asci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w:t>
      </w:r>
      <w:r>
        <w:rPr>
          <w:rFonts w:ascii="宋体" w:hAnsi="宋体" w:cs="宋体"/>
          <w:color w:val="auto"/>
          <w:sz w:val="22"/>
          <w:szCs w:val="22"/>
          <w:highlight w:val="none"/>
        </w:rPr>
        <w:t>94</w:t>
      </w:r>
      <w:r>
        <w:rPr>
          <w:rFonts w:hint="eastAsia" w:ascii="宋体" w:hAnsi="宋体" w:cs="宋体"/>
          <w:color w:val="auto"/>
          <w:sz w:val="22"/>
          <w:szCs w:val="22"/>
          <w:highlight w:val="none"/>
        </w:rPr>
        <w:t>号）、《财政部关于加强政府采购供应商投诉受理审查工作的通知》</w:t>
      </w:r>
      <w:r>
        <w:rPr>
          <w:rFonts w:ascii="宋体" w:hAnsi="宋体" w:cs="宋体"/>
          <w:color w:val="auto"/>
          <w:sz w:val="22"/>
          <w:szCs w:val="22"/>
          <w:highlight w:val="none"/>
        </w:rPr>
        <w:t>(</w:t>
      </w:r>
      <w:r>
        <w:rPr>
          <w:rFonts w:hint="eastAsia" w:ascii="宋体" w:hAnsi="宋体" w:cs="宋体"/>
          <w:color w:val="auto"/>
          <w:sz w:val="22"/>
          <w:szCs w:val="22"/>
          <w:highlight w:val="none"/>
        </w:rPr>
        <w:t>财库〔</w:t>
      </w:r>
      <w:r>
        <w:rPr>
          <w:rFonts w:ascii="宋体" w:hAnsi="宋体" w:cs="宋体"/>
          <w:color w:val="auto"/>
          <w:sz w:val="22"/>
          <w:szCs w:val="22"/>
          <w:highlight w:val="none"/>
        </w:rPr>
        <w:t>2007</w:t>
      </w: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号</w:t>
      </w:r>
      <w:r>
        <w:rPr>
          <w:rFonts w:ascii="宋体" w:hAnsi="宋体" w:cs="宋体"/>
          <w:color w:val="auto"/>
          <w:sz w:val="22"/>
          <w:szCs w:val="22"/>
          <w:highlight w:val="none"/>
        </w:rPr>
        <w:t>)</w:t>
      </w:r>
      <w:r>
        <w:rPr>
          <w:rFonts w:hint="eastAsia" w:ascii="宋体" w:hAnsi="宋体" w:cs="宋体"/>
          <w:color w:val="auto"/>
          <w:sz w:val="22"/>
          <w:szCs w:val="22"/>
          <w:highlight w:val="none"/>
        </w:rPr>
        <w:t>的规定，政府采购供应商可以依法提起质疑和投诉。</w:t>
      </w:r>
    </w:p>
    <w:p>
      <w:pPr>
        <w:pStyle w:val="44"/>
        <w:spacing w:line="400" w:lineRule="exact"/>
        <w:ind w:firstLine="0" w:firstLineChars="0"/>
        <w:rPr>
          <w:rFonts w:ascii="宋体" w:cs="宋体"/>
          <w:b/>
          <w:color w:val="auto"/>
          <w:sz w:val="22"/>
          <w:szCs w:val="22"/>
          <w:highlight w:val="none"/>
        </w:rPr>
      </w:pPr>
      <w:r>
        <w:rPr>
          <w:rFonts w:ascii="宋体" w:hAnsi="宋体" w:cs="宋体"/>
          <w:b/>
          <w:color w:val="auto"/>
          <w:sz w:val="22"/>
          <w:szCs w:val="22"/>
          <w:highlight w:val="none"/>
        </w:rPr>
        <w:t>1.</w:t>
      </w:r>
      <w:r>
        <w:rPr>
          <w:rFonts w:hint="eastAsia" w:ascii="宋体" w:hAnsi="宋体" w:cs="宋体"/>
          <w:b/>
          <w:color w:val="auto"/>
          <w:sz w:val="22"/>
          <w:szCs w:val="22"/>
          <w:highlight w:val="none"/>
        </w:rPr>
        <w:t>供应商询问</w:t>
      </w:r>
    </w:p>
    <w:p>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供应商对政府采购活动事项有疑问的，可以向采购机构提出询问，采购机构将对供应商依法提出的询问作出答复，但答复的内容不得涉及商业秘密。</w:t>
      </w:r>
    </w:p>
    <w:p>
      <w:pPr>
        <w:pStyle w:val="44"/>
        <w:spacing w:line="400" w:lineRule="exact"/>
        <w:ind w:firstLine="0" w:firstLineChars="0"/>
        <w:rPr>
          <w:rFonts w:ascii="宋体" w:cs="宋体"/>
          <w:b/>
          <w:color w:val="auto"/>
          <w:sz w:val="22"/>
          <w:szCs w:val="22"/>
          <w:highlight w:val="none"/>
        </w:rPr>
      </w:pPr>
      <w:r>
        <w:rPr>
          <w:rFonts w:ascii="宋体" w:hAnsi="宋体" w:cs="宋体"/>
          <w:b/>
          <w:color w:val="auto"/>
          <w:sz w:val="22"/>
          <w:szCs w:val="22"/>
          <w:highlight w:val="none"/>
        </w:rPr>
        <w:t>2.</w:t>
      </w:r>
      <w:r>
        <w:rPr>
          <w:rFonts w:hint="eastAsia" w:ascii="宋体" w:hAnsi="宋体" w:cs="宋体"/>
          <w:b/>
          <w:color w:val="auto"/>
          <w:sz w:val="22"/>
          <w:szCs w:val="22"/>
          <w:highlight w:val="none"/>
        </w:rPr>
        <w:t>供应商质疑</w:t>
      </w:r>
    </w:p>
    <w:p>
      <w:pPr>
        <w:pStyle w:val="43"/>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2.1</w:t>
      </w:r>
      <w:r>
        <w:rPr>
          <w:rFonts w:hint="eastAsia" w:hAnsi="宋体" w:cs="宋体"/>
          <w:color w:val="auto"/>
          <w:sz w:val="22"/>
          <w:szCs w:val="22"/>
          <w:highlight w:val="none"/>
        </w:rPr>
        <w:t>供应商认为招标文件、采购过程和中标、成交结果使自己的权益受到损害的，可以在知道或者应知其权益受到损害之日起七个工作日内，以书面形式向采购人、招标代理机构提出质疑，</w:t>
      </w:r>
      <w:r>
        <w:rPr>
          <w:rFonts w:hint="eastAsia" w:hAnsi="宋体" w:cs="宋体"/>
          <w:color w:val="auto"/>
          <w:sz w:val="22"/>
          <w:szCs w:val="22"/>
          <w:highlight w:val="none"/>
          <w:lang w:val="zh-CN"/>
        </w:rPr>
        <w:t>否则，不予受理：</w:t>
      </w:r>
    </w:p>
    <w:p>
      <w:pPr>
        <w:pStyle w:val="43"/>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）供应商如认为招标公告信息使自身的合法权益受到损害的，应于自招标公告发布之日起七个工作内以书面形式向采购机构提出质疑；</w:t>
      </w:r>
    </w:p>
    <w:p>
      <w:pPr>
        <w:pStyle w:val="43"/>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w:t>
      </w:r>
      <w:r>
        <w:rPr>
          <w:rFonts w:hint="eastAsia" w:hAnsi="宋体" w:cs="宋体"/>
          <w:color w:val="auto"/>
          <w:sz w:val="22"/>
          <w:szCs w:val="22"/>
          <w:highlight w:val="none"/>
          <w:lang w:val="zh-CN"/>
        </w:rPr>
        <w:t>对招标文件提出质疑的，质疑期限为供应商获得招标文件之日或者招标文件公告期限届满之日（即供应商</w:t>
      </w:r>
      <w:r>
        <w:rPr>
          <w:rFonts w:hint="eastAsia" w:hAnsi="宋体" w:cs="宋体"/>
          <w:color w:val="auto"/>
          <w:sz w:val="22"/>
          <w:szCs w:val="22"/>
          <w:highlight w:val="none"/>
        </w:rPr>
        <w:t>获取招标文件</w:t>
      </w:r>
      <w:r>
        <w:rPr>
          <w:rFonts w:hint="eastAsia" w:hAnsi="宋体" w:cs="宋体"/>
          <w:color w:val="auto"/>
          <w:sz w:val="22"/>
          <w:szCs w:val="22"/>
          <w:highlight w:val="none"/>
          <w:lang w:val="zh-CN"/>
        </w:rPr>
        <w:t>截止之日）起计算，但招标文件在获取招标文件截止之日后获得的，应当自截止之日起计算，且应当在采购响应截止时间之前提出。</w:t>
      </w:r>
      <w:r>
        <w:rPr>
          <w:rFonts w:hint="eastAsia" w:hAnsi="宋体" w:cs="宋体"/>
          <w:color w:val="auto"/>
          <w:sz w:val="22"/>
          <w:szCs w:val="22"/>
          <w:highlight w:val="none"/>
        </w:rPr>
        <w:t>；</w:t>
      </w:r>
    </w:p>
    <w:p>
      <w:pPr>
        <w:autoSpaceDE w:val="0"/>
        <w:autoSpaceDN w:val="0"/>
        <w:spacing w:line="400" w:lineRule="exact"/>
        <w:jc w:val="left"/>
        <w:rPr>
          <w:rFonts w:ascii="宋体" w:cs="宋体"/>
          <w:color w:val="auto"/>
          <w:kern w:val="0"/>
          <w:sz w:val="22"/>
          <w:highlight w:val="none"/>
          <w:lang w:val="zh-CN"/>
        </w:rPr>
      </w:pPr>
      <w:r>
        <w:rPr>
          <w:rFonts w:ascii="宋体" w:hAnsi="宋体" w:cs="宋体"/>
          <w:color w:val="auto"/>
          <w:sz w:val="22"/>
          <w:highlight w:val="none"/>
        </w:rPr>
        <w:t xml:space="preserve">   </w:t>
      </w:r>
      <w:r>
        <w:rPr>
          <w:rFonts w:hint="eastAsia" w:ascii="宋体" w:hAnsi="宋体" w:cs="宋体"/>
          <w:color w:val="auto"/>
          <w:sz w:val="22"/>
          <w:highlight w:val="none"/>
        </w:rPr>
        <w:t>（</w:t>
      </w:r>
      <w:r>
        <w:rPr>
          <w:rFonts w:ascii="宋体" w:hAnsi="宋体" w:cs="宋体"/>
          <w:color w:val="auto"/>
          <w:sz w:val="22"/>
          <w:highlight w:val="none"/>
        </w:rPr>
        <w:t>3</w:t>
      </w:r>
      <w:r>
        <w:rPr>
          <w:rFonts w:hint="eastAsia" w:ascii="宋体" w:hAnsi="宋体" w:cs="宋体"/>
          <w:color w:val="auto"/>
          <w:sz w:val="22"/>
          <w:highlight w:val="none"/>
        </w:rPr>
        <w:t>）</w:t>
      </w:r>
      <w:r>
        <w:rPr>
          <w:rFonts w:hint="eastAsia" w:ascii="宋体" w:hAnsi="宋体" w:cs="宋体"/>
          <w:color w:val="auto"/>
          <w:kern w:val="0"/>
          <w:sz w:val="22"/>
          <w:highlight w:val="none"/>
          <w:lang w:val="zh-CN"/>
        </w:rPr>
        <w:t>对采购过程提出质疑的，质疑期限为各采购程序环节结束之日起计算。</w:t>
      </w:r>
    </w:p>
    <w:p>
      <w:pPr>
        <w:pStyle w:val="43"/>
        <w:spacing w:line="400" w:lineRule="exact"/>
        <w:rPr>
          <w:rFonts w:hAnsi="宋体" w:cs="宋体"/>
          <w:color w:val="auto"/>
          <w:sz w:val="22"/>
          <w:szCs w:val="22"/>
          <w:highlight w:val="none"/>
        </w:rPr>
      </w:pPr>
      <w:r>
        <w:rPr>
          <w:rFonts w:hAnsi="宋体" w:cs="宋体"/>
          <w:color w:val="auto"/>
          <w:sz w:val="22"/>
          <w:szCs w:val="22"/>
          <w:highlight w:val="none"/>
          <w:lang w:val="zh-CN"/>
        </w:rPr>
        <w:t xml:space="preserve">   </w:t>
      </w:r>
      <w:r>
        <w:rPr>
          <w:rFonts w:hint="eastAsia" w:hAnsi="宋体" w:cs="宋体"/>
          <w:color w:val="auto"/>
          <w:sz w:val="22"/>
          <w:szCs w:val="22"/>
          <w:highlight w:val="none"/>
          <w:lang w:val="zh-CN"/>
        </w:rPr>
        <w:t>（</w:t>
      </w:r>
      <w:r>
        <w:rPr>
          <w:rFonts w:hAnsi="宋体" w:cs="宋体"/>
          <w:color w:val="auto"/>
          <w:sz w:val="22"/>
          <w:szCs w:val="22"/>
          <w:highlight w:val="none"/>
          <w:lang w:val="zh-CN"/>
        </w:rPr>
        <w:t>4</w:t>
      </w:r>
      <w:r>
        <w:rPr>
          <w:rFonts w:hint="eastAsia" w:hAnsi="宋体" w:cs="宋体"/>
          <w:color w:val="auto"/>
          <w:sz w:val="22"/>
          <w:szCs w:val="22"/>
          <w:highlight w:val="none"/>
          <w:lang w:val="zh-CN"/>
        </w:rPr>
        <w:t>）对采购结果提出质疑的，质疑期限自采购结果公告（包括公示、预公告、结果变更公告等）期限届满之日起计算。</w:t>
      </w:r>
    </w:p>
    <w:p>
      <w:pPr>
        <w:pStyle w:val="43"/>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2.2</w:t>
      </w:r>
      <w:r>
        <w:rPr>
          <w:rFonts w:hint="eastAsia" w:hAnsi="宋体" w:cs="宋体"/>
          <w:color w:val="auto"/>
          <w:sz w:val="22"/>
          <w:szCs w:val="22"/>
          <w:highlight w:val="none"/>
        </w:rPr>
        <w:t>供应商提交的质疑书需一式三份，由法定代表人签字（或盖章）并加盖单位公章。质疑书至少应包括下列主要内容：</w:t>
      </w:r>
    </w:p>
    <w:p>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）供应商的名称、地址、邮政编码、联系人、联系电话；</w:t>
      </w:r>
    </w:p>
    <w:p>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）质疑项目的名称、编号；</w:t>
      </w:r>
    </w:p>
    <w:p>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3</w:t>
      </w:r>
      <w:r>
        <w:rPr>
          <w:rFonts w:hint="eastAsia" w:hAnsi="宋体" w:cs="宋体"/>
          <w:color w:val="auto"/>
          <w:sz w:val="22"/>
          <w:szCs w:val="22"/>
          <w:highlight w:val="none"/>
        </w:rPr>
        <w:t>）具体、明确的质疑事项和与质疑事项相关的请求；</w:t>
      </w:r>
    </w:p>
    <w:p>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4</w:t>
      </w:r>
      <w:r>
        <w:rPr>
          <w:rFonts w:hint="eastAsia" w:hAnsi="宋体" w:cs="宋体"/>
          <w:color w:val="auto"/>
          <w:sz w:val="22"/>
          <w:szCs w:val="22"/>
          <w:highlight w:val="none"/>
        </w:rPr>
        <w:t>）事实依据；</w:t>
      </w:r>
    </w:p>
    <w:p>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5</w:t>
      </w:r>
      <w:r>
        <w:rPr>
          <w:rFonts w:hint="eastAsia" w:hAnsi="宋体" w:cs="宋体"/>
          <w:color w:val="auto"/>
          <w:sz w:val="22"/>
          <w:szCs w:val="22"/>
          <w:highlight w:val="none"/>
        </w:rPr>
        <w:t>）必要的法律依据；</w:t>
      </w:r>
    </w:p>
    <w:p>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6</w:t>
      </w:r>
      <w:r>
        <w:rPr>
          <w:rFonts w:hint="eastAsia" w:hAnsi="宋体" w:cs="宋体"/>
          <w:color w:val="auto"/>
          <w:sz w:val="22"/>
          <w:szCs w:val="22"/>
          <w:highlight w:val="none"/>
        </w:rPr>
        <w:t>）提出质疑的日期。</w:t>
      </w:r>
    </w:p>
    <w:p>
      <w:pPr>
        <w:pStyle w:val="43"/>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pPr>
        <w:pStyle w:val="43"/>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2.3</w:t>
      </w:r>
      <w:r>
        <w:rPr>
          <w:rFonts w:hint="eastAsia" w:hAnsi="宋体" w:cs="宋体"/>
          <w:color w:val="auto"/>
          <w:sz w:val="22"/>
          <w:szCs w:val="22"/>
          <w:highlight w:val="none"/>
        </w:rPr>
        <w:t>采购人、招标代理机构应当在收到供应商的书面质疑后七个工作日内作出答复，并以书面形式通知质疑供应商和其他有关供应商，但答复的内容不得涉及商业秘密。</w:t>
      </w:r>
    </w:p>
    <w:p>
      <w:pPr>
        <w:pStyle w:val="44"/>
        <w:spacing w:line="400" w:lineRule="exact"/>
        <w:ind w:firstLine="0" w:firstLineChars="0"/>
        <w:rPr>
          <w:rFonts w:ascii="宋体" w:cs="宋体"/>
          <w:b/>
          <w:color w:val="auto"/>
          <w:sz w:val="22"/>
          <w:szCs w:val="22"/>
          <w:highlight w:val="none"/>
        </w:rPr>
      </w:pPr>
      <w:r>
        <w:rPr>
          <w:rFonts w:ascii="宋体" w:hAnsi="宋体" w:cs="宋体"/>
          <w:b/>
          <w:color w:val="auto"/>
          <w:sz w:val="22"/>
          <w:szCs w:val="22"/>
          <w:highlight w:val="none"/>
        </w:rPr>
        <w:t>3.</w:t>
      </w:r>
      <w:r>
        <w:rPr>
          <w:rFonts w:hint="eastAsia" w:ascii="宋体" w:hAnsi="宋体" w:cs="宋体"/>
          <w:b/>
          <w:color w:val="auto"/>
          <w:sz w:val="22"/>
          <w:szCs w:val="22"/>
          <w:highlight w:val="none"/>
        </w:rPr>
        <w:t>供应商投诉</w:t>
      </w:r>
    </w:p>
    <w:p>
      <w:pPr>
        <w:pStyle w:val="43"/>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3.1</w:t>
      </w:r>
      <w:r>
        <w:rPr>
          <w:rFonts w:hint="eastAsia" w:hAnsi="宋体" w:cs="宋体"/>
          <w:color w:val="auto"/>
          <w:sz w:val="22"/>
          <w:szCs w:val="22"/>
          <w:highlight w:val="none"/>
        </w:rPr>
        <w:t>供应商投诉应当提交投诉书和必要的证明材料。供应商投诉的事项不得超出已质疑事项的范围（基于质疑答复内容提出的投诉事项除外）。</w:t>
      </w:r>
    </w:p>
    <w:p>
      <w:pPr>
        <w:pStyle w:val="12"/>
        <w:ind w:left="428" w:firstLine="448"/>
        <w:rPr>
          <w:rFonts w:ascii="宋体" w:hAnsi="宋体"/>
          <w:color w:val="auto"/>
          <w:highlight w:val="none"/>
        </w:rPr>
      </w:pPr>
      <w:r>
        <w:rPr>
          <w:rFonts w:hAnsi="宋体" w:cs="宋体"/>
          <w:color w:val="auto"/>
          <w:sz w:val="22"/>
          <w:szCs w:val="22"/>
          <w:highlight w:val="none"/>
        </w:rPr>
        <w:t>3.2</w:t>
      </w:r>
      <w:r>
        <w:rPr>
          <w:rFonts w:hint="eastAsia" w:hAnsi="宋体" w:cs="宋体"/>
          <w:color w:val="auto"/>
          <w:sz w:val="22"/>
          <w:szCs w:val="22"/>
          <w:highlight w:val="none"/>
        </w:rPr>
        <w:t>质疑供应商对采购人、招标代理机构的答复不满意或者采购人、招标代理机构未在规定的时间内作出答复的，可以在答复期满后十五个工作日内向同级财政部门提出投诉。</w:t>
      </w:r>
      <w:r>
        <w:rPr>
          <w:rFonts w:hint="eastAsia" w:hAnsi="宋体" w:cs="宋体"/>
          <w:color w:val="auto"/>
          <w:sz w:val="22"/>
          <w:szCs w:val="22"/>
          <w:highlight w:val="none"/>
        </w:rPr>
        <w:br w:type="textWrapping"/>
      </w:r>
      <w:r>
        <w:rPr>
          <w:rFonts w:hint="eastAsia" w:ascii="宋体" w:hAnsi="宋体"/>
          <w:color w:val="auto"/>
          <w:highlight w:val="none"/>
        </w:rPr>
        <w:t>质疑函范本：</w:t>
      </w:r>
    </w:p>
    <w:p>
      <w:pPr>
        <w:pStyle w:val="12"/>
        <w:ind w:left="428" w:firstLine="428"/>
        <w:rPr>
          <w:rFonts w:ascii="宋体" w:hAnsi="宋体"/>
          <w:color w:val="auto"/>
          <w:highlight w:val="none"/>
        </w:rPr>
      </w:pPr>
      <w:r>
        <w:rPr>
          <w:rFonts w:hint="eastAsia" w:ascii="宋体" w:hAnsi="宋体"/>
          <w:color w:val="auto"/>
          <w:highlight w:val="none"/>
        </w:rPr>
        <w:drawing>
          <wp:inline distT="0" distB="0" distL="114300" distR="114300">
            <wp:extent cx="922020" cy="826770"/>
            <wp:effectExtent l="0" t="0" r="508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922020" cy="826770"/>
                    </a:xfrm>
                    <a:prstGeom prst="rect">
                      <a:avLst/>
                    </a:prstGeom>
                    <a:noFill/>
                    <a:ln>
                      <a:noFill/>
                    </a:ln>
                  </pic:spPr>
                </pic:pic>
              </a:graphicData>
            </a:graphic>
          </wp:inline>
        </w:drawing>
      </w:r>
    </w:p>
    <w:p>
      <w:pPr>
        <w:pStyle w:val="12"/>
        <w:ind w:left="428" w:firstLine="428"/>
        <w:rPr>
          <w:rFonts w:ascii="宋体" w:hAnsi="宋体"/>
          <w:color w:val="auto"/>
          <w:highlight w:val="none"/>
        </w:rPr>
      </w:pPr>
      <w:r>
        <w:rPr>
          <w:rFonts w:hint="eastAsia" w:ascii="宋体" w:hAnsi="宋体"/>
          <w:color w:val="auto"/>
          <w:highlight w:val="none"/>
        </w:rPr>
        <w:t>投诉书范本：</w:t>
      </w:r>
      <w:r>
        <w:rPr>
          <w:rFonts w:hint="eastAsia" w:ascii="宋体" w:hAnsi="宋体"/>
          <w:color w:val="auto"/>
          <w:highlight w:val="none"/>
        </w:rPr>
        <w:object>
          <v:shape id="_x0000_i1025" o:spt="75" type="#_x0000_t75" style="height:65.25pt;width:72.75pt;" o:ole="t" filled="f" o:preferrelative="t" stroked="f" coordsize="21600,21600">
            <v:path/>
            <v:fill on="f" focussize="0,0"/>
            <v:stroke on="f" joinstyle="miter"/>
            <v:imagedata r:id="rId17" o:title=""/>
            <o:lock v:ext="edit" aspectratio="t"/>
            <w10:wrap type="none"/>
            <w10:anchorlock/>
          </v:shape>
          <o:OLEObject Type="Embed" ProgID="Word.Document.8" ShapeID="_x0000_i1025" DrawAspect="Icon" ObjectID="_1468075725" r:id="rId16">
            <o:LockedField>false</o:LockedField>
          </o:OLEObject>
        </w:object>
      </w:r>
    </w:p>
    <w:p>
      <w:pPr>
        <w:pStyle w:val="43"/>
        <w:spacing w:line="400" w:lineRule="exact"/>
        <w:ind w:firstLine="446" w:firstLineChars="200"/>
        <w:rPr>
          <w:rFonts w:hAnsi="宋体" w:cs="宋体"/>
          <w:color w:val="auto"/>
          <w:sz w:val="22"/>
          <w:szCs w:val="22"/>
          <w:highlight w:val="none"/>
        </w:rPr>
      </w:pPr>
      <w:r>
        <w:rPr>
          <w:rFonts w:hint="eastAsia" w:hAnsi="宋体" w:cs="宋体"/>
          <w:b/>
          <w:bCs/>
          <w:color w:val="auto"/>
          <w:sz w:val="22"/>
          <w:szCs w:val="22"/>
          <w:highlight w:val="none"/>
        </w:rPr>
        <w:t>4.线上质疑及投诉</w:t>
      </w:r>
    </w:p>
    <w:p>
      <w:pPr>
        <w:pStyle w:val="43"/>
        <w:spacing w:line="400" w:lineRule="exact"/>
        <w:ind w:firstLine="446" w:firstLineChars="200"/>
        <w:rPr>
          <w:rFonts w:hAnsi="宋体" w:cs="宋体"/>
          <w:color w:val="auto"/>
          <w:sz w:val="22"/>
          <w:szCs w:val="22"/>
          <w:highlight w:val="none"/>
        </w:rPr>
      </w:pPr>
      <w:r>
        <w:rPr>
          <w:rFonts w:hint="eastAsia" w:hAnsi="宋体" w:cs="宋体"/>
          <w:color w:val="auto"/>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rPr>
          <w:rFonts w:ascii="宋体" w:hAnsi="宋体" w:cs="宋体"/>
          <w:b/>
          <w:color w:val="auto"/>
          <w:sz w:val="32"/>
          <w:szCs w:val="32"/>
          <w:highlight w:val="none"/>
        </w:rPr>
      </w:pPr>
    </w:p>
    <w:p>
      <w:pPr>
        <w:pStyle w:val="43"/>
        <w:spacing w:line="400" w:lineRule="exact"/>
        <w:ind w:firstLine="726" w:firstLineChars="225"/>
        <w:rPr>
          <w:b/>
          <w:bCs/>
          <w:color w:val="auto"/>
          <w:sz w:val="32"/>
          <w:szCs w:val="32"/>
          <w:highlight w:val="none"/>
          <w:lang w:val="zh-CN"/>
        </w:rPr>
      </w:pPr>
    </w:p>
    <w:p>
      <w:pPr>
        <w:jc w:val="center"/>
        <w:rPr>
          <w:rFonts w:ascii="宋体"/>
          <w:b/>
          <w:bCs/>
          <w:color w:val="auto"/>
          <w:sz w:val="32"/>
          <w:szCs w:val="32"/>
          <w:highlight w:val="none"/>
          <w:lang w:val="zh-CN"/>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p>
    <w:p>
      <w:pPr>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pPr>
        <w:tabs>
          <w:tab w:val="left" w:pos="1069"/>
          <w:tab w:val="left" w:pos="2352"/>
        </w:tabs>
        <w:jc w:val="left"/>
        <w:rPr>
          <w:rFonts w:ascii="宋体"/>
          <w:b/>
          <w:bCs/>
          <w:color w:val="auto"/>
          <w:sz w:val="22"/>
          <w:highlight w:val="none"/>
        </w:rPr>
      </w:pPr>
      <w:bookmarkStart w:id="51" w:name="_Toc25899_WPSOffice_Level2"/>
      <w:r>
        <w:rPr>
          <w:rFonts w:hint="eastAsia" w:ascii="宋体"/>
          <w:b/>
          <w:bCs/>
          <w:color w:val="auto"/>
          <w:sz w:val="22"/>
          <w:highlight w:val="none"/>
        </w:rPr>
        <w:t>一、</w:t>
      </w:r>
      <w:bookmarkEnd w:id="51"/>
      <w:r>
        <w:rPr>
          <w:rFonts w:hint="eastAsia" w:ascii="宋体"/>
          <w:b/>
          <w:bCs/>
          <w:color w:val="auto"/>
          <w:sz w:val="22"/>
          <w:highlight w:val="none"/>
        </w:rPr>
        <w:t>中小企业（含监狱企业、残疾人福利性单位）扶持政策说明</w:t>
      </w:r>
    </w:p>
    <w:p>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pPr>
        <w:tabs>
          <w:tab w:val="left" w:pos="1069"/>
          <w:tab w:val="left" w:pos="2352"/>
        </w:tabs>
        <w:spacing w:line="440" w:lineRule="atLeast"/>
        <w:jc w:val="left"/>
        <w:rPr>
          <w:color w:val="auto"/>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r>
        <w:rPr>
          <w:rFonts w:hint="eastAsia" w:ascii="宋体"/>
          <w:color w:val="auto"/>
          <w:sz w:val="22"/>
          <w:highlight w:val="none"/>
        </w:rPr>
        <w:br w:type="textWrapping"/>
      </w:r>
      <w:r>
        <w:rPr>
          <w:rFonts w:hint="eastAsia" w:ascii="宋体"/>
          <w:color w:val="auto"/>
          <w:sz w:val="22"/>
          <w:highlight w:val="none"/>
        </w:rPr>
        <w:t>（6）</w:t>
      </w:r>
      <w:r>
        <w:rPr>
          <w:rFonts w:hint="eastAsia" w:hAnsi="宋体" w:cs="宋体"/>
          <w:color w:val="auto"/>
          <w:sz w:val="22"/>
          <w:highlight w:val="none"/>
        </w:rPr>
        <w:t>《浙江省财政厅关于进一步发挥政府采购政策 功能全力推动经济稳进提质的通知》（浙财采监〔2022〕3号）</w:t>
      </w:r>
      <w:r>
        <w:rPr>
          <w:rFonts w:hint="eastAsia" w:hAnsi="宋体" w:cs="宋体"/>
          <w:color w:val="auto"/>
          <w:sz w:val="22"/>
          <w:highlight w:val="none"/>
        </w:rPr>
        <w:br w:type="textWrapping"/>
      </w:r>
      <w:r>
        <w:rPr>
          <w:rFonts w:hint="eastAsia" w:hAnsi="宋体" w:cs="宋体"/>
          <w:color w:val="auto"/>
          <w:sz w:val="22"/>
          <w:highlight w:val="none"/>
        </w:rPr>
        <w:t>（7）《关于进一步加大政府采购 支持中小企业力度 助力扎实稳住经济 的通知》（浙财采监〔2022〕8号）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2、符合要求应的应提供以下证明材料（</w:t>
      </w:r>
      <w:r>
        <w:rPr>
          <w:rFonts w:hint="eastAsia" w:ascii="宋体"/>
          <w:b/>
          <w:bCs/>
          <w:color w:val="auto"/>
          <w:sz w:val="22"/>
          <w:highlight w:val="none"/>
          <w:u w:val="single"/>
        </w:rPr>
        <w:t>附在《报价文件》中）</w:t>
      </w:r>
      <w:r>
        <w:rPr>
          <w:rFonts w:hint="eastAsia" w:ascii="宋体"/>
          <w:color w:val="auto"/>
          <w:sz w:val="22"/>
          <w:highlight w:val="none"/>
        </w:rPr>
        <w:t>：</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（1）中小企业：中小企业声明函（原件，加盖供应商公章，格式见附件1）</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（2）残疾人福利性单位：残疾人福利性单位声明函（原件，加盖供应商公章，格式见附件1）</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3、扶持政策说明：</w:t>
      </w:r>
    </w:p>
    <w:p>
      <w:pPr>
        <w:tabs>
          <w:tab w:val="left" w:pos="2352"/>
        </w:tabs>
        <w:spacing w:line="440" w:lineRule="atLeast"/>
        <w:jc w:val="left"/>
        <w:rPr>
          <w:rFonts w:ascii="宋体"/>
          <w:b/>
          <w:bCs/>
          <w:color w:val="auto"/>
          <w:sz w:val="22"/>
          <w:highlight w:val="none"/>
          <w:u w:val="single"/>
        </w:rPr>
      </w:pPr>
      <w:r>
        <w:rPr>
          <w:rFonts w:hint="eastAsia" w:ascii="宋体"/>
          <w:b/>
          <w:bCs/>
          <w:color w:val="auto"/>
          <w:sz w:val="22"/>
          <w:highlight w:val="none"/>
          <w:u w:val="single"/>
        </w:rPr>
        <w:t>本项目对小型和微型企业产品的价格给予扣除</w:t>
      </w:r>
      <w:r>
        <w:rPr>
          <w:rFonts w:hint="eastAsia" w:ascii="宋体"/>
          <w:b/>
          <w:bCs/>
          <w:color w:val="auto"/>
          <w:sz w:val="22"/>
          <w:highlight w:val="none"/>
          <w:u w:val="single"/>
          <w:lang w:val="en-US" w:eastAsia="zh-CN"/>
        </w:rPr>
        <w:t>10</w:t>
      </w:r>
      <w:r>
        <w:rPr>
          <w:rFonts w:hint="eastAsia" w:ascii="宋体"/>
          <w:b/>
          <w:bCs/>
          <w:color w:val="auto"/>
          <w:sz w:val="22"/>
          <w:highlight w:val="none"/>
          <w:u w:val="single"/>
        </w:rPr>
        <w:t>%，按扣除后的价格参与评审。残疾人福利性单位、监狱企业参加投标视同小微企业。</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4、本项目所属行业为</w:t>
      </w:r>
      <w:r>
        <w:rPr>
          <w:rFonts w:hint="eastAsia" w:ascii="宋体" w:hAnsi="宋体" w:cs="宋体"/>
          <w:b/>
          <w:bCs/>
          <w:color w:val="auto"/>
          <w:sz w:val="22"/>
          <w:highlight w:val="none"/>
          <w:u w:val="single"/>
        </w:rPr>
        <w:t>其他未列明行业。</w:t>
      </w: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附件1</w:t>
      </w:r>
    </w:p>
    <w:p>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中小企业声明函（服务）</w:t>
      </w:r>
    </w:p>
    <w:p>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（单位名称）</w:t>
      </w:r>
      <w:r>
        <w:rPr>
          <w:rFonts w:ascii="宋体" w:hAnsi="宋体" w:cs="宋体"/>
          <w:color w:val="auto"/>
          <w:sz w:val="22"/>
          <w:highlight w:val="none"/>
        </w:rPr>
        <w:t>的</w:t>
      </w:r>
      <w:r>
        <w:rPr>
          <w:rFonts w:ascii="宋体" w:hAnsi="宋体" w:cs="宋体"/>
          <w:color w:val="auto"/>
          <w:sz w:val="22"/>
          <w:highlight w:val="none"/>
          <w:u w:val="single"/>
        </w:rPr>
        <w:t>（项目名称）</w:t>
      </w:r>
      <w:r>
        <w:rPr>
          <w:rFonts w:ascii="宋体" w:hAnsi="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numPr>
          <w:ilvl w:val="0"/>
          <w:numId w:val="10"/>
        </w:num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u w:val="single"/>
        </w:rPr>
        <w:t>（标的名称）</w:t>
      </w:r>
      <w:r>
        <w:rPr>
          <w:rFonts w:ascii="宋体" w:hAnsi="宋体" w:cs="宋体"/>
          <w:color w:val="auto"/>
          <w:sz w:val="22"/>
          <w:highlight w:val="none"/>
        </w:rPr>
        <w:t xml:space="preserve"> ，属于</w:t>
      </w:r>
      <w:r>
        <w:rPr>
          <w:rFonts w:hint="eastAsia" w:ascii="宋体" w:hAnsi="宋体" w:cs="宋体"/>
          <w:b/>
          <w:bCs/>
          <w:color w:val="auto"/>
          <w:sz w:val="22"/>
          <w:highlight w:val="none"/>
        </w:rPr>
        <w:t>（</w:t>
      </w:r>
      <w:r>
        <w:rPr>
          <w:rFonts w:ascii="宋体" w:hAnsi="宋体" w:cs="宋体"/>
          <w:color w:val="auto"/>
          <w:sz w:val="22"/>
          <w:highlight w:val="none"/>
          <w:u w:val="single"/>
        </w:rPr>
        <w:t>采购文件中明确的所属行业</w:t>
      </w:r>
      <w:r>
        <w:rPr>
          <w:rFonts w:hint="eastAsia" w:ascii="宋体" w:hAnsi="宋体" w:cs="宋体"/>
          <w:b/>
          <w:bCs/>
          <w:color w:val="auto"/>
          <w:sz w:val="22"/>
          <w:highlight w:val="none"/>
        </w:rPr>
        <w:t>）</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日 期：</w:t>
      </w:r>
    </w:p>
    <w:p>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注：</w:t>
      </w:r>
      <w:r>
        <w:rPr>
          <w:rFonts w:ascii="宋体" w:hAnsi="宋体" w:cs="宋体"/>
          <w:color w:val="auto"/>
          <w:sz w:val="22"/>
          <w:highlight w:val="none"/>
        </w:rPr>
        <w:t xml:space="preserve"> 从业人员、营业收入、资产总额填报上一年度数据，无上一年度数据的新成立企业可不填报。</w:t>
      </w: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附件2</w:t>
      </w:r>
    </w:p>
    <w:p>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pPr>
        <w:tabs>
          <w:tab w:val="left" w:pos="2352"/>
        </w:tabs>
        <w:snapToGrid w:val="0"/>
        <w:spacing w:line="360" w:lineRule="auto"/>
        <w:ind w:firstLine="446"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2352"/>
        </w:tabs>
        <w:snapToGrid w:val="0"/>
        <w:spacing w:line="360" w:lineRule="auto"/>
        <w:ind w:firstLine="446" w:firstLineChars="200"/>
        <w:rPr>
          <w:color w:val="auto"/>
          <w:sz w:val="22"/>
          <w:highlight w:val="none"/>
        </w:rPr>
      </w:pPr>
      <w:r>
        <w:rPr>
          <w:rFonts w:hint="eastAsia"/>
          <w:color w:val="auto"/>
          <w:sz w:val="22"/>
          <w:highlight w:val="none"/>
        </w:rPr>
        <w:t>本单位对上述声明的真实性负责。如有虚假，将依法承担相应责任。</w:t>
      </w:r>
    </w:p>
    <w:p>
      <w:pPr>
        <w:tabs>
          <w:tab w:val="left" w:pos="2352"/>
        </w:tabs>
        <w:snapToGrid w:val="0"/>
        <w:spacing w:line="360" w:lineRule="auto"/>
        <w:ind w:firstLine="446" w:firstLineChars="200"/>
        <w:rPr>
          <w:color w:val="auto"/>
          <w:sz w:val="22"/>
          <w:highlight w:val="none"/>
        </w:rPr>
      </w:pPr>
    </w:p>
    <w:p>
      <w:pPr>
        <w:tabs>
          <w:tab w:val="left" w:pos="2352"/>
        </w:tabs>
        <w:snapToGrid w:val="0"/>
        <w:spacing w:line="360" w:lineRule="auto"/>
        <w:ind w:firstLine="446" w:firstLineChars="200"/>
        <w:rPr>
          <w:color w:val="auto"/>
          <w:sz w:val="22"/>
          <w:highlight w:val="none"/>
        </w:rPr>
      </w:pPr>
    </w:p>
    <w:p>
      <w:pPr>
        <w:tabs>
          <w:tab w:val="left" w:pos="2352"/>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单位名称（盖章）：</w:t>
      </w:r>
    </w:p>
    <w:p>
      <w:pPr>
        <w:tabs>
          <w:tab w:val="left" w:pos="2352"/>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日  期：</w:t>
      </w:r>
    </w:p>
    <w:p>
      <w:pPr>
        <w:spacing w:line="440" w:lineRule="atLeast"/>
        <w:jc w:val="left"/>
        <w:rPr>
          <w:rFonts w:ascii="宋体"/>
          <w:b/>
          <w:bCs/>
          <w:color w:val="auto"/>
          <w:sz w:val="22"/>
          <w:szCs w:val="22"/>
          <w:highlight w:val="none"/>
        </w:rPr>
      </w:pPr>
    </w:p>
    <w:p>
      <w:pPr>
        <w:spacing w:line="440" w:lineRule="atLeast"/>
        <w:jc w:val="left"/>
        <w:rPr>
          <w:rFonts w:ascii="宋体"/>
          <w:b/>
          <w:bCs/>
          <w:color w:val="auto"/>
          <w:sz w:val="22"/>
          <w:szCs w:val="22"/>
          <w:highlight w:val="none"/>
        </w:rPr>
      </w:pPr>
    </w:p>
    <w:p>
      <w:pPr>
        <w:spacing w:line="440" w:lineRule="atLeast"/>
        <w:jc w:val="left"/>
        <w:rPr>
          <w:rFonts w:ascii="宋体"/>
          <w:b/>
          <w:bCs/>
          <w:color w:val="auto"/>
          <w:sz w:val="22"/>
          <w:szCs w:val="22"/>
          <w:highlight w:val="none"/>
        </w:rPr>
      </w:pPr>
      <w:r>
        <w:rPr>
          <w:rFonts w:hint="eastAsia" w:ascii="宋体"/>
          <w:b/>
          <w:bCs/>
          <w:color w:val="auto"/>
          <w:sz w:val="22"/>
          <w:szCs w:val="22"/>
          <w:highlight w:val="none"/>
        </w:rPr>
        <w:t>二、节能、环保产品优先（强制）采购政策说明</w:t>
      </w:r>
    </w:p>
    <w:p>
      <w:pPr>
        <w:snapToGrid w:val="0"/>
        <w:spacing w:line="460" w:lineRule="atLeast"/>
        <w:ind w:firstLine="446" w:firstLineChars="200"/>
        <w:rPr>
          <w:rFonts w:ascii="宋体"/>
          <w:color w:val="auto"/>
          <w:sz w:val="22"/>
          <w:szCs w:val="22"/>
          <w:highlight w:val="none"/>
        </w:rPr>
      </w:pPr>
      <w:r>
        <w:rPr>
          <w:rFonts w:ascii="宋体"/>
          <w:color w:val="auto"/>
          <w:sz w:val="22"/>
          <w:szCs w:val="22"/>
          <w:highlight w:val="none"/>
        </w:rPr>
        <w:t>1、政策依据</w:t>
      </w:r>
    </w:p>
    <w:p>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（一）《国务院办公厅关于建立政府强制采购节能产品制度的通知》</w:t>
      </w:r>
      <w:r>
        <w:rPr>
          <w:rFonts w:ascii="宋体"/>
          <w:color w:val="auto"/>
          <w:sz w:val="22"/>
          <w:szCs w:val="22"/>
          <w:highlight w:val="none"/>
        </w:rPr>
        <w:t>(国办发[2007]51号)</w:t>
      </w:r>
    </w:p>
    <w:p>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（二）财政部、发展改革委发布的《节能产品政府采购实施意见》</w:t>
      </w:r>
      <w:r>
        <w:rPr>
          <w:rFonts w:ascii="宋体"/>
          <w:color w:val="auto"/>
          <w:sz w:val="22"/>
          <w:szCs w:val="22"/>
          <w:highlight w:val="none"/>
        </w:rPr>
        <w:t>(财库[2004]185号)</w:t>
      </w:r>
    </w:p>
    <w:p>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（三）财政部、原环保总局印发的《环境标志产品政府采购实施的意见》（财库</w:t>
      </w:r>
      <w:r>
        <w:rPr>
          <w:rFonts w:ascii="宋体"/>
          <w:color w:val="auto"/>
          <w:sz w:val="22"/>
          <w:szCs w:val="22"/>
          <w:highlight w:val="none"/>
        </w:rPr>
        <w:t xml:space="preserve"> [2006]90号）</w:t>
      </w:r>
    </w:p>
    <w:p>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（四）《关于调整优化节能产品、环境标志产品政府采购执行机制的通知》（财库〔</w:t>
      </w:r>
      <w:r>
        <w:rPr>
          <w:rFonts w:ascii="宋体"/>
          <w:color w:val="auto"/>
          <w:sz w:val="22"/>
          <w:szCs w:val="22"/>
          <w:highlight w:val="none"/>
        </w:rPr>
        <w:t>2019〕9号</w:t>
      </w:r>
      <w:r>
        <w:rPr>
          <w:rFonts w:hint="eastAsia" w:ascii="宋体"/>
          <w:color w:val="auto"/>
          <w:sz w:val="22"/>
          <w:szCs w:val="22"/>
          <w:highlight w:val="none"/>
        </w:rPr>
        <w:t>）</w:t>
      </w:r>
    </w:p>
    <w:p>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（五）《关于印发节能产品政府采购品目清单的通知》（财库〔</w:t>
      </w:r>
      <w:r>
        <w:rPr>
          <w:rFonts w:ascii="宋体"/>
          <w:color w:val="auto"/>
          <w:sz w:val="22"/>
          <w:szCs w:val="22"/>
          <w:highlight w:val="none"/>
        </w:rPr>
        <w:t>2019〕1</w:t>
      </w:r>
      <w:r>
        <w:rPr>
          <w:rFonts w:hint="eastAsia" w:ascii="宋体"/>
          <w:color w:val="auto"/>
          <w:sz w:val="22"/>
          <w:szCs w:val="22"/>
          <w:highlight w:val="none"/>
        </w:rPr>
        <w:t>9</w:t>
      </w:r>
      <w:r>
        <w:rPr>
          <w:rFonts w:ascii="宋体"/>
          <w:color w:val="auto"/>
          <w:sz w:val="22"/>
          <w:szCs w:val="22"/>
          <w:highlight w:val="none"/>
        </w:rPr>
        <w:t>号</w:t>
      </w:r>
      <w:r>
        <w:rPr>
          <w:rFonts w:hint="eastAsia" w:ascii="宋体"/>
          <w:color w:val="auto"/>
          <w:sz w:val="22"/>
          <w:szCs w:val="22"/>
          <w:highlight w:val="none"/>
        </w:rPr>
        <w:t>）</w:t>
      </w:r>
    </w:p>
    <w:p>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（六）《关于印发环境标志产品政府采购品目清单的通知》（财库〔</w:t>
      </w:r>
      <w:r>
        <w:rPr>
          <w:rFonts w:ascii="宋体"/>
          <w:color w:val="auto"/>
          <w:sz w:val="22"/>
          <w:szCs w:val="22"/>
          <w:highlight w:val="none"/>
        </w:rPr>
        <w:t>2019〕18号</w:t>
      </w:r>
      <w:r>
        <w:rPr>
          <w:rFonts w:hint="eastAsia" w:ascii="宋体"/>
          <w:color w:val="auto"/>
          <w:sz w:val="22"/>
          <w:szCs w:val="22"/>
          <w:highlight w:val="none"/>
        </w:rPr>
        <w:t>）</w:t>
      </w:r>
    </w:p>
    <w:p>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（七）《市场监管总局关于发布参与实施政府采购节能产品、环境标志产品认证机构名录的公告》（</w:t>
      </w:r>
      <w:r>
        <w:rPr>
          <w:rFonts w:ascii="宋体"/>
          <w:color w:val="auto"/>
          <w:sz w:val="22"/>
          <w:szCs w:val="22"/>
          <w:highlight w:val="none"/>
        </w:rPr>
        <w:t>2019年第16号</w:t>
      </w:r>
      <w:r>
        <w:rPr>
          <w:rFonts w:hint="eastAsia" w:ascii="宋体"/>
          <w:color w:val="auto"/>
          <w:sz w:val="22"/>
          <w:szCs w:val="22"/>
          <w:highlight w:val="none"/>
        </w:rPr>
        <w:t>）</w:t>
      </w:r>
    </w:p>
    <w:p>
      <w:pPr>
        <w:snapToGrid w:val="0"/>
        <w:spacing w:line="460" w:lineRule="atLeast"/>
        <w:ind w:firstLine="446" w:firstLineChars="200"/>
        <w:jc w:val="left"/>
        <w:rPr>
          <w:rFonts w:ascii="宋体"/>
          <w:color w:val="auto"/>
          <w:sz w:val="22"/>
          <w:szCs w:val="22"/>
          <w:highlight w:val="none"/>
        </w:rPr>
      </w:pPr>
      <w:r>
        <w:rPr>
          <w:rFonts w:hint="eastAsia" w:ascii="宋体"/>
          <w:color w:val="auto"/>
          <w:sz w:val="22"/>
          <w:szCs w:val="22"/>
          <w:highlight w:val="none"/>
        </w:rPr>
        <w:t>2</w:t>
      </w:r>
      <w:r>
        <w:rPr>
          <w:rFonts w:ascii="宋体"/>
          <w:color w:val="auto"/>
          <w:sz w:val="22"/>
          <w:szCs w:val="22"/>
          <w:highlight w:val="none"/>
        </w:rPr>
        <w:t>、供应商投标货物属于节能、环保优先（强制）采购范围的，须提供相关证明材料。</w:t>
      </w:r>
    </w:p>
    <w:p>
      <w:pPr>
        <w:spacing w:line="440" w:lineRule="atLeast"/>
        <w:jc w:val="left"/>
        <w:rPr>
          <w:rFonts w:ascii="宋体"/>
          <w:b/>
          <w:bCs/>
          <w:color w:val="auto"/>
          <w:sz w:val="22"/>
          <w:szCs w:val="22"/>
          <w:highlight w:val="none"/>
        </w:rPr>
      </w:pPr>
      <w:r>
        <w:rPr>
          <w:rFonts w:hint="eastAsia" w:ascii="宋体"/>
          <w:b/>
          <w:bCs/>
          <w:color w:val="auto"/>
          <w:sz w:val="22"/>
          <w:szCs w:val="22"/>
          <w:highlight w:val="none"/>
        </w:rPr>
        <w:t>三、信贷政策</w:t>
      </w:r>
    </w:p>
    <w:p>
      <w:pPr>
        <w:snapToGrid w:val="0"/>
        <w:spacing w:line="460" w:lineRule="atLeast"/>
        <w:ind w:firstLine="446" w:firstLineChars="200"/>
        <w:jc w:val="left"/>
        <w:rPr>
          <w:rFonts w:ascii="宋体"/>
          <w:color w:val="auto"/>
          <w:sz w:val="22"/>
          <w:szCs w:val="22"/>
          <w:highlight w:val="none"/>
        </w:rPr>
      </w:pPr>
      <w:r>
        <w:rPr>
          <w:rFonts w:hint="eastAsia" w:ascii="宋体"/>
          <w:color w:val="auto"/>
          <w:sz w:val="22"/>
          <w:szCs w:val="22"/>
          <w:highlight w:val="none"/>
        </w:rPr>
        <w:t>1、温州市财政局关于温州市政府采购支持中小企业信用融资的通知（温财采〔</w:t>
      </w:r>
      <w:r>
        <w:rPr>
          <w:rFonts w:ascii="宋体"/>
          <w:color w:val="auto"/>
          <w:sz w:val="22"/>
          <w:szCs w:val="22"/>
          <w:highlight w:val="none"/>
        </w:rPr>
        <w:t>2020</w:t>
      </w:r>
      <w:r>
        <w:rPr>
          <w:rFonts w:hint="eastAsia" w:ascii="宋体"/>
          <w:color w:val="auto"/>
          <w:sz w:val="22"/>
          <w:szCs w:val="22"/>
          <w:highlight w:val="none"/>
        </w:rPr>
        <w:t>〕</w:t>
      </w:r>
      <w:r>
        <w:rPr>
          <w:rFonts w:ascii="宋体"/>
          <w:color w:val="auto"/>
          <w:sz w:val="22"/>
          <w:szCs w:val="22"/>
          <w:highlight w:val="none"/>
        </w:rPr>
        <w:t>3</w:t>
      </w:r>
      <w:r>
        <w:rPr>
          <w:rFonts w:hint="eastAsia" w:ascii="宋体"/>
          <w:color w:val="auto"/>
          <w:sz w:val="22"/>
          <w:szCs w:val="22"/>
          <w:highlight w:val="none"/>
        </w:rPr>
        <w:t>号）</w:t>
      </w:r>
    </w:p>
    <w:tbl>
      <w:tblPr>
        <w:tblStyle w:val="28"/>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pPr>
              <w:jc w:val="center"/>
              <w:rPr>
                <w:rFonts w:ascii="宋体" w:hAnsi="宋体"/>
                <w:color w:val="auto"/>
                <w:sz w:val="22"/>
                <w:szCs w:val="22"/>
                <w:highlight w:val="none"/>
              </w:rPr>
            </w:pPr>
            <w:r>
              <w:rPr>
                <w:rFonts w:hint="eastAsia" w:ascii="宋体" w:hAnsi="宋体"/>
                <w:color w:val="auto"/>
                <w:sz w:val="22"/>
                <w:szCs w:val="22"/>
                <w:highlight w:val="none"/>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pPr>
              <w:pStyle w:val="70"/>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银行名称</w:t>
            </w:r>
          </w:p>
        </w:tc>
        <w:tc>
          <w:tcPr>
            <w:tcW w:w="4201" w:type="dxa"/>
          </w:tcPr>
          <w:p>
            <w:pPr>
              <w:pStyle w:val="70"/>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产品特点（不超过120字）</w:t>
            </w:r>
          </w:p>
        </w:tc>
        <w:tc>
          <w:tcPr>
            <w:tcW w:w="1000" w:type="dxa"/>
          </w:tcPr>
          <w:p>
            <w:pPr>
              <w:pStyle w:val="70"/>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经办人</w:t>
            </w:r>
          </w:p>
        </w:tc>
        <w:tc>
          <w:tcPr>
            <w:tcW w:w="1820" w:type="dxa"/>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中国工商银行股份有限公司温州分行</w:t>
            </w:r>
          </w:p>
        </w:tc>
        <w:tc>
          <w:tcPr>
            <w:tcW w:w="4201" w:type="dxa"/>
          </w:tcPr>
          <w:p>
            <w:pPr>
              <w:rPr>
                <w:rFonts w:ascii="宋体" w:hAnsi="宋体"/>
                <w:color w:val="auto"/>
                <w:sz w:val="22"/>
                <w:szCs w:val="22"/>
                <w:highlight w:val="none"/>
              </w:rPr>
            </w:pPr>
            <w:r>
              <w:rPr>
                <w:rFonts w:hint="eastAsia" w:ascii="宋体" w:hAnsi="宋体"/>
                <w:color w:val="auto"/>
                <w:sz w:val="22"/>
                <w:szCs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王经理</w:t>
            </w:r>
          </w:p>
        </w:tc>
        <w:tc>
          <w:tcPr>
            <w:tcW w:w="1820" w:type="dxa"/>
          </w:tcPr>
          <w:p>
            <w:pPr>
              <w:jc w:val="left"/>
              <w:rPr>
                <w:rFonts w:ascii="宋体" w:hAnsi="宋体"/>
                <w:color w:val="auto"/>
                <w:sz w:val="22"/>
                <w:szCs w:val="22"/>
                <w:highlight w:val="none"/>
              </w:rPr>
            </w:pPr>
            <w:r>
              <w:rPr>
                <w:rFonts w:hint="eastAsia" w:ascii="宋体" w:hAnsi="宋体"/>
                <w:color w:val="auto"/>
                <w:sz w:val="22"/>
                <w:szCs w:val="22"/>
                <w:highlight w:val="none"/>
              </w:rPr>
              <w:t>0577-88186626</w:t>
            </w:r>
          </w:p>
          <w:p>
            <w:pPr>
              <w:jc w:val="left"/>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pPr>
              <w:rPr>
                <w:rFonts w:ascii="宋体" w:hAnsi="宋体"/>
                <w:color w:val="auto"/>
                <w:sz w:val="22"/>
                <w:szCs w:val="22"/>
                <w:highlight w:val="none"/>
              </w:rPr>
            </w:pPr>
            <w:r>
              <w:rPr>
                <w:rFonts w:hint="eastAsia" w:ascii="宋体" w:hAnsi="宋体" w:cs="宋体"/>
                <w:color w:val="auto"/>
                <w:sz w:val="22"/>
                <w:szCs w:val="22"/>
                <w:highlight w:val="none"/>
              </w:rPr>
              <w:t>中国建设银行股份有限公司温州分行</w:t>
            </w:r>
          </w:p>
        </w:tc>
        <w:tc>
          <w:tcPr>
            <w:tcW w:w="4201" w:type="dxa"/>
          </w:tcPr>
          <w:p>
            <w:pPr>
              <w:rPr>
                <w:rFonts w:ascii="宋体" w:hAnsi="宋体"/>
                <w:color w:val="auto"/>
                <w:sz w:val="22"/>
                <w:szCs w:val="22"/>
                <w:highlight w:val="none"/>
              </w:rPr>
            </w:pPr>
            <w:r>
              <w:rPr>
                <w:rFonts w:hint="eastAsia" w:ascii="宋体" w:hAnsi="宋体"/>
                <w:color w:val="auto"/>
                <w:sz w:val="22"/>
                <w:szCs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pPr>
              <w:rPr>
                <w:rFonts w:ascii="宋体" w:hAnsi="宋体" w:cs="宋体"/>
                <w:color w:val="auto"/>
                <w:sz w:val="22"/>
                <w:szCs w:val="22"/>
                <w:highlight w:val="none"/>
              </w:rPr>
            </w:pPr>
            <w:r>
              <w:rPr>
                <w:rFonts w:hint="eastAsia" w:ascii="宋体" w:hAnsi="宋体" w:cs="宋体"/>
                <w:color w:val="auto"/>
                <w:sz w:val="22"/>
                <w:szCs w:val="22"/>
                <w:highlight w:val="none"/>
              </w:rPr>
              <w:t>张经理</w:t>
            </w:r>
          </w:p>
        </w:tc>
        <w:tc>
          <w:tcPr>
            <w:tcW w:w="1820" w:type="dxa"/>
          </w:tcPr>
          <w:p>
            <w:pPr>
              <w:jc w:val="left"/>
              <w:rPr>
                <w:rFonts w:ascii="宋体" w:hAnsi="宋体" w:cs="宋体"/>
                <w:color w:val="auto"/>
                <w:sz w:val="22"/>
                <w:szCs w:val="22"/>
                <w:highlight w:val="none"/>
              </w:rPr>
            </w:pPr>
            <w:r>
              <w:rPr>
                <w:rFonts w:hint="eastAsia" w:ascii="宋体" w:hAnsi="宋体" w:cs="宋体"/>
                <w:color w:val="auto"/>
                <w:sz w:val="22"/>
                <w:szCs w:val="22"/>
                <w:highlight w:val="none"/>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中国邮政储蓄银行股份有限公司温州市分行</w:t>
            </w:r>
          </w:p>
        </w:tc>
        <w:tc>
          <w:tcPr>
            <w:tcW w:w="4201" w:type="dxa"/>
            <w:vAlign w:val="center"/>
          </w:tcPr>
          <w:p>
            <w:pPr>
              <w:rPr>
                <w:rFonts w:ascii="宋体" w:hAnsi="宋体"/>
                <w:color w:val="auto"/>
                <w:sz w:val="22"/>
                <w:szCs w:val="22"/>
                <w:highlight w:val="none"/>
              </w:rPr>
            </w:pPr>
            <w:r>
              <w:rPr>
                <w:rFonts w:hint="eastAsia" w:ascii="宋体" w:hAnsi="宋体"/>
                <w:color w:val="auto"/>
                <w:sz w:val="22"/>
                <w:szCs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pPr>
              <w:rPr>
                <w:rFonts w:ascii="宋体" w:hAnsi="宋体"/>
                <w:color w:val="auto"/>
                <w:sz w:val="22"/>
                <w:szCs w:val="22"/>
                <w:highlight w:val="none"/>
              </w:rPr>
            </w:pPr>
            <w:r>
              <w:rPr>
                <w:rFonts w:hint="eastAsia" w:ascii="宋体" w:hAnsi="宋体"/>
                <w:color w:val="auto"/>
                <w:sz w:val="22"/>
                <w:szCs w:val="22"/>
                <w:highlight w:val="none"/>
              </w:rPr>
              <w:t>郑经理</w:t>
            </w:r>
          </w:p>
        </w:tc>
        <w:tc>
          <w:tcPr>
            <w:tcW w:w="1820" w:type="dxa"/>
            <w:vAlign w:val="center"/>
          </w:tcPr>
          <w:p>
            <w:pPr>
              <w:jc w:val="left"/>
              <w:rPr>
                <w:rFonts w:ascii="宋体" w:hAnsi="宋体"/>
                <w:color w:val="auto"/>
                <w:sz w:val="22"/>
                <w:szCs w:val="22"/>
                <w:highlight w:val="none"/>
              </w:rPr>
            </w:pPr>
            <w:r>
              <w:rPr>
                <w:rFonts w:hint="eastAsia" w:ascii="宋体" w:hAnsi="宋体"/>
                <w:color w:val="auto"/>
                <w:sz w:val="22"/>
                <w:szCs w:val="22"/>
                <w:highlight w:val="none"/>
              </w:rPr>
              <w:t>0577-88193910</w:t>
            </w:r>
          </w:p>
          <w:p>
            <w:pPr>
              <w:jc w:val="left"/>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中国民生银行股份有限公司温州分行</w:t>
            </w:r>
          </w:p>
        </w:tc>
        <w:tc>
          <w:tcPr>
            <w:tcW w:w="4201" w:type="dxa"/>
          </w:tcPr>
          <w:p>
            <w:pPr>
              <w:jc w:val="left"/>
              <w:rPr>
                <w:rFonts w:ascii="宋体" w:hAnsi="宋体"/>
                <w:color w:val="auto"/>
                <w:sz w:val="22"/>
                <w:szCs w:val="22"/>
                <w:highlight w:val="none"/>
              </w:rPr>
            </w:pPr>
            <w:r>
              <w:rPr>
                <w:rFonts w:hint="eastAsia" w:ascii="宋体" w:hAnsi="宋体" w:cs="宋体"/>
                <w:color w:val="auto"/>
                <w:sz w:val="22"/>
                <w:szCs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pPr>
              <w:rPr>
                <w:rFonts w:ascii="宋体" w:hAnsi="宋体"/>
                <w:color w:val="auto"/>
                <w:sz w:val="22"/>
                <w:szCs w:val="22"/>
                <w:highlight w:val="none"/>
              </w:rPr>
            </w:pPr>
            <w:r>
              <w:rPr>
                <w:rFonts w:hint="eastAsia" w:ascii="宋体" w:hAnsi="宋体"/>
                <w:color w:val="auto"/>
                <w:sz w:val="22"/>
                <w:szCs w:val="22"/>
                <w:highlight w:val="none"/>
              </w:rPr>
              <w:t>项经理</w:t>
            </w:r>
          </w:p>
        </w:tc>
        <w:tc>
          <w:tcPr>
            <w:tcW w:w="1820" w:type="dxa"/>
          </w:tcPr>
          <w:p>
            <w:pPr>
              <w:jc w:val="left"/>
              <w:rPr>
                <w:rFonts w:ascii="宋体" w:hAnsi="宋体"/>
                <w:color w:val="auto"/>
                <w:sz w:val="22"/>
                <w:szCs w:val="22"/>
                <w:highlight w:val="none"/>
              </w:rPr>
            </w:pPr>
            <w:r>
              <w:rPr>
                <w:rFonts w:hint="eastAsia" w:ascii="宋体" w:hAnsi="宋体"/>
                <w:color w:val="auto"/>
                <w:sz w:val="22"/>
                <w:szCs w:val="22"/>
                <w:highlight w:val="none"/>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宁波银行股份有限公司温州分行</w:t>
            </w:r>
          </w:p>
        </w:tc>
        <w:tc>
          <w:tcPr>
            <w:tcW w:w="4201" w:type="dxa"/>
          </w:tcPr>
          <w:p>
            <w:pPr>
              <w:rPr>
                <w:rFonts w:ascii="宋体" w:hAnsi="宋体"/>
                <w:color w:val="auto"/>
                <w:sz w:val="22"/>
                <w:szCs w:val="22"/>
                <w:highlight w:val="none"/>
              </w:rPr>
            </w:pPr>
            <w:r>
              <w:rPr>
                <w:rFonts w:ascii="宋体" w:hAnsi="宋体" w:cs="宋体"/>
                <w:color w:val="auto"/>
                <w:sz w:val="22"/>
                <w:szCs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color w:val="auto"/>
                <w:sz w:val="22"/>
                <w:szCs w:val="22"/>
                <w:highlight w:val="none"/>
              </w:rPr>
              <w:t>，最大金额不超过</w:t>
            </w:r>
            <w:r>
              <w:rPr>
                <w:rFonts w:ascii="宋体" w:hAnsi="宋体" w:cs="宋体"/>
                <w:color w:val="auto"/>
                <w:sz w:val="22"/>
                <w:szCs w:val="22"/>
                <w:highlight w:val="none"/>
              </w:rPr>
              <w:t>2000</w:t>
            </w:r>
            <w:r>
              <w:rPr>
                <w:rFonts w:hint="eastAsia" w:ascii="宋体" w:hAnsi="宋体" w:cs="宋体"/>
                <w:color w:val="auto"/>
                <w:sz w:val="22"/>
                <w:szCs w:val="22"/>
                <w:highlight w:val="none"/>
              </w:rPr>
              <w:t>万元。</w:t>
            </w:r>
          </w:p>
        </w:tc>
        <w:tc>
          <w:tcPr>
            <w:tcW w:w="1000" w:type="dxa"/>
          </w:tcPr>
          <w:p>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tcPr>
          <w:p>
            <w:pPr>
              <w:jc w:val="left"/>
              <w:rPr>
                <w:rFonts w:ascii="宋体" w:hAnsi="宋体"/>
                <w:color w:val="auto"/>
                <w:sz w:val="22"/>
                <w:szCs w:val="22"/>
                <w:highlight w:val="none"/>
              </w:rPr>
            </w:pPr>
            <w:r>
              <w:rPr>
                <w:rFonts w:ascii="宋体" w:hAnsi="宋体"/>
                <w:color w:val="auto"/>
                <w:sz w:val="22"/>
                <w:szCs w:val="22"/>
                <w:highlight w:val="none"/>
              </w:rPr>
              <w:t>0577</w:t>
            </w:r>
            <w:r>
              <w:rPr>
                <w:rFonts w:hint="eastAsia" w:ascii="宋体" w:hAnsi="宋体"/>
                <w:color w:val="auto"/>
                <w:sz w:val="22"/>
                <w:szCs w:val="22"/>
                <w:highlight w:val="none"/>
              </w:rPr>
              <w:t>-</w:t>
            </w:r>
            <w:r>
              <w:rPr>
                <w:rFonts w:ascii="宋体" w:hAnsi="宋体"/>
                <w:color w:val="auto"/>
                <w:sz w:val="22"/>
                <w:szCs w:val="22"/>
                <w:highlight w:val="none"/>
              </w:rPr>
              <w:t>88007377</w:t>
            </w:r>
          </w:p>
          <w:p>
            <w:pPr>
              <w:jc w:val="left"/>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杭州银行股份有限公司温州分行</w:t>
            </w:r>
          </w:p>
        </w:tc>
        <w:tc>
          <w:tcPr>
            <w:tcW w:w="4201" w:type="dxa"/>
          </w:tcPr>
          <w:p>
            <w:pPr>
              <w:rPr>
                <w:rFonts w:ascii="宋体" w:hAnsi="宋体"/>
                <w:bCs/>
                <w:color w:val="auto"/>
                <w:sz w:val="22"/>
                <w:szCs w:val="22"/>
                <w:highlight w:val="none"/>
              </w:rPr>
            </w:pPr>
            <w:r>
              <w:rPr>
                <w:rFonts w:ascii="宋体" w:hAnsi="宋体"/>
                <w:bCs/>
                <w:color w:val="auto"/>
                <w:sz w:val="22"/>
                <w:szCs w:val="22"/>
                <w:highlight w:val="none"/>
              </w:rPr>
              <w:t>门槛低：</w:t>
            </w:r>
            <w:r>
              <w:rPr>
                <w:rFonts w:hint="eastAsia" w:ascii="宋体" w:hAnsi="宋体"/>
                <w:bCs/>
                <w:color w:val="auto"/>
                <w:sz w:val="22"/>
                <w:szCs w:val="22"/>
                <w:highlight w:val="none"/>
              </w:rPr>
              <w:t>纯</w:t>
            </w:r>
            <w:r>
              <w:rPr>
                <w:rFonts w:ascii="宋体" w:hAnsi="宋体"/>
                <w:bCs/>
                <w:color w:val="auto"/>
                <w:sz w:val="22"/>
                <w:szCs w:val="22"/>
                <w:highlight w:val="none"/>
              </w:rPr>
              <w:t>信用，</w:t>
            </w:r>
            <w:r>
              <w:rPr>
                <w:rFonts w:hint="eastAsia" w:ascii="宋体" w:hAnsi="宋体"/>
                <w:bCs/>
                <w:color w:val="auto"/>
                <w:sz w:val="22"/>
                <w:szCs w:val="22"/>
                <w:highlight w:val="none"/>
              </w:rPr>
              <w:t>平台</w:t>
            </w:r>
            <w:r>
              <w:rPr>
                <w:rFonts w:ascii="宋体" w:hAnsi="宋体"/>
                <w:bCs/>
                <w:color w:val="auto"/>
                <w:sz w:val="22"/>
                <w:szCs w:val="22"/>
                <w:highlight w:val="none"/>
              </w:rPr>
              <w:t>注册入库并取得采购合同即可申请</w:t>
            </w:r>
          </w:p>
          <w:p>
            <w:pPr>
              <w:rPr>
                <w:rFonts w:ascii="宋体" w:hAnsi="宋体"/>
                <w:bCs/>
                <w:color w:val="auto"/>
                <w:sz w:val="22"/>
                <w:szCs w:val="22"/>
                <w:highlight w:val="none"/>
              </w:rPr>
            </w:pPr>
            <w:r>
              <w:rPr>
                <w:rFonts w:hint="eastAsia" w:ascii="宋体" w:hAnsi="宋体"/>
                <w:bCs/>
                <w:color w:val="auto"/>
                <w:sz w:val="22"/>
                <w:szCs w:val="22"/>
                <w:highlight w:val="none"/>
              </w:rPr>
              <w:t>手续简</w:t>
            </w:r>
            <w:r>
              <w:rPr>
                <w:rFonts w:ascii="宋体" w:hAnsi="宋体"/>
                <w:bCs/>
                <w:color w:val="auto"/>
                <w:sz w:val="22"/>
                <w:szCs w:val="22"/>
                <w:highlight w:val="none"/>
              </w:rPr>
              <w:t>：</w:t>
            </w:r>
            <w:r>
              <w:rPr>
                <w:rFonts w:hint="eastAsia" w:ascii="宋体" w:hAnsi="宋体"/>
                <w:bCs/>
                <w:color w:val="auto"/>
                <w:sz w:val="22"/>
                <w:szCs w:val="22"/>
                <w:highlight w:val="none"/>
              </w:rPr>
              <w:t>线上申请</w:t>
            </w:r>
            <w:r>
              <w:rPr>
                <w:rFonts w:ascii="宋体" w:hAnsi="宋体"/>
                <w:bCs/>
                <w:color w:val="auto"/>
                <w:sz w:val="22"/>
                <w:szCs w:val="22"/>
                <w:highlight w:val="none"/>
              </w:rPr>
              <w:t>+</w:t>
            </w:r>
            <w:r>
              <w:rPr>
                <w:rFonts w:hint="eastAsia" w:ascii="宋体" w:hAnsi="宋体"/>
                <w:bCs/>
                <w:color w:val="auto"/>
                <w:sz w:val="22"/>
                <w:szCs w:val="22"/>
                <w:highlight w:val="none"/>
              </w:rPr>
              <w:t>线上</w:t>
            </w:r>
            <w:r>
              <w:rPr>
                <w:rFonts w:ascii="宋体" w:hAnsi="宋体"/>
                <w:bCs/>
                <w:color w:val="auto"/>
                <w:sz w:val="22"/>
                <w:szCs w:val="22"/>
                <w:highlight w:val="none"/>
              </w:rPr>
              <w:t>签约，</w:t>
            </w:r>
            <w:r>
              <w:rPr>
                <w:rFonts w:hint="eastAsia" w:ascii="宋体" w:hAnsi="宋体"/>
                <w:bCs/>
                <w:color w:val="auto"/>
                <w:sz w:val="22"/>
                <w:szCs w:val="22"/>
                <w:highlight w:val="none"/>
              </w:rPr>
              <w:t>足不</w:t>
            </w:r>
            <w:r>
              <w:rPr>
                <w:rFonts w:ascii="宋体" w:hAnsi="宋体"/>
                <w:bCs/>
                <w:color w:val="auto"/>
                <w:sz w:val="22"/>
                <w:szCs w:val="22"/>
                <w:highlight w:val="none"/>
              </w:rPr>
              <w:t>出</w:t>
            </w:r>
            <w:r>
              <w:rPr>
                <w:rFonts w:hint="eastAsia" w:ascii="宋体" w:hAnsi="宋体"/>
                <w:bCs/>
                <w:color w:val="auto"/>
                <w:sz w:val="22"/>
                <w:szCs w:val="22"/>
                <w:highlight w:val="none"/>
              </w:rPr>
              <w:t>户</w:t>
            </w:r>
          </w:p>
          <w:p>
            <w:pPr>
              <w:rPr>
                <w:rFonts w:ascii="宋体" w:hAnsi="宋体"/>
                <w:bCs/>
                <w:color w:val="auto"/>
                <w:sz w:val="22"/>
                <w:szCs w:val="22"/>
                <w:highlight w:val="none"/>
              </w:rPr>
            </w:pPr>
            <w:r>
              <w:rPr>
                <w:rFonts w:hint="eastAsia" w:ascii="宋体" w:hAnsi="宋体"/>
                <w:bCs/>
                <w:color w:val="auto"/>
                <w:sz w:val="22"/>
                <w:szCs w:val="22"/>
                <w:highlight w:val="none"/>
              </w:rPr>
              <w:t>利率</w:t>
            </w:r>
            <w:r>
              <w:rPr>
                <w:rFonts w:ascii="宋体" w:hAnsi="宋体"/>
                <w:bCs/>
                <w:color w:val="auto"/>
                <w:sz w:val="22"/>
                <w:szCs w:val="22"/>
                <w:highlight w:val="none"/>
              </w:rPr>
              <w:t>优：</w:t>
            </w:r>
            <w:r>
              <w:rPr>
                <w:rFonts w:hint="eastAsia" w:ascii="宋体" w:hAnsi="宋体"/>
                <w:bCs/>
                <w:color w:val="auto"/>
                <w:sz w:val="22"/>
                <w:szCs w:val="22"/>
                <w:highlight w:val="none"/>
              </w:rPr>
              <w:t>按</w:t>
            </w:r>
            <w:r>
              <w:rPr>
                <w:rFonts w:ascii="宋体" w:hAnsi="宋体"/>
                <w:bCs/>
                <w:color w:val="auto"/>
                <w:sz w:val="22"/>
                <w:szCs w:val="22"/>
                <w:highlight w:val="none"/>
              </w:rPr>
              <w:t>优于一般中小企业</w:t>
            </w:r>
            <w:r>
              <w:rPr>
                <w:rFonts w:hint="eastAsia" w:ascii="宋体" w:hAnsi="宋体"/>
                <w:bCs/>
                <w:color w:val="auto"/>
                <w:sz w:val="22"/>
                <w:szCs w:val="22"/>
                <w:highlight w:val="none"/>
              </w:rPr>
              <w:t>贷款</w:t>
            </w:r>
            <w:r>
              <w:rPr>
                <w:rFonts w:ascii="宋体" w:hAnsi="宋体"/>
                <w:bCs/>
                <w:color w:val="auto"/>
                <w:sz w:val="22"/>
                <w:szCs w:val="22"/>
                <w:highlight w:val="none"/>
              </w:rPr>
              <w:t>利率执行</w:t>
            </w:r>
          </w:p>
          <w:p>
            <w:pPr>
              <w:rPr>
                <w:rFonts w:ascii="宋体" w:hAnsi="宋体"/>
                <w:color w:val="auto"/>
                <w:sz w:val="22"/>
                <w:szCs w:val="22"/>
                <w:highlight w:val="none"/>
              </w:rPr>
            </w:pPr>
            <w:r>
              <w:rPr>
                <w:rFonts w:hint="eastAsia" w:ascii="宋体" w:hAnsi="宋体"/>
                <w:bCs/>
                <w:color w:val="auto"/>
                <w:sz w:val="22"/>
                <w:szCs w:val="22"/>
                <w:highlight w:val="none"/>
              </w:rPr>
              <w:t>额度高</w:t>
            </w:r>
            <w:r>
              <w:rPr>
                <w:rFonts w:ascii="宋体" w:hAnsi="宋体"/>
                <w:bCs/>
                <w:color w:val="auto"/>
                <w:sz w:val="22"/>
                <w:szCs w:val="22"/>
                <w:highlight w:val="none"/>
              </w:rPr>
              <w:t>：</w:t>
            </w:r>
            <w:r>
              <w:rPr>
                <w:rFonts w:hint="eastAsia" w:ascii="宋体" w:hAnsi="宋体"/>
                <w:bCs/>
                <w:color w:val="auto"/>
                <w:sz w:val="22"/>
                <w:szCs w:val="22"/>
                <w:highlight w:val="none"/>
              </w:rPr>
              <w:t>最高为</w:t>
            </w:r>
            <w:r>
              <w:rPr>
                <w:rFonts w:ascii="宋体" w:hAnsi="宋体"/>
                <w:bCs/>
                <w:color w:val="auto"/>
                <w:sz w:val="22"/>
                <w:szCs w:val="22"/>
                <w:highlight w:val="none"/>
              </w:rPr>
              <w:t>合同金额的80%</w:t>
            </w:r>
          </w:p>
        </w:tc>
        <w:tc>
          <w:tcPr>
            <w:tcW w:w="1000" w:type="dxa"/>
          </w:tcPr>
          <w:p>
            <w:pPr>
              <w:rPr>
                <w:rFonts w:ascii="宋体" w:hAnsi="宋体"/>
                <w:color w:val="auto"/>
                <w:sz w:val="22"/>
                <w:szCs w:val="22"/>
                <w:highlight w:val="none"/>
              </w:rPr>
            </w:pPr>
            <w:r>
              <w:rPr>
                <w:rFonts w:ascii="宋体" w:hAnsi="宋体"/>
                <w:color w:val="auto"/>
                <w:sz w:val="22"/>
                <w:szCs w:val="22"/>
                <w:highlight w:val="none"/>
              </w:rPr>
              <w:t>叶</w:t>
            </w:r>
            <w:r>
              <w:rPr>
                <w:rFonts w:hint="eastAsia" w:ascii="宋体" w:hAnsi="宋体"/>
                <w:color w:val="auto"/>
                <w:sz w:val="22"/>
                <w:szCs w:val="22"/>
                <w:highlight w:val="none"/>
              </w:rPr>
              <w:t>经理</w:t>
            </w:r>
          </w:p>
        </w:tc>
        <w:tc>
          <w:tcPr>
            <w:tcW w:w="1820" w:type="dxa"/>
          </w:tcPr>
          <w:p>
            <w:pPr>
              <w:jc w:val="left"/>
              <w:rPr>
                <w:rFonts w:ascii="宋体" w:hAnsi="宋体"/>
                <w:color w:val="auto"/>
                <w:sz w:val="22"/>
                <w:szCs w:val="22"/>
                <w:highlight w:val="none"/>
              </w:rPr>
            </w:pPr>
            <w:r>
              <w:rPr>
                <w:rFonts w:hint="eastAsia" w:ascii="宋体" w:hAnsi="宋体"/>
                <w:color w:val="auto"/>
                <w:sz w:val="22"/>
                <w:szCs w:val="22"/>
                <w:highlight w:val="none"/>
              </w:rPr>
              <w:t>0577-</w:t>
            </w:r>
            <w:r>
              <w:rPr>
                <w:rFonts w:ascii="宋体" w:hAnsi="宋体"/>
                <w:color w:val="auto"/>
                <w:sz w:val="22"/>
                <w:szCs w:val="22"/>
                <w:highlight w:val="none"/>
              </w:rPr>
              <w:t>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招商银行股份有限公司温州分行</w:t>
            </w:r>
          </w:p>
        </w:tc>
        <w:tc>
          <w:tcPr>
            <w:tcW w:w="4201" w:type="dxa"/>
          </w:tcPr>
          <w:p>
            <w:pPr>
              <w:rPr>
                <w:rFonts w:ascii="宋体" w:hAnsi="宋体"/>
                <w:color w:val="auto"/>
                <w:sz w:val="22"/>
                <w:szCs w:val="22"/>
                <w:highlight w:val="none"/>
              </w:rPr>
            </w:pPr>
            <w:r>
              <w:rPr>
                <w:rFonts w:hint="eastAsia" w:ascii="宋体" w:hAnsi="宋体"/>
                <w:color w:val="auto"/>
                <w:sz w:val="22"/>
                <w:szCs w:val="22"/>
                <w:highlight w:val="none"/>
              </w:rPr>
              <w:t>政采贷是招商银行针对政府采购招投标中标供应商，以政府采购合同项下未来应收账款为第一还款来源的融资业务，无需抵质押物。额度最高可达2</w:t>
            </w:r>
            <w:r>
              <w:rPr>
                <w:rFonts w:ascii="宋体" w:hAnsi="宋体"/>
                <w:color w:val="auto"/>
                <w:sz w:val="22"/>
                <w:szCs w:val="22"/>
                <w:highlight w:val="none"/>
              </w:rPr>
              <w:t>000</w:t>
            </w:r>
            <w:r>
              <w:rPr>
                <w:rFonts w:hint="eastAsia" w:ascii="宋体" w:hAnsi="宋体"/>
                <w:color w:val="auto"/>
                <w:sz w:val="22"/>
                <w:szCs w:val="22"/>
                <w:highlight w:val="none"/>
              </w:rPr>
              <w:t>万，同时可开通自助贷款直通功能，自助贷款额度最高可达1</w:t>
            </w:r>
            <w:r>
              <w:rPr>
                <w:rFonts w:ascii="宋体" w:hAnsi="宋体"/>
                <w:color w:val="auto"/>
                <w:sz w:val="22"/>
                <w:szCs w:val="22"/>
                <w:highlight w:val="none"/>
              </w:rPr>
              <w:t>000</w:t>
            </w:r>
            <w:r>
              <w:rPr>
                <w:rFonts w:hint="eastAsia" w:ascii="宋体" w:hAnsi="宋体"/>
                <w:color w:val="auto"/>
                <w:sz w:val="22"/>
                <w:szCs w:val="22"/>
                <w:highlight w:val="none"/>
              </w:rPr>
              <w:t>万，支持线上申请、随借随还。</w:t>
            </w:r>
          </w:p>
        </w:tc>
        <w:tc>
          <w:tcPr>
            <w:tcW w:w="1000" w:type="dxa"/>
          </w:tcPr>
          <w:p>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tcPr>
          <w:p>
            <w:pPr>
              <w:jc w:val="left"/>
              <w:rPr>
                <w:rFonts w:ascii="宋体" w:hAnsi="宋体"/>
                <w:color w:val="auto"/>
                <w:sz w:val="22"/>
                <w:szCs w:val="22"/>
                <w:highlight w:val="none"/>
              </w:rPr>
            </w:pPr>
            <w:r>
              <w:rPr>
                <w:rFonts w:hint="eastAsia" w:ascii="宋体" w:hAnsi="宋体"/>
                <w:color w:val="auto"/>
                <w:sz w:val="22"/>
                <w:szCs w:val="22"/>
                <w:highlight w:val="none"/>
              </w:rPr>
              <w:t>0577-8</w:t>
            </w:r>
            <w:r>
              <w:rPr>
                <w:rFonts w:ascii="宋体" w:hAnsi="宋体"/>
                <w:color w:val="auto"/>
                <w:sz w:val="22"/>
                <w:szCs w:val="22"/>
                <w:highlight w:val="none"/>
              </w:rPr>
              <w:t>8056876</w:t>
            </w:r>
          </w:p>
          <w:p>
            <w:pPr>
              <w:jc w:val="left"/>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兴业银行股份有限公司温州分行</w:t>
            </w:r>
          </w:p>
        </w:tc>
        <w:tc>
          <w:tcPr>
            <w:tcW w:w="4201" w:type="dxa"/>
            <w:vAlign w:val="center"/>
          </w:tcPr>
          <w:p>
            <w:pPr>
              <w:pStyle w:val="70"/>
              <w:spacing w:line="240" w:lineRule="auto"/>
              <w:ind w:firstLine="0" w:firstLineChars="0"/>
              <w:jc w:val="both"/>
              <w:rPr>
                <w:rFonts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pPr>
              <w:rPr>
                <w:rFonts w:ascii="宋体" w:hAnsi="宋体"/>
                <w:color w:val="auto"/>
                <w:sz w:val="22"/>
                <w:szCs w:val="22"/>
                <w:highlight w:val="none"/>
              </w:rPr>
            </w:pPr>
            <w:r>
              <w:rPr>
                <w:rFonts w:hint="eastAsia" w:ascii="宋体" w:hAnsi="宋体"/>
                <w:color w:val="auto"/>
                <w:sz w:val="22"/>
                <w:szCs w:val="22"/>
                <w:highlight w:val="none"/>
              </w:rPr>
              <w:t>张经理</w:t>
            </w:r>
          </w:p>
          <w:p>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vAlign w:val="center"/>
          </w:tcPr>
          <w:p>
            <w:pPr>
              <w:pStyle w:val="70"/>
              <w:spacing w:line="360" w:lineRule="auto"/>
              <w:ind w:firstLine="0" w:firstLineChars="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0577-</w:t>
            </w:r>
            <w:r>
              <w:rPr>
                <w:rFonts w:ascii="宋体" w:hAnsi="宋体" w:eastAsia="宋体" w:cs="Times New Roman"/>
                <w:color w:val="auto"/>
                <w:kern w:val="0"/>
                <w:sz w:val="22"/>
                <w:szCs w:val="22"/>
                <w:highlight w:val="none"/>
              </w:rPr>
              <w:t>88369368</w:t>
            </w:r>
            <w:r>
              <w:rPr>
                <w:rFonts w:hint="eastAsia" w:ascii="宋体" w:hAnsi="宋体" w:eastAsia="宋体" w:cs="Times New Roman"/>
                <w:color w:val="auto"/>
                <w:kern w:val="0"/>
                <w:sz w:val="22"/>
                <w:szCs w:val="22"/>
                <w:highlight w:val="none"/>
              </w:rPr>
              <w:t>/13857713118</w:t>
            </w:r>
          </w:p>
          <w:p>
            <w:pPr>
              <w:pStyle w:val="70"/>
              <w:spacing w:line="360" w:lineRule="auto"/>
              <w:ind w:firstLine="0" w:firstLineChars="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温州银行股份有限公司温州分行</w:t>
            </w:r>
          </w:p>
        </w:tc>
        <w:tc>
          <w:tcPr>
            <w:tcW w:w="4201" w:type="dxa"/>
          </w:tcPr>
          <w:p>
            <w:pPr>
              <w:rPr>
                <w:rFonts w:ascii="宋体" w:hAnsi="宋体" w:cs="宋体"/>
                <w:bCs/>
                <w:color w:val="auto"/>
                <w:sz w:val="22"/>
                <w:szCs w:val="22"/>
                <w:highlight w:val="none"/>
              </w:rPr>
            </w:pPr>
            <w:r>
              <w:rPr>
                <w:rFonts w:hint="eastAsia" w:ascii="宋体" w:hAnsi="宋体" w:cs="宋体"/>
                <w:bCs/>
                <w:color w:val="auto"/>
                <w:sz w:val="22"/>
                <w:szCs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pPr>
              <w:rPr>
                <w:rFonts w:ascii="宋体" w:hAnsi="宋体" w:cs="宋体"/>
                <w:color w:val="auto"/>
                <w:sz w:val="22"/>
                <w:szCs w:val="22"/>
                <w:highlight w:val="none"/>
              </w:rPr>
            </w:pPr>
            <w:r>
              <w:rPr>
                <w:rFonts w:hint="eastAsia" w:ascii="宋体" w:hAnsi="宋体" w:cs="宋体"/>
                <w:color w:val="auto"/>
                <w:sz w:val="22"/>
                <w:szCs w:val="22"/>
                <w:highlight w:val="none"/>
              </w:rPr>
              <w:t>陈经理</w:t>
            </w:r>
          </w:p>
        </w:tc>
        <w:tc>
          <w:tcPr>
            <w:tcW w:w="1820" w:type="dxa"/>
          </w:tcPr>
          <w:p>
            <w:pPr>
              <w:jc w:val="left"/>
              <w:rPr>
                <w:rFonts w:ascii="宋体" w:hAnsi="宋体"/>
                <w:color w:val="auto"/>
                <w:sz w:val="22"/>
                <w:szCs w:val="22"/>
                <w:highlight w:val="none"/>
              </w:rPr>
            </w:pPr>
            <w:r>
              <w:rPr>
                <w:rFonts w:hint="eastAsia" w:ascii="宋体" w:hAnsi="宋体"/>
                <w:color w:val="auto"/>
                <w:sz w:val="22"/>
                <w:szCs w:val="22"/>
                <w:highlight w:val="none"/>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温州银行股份有限公司鹿城分行</w:t>
            </w:r>
          </w:p>
        </w:tc>
        <w:tc>
          <w:tcPr>
            <w:tcW w:w="4201" w:type="dxa"/>
          </w:tcPr>
          <w:p>
            <w:pPr>
              <w:rPr>
                <w:rFonts w:ascii="宋体" w:hAnsi="宋体"/>
                <w:color w:val="auto"/>
                <w:sz w:val="22"/>
                <w:szCs w:val="22"/>
                <w:highlight w:val="none"/>
              </w:rPr>
            </w:pPr>
            <w:r>
              <w:rPr>
                <w:rFonts w:hint="eastAsia" w:ascii="宋体" w:hAnsi="宋体"/>
                <w:color w:val="auto"/>
                <w:sz w:val="22"/>
                <w:szCs w:val="22"/>
                <w:highlight w:val="none"/>
              </w:rPr>
              <w:t>政采</w:t>
            </w:r>
            <w:r>
              <w:rPr>
                <w:rFonts w:ascii="宋体" w:hAnsi="宋体"/>
                <w:color w:val="auto"/>
                <w:sz w:val="22"/>
                <w:szCs w:val="22"/>
                <w:highlight w:val="none"/>
              </w:rPr>
              <w:t>订单贷：</w:t>
            </w:r>
            <w:r>
              <w:rPr>
                <w:rFonts w:hint="eastAsia" w:ascii="宋体" w:hAnsi="宋体"/>
                <w:color w:val="auto"/>
                <w:sz w:val="22"/>
                <w:szCs w:val="22"/>
                <w:highlight w:val="none"/>
              </w:rPr>
              <w:t>1、面向政府采购项目供应商，满足供应商资金周转需求，凭中标通知书即可申请，2、秒知额高，最高可贷500万元，单笔业务金额可贷中标金额的80%，</w:t>
            </w:r>
          </w:p>
          <w:p>
            <w:pPr>
              <w:pStyle w:val="49"/>
              <w:ind w:left="5" w:firstLine="0" w:firstLineChars="0"/>
              <w:rPr>
                <w:rFonts w:ascii="宋体" w:hAnsi="宋体"/>
                <w:color w:val="auto"/>
                <w:sz w:val="22"/>
                <w:szCs w:val="22"/>
                <w:highlight w:val="none"/>
              </w:rPr>
            </w:pPr>
            <w:r>
              <w:rPr>
                <w:rFonts w:hint="eastAsia" w:ascii="宋体" w:hAnsi="宋体"/>
                <w:color w:val="auto"/>
                <w:sz w:val="22"/>
                <w:szCs w:val="22"/>
                <w:highlight w:val="none"/>
              </w:rPr>
              <w:t>最长期限可贷1年。信保贷：1、额度最高可达500万元</w:t>
            </w:r>
          </w:p>
          <w:p>
            <w:pPr>
              <w:rPr>
                <w:rFonts w:ascii="宋体" w:hAnsi="宋体"/>
                <w:color w:val="auto"/>
                <w:sz w:val="22"/>
                <w:szCs w:val="22"/>
                <w:highlight w:val="none"/>
              </w:rPr>
            </w:pPr>
            <w:r>
              <w:rPr>
                <w:rFonts w:hint="eastAsia" w:ascii="宋体" w:hAnsi="宋体"/>
                <w:color w:val="auto"/>
                <w:sz w:val="22"/>
                <w:szCs w:val="22"/>
                <w:highlight w:val="none"/>
              </w:rPr>
              <w:t>2、担保灵活，信用贷款3、贷款年利率至少可享受本单位一般性中小企业信用贷款利率基础上下浮10 %</w:t>
            </w:r>
          </w:p>
        </w:tc>
        <w:tc>
          <w:tcPr>
            <w:tcW w:w="1000" w:type="dxa"/>
          </w:tcPr>
          <w:p>
            <w:pPr>
              <w:rPr>
                <w:rFonts w:ascii="宋体" w:hAnsi="宋体"/>
                <w:color w:val="auto"/>
                <w:sz w:val="22"/>
                <w:szCs w:val="22"/>
                <w:highlight w:val="none"/>
              </w:rPr>
            </w:pPr>
            <w:r>
              <w:rPr>
                <w:rFonts w:hint="eastAsia" w:ascii="宋体" w:hAnsi="宋体"/>
                <w:color w:val="auto"/>
                <w:sz w:val="22"/>
                <w:szCs w:val="22"/>
                <w:highlight w:val="none"/>
              </w:rPr>
              <w:t>戴经理</w:t>
            </w:r>
          </w:p>
        </w:tc>
        <w:tc>
          <w:tcPr>
            <w:tcW w:w="1820" w:type="dxa"/>
          </w:tcPr>
          <w:p>
            <w:pPr>
              <w:rPr>
                <w:rFonts w:ascii="宋体" w:hAnsi="宋体"/>
                <w:color w:val="auto"/>
                <w:sz w:val="22"/>
                <w:szCs w:val="22"/>
                <w:highlight w:val="none"/>
              </w:rPr>
            </w:pPr>
            <w:r>
              <w:rPr>
                <w:rFonts w:hint="eastAsia" w:ascii="宋体" w:hAnsi="宋体"/>
                <w:color w:val="auto"/>
                <w:sz w:val="22"/>
                <w:szCs w:val="22"/>
                <w:highlight w:val="none"/>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交通银行股份有限公司温州分行</w:t>
            </w:r>
          </w:p>
        </w:tc>
        <w:tc>
          <w:tcPr>
            <w:tcW w:w="4201" w:type="dxa"/>
          </w:tcPr>
          <w:p>
            <w:pPr>
              <w:autoSpaceDE w:val="0"/>
              <w:autoSpaceDN w:val="0"/>
              <w:adjustRightInd w:val="0"/>
              <w:jc w:val="left"/>
              <w:rPr>
                <w:rFonts w:ascii="宋体" w:hAnsi="宋体" w:cs="宋体"/>
                <w:color w:val="auto"/>
                <w:sz w:val="22"/>
                <w:szCs w:val="22"/>
                <w:highlight w:val="none"/>
              </w:rPr>
            </w:pPr>
            <w:r>
              <w:rPr>
                <w:rFonts w:hint="eastAsia" w:ascii="宋体" w:hAnsi="宋体" w:cs="宋体"/>
                <w:color w:val="auto"/>
                <w:sz w:val="22"/>
                <w:szCs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pPr>
              <w:rPr>
                <w:rFonts w:ascii="宋体" w:hAnsi="宋体"/>
                <w:color w:val="auto"/>
                <w:sz w:val="22"/>
                <w:szCs w:val="22"/>
                <w:highlight w:val="none"/>
              </w:rPr>
            </w:pPr>
            <w:r>
              <w:rPr>
                <w:rFonts w:hint="eastAsia" w:ascii="宋体" w:hAnsi="宋体"/>
                <w:color w:val="auto"/>
                <w:sz w:val="22"/>
                <w:szCs w:val="22"/>
                <w:highlight w:val="none"/>
              </w:rPr>
              <w:t>缪经理</w:t>
            </w:r>
          </w:p>
        </w:tc>
        <w:tc>
          <w:tcPr>
            <w:tcW w:w="1820" w:type="dxa"/>
          </w:tcPr>
          <w:p>
            <w:pPr>
              <w:rPr>
                <w:rFonts w:ascii="宋体" w:hAnsi="宋体"/>
                <w:color w:val="auto"/>
                <w:sz w:val="22"/>
                <w:szCs w:val="22"/>
                <w:highlight w:val="none"/>
              </w:rPr>
            </w:pPr>
            <w:r>
              <w:rPr>
                <w:rFonts w:hint="eastAsia" w:ascii="宋体" w:hAnsi="宋体"/>
                <w:color w:val="auto"/>
                <w:sz w:val="22"/>
                <w:szCs w:val="22"/>
                <w:highlight w:val="none"/>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上海浦东发展银行股份有限公司温州分行</w:t>
            </w:r>
          </w:p>
        </w:tc>
        <w:tc>
          <w:tcPr>
            <w:tcW w:w="4201" w:type="dxa"/>
          </w:tcPr>
          <w:p>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jc w:val="left"/>
              <w:rPr>
                <w:rFonts w:ascii="宋体" w:hAnsi="宋体"/>
                <w:color w:val="auto"/>
                <w:sz w:val="22"/>
                <w:szCs w:val="22"/>
                <w:highlight w:val="none"/>
              </w:rPr>
            </w:pPr>
            <w:r>
              <w:rPr>
                <w:rFonts w:hint="eastAsia" w:ascii="宋体" w:hAnsi="宋体" w:cs="宋体"/>
                <w:bCs/>
                <w:color w:val="auto"/>
                <w:sz w:val="22"/>
                <w:szCs w:val="22"/>
                <w:highlight w:val="none"/>
              </w:rPr>
              <w:t>所需材料：企业基础证件、相关中标文件（中标通知书 、采购合同等）、其他必要文件</w:t>
            </w:r>
          </w:p>
        </w:tc>
        <w:tc>
          <w:tcPr>
            <w:tcW w:w="1000" w:type="dxa"/>
          </w:tcPr>
          <w:p>
            <w:pPr>
              <w:rPr>
                <w:rFonts w:ascii="宋体" w:hAnsi="宋体" w:cs="宋体"/>
                <w:color w:val="auto"/>
                <w:sz w:val="22"/>
                <w:szCs w:val="22"/>
                <w:highlight w:val="none"/>
              </w:rPr>
            </w:pPr>
            <w:r>
              <w:rPr>
                <w:rFonts w:hint="eastAsia" w:ascii="宋体" w:hAnsi="宋体" w:cs="宋体"/>
                <w:color w:val="auto"/>
                <w:sz w:val="22"/>
                <w:szCs w:val="22"/>
                <w:highlight w:val="none"/>
              </w:rPr>
              <w:t>叶经理</w:t>
            </w:r>
          </w:p>
        </w:tc>
        <w:tc>
          <w:tcPr>
            <w:tcW w:w="1820" w:type="dxa"/>
          </w:tcPr>
          <w:p>
            <w:pPr>
              <w:jc w:val="left"/>
              <w:rPr>
                <w:rFonts w:ascii="宋体" w:hAnsi="宋体"/>
                <w:color w:val="auto"/>
                <w:sz w:val="22"/>
                <w:szCs w:val="22"/>
                <w:highlight w:val="none"/>
              </w:rPr>
            </w:pPr>
            <w:r>
              <w:rPr>
                <w:rFonts w:hint="eastAsia" w:ascii="宋体" w:hAnsi="宋体"/>
                <w:color w:val="auto"/>
                <w:sz w:val="22"/>
                <w:szCs w:val="22"/>
                <w:highlight w:val="none"/>
              </w:rPr>
              <w:t>0577-55570829</w:t>
            </w:r>
          </w:p>
          <w:p>
            <w:pPr>
              <w:jc w:val="left"/>
              <w:rPr>
                <w:rFonts w:ascii="宋体" w:hAnsi="宋体"/>
                <w:color w:val="auto"/>
                <w:sz w:val="22"/>
                <w:szCs w:val="22"/>
                <w:highlight w:val="none"/>
              </w:rPr>
            </w:pPr>
          </w:p>
        </w:tc>
      </w:tr>
    </w:tbl>
    <w:p>
      <w:pPr>
        <w:jc w:val="center"/>
        <w:rPr>
          <w:rFonts w:ascii="宋体" w:hAnsi="宋体"/>
          <w:color w:val="auto"/>
          <w:sz w:val="22"/>
          <w:szCs w:val="22"/>
          <w:highlight w:val="none"/>
        </w:rPr>
      </w:pPr>
      <w:r>
        <w:rPr>
          <w:rFonts w:ascii="宋体" w:hAnsi="宋体" w:cs="宋体"/>
          <w:color w:val="auto"/>
          <w:sz w:val="22"/>
          <w:szCs w:val="22"/>
          <w:highlight w:val="none"/>
        </w:rPr>
        <w:br w:type="page"/>
      </w:r>
      <w:r>
        <w:rPr>
          <w:rFonts w:hint="eastAsia" w:ascii="宋体" w:hAnsi="宋体"/>
          <w:b/>
          <w:bCs/>
          <w:color w:val="auto"/>
          <w:sz w:val="28"/>
          <w:szCs w:val="28"/>
          <w:highlight w:val="none"/>
        </w:rPr>
        <w:t>温州市政府采购信用融资意向银行选择表</w:t>
      </w:r>
    </w:p>
    <w:p>
      <w:pPr>
        <w:jc w:val="center"/>
        <w:rPr>
          <w:rFonts w:ascii="宋体" w:hAnsi="宋体"/>
          <w:color w:val="auto"/>
          <w:sz w:val="22"/>
          <w:szCs w:val="22"/>
          <w:highlight w:val="none"/>
        </w:rPr>
      </w:pPr>
      <w:r>
        <w:rPr>
          <w:rFonts w:hint="eastAsia" w:ascii="宋体" w:hAnsi="宋体"/>
          <w:color w:val="auto"/>
          <w:sz w:val="22"/>
          <w:szCs w:val="22"/>
          <w:highlight w:val="none"/>
        </w:rPr>
        <w:t>（温州市供应商填写）</w:t>
      </w:r>
    </w:p>
    <w:tbl>
      <w:tblPr>
        <w:tblStyle w:val="2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pPr>
              <w:pStyle w:val="70"/>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企业名称</w:t>
            </w:r>
          </w:p>
        </w:tc>
        <w:tc>
          <w:tcPr>
            <w:tcW w:w="8221" w:type="dxa"/>
            <w:gridSpan w:val="5"/>
            <w:shd w:val="clear" w:color="auto" w:fill="auto"/>
          </w:tcPr>
          <w:p>
            <w:pPr>
              <w:pStyle w:val="70"/>
              <w:spacing w:line="360" w:lineRule="auto"/>
              <w:ind w:firstLine="0" w:firstLineChars="0"/>
              <w:jc w:val="center"/>
              <w:rPr>
                <w:rFonts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pPr>
              <w:pStyle w:val="70"/>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企业注册地</w:t>
            </w:r>
          </w:p>
        </w:tc>
        <w:tc>
          <w:tcPr>
            <w:tcW w:w="3685" w:type="dxa"/>
            <w:gridSpan w:val="2"/>
            <w:shd w:val="clear" w:color="auto" w:fill="auto"/>
          </w:tcPr>
          <w:p>
            <w:pPr>
              <w:pStyle w:val="70"/>
              <w:spacing w:line="360" w:lineRule="auto"/>
              <w:ind w:firstLine="0" w:firstLineChars="0"/>
              <w:jc w:val="center"/>
              <w:rPr>
                <w:rFonts w:ascii="宋体" w:hAnsi="宋体" w:eastAsia="宋体" w:cs="宋体"/>
                <w:color w:val="auto"/>
                <w:kern w:val="0"/>
                <w:sz w:val="22"/>
                <w:szCs w:val="22"/>
                <w:highlight w:val="none"/>
              </w:rPr>
            </w:pPr>
          </w:p>
        </w:tc>
        <w:tc>
          <w:tcPr>
            <w:tcW w:w="2410" w:type="dxa"/>
            <w:gridSpan w:val="2"/>
            <w:shd w:val="clear" w:color="auto" w:fill="auto"/>
          </w:tcPr>
          <w:p>
            <w:pPr>
              <w:pStyle w:val="70"/>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是否有融资意向</w:t>
            </w:r>
          </w:p>
        </w:tc>
        <w:tc>
          <w:tcPr>
            <w:tcW w:w="2126" w:type="dxa"/>
            <w:shd w:val="clear" w:color="auto" w:fill="auto"/>
          </w:tcPr>
          <w:p>
            <w:pPr>
              <w:pStyle w:val="70"/>
              <w:spacing w:line="360" w:lineRule="auto"/>
              <w:ind w:firstLine="0" w:firstLineChars="0"/>
              <w:jc w:val="center"/>
              <w:rPr>
                <w:rFonts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shd w:val="clear" w:color="auto" w:fill="auto"/>
          </w:tcPr>
          <w:p>
            <w:pPr>
              <w:pStyle w:val="70"/>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融资联系人</w:t>
            </w:r>
          </w:p>
        </w:tc>
        <w:tc>
          <w:tcPr>
            <w:tcW w:w="2268" w:type="dxa"/>
            <w:shd w:val="clear" w:color="auto" w:fill="auto"/>
          </w:tcPr>
          <w:p>
            <w:pPr>
              <w:pStyle w:val="70"/>
              <w:spacing w:line="360" w:lineRule="auto"/>
              <w:ind w:firstLine="0" w:firstLineChars="0"/>
              <w:jc w:val="center"/>
              <w:rPr>
                <w:rFonts w:ascii="宋体" w:hAnsi="宋体" w:eastAsia="宋体" w:cs="宋体"/>
                <w:color w:val="auto"/>
                <w:kern w:val="0"/>
                <w:sz w:val="22"/>
                <w:szCs w:val="22"/>
                <w:highlight w:val="none"/>
              </w:rPr>
            </w:pPr>
          </w:p>
        </w:tc>
        <w:tc>
          <w:tcPr>
            <w:tcW w:w="2268" w:type="dxa"/>
            <w:gridSpan w:val="2"/>
            <w:shd w:val="clear" w:color="auto" w:fill="auto"/>
          </w:tcPr>
          <w:p>
            <w:pPr>
              <w:pStyle w:val="70"/>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联系方式</w:t>
            </w:r>
          </w:p>
        </w:tc>
        <w:tc>
          <w:tcPr>
            <w:tcW w:w="3685" w:type="dxa"/>
            <w:gridSpan w:val="2"/>
            <w:shd w:val="clear" w:color="auto" w:fill="auto"/>
          </w:tcPr>
          <w:p>
            <w:pPr>
              <w:pStyle w:val="70"/>
              <w:spacing w:line="360" w:lineRule="auto"/>
              <w:ind w:firstLine="0" w:firstLineChars="0"/>
              <w:jc w:val="center"/>
              <w:rPr>
                <w:rFonts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vAlign w:val="center"/>
          </w:tcPr>
          <w:p>
            <w:pPr>
              <w:pStyle w:val="70"/>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温州市政府采购信用融资合作银行</w:t>
            </w:r>
          </w:p>
        </w:tc>
        <w:tc>
          <w:tcPr>
            <w:tcW w:w="3685" w:type="dxa"/>
            <w:gridSpan w:val="2"/>
            <w:shd w:val="clear" w:color="auto" w:fill="auto"/>
          </w:tcPr>
          <w:p>
            <w:pPr>
              <w:pStyle w:val="70"/>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温州银行股份有限公司温州分行</w:t>
            </w:r>
          </w:p>
        </w:tc>
        <w:tc>
          <w:tcPr>
            <w:tcW w:w="3685" w:type="dxa"/>
            <w:gridSpan w:val="2"/>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温州银行股份有限公司鹿城分行</w:t>
            </w:r>
          </w:p>
        </w:tc>
        <w:tc>
          <w:tcPr>
            <w:tcW w:w="3685" w:type="dxa"/>
            <w:gridSpan w:val="2"/>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中国工商银行股份有限公司温州分行</w:t>
            </w:r>
          </w:p>
        </w:tc>
        <w:tc>
          <w:tcPr>
            <w:tcW w:w="3685" w:type="dxa"/>
            <w:gridSpan w:val="2"/>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shd w:val="clear" w:color="auto" w:fill="auto"/>
          </w:tcPr>
          <w:p>
            <w:pPr>
              <w:rPr>
                <w:rFonts w:ascii="宋体" w:hAnsi="宋体" w:cs="宋体"/>
                <w:color w:val="auto"/>
                <w:sz w:val="22"/>
                <w:szCs w:val="22"/>
                <w:highlight w:val="none"/>
              </w:rPr>
            </w:pPr>
            <w:r>
              <w:rPr>
                <w:rFonts w:hint="eastAsia" w:ascii="宋体" w:hAnsi="宋体" w:cs="宋体"/>
                <w:color w:val="auto"/>
                <w:sz w:val="22"/>
                <w:szCs w:val="22"/>
                <w:highlight w:val="none"/>
              </w:rPr>
              <w:t>中国建设银行股份有限公司温州分行</w:t>
            </w:r>
          </w:p>
        </w:tc>
        <w:tc>
          <w:tcPr>
            <w:tcW w:w="3685" w:type="dxa"/>
            <w:gridSpan w:val="2"/>
            <w:shd w:val="clear" w:color="auto" w:fill="auto"/>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4" w:type="dxa"/>
            <w:gridSpan w:val="4"/>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中国邮政储蓄银行股份有限公司温州市分行</w:t>
            </w:r>
          </w:p>
        </w:tc>
        <w:tc>
          <w:tcPr>
            <w:tcW w:w="3685" w:type="dxa"/>
            <w:gridSpan w:val="2"/>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中国民生银行股份有限公司温州分行</w:t>
            </w:r>
          </w:p>
        </w:tc>
        <w:tc>
          <w:tcPr>
            <w:tcW w:w="3685" w:type="dxa"/>
            <w:gridSpan w:val="2"/>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宁波银行股份有限公司温州分行</w:t>
            </w:r>
          </w:p>
        </w:tc>
        <w:tc>
          <w:tcPr>
            <w:tcW w:w="3685" w:type="dxa"/>
            <w:gridSpan w:val="2"/>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杭州银行股份有限公司温州分行</w:t>
            </w:r>
          </w:p>
        </w:tc>
        <w:tc>
          <w:tcPr>
            <w:tcW w:w="3685" w:type="dxa"/>
            <w:gridSpan w:val="2"/>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招商银行股份有限公司温州分行</w:t>
            </w:r>
          </w:p>
        </w:tc>
        <w:tc>
          <w:tcPr>
            <w:tcW w:w="3685" w:type="dxa"/>
            <w:gridSpan w:val="2"/>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兴业银行股份有限公司温州分行</w:t>
            </w:r>
          </w:p>
        </w:tc>
        <w:tc>
          <w:tcPr>
            <w:tcW w:w="3685" w:type="dxa"/>
            <w:gridSpan w:val="2"/>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交通银行股份有限公司温州分行</w:t>
            </w:r>
          </w:p>
        </w:tc>
        <w:tc>
          <w:tcPr>
            <w:tcW w:w="3685" w:type="dxa"/>
            <w:gridSpan w:val="2"/>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上海浦东发展银行股份有限公司温州分行</w:t>
            </w:r>
          </w:p>
        </w:tc>
        <w:tc>
          <w:tcPr>
            <w:tcW w:w="3685" w:type="dxa"/>
            <w:gridSpan w:val="2"/>
            <w:shd w:val="clear" w:color="auto" w:fill="auto"/>
          </w:tcPr>
          <w:p>
            <w:pPr>
              <w:pStyle w:val="70"/>
              <w:spacing w:line="360" w:lineRule="auto"/>
              <w:ind w:firstLine="0" w:firstLineChars="0"/>
              <w:rPr>
                <w:rFonts w:ascii="宋体" w:hAnsi="宋体" w:eastAsia="宋体" w:cs="宋体"/>
                <w:color w:val="auto"/>
                <w:kern w:val="0"/>
                <w:sz w:val="22"/>
                <w:szCs w:val="22"/>
                <w:highlight w:val="none"/>
              </w:rPr>
            </w:pPr>
          </w:p>
        </w:tc>
      </w:tr>
    </w:tbl>
    <w:p>
      <w:pPr>
        <w:rPr>
          <w:rFonts w:ascii="宋体" w:hAnsi="宋体"/>
          <w:color w:val="auto"/>
          <w:sz w:val="22"/>
          <w:szCs w:val="22"/>
          <w:highlight w:val="none"/>
        </w:rPr>
      </w:pPr>
    </w:p>
    <w:p>
      <w:pPr>
        <w:rPr>
          <w:rFonts w:ascii="宋体" w:hAnsi="宋体"/>
          <w:color w:val="auto"/>
          <w:sz w:val="22"/>
          <w:szCs w:val="22"/>
          <w:highlight w:val="none"/>
        </w:rPr>
      </w:pPr>
      <w:r>
        <w:rPr>
          <w:rFonts w:hint="eastAsia" w:ascii="宋体" w:hAnsi="宋体"/>
          <w:color w:val="auto"/>
          <w:sz w:val="22"/>
          <w:szCs w:val="22"/>
          <w:highlight w:val="none"/>
        </w:rPr>
        <w:t>注：1、本表填写对象为注册地在温州市域内的供应商。</w:t>
      </w:r>
    </w:p>
    <w:p>
      <w:pPr>
        <w:spacing w:line="588" w:lineRule="exact"/>
        <w:ind w:firstLine="446" w:firstLineChars="200"/>
        <w:rPr>
          <w:rFonts w:ascii="宋体" w:hAnsi="宋体" w:cs="宋体"/>
          <w:b/>
          <w:color w:val="auto"/>
          <w:sz w:val="22"/>
          <w:szCs w:val="22"/>
          <w:highlight w:val="none"/>
        </w:rPr>
      </w:pPr>
      <w:r>
        <w:rPr>
          <w:rFonts w:hint="eastAsia" w:ascii="宋体" w:hAnsi="宋体"/>
          <w:color w:val="auto"/>
          <w:sz w:val="22"/>
          <w:szCs w:val="22"/>
          <w:highlight w:val="none"/>
        </w:rPr>
        <w:t>2、财政部门根据企业自行选择，将本表及企业相关信息推送至相对应的融资意向银行经办人。</w:t>
      </w:r>
    </w:p>
    <w:p>
      <w:pPr>
        <w:spacing w:line="440" w:lineRule="atLeast"/>
        <w:jc w:val="left"/>
        <w:rPr>
          <w:rFonts w:ascii="宋体"/>
          <w:b/>
          <w:bCs/>
          <w:color w:val="auto"/>
          <w:sz w:val="22"/>
          <w:szCs w:val="22"/>
          <w:highlight w:val="none"/>
        </w:rPr>
      </w:pPr>
      <w:r>
        <w:rPr>
          <w:rFonts w:ascii="宋体" w:hAnsi="宋体"/>
          <w:color w:val="auto"/>
          <w:sz w:val="36"/>
          <w:highlight w:val="none"/>
        </w:rPr>
        <w:br w:type="page"/>
      </w:r>
    </w:p>
    <w:p>
      <w:pPr>
        <w:snapToGrid w:val="0"/>
        <w:spacing w:line="440" w:lineRule="atLeast"/>
        <w:jc w:val="center"/>
        <w:rPr>
          <w:rFonts w:hAnsi="宋体"/>
          <w:color w:val="auto"/>
          <w:sz w:val="24"/>
          <w:highlight w:val="none"/>
        </w:rPr>
      </w:pPr>
      <w:r>
        <w:rPr>
          <w:rFonts w:hint="eastAsia" w:ascii="宋体"/>
          <w:b/>
          <w:bCs/>
          <w:color w:val="auto"/>
          <w:sz w:val="32"/>
          <w:szCs w:val="32"/>
          <w:highlight w:val="none"/>
        </w:rPr>
        <w:t>第五部分</w:t>
      </w:r>
      <w:r>
        <w:rPr>
          <w:rFonts w:ascii="宋体"/>
          <w:b/>
          <w:bCs/>
          <w:color w:val="auto"/>
          <w:sz w:val="32"/>
          <w:szCs w:val="32"/>
          <w:highlight w:val="none"/>
        </w:rPr>
        <w:t xml:space="preserve">  </w:t>
      </w:r>
      <w:r>
        <w:rPr>
          <w:rFonts w:hint="eastAsia" w:ascii="宋体"/>
          <w:b/>
          <w:bCs/>
          <w:color w:val="auto"/>
          <w:sz w:val="32"/>
          <w:szCs w:val="32"/>
          <w:highlight w:val="none"/>
        </w:rPr>
        <w:t>合同格式</w:t>
      </w:r>
      <w:r>
        <w:rPr>
          <w:rFonts w:hAnsi="宋体"/>
          <w:color w:val="auto"/>
          <w:sz w:val="24"/>
          <w:highlight w:val="none"/>
        </w:rPr>
        <w:t xml:space="preserve">                     </w:t>
      </w:r>
    </w:p>
    <w:p>
      <w:pPr>
        <w:autoSpaceDE w:val="0"/>
        <w:autoSpaceDN w:val="0"/>
        <w:adjustRightInd w:val="0"/>
        <w:spacing w:line="360" w:lineRule="exact"/>
        <w:jc w:val="center"/>
        <w:rPr>
          <w:rFonts w:ascii="宋体"/>
          <w:b/>
          <w:bCs/>
          <w:color w:val="auto"/>
          <w:sz w:val="32"/>
          <w:szCs w:val="32"/>
          <w:highlight w:val="none"/>
          <w:lang w:val="zh-CN"/>
        </w:rPr>
      </w:pPr>
    </w:p>
    <w:p>
      <w:pPr>
        <w:spacing w:line="400" w:lineRule="exact"/>
        <w:ind w:firstLine="446" w:firstLineChars="200"/>
        <w:jc w:val="right"/>
        <w:rPr>
          <w:rFonts w:ascii="宋体" w:hAnsi="宋体" w:cs="宋体"/>
          <w:color w:val="auto"/>
          <w:sz w:val="22"/>
          <w:szCs w:val="22"/>
          <w:highlight w:val="none"/>
        </w:rPr>
      </w:pPr>
      <w:r>
        <w:rPr>
          <w:rFonts w:hint="eastAsia" w:ascii="宋体" w:hAnsi="宋体" w:cs="宋体"/>
          <w:color w:val="auto"/>
          <w:sz w:val="22"/>
          <w:szCs w:val="22"/>
          <w:highlight w:val="none"/>
        </w:rPr>
        <w:t>合同编号：</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甲方：泰顺县综合行政执法局 </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乙方：本次中标单位 </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根据相关法律、法规、政策，甲、乙方双方在自愿、平等、协商一致的基础上，就甲方选聘乙方对</w:t>
      </w:r>
      <w:r>
        <w:rPr>
          <w:rFonts w:hint="eastAsia" w:ascii="宋体" w:hAnsi="宋体" w:cs="宋体"/>
          <w:color w:val="auto"/>
          <w:sz w:val="22"/>
          <w:szCs w:val="22"/>
          <w:highlight w:val="none"/>
          <w:u w:val="single"/>
        </w:rPr>
        <w:t>泰顺县城区生活垃圾再生资源回收利用采购项目（采购编号：</w:t>
      </w:r>
      <w:r>
        <w:rPr>
          <w:rFonts w:hint="eastAsia" w:ascii="宋体" w:hAnsi="宋体" w:cs="宋体"/>
          <w:color w:val="auto"/>
          <w:sz w:val="22"/>
          <w:szCs w:val="22"/>
          <w:highlight w:val="none"/>
          <w:u w:val="single"/>
          <w:lang w:eastAsia="zh-CN"/>
        </w:rPr>
        <w:t>TSCG202302002</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rPr>
        <w:t>提供管理服务事宜，订立本合同。</w:t>
      </w:r>
    </w:p>
    <w:p>
      <w:pPr>
        <w:adjustRightInd w:val="0"/>
        <w:spacing w:line="400" w:lineRule="exact"/>
        <w:ind w:firstLine="446" w:firstLineChars="200"/>
        <w:jc w:val="left"/>
        <w:textAlignment w:val="baseline"/>
        <w:rPr>
          <w:rFonts w:ascii="宋体" w:hAnsi="宋体" w:cs="宋体"/>
          <w:b/>
          <w:bCs/>
          <w:color w:val="auto"/>
          <w:sz w:val="22"/>
          <w:szCs w:val="22"/>
          <w:highlight w:val="none"/>
        </w:rPr>
      </w:pPr>
      <w:r>
        <w:rPr>
          <w:rFonts w:hint="eastAsia" w:ascii="宋体" w:hAnsi="宋体" w:cs="宋体"/>
          <w:b/>
          <w:bCs/>
          <w:color w:val="auto"/>
          <w:sz w:val="22"/>
          <w:szCs w:val="22"/>
          <w:highlight w:val="none"/>
        </w:rPr>
        <w:t>一、项目背景</w:t>
      </w:r>
    </w:p>
    <w:p>
      <w:pPr>
        <w:snapToGrid w:val="0"/>
        <w:spacing w:line="400" w:lineRule="exact"/>
        <w:ind w:firstLine="436"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加快培育生活垃圾再生资源回收利用市场主体，构建全链条回收利用体系”，是深入贯彻落实习近平总书记关于垃圾分类系列重要指示、省市垃圾治理攻坚大会以及有关文件精神的重要抓手（《浙江省城镇生活垃圾分类管理理办法》《关于加快培育生活垃圾再生资源回收利用市场主体的意见》《关于高水平推进生活垃圾治理工作的意见》《浙江省“无废城市”建设实施方案》。根据县委县政府高水平推进我县城区生活垃圾分类工作，打造全省领先的城区生活垃圾分类“泰顺模式”的指示精神，本项目针对生活垃圾中的可回收物和有害垃圾，前端由居民分类，将生活垃圾中的可回收物和有害垃圾投放至指定专用收集袋，再由中标单位上门收集，将收集袋中的垃圾运送至分拣中心精细化分拣，促进资源回收利用，并对全过程进行智慧化监管。</w:t>
      </w:r>
    </w:p>
    <w:p>
      <w:pPr>
        <w:adjustRightInd w:val="0"/>
        <w:spacing w:line="400" w:lineRule="exact"/>
        <w:ind w:firstLine="446" w:firstLineChars="200"/>
        <w:jc w:val="left"/>
        <w:textAlignment w:val="baseline"/>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二、服务费用：</w:t>
      </w:r>
    </w:p>
    <w:p>
      <w:pPr>
        <w:snapToGrid w:val="0"/>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1、中标单价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元/户/年（大写：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2、总户数：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户</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3、服务总价¥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元/年（大写：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元整每年）</w:t>
      </w:r>
    </w:p>
    <w:p>
      <w:pPr>
        <w:spacing w:line="400" w:lineRule="exact"/>
        <w:ind w:left="20" w:firstLine="446" w:firstLineChars="200"/>
        <w:rPr>
          <w:rFonts w:hint="eastAsia" w:ascii="Times New Roman" w:hAnsi="Times New Roman"/>
          <w:color w:val="auto"/>
          <w:sz w:val="22"/>
          <w:szCs w:val="22"/>
          <w:highlight w:val="none"/>
        </w:rPr>
      </w:pPr>
      <w:r>
        <w:rPr>
          <w:rFonts w:hint="eastAsia" w:ascii="宋体" w:hAnsi="宋体" w:cs="宋体"/>
          <w:b/>
          <w:bCs/>
          <w:color w:val="auto"/>
          <w:sz w:val="22"/>
          <w:szCs w:val="22"/>
          <w:highlight w:val="none"/>
        </w:rPr>
        <w:t>三、服务期限：</w:t>
      </w:r>
      <w:r>
        <w:rPr>
          <w:rFonts w:hint="eastAsia" w:ascii="Times New Roman" w:hAnsi="Times New Roman"/>
          <w:color w:val="auto"/>
          <w:sz w:val="22"/>
          <w:szCs w:val="22"/>
          <w:highlight w:val="none"/>
        </w:rPr>
        <w:t>项目建设准备和试运行期为：180个日历天。</w:t>
      </w:r>
    </w:p>
    <w:p>
      <w:pPr>
        <w:spacing w:line="400" w:lineRule="exact"/>
        <w:ind w:left="20" w:firstLine="446" w:firstLineChars="200"/>
        <w:rPr>
          <w:rFonts w:ascii="宋体" w:hAnsi="宋体" w:cs="宋体"/>
          <w:color w:val="auto"/>
          <w:sz w:val="22"/>
          <w:szCs w:val="22"/>
          <w:highlight w:val="none"/>
        </w:rPr>
      </w:pPr>
      <w:r>
        <w:rPr>
          <w:rFonts w:hint="eastAsia" w:ascii="Times New Roman" w:hAnsi="Times New Roman"/>
          <w:color w:val="auto"/>
          <w:sz w:val="22"/>
          <w:szCs w:val="22"/>
          <w:highlight w:val="none"/>
        </w:rPr>
        <w:t>服务期限：1+1+1年（自项目正式投入运营之日起开始计算），根据上年度平均考核分值为90分以上（含90分）的，可以续签合同，合同为1年1签。第一年以32000户（服务户数为覆盖范围内的住房套数，以下同）为基准支付服务费。第二年起，如服务户数不足32000户，按照实际覆盖户数支付服务费；实际服务户数在35000户以下，仍按照32000户支付服务费；如实际服务户数超过35000户，超出35000户的部分，在甲方征得县政府同意后增加预算，根据中标单价，支付相应的服务费</w:t>
      </w:r>
      <w:r>
        <w:rPr>
          <w:rFonts w:hint="eastAsia" w:ascii="Times New Roman" w:hAnsi="Times New Roman"/>
          <w:color w:val="auto"/>
          <w:sz w:val="22"/>
          <w:szCs w:val="22"/>
          <w:highlight w:val="none"/>
          <w:u w:val="single"/>
        </w:rPr>
        <w:t>。</w:t>
      </w:r>
    </w:p>
    <w:p>
      <w:pPr>
        <w:spacing w:line="400" w:lineRule="exact"/>
        <w:ind w:left="20" w:firstLine="446"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四、服务范围及内容：</w:t>
      </w:r>
    </w:p>
    <w:p>
      <w:pPr>
        <w:adjustRightInd w:val="0"/>
        <w:spacing w:line="400" w:lineRule="exact"/>
        <w:ind w:firstLine="446" w:firstLineChars="200"/>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本项目服务范围为纳入服务区域的</w:t>
      </w:r>
      <w:r>
        <w:rPr>
          <w:rFonts w:hint="eastAsia" w:ascii="宋体" w:hAnsi="宋体" w:cs="宋体"/>
          <w:color w:val="auto"/>
          <w:kern w:val="56"/>
          <w:sz w:val="22"/>
          <w:szCs w:val="22"/>
          <w:highlight w:val="none"/>
          <w:shd w:val="clear" w:color="auto" w:fill="FFFFFF"/>
        </w:rPr>
        <w:t>的居民住宅、商铺、企事业单位（工业企业除外）等</w:t>
      </w:r>
      <w:r>
        <w:rPr>
          <w:rFonts w:hint="eastAsia" w:ascii="宋体" w:hAnsi="宋体" w:cs="宋体"/>
          <w:color w:val="auto"/>
          <w:kern w:val="0"/>
          <w:sz w:val="22"/>
          <w:szCs w:val="22"/>
          <w:highlight w:val="none"/>
        </w:rPr>
        <w:t>。</w:t>
      </w:r>
    </w:p>
    <w:tbl>
      <w:tblPr>
        <w:tblStyle w:val="28"/>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6" w:type="pct"/>
            <w:vAlign w:val="center"/>
          </w:tcPr>
          <w:p>
            <w:pPr>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区块</w:t>
            </w:r>
          </w:p>
        </w:tc>
        <w:tc>
          <w:tcPr>
            <w:tcW w:w="4013" w:type="pct"/>
            <w:vAlign w:val="center"/>
          </w:tcPr>
          <w:p>
            <w:pPr>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6" w:type="pct"/>
            <w:vMerge w:val="restart"/>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泰顺县城区</w:t>
            </w:r>
          </w:p>
        </w:tc>
        <w:tc>
          <w:tcPr>
            <w:tcW w:w="4013" w:type="pct"/>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东龙社区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6" w:type="pct"/>
            <w:vMerge w:val="continue"/>
            <w:vAlign w:val="center"/>
          </w:tcPr>
          <w:p>
            <w:pPr>
              <w:spacing w:line="400" w:lineRule="exact"/>
              <w:jc w:val="center"/>
              <w:rPr>
                <w:rFonts w:ascii="宋体" w:hAnsi="宋体" w:cs="宋体"/>
                <w:color w:val="auto"/>
                <w:sz w:val="22"/>
                <w:szCs w:val="22"/>
                <w:highlight w:val="none"/>
              </w:rPr>
            </w:pPr>
          </w:p>
        </w:tc>
        <w:tc>
          <w:tcPr>
            <w:tcW w:w="4013" w:type="pct"/>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南洋社区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6" w:type="pct"/>
            <w:vMerge w:val="continue"/>
            <w:vAlign w:val="center"/>
          </w:tcPr>
          <w:p>
            <w:pPr>
              <w:spacing w:line="400" w:lineRule="exact"/>
              <w:jc w:val="center"/>
              <w:rPr>
                <w:rFonts w:ascii="宋体" w:hAnsi="宋体" w:cs="宋体"/>
                <w:color w:val="auto"/>
                <w:sz w:val="22"/>
                <w:szCs w:val="22"/>
                <w:highlight w:val="none"/>
              </w:rPr>
            </w:pPr>
          </w:p>
        </w:tc>
        <w:tc>
          <w:tcPr>
            <w:tcW w:w="4013" w:type="pct"/>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6" w:type="pct"/>
            <w:vMerge w:val="continue"/>
            <w:vAlign w:val="center"/>
          </w:tcPr>
          <w:p>
            <w:pPr>
              <w:spacing w:line="400" w:lineRule="exact"/>
              <w:jc w:val="center"/>
              <w:rPr>
                <w:rFonts w:ascii="宋体" w:hAnsi="宋体" w:cs="宋体"/>
                <w:color w:val="auto"/>
                <w:sz w:val="22"/>
                <w:szCs w:val="22"/>
                <w:highlight w:val="none"/>
              </w:rPr>
            </w:pPr>
          </w:p>
        </w:tc>
        <w:tc>
          <w:tcPr>
            <w:tcW w:w="4013" w:type="pct"/>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万罗社区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6" w:type="pct"/>
            <w:vMerge w:val="continue"/>
            <w:vAlign w:val="center"/>
          </w:tcPr>
          <w:p>
            <w:pPr>
              <w:spacing w:line="400" w:lineRule="exact"/>
              <w:jc w:val="center"/>
              <w:rPr>
                <w:rFonts w:ascii="宋体" w:hAnsi="宋体" w:cs="宋体"/>
                <w:color w:val="auto"/>
                <w:sz w:val="22"/>
                <w:szCs w:val="22"/>
                <w:highlight w:val="none"/>
              </w:rPr>
            </w:pPr>
          </w:p>
        </w:tc>
        <w:tc>
          <w:tcPr>
            <w:tcW w:w="4013" w:type="pct"/>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文祥社区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6" w:type="pct"/>
            <w:vMerge w:val="continue"/>
            <w:vAlign w:val="center"/>
          </w:tcPr>
          <w:p>
            <w:pPr>
              <w:spacing w:line="400" w:lineRule="exact"/>
              <w:jc w:val="center"/>
              <w:rPr>
                <w:rFonts w:ascii="宋体" w:hAnsi="宋体" w:cs="宋体"/>
                <w:color w:val="auto"/>
                <w:sz w:val="22"/>
                <w:szCs w:val="22"/>
                <w:highlight w:val="none"/>
              </w:rPr>
            </w:pPr>
          </w:p>
        </w:tc>
        <w:tc>
          <w:tcPr>
            <w:tcW w:w="4013" w:type="pct"/>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金湖社区</w:t>
            </w:r>
          </w:p>
        </w:tc>
      </w:tr>
    </w:tbl>
    <w:p>
      <w:pPr>
        <w:adjustRightInd w:val="0"/>
        <w:snapToGrid w:val="0"/>
        <w:spacing w:after="120" w:line="400" w:lineRule="exact"/>
        <w:ind w:firstLine="223" w:firstLineChars="100"/>
        <w:rPr>
          <w:rFonts w:ascii="宋体" w:hAnsi="宋体" w:cs="宋体"/>
          <w:color w:val="auto"/>
          <w:sz w:val="22"/>
          <w:szCs w:val="22"/>
          <w:highlight w:val="none"/>
        </w:rPr>
      </w:pP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1、生活垃圾分类方式</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针对</w:t>
      </w:r>
      <w:r>
        <w:rPr>
          <w:rFonts w:hint="eastAsia" w:ascii="宋体" w:hAnsi="宋体" w:cs="宋体"/>
          <w:color w:val="auto"/>
          <w:kern w:val="56"/>
          <w:sz w:val="22"/>
          <w:szCs w:val="22"/>
          <w:highlight w:val="none"/>
          <w:shd w:val="clear" w:color="auto" w:fill="FFFFFF"/>
        </w:rPr>
        <w:t>居民住宅、商铺、企事业单位（工业企业除外）等</w:t>
      </w:r>
      <w:r>
        <w:rPr>
          <w:rFonts w:hint="eastAsia" w:ascii="宋体" w:hAnsi="宋体" w:cs="宋体"/>
          <w:bCs/>
          <w:color w:val="auto"/>
          <w:sz w:val="22"/>
          <w:szCs w:val="22"/>
          <w:highlight w:val="none"/>
        </w:rPr>
        <w:t xml:space="preserve">，将生活垃圾中的可回收物和有害垃圾分类投放至中标单位提供的专用收集袋内。 </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1.1可回收物类</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包括玻璃类、金属类、塑料类、纸类、纺织类、废弃电子产品类、废纸铝塑复合包装等（以《浙江省城镇生活垃圾分类标准》中的垃圾类别为准）。</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1.2有害垃圾类</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废电池类、废灯管灯泡类、家用化学品类、显影胶片、废水银温度计等（以《浙江省城镇生活垃圾分类标准》中的垃圾类别为准）。</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2、生活垃圾收运流程</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2.1配置服务站</w:t>
      </w:r>
    </w:p>
    <w:p>
      <w:pPr>
        <w:tabs>
          <w:tab w:val="left" w:pos="1200"/>
        </w:tabs>
        <w:adjustRightInd w:val="0"/>
        <w:snapToGrid w:val="0"/>
        <w:spacing w:line="400" w:lineRule="exact"/>
        <w:ind w:firstLine="669" w:firstLineChars="300"/>
        <w:rPr>
          <w:rFonts w:ascii="宋体" w:hAnsi="宋体" w:cs="宋体"/>
          <w:bCs/>
          <w:color w:val="auto"/>
          <w:sz w:val="22"/>
          <w:szCs w:val="22"/>
          <w:highlight w:val="none"/>
        </w:rPr>
      </w:pPr>
      <w:r>
        <w:rPr>
          <w:rFonts w:hint="eastAsia" w:ascii="宋体" w:hAnsi="宋体" w:cs="宋体"/>
          <w:bCs/>
          <w:color w:val="auto"/>
          <w:sz w:val="22"/>
          <w:szCs w:val="22"/>
          <w:highlight w:val="none"/>
        </w:rPr>
        <w:t>统一按照平均2000户左右居民为单位，建设1个服务站。服务站用房由中标方负责租赁，租赁费用包含在采购费用中。中标方负责配置上门回收人员、回收工具、收运车辆等。</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2.2前端分类</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（1）建立居民垃圾分类回收呼叫信息平台，建立企业与居民互动的APP、微信号等实时呼叫系统，该系统向居民展示生活垃圾的分类方式、呼叫通道、呼叫信息，生活垃圾分类回收信息实时纳入信息平台。</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定期向用户发放专用收集袋、收集袋支架和居民分类手册。可回收物专用收集袋和支架是垃圾分类体系的最前端，收集袋的设计容量平均可装纳约10kg可回收物。由街道、社区组织，协助中标方向居民发放专用生活垃圾收集袋、支架以及垃圾分类手册，中标方按照采购人的要求对居民进行分类投放指导，相关费用由中标方承担。</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（3）分类投放。居民根据《浙江省城镇生活垃圾分类标准》中的垃圾类别，将可回收物和有害垃圾投放至专用收集袋中。</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（4）呼叫回收员。居民通过中标方提供的微信公众号、APP等方式，呼叫上门回收服务，回收员必须在1小时内上门服务。</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（5）鼓励措施。为鼓励居民垃圾分类的积极性，对居民投放至收集袋中的可回收物、有害垃圾，给于环保积分奖励，</w:t>
      </w:r>
      <w:r>
        <w:rPr>
          <w:rFonts w:hint="eastAsia" w:ascii="宋体" w:hAnsi="宋体" w:cs="宋体"/>
          <w:bCs/>
          <w:color w:val="auto"/>
          <w:sz w:val="22"/>
          <w:szCs w:val="22"/>
          <w:highlight w:val="none"/>
          <w:lang w:eastAsia="zh-Hans"/>
        </w:rPr>
        <w:t>居民精细分类后单独打包回收的</w:t>
      </w:r>
      <w:r>
        <w:rPr>
          <w:rFonts w:hint="eastAsia" w:ascii="宋体" w:hAnsi="宋体" w:cs="宋体"/>
          <w:bCs/>
          <w:color w:val="auto"/>
          <w:sz w:val="22"/>
          <w:szCs w:val="22"/>
          <w:highlight w:val="none"/>
        </w:rPr>
        <w:t>废纸类垃圾根据市场调节价实施；</w:t>
      </w:r>
      <w:r>
        <w:rPr>
          <w:rFonts w:hint="eastAsia" w:ascii="宋体" w:hAnsi="宋体" w:cs="宋体"/>
          <w:bCs/>
          <w:color w:val="auto"/>
          <w:sz w:val="22"/>
          <w:szCs w:val="22"/>
          <w:highlight w:val="none"/>
          <w:lang w:eastAsia="zh-Hans"/>
        </w:rPr>
        <w:t>放入收集袋内的</w:t>
      </w:r>
      <w:r>
        <w:rPr>
          <w:rFonts w:hint="eastAsia" w:ascii="宋体" w:hAnsi="宋体" w:cs="宋体"/>
          <w:bCs/>
          <w:color w:val="auto"/>
          <w:sz w:val="22"/>
          <w:szCs w:val="22"/>
          <w:highlight w:val="none"/>
        </w:rPr>
        <w:t>玻璃类、纺织物类（衣服、鞋帽、床单被褥等）、</w:t>
      </w:r>
      <w:r>
        <w:rPr>
          <w:rFonts w:hint="eastAsia" w:ascii="宋体" w:hAnsi="宋体" w:cs="宋体"/>
          <w:bCs/>
          <w:color w:val="auto"/>
          <w:sz w:val="22"/>
          <w:szCs w:val="22"/>
          <w:highlight w:val="none"/>
          <w:lang w:eastAsia="zh-Hans"/>
        </w:rPr>
        <w:t>金属、塑料和零散的废纸</w:t>
      </w:r>
      <w:r>
        <w:rPr>
          <w:rFonts w:hint="eastAsia" w:ascii="宋体" w:hAnsi="宋体" w:cs="宋体"/>
          <w:bCs/>
          <w:color w:val="auto"/>
          <w:sz w:val="22"/>
          <w:szCs w:val="22"/>
          <w:highlight w:val="none"/>
        </w:rPr>
        <w:t>等混合类</w:t>
      </w:r>
      <w:r>
        <w:rPr>
          <w:rFonts w:hint="eastAsia" w:ascii="宋体" w:hAnsi="宋体" w:cs="宋体"/>
          <w:bCs/>
          <w:color w:val="auto"/>
          <w:sz w:val="22"/>
          <w:szCs w:val="22"/>
          <w:highlight w:val="none"/>
          <w:lang w:eastAsia="zh-Hans"/>
        </w:rPr>
        <w:t>可回收物及有害垃圾</w:t>
      </w:r>
      <w:r>
        <w:rPr>
          <w:rFonts w:hint="eastAsia" w:ascii="宋体" w:hAnsi="宋体" w:cs="宋体"/>
          <w:bCs/>
          <w:color w:val="auto"/>
          <w:sz w:val="22"/>
          <w:szCs w:val="22"/>
          <w:highlight w:val="none"/>
        </w:rPr>
        <w:t>按照0.3元/公斤计算。奖励的环保积分存入居民的账户中，积分标准可以由中标方根据市场情况调节（调节后须向采购人报备）。环保积分由中标单位支付，综合考虑在投标报价内。中标方必须满足居民通过互联网平台随时实现商品兑换，不允许中标方采用周、月等集中兑换方式。</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（6）每</w:t>
      </w:r>
      <w:r>
        <w:rPr>
          <w:rFonts w:hint="eastAsia" w:ascii="宋体" w:hAnsi="宋体" w:cs="宋体"/>
          <w:color w:val="auto"/>
          <w:sz w:val="22"/>
          <w:szCs w:val="22"/>
          <w:highlight w:val="none"/>
        </w:rPr>
        <w:t>年组织不少于2场大型宣传活动，每月不少于1次进社区宣传活动，社区宣传覆盖率100%。举办大型宣传活动前应将活动方案递交采购人审核。活动的奖品、照片、工作信息由中标方自行落实完成。</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（7）监管措施。中标方向政府提供垃圾分类信息监管平台，居民投放的垃圾分类信息，实时同步扫描纳入监管平台，住址信息详实到门牌号、居民信息精准到个人、重量信息精准到0.01公斤、投放时间精准到秒。</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2.3中端运输</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（1）日产日清。所有垃圾在服务站集中暂存，每日清运至分拣中心。</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（2）自备物流车辆。中标方自备密闭专用清运车，每个车辆安装GPS系统，车辆轨迹可查。</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（3）监管措施。每个服务站安装视频监控系统，实时监管，防止出现管理漏洞。服务站垃圾暂存重量信息，纳入企业监管系统备查，接受主管部门实时监管抽查。</w:t>
      </w:r>
    </w:p>
    <w:p>
      <w:pPr>
        <w:spacing w:before="156" w:beforeLines="50"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3、生活垃圾末端利用处置要求</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3.1分拣中心</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中标方须自行建立可回收物和有害垃圾分拣中心，允许租赁厂房运营，厂房面积不应低于2500㎡。分拣中心建设规划应符合《再生资源回收体系建设规范》，有害垃圾中转贮存应符合《危险废物贮存污染控制标准》。</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3.2资源化效率</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可回收物和有害垃圾在分拣中心进行精细分类，分类的品种不少于40种，分拣后再生原料的利用率达到95%以上。</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3.3分类垃圾去向</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精细分类后的垃圾作为再生原料进入下游资源利用企业，资源利用企业需具备合法经营的资质，5%以下的不可利用的垃圾和有害垃圾，由中标单位委托合法企业进行处置，做到无害化率100%。</w:t>
      </w:r>
    </w:p>
    <w:p>
      <w:pPr>
        <w:spacing w:before="156" w:beforeLines="50" w:line="400" w:lineRule="exact"/>
        <w:ind w:left="643"/>
        <w:rPr>
          <w:rFonts w:ascii="宋体" w:hAnsi="宋体" w:cs="宋体"/>
          <w:bCs/>
          <w:color w:val="auto"/>
          <w:sz w:val="22"/>
          <w:szCs w:val="22"/>
          <w:highlight w:val="none"/>
        </w:rPr>
      </w:pPr>
      <w:r>
        <w:rPr>
          <w:rFonts w:hint="eastAsia" w:ascii="宋体" w:hAnsi="宋体" w:cs="宋体"/>
          <w:bCs/>
          <w:color w:val="auto"/>
          <w:sz w:val="22"/>
          <w:szCs w:val="22"/>
          <w:highlight w:val="none"/>
        </w:rPr>
        <w:t>4、生活垃圾分类信息平台</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中标方必须为政府提供生活垃圾分类信息综合管理平台服务，由中标方投资开发、数据传输、链路租用及运营维护。为便于项目监管，平台对垃圾收集、运输及精细分类相关的数据录入或查询、汇总等功能向采购人开放。</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（1）精准到户的垃圾分类回收实时在线信息；</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垃圾分类统计实时动态信息，做到按照日、月、季度实时查看。包括且不限于：户均垃圾减量情况、居民参与情况、垃圾回收总量、积分发放和兑换信息、垃圾资源化利用情况、分类垃圾的最终去向信息。各类垃圾分类相关台账资料须根据主管部门要求，做到可随时提取、报送。</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（3）垃圾收集、运输及分拣中心的相关监控设施、GPS信息等数据接入。</w:t>
      </w:r>
    </w:p>
    <w:p>
      <w:pPr>
        <w:adjustRightInd w:val="0"/>
        <w:spacing w:line="400" w:lineRule="exact"/>
        <w:ind w:firstLine="446" w:firstLineChars="200"/>
        <w:jc w:val="left"/>
        <w:textAlignment w:val="baseline"/>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五、服务要求</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1、最低投入设施设备一览表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488"/>
        <w:gridCol w:w="1650"/>
        <w:gridCol w:w="4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92"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内容</w:t>
            </w:r>
          </w:p>
        </w:tc>
        <w:tc>
          <w:tcPr>
            <w:tcW w:w="1488"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数量或规模</w:t>
            </w:r>
          </w:p>
        </w:tc>
        <w:tc>
          <w:tcPr>
            <w:tcW w:w="16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配备期限</w:t>
            </w:r>
          </w:p>
        </w:tc>
        <w:tc>
          <w:tcPr>
            <w:tcW w:w="4273"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2"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小区服务站点建设</w:t>
            </w:r>
          </w:p>
        </w:tc>
        <w:tc>
          <w:tcPr>
            <w:tcW w:w="1488"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16个</w:t>
            </w:r>
          </w:p>
        </w:tc>
        <w:tc>
          <w:tcPr>
            <w:tcW w:w="16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w:t>
            </w:r>
          </w:p>
        </w:tc>
        <w:tc>
          <w:tcPr>
            <w:tcW w:w="4273"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配备基本的货架、空调、地秤、系统、监控设备等，统一标识、制度上墙等。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392"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运输车辆（机动车）</w:t>
            </w:r>
          </w:p>
        </w:tc>
        <w:tc>
          <w:tcPr>
            <w:tcW w:w="1488"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4辆 </w:t>
            </w:r>
          </w:p>
        </w:tc>
        <w:tc>
          <w:tcPr>
            <w:tcW w:w="16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w:t>
            </w:r>
          </w:p>
        </w:tc>
        <w:tc>
          <w:tcPr>
            <w:tcW w:w="4273"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必须配置厢式车辆用于中端运输，安装GPS定位设备。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392"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小区运输电动三轮车</w:t>
            </w:r>
          </w:p>
        </w:tc>
        <w:tc>
          <w:tcPr>
            <w:tcW w:w="1488"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32辆</w:t>
            </w:r>
          </w:p>
        </w:tc>
        <w:tc>
          <w:tcPr>
            <w:tcW w:w="16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w:t>
            </w:r>
          </w:p>
        </w:tc>
        <w:tc>
          <w:tcPr>
            <w:tcW w:w="4273"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每个回收员配置一辆电动三轮车，专门用于小区上门回收。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2"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分拣中心</w:t>
            </w:r>
          </w:p>
        </w:tc>
        <w:tc>
          <w:tcPr>
            <w:tcW w:w="1488"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厂房面积不少于2500平方米</w:t>
            </w:r>
          </w:p>
        </w:tc>
        <w:tc>
          <w:tcPr>
            <w:tcW w:w="16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合同签订后90天内，厂房落地。</w:t>
            </w:r>
          </w:p>
        </w:tc>
        <w:tc>
          <w:tcPr>
            <w:tcW w:w="4273"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为使项目尽快落地，允许租赁厂房作为运营。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92"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基建和设备</w:t>
            </w:r>
          </w:p>
        </w:tc>
        <w:tc>
          <w:tcPr>
            <w:tcW w:w="1488"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lang w:eastAsia="zh-Hans"/>
              </w:rPr>
              <w:t>基建</w:t>
            </w:r>
            <w:r>
              <w:rPr>
                <w:rFonts w:hint="eastAsia" w:ascii="宋体" w:hAnsi="宋体" w:cs="宋体"/>
                <w:color w:val="auto"/>
                <w:sz w:val="22"/>
                <w:szCs w:val="22"/>
                <w:highlight w:val="none"/>
              </w:rPr>
              <w:t>投资不少于800万元</w:t>
            </w:r>
          </w:p>
        </w:tc>
        <w:tc>
          <w:tcPr>
            <w:tcW w:w="16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w:t>
            </w:r>
          </w:p>
        </w:tc>
        <w:tc>
          <w:tcPr>
            <w:tcW w:w="4273"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根据投标人垃圾处理的工艺流程，配置机器设备及必要的厂房、</w:t>
            </w:r>
            <w:r>
              <w:rPr>
                <w:rFonts w:hint="eastAsia" w:ascii="宋体" w:hAnsi="宋体" w:cs="宋体"/>
                <w:color w:val="auto"/>
                <w:sz w:val="22"/>
                <w:szCs w:val="22"/>
                <w:highlight w:val="none"/>
                <w:lang w:eastAsia="zh-Hans"/>
              </w:rPr>
              <w:t>车辆、站点、</w:t>
            </w:r>
            <w:r>
              <w:rPr>
                <w:rFonts w:hint="eastAsia" w:ascii="宋体" w:hAnsi="宋体" w:cs="宋体"/>
                <w:color w:val="auto"/>
                <w:sz w:val="22"/>
                <w:szCs w:val="22"/>
                <w:highlight w:val="none"/>
              </w:rPr>
              <w:t>办公区、辅助设施等改造建设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92"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监管平台</w:t>
            </w:r>
          </w:p>
        </w:tc>
        <w:tc>
          <w:tcPr>
            <w:tcW w:w="1488"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1项</w:t>
            </w:r>
          </w:p>
        </w:tc>
        <w:tc>
          <w:tcPr>
            <w:tcW w:w="16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w:t>
            </w:r>
          </w:p>
        </w:tc>
        <w:tc>
          <w:tcPr>
            <w:tcW w:w="4273"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包括系统平台设计开发、运维、数据管理等。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92"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其他设备</w:t>
            </w:r>
          </w:p>
        </w:tc>
        <w:tc>
          <w:tcPr>
            <w:tcW w:w="1488"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手持终端、办公设备等按需配置</w:t>
            </w:r>
          </w:p>
        </w:tc>
        <w:tc>
          <w:tcPr>
            <w:tcW w:w="16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合同签订后90天内。</w:t>
            </w:r>
          </w:p>
        </w:tc>
        <w:tc>
          <w:tcPr>
            <w:tcW w:w="4273"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每名回收员配置手持终端一个，办公设备等其他设备按需配置。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92"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易耗品</w:t>
            </w:r>
          </w:p>
        </w:tc>
        <w:tc>
          <w:tcPr>
            <w:tcW w:w="1488"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每户居民实时上门发放专用收集袋和支架。</w:t>
            </w:r>
          </w:p>
        </w:tc>
        <w:tc>
          <w:tcPr>
            <w:tcW w:w="16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本合同签订后90天内。</w:t>
            </w:r>
          </w:p>
        </w:tc>
        <w:tc>
          <w:tcPr>
            <w:tcW w:w="4273"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投标人根据项目运作特点，按需配置收集袋及支架、宣传品等所需的其他易耗品。</w:t>
            </w:r>
          </w:p>
        </w:tc>
      </w:tr>
    </w:tbl>
    <w:p>
      <w:pPr>
        <w:spacing w:line="400" w:lineRule="exact"/>
        <w:rPr>
          <w:rFonts w:ascii="宋体" w:hAnsi="宋体" w:cs="宋体"/>
          <w:color w:val="auto"/>
          <w:sz w:val="22"/>
          <w:szCs w:val="22"/>
          <w:highlight w:val="none"/>
        </w:rPr>
      </w:pP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2、服务站点要求</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每个服务站点面积为40㎡左右，由中标方进行统一设计、统一装修，统一标识、制度上墙等，站点配置应符合甲方要求。服务站点的租金、装修施工方案及投资预算、服务站点所有水电物业等运维费用由中标方承担。</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3、积分兑换平台要求</w:t>
      </w:r>
    </w:p>
    <w:p>
      <w:pPr>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积分兑换平台由中标方自行负责落实，遵循便利性原则，兑换商品以居民常见的日常物资为主。中标方需提供可供居民随时兑换的互联网平台，满足居民随时兑换的需求，并支持实时提现。</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4、运输车辆</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4.1 根据垃圾上门回收要求，用于小区内运输的电动三轮车必须进行统一标识，规范使用。</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4.2 根据城区运输及项目特点，中标方应保证收集的垃圾日收日清，按需配置。车辆载重在1吨（含）以上，车辆性能及排放标准符合国家及地方相关标准。每辆车安装视频监控及GPS定位设备，车身具有显著的统一标识。</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5、分拣中心</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分拣中心区域设置规范，功能分区合理，厂区环境保持整洁有序。大体应区分为装卸货区、辅料仓库、分拣车间、打包车间、成品存储区、出入库磅房、办公区等组成。根据回收垃圾特点，在分拣中心配备生活垃圾精细分类设备。</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6、系统平台搭建</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根据政府监管要求，中标方配置系统平台，负责运行维护、数据传输、链路租用等费用。系统平台应实现的功能包括但不限于以下要求：</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6.1 呼叫回收服务监管功能</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实时响应用户的呼叫需求，用户呼叫信息、服务人员轨迹和到达信息、服务完成信息同步到监管平台；实时显示工作人员的在线状态、数量、轨迹信息。</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6.2 前端信息采集监管功能</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（1）垃圾分类信息精度要求：垃圾分类信息精确到住户住址门牌号码，具体投放人信息精确到个人，垃圾投放重量信息精确到0.01公斤。</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（2）垃圾分类信息监管的同步要求：居民投放垃圾原始信息（类别、重量、住址、联系方式）同步给监管平台，除网速原因外，不允许有时滞，不允许修改原始信息。</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（3）一袋一码：回收的垃圾按照每袋对应唯一二维码，每袋垃圾可溯源至住户。</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6.3中端清运信息监管功能</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（1）库存信息在线：实时上传各服务站的暂存垃圾重量信息。</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（2）清运信息在线：车辆GPS信息实时在线。</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6.4 末端精细分类信息监管功能</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垃圾组分信息在线录入：为体现垃圾真实分类和资源再生利用的情况，系统提供至少40种以上精细分类后的组分重量比例实时变动信息。</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6.5 统计服务功能</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垃圾分类统计信息：系统自动生成户别、站别、街道及全覆盖范围内的垃圾重量的日、周、月、季度、半年度和年度统计信息；自动生成上述不同维度的动态变化曲线。自动生成覆盖区域内的40种以上垃圾组分的日、周、月、季度、半年度和年度动态统计信息。</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（2）垃圾分类居民参与情况统计信息：实时显示各服务小区的居民垃圾分类参与情况信息，自动生成日、周、月、季度、半年度和年度各小区的居民参与频次的统计信息。</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（3）垃圾分类鼓励积分兑换信息：系统实时提供居民垃圾分类鼓励积分的兑换信息，并且自动生成日、周、月、季度、半年度和年度各小区的居民积分兑换的统计信息。</w:t>
      </w:r>
    </w:p>
    <w:p>
      <w:pPr>
        <w:tabs>
          <w:tab w:val="left" w:pos="1200"/>
        </w:tabs>
        <w:adjustRightInd w:val="0"/>
        <w:snapToGrid w:val="0"/>
        <w:spacing w:line="400" w:lineRule="exact"/>
        <w:ind w:firstLine="446" w:firstLineChars="200"/>
        <w:rPr>
          <w:rFonts w:ascii="宋体" w:hAnsi="宋体" w:cs="宋体"/>
          <w:b/>
          <w:color w:val="auto"/>
          <w:sz w:val="22"/>
          <w:szCs w:val="22"/>
          <w:highlight w:val="none"/>
        </w:rPr>
      </w:pPr>
      <w:r>
        <w:rPr>
          <w:rFonts w:hint="eastAsia" w:ascii="宋体" w:hAnsi="宋体" w:cs="宋体"/>
          <w:b/>
          <w:color w:val="auto"/>
          <w:sz w:val="22"/>
          <w:szCs w:val="22"/>
          <w:highlight w:val="none"/>
        </w:rPr>
        <w:t>六、投入人员要求</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1、最低人员配置一览表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827"/>
        <w:gridCol w:w="1636"/>
        <w:gridCol w:w="3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岗位</w:t>
            </w:r>
          </w:p>
        </w:tc>
        <w:tc>
          <w:tcPr>
            <w:tcW w:w="182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数量</w:t>
            </w:r>
          </w:p>
        </w:tc>
        <w:tc>
          <w:tcPr>
            <w:tcW w:w="163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配备期限</w:t>
            </w:r>
          </w:p>
        </w:tc>
        <w:tc>
          <w:tcPr>
            <w:tcW w:w="352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回收员（前端）</w:t>
            </w:r>
          </w:p>
        </w:tc>
        <w:tc>
          <w:tcPr>
            <w:tcW w:w="182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32人</w:t>
            </w:r>
          </w:p>
        </w:tc>
        <w:tc>
          <w:tcPr>
            <w:tcW w:w="163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本合同签订后90天内</w:t>
            </w:r>
          </w:p>
        </w:tc>
        <w:tc>
          <w:tcPr>
            <w:tcW w:w="352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每个站点不少于2名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宣传员（前端）</w:t>
            </w:r>
          </w:p>
        </w:tc>
        <w:tc>
          <w:tcPr>
            <w:tcW w:w="182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48人</w:t>
            </w:r>
          </w:p>
        </w:tc>
        <w:tc>
          <w:tcPr>
            <w:tcW w:w="163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本合同签订后90天内</w:t>
            </w:r>
          </w:p>
        </w:tc>
        <w:tc>
          <w:tcPr>
            <w:tcW w:w="352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每个站点不少于3名，但只需配置项目运行的前6个月。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驾驶员（中端）</w:t>
            </w:r>
          </w:p>
        </w:tc>
        <w:tc>
          <w:tcPr>
            <w:tcW w:w="182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4人</w:t>
            </w:r>
          </w:p>
        </w:tc>
        <w:tc>
          <w:tcPr>
            <w:tcW w:w="163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本合同签订后90天内</w:t>
            </w:r>
          </w:p>
        </w:tc>
        <w:tc>
          <w:tcPr>
            <w:tcW w:w="352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按每辆车至少配备1名计，机动1名。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行政管理人员</w:t>
            </w:r>
          </w:p>
        </w:tc>
        <w:tc>
          <w:tcPr>
            <w:tcW w:w="182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9人</w:t>
            </w:r>
          </w:p>
        </w:tc>
        <w:tc>
          <w:tcPr>
            <w:tcW w:w="163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本合同签订后90天内</w:t>
            </w:r>
          </w:p>
        </w:tc>
        <w:tc>
          <w:tcPr>
            <w:tcW w:w="352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包括负责人、财务、技术人员、办公室、门卫、保洁等后勤人员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劳动力（分拣中心）</w:t>
            </w:r>
          </w:p>
        </w:tc>
        <w:tc>
          <w:tcPr>
            <w:tcW w:w="1827"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15人</w:t>
            </w:r>
          </w:p>
        </w:tc>
        <w:tc>
          <w:tcPr>
            <w:tcW w:w="1636"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本合同签订后90天内</w:t>
            </w:r>
          </w:p>
        </w:tc>
        <w:tc>
          <w:tcPr>
            <w:tcW w:w="352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包括分拣员和必要的辅助工种。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2250" w:type="dxa"/>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合计</w:t>
            </w:r>
          </w:p>
        </w:tc>
        <w:tc>
          <w:tcPr>
            <w:tcW w:w="6983" w:type="dxa"/>
            <w:gridSpan w:val="3"/>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108人</w:t>
            </w:r>
          </w:p>
        </w:tc>
      </w:tr>
    </w:tbl>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2、为确保项目顺利实施，中标方聘请员工应从电子设备的使用、岗位需求等角度录用年龄、文化素质相匹配的人员，并经培训合格后予以上岗。</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3、中标方聘请工作人员应符合国家法律规定，薪酬发放及社会保险缴纳应按照国家法律及地方有关标准执行。</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4、为体现城镇生活垃圾分类服务的规范化管理，所有人员应统一着装，文明作业，自觉接受采购人及管理部门领导的检查考核和社会监督，对发现的问题要及时整改。</w:t>
      </w:r>
    </w:p>
    <w:p>
      <w:pPr>
        <w:spacing w:line="400" w:lineRule="exact"/>
        <w:ind w:firstLine="446"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七、付款方式：</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1、在合同执行期内，甲方根据年度工作任务针对乙方承包服务质量，组织或委托第三方开展相应次数的考核。</w:t>
      </w:r>
    </w:p>
    <w:p>
      <w:pPr>
        <w:snapToGrid w:val="0"/>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2、支付方式：按月考核，根据季度考核分按季度支付服务费，季度考核分取该季度三个月考核分的平均分：季度考核得分90分（含）以上的，支付该季度费用的100%；季度考核得分85分（含）至90分的，扣减当季度服务费的5%；季度考核得分80分（含）至85分的，扣减当季度服务费的10%；季度考核得分75分（含）至80分的，扣减当季度服务费的15%；季度考核得分70分（含）至75分的，扣减当季度服务费的20%；70分以下为不合格，第一次考核不合格的，扣减当季度服务费的50%；第二次考核不合格的，扣减当季度服务费的100%；第三次考核不合格的，扣减当季度服务费的100%，没收全部履约保证金并终止合同。所有打分精确到小数点后两位,付款前乙方开具符合税务要求的发票给甲方。</w:t>
      </w:r>
    </w:p>
    <w:p>
      <w:pPr>
        <w:tabs>
          <w:tab w:val="left" w:pos="1200"/>
        </w:tabs>
        <w:adjustRightInd w:val="0"/>
        <w:snapToGrid w:val="0"/>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3、供应商未按实施方案、技术方案严格执行或未达到质量要求的项目，采购人即时提出警告，并责令1个月内限期整改，暂缓支付未付款项；供应商在整改限期内不能达标或拒绝整改的，未付款项不予支付并可终止合同。</w:t>
      </w:r>
    </w:p>
    <w:p>
      <w:pPr>
        <w:tabs>
          <w:tab w:val="left" w:pos="1200"/>
        </w:tabs>
        <w:adjustRightInd w:val="0"/>
        <w:snapToGrid w:val="0"/>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4、自双方合同签订之日起为项目建设准备期（    年  月  日止，鼓励提前完成项目建设准备期），分拣中心正式投运之日起三个月为试运营期（分拣中心正式投运之日由甲乙双方确认），试运营期后为正式运营期。</w:t>
      </w:r>
    </w:p>
    <w:p>
      <w:pPr>
        <w:tabs>
          <w:tab w:val="left" w:pos="1200"/>
        </w:tabs>
        <w:adjustRightInd w:val="0"/>
        <w:snapToGrid w:val="0"/>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项目建设准备期：供应商应按规定配置项目正常运营所需的设备设施、系统平台及相关人员配置与培训工作，积极开展项目宣传推广活动，确保项目能顺利运行。供应商在建设准备期设备设施和人员配置未达最低投入要求，或无法正常进入试运营的，采购人可以终止合同，所有损失由供应商承担。如供应商提前完成上述建设准备工作的，经与采购人协商一致后可立即进入项目试运营期。项目建设准备期不计入服务期，不支付服务费。</w:t>
      </w:r>
    </w:p>
    <w:p>
      <w:pPr>
        <w:tabs>
          <w:tab w:val="left" w:pos="1200"/>
        </w:tabs>
        <w:adjustRightInd w:val="0"/>
        <w:snapToGrid w:val="0"/>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试运营期：试运营期间采购人将根据供应商在项目设备设施、人员、车辆、服务站点配置是否达到投标要求，是否开展大型垃圾分类宣传（每月4场），新媒体宣传（每月20篇）方面进行考核，供应商应全面开展服务户数信息采集登记，建立并完善基础服务数据。达到以上要求的全额支付服务费，未达到按完成的应付服务费的70%支付。试运营期结束后供应商不能正常提供服务的，采购人可以终止合同，所有损失由供应商承担。</w:t>
      </w:r>
    </w:p>
    <w:p>
      <w:pPr>
        <w:tabs>
          <w:tab w:val="left" w:pos="1200"/>
        </w:tabs>
        <w:adjustRightInd w:val="0"/>
        <w:snapToGrid w:val="0"/>
        <w:spacing w:line="400" w:lineRule="exact"/>
        <w:ind w:firstLine="446" w:firstLineChars="200"/>
        <w:rPr>
          <w:rFonts w:ascii="宋体" w:hAnsi="宋体" w:cs="宋体"/>
          <w:bCs/>
          <w:color w:val="auto"/>
          <w:sz w:val="22"/>
          <w:szCs w:val="22"/>
          <w:highlight w:val="none"/>
        </w:rPr>
      </w:pPr>
      <w:r>
        <w:rPr>
          <w:rFonts w:hint="eastAsia" w:ascii="宋体" w:hAnsi="宋体" w:cs="宋体"/>
          <w:color w:val="auto"/>
          <w:sz w:val="22"/>
          <w:szCs w:val="22"/>
          <w:highlight w:val="none"/>
        </w:rPr>
        <w:t>正式运营期：供应商应按采购要求提供全部服务，采购人按考核标准考核并支付服务费。正式运营期考核不合格的，采购人责令整改，整改后考核仍然不合格的，采购人可以终止合同，并扣除履约保证金，由此造成的一切后果和所有损失由供应商承担</w:t>
      </w:r>
      <w:r>
        <w:rPr>
          <w:rFonts w:hint="eastAsia" w:ascii="宋体" w:hAnsi="宋体" w:cs="宋体"/>
          <w:bCs/>
          <w:color w:val="auto"/>
          <w:sz w:val="22"/>
          <w:szCs w:val="22"/>
          <w:highlight w:val="none"/>
        </w:rPr>
        <w:t>。</w:t>
      </w:r>
    </w:p>
    <w:p>
      <w:pPr>
        <w:spacing w:line="400" w:lineRule="exact"/>
        <w:ind w:left="426" w:leftChars="200"/>
        <w:rPr>
          <w:rFonts w:ascii="宋体" w:hAnsi="宋体" w:cs="宋体"/>
          <w:color w:val="auto"/>
          <w:sz w:val="22"/>
          <w:szCs w:val="22"/>
          <w:highlight w:val="none"/>
        </w:rPr>
      </w:pPr>
      <w:r>
        <w:rPr>
          <w:rFonts w:hint="eastAsia" w:ascii="宋体" w:hAnsi="宋体" w:cs="宋体"/>
          <w:b/>
          <w:bCs/>
          <w:color w:val="auto"/>
          <w:sz w:val="22"/>
          <w:szCs w:val="22"/>
          <w:highlight w:val="none"/>
        </w:rPr>
        <w:t>八、履约保证金</w:t>
      </w:r>
      <w:r>
        <w:rPr>
          <w:rFonts w:hint="eastAsia" w:ascii="宋体" w:hAnsi="宋体" w:cs="宋体"/>
          <w:color w:val="auto"/>
          <w:sz w:val="22"/>
          <w:szCs w:val="22"/>
          <w:highlight w:val="none"/>
        </w:rPr>
        <w:t>：</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highlight w:val="none"/>
        </w:rPr>
        <w:t>合同签订前，乙方须提供合同金额1%的履约保证金至甲方账户（以转账或者金融机构、担保机构出具的保函等非现金形式提交）</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（项目中标首年金额的1%）元（大写：     ）</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2、甲方应在乙方承诺服务</w:t>
      </w:r>
      <w:r>
        <w:rPr>
          <w:rFonts w:hint="eastAsia" w:ascii="宋体" w:hAnsi="宋体" w:cs="宋体"/>
          <w:color w:val="auto"/>
          <w:sz w:val="22"/>
          <w:szCs w:val="22"/>
          <w:highlight w:val="none"/>
          <w:lang w:val="zh-CN"/>
        </w:rPr>
        <w:t>期满后</w:t>
      </w:r>
      <w:r>
        <w:rPr>
          <w:rFonts w:hint="eastAsia" w:ascii="宋体" w:hAnsi="宋体" w:cs="宋体"/>
          <w:color w:val="auto"/>
          <w:sz w:val="22"/>
          <w:szCs w:val="22"/>
          <w:highlight w:val="none"/>
        </w:rPr>
        <w:t>30日历天内</w:t>
      </w:r>
      <w:r>
        <w:rPr>
          <w:rFonts w:hint="eastAsia" w:ascii="宋体" w:hAnsi="宋体" w:cs="宋体"/>
          <w:color w:val="auto"/>
          <w:sz w:val="22"/>
          <w:szCs w:val="22"/>
          <w:highlight w:val="none"/>
          <w:lang w:val="zh-CN"/>
        </w:rPr>
        <w:t>，在乙方无任何违约、赔偿等情况前提下，将履约保证金原额无息退还给乙方</w:t>
      </w:r>
      <w:r>
        <w:rPr>
          <w:rFonts w:hint="eastAsia" w:ascii="宋体" w:hAnsi="宋体" w:cs="宋体"/>
          <w:color w:val="auto"/>
          <w:sz w:val="22"/>
          <w:szCs w:val="22"/>
          <w:highlight w:val="none"/>
        </w:rPr>
        <w:t>。</w:t>
      </w:r>
    </w:p>
    <w:p>
      <w:pPr>
        <w:spacing w:line="400" w:lineRule="exact"/>
        <w:ind w:left="20" w:firstLine="446"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九、甲方的权利、职责与义务</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1、组织协调：甲方配合协调乙方办理与本项目有关手续、证照。</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2、宣传引导：配合乙方组织、动员街道、社区和物业，营造宣传氛围，协助乙方向居民发放专用生活垃圾收集袋、支架以及垃圾分类手册，由乙方按照甲方的要求对居民进行分类投放指导。并协助乙方服务站选址，配合协助乙方服务站选址、落地和工作人员进出小区，相关费用由中标方承担。</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3、通行保障：甲方配合协调交通管理部门和物业等，向乙方发放物流车辆、三轮车有关的通行证照，协调解决乙方车辆在服务范围和小区内无障碍通行。</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4、分拣中心：乙方租赁分拣中心用房时，甲方予以配合协助。</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5、税收优惠：如企业能争取到税收优惠等政策，甲方应尽量配合。</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6、考核和支付服务费：在正式运行期内，每季度结束后，次月10日前，完成对乙方的考核并向乙方支付服务费。</w:t>
      </w:r>
    </w:p>
    <w:p>
      <w:pPr>
        <w:spacing w:line="400" w:lineRule="exact"/>
        <w:ind w:left="20" w:firstLine="446"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十、乙方的权利、职责与义务</w:t>
      </w:r>
    </w:p>
    <w:p>
      <w:pPr>
        <w:spacing w:before="120" w:after="120"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1、乙方聘用的人员必须跟其签订劳动合同并为其缴纳国家规定的相应社会保险。乙方聘用人员的劳动合同复印件、劳动者清单（含姓名、身份证号、联系方式、聘用岗位、合同期限等基本信息）在项目建设准备期前提供给甲方。</w:t>
      </w:r>
    </w:p>
    <w:p>
      <w:pPr>
        <w:spacing w:before="120" w:after="120"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2、为确保项目顺利实施，乙方聘请员工应从电子设备的使用、岗位需求、录用年龄、文化素质等相匹配的人员，并经培训合格后予以上岗。</w:t>
      </w:r>
    </w:p>
    <w:p>
      <w:pPr>
        <w:spacing w:before="120" w:after="120"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3、乙方聘请工作人员应符合国家法律规定，工资、津贴及加班工资发放应按照国家法律及地方有关标准执行，中标方应设立专门的工资发放账户，保证账户资金充足，如应中标方拖欠工资，采购人概不负责。</w:t>
      </w:r>
    </w:p>
    <w:p>
      <w:pPr>
        <w:spacing w:before="120" w:after="120"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4、人员的数量必须严格按照招标文件要求的进行配备。人员费用至少应包括：人员工资、社保、法定节假日加班工资、高温补贴等费用。</w:t>
      </w:r>
    </w:p>
    <w:p>
      <w:pPr>
        <w:spacing w:before="120" w:after="120"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5、乙方应加强服务规范化管理，所有人员应统一着装，文明作业，自觉接受甲方及管理部门的检查考核和社会监督，对发现的问题要及时整改。</w:t>
      </w:r>
    </w:p>
    <w:p>
      <w:pPr>
        <w:spacing w:before="120" w:after="120"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6、服务期内乙方承诺必须进行上门回收，户均垃圾减量达到0.3公斤/天，资源再生利用率达到95%以上，无害化率达到100%。（户均垃圾减量=收集人员回收的垃圾总量/付款总户数；资源再生利用率=收集人员回收垃圾中的已资源化再生利用的数量/收集人员上门回收的垃圾总量） </w:t>
      </w:r>
    </w:p>
    <w:p>
      <w:pPr>
        <w:spacing w:line="400" w:lineRule="exact"/>
        <w:ind w:left="20" w:firstLine="446" w:firstLineChars="200"/>
        <w:rPr>
          <w:rFonts w:ascii="宋体" w:hAnsi="宋体" w:cs="宋体"/>
          <w:color w:val="auto"/>
          <w:sz w:val="22"/>
          <w:szCs w:val="22"/>
          <w:highlight w:val="none"/>
        </w:rPr>
      </w:pPr>
      <w:r>
        <w:rPr>
          <w:rFonts w:hint="eastAsia" w:ascii="宋体" w:hAnsi="宋体" w:cs="宋体"/>
          <w:b/>
          <w:bCs/>
          <w:color w:val="auto"/>
          <w:sz w:val="22"/>
          <w:szCs w:val="22"/>
          <w:highlight w:val="none"/>
        </w:rPr>
        <w:t>十一、违约责任</w:t>
      </w:r>
      <w:r>
        <w:rPr>
          <w:rFonts w:hint="eastAsia" w:ascii="宋体" w:hAnsi="宋体" w:cs="宋体"/>
          <w:color w:val="auto"/>
          <w:sz w:val="22"/>
          <w:szCs w:val="22"/>
          <w:highlight w:val="none"/>
        </w:rPr>
        <w:t>：</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1、在合同有效期内如因乙方原因造成甲方及用户损失的，甲方有权在履约保证金中扣除。</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2、乙方在合同有效期内,服务质量达不到垃圾减量、及时上门收运等要求，甲方出具书面整改通知书后，乙方必须在收到整改通知书后 7 日内完成整改，每逾期一日，支付违约金1000元。整改中所产生的一切费用由乙方负责。如整改后服务质量仍达不到甲方要求的，甲方将扣除乙方全部履约保证金，同时甲方有权单方面解除合同，并追究乙方由此给甲方带来的一切经济损失。</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3、乙方应在项目建设准备期前完成采购需求中要求的最低设施设备配备、最低人员配置，并经甲方验收合格，每逾期一天将承担1000元的违约金，超过30日的，甲方有权解除本合同并不承担任何违约责任，同时不退还履约保证金，乙方不得要求补偿其投入成本。</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4、乙方应承担的违约金或赔偿等其他由乙方承担的费用，甲方也有权直接在支付给乙方的服务费中或履约保证金中直接抵扣。</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5、甲方应当按照合同约定的期限、方式和数额，及时、足额的向乙方支付服务款。若甲方不能如期按照合同约定支付服务款，乙方有权停止有偿服务，停止期间造成的损失由甲方承担。 </w:t>
      </w:r>
    </w:p>
    <w:p>
      <w:pPr>
        <w:spacing w:line="400" w:lineRule="exact"/>
        <w:ind w:left="20" w:firstLine="446"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十二、不可抗力事件处理</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1、如遇疫情防控或不可抗力事件导致暂停服务，乙方须经甲方允许后暂停服务，暂停服务期间，甲方免于对乙方的考核，全额支付乙方服务费。</w:t>
      </w:r>
    </w:p>
    <w:p>
      <w:pPr>
        <w:spacing w:line="400" w:lineRule="exact"/>
        <w:ind w:firstLine="446" w:firstLineChars="200"/>
        <w:rPr>
          <w:rFonts w:ascii="宋体" w:hAnsi="宋体" w:cs="宋体"/>
          <w:color w:val="auto"/>
          <w:sz w:val="22"/>
          <w:szCs w:val="22"/>
          <w:highlight w:val="none"/>
        </w:rPr>
      </w:pPr>
      <w:r>
        <w:rPr>
          <w:rFonts w:hint="eastAsia" w:ascii="宋体" w:hAnsi="宋体" w:cs="宋体"/>
          <w:b/>
          <w:bCs/>
          <w:color w:val="auto"/>
          <w:sz w:val="22"/>
          <w:szCs w:val="22"/>
          <w:highlight w:val="none"/>
        </w:rPr>
        <w:t>十二、其他约定事项：</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1、乙方在合同有效期内，必须确保所有工作人员的安全,其产生的安全问题,由乙方自行负责。</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2、乙方所聘管理人员在作业时应严格遵守劳动纪律，遵守安全操作规程，确保安全。发生各种意外事故或财产损失均由乙方依照法律法规妥善处理和承担所有法律责任，甲方对此不承担任何法律责任。</w:t>
      </w:r>
    </w:p>
    <w:p>
      <w:pPr>
        <w:spacing w:line="400" w:lineRule="exact"/>
        <w:ind w:left="20"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3、乙方须严格执行投标文件承诺的管理服务方案。</w:t>
      </w:r>
    </w:p>
    <w:p>
      <w:pPr>
        <w:spacing w:line="400" w:lineRule="exact"/>
        <w:ind w:left="20"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4、乙方须根据项目要求于合同签订后两周内在泰顺设立工作驻点，工作驻点要求位置明确、交通便利，利于项目实施，切实保障管理服务工作开展有效落实。</w:t>
      </w:r>
    </w:p>
    <w:p>
      <w:pPr>
        <w:spacing w:line="400" w:lineRule="exact"/>
        <w:ind w:left="20"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5、招标文件、供应商的投标文件以及相关补充文件、澄清文件、特殊承诺等是本合同不可分割的部分。</w:t>
      </w:r>
    </w:p>
    <w:p>
      <w:pPr>
        <w:spacing w:line="400" w:lineRule="exact"/>
        <w:ind w:left="20"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6、本合同中未尽事宜，经双方协商可另行签订补充协议，补充协议与本合同具有同等法律效力。</w:t>
      </w:r>
    </w:p>
    <w:p>
      <w:pPr>
        <w:autoSpaceDE w:val="0"/>
        <w:autoSpaceDN w:val="0"/>
        <w:adjustRightInd w:val="0"/>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7、合同有效期内，乙方及其工作人员与其他单位或个人发生债权、债务纠纷等，与甲方无关。</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十三、本合同在履行中发生争议，由双方协商解决，协商不成双方可选择以下第 2种方式处理：</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1、向</w:t>
      </w:r>
      <w:r>
        <w:rPr>
          <w:rFonts w:hint="eastAsia" w:ascii="宋体" w:hAnsi="宋体" w:cs="宋体"/>
          <w:color w:val="auto"/>
          <w:sz w:val="22"/>
          <w:szCs w:val="22"/>
          <w:highlight w:val="none"/>
          <w:u w:val="single"/>
        </w:rPr>
        <w:t xml:space="preserve">  /  </w:t>
      </w:r>
      <w:r>
        <w:rPr>
          <w:rFonts w:hint="eastAsia" w:ascii="宋体" w:hAnsi="宋体" w:cs="宋体"/>
          <w:color w:val="auto"/>
          <w:sz w:val="22"/>
          <w:szCs w:val="22"/>
          <w:highlight w:val="none"/>
        </w:rPr>
        <w:t>仲裁委员会申请仲裁；</w:t>
      </w:r>
    </w:p>
    <w:p>
      <w:pPr>
        <w:spacing w:line="400" w:lineRule="exact"/>
        <w:ind w:firstLine="446"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2、向</w:t>
      </w:r>
      <w:r>
        <w:rPr>
          <w:rFonts w:hint="eastAsia" w:ascii="宋体" w:hAnsi="宋体" w:cs="宋体"/>
          <w:color w:val="auto"/>
          <w:sz w:val="22"/>
          <w:szCs w:val="22"/>
          <w:highlight w:val="none"/>
          <w:u w:val="single"/>
        </w:rPr>
        <w:t>泰顺县</w:t>
      </w:r>
      <w:r>
        <w:rPr>
          <w:rFonts w:hint="eastAsia" w:ascii="宋体" w:hAnsi="宋体" w:cs="宋体"/>
          <w:color w:val="auto"/>
          <w:sz w:val="22"/>
          <w:szCs w:val="22"/>
          <w:highlight w:val="none"/>
        </w:rPr>
        <w:t>人民法院提起诉讼。</w:t>
      </w:r>
    </w:p>
    <w:p>
      <w:pPr>
        <w:snapToGrid w:val="0"/>
        <w:spacing w:line="400" w:lineRule="exact"/>
        <w:ind w:firstLine="446"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十四、本合同壹式肆份，以中文书就，甲乙双方各执贰份，双方签字并盖章时生效。</w:t>
      </w:r>
    </w:p>
    <w:tbl>
      <w:tblPr>
        <w:tblStyle w:val="28"/>
        <w:tblpPr w:leftFromText="180" w:rightFromText="180" w:vertAnchor="text" w:horzAnchor="page" w:tblpX="1740" w:tblpY="1003"/>
        <w:tblOverlap w:val="never"/>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vAlign w:val="center"/>
          </w:tcPr>
          <w:p>
            <w:pPr>
              <w:snapToGrid w:val="0"/>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甲方：                （盖章）    </w:t>
            </w:r>
          </w:p>
        </w:tc>
        <w:tc>
          <w:tcPr>
            <w:tcW w:w="4643" w:type="dxa"/>
            <w:tcBorders>
              <w:top w:val="nil"/>
              <w:left w:val="nil"/>
              <w:bottom w:val="nil"/>
              <w:right w:val="nil"/>
            </w:tcBorders>
            <w:vAlign w:val="center"/>
          </w:tcPr>
          <w:p>
            <w:pPr>
              <w:snapToGrid w:val="0"/>
              <w:spacing w:line="400" w:lineRule="exact"/>
              <w:ind w:firstLine="436"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乙方：               （盖章）     </w:t>
            </w:r>
          </w:p>
        </w:tc>
      </w:tr>
      <w:tr>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vAlign w:val="center"/>
          </w:tcPr>
          <w:p>
            <w:pPr>
              <w:snapToGrid w:val="0"/>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法定代表人：          （签字）    </w:t>
            </w:r>
          </w:p>
        </w:tc>
        <w:tc>
          <w:tcPr>
            <w:tcW w:w="4643" w:type="dxa"/>
            <w:tcBorders>
              <w:top w:val="nil"/>
              <w:left w:val="nil"/>
              <w:bottom w:val="nil"/>
              <w:right w:val="nil"/>
            </w:tcBorders>
            <w:vAlign w:val="center"/>
          </w:tcPr>
          <w:p>
            <w:pPr>
              <w:snapToGrid w:val="0"/>
              <w:spacing w:line="400" w:lineRule="exact"/>
              <w:ind w:firstLine="436"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法定代表人：         （签字）     </w:t>
            </w:r>
          </w:p>
        </w:tc>
      </w:tr>
      <w:tr>
        <w:tblPrEx>
          <w:tblCellMar>
            <w:top w:w="0" w:type="dxa"/>
            <w:left w:w="108" w:type="dxa"/>
            <w:bottom w:w="0" w:type="dxa"/>
            <w:right w:w="108" w:type="dxa"/>
          </w:tblCellMar>
        </w:tblPrEx>
        <w:trPr>
          <w:trHeight w:val="385" w:hRule="atLeast"/>
        </w:trPr>
        <w:tc>
          <w:tcPr>
            <w:tcW w:w="4643" w:type="dxa"/>
            <w:tcBorders>
              <w:top w:val="nil"/>
              <w:left w:val="nil"/>
              <w:bottom w:val="nil"/>
              <w:right w:val="nil"/>
            </w:tcBorders>
            <w:vAlign w:val="center"/>
          </w:tcPr>
          <w:p>
            <w:pPr>
              <w:snapToGrid w:val="0"/>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地址：</w:t>
            </w:r>
          </w:p>
        </w:tc>
        <w:tc>
          <w:tcPr>
            <w:tcW w:w="4643" w:type="dxa"/>
            <w:tcBorders>
              <w:top w:val="nil"/>
              <w:left w:val="nil"/>
              <w:bottom w:val="nil"/>
              <w:right w:val="nil"/>
            </w:tcBorders>
            <w:vAlign w:val="center"/>
          </w:tcPr>
          <w:p>
            <w:pPr>
              <w:snapToGrid w:val="0"/>
              <w:spacing w:line="400" w:lineRule="exact"/>
              <w:ind w:firstLine="436"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地址：</w:t>
            </w:r>
          </w:p>
        </w:tc>
      </w:tr>
      <w:tr>
        <w:tblPrEx>
          <w:tblCellMar>
            <w:top w:w="0" w:type="dxa"/>
            <w:left w:w="108" w:type="dxa"/>
            <w:bottom w:w="0" w:type="dxa"/>
            <w:right w:w="108" w:type="dxa"/>
          </w:tblCellMar>
        </w:tblPrEx>
        <w:trPr>
          <w:trHeight w:val="460" w:hRule="atLeast"/>
        </w:trPr>
        <w:tc>
          <w:tcPr>
            <w:tcW w:w="4643" w:type="dxa"/>
            <w:tcBorders>
              <w:top w:val="nil"/>
              <w:left w:val="nil"/>
              <w:bottom w:val="nil"/>
              <w:right w:val="nil"/>
            </w:tcBorders>
            <w:vAlign w:val="center"/>
          </w:tcPr>
          <w:p>
            <w:pPr>
              <w:snapToGrid w:val="0"/>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联系方式：</w:t>
            </w:r>
          </w:p>
        </w:tc>
        <w:tc>
          <w:tcPr>
            <w:tcW w:w="4643" w:type="dxa"/>
            <w:tcBorders>
              <w:top w:val="nil"/>
              <w:left w:val="nil"/>
              <w:bottom w:val="nil"/>
              <w:right w:val="nil"/>
            </w:tcBorders>
            <w:vAlign w:val="center"/>
          </w:tcPr>
          <w:p>
            <w:pPr>
              <w:snapToGrid w:val="0"/>
              <w:spacing w:line="400" w:lineRule="exact"/>
              <w:ind w:firstLine="436"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联系方式：</w:t>
            </w:r>
          </w:p>
        </w:tc>
      </w:tr>
      <w:tr>
        <w:tblPrEx>
          <w:tblCellMar>
            <w:top w:w="0" w:type="dxa"/>
            <w:left w:w="108" w:type="dxa"/>
            <w:bottom w:w="0" w:type="dxa"/>
            <w:right w:w="108" w:type="dxa"/>
          </w:tblCellMar>
        </w:tblPrEx>
        <w:trPr>
          <w:trHeight w:val="310" w:hRule="atLeast"/>
        </w:trPr>
        <w:tc>
          <w:tcPr>
            <w:tcW w:w="4643" w:type="dxa"/>
            <w:tcBorders>
              <w:top w:val="nil"/>
              <w:left w:val="nil"/>
              <w:bottom w:val="nil"/>
              <w:right w:val="nil"/>
            </w:tcBorders>
            <w:vAlign w:val="center"/>
          </w:tcPr>
          <w:p>
            <w:pPr>
              <w:snapToGrid w:val="0"/>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开户银行：</w:t>
            </w:r>
          </w:p>
        </w:tc>
        <w:tc>
          <w:tcPr>
            <w:tcW w:w="4643" w:type="dxa"/>
            <w:tcBorders>
              <w:top w:val="nil"/>
              <w:left w:val="nil"/>
              <w:bottom w:val="nil"/>
              <w:right w:val="nil"/>
            </w:tcBorders>
            <w:vAlign w:val="center"/>
          </w:tcPr>
          <w:p>
            <w:pPr>
              <w:snapToGrid w:val="0"/>
              <w:spacing w:line="400" w:lineRule="exact"/>
              <w:ind w:firstLine="436"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开户银行：</w:t>
            </w:r>
          </w:p>
        </w:tc>
      </w:tr>
      <w:tr>
        <w:tblPrEx>
          <w:tblCellMar>
            <w:top w:w="0" w:type="dxa"/>
            <w:left w:w="108" w:type="dxa"/>
            <w:bottom w:w="0" w:type="dxa"/>
            <w:right w:w="108" w:type="dxa"/>
          </w:tblCellMar>
        </w:tblPrEx>
        <w:trPr>
          <w:trHeight w:val="400" w:hRule="atLeast"/>
        </w:trPr>
        <w:tc>
          <w:tcPr>
            <w:tcW w:w="4643" w:type="dxa"/>
            <w:tcBorders>
              <w:top w:val="nil"/>
              <w:left w:val="nil"/>
              <w:bottom w:val="nil"/>
              <w:right w:val="nil"/>
            </w:tcBorders>
            <w:vAlign w:val="center"/>
          </w:tcPr>
          <w:p>
            <w:pPr>
              <w:snapToGrid w:val="0"/>
              <w:spacing w:line="400" w:lineRule="exact"/>
              <w:ind w:firstLine="436"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账号：</w:t>
            </w:r>
          </w:p>
        </w:tc>
        <w:tc>
          <w:tcPr>
            <w:tcW w:w="4643" w:type="dxa"/>
            <w:tcBorders>
              <w:top w:val="nil"/>
              <w:left w:val="nil"/>
              <w:bottom w:val="nil"/>
              <w:right w:val="nil"/>
            </w:tcBorders>
            <w:vAlign w:val="center"/>
          </w:tcPr>
          <w:p>
            <w:pPr>
              <w:snapToGrid w:val="0"/>
              <w:spacing w:line="400" w:lineRule="exact"/>
              <w:ind w:firstLine="436"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账号：</w:t>
            </w:r>
          </w:p>
        </w:tc>
      </w:tr>
      <w:tr>
        <w:tblPrEx>
          <w:tblCellMar>
            <w:top w:w="0" w:type="dxa"/>
            <w:left w:w="108" w:type="dxa"/>
            <w:bottom w:w="0" w:type="dxa"/>
            <w:right w:w="108" w:type="dxa"/>
          </w:tblCellMar>
        </w:tblPrEx>
        <w:trPr>
          <w:trHeight w:val="395" w:hRule="atLeast"/>
        </w:trPr>
        <w:tc>
          <w:tcPr>
            <w:tcW w:w="4643" w:type="dxa"/>
            <w:tcBorders>
              <w:top w:val="nil"/>
              <w:left w:val="nil"/>
              <w:bottom w:val="nil"/>
              <w:right w:val="nil"/>
            </w:tcBorders>
            <w:vAlign w:val="center"/>
          </w:tcPr>
          <w:p>
            <w:pPr>
              <w:snapToGrid w:val="0"/>
              <w:spacing w:line="400" w:lineRule="exact"/>
              <w:ind w:firstLine="436"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签订日期：2023年  月  日</w:t>
            </w:r>
          </w:p>
        </w:tc>
        <w:tc>
          <w:tcPr>
            <w:tcW w:w="4643" w:type="dxa"/>
            <w:tcBorders>
              <w:top w:val="nil"/>
              <w:left w:val="nil"/>
              <w:bottom w:val="nil"/>
              <w:right w:val="nil"/>
            </w:tcBorders>
            <w:vAlign w:val="center"/>
          </w:tcPr>
          <w:p>
            <w:pPr>
              <w:snapToGrid w:val="0"/>
              <w:spacing w:line="400" w:lineRule="exact"/>
              <w:ind w:firstLine="436" w:firstLineChars="196"/>
              <w:rPr>
                <w:rFonts w:ascii="宋体" w:hAnsi="宋体" w:cs="宋体"/>
                <w:bCs/>
                <w:color w:val="auto"/>
                <w:sz w:val="22"/>
                <w:szCs w:val="22"/>
                <w:highlight w:val="none"/>
              </w:rPr>
            </w:pPr>
            <w:r>
              <w:rPr>
                <w:rFonts w:hint="eastAsia" w:ascii="宋体" w:hAnsi="宋体" w:cs="宋体"/>
                <w:bCs/>
                <w:color w:val="auto"/>
                <w:sz w:val="22"/>
                <w:szCs w:val="22"/>
                <w:highlight w:val="none"/>
              </w:rPr>
              <w:t>签订日期：2023年  月  日</w:t>
            </w:r>
          </w:p>
        </w:tc>
      </w:tr>
    </w:tbl>
    <w:p>
      <w:pPr>
        <w:adjustRightInd w:val="0"/>
        <w:spacing w:line="400" w:lineRule="exact"/>
        <w:jc w:val="left"/>
        <w:textAlignment w:val="baseline"/>
        <w:rPr>
          <w:rFonts w:ascii="宋体" w:hAnsi="宋体" w:cs="宋体"/>
          <w:color w:val="auto"/>
          <w:kern w:val="0"/>
          <w:sz w:val="22"/>
          <w:szCs w:val="22"/>
          <w:highlight w:val="none"/>
        </w:rPr>
      </w:pP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autoSpaceDE w:val="0"/>
        <w:autoSpaceDN w:val="0"/>
        <w:adjustRightInd w:val="0"/>
        <w:spacing w:line="360" w:lineRule="exact"/>
        <w:jc w:val="center"/>
        <w:rPr>
          <w:rFonts w:ascii="宋体"/>
          <w:b/>
          <w:bCs/>
          <w:color w:val="auto"/>
          <w:sz w:val="32"/>
          <w:szCs w:val="32"/>
          <w:highlight w:val="none"/>
          <w:lang w:val="zh-CN"/>
        </w:rPr>
      </w:pPr>
    </w:p>
    <w:p>
      <w:pPr>
        <w:autoSpaceDE w:val="0"/>
        <w:autoSpaceDN w:val="0"/>
        <w:adjustRightInd w:val="0"/>
        <w:spacing w:line="360" w:lineRule="exact"/>
        <w:jc w:val="center"/>
        <w:rPr>
          <w:rFonts w:ascii="宋体"/>
          <w:b/>
          <w:bCs/>
          <w:color w:val="auto"/>
          <w:sz w:val="32"/>
          <w:szCs w:val="32"/>
          <w:highlight w:val="none"/>
          <w:lang w:val="zh-CN"/>
        </w:rPr>
      </w:pPr>
    </w:p>
    <w:p>
      <w:pPr>
        <w:autoSpaceDE w:val="0"/>
        <w:autoSpaceDN w:val="0"/>
        <w:adjustRightInd w:val="0"/>
        <w:spacing w:line="360" w:lineRule="exact"/>
        <w:jc w:val="center"/>
        <w:rPr>
          <w:rFonts w:ascii="宋体"/>
          <w:b/>
          <w:bCs/>
          <w:color w:val="auto"/>
          <w:sz w:val="32"/>
          <w:szCs w:val="32"/>
          <w:highlight w:val="none"/>
          <w:lang w:val="zh-CN"/>
        </w:rPr>
      </w:pPr>
    </w:p>
    <w:p>
      <w:pPr>
        <w:rPr>
          <w:color w:val="auto"/>
          <w:highlight w:val="none"/>
          <w:lang w:val="zh-CN"/>
        </w:rPr>
      </w:pPr>
    </w:p>
    <w:p>
      <w:pPr>
        <w:autoSpaceDE w:val="0"/>
        <w:autoSpaceDN w:val="0"/>
        <w:adjustRightInd w:val="0"/>
        <w:spacing w:line="360" w:lineRule="exact"/>
        <w:jc w:val="center"/>
        <w:rPr>
          <w:rFonts w:ascii="宋体"/>
          <w:b/>
          <w:bCs/>
          <w:color w:val="auto"/>
          <w:sz w:val="32"/>
          <w:szCs w:val="32"/>
          <w:highlight w:val="none"/>
          <w:lang w:val="zh-CN"/>
        </w:rPr>
      </w:pPr>
      <w:r>
        <w:rPr>
          <w:rFonts w:hint="eastAsia" w:ascii="宋体"/>
          <w:b/>
          <w:bCs/>
          <w:color w:val="auto"/>
          <w:sz w:val="32"/>
          <w:szCs w:val="32"/>
          <w:highlight w:val="none"/>
          <w:lang w:val="zh-CN"/>
        </w:rPr>
        <w:t>第六部分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附件</w:t>
      </w:r>
      <w:r>
        <w:rPr>
          <w:rFonts w:ascii="宋体"/>
          <w:b/>
          <w:bCs/>
          <w:color w:val="auto"/>
          <w:sz w:val="32"/>
          <w:szCs w:val="32"/>
          <w:highlight w:val="none"/>
        </w:rPr>
        <w:t>—</w:t>
      </w:r>
      <w:r>
        <w:rPr>
          <w:rFonts w:hint="eastAsia" w:ascii="宋体"/>
          <w:b/>
          <w:bCs/>
          <w:color w:val="auto"/>
          <w:sz w:val="32"/>
          <w:szCs w:val="32"/>
          <w:highlight w:val="none"/>
          <w:lang w:val="zh-CN"/>
        </w:rPr>
        <w:t>投标文件格式</w:t>
      </w:r>
    </w:p>
    <w:p>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一、投标文件（</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部分）格式</w:t>
      </w:r>
    </w:p>
    <w:p>
      <w:pPr>
        <w:pStyle w:val="2"/>
        <w:rPr>
          <w:rFonts w:ascii="宋体" w:hAnsi="宋体" w:cs="宋体"/>
          <w:color w:val="auto"/>
          <w:sz w:val="22"/>
          <w:szCs w:val="22"/>
          <w:highlight w:val="none"/>
        </w:rPr>
      </w:pP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w:t>
      </w:r>
      <w:r>
        <w:rPr>
          <w:rFonts w:hint="eastAsia" w:ascii="宋体" w:hAnsi="宋体" w:cs="宋体"/>
          <w:color w:val="auto"/>
          <w:sz w:val="22"/>
          <w:szCs w:val="22"/>
          <w:highlight w:val="none"/>
        </w:rPr>
        <w:t>封面参考：</w:t>
      </w:r>
    </w:p>
    <w:p>
      <w:pPr>
        <w:snapToGrid w:val="0"/>
        <w:spacing w:line="440" w:lineRule="exact"/>
        <w:jc w:val="center"/>
        <w:rPr>
          <w:rFonts w:ascii="宋体" w:hAnsi="宋体" w:cs="宋体"/>
          <w:b/>
          <w:color w:val="auto"/>
          <w:sz w:val="32"/>
          <w:szCs w:val="32"/>
          <w:highlight w:val="none"/>
        </w:rPr>
      </w:pPr>
    </w:p>
    <w:p>
      <w:pPr>
        <w:spacing w:line="480" w:lineRule="auto"/>
        <w:jc w:val="center"/>
        <w:rPr>
          <w:rFonts w:ascii="宋体" w:hAnsi="宋体" w:cs="宋体"/>
          <w:b/>
          <w:color w:val="auto"/>
          <w:sz w:val="64"/>
          <w:szCs w:val="64"/>
          <w:highlight w:val="none"/>
        </w:rPr>
      </w:pPr>
      <w:r>
        <w:rPr>
          <w:rFonts w:hint="eastAsia" w:ascii="宋体" w:hAnsi="宋体" w:cs="宋体"/>
          <w:b/>
          <w:color w:val="auto"/>
          <w:sz w:val="64"/>
          <w:szCs w:val="64"/>
          <w:highlight w:val="none"/>
        </w:rPr>
        <w:t>泰顺县城区生活垃圾再生资源回收利用采购项目</w:t>
      </w:r>
    </w:p>
    <w:p>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r>
        <w:rPr>
          <w:rFonts w:hint="eastAsia" w:ascii="等线" w:hAnsi="等线" w:eastAsia="等线" w:cs="等线"/>
          <w:bCs/>
          <w:color w:val="auto"/>
          <w:sz w:val="84"/>
          <w:szCs w:val="84"/>
          <w:highlight w:val="none"/>
        </w:rPr>
        <w:br w:type="textWrapping"/>
      </w:r>
      <w:r>
        <w:rPr>
          <w:rFonts w:hint="eastAsia" w:ascii="等线" w:hAnsi="等线" w:eastAsia="等线" w:cs="等线"/>
          <w:bCs/>
          <w:color w:val="auto"/>
          <w:sz w:val="60"/>
          <w:szCs w:val="60"/>
          <w:highlight w:val="none"/>
        </w:rPr>
        <w:t>（报 价 部 分）</w:t>
      </w:r>
    </w:p>
    <w:p>
      <w:pPr>
        <w:snapToGrid w:val="0"/>
        <w:spacing w:line="600" w:lineRule="atLeast"/>
        <w:ind w:firstLine="1052" w:firstLineChars="400"/>
        <w:rPr>
          <w:rFonts w:ascii="宋体" w:hAnsi="宋体" w:cs="宋体"/>
          <w:b/>
          <w:color w:val="auto"/>
          <w:sz w:val="26"/>
          <w:szCs w:val="26"/>
          <w:highlight w:val="none"/>
        </w:rPr>
      </w:pPr>
    </w:p>
    <w:p>
      <w:pPr>
        <w:snapToGrid w:val="0"/>
        <w:spacing w:line="600" w:lineRule="atLeast"/>
        <w:ind w:firstLine="1052" w:firstLineChars="400"/>
        <w:rPr>
          <w:rFonts w:ascii="宋体" w:hAnsi="宋体" w:cs="宋体"/>
          <w:b/>
          <w:color w:val="auto"/>
          <w:sz w:val="26"/>
          <w:szCs w:val="26"/>
          <w:highlight w:val="none"/>
        </w:rPr>
      </w:pPr>
    </w:p>
    <w:tbl>
      <w:tblPr>
        <w:tblStyle w:val="28"/>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TSCG202302002</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采购单位：泰顺县综合行政执法局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pPr>
        <w:autoSpaceDE w:val="0"/>
        <w:autoSpaceDN w:val="0"/>
        <w:adjustRightInd w:val="0"/>
        <w:spacing w:line="360" w:lineRule="exact"/>
        <w:rPr>
          <w:rFonts w:ascii="宋体" w:hAnsi="宋体" w:cs="宋体"/>
          <w:b/>
          <w:bCs/>
          <w:color w:val="auto"/>
          <w:sz w:val="32"/>
          <w:szCs w:val="32"/>
          <w:highlight w:val="none"/>
          <w:lang w:val="zh-CN"/>
        </w:rPr>
      </w:pPr>
    </w:p>
    <w:p>
      <w:pPr>
        <w:autoSpaceDE w:val="0"/>
        <w:autoSpaceDN w:val="0"/>
        <w:adjustRightInd w:val="0"/>
        <w:spacing w:line="360" w:lineRule="exact"/>
        <w:rPr>
          <w:rFonts w:ascii="宋体"/>
          <w:b/>
          <w:bCs/>
          <w:color w:val="auto"/>
          <w:sz w:val="32"/>
          <w:szCs w:val="32"/>
          <w:highlight w:val="none"/>
          <w:lang w:val="zh-CN"/>
        </w:rPr>
      </w:pPr>
    </w:p>
    <w:p>
      <w:pPr>
        <w:autoSpaceDE w:val="0"/>
        <w:autoSpaceDN w:val="0"/>
        <w:adjustRightInd w:val="0"/>
        <w:spacing w:line="360" w:lineRule="exact"/>
        <w:rPr>
          <w:rFonts w:ascii="宋体"/>
          <w:b/>
          <w:bCs/>
          <w:color w:val="auto"/>
          <w:sz w:val="32"/>
          <w:szCs w:val="32"/>
          <w:highlight w:val="none"/>
          <w:lang w:val="zh-CN"/>
        </w:rPr>
      </w:pPr>
    </w:p>
    <w:p>
      <w:pPr>
        <w:autoSpaceDE w:val="0"/>
        <w:autoSpaceDN w:val="0"/>
        <w:adjustRightInd w:val="0"/>
        <w:spacing w:line="360" w:lineRule="exact"/>
        <w:rPr>
          <w:rFonts w:ascii="宋体"/>
          <w:b/>
          <w:bCs/>
          <w:color w:val="auto"/>
          <w:sz w:val="32"/>
          <w:szCs w:val="32"/>
          <w:highlight w:val="none"/>
          <w:lang w:val="zh-CN"/>
        </w:rPr>
      </w:pPr>
    </w:p>
    <w:p>
      <w:pPr>
        <w:autoSpaceDE w:val="0"/>
        <w:autoSpaceDN w:val="0"/>
        <w:adjustRightInd w:val="0"/>
        <w:spacing w:line="360" w:lineRule="exact"/>
        <w:rPr>
          <w:rFonts w:ascii="宋体"/>
          <w:b/>
          <w:bCs/>
          <w:color w:val="auto"/>
          <w:sz w:val="32"/>
          <w:szCs w:val="32"/>
          <w:highlight w:val="none"/>
          <w:lang w:val="zh-CN"/>
        </w:rPr>
      </w:pPr>
    </w:p>
    <w:p>
      <w:pPr>
        <w:autoSpaceDE w:val="0"/>
        <w:autoSpaceDN w:val="0"/>
        <w:adjustRightInd w:val="0"/>
        <w:spacing w:line="360" w:lineRule="exact"/>
        <w:rPr>
          <w:rFonts w:ascii="宋体"/>
          <w:b/>
          <w:bCs/>
          <w:color w:val="auto"/>
          <w:sz w:val="32"/>
          <w:szCs w:val="32"/>
          <w:highlight w:val="none"/>
          <w:lang w:val="zh-CN"/>
        </w:rPr>
      </w:pPr>
    </w:p>
    <w:p>
      <w:pPr>
        <w:autoSpaceDE w:val="0"/>
        <w:autoSpaceDN w:val="0"/>
        <w:adjustRightInd w:val="0"/>
        <w:spacing w:line="360" w:lineRule="exact"/>
        <w:rPr>
          <w:rFonts w:ascii="宋体"/>
          <w:b/>
          <w:bCs/>
          <w:color w:val="auto"/>
          <w:sz w:val="32"/>
          <w:szCs w:val="32"/>
          <w:highlight w:val="none"/>
          <w:lang w:val="zh-CN"/>
        </w:rPr>
      </w:pPr>
    </w:p>
    <w:p>
      <w:pPr>
        <w:autoSpaceDE w:val="0"/>
        <w:autoSpaceDN w:val="0"/>
        <w:adjustRightInd w:val="0"/>
        <w:spacing w:line="360" w:lineRule="exact"/>
        <w:rPr>
          <w:rFonts w:ascii="宋体"/>
          <w:b/>
          <w:bCs/>
          <w:color w:val="auto"/>
          <w:sz w:val="32"/>
          <w:szCs w:val="32"/>
          <w:highlight w:val="none"/>
          <w:lang w:val="zh-CN"/>
        </w:rPr>
      </w:pPr>
    </w:p>
    <w:p>
      <w:pPr>
        <w:autoSpaceDE w:val="0"/>
        <w:autoSpaceDN w:val="0"/>
        <w:adjustRightInd w:val="0"/>
        <w:spacing w:line="360" w:lineRule="exact"/>
        <w:rPr>
          <w:rFonts w:ascii="宋体"/>
          <w:b/>
          <w:bCs/>
          <w:color w:val="auto"/>
          <w:sz w:val="32"/>
          <w:szCs w:val="32"/>
          <w:highlight w:val="none"/>
        </w:rPr>
      </w:pPr>
      <w:r>
        <w:rPr>
          <w:rFonts w:hint="eastAsia" w:ascii="宋体"/>
          <w:b/>
          <w:bCs/>
          <w:color w:val="auto"/>
          <w:sz w:val="32"/>
          <w:szCs w:val="32"/>
          <w:highlight w:val="none"/>
          <w:lang w:val="zh-CN"/>
        </w:rPr>
        <w:t>附件一</w:t>
      </w:r>
    </w:p>
    <w:p>
      <w:pPr>
        <w:autoSpaceDE w:val="0"/>
        <w:autoSpaceDN w:val="0"/>
        <w:adjustRightInd w:val="0"/>
        <w:spacing w:line="360" w:lineRule="atLeast"/>
        <w:jc w:val="center"/>
        <w:textAlignment w:val="baseline"/>
        <w:rPr>
          <w:rFonts w:ascii="宋体"/>
          <w:b/>
          <w:bCs/>
          <w:color w:val="auto"/>
          <w:sz w:val="32"/>
          <w:szCs w:val="32"/>
          <w:highlight w:val="none"/>
          <w:lang w:val="zh-CN"/>
        </w:rPr>
      </w:pPr>
      <w:r>
        <w:rPr>
          <w:rFonts w:hint="eastAsia" w:ascii="宋体"/>
          <w:b/>
          <w:bCs/>
          <w:color w:val="auto"/>
          <w:sz w:val="32"/>
          <w:szCs w:val="32"/>
          <w:highlight w:val="none"/>
          <w:lang w:val="zh-CN"/>
        </w:rPr>
        <w:t>开标一览表</w:t>
      </w:r>
    </w:p>
    <w:p>
      <w:pPr>
        <w:autoSpaceDE w:val="0"/>
        <w:autoSpaceDN w:val="0"/>
        <w:adjustRightInd w:val="0"/>
        <w:spacing w:line="400" w:lineRule="exact"/>
        <w:rPr>
          <w:rFonts w:ascii="宋体"/>
          <w:color w:val="auto"/>
          <w:sz w:val="22"/>
          <w:szCs w:val="22"/>
          <w:highlight w:val="none"/>
          <w:lang w:val="zh-CN"/>
        </w:rPr>
      </w:pPr>
      <w:r>
        <w:rPr>
          <w:rFonts w:hint="eastAsia" w:hAnsi="宋体"/>
          <w:color w:val="auto"/>
          <w:sz w:val="22"/>
          <w:szCs w:val="22"/>
          <w:highlight w:val="none"/>
        </w:rPr>
        <w:t>项目名称</w:t>
      </w:r>
      <w:r>
        <w:rPr>
          <w:rFonts w:hint="eastAsia" w:ascii="宋体"/>
          <w:color w:val="auto"/>
          <w:sz w:val="22"/>
          <w:szCs w:val="22"/>
          <w:highlight w:val="none"/>
          <w:lang w:val="zh-CN"/>
        </w:rPr>
        <w:t>：</w:t>
      </w:r>
      <w:r>
        <w:rPr>
          <w:rFonts w:hint="eastAsia" w:ascii="宋体"/>
          <w:color w:val="auto"/>
          <w:sz w:val="22"/>
          <w:highlight w:val="none"/>
          <w:u w:val="single"/>
        </w:rPr>
        <w:t>泰顺县城区生活垃圾再生资源回收利用采购项目</w:t>
      </w:r>
      <w:r>
        <w:rPr>
          <w:rFonts w:ascii="宋体"/>
          <w:color w:val="auto"/>
          <w:sz w:val="22"/>
          <w:szCs w:val="22"/>
          <w:highlight w:val="none"/>
          <w:u w:val="single"/>
          <w:lang w:val="zh-CN"/>
        </w:rPr>
        <w:t xml:space="preserve"> </w:t>
      </w:r>
      <w:r>
        <w:rPr>
          <w:rFonts w:ascii="宋体"/>
          <w:color w:val="auto"/>
          <w:sz w:val="22"/>
          <w:szCs w:val="22"/>
          <w:highlight w:val="none"/>
          <w:lang w:val="zh-CN"/>
        </w:rPr>
        <w:t xml:space="preserve">          </w:t>
      </w:r>
    </w:p>
    <w:p>
      <w:pPr>
        <w:autoSpaceDE w:val="0"/>
        <w:autoSpaceDN w:val="0"/>
        <w:adjustRightInd w:val="0"/>
        <w:spacing w:line="400" w:lineRule="exact"/>
        <w:rPr>
          <w:rFonts w:ascii="宋体"/>
          <w:color w:val="auto"/>
          <w:sz w:val="22"/>
          <w:szCs w:val="22"/>
          <w:highlight w:val="none"/>
          <w:lang w:val="zh-CN"/>
        </w:rPr>
      </w:pPr>
      <w:r>
        <w:rPr>
          <w:rFonts w:hint="eastAsia" w:ascii="宋体"/>
          <w:color w:val="auto"/>
          <w:sz w:val="22"/>
          <w:szCs w:val="22"/>
          <w:highlight w:val="none"/>
          <w:lang w:val="zh-CN"/>
        </w:rPr>
        <w:t>招标编号：</w:t>
      </w:r>
      <w:r>
        <w:rPr>
          <w:rFonts w:hint="eastAsia" w:ascii="宋体"/>
          <w:color w:val="auto"/>
          <w:sz w:val="22"/>
          <w:szCs w:val="22"/>
          <w:highlight w:val="none"/>
          <w:u w:val="single"/>
          <w:lang w:eastAsia="zh-CN"/>
        </w:rPr>
        <w:t>TSCG202302002</w:t>
      </w:r>
      <w:r>
        <w:rPr>
          <w:rFonts w:ascii="宋体"/>
          <w:color w:val="auto"/>
          <w:sz w:val="22"/>
          <w:szCs w:val="22"/>
          <w:highlight w:val="none"/>
          <w:u w:val="single"/>
          <w:lang w:val="zh-CN"/>
        </w:rPr>
        <w:t xml:space="preserve"> </w:t>
      </w:r>
      <w:r>
        <w:rPr>
          <w:rFonts w:ascii="宋体"/>
          <w:color w:val="auto"/>
          <w:sz w:val="22"/>
          <w:szCs w:val="22"/>
          <w:highlight w:val="none"/>
          <w:lang w:val="zh-CN"/>
        </w:rPr>
        <w:t xml:space="preserve">       </w:t>
      </w:r>
    </w:p>
    <w:p>
      <w:pPr>
        <w:autoSpaceDE w:val="0"/>
        <w:autoSpaceDN w:val="0"/>
        <w:adjustRightInd w:val="0"/>
        <w:spacing w:line="400" w:lineRule="exact"/>
        <w:rPr>
          <w:color w:val="auto"/>
          <w:sz w:val="22"/>
          <w:highlight w:val="none"/>
          <w:u w:val="single"/>
        </w:rPr>
      </w:pPr>
      <w:r>
        <w:rPr>
          <w:rFonts w:hint="eastAsia"/>
          <w:color w:val="auto"/>
          <w:sz w:val="22"/>
          <w:highlight w:val="none"/>
        </w:rPr>
        <w:t>价格单位：</w:t>
      </w:r>
      <w:r>
        <w:rPr>
          <w:rFonts w:hint="eastAsia"/>
          <w:color w:val="auto"/>
          <w:sz w:val="22"/>
          <w:szCs w:val="22"/>
          <w:highlight w:val="none"/>
          <w:u w:val="single"/>
        </w:rPr>
        <w:t>元人民币</w:t>
      </w:r>
      <w:r>
        <w:rPr>
          <w:rFonts w:hint="eastAsia"/>
          <w:color w:val="auto"/>
          <w:sz w:val="22"/>
          <w:szCs w:val="22"/>
          <w:highlight w:val="none"/>
          <w:u w:val="single"/>
        </w:rPr>
        <w:br w:type="textWrapping"/>
      </w:r>
    </w:p>
    <w:tbl>
      <w:tblPr>
        <w:tblStyle w:val="2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253"/>
        <w:gridCol w:w="3705"/>
        <w:gridCol w:w="146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78"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标项</w:t>
            </w:r>
          </w:p>
        </w:tc>
        <w:tc>
          <w:tcPr>
            <w:tcW w:w="2253" w:type="dxa"/>
            <w:tcBorders>
              <w:right w:val="single" w:color="auto" w:sz="2"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标项名称</w:t>
            </w:r>
          </w:p>
        </w:tc>
        <w:tc>
          <w:tcPr>
            <w:tcW w:w="3705" w:type="dxa"/>
            <w:tcBorders>
              <w:left w:val="single" w:color="auto" w:sz="2" w:space="0"/>
              <w:right w:val="single" w:color="auto" w:sz="4"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投标价（元）</w:t>
            </w:r>
          </w:p>
        </w:tc>
        <w:tc>
          <w:tcPr>
            <w:tcW w:w="1460" w:type="dxa"/>
            <w:tcBorders>
              <w:left w:val="single" w:color="auto" w:sz="4" w:space="0"/>
              <w:right w:val="single" w:color="auto" w:sz="2"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服务期</w:t>
            </w:r>
          </w:p>
        </w:tc>
        <w:tc>
          <w:tcPr>
            <w:tcW w:w="1338" w:type="dxa"/>
            <w:tcBorders>
              <w:left w:val="single" w:color="auto" w:sz="2"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878" w:type="dxa"/>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一</w:t>
            </w:r>
          </w:p>
        </w:tc>
        <w:tc>
          <w:tcPr>
            <w:tcW w:w="2253" w:type="dxa"/>
            <w:tcBorders>
              <w:right w:val="single" w:color="auto" w:sz="2"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泰顺县城区生活垃圾再生资源回收利用采购项目</w:t>
            </w:r>
          </w:p>
        </w:tc>
        <w:tc>
          <w:tcPr>
            <w:tcW w:w="3705" w:type="dxa"/>
            <w:tcBorders>
              <w:left w:val="single" w:color="auto" w:sz="2" w:space="0"/>
              <w:right w:val="single" w:color="auto" w:sz="4" w:space="0"/>
            </w:tcBorders>
            <w:vAlign w:val="center"/>
          </w:tcPr>
          <w:p>
            <w:pPr>
              <w:ind w:firstLine="446" w:firstLineChars="200"/>
              <w:rPr>
                <w:rFonts w:ascii="宋体" w:hAnsi="宋体"/>
                <w:color w:val="auto"/>
                <w:sz w:val="22"/>
                <w:szCs w:val="22"/>
                <w:highlight w:val="none"/>
                <w:u w:val="single"/>
              </w:rPr>
            </w:pPr>
            <w:r>
              <w:rPr>
                <w:rFonts w:hint="eastAsia" w:ascii="宋体" w:hAnsi="宋体"/>
                <w:color w:val="auto"/>
                <w:sz w:val="22"/>
                <w:szCs w:val="22"/>
                <w:highlight w:val="none"/>
              </w:rPr>
              <w:t>大写：</w:t>
            </w:r>
            <w:r>
              <w:rPr>
                <w:rFonts w:hint="eastAsia" w:ascii="宋体" w:hAnsi="宋体"/>
                <w:color w:val="auto"/>
                <w:sz w:val="22"/>
                <w:szCs w:val="22"/>
                <w:highlight w:val="none"/>
                <w:u w:val="single"/>
              </w:rPr>
              <w:t xml:space="preserve">                 </w:t>
            </w:r>
          </w:p>
          <w:p>
            <w:pPr>
              <w:spacing w:line="460" w:lineRule="exact"/>
              <w:ind w:firstLine="892" w:firstLineChars="400"/>
              <w:rPr>
                <w:rFonts w:ascii="宋体" w:hAnsi="宋体"/>
                <w:color w:val="auto"/>
                <w:sz w:val="22"/>
                <w:szCs w:val="22"/>
                <w:highlight w:val="none"/>
              </w:rPr>
            </w:pPr>
            <w:r>
              <w:rPr>
                <w:rFonts w:hint="eastAsia" w:ascii="宋体" w:hAnsi="宋体"/>
                <w:color w:val="auto"/>
                <w:sz w:val="22"/>
                <w:szCs w:val="22"/>
                <w:highlight w:val="none"/>
              </w:rPr>
              <w:t>小写：</w:t>
            </w:r>
            <w:r>
              <w:rPr>
                <w:rFonts w:hint="eastAsia" w:ascii="宋体" w:hAnsi="宋体"/>
                <w:color w:val="auto"/>
                <w:sz w:val="22"/>
                <w:szCs w:val="22"/>
                <w:highlight w:val="none"/>
                <w:u w:val="single"/>
              </w:rPr>
              <w:t xml:space="preserve">                   </w:t>
            </w:r>
          </w:p>
        </w:tc>
        <w:tc>
          <w:tcPr>
            <w:tcW w:w="1460" w:type="dxa"/>
            <w:tcBorders>
              <w:left w:val="single" w:color="auto" w:sz="4" w:space="0"/>
              <w:right w:val="single" w:color="auto" w:sz="2"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一年</w:t>
            </w:r>
          </w:p>
        </w:tc>
        <w:tc>
          <w:tcPr>
            <w:tcW w:w="1338" w:type="dxa"/>
            <w:tcBorders>
              <w:left w:val="single" w:color="auto" w:sz="2" w:space="0"/>
            </w:tcBorders>
            <w:vAlign w:val="center"/>
          </w:tcPr>
          <w:p>
            <w:pPr>
              <w:spacing w:line="460" w:lineRule="exact"/>
              <w:jc w:val="center"/>
              <w:rPr>
                <w:rFonts w:ascii="宋体" w:hAnsi="宋体"/>
                <w:color w:val="auto"/>
                <w:sz w:val="22"/>
                <w:szCs w:val="22"/>
                <w:highlight w:val="none"/>
              </w:rPr>
            </w:pPr>
            <w:r>
              <w:rPr>
                <w:rFonts w:hint="eastAsia" w:ascii="宋体" w:hAnsi="宋体"/>
                <w:color w:val="auto"/>
                <w:sz w:val="22"/>
                <w:szCs w:val="22"/>
                <w:highlight w:val="none"/>
              </w:rPr>
              <w:t>10662015</w:t>
            </w:r>
          </w:p>
        </w:tc>
      </w:tr>
    </w:tbl>
    <w:p>
      <w:pPr>
        <w:pStyle w:val="14"/>
        <w:spacing w:line="460" w:lineRule="atLeast"/>
        <w:ind w:firstLine="446" w:firstLineChars="200"/>
        <w:rPr>
          <w:rFonts w:hAnsi="宋体"/>
          <w:color w:val="auto"/>
          <w:sz w:val="22"/>
          <w:szCs w:val="22"/>
          <w:highlight w:val="none"/>
        </w:rPr>
      </w:pPr>
    </w:p>
    <w:p>
      <w:pPr>
        <w:pStyle w:val="14"/>
        <w:spacing w:line="460" w:lineRule="atLeast"/>
        <w:ind w:firstLine="446" w:firstLineChars="200"/>
        <w:rPr>
          <w:rFonts w:hAnsi="宋体"/>
          <w:b/>
          <w:bCs/>
          <w:color w:val="auto"/>
          <w:sz w:val="22"/>
          <w:szCs w:val="22"/>
          <w:highlight w:val="none"/>
          <w:u w:val="single"/>
        </w:rPr>
      </w:pPr>
      <w:r>
        <w:rPr>
          <w:rFonts w:hint="eastAsia" w:hAnsi="宋体"/>
          <w:b/>
          <w:bCs/>
          <w:color w:val="auto"/>
          <w:sz w:val="22"/>
          <w:szCs w:val="22"/>
          <w:highlight w:val="none"/>
        </w:rPr>
        <w:t>1.▲</w:t>
      </w:r>
      <w:r>
        <w:rPr>
          <w:rFonts w:hint="eastAsia" w:hAnsi="宋体"/>
          <w:b/>
          <w:bCs/>
          <w:color w:val="auto"/>
          <w:sz w:val="22"/>
          <w:szCs w:val="22"/>
          <w:highlight w:val="none"/>
          <w:u w:val="single"/>
        </w:rPr>
        <w:t>开标一览表中投标价为符合招标文件要求的总价。供应商所投报价不得高于招标文件规定的采购预算（最高限价），否则按无效投标处理。</w:t>
      </w:r>
    </w:p>
    <w:p>
      <w:pPr>
        <w:pStyle w:val="14"/>
        <w:spacing w:line="460" w:lineRule="atLeast"/>
        <w:ind w:firstLine="446" w:firstLineChars="200"/>
        <w:rPr>
          <w:rFonts w:hAnsi="宋体"/>
          <w:b/>
          <w:bCs/>
          <w:color w:val="auto"/>
          <w:sz w:val="22"/>
          <w:szCs w:val="22"/>
          <w:highlight w:val="none"/>
          <w:u w:val="single"/>
        </w:rPr>
      </w:pPr>
      <w:r>
        <w:rPr>
          <w:rFonts w:hint="eastAsia" w:hAnsi="宋体"/>
          <w:b/>
          <w:bCs/>
          <w:color w:val="auto"/>
          <w:sz w:val="22"/>
          <w:szCs w:val="22"/>
          <w:highlight w:val="none"/>
        </w:rPr>
        <w:t>2.▲</w:t>
      </w:r>
      <w:r>
        <w:rPr>
          <w:rFonts w:hint="eastAsia" w:hAnsi="宋体"/>
          <w:b/>
          <w:bCs/>
          <w:color w:val="auto"/>
          <w:sz w:val="22"/>
          <w:szCs w:val="22"/>
          <w:highlight w:val="none"/>
          <w:u w:val="single"/>
        </w:rPr>
        <w:t>不提供此表格的将视为没有实质性响应招标文件</w:t>
      </w:r>
      <w:r>
        <w:rPr>
          <w:rFonts w:hint="eastAsia" w:hAnsi="宋体"/>
          <w:b/>
          <w:bCs/>
          <w:color w:val="auto"/>
          <w:sz w:val="24"/>
          <w:highlight w:val="none"/>
          <w:u w:val="single"/>
        </w:rPr>
        <w:t>。</w:t>
      </w:r>
    </w:p>
    <w:p>
      <w:pPr>
        <w:pStyle w:val="43"/>
        <w:spacing w:line="440" w:lineRule="atLeast"/>
        <w:rPr>
          <w:rFonts w:hAnsi="宋体"/>
          <w:b/>
          <w:bCs/>
          <w:color w:val="auto"/>
          <w:sz w:val="22"/>
          <w:szCs w:val="22"/>
          <w:highlight w:val="none"/>
          <w:u w:val="single"/>
        </w:rPr>
      </w:pPr>
    </w:p>
    <w:p>
      <w:pPr>
        <w:pStyle w:val="43"/>
        <w:spacing w:line="440" w:lineRule="atLeast"/>
        <w:rPr>
          <w:rFonts w:hAnsi="宋体"/>
          <w:color w:val="auto"/>
          <w:sz w:val="22"/>
          <w:szCs w:val="22"/>
          <w:highlight w:val="none"/>
        </w:rPr>
      </w:pPr>
      <w:r>
        <w:rPr>
          <w:rFonts w:hint="eastAsia" w:hAnsi="宋体"/>
          <w:color w:val="auto"/>
          <w:sz w:val="22"/>
          <w:szCs w:val="22"/>
          <w:highlight w:val="none"/>
        </w:rPr>
        <w:t>供应商全称：（盖章）</w:t>
      </w:r>
    </w:p>
    <w:p>
      <w:pPr>
        <w:pStyle w:val="43"/>
        <w:spacing w:line="440" w:lineRule="atLeast"/>
        <w:rPr>
          <w:rFonts w:hAnsi="宋体"/>
          <w:color w:val="auto"/>
          <w:sz w:val="22"/>
          <w:szCs w:val="22"/>
          <w:highlight w:val="none"/>
          <w:lang w:val="zh-CN"/>
        </w:rPr>
      </w:pPr>
      <w:r>
        <w:rPr>
          <w:rFonts w:hint="eastAsia" w:hAnsi="宋体"/>
          <w:color w:val="auto"/>
          <w:sz w:val="22"/>
          <w:szCs w:val="22"/>
          <w:highlight w:val="none"/>
        </w:rPr>
        <w:t>法定代表人或</w:t>
      </w:r>
      <w:r>
        <w:rPr>
          <w:rFonts w:hint="eastAsia" w:hAnsi="宋体"/>
          <w:color w:val="auto"/>
          <w:sz w:val="22"/>
          <w:szCs w:val="22"/>
          <w:highlight w:val="none"/>
          <w:lang w:val="zh-CN"/>
        </w:rPr>
        <w:t>授权代表（签字</w:t>
      </w:r>
      <w:r>
        <w:rPr>
          <w:rFonts w:hint="eastAsia" w:hAnsi="宋体"/>
          <w:color w:val="auto"/>
          <w:sz w:val="22"/>
          <w:szCs w:val="22"/>
          <w:highlight w:val="none"/>
        </w:rPr>
        <w:t>或盖章</w:t>
      </w:r>
      <w:r>
        <w:rPr>
          <w:rFonts w:hint="eastAsia" w:hAnsi="宋体"/>
          <w:color w:val="auto"/>
          <w:sz w:val="22"/>
          <w:szCs w:val="22"/>
          <w:highlight w:val="none"/>
          <w:lang w:val="zh-CN"/>
        </w:rPr>
        <w:t>）：</w:t>
      </w:r>
    </w:p>
    <w:p>
      <w:pPr>
        <w:pStyle w:val="43"/>
        <w:spacing w:line="440" w:lineRule="atLeast"/>
        <w:rPr>
          <w:rFonts w:hAnsi="宋体"/>
          <w:color w:val="auto"/>
          <w:sz w:val="22"/>
          <w:szCs w:val="22"/>
          <w:highlight w:val="none"/>
        </w:rPr>
      </w:pPr>
      <w:r>
        <w:rPr>
          <w:rFonts w:hint="eastAsia" w:hAnsi="宋体"/>
          <w:color w:val="auto"/>
          <w:sz w:val="22"/>
          <w:szCs w:val="22"/>
          <w:highlight w:val="none"/>
        </w:rPr>
        <w:t>日期：</w:t>
      </w:r>
    </w:p>
    <w:p>
      <w:pPr>
        <w:pStyle w:val="2"/>
        <w:rPr>
          <w:rFonts w:ascii="宋体"/>
          <w:b/>
          <w:bCs/>
          <w:color w:val="auto"/>
          <w:sz w:val="32"/>
          <w:szCs w:val="32"/>
          <w:highlight w:val="none"/>
        </w:rPr>
      </w:pPr>
    </w:p>
    <w:p>
      <w:pPr>
        <w:pStyle w:val="2"/>
        <w:rPr>
          <w:rFonts w:ascii="宋体"/>
          <w:b/>
          <w:bCs/>
          <w:color w:val="auto"/>
          <w:sz w:val="32"/>
          <w:szCs w:val="32"/>
          <w:highlight w:val="none"/>
        </w:rPr>
      </w:pPr>
    </w:p>
    <w:p>
      <w:pPr>
        <w:pStyle w:val="2"/>
        <w:rPr>
          <w:rFonts w:ascii="宋体"/>
          <w:b/>
          <w:bCs/>
          <w:color w:val="auto"/>
          <w:sz w:val="32"/>
          <w:szCs w:val="32"/>
          <w:highlight w:val="none"/>
        </w:rPr>
      </w:pPr>
    </w:p>
    <w:p>
      <w:pPr>
        <w:pStyle w:val="2"/>
        <w:rPr>
          <w:rFonts w:ascii="宋体"/>
          <w:b/>
          <w:bCs/>
          <w:color w:val="auto"/>
          <w:sz w:val="32"/>
          <w:szCs w:val="32"/>
          <w:highlight w:val="none"/>
        </w:rPr>
        <w:sectPr>
          <w:footerReference r:id="rId9" w:type="first"/>
          <w:footerReference r:id="rId8" w:type="default"/>
          <w:pgSz w:w="11906" w:h="16838"/>
          <w:pgMar w:top="1440" w:right="1247" w:bottom="1440" w:left="1247" w:header="851" w:footer="992" w:gutter="0"/>
          <w:cols w:space="720" w:num="1"/>
          <w:titlePg/>
          <w:docGrid w:type="linesAndChars" w:linePitch="313" w:charSpace="800"/>
        </w:sectPr>
      </w:pPr>
    </w:p>
    <w:p>
      <w:pPr>
        <w:pStyle w:val="2"/>
        <w:tabs>
          <w:tab w:val="left" w:pos="2352"/>
        </w:tabs>
        <w:rPr>
          <w:rFonts w:ascii="宋体"/>
          <w:b/>
          <w:bCs/>
          <w:color w:val="auto"/>
          <w:sz w:val="32"/>
          <w:szCs w:val="32"/>
          <w:highlight w:val="none"/>
        </w:rPr>
      </w:pPr>
    </w:p>
    <w:p>
      <w:pPr>
        <w:pStyle w:val="2"/>
        <w:tabs>
          <w:tab w:val="left" w:pos="2352"/>
        </w:tabs>
        <w:rPr>
          <w:rFonts w:ascii="宋体"/>
          <w:b/>
          <w:bCs/>
          <w:color w:val="auto"/>
          <w:sz w:val="32"/>
          <w:szCs w:val="32"/>
          <w:highlight w:val="none"/>
        </w:rPr>
      </w:pPr>
      <w:r>
        <w:rPr>
          <w:rFonts w:hint="eastAsia" w:ascii="宋体"/>
          <w:b/>
          <w:bCs/>
          <w:color w:val="auto"/>
          <w:sz w:val="32"/>
          <w:szCs w:val="32"/>
          <w:highlight w:val="none"/>
        </w:rPr>
        <w:t>附件二</w:t>
      </w:r>
    </w:p>
    <w:p>
      <w:pPr>
        <w:tabs>
          <w:tab w:val="left" w:pos="2352"/>
        </w:tabs>
        <w:autoSpaceDE w:val="0"/>
        <w:autoSpaceDN w:val="0"/>
        <w:adjustRightInd w:val="0"/>
        <w:spacing w:line="400" w:lineRule="exact"/>
        <w:jc w:val="center"/>
        <w:rPr>
          <w:rFonts w:hAnsi="宋体"/>
          <w:color w:val="auto"/>
          <w:sz w:val="22"/>
          <w:highlight w:val="none"/>
        </w:rPr>
      </w:pPr>
      <w:r>
        <w:rPr>
          <w:rFonts w:hint="eastAsia" w:ascii="宋体"/>
          <w:b/>
          <w:bCs/>
          <w:color w:val="auto"/>
          <w:sz w:val="32"/>
          <w:szCs w:val="32"/>
          <w:highlight w:val="none"/>
        </w:rPr>
        <w:t>投标分项报价表</w:t>
      </w:r>
    </w:p>
    <w:p>
      <w:pPr>
        <w:tabs>
          <w:tab w:val="left" w:pos="1069"/>
          <w:tab w:val="left" w:pos="2352"/>
        </w:tabs>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rPr>
        <w:t>泰顺县城区生活垃圾再生资源回收利用采购项目</w:t>
      </w:r>
    </w:p>
    <w:p>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TSCG202302002</w:t>
      </w:r>
    </w:p>
    <w:p>
      <w:pPr>
        <w:tabs>
          <w:tab w:val="left" w:pos="2352"/>
        </w:tabs>
        <w:autoSpaceDE w:val="0"/>
        <w:autoSpaceDN w:val="0"/>
        <w:adjustRightInd w:val="0"/>
        <w:spacing w:line="400" w:lineRule="exact"/>
        <w:rPr>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28"/>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2668"/>
        <w:gridCol w:w="988"/>
        <w:gridCol w:w="1012"/>
        <w:gridCol w:w="1336"/>
        <w:gridCol w:w="15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atLeast"/>
        </w:trPr>
        <w:tc>
          <w:tcPr>
            <w:tcW w:w="779"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序号</w:t>
            </w:r>
          </w:p>
        </w:tc>
        <w:tc>
          <w:tcPr>
            <w:tcW w:w="2668"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报价项</w:t>
            </w:r>
          </w:p>
        </w:tc>
        <w:tc>
          <w:tcPr>
            <w:tcW w:w="988"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单位</w:t>
            </w:r>
          </w:p>
        </w:tc>
        <w:tc>
          <w:tcPr>
            <w:tcW w:w="1012"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数量</w:t>
            </w:r>
          </w:p>
        </w:tc>
        <w:tc>
          <w:tcPr>
            <w:tcW w:w="1336" w:type="dxa"/>
            <w:vAlign w:val="center"/>
          </w:tcPr>
          <w:p>
            <w:pPr>
              <w:tabs>
                <w:tab w:val="left" w:pos="2352"/>
              </w:tabs>
              <w:ind w:right="-11"/>
              <w:jc w:val="center"/>
              <w:rPr>
                <w:rFonts w:ascii="宋体" w:cs="Arial"/>
                <w:color w:val="auto"/>
                <w:sz w:val="22"/>
                <w:highlight w:val="none"/>
              </w:rPr>
            </w:pPr>
            <w:r>
              <w:rPr>
                <w:rFonts w:hint="eastAsia" w:ascii="宋体" w:cs="Arial"/>
                <w:bCs/>
                <w:color w:val="auto"/>
                <w:sz w:val="22"/>
                <w:highlight w:val="none"/>
              </w:rPr>
              <w:t>单价</w:t>
            </w:r>
          </w:p>
        </w:tc>
        <w:tc>
          <w:tcPr>
            <w:tcW w:w="1503" w:type="dxa"/>
            <w:vAlign w:val="center"/>
          </w:tcPr>
          <w:p>
            <w:pPr>
              <w:tabs>
                <w:tab w:val="left" w:pos="2352"/>
              </w:tabs>
              <w:ind w:right="-11"/>
              <w:jc w:val="center"/>
              <w:rPr>
                <w:rFonts w:ascii="宋体" w:cs="Arial"/>
                <w:color w:val="auto"/>
                <w:sz w:val="22"/>
                <w:highlight w:val="none"/>
              </w:rPr>
            </w:pPr>
            <w:r>
              <w:rPr>
                <w:rFonts w:hint="eastAsia" w:ascii="宋体" w:cs="Arial"/>
                <w:bCs/>
                <w:color w:val="auto"/>
                <w:sz w:val="22"/>
                <w:highlight w:val="none"/>
              </w:rPr>
              <w:t>总价</w:t>
            </w:r>
          </w:p>
        </w:tc>
        <w:tc>
          <w:tcPr>
            <w:tcW w:w="1560"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1</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2</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3</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widowControl/>
              <w:tabs>
                <w:tab w:val="left" w:pos="2352"/>
              </w:tabs>
              <w:jc w:val="center"/>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widowControl/>
              <w:tabs>
                <w:tab w:val="left" w:pos="2352"/>
              </w:tabs>
              <w:jc w:val="center"/>
              <w:textAlignment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widowControl/>
              <w:tabs>
                <w:tab w:val="left" w:pos="2352"/>
              </w:tabs>
              <w:jc w:val="center"/>
              <w:textAlignment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widowControl/>
              <w:tabs>
                <w:tab w:val="left" w:pos="2352"/>
              </w:tabs>
              <w:jc w:val="center"/>
              <w:textAlignment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783" w:type="dxa"/>
            <w:gridSpan w:val="5"/>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合计</w:t>
            </w:r>
          </w:p>
        </w:tc>
        <w:tc>
          <w:tcPr>
            <w:tcW w:w="1503" w:type="dxa"/>
            <w:vAlign w:val="center"/>
          </w:tcPr>
          <w:p>
            <w:pPr>
              <w:widowControl/>
              <w:tabs>
                <w:tab w:val="left" w:pos="2352"/>
              </w:tabs>
              <w:jc w:val="center"/>
              <w:textAlignment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bl>
    <w:p>
      <w:pPr>
        <w:tabs>
          <w:tab w:val="left" w:pos="2352"/>
        </w:tabs>
        <w:rPr>
          <w:rFonts w:ascii="宋体" w:cs="Arial"/>
          <w:bCs/>
          <w:color w:val="auto"/>
          <w:sz w:val="22"/>
          <w:highlight w:val="none"/>
        </w:rPr>
      </w:pPr>
    </w:p>
    <w:p>
      <w:pPr>
        <w:tabs>
          <w:tab w:val="left" w:pos="2352"/>
        </w:tabs>
        <w:rPr>
          <w:rFonts w:ascii="宋体" w:cs="Arial"/>
          <w:color w:val="auto"/>
          <w:sz w:val="22"/>
          <w:highlight w:val="none"/>
        </w:rPr>
      </w:pPr>
      <w:r>
        <w:rPr>
          <w:rFonts w:hint="eastAsia" w:ascii="宋体" w:cs="Arial"/>
          <w:bCs/>
          <w:color w:val="auto"/>
          <w:sz w:val="22"/>
          <w:highlight w:val="none"/>
        </w:rPr>
        <w:t>注</w:t>
      </w:r>
      <w:r>
        <w:rPr>
          <w:rFonts w:ascii="宋体" w:cs="Arial"/>
          <w:bCs/>
          <w:color w:val="auto"/>
          <w:sz w:val="22"/>
          <w:highlight w:val="none"/>
        </w:rPr>
        <w:t>：</w:t>
      </w:r>
      <w:r>
        <w:rPr>
          <w:rFonts w:ascii="宋体" w:cs="Arial"/>
          <w:color w:val="auto"/>
          <w:sz w:val="22"/>
          <w:highlight w:val="none"/>
        </w:rPr>
        <w:t>1</w:t>
      </w:r>
      <w:r>
        <w:rPr>
          <w:rFonts w:hint="eastAsia" w:ascii="宋体" w:cs="Arial"/>
          <w:color w:val="auto"/>
          <w:sz w:val="22"/>
          <w:highlight w:val="none"/>
        </w:rPr>
        <w:t>.</w:t>
      </w:r>
      <w:r>
        <w:rPr>
          <w:rFonts w:ascii="宋体" w:cs="Arial"/>
          <w:color w:val="auto"/>
          <w:sz w:val="22"/>
          <w:highlight w:val="none"/>
        </w:rPr>
        <w:t>不提供详细分项报价表将视为没有实质性响应</w:t>
      </w:r>
      <w:r>
        <w:rPr>
          <w:rFonts w:hint="eastAsia" w:ascii="宋体" w:cs="Arial"/>
          <w:color w:val="auto"/>
          <w:sz w:val="22"/>
          <w:highlight w:val="none"/>
        </w:rPr>
        <w:t>招标文件</w:t>
      </w:r>
      <w:r>
        <w:rPr>
          <w:rFonts w:ascii="宋体" w:cs="Arial"/>
          <w:color w:val="auto"/>
          <w:sz w:val="22"/>
          <w:highlight w:val="none"/>
        </w:rPr>
        <w:t>。</w:t>
      </w:r>
    </w:p>
    <w:p>
      <w:pPr>
        <w:tabs>
          <w:tab w:val="left" w:pos="2352"/>
        </w:tabs>
        <w:ind w:firstLine="630"/>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w:t>
      </w:r>
      <w:r>
        <w:rPr>
          <w:rFonts w:ascii="宋体" w:cs="Arial"/>
          <w:color w:val="auto"/>
          <w:sz w:val="22"/>
          <w:highlight w:val="none"/>
        </w:rPr>
        <w:t>此表的合</w:t>
      </w:r>
      <w:r>
        <w:rPr>
          <w:rFonts w:hint="eastAsia" w:ascii="宋体" w:cs="Arial"/>
          <w:color w:val="auto"/>
          <w:sz w:val="22"/>
          <w:highlight w:val="none"/>
        </w:rPr>
        <w:t>计总</w:t>
      </w:r>
      <w:r>
        <w:rPr>
          <w:rFonts w:ascii="宋体" w:cs="Arial"/>
          <w:color w:val="auto"/>
          <w:sz w:val="22"/>
          <w:highlight w:val="none"/>
        </w:rPr>
        <w:t>价应与附</w:t>
      </w:r>
      <w:r>
        <w:rPr>
          <w:rFonts w:hint="eastAsia" w:ascii="宋体" w:cs="Arial"/>
          <w:color w:val="auto"/>
          <w:sz w:val="22"/>
          <w:highlight w:val="none"/>
        </w:rPr>
        <w:t>件一“开标一览表”投标总价相一</w:t>
      </w:r>
      <w:r>
        <w:rPr>
          <w:rFonts w:ascii="宋体" w:cs="Arial"/>
          <w:color w:val="auto"/>
          <w:sz w:val="22"/>
          <w:highlight w:val="none"/>
        </w:rPr>
        <w:t>致</w:t>
      </w:r>
      <w:r>
        <w:rPr>
          <w:rFonts w:ascii="宋体" w:cs="Arial"/>
          <w:b/>
          <w:bCs/>
          <w:color w:val="auto"/>
          <w:sz w:val="22"/>
          <w:highlight w:val="none"/>
        </w:rPr>
        <w:t>。</w:t>
      </w:r>
    </w:p>
    <w:p>
      <w:pPr>
        <w:tabs>
          <w:tab w:val="left" w:pos="2352"/>
        </w:tabs>
        <w:ind w:firstLine="630"/>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w:t>
      </w:r>
      <w:r>
        <w:rPr>
          <w:rFonts w:ascii="宋体" w:cs="Arial"/>
          <w:color w:val="auto"/>
          <w:sz w:val="22"/>
          <w:highlight w:val="none"/>
        </w:rPr>
        <w:t>如果免费请在该备注栏</w:t>
      </w:r>
      <w:r>
        <w:rPr>
          <w:rFonts w:hint="eastAsia" w:ascii="宋体" w:cs="Arial"/>
          <w:color w:val="auto"/>
          <w:sz w:val="22"/>
          <w:highlight w:val="none"/>
        </w:rPr>
        <w:t>内注明“免”，如果含在产品价格中则填“含”，如无此项内容则填“无”，不留空白。</w:t>
      </w:r>
    </w:p>
    <w:p>
      <w:pPr>
        <w:tabs>
          <w:tab w:val="left" w:pos="2352"/>
        </w:tabs>
        <w:ind w:firstLine="630"/>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.根据《中华人民共和国政府采购法实施条例 》第四十三条规定，在中标或者成交公告的内容中可能增加本表，请各供应商认真填写，确保报价数据的真实性、完整性和合理性。</w:t>
      </w:r>
    </w:p>
    <w:p>
      <w:pPr>
        <w:tabs>
          <w:tab w:val="left" w:pos="2352"/>
        </w:tabs>
        <w:ind w:firstLine="630"/>
        <w:rPr>
          <w:color w:val="auto"/>
          <w:sz w:val="22"/>
          <w:highlight w:val="none"/>
          <w:u w:val="single"/>
        </w:rPr>
      </w:pPr>
      <w:r>
        <w:rPr>
          <w:rFonts w:hint="eastAsia" w:ascii="宋体" w:cs="Arial"/>
          <w:color w:val="auto"/>
          <w:sz w:val="22"/>
          <w:highlight w:val="none"/>
        </w:rPr>
        <w:t xml:space="preserve">5.表格可以延续。      </w:t>
      </w:r>
      <w:r>
        <w:rPr>
          <w:rFonts w:hint="eastAsia"/>
          <w:color w:val="auto"/>
          <w:sz w:val="22"/>
          <w:highlight w:val="none"/>
        </w:rPr>
        <w:t xml:space="preserve">      </w:t>
      </w:r>
    </w:p>
    <w:p>
      <w:pPr>
        <w:tabs>
          <w:tab w:val="left" w:pos="2352"/>
        </w:tabs>
        <w:spacing w:line="440" w:lineRule="atLeast"/>
        <w:rPr>
          <w:rFonts w:hAnsi="宋体"/>
          <w:b/>
          <w:bCs/>
          <w:color w:val="auto"/>
          <w:sz w:val="22"/>
          <w:highlight w:val="none"/>
        </w:rPr>
      </w:pPr>
      <w:r>
        <w:rPr>
          <w:rFonts w:hint="eastAsia" w:hAnsi="宋体"/>
          <w:color w:val="auto"/>
          <w:sz w:val="22"/>
          <w:highlight w:val="none"/>
        </w:rPr>
        <w:t>供应商全称：（盖章）</w:t>
      </w:r>
    </w:p>
    <w:p>
      <w:pPr>
        <w:tabs>
          <w:tab w:val="left" w:pos="2352"/>
        </w:tabs>
        <w:spacing w:line="440" w:lineRule="atLeast"/>
        <w:rPr>
          <w:rFonts w:hAnsi="宋体"/>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pPr>
        <w:tabs>
          <w:tab w:val="left" w:pos="2352"/>
        </w:tabs>
        <w:spacing w:line="440" w:lineRule="atLeast"/>
        <w:rPr>
          <w:rFonts w:hAnsi="宋体"/>
          <w:color w:val="auto"/>
          <w:sz w:val="22"/>
          <w:highlight w:val="none"/>
        </w:rPr>
      </w:pPr>
      <w:r>
        <w:rPr>
          <w:rFonts w:hint="eastAsia" w:hAnsi="宋体"/>
          <w:color w:val="auto"/>
          <w:sz w:val="22"/>
          <w:highlight w:val="none"/>
        </w:rPr>
        <w:t>日期：</w:t>
      </w:r>
    </w:p>
    <w:p>
      <w:pPr>
        <w:pStyle w:val="14"/>
        <w:rPr>
          <w:color w:val="auto"/>
          <w:highlight w:val="none"/>
          <w:lang w:val="zh-CN"/>
        </w:rPr>
      </w:pPr>
    </w:p>
    <w:p>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二</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部分）格式</w:t>
      </w:r>
    </w:p>
    <w:p>
      <w:pPr>
        <w:pStyle w:val="2"/>
        <w:rPr>
          <w:rFonts w:ascii="宋体" w:hAnsi="宋体" w:cs="宋体"/>
          <w:color w:val="auto"/>
          <w:sz w:val="22"/>
          <w:szCs w:val="22"/>
          <w:highlight w:val="none"/>
        </w:rPr>
      </w:pP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w:t>
      </w:r>
      <w:r>
        <w:rPr>
          <w:rFonts w:hint="eastAsia" w:ascii="宋体" w:hAnsi="宋体" w:cs="宋体"/>
          <w:color w:val="auto"/>
          <w:sz w:val="22"/>
          <w:szCs w:val="22"/>
          <w:highlight w:val="none"/>
        </w:rPr>
        <w:t>封面参考：</w:t>
      </w:r>
    </w:p>
    <w:p>
      <w:pPr>
        <w:snapToGrid w:val="0"/>
        <w:spacing w:line="440" w:lineRule="exact"/>
        <w:jc w:val="center"/>
        <w:rPr>
          <w:rFonts w:ascii="宋体" w:hAnsi="宋体" w:cs="宋体"/>
          <w:b/>
          <w:color w:val="auto"/>
          <w:sz w:val="32"/>
          <w:szCs w:val="32"/>
          <w:highlight w:val="none"/>
        </w:rPr>
      </w:pPr>
    </w:p>
    <w:p>
      <w:pPr>
        <w:spacing w:line="480" w:lineRule="auto"/>
        <w:jc w:val="center"/>
        <w:rPr>
          <w:rFonts w:ascii="宋体" w:hAnsi="宋体" w:cs="宋体"/>
          <w:b/>
          <w:color w:val="auto"/>
          <w:sz w:val="64"/>
          <w:szCs w:val="64"/>
          <w:highlight w:val="none"/>
        </w:rPr>
      </w:pPr>
    </w:p>
    <w:p>
      <w:pPr>
        <w:spacing w:line="480" w:lineRule="auto"/>
        <w:jc w:val="center"/>
        <w:rPr>
          <w:rFonts w:ascii="宋体" w:hAnsi="宋体" w:cs="宋体"/>
          <w:b/>
          <w:color w:val="auto"/>
          <w:sz w:val="64"/>
          <w:szCs w:val="64"/>
          <w:highlight w:val="none"/>
        </w:rPr>
      </w:pPr>
      <w:r>
        <w:rPr>
          <w:rFonts w:hint="eastAsia" w:ascii="宋体" w:hAnsi="宋体" w:cs="宋体"/>
          <w:b/>
          <w:color w:val="auto"/>
          <w:sz w:val="64"/>
          <w:szCs w:val="64"/>
          <w:highlight w:val="none"/>
        </w:rPr>
        <w:t>泰顺县城区生活垃圾再生资源回收利用采购项目</w:t>
      </w:r>
    </w:p>
    <w:p>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r>
        <w:rPr>
          <w:rFonts w:hint="eastAsia" w:ascii="等线" w:hAnsi="等线" w:eastAsia="等线" w:cs="等线"/>
          <w:bCs/>
          <w:color w:val="auto"/>
          <w:sz w:val="84"/>
          <w:szCs w:val="84"/>
          <w:highlight w:val="none"/>
        </w:rPr>
        <w:br w:type="textWrapping"/>
      </w:r>
      <w:r>
        <w:rPr>
          <w:rFonts w:hint="eastAsia" w:ascii="等线" w:hAnsi="等线" w:eastAsia="等线" w:cs="等线"/>
          <w:bCs/>
          <w:color w:val="auto"/>
          <w:sz w:val="60"/>
          <w:szCs w:val="60"/>
          <w:highlight w:val="none"/>
        </w:rPr>
        <w:t>（资 格 部 分）</w:t>
      </w:r>
    </w:p>
    <w:p>
      <w:pPr>
        <w:snapToGrid w:val="0"/>
        <w:spacing w:line="600" w:lineRule="atLeast"/>
        <w:ind w:firstLine="1072" w:firstLineChars="400"/>
        <w:rPr>
          <w:rFonts w:ascii="宋体" w:hAnsi="宋体" w:cs="宋体"/>
          <w:b/>
          <w:color w:val="auto"/>
          <w:sz w:val="26"/>
          <w:szCs w:val="26"/>
          <w:highlight w:val="none"/>
        </w:rPr>
      </w:pPr>
    </w:p>
    <w:p>
      <w:pPr>
        <w:snapToGrid w:val="0"/>
        <w:spacing w:line="600" w:lineRule="atLeast"/>
        <w:ind w:firstLine="1072" w:firstLineChars="400"/>
        <w:rPr>
          <w:rFonts w:ascii="宋体" w:hAnsi="宋体" w:cs="宋体"/>
          <w:b/>
          <w:color w:val="auto"/>
          <w:sz w:val="26"/>
          <w:szCs w:val="26"/>
          <w:highlight w:val="none"/>
        </w:rPr>
      </w:pPr>
    </w:p>
    <w:tbl>
      <w:tblPr>
        <w:tblStyle w:val="28"/>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TSCG202302002</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采购单位：泰顺县综合行政执法局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pPr>
        <w:snapToGrid w:val="0"/>
        <w:spacing w:line="600" w:lineRule="atLeast"/>
        <w:ind w:firstLine="1072" w:firstLineChars="400"/>
        <w:rPr>
          <w:rFonts w:ascii="宋体" w:hAnsi="宋体" w:cs="宋体"/>
          <w:b/>
          <w:color w:val="auto"/>
          <w:sz w:val="26"/>
          <w:szCs w:val="26"/>
          <w:highlight w:val="none"/>
        </w:rPr>
      </w:pPr>
    </w:p>
    <w:p>
      <w:pPr>
        <w:autoSpaceDE w:val="0"/>
        <w:autoSpaceDN w:val="0"/>
        <w:adjustRightInd w:val="0"/>
        <w:spacing w:line="460" w:lineRule="atLeast"/>
        <w:rPr>
          <w:rFonts w:ascii="宋体" w:hAnsi="宋体" w:cs="宋体"/>
          <w:b/>
          <w:bCs/>
          <w:color w:val="auto"/>
          <w:sz w:val="30"/>
          <w:highlight w:val="none"/>
          <w:lang w:val="zh-CN"/>
        </w:rPr>
      </w:pPr>
    </w:p>
    <w:p>
      <w:pPr>
        <w:autoSpaceDE w:val="0"/>
        <w:autoSpaceDN w:val="0"/>
        <w:adjustRightInd w:val="0"/>
        <w:spacing w:line="460" w:lineRule="atLeast"/>
        <w:rPr>
          <w:b/>
          <w:bCs/>
          <w:color w:val="auto"/>
          <w:sz w:val="30"/>
          <w:highlight w:val="none"/>
          <w:lang w:val="zh-CN"/>
        </w:rPr>
      </w:pPr>
    </w:p>
    <w:p>
      <w:pPr>
        <w:autoSpaceDE w:val="0"/>
        <w:autoSpaceDN w:val="0"/>
        <w:adjustRightInd w:val="0"/>
        <w:spacing w:line="460" w:lineRule="atLeast"/>
        <w:rPr>
          <w:b/>
          <w:bCs/>
          <w:color w:val="auto"/>
          <w:sz w:val="30"/>
          <w:highlight w:val="none"/>
          <w:lang w:val="zh-CN"/>
        </w:rPr>
      </w:pPr>
    </w:p>
    <w:p>
      <w:pPr>
        <w:autoSpaceDE w:val="0"/>
        <w:autoSpaceDN w:val="0"/>
        <w:adjustRightInd w:val="0"/>
        <w:spacing w:line="460" w:lineRule="atLeast"/>
        <w:rPr>
          <w:rFonts w:ascii="宋体" w:hAnsi="宋体"/>
          <w:color w:val="auto"/>
          <w:sz w:val="30"/>
          <w:highlight w:val="none"/>
        </w:rPr>
      </w:pPr>
      <w:r>
        <w:rPr>
          <w:rFonts w:hint="eastAsia"/>
          <w:b/>
          <w:bCs/>
          <w:color w:val="auto"/>
          <w:sz w:val="30"/>
          <w:highlight w:val="none"/>
          <w:lang w:val="zh-CN"/>
        </w:rPr>
        <w:t>附件</w:t>
      </w:r>
      <w:r>
        <w:rPr>
          <w:rFonts w:hint="eastAsia"/>
          <w:b/>
          <w:bCs/>
          <w:color w:val="auto"/>
          <w:sz w:val="30"/>
          <w:highlight w:val="none"/>
        </w:rPr>
        <w:t>三</w:t>
      </w:r>
    </w:p>
    <w:p>
      <w:pPr>
        <w:autoSpaceDE w:val="0"/>
        <w:autoSpaceDN w:val="0"/>
        <w:adjustRightInd w:val="0"/>
        <w:spacing w:line="460" w:lineRule="atLeast"/>
        <w:jc w:val="center"/>
        <w:rPr>
          <w:rFonts w:ascii="宋体" w:hAnsi="宋体"/>
          <w:color w:val="auto"/>
          <w:sz w:val="36"/>
          <w:highlight w:val="none"/>
          <w:lang w:val="zh-CN"/>
        </w:rPr>
      </w:pPr>
    </w:p>
    <w:p>
      <w:pPr>
        <w:autoSpaceDE w:val="0"/>
        <w:autoSpaceDN w:val="0"/>
        <w:adjustRightInd w:val="0"/>
        <w:spacing w:line="460" w:lineRule="atLeast"/>
        <w:jc w:val="center"/>
        <w:rPr>
          <w:rFonts w:ascii="宋体" w:hAnsi="宋体"/>
          <w:color w:val="auto"/>
          <w:sz w:val="36"/>
          <w:highlight w:val="none"/>
          <w:lang w:val="zh-CN"/>
        </w:rPr>
      </w:pPr>
      <w:r>
        <w:rPr>
          <w:rFonts w:hint="eastAsia"/>
          <w:b/>
          <w:bCs/>
          <w:color w:val="auto"/>
          <w:sz w:val="30"/>
          <w:highlight w:val="none"/>
          <w:lang w:val="zh-CN"/>
        </w:rPr>
        <w:t>具有履行合同所必需的设备和专业技术能力的承诺函</w:t>
      </w:r>
    </w:p>
    <w:p>
      <w:pPr>
        <w:spacing w:line="460" w:lineRule="exact"/>
        <w:rPr>
          <w:rFonts w:ascii="宋体" w:hAnsi="宋体"/>
          <w:color w:val="auto"/>
          <w:sz w:val="22"/>
          <w:highlight w:val="none"/>
          <w:u w:val="single"/>
        </w:rPr>
      </w:pPr>
      <w:r>
        <w:rPr>
          <w:rFonts w:hint="eastAsia" w:ascii="宋体" w:hAnsi="宋体"/>
          <w:color w:val="auto"/>
          <w:sz w:val="22"/>
          <w:highlight w:val="none"/>
          <w:u w:val="single"/>
        </w:rPr>
        <w:t>泰顺县综合行政执法局、杭州华旗招标代理有限公司：</w:t>
      </w:r>
    </w:p>
    <w:p>
      <w:pPr>
        <w:widowControl/>
        <w:snapToGrid w:val="0"/>
        <w:spacing w:line="460" w:lineRule="exact"/>
        <w:ind w:firstLine="456" w:firstLineChars="200"/>
        <w:jc w:val="left"/>
        <w:rPr>
          <w:rFonts w:ascii="宋体" w:hAnsi="宋体" w:cs="Courier New"/>
          <w:color w:val="auto"/>
          <w:sz w:val="22"/>
          <w:highlight w:val="none"/>
        </w:rPr>
      </w:pPr>
    </w:p>
    <w:p>
      <w:pPr>
        <w:widowControl/>
        <w:snapToGrid w:val="0"/>
        <w:spacing w:line="460" w:lineRule="exact"/>
        <w:ind w:firstLine="456" w:firstLineChars="200"/>
        <w:jc w:val="left"/>
        <w:rPr>
          <w:rFonts w:ascii="宋体" w:hAnsi="宋体" w:cs="Courier New"/>
          <w:color w:val="auto"/>
          <w:sz w:val="22"/>
          <w:highlight w:val="none"/>
        </w:rPr>
      </w:pPr>
      <w:r>
        <w:rPr>
          <w:rFonts w:hint="eastAsia" w:ascii="宋体" w:hAnsi="宋体" w:cs="Courier New"/>
          <w:color w:val="auto"/>
          <w:sz w:val="22"/>
          <w:highlight w:val="none"/>
        </w:rPr>
        <w:t>我方</w:t>
      </w:r>
      <w:r>
        <w:rPr>
          <w:rFonts w:hint="eastAsia" w:ascii="宋体" w:hAnsi="宋体" w:cs="Courier New"/>
          <w:color w:val="auto"/>
          <w:sz w:val="22"/>
          <w:highlight w:val="none"/>
          <w:u w:val="single"/>
        </w:rPr>
        <w:t xml:space="preserve"> （供应商）  </w:t>
      </w:r>
      <w:r>
        <w:rPr>
          <w:rFonts w:hint="eastAsia" w:ascii="宋体" w:hAnsi="宋体" w:cs="Courier New"/>
          <w:color w:val="auto"/>
          <w:sz w:val="22"/>
          <w:highlight w:val="none"/>
        </w:rPr>
        <w:t>承诺具有履行合同所必需的设备和专业技术能力。如有虚假，采购人可取消我方任何资格（投标/中标/签订合同），我方对此无任何异议。</w:t>
      </w:r>
    </w:p>
    <w:p>
      <w:pPr>
        <w:widowControl/>
        <w:snapToGrid w:val="0"/>
        <w:spacing w:line="460" w:lineRule="exact"/>
        <w:ind w:firstLine="456" w:firstLineChars="200"/>
        <w:jc w:val="left"/>
        <w:rPr>
          <w:rFonts w:ascii="宋体" w:hAnsi="宋体" w:cs="Courier New"/>
          <w:color w:val="auto"/>
          <w:sz w:val="22"/>
          <w:highlight w:val="none"/>
        </w:rPr>
      </w:pPr>
    </w:p>
    <w:p>
      <w:pPr>
        <w:widowControl/>
        <w:snapToGrid w:val="0"/>
        <w:spacing w:line="460" w:lineRule="exact"/>
        <w:ind w:firstLine="456" w:firstLineChars="200"/>
        <w:jc w:val="left"/>
        <w:rPr>
          <w:rFonts w:ascii="宋体" w:hAnsi="宋体" w:cs="Courier New"/>
          <w:color w:val="auto"/>
          <w:sz w:val="22"/>
          <w:highlight w:val="none"/>
        </w:rPr>
      </w:pPr>
      <w:r>
        <w:rPr>
          <w:rFonts w:hint="eastAsia" w:ascii="宋体" w:hAnsi="宋体" w:cs="Courier New"/>
          <w:color w:val="auto"/>
          <w:sz w:val="22"/>
          <w:highlight w:val="none"/>
        </w:rPr>
        <w:t>特此承诺！</w:t>
      </w:r>
    </w:p>
    <w:p>
      <w:pPr>
        <w:widowControl/>
        <w:snapToGrid w:val="0"/>
        <w:spacing w:line="460" w:lineRule="exact"/>
        <w:ind w:firstLine="456" w:firstLineChars="200"/>
        <w:jc w:val="left"/>
        <w:rPr>
          <w:rFonts w:ascii="宋体" w:hAnsi="宋体" w:cs="Courier New"/>
          <w:color w:val="auto"/>
          <w:sz w:val="22"/>
          <w:highlight w:val="none"/>
        </w:rPr>
      </w:pPr>
    </w:p>
    <w:p>
      <w:pPr>
        <w:pStyle w:val="14"/>
        <w:spacing w:line="440" w:lineRule="atLeast"/>
        <w:rPr>
          <w:rFonts w:hAnsi="宋体"/>
          <w:b/>
          <w:color w:val="auto"/>
          <w:sz w:val="22"/>
          <w:highlight w:val="none"/>
        </w:rPr>
      </w:pPr>
      <w:r>
        <w:rPr>
          <w:rFonts w:hint="eastAsia" w:hAnsi="宋体"/>
          <w:color w:val="auto"/>
          <w:sz w:val="22"/>
          <w:highlight w:val="none"/>
        </w:rPr>
        <w:t>供应商全称：（盖章）</w:t>
      </w:r>
    </w:p>
    <w:p>
      <w:pPr>
        <w:pStyle w:val="14"/>
        <w:spacing w:line="440" w:lineRule="atLeast"/>
        <w:rPr>
          <w:rFonts w:hAnsi="宋体"/>
          <w:b/>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pPr>
        <w:pStyle w:val="14"/>
        <w:spacing w:line="440" w:lineRule="atLeast"/>
        <w:rPr>
          <w:rFonts w:hAnsi="宋体"/>
          <w:b/>
          <w:color w:val="auto"/>
          <w:sz w:val="22"/>
          <w:highlight w:val="none"/>
          <w:lang w:val="zh-CN"/>
        </w:rPr>
      </w:pPr>
      <w:r>
        <w:rPr>
          <w:rFonts w:hint="eastAsia" w:hAnsi="宋体"/>
          <w:color w:val="auto"/>
          <w:sz w:val="22"/>
          <w:highlight w:val="none"/>
        </w:rPr>
        <w:t>日期：</w:t>
      </w:r>
    </w:p>
    <w:p>
      <w:pPr>
        <w:widowControl/>
        <w:snapToGrid w:val="0"/>
        <w:spacing w:line="460" w:lineRule="exact"/>
        <w:ind w:firstLine="456" w:firstLineChars="200"/>
        <w:jc w:val="left"/>
        <w:rPr>
          <w:rFonts w:ascii="宋体" w:hAnsi="宋体" w:cs="Courier New"/>
          <w:color w:val="auto"/>
          <w:sz w:val="22"/>
          <w:highlight w:val="none"/>
        </w:rPr>
      </w:pPr>
    </w:p>
    <w:p>
      <w:pPr>
        <w:autoSpaceDE w:val="0"/>
        <w:autoSpaceDN w:val="0"/>
        <w:adjustRightInd w:val="0"/>
        <w:spacing w:line="460" w:lineRule="atLeast"/>
        <w:rPr>
          <w:rFonts w:ascii="宋体" w:hAnsi="宋体"/>
          <w:color w:val="auto"/>
          <w:sz w:val="36"/>
          <w:highlight w:val="none"/>
        </w:rPr>
      </w:pPr>
      <w:r>
        <w:rPr>
          <w:rFonts w:ascii="宋体" w:hAnsi="宋体"/>
          <w:color w:val="auto"/>
          <w:sz w:val="36"/>
          <w:highlight w:val="none"/>
        </w:rPr>
        <w:br w:type="page"/>
      </w:r>
      <w:bookmarkStart w:id="52" w:name="_Toc14589"/>
      <w:bookmarkStart w:id="53" w:name="_Toc33194406"/>
      <w:bookmarkStart w:id="54" w:name="_Toc13669"/>
      <w:bookmarkStart w:id="55" w:name="_Toc11360"/>
      <w:bookmarkStart w:id="56" w:name="_Toc31784"/>
      <w:bookmarkStart w:id="57" w:name="_Toc10630"/>
      <w:bookmarkStart w:id="58" w:name="_Toc6606"/>
      <w:bookmarkStart w:id="59" w:name="_Toc14988"/>
      <w:bookmarkStart w:id="60" w:name="_Toc18304"/>
      <w:bookmarkStart w:id="61" w:name="_Toc27119255"/>
      <w:bookmarkStart w:id="62" w:name="_Toc31544"/>
      <w:bookmarkStart w:id="63" w:name="_Toc28957"/>
    </w:p>
    <w:p>
      <w:pPr>
        <w:autoSpaceDE w:val="0"/>
        <w:autoSpaceDN w:val="0"/>
        <w:adjustRightInd w:val="0"/>
        <w:spacing w:line="460" w:lineRule="atLeast"/>
        <w:rPr>
          <w:rFonts w:ascii="宋体" w:hAnsi="宋体"/>
          <w:color w:val="auto"/>
          <w:sz w:val="36"/>
          <w:highlight w:val="none"/>
        </w:rPr>
      </w:pPr>
    </w:p>
    <w:p>
      <w:pPr>
        <w:autoSpaceDE w:val="0"/>
        <w:autoSpaceDN w:val="0"/>
        <w:adjustRightInd w:val="0"/>
        <w:spacing w:line="460" w:lineRule="atLeast"/>
        <w:rPr>
          <w:rFonts w:ascii="宋体" w:hAnsi="宋体"/>
          <w:color w:val="auto"/>
          <w:sz w:val="30"/>
          <w:highlight w:val="none"/>
          <w:lang w:val="zh-CN"/>
        </w:rPr>
      </w:pPr>
      <w:r>
        <w:rPr>
          <w:rFonts w:hint="eastAsia"/>
          <w:b/>
          <w:bCs/>
          <w:color w:val="auto"/>
          <w:sz w:val="30"/>
          <w:highlight w:val="none"/>
          <w:lang w:val="zh-CN"/>
        </w:rPr>
        <w:t>附件</w:t>
      </w:r>
      <w:r>
        <w:rPr>
          <w:rFonts w:hint="eastAsia"/>
          <w:b/>
          <w:bCs/>
          <w:color w:val="auto"/>
          <w:sz w:val="30"/>
          <w:highlight w:val="none"/>
        </w:rPr>
        <w:t>四</w:t>
      </w:r>
    </w:p>
    <w:p>
      <w:pPr>
        <w:autoSpaceDE w:val="0"/>
        <w:autoSpaceDN w:val="0"/>
        <w:adjustRightInd w:val="0"/>
        <w:spacing w:line="460" w:lineRule="atLeast"/>
        <w:jc w:val="center"/>
        <w:rPr>
          <w:rFonts w:ascii="宋体" w:hAnsi="宋体"/>
          <w:color w:val="auto"/>
          <w:sz w:val="36"/>
          <w:highlight w:val="none"/>
          <w:lang w:val="zh-CN"/>
        </w:rPr>
      </w:pPr>
    </w:p>
    <w:p>
      <w:pPr>
        <w:autoSpaceDE w:val="0"/>
        <w:autoSpaceDN w:val="0"/>
        <w:adjustRightInd w:val="0"/>
        <w:spacing w:line="460" w:lineRule="atLeast"/>
        <w:jc w:val="center"/>
        <w:rPr>
          <w:b/>
          <w:bCs/>
          <w:color w:val="auto"/>
          <w:sz w:val="30"/>
          <w:highlight w:val="none"/>
          <w:lang w:val="zh-CN"/>
        </w:rPr>
      </w:pPr>
      <w:r>
        <w:rPr>
          <w:rFonts w:hint="eastAsia"/>
          <w:b/>
          <w:bCs/>
          <w:color w:val="auto"/>
          <w:sz w:val="30"/>
          <w:highlight w:val="none"/>
          <w:lang w:val="zh-CN"/>
        </w:rPr>
        <w:t>参加政府采购活动前3年内在经营活动中没有重大违法记录的声明函</w:t>
      </w:r>
      <w:bookmarkEnd w:id="52"/>
      <w:bookmarkEnd w:id="53"/>
      <w:bookmarkEnd w:id="54"/>
      <w:bookmarkEnd w:id="55"/>
      <w:bookmarkEnd w:id="56"/>
      <w:bookmarkEnd w:id="57"/>
      <w:bookmarkEnd w:id="58"/>
      <w:bookmarkEnd w:id="59"/>
      <w:bookmarkEnd w:id="60"/>
      <w:bookmarkEnd w:id="61"/>
      <w:bookmarkEnd w:id="62"/>
      <w:bookmarkEnd w:id="63"/>
    </w:p>
    <w:p>
      <w:pPr>
        <w:spacing w:line="460" w:lineRule="exact"/>
        <w:rPr>
          <w:rFonts w:ascii="宋体" w:hAnsi="宋体"/>
          <w:color w:val="auto"/>
          <w:sz w:val="22"/>
          <w:highlight w:val="none"/>
          <w:u w:val="single"/>
        </w:rPr>
      </w:pPr>
      <w:r>
        <w:rPr>
          <w:rFonts w:hint="eastAsia" w:ascii="宋体" w:hAnsi="宋体"/>
          <w:color w:val="auto"/>
          <w:sz w:val="22"/>
          <w:highlight w:val="none"/>
          <w:u w:val="single"/>
        </w:rPr>
        <w:t>泰顺县综合行政执法局、杭州华旗招标代理有限公司：</w:t>
      </w:r>
    </w:p>
    <w:p>
      <w:pPr>
        <w:widowControl/>
        <w:snapToGrid w:val="0"/>
        <w:spacing w:line="460" w:lineRule="exact"/>
        <w:ind w:firstLine="456" w:firstLineChars="200"/>
        <w:jc w:val="left"/>
        <w:rPr>
          <w:rFonts w:ascii="宋体" w:hAnsi="宋体" w:cs="Courier New"/>
          <w:color w:val="auto"/>
          <w:sz w:val="22"/>
          <w:highlight w:val="none"/>
        </w:rPr>
      </w:pPr>
      <w:r>
        <w:rPr>
          <w:rFonts w:hint="eastAsia" w:ascii="宋体" w:hAnsi="宋体" w:cs="Courier New"/>
          <w:color w:val="auto"/>
          <w:sz w:val="22"/>
          <w:highlight w:val="none"/>
        </w:rPr>
        <w:t>我方</w:t>
      </w:r>
      <w:r>
        <w:rPr>
          <w:rFonts w:hint="eastAsia" w:ascii="宋体" w:hAnsi="宋体" w:cs="Courier New"/>
          <w:color w:val="auto"/>
          <w:sz w:val="22"/>
          <w:highlight w:val="none"/>
          <w:u w:val="single"/>
        </w:rPr>
        <w:t xml:space="preserve"> （供应商）  </w:t>
      </w:r>
      <w:r>
        <w:rPr>
          <w:rFonts w:hint="eastAsia" w:ascii="宋体" w:hAnsi="宋体" w:cs="Courier New"/>
          <w:color w:val="auto"/>
          <w:sz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56" w:firstLineChars="200"/>
        <w:jc w:val="left"/>
        <w:rPr>
          <w:rFonts w:ascii="宋体" w:hAnsi="宋体" w:cs="Courier New"/>
          <w:color w:val="auto"/>
          <w:sz w:val="22"/>
          <w:highlight w:val="none"/>
        </w:rPr>
      </w:pPr>
    </w:p>
    <w:p>
      <w:pPr>
        <w:widowControl/>
        <w:snapToGrid w:val="0"/>
        <w:spacing w:line="460" w:lineRule="exact"/>
        <w:ind w:firstLine="456" w:firstLineChars="200"/>
        <w:jc w:val="left"/>
        <w:rPr>
          <w:rFonts w:ascii="宋体" w:hAnsi="宋体" w:cs="Courier New"/>
          <w:color w:val="auto"/>
          <w:sz w:val="22"/>
          <w:highlight w:val="none"/>
        </w:rPr>
      </w:pPr>
      <w:r>
        <w:rPr>
          <w:rFonts w:hint="eastAsia" w:ascii="宋体" w:hAnsi="宋体" w:cs="Courier New"/>
          <w:color w:val="auto"/>
          <w:sz w:val="22"/>
          <w:highlight w:val="none"/>
        </w:rPr>
        <w:t>特此承诺！</w:t>
      </w:r>
    </w:p>
    <w:p>
      <w:pPr>
        <w:widowControl/>
        <w:snapToGrid w:val="0"/>
        <w:spacing w:line="460" w:lineRule="exact"/>
        <w:ind w:firstLine="456" w:firstLineChars="200"/>
        <w:jc w:val="left"/>
        <w:rPr>
          <w:rFonts w:ascii="宋体" w:hAnsi="宋体" w:cs="Courier New"/>
          <w:color w:val="auto"/>
          <w:sz w:val="22"/>
          <w:highlight w:val="none"/>
        </w:rPr>
      </w:pPr>
    </w:p>
    <w:p>
      <w:pPr>
        <w:pStyle w:val="14"/>
        <w:spacing w:line="440" w:lineRule="atLeast"/>
        <w:rPr>
          <w:rFonts w:hAnsi="宋体"/>
          <w:b/>
          <w:color w:val="auto"/>
          <w:sz w:val="22"/>
          <w:highlight w:val="none"/>
        </w:rPr>
      </w:pPr>
      <w:r>
        <w:rPr>
          <w:rFonts w:hint="eastAsia" w:hAnsi="宋体"/>
          <w:color w:val="auto"/>
          <w:sz w:val="22"/>
          <w:highlight w:val="none"/>
        </w:rPr>
        <w:t>供应商全称：（盖章）</w:t>
      </w:r>
    </w:p>
    <w:p>
      <w:pPr>
        <w:pStyle w:val="14"/>
        <w:spacing w:line="440" w:lineRule="atLeast"/>
        <w:rPr>
          <w:rFonts w:hAnsi="宋体"/>
          <w:b/>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pPr>
        <w:pStyle w:val="14"/>
        <w:spacing w:line="440" w:lineRule="atLeast"/>
        <w:rPr>
          <w:rFonts w:hAnsi="宋体"/>
          <w:b/>
          <w:color w:val="auto"/>
          <w:sz w:val="22"/>
          <w:highlight w:val="none"/>
          <w:lang w:val="zh-CN"/>
        </w:rPr>
      </w:pPr>
      <w:r>
        <w:rPr>
          <w:rFonts w:hint="eastAsia" w:hAnsi="宋体"/>
          <w:color w:val="auto"/>
          <w:sz w:val="22"/>
          <w:highlight w:val="none"/>
        </w:rPr>
        <w:t>日期：</w:t>
      </w:r>
    </w:p>
    <w:p>
      <w:pPr>
        <w:widowControl/>
        <w:snapToGrid w:val="0"/>
        <w:spacing w:line="460" w:lineRule="exact"/>
        <w:ind w:firstLine="456" w:firstLineChars="200"/>
        <w:jc w:val="left"/>
        <w:rPr>
          <w:rFonts w:ascii="宋体" w:hAnsi="宋体" w:cs="Courier New"/>
          <w:color w:val="auto"/>
          <w:sz w:val="22"/>
          <w:highlight w:val="none"/>
        </w:rPr>
      </w:pPr>
      <w:r>
        <w:rPr>
          <w:rFonts w:hint="eastAsia" w:ascii="宋体" w:hAnsi="宋体" w:cs="Courier New"/>
          <w:color w:val="auto"/>
          <w:sz w:val="22"/>
          <w:highlight w:val="none"/>
        </w:rPr>
        <w:t xml:space="preserve"> </w:t>
      </w:r>
    </w:p>
    <w:p>
      <w:pPr>
        <w:autoSpaceDE w:val="0"/>
        <w:autoSpaceDN w:val="0"/>
        <w:adjustRightInd w:val="0"/>
        <w:spacing w:line="460" w:lineRule="atLeast"/>
        <w:rPr>
          <w:rFonts w:ascii="宋体" w:hAnsi="宋体"/>
          <w:color w:val="auto"/>
          <w:sz w:val="36"/>
          <w:highlight w:val="none"/>
        </w:rPr>
      </w:pPr>
    </w:p>
    <w:p>
      <w:pPr>
        <w:snapToGrid w:val="0"/>
        <w:spacing w:line="500" w:lineRule="atLeast"/>
        <w:rPr>
          <w:rFonts w:ascii="宋体" w:hAnsi="宋体"/>
          <w:color w:val="auto"/>
          <w:sz w:val="30"/>
          <w:szCs w:val="30"/>
          <w:highlight w:val="none"/>
        </w:rPr>
      </w:pPr>
    </w:p>
    <w:p>
      <w:pPr>
        <w:spacing w:line="360" w:lineRule="exact"/>
        <w:jc w:val="left"/>
        <w:rPr>
          <w:b/>
          <w:bCs/>
          <w:color w:val="auto"/>
          <w:sz w:val="32"/>
          <w:szCs w:val="32"/>
          <w:highlight w:val="none"/>
        </w:rPr>
      </w:pPr>
    </w:p>
    <w:p>
      <w:pPr>
        <w:spacing w:line="360" w:lineRule="exact"/>
        <w:jc w:val="left"/>
        <w:rPr>
          <w:b/>
          <w:bCs/>
          <w:color w:val="auto"/>
          <w:sz w:val="30"/>
          <w:highlight w:val="none"/>
        </w:rPr>
      </w:pPr>
    </w:p>
    <w:p>
      <w:pPr>
        <w:spacing w:line="360" w:lineRule="exact"/>
        <w:jc w:val="left"/>
        <w:rPr>
          <w:b/>
          <w:bCs/>
          <w:color w:val="auto"/>
          <w:sz w:val="30"/>
          <w:highlight w:val="none"/>
        </w:rPr>
      </w:pPr>
    </w:p>
    <w:p>
      <w:pPr>
        <w:spacing w:line="360" w:lineRule="exact"/>
        <w:jc w:val="left"/>
        <w:rPr>
          <w:b/>
          <w:bCs/>
          <w:color w:val="auto"/>
          <w:sz w:val="30"/>
          <w:highlight w:val="none"/>
        </w:rPr>
      </w:pPr>
    </w:p>
    <w:p>
      <w:pPr>
        <w:spacing w:line="360" w:lineRule="exact"/>
        <w:jc w:val="left"/>
        <w:rPr>
          <w:b/>
          <w:bCs/>
          <w:color w:val="auto"/>
          <w:sz w:val="30"/>
          <w:highlight w:val="none"/>
        </w:rPr>
      </w:pPr>
    </w:p>
    <w:p>
      <w:pPr>
        <w:spacing w:line="360" w:lineRule="exact"/>
        <w:jc w:val="left"/>
        <w:rPr>
          <w:b/>
          <w:bCs/>
          <w:color w:val="auto"/>
          <w:sz w:val="30"/>
          <w:highlight w:val="none"/>
        </w:rPr>
      </w:pPr>
    </w:p>
    <w:p>
      <w:pPr>
        <w:spacing w:line="360" w:lineRule="exact"/>
        <w:jc w:val="left"/>
        <w:rPr>
          <w:b/>
          <w:bCs/>
          <w:color w:val="auto"/>
          <w:sz w:val="30"/>
          <w:highlight w:val="none"/>
        </w:rPr>
      </w:pPr>
    </w:p>
    <w:p>
      <w:pPr>
        <w:spacing w:line="360" w:lineRule="exact"/>
        <w:jc w:val="left"/>
        <w:rPr>
          <w:b/>
          <w:bCs/>
          <w:color w:val="auto"/>
          <w:sz w:val="30"/>
          <w:highlight w:val="none"/>
        </w:rPr>
      </w:pPr>
    </w:p>
    <w:p>
      <w:pPr>
        <w:spacing w:line="360" w:lineRule="exact"/>
        <w:jc w:val="left"/>
        <w:rPr>
          <w:b/>
          <w:bCs/>
          <w:color w:val="auto"/>
          <w:sz w:val="30"/>
          <w:highlight w:val="none"/>
        </w:rPr>
      </w:pPr>
    </w:p>
    <w:p>
      <w:pPr>
        <w:spacing w:line="360" w:lineRule="exact"/>
        <w:jc w:val="left"/>
        <w:rPr>
          <w:b/>
          <w:bCs/>
          <w:color w:val="auto"/>
          <w:sz w:val="30"/>
          <w:highlight w:val="none"/>
        </w:rPr>
      </w:pPr>
    </w:p>
    <w:p>
      <w:pPr>
        <w:spacing w:line="360" w:lineRule="exact"/>
        <w:jc w:val="left"/>
        <w:rPr>
          <w:b/>
          <w:bCs/>
          <w:color w:val="auto"/>
          <w:sz w:val="30"/>
          <w:highlight w:val="none"/>
        </w:rPr>
      </w:pPr>
    </w:p>
    <w:p>
      <w:pPr>
        <w:spacing w:line="360" w:lineRule="exact"/>
        <w:jc w:val="left"/>
        <w:rPr>
          <w:b/>
          <w:bCs/>
          <w:color w:val="auto"/>
          <w:sz w:val="30"/>
          <w:highlight w:val="none"/>
        </w:rPr>
      </w:pPr>
    </w:p>
    <w:p>
      <w:pPr>
        <w:spacing w:line="360" w:lineRule="exact"/>
        <w:jc w:val="left"/>
        <w:rPr>
          <w:b/>
          <w:bCs/>
          <w:color w:val="auto"/>
          <w:sz w:val="30"/>
          <w:highlight w:val="none"/>
        </w:rPr>
      </w:pPr>
    </w:p>
    <w:p>
      <w:pPr>
        <w:spacing w:line="360" w:lineRule="exact"/>
        <w:jc w:val="left"/>
        <w:rPr>
          <w:b/>
          <w:bCs/>
          <w:color w:val="auto"/>
          <w:sz w:val="30"/>
          <w:highlight w:val="none"/>
        </w:rPr>
      </w:pPr>
      <w:r>
        <w:rPr>
          <w:rFonts w:hint="eastAsia"/>
          <w:b/>
          <w:bCs/>
          <w:color w:val="auto"/>
          <w:sz w:val="30"/>
          <w:highlight w:val="none"/>
        </w:rPr>
        <w:t>附件五</w:t>
      </w:r>
    </w:p>
    <w:p>
      <w:pPr>
        <w:tabs>
          <w:tab w:val="left" w:pos="1080"/>
        </w:tabs>
        <w:autoSpaceDE w:val="0"/>
        <w:autoSpaceDN w:val="0"/>
        <w:adjustRightInd w:val="0"/>
        <w:spacing w:line="360" w:lineRule="exact"/>
        <w:jc w:val="center"/>
        <w:rPr>
          <w:rFonts w:ascii="宋体"/>
          <w:b/>
          <w:bCs/>
          <w:color w:val="auto"/>
          <w:sz w:val="36"/>
          <w:highlight w:val="none"/>
          <w:lang w:val="zh-CN"/>
        </w:rPr>
      </w:pPr>
      <w:bookmarkStart w:id="64" w:name="_Toc32552_WPSOffice_Level3"/>
      <w:r>
        <w:rPr>
          <w:rFonts w:hint="eastAsia" w:ascii="宋体"/>
          <w:b/>
          <w:bCs/>
          <w:color w:val="auto"/>
          <w:sz w:val="32"/>
          <w:highlight w:val="none"/>
          <w:lang w:val="zh-CN"/>
        </w:rPr>
        <w:t>法定代表人授权书</w:t>
      </w:r>
      <w:bookmarkEnd w:id="64"/>
    </w:p>
    <w:p>
      <w:pPr>
        <w:spacing w:line="400" w:lineRule="atLeast"/>
        <w:rPr>
          <w:rFonts w:ascii="宋体"/>
          <w:color w:val="auto"/>
          <w:sz w:val="22"/>
          <w:highlight w:val="none"/>
        </w:rPr>
      </w:pPr>
      <w:r>
        <w:rPr>
          <w:rFonts w:hint="eastAsia" w:ascii="宋体"/>
          <w:color w:val="auto"/>
          <w:sz w:val="22"/>
          <w:highlight w:val="none"/>
          <w:u w:val="single"/>
        </w:rPr>
        <w:t>泰顺县综合行政执法局</w:t>
      </w:r>
      <w:r>
        <w:rPr>
          <w:rFonts w:hint="eastAsia" w:ascii="宋体"/>
          <w:color w:val="auto"/>
          <w:sz w:val="22"/>
          <w:highlight w:val="none"/>
          <w:lang w:val="zh-CN"/>
        </w:rPr>
        <w:t>：</w:t>
      </w:r>
    </w:p>
    <w:p>
      <w:pPr>
        <w:snapToGrid w:val="0"/>
        <w:spacing w:line="400" w:lineRule="atLeast"/>
        <w:ind w:firstLine="456" w:firstLineChars="200"/>
        <w:rPr>
          <w:rFonts w:ascii="宋体"/>
          <w:color w:val="auto"/>
          <w:sz w:val="22"/>
          <w:highlight w:val="none"/>
        </w:rPr>
      </w:pPr>
      <w:r>
        <w:rPr>
          <w:rFonts w:hint="eastAsia" w:ascii="宋体"/>
          <w:color w:val="auto"/>
          <w:sz w:val="22"/>
          <w:highlight w:val="none"/>
        </w:rPr>
        <w:t>本授权委托书声明：我</w:t>
      </w:r>
      <w:r>
        <w:rPr>
          <w:rFonts w:hint="eastAsia" w:ascii="宋体"/>
          <w:color w:val="auto"/>
          <w:sz w:val="22"/>
          <w:highlight w:val="none"/>
          <w:u w:val="single"/>
        </w:rPr>
        <w:t>（法定代表人姓名）</w:t>
      </w:r>
      <w:r>
        <w:rPr>
          <w:rFonts w:hint="eastAsia" w:ascii="宋体"/>
          <w:color w:val="auto"/>
          <w:sz w:val="22"/>
          <w:highlight w:val="none"/>
        </w:rPr>
        <w:t>系</w:t>
      </w:r>
      <w:r>
        <w:rPr>
          <w:rFonts w:hint="eastAsia" w:ascii="宋体"/>
          <w:color w:val="auto"/>
          <w:sz w:val="22"/>
          <w:highlight w:val="none"/>
          <w:u w:val="single"/>
        </w:rPr>
        <w:t>（供应商名称）</w:t>
      </w:r>
      <w:r>
        <w:rPr>
          <w:rFonts w:hint="eastAsia" w:ascii="宋体"/>
          <w:color w:val="auto"/>
          <w:sz w:val="22"/>
          <w:highlight w:val="none"/>
        </w:rPr>
        <w:t>的法定代表人，现授权委托</w:t>
      </w:r>
      <w:r>
        <w:rPr>
          <w:rFonts w:hint="eastAsia" w:ascii="宋体"/>
          <w:color w:val="auto"/>
          <w:sz w:val="22"/>
          <w:highlight w:val="none"/>
          <w:u w:val="single"/>
        </w:rPr>
        <w:t>（单位名称）</w:t>
      </w:r>
      <w:r>
        <w:rPr>
          <w:rFonts w:hint="eastAsia" w:ascii="宋体"/>
          <w:color w:val="auto"/>
          <w:sz w:val="22"/>
          <w:highlight w:val="none"/>
        </w:rPr>
        <w:t>的</w:t>
      </w:r>
      <w:r>
        <w:rPr>
          <w:rFonts w:hint="eastAsia" w:ascii="宋体"/>
          <w:color w:val="auto"/>
          <w:sz w:val="22"/>
          <w:highlight w:val="none"/>
          <w:u w:val="single"/>
        </w:rPr>
        <w:t>（授权代表姓名）</w:t>
      </w:r>
      <w:r>
        <w:rPr>
          <w:rFonts w:hint="eastAsia" w:ascii="宋体"/>
          <w:color w:val="auto"/>
          <w:sz w:val="22"/>
          <w:highlight w:val="none"/>
        </w:rPr>
        <w:t>为我公司法定代表人授权代表，参加贵处组织的</w:t>
      </w:r>
      <w:r>
        <w:rPr>
          <w:rFonts w:hint="eastAsia" w:ascii="宋体"/>
          <w:color w:val="auto"/>
          <w:sz w:val="22"/>
          <w:highlight w:val="none"/>
          <w:u w:val="single"/>
        </w:rPr>
        <w:t>泰顺县城区生活垃圾再生资源回收利用采购项目</w:t>
      </w:r>
      <w:r>
        <w:rPr>
          <w:rFonts w:hint="eastAsia" w:ascii="宋体"/>
          <w:color w:val="auto"/>
          <w:sz w:val="22"/>
          <w:highlight w:val="none"/>
          <w:lang w:val="zh-CN"/>
        </w:rPr>
        <w:t>（</w:t>
      </w:r>
      <w:r>
        <w:rPr>
          <w:rFonts w:hint="eastAsia" w:ascii="宋体"/>
          <w:color w:val="auto"/>
          <w:sz w:val="22"/>
          <w:highlight w:val="none"/>
        </w:rPr>
        <w:t>采购</w:t>
      </w:r>
      <w:r>
        <w:rPr>
          <w:rFonts w:hint="eastAsia" w:ascii="宋体"/>
          <w:color w:val="auto"/>
          <w:sz w:val="22"/>
          <w:highlight w:val="none"/>
          <w:lang w:val="zh-CN"/>
        </w:rPr>
        <w:t>编号：</w:t>
      </w:r>
      <w:r>
        <w:rPr>
          <w:rFonts w:hint="eastAsia" w:ascii="宋体"/>
          <w:color w:val="auto"/>
          <w:sz w:val="22"/>
          <w:highlight w:val="none"/>
          <w:u w:val="single"/>
          <w:lang w:eastAsia="zh-CN"/>
        </w:rPr>
        <w:t>TSCG202302002</w:t>
      </w:r>
      <w:r>
        <w:rPr>
          <w:rFonts w:hint="eastAsia" w:ascii="宋体"/>
          <w:color w:val="auto"/>
          <w:sz w:val="22"/>
          <w:highlight w:val="none"/>
          <w:u w:val="single"/>
        </w:rPr>
        <w:t>）</w:t>
      </w:r>
      <w:r>
        <w:rPr>
          <w:rFonts w:hint="eastAsia" w:ascii="宋体"/>
          <w:color w:val="auto"/>
          <w:sz w:val="22"/>
          <w:highlight w:val="none"/>
        </w:rPr>
        <w:t>项目投标，全权处理本次招投标活动中的一切事宜，我承认授权代表全权代表我所签署的本项目的投标文件的内容。</w:t>
      </w:r>
    </w:p>
    <w:p>
      <w:pPr>
        <w:spacing w:line="400" w:lineRule="atLeast"/>
        <w:ind w:firstLine="456" w:firstLineChars="200"/>
        <w:rPr>
          <w:rFonts w:ascii="宋体"/>
          <w:color w:val="auto"/>
          <w:sz w:val="22"/>
          <w:highlight w:val="none"/>
        </w:rPr>
      </w:pPr>
    </w:p>
    <w:p>
      <w:pPr>
        <w:spacing w:line="400" w:lineRule="atLeast"/>
        <w:ind w:firstLine="456" w:firstLineChars="200"/>
        <w:rPr>
          <w:rFonts w:ascii="宋体"/>
          <w:color w:val="auto"/>
          <w:sz w:val="22"/>
          <w:highlight w:val="none"/>
        </w:rPr>
      </w:pPr>
      <w:r>
        <w:rPr>
          <w:rFonts w:hint="eastAsia" w:ascii="宋体"/>
          <w:color w:val="auto"/>
          <w:sz w:val="22"/>
          <w:highlight w:val="none"/>
        </w:rPr>
        <w:t>授权代表无转授权，特此授权。</w:t>
      </w:r>
    </w:p>
    <w:p>
      <w:pPr>
        <w:spacing w:line="400" w:lineRule="atLeast"/>
        <w:rPr>
          <w:rFonts w:ascii="宋体"/>
          <w:color w:val="auto"/>
          <w:sz w:val="22"/>
          <w:highlight w:val="none"/>
        </w:rPr>
      </w:pPr>
    </w:p>
    <w:p>
      <w:pPr>
        <w:spacing w:line="400" w:lineRule="atLeast"/>
        <w:ind w:firstLine="3059" w:firstLineChars="1342"/>
        <w:rPr>
          <w:rFonts w:ascii="宋体"/>
          <w:color w:val="auto"/>
          <w:sz w:val="22"/>
          <w:highlight w:val="none"/>
          <w:u w:val="single"/>
        </w:rPr>
      </w:pPr>
      <w:r>
        <w:rPr>
          <w:rFonts w:hint="eastAsia" w:ascii="宋体"/>
          <w:color w:val="auto"/>
          <w:sz w:val="22"/>
          <w:highlight w:val="none"/>
        </w:rPr>
        <w:t>授权代表：</w:t>
      </w:r>
      <w:r>
        <w:rPr>
          <w:rFonts w:hint="eastAsia" w:ascii="宋体"/>
          <w:color w:val="auto"/>
          <w:sz w:val="22"/>
          <w:highlight w:val="none"/>
          <w:u w:val="single"/>
        </w:rPr>
        <w:t>（签字）</w:t>
      </w:r>
      <w:r>
        <w:rPr>
          <w:rFonts w:hint="eastAsia" w:ascii="宋体"/>
          <w:color w:val="auto"/>
          <w:sz w:val="22"/>
          <w:highlight w:val="none"/>
        </w:rPr>
        <w:t>性别：</w:t>
      </w:r>
      <w:r>
        <w:rPr>
          <w:rFonts w:hint="eastAsia" w:ascii="宋体"/>
          <w:color w:val="auto"/>
          <w:sz w:val="22"/>
          <w:highlight w:val="none"/>
          <w:u w:val="single"/>
        </w:rPr>
        <w:t xml:space="preserve">        </w:t>
      </w:r>
      <w:r>
        <w:rPr>
          <w:rFonts w:hint="eastAsia" w:ascii="宋体"/>
          <w:color w:val="auto"/>
          <w:sz w:val="22"/>
          <w:highlight w:val="none"/>
        </w:rPr>
        <w:t>年龄：</w:t>
      </w:r>
      <w:r>
        <w:rPr>
          <w:rFonts w:hint="eastAsia" w:ascii="宋体"/>
          <w:color w:val="auto"/>
          <w:sz w:val="22"/>
          <w:highlight w:val="none"/>
          <w:u w:val="single"/>
        </w:rPr>
        <w:t xml:space="preserve">        </w:t>
      </w:r>
    </w:p>
    <w:p>
      <w:pPr>
        <w:spacing w:line="400" w:lineRule="atLeast"/>
        <w:ind w:firstLine="3059" w:firstLineChars="1342"/>
        <w:rPr>
          <w:rFonts w:ascii="宋体"/>
          <w:color w:val="auto"/>
          <w:sz w:val="22"/>
          <w:highlight w:val="none"/>
          <w:u w:val="single"/>
        </w:rPr>
      </w:pPr>
    </w:p>
    <w:p>
      <w:pPr>
        <w:spacing w:line="400" w:lineRule="atLeast"/>
        <w:ind w:firstLine="3059" w:firstLineChars="1342"/>
        <w:rPr>
          <w:rFonts w:ascii="宋体"/>
          <w:color w:val="auto"/>
          <w:sz w:val="22"/>
          <w:highlight w:val="none"/>
          <w:u w:val="single"/>
        </w:rPr>
      </w:pPr>
      <w:r>
        <w:rPr>
          <w:rFonts w:hint="eastAsia" w:ascii="宋体"/>
          <w:color w:val="auto"/>
          <w:sz w:val="22"/>
          <w:highlight w:val="none"/>
        </w:rPr>
        <w:t>详细通讯地址：</w:t>
      </w:r>
      <w:r>
        <w:rPr>
          <w:rFonts w:hint="eastAsia" w:ascii="宋体"/>
          <w:color w:val="auto"/>
          <w:sz w:val="22"/>
          <w:highlight w:val="none"/>
          <w:u w:val="single"/>
        </w:rPr>
        <w:t xml:space="preserve">        </w:t>
      </w:r>
      <w:r>
        <w:rPr>
          <w:rFonts w:hint="eastAsia" w:ascii="宋体"/>
          <w:color w:val="auto"/>
          <w:sz w:val="22"/>
          <w:highlight w:val="none"/>
        </w:rPr>
        <w:t>邮政编码：</w:t>
      </w:r>
      <w:r>
        <w:rPr>
          <w:rFonts w:hint="eastAsia" w:ascii="宋体"/>
          <w:color w:val="auto"/>
          <w:sz w:val="22"/>
          <w:highlight w:val="none"/>
          <w:u w:val="single"/>
        </w:rPr>
        <w:t xml:space="preserve">        </w:t>
      </w:r>
    </w:p>
    <w:p>
      <w:pPr>
        <w:spacing w:line="400" w:lineRule="atLeast"/>
        <w:ind w:firstLine="3059" w:firstLineChars="1342"/>
        <w:rPr>
          <w:rFonts w:ascii="宋体"/>
          <w:color w:val="auto"/>
          <w:sz w:val="22"/>
          <w:highlight w:val="none"/>
          <w:u w:val="single"/>
        </w:rPr>
      </w:pPr>
    </w:p>
    <w:p>
      <w:pPr>
        <w:spacing w:line="400" w:lineRule="atLeast"/>
        <w:ind w:firstLine="3059" w:firstLineChars="1342"/>
        <w:rPr>
          <w:rFonts w:ascii="宋体"/>
          <w:color w:val="auto"/>
          <w:sz w:val="22"/>
          <w:highlight w:val="none"/>
          <w:u w:val="single"/>
        </w:rPr>
      </w:pPr>
      <w:r>
        <w:rPr>
          <w:rFonts w:hint="eastAsia" w:ascii="宋体"/>
          <w:color w:val="auto"/>
          <w:sz w:val="22"/>
          <w:highlight w:val="none"/>
        </w:rPr>
        <w:t>电话：</w:t>
      </w:r>
      <w:r>
        <w:rPr>
          <w:rFonts w:hint="eastAsia" w:ascii="宋体"/>
          <w:color w:val="auto"/>
          <w:sz w:val="22"/>
          <w:highlight w:val="none"/>
          <w:u w:val="single"/>
        </w:rPr>
        <w:t xml:space="preserve">        </w:t>
      </w:r>
      <w:r>
        <w:rPr>
          <w:rFonts w:hint="eastAsia" w:ascii="宋体"/>
          <w:color w:val="auto"/>
          <w:sz w:val="22"/>
          <w:highlight w:val="none"/>
        </w:rPr>
        <w:t>传真：</w:t>
      </w:r>
      <w:r>
        <w:rPr>
          <w:rFonts w:hint="eastAsia" w:ascii="宋体"/>
          <w:color w:val="auto"/>
          <w:sz w:val="22"/>
          <w:highlight w:val="none"/>
          <w:u w:val="single"/>
        </w:rPr>
        <w:t xml:space="preserve">        </w:t>
      </w:r>
    </w:p>
    <w:p>
      <w:pPr>
        <w:spacing w:line="400" w:lineRule="atLeast"/>
        <w:ind w:left="1" w:firstLine="437" w:firstLineChars="192"/>
        <w:rPr>
          <w:rFonts w:ascii="宋体"/>
          <w:color w:val="auto"/>
          <w:sz w:val="22"/>
          <w:highlight w:val="none"/>
        </w:rPr>
      </w:pPr>
    </w:p>
    <w:p>
      <w:pPr>
        <w:spacing w:line="400" w:lineRule="atLeast"/>
        <w:ind w:left="1" w:firstLine="3052" w:firstLineChars="1339"/>
        <w:rPr>
          <w:rFonts w:ascii="宋体"/>
          <w:color w:val="auto"/>
          <w:sz w:val="22"/>
          <w:highlight w:val="none"/>
        </w:rPr>
      </w:pPr>
      <w:r>
        <w:rPr>
          <w:rFonts w:hint="eastAsia" w:ascii="宋体"/>
          <w:color w:val="auto"/>
          <w:sz w:val="22"/>
          <w:highlight w:val="none"/>
        </w:rPr>
        <w:t>供应商：</w:t>
      </w:r>
      <w:r>
        <w:rPr>
          <w:rFonts w:hint="eastAsia" w:ascii="宋体"/>
          <w:color w:val="auto"/>
          <w:sz w:val="22"/>
          <w:highlight w:val="none"/>
          <w:u w:val="single"/>
        </w:rPr>
        <w:t xml:space="preserve">（盖章）       </w:t>
      </w:r>
    </w:p>
    <w:p>
      <w:pPr>
        <w:spacing w:line="400" w:lineRule="atLeast"/>
        <w:ind w:left="1" w:firstLine="437" w:firstLineChars="192"/>
        <w:rPr>
          <w:rFonts w:ascii="宋体"/>
          <w:color w:val="auto"/>
          <w:sz w:val="22"/>
          <w:highlight w:val="none"/>
        </w:rPr>
      </w:pPr>
    </w:p>
    <w:p>
      <w:pPr>
        <w:spacing w:line="400" w:lineRule="atLeast"/>
        <w:ind w:left="2100" w:right="440"/>
        <w:jc w:val="center"/>
        <w:rPr>
          <w:rFonts w:ascii="宋体"/>
          <w:color w:val="auto"/>
          <w:sz w:val="22"/>
          <w:highlight w:val="none"/>
        </w:rPr>
      </w:pPr>
      <w:r>
        <w:rPr>
          <w:rFonts w:hint="eastAsia" w:ascii="宋体"/>
          <w:color w:val="auto"/>
          <w:sz w:val="22"/>
          <w:highlight w:val="none"/>
        </w:rPr>
        <w:t>法定代表人：</w:t>
      </w:r>
      <w:r>
        <w:rPr>
          <w:rFonts w:hint="eastAsia" w:ascii="宋体"/>
          <w:color w:val="auto"/>
          <w:sz w:val="22"/>
          <w:highlight w:val="none"/>
          <w:u w:val="single"/>
        </w:rPr>
        <w:t>（签字或盖章）</w:t>
      </w:r>
    </w:p>
    <w:p>
      <w:pPr>
        <w:spacing w:line="400" w:lineRule="atLeast"/>
        <w:ind w:left="2699"/>
        <w:rPr>
          <w:rFonts w:ascii="宋体"/>
          <w:color w:val="auto"/>
          <w:sz w:val="22"/>
          <w:highlight w:val="none"/>
        </w:rPr>
      </w:pPr>
    </w:p>
    <w:p>
      <w:pPr>
        <w:spacing w:line="400" w:lineRule="atLeast"/>
        <w:ind w:right="440" w:firstLine="3420" w:firstLineChars="1500"/>
        <w:jc w:val="center"/>
        <w:rPr>
          <w:rFonts w:ascii="宋体"/>
          <w:color w:val="auto"/>
          <w:sz w:val="22"/>
          <w:highlight w:val="none"/>
        </w:rPr>
      </w:pPr>
      <w:r>
        <w:rPr>
          <w:rFonts w:hint="eastAsia" w:ascii="宋体"/>
          <w:color w:val="auto"/>
          <w:sz w:val="22"/>
          <w:highlight w:val="none"/>
        </w:rPr>
        <w:t>授权委托日期：</w:t>
      </w:r>
      <w:r>
        <w:rPr>
          <w:rFonts w:hint="eastAsia" w:ascii="宋体"/>
          <w:color w:val="auto"/>
          <w:sz w:val="22"/>
          <w:highlight w:val="none"/>
          <w:u w:val="single"/>
        </w:rPr>
        <w:t xml:space="preserve">        年  月  日</w:t>
      </w:r>
    </w:p>
    <w:p>
      <w:pPr>
        <w:spacing w:line="360" w:lineRule="exact"/>
        <w:ind w:left="2699"/>
        <w:rPr>
          <w:rFonts w:ascii="宋体"/>
          <w:color w:val="auto"/>
          <w:sz w:val="22"/>
          <w:highlight w:val="none"/>
        </w:rPr>
      </w:pPr>
    </w:p>
    <w:tbl>
      <w:tblPr>
        <w:tblStyle w:val="2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pPr>
              <w:pStyle w:val="14"/>
              <w:adjustRightInd w:val="0"/>
              <w:snapToGrid w:val="0"/>
              <w:spacing w:line="360" w:lineRule="exact"/>
              <w:jc w:val="center"/>
              <w:rPr>
                <w:rFonts w:hAnsi="宋体" w:cs="宋体"/>
                <w:b/>
                <w:bCs/>
                <w:color w:val="auto"/>
                <w:kern w:val="2"/>
                <w:sz w:val="22"/>
                <w:szCs w:val="22"/>
                <w:highlight w:val="none"/>
              </w:rPr>
            </w:pPr>
          </w:p>
          <w:p>
            <w:pPr>
              <w:pStyle w:val="14"/>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pPr>
              <w:pStyle w:val="14"/>
              <w:adjustRightInd w:val="0"/>
              <w:snapToGrid w:val="0"/>
              <w:spacing w:line="360" w:lineRule="exact"/>
              <w:jc w:val="center"/>
              <w:rPr>
                <w:rFonts w:hAnsi="宋体" w:cs="宋体"/>
                <w:b/>
                <w:bCs/>
                <w:color w:val="auto"/>
                <w:kern w:val="2"/>
                <w:sz w:val="22"/>
                <w:szCs w:val="22"/>
                <w:highlight w:val="none"/>
              </w:rPr>
            </w:pPr>
          </w:p>
        </w:tc>
      </w:tr>
    </w:tbl>
    <w:p>
      <w:pPr>
        <w:pStyle w:val="14"/>
        <w:adjustRightInd w:val="0"/>
        <w:snapToGrid w:val="0"/>
        <w:spacing w:line="360" w:lineRule="exact"/>
        <w:jc w:val="center"/>
        <w:rPr>
          <w:rFonts w:hAnsi="宋体"/>
          <w:color w:val="auto"/>
          <w:sz w:val="22"/>
          <w:highlight w:val="none"/>
          <w:lang w:val="zh-CN"/>
        </w:rPr>
      </w:pPr>
    </w:p>
    <w:p>
      <w:pPr>
        <w:pStyle w:val="14"/>
        <w:adjustRightInd w:val="0"/>
        <w:snapToGrid w:val="0"/>
        <w:spacing w:line="360" w:lineRule="exact"/>
        <w:jc w:val="center"/>
        <w:rPr>
          <w:rFonts w:hAnsi="宋体"/>
          <w:color w:val="auto"/>
          <w:sz w:val="22"/>
          <w:highlight w:val="none"/>
          <w:lang w:val="zh-CN"/>
        </w:rPr>
      </w:pPr>
    </w:p>
    <w:p>
      <w:pPr>
        <w:pStyle w:val="14"/>
        <w:adjustRightInd w:val="0"/>
        <w:snapToGrid w:val="0"/>
        <w:spacing w:line="360" w:lineRule="exact"/>
        <w:jc w:val="center"/>
        <w:rPr>
          <w:rFonts w:hAnsi="宋体"/>
          <w:color w:val="auto"/>
          <w:sz w:val="22"/>
          <w:highlight w:val="none"/>
          <w:lang w:val="zh-CN"/>
        </w:rPr>
      </w:pPr>
    </w:p>
    <w:tbl>
      <w:tblPr>
        <w:tblStyle w:val="2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pPr>
              <w:pStyle w:val="14"/>
              <w:adjustRightInd w:val="0"/>
              <w:snapToGrid w:val="0"/>
              <w:spacing w:line="360" w:lineRule="exact"/>
              <w:jc w:val="center"/>
              <w:rPr>
                <w:rFonts w:hAnsi="宋体" w:cs="宋体"/>
                <w:b/>
                <w:bCs/>
                <w:color w:val="auto"/>
                <w:kern w:val="2"/>
                <w:sz w:val="22"/>
                <w:szCs w:val="22"/>
                <w:highlight w:val="none"/>
              </w:rPr>
            </w:pPr>
          </w:p>
          <w:p>
            <w:pPr>
              <w:pStyle w:val="14"/>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pPr>
              <w:pStyle w:val="14"/>
              <w:adjustRightInd w:val="0"/>
              <w:snapToGrid w:val="0"/>
              <w:spacing w:line="360" w:lineRule="exact"/>
              <w:jc w:val="center"/>
              <w:rPr>
                <w:rFonts w:hAnsi="宋体" w:cs="宋体"/>
                <w:b/>
                <w:bCs/>
                <w:color w:val="auto"/>
                <w:kern w:val="2"/>
                <w:sz w:val="22"/>
                <w:szCs w:val="22"/>
                <w:highlight w:val="none"/>
              </w:rPr>
            </w:pPr>
          </w:p>
        </w:tc>
      </w:tr>
    </w:tbl>
    <w:p>
      <w:pPr>
        <w:spacing w:line="360" w:lineRule="exact"/>
        <w:jc w:val="left"/>
        <w:rPr>
          <w:b/>
          <w:bCs/>
          <w:color w:val="auto"/>
          <w:sz w:val="30"/>
          <w:highlight w:val="none"/>
        </w:rPr>
      </w:pPr>
    </w:p>
    <w:p>
      <w:pPr>
        <w:spacing w:line="360" w:lineRule="exact"/>
        <w:jc w:val="left"/>
        <w:rPr>
          <w:rFonts w:ascii="宋体" w:hAnsi="宋体" w:cs="宋体"/>
          <w:b/>
          <w:bCs/>
          <w:color w:val="auto"/>
          <w:sz w:val="30"/>
          <w:highlight w:val="none"/>
        </w:rPr>
      </w:pPr>
    </w:p>
    <w:p>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三</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部分）格式</w:t>
      </w:r>
    </w:p>
    <w:p>
      <w:pPr>
        <w:pStyle w:val="2"/>
        <w:rPr>
          <w:rFonts w:ascii="宋体" w:hAnsi="宋体" w:cs="宋体"/>
          <w:color w:val="auto"/>
          <w:sz w:val="22"/>
          <w:szCs w:val="22"/>
          <w:highlight w:val="none"/>
        </w:rPr>
      </w:pP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w:t>
      </w:r>
      <w:r>
        <w:rPr>
          <w:rFonts w:hint="eastAsia" w:ascii="宋体" w:hAnsi="宋体" w:cs="宋体"/>
          <w:color w:val="auto"/>
          <w:sz w:val="22"/>
          <w:szCs w:val="22"/>
          <w:highlight w:val="none"/>
        </w:rPr>
        <w:t>封面参考：</w:t>
      </w:r>
    </w:p>
    <w:p>
      <w:pPr>
        <w:snapToGrid w:val="0"/>
        <w:spacing w:line="440" w:lineRule="exact"/>
        <w:jc w:val="center"/>
        <w:rPr>
          <w:rFonts w:ascii="宋体" w:hAnsi="宋体" w:cs="宋体"/>
          <w:b/>
          <w:color w:val="auto"/>
          <w:sz w:val="32"/>
          <w:szCs w:val="32"/>
          <w:highlight w:val="none"/>
        </w:rPr>
      </w:pPr>
    </w:p>
    <w:p>
      <w:pPr>
        <w:spacing w:line="480" w:lineRule="auto"/>
        <w:jc w:val="center"/>
        <w:rPr>
          <w:rFonts w:ascii="宋体" w:hAnsi="宋体" w:cs="宋体"/>
          <w:b/>
          <w:color w:val="auto"/>
          <w:sz w:val="64"/>
          <w:szCs w:val="64"/>
          <w:highlight w:val="none"/>
        </w:rPr>
      </w:pPr>
    </w:p>
    <w:p>
      <w:pPr>
        <w:spacing w:line="480" w:lineRule="auto"/>
        <w:jc w:val="center"/>
        <w:rPr>
          <w:rFonts w:ascii="宋体" w:hAnsi="宋体" w:cs="宋体"/>
          <w:b/>
          <w:color w:val="auto"/>
          <w:sz w:val="64"/>
          <w:szCs w:val="64"/>
          <w:highlight w:val="none"/>
        </w:rPr>
      </w:pPr>
      <w:r>
        <w:rPr>
          <w:rFonts w:hint="eastAsia" w:ascii="宋体" w:hAnsi="宋体" w:cs="宋体"/>
          <w:b/>
          <w:color w:val="auto"/>
          <w:sz w:val="64"/>
          <w:szCs w:val="64"/>
          <w:highlight w:val="none"/>
        </w:rPr>
        <w:t>泰顺县城区生活垃圾再生资源回收利用采购项目</w:t>
      </w:r>
    </w:p>
    <w:p>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r>
        <w:rPr>
          <w:rFonts w:hint="eastAsia" w:ascii="等线" w:hAnsi="等线" w:eastAsia="等线" w:cs="等线"/>
          <w:bCs/>
          <w:color w:val="auto"/>
          <w:sz w:val="84"/>
          <w:szCs w:val="84"/>
          <w:highlight w:val="none"/>
        </w:rPr>
        <w:br w:type="textWrapping"/>
      </w:r>
      <w:r>
        <w:rPr>
          <w:rFonts w:hint="eastAsia" w:ascii="等线" w:hAnsi="等线" w:eastAsia="等线" w:cs="等线"/>
          <w:bCs/>
          <w:color w:val="auto"/>
          <w:sz w:val="60"/>
          <w:szCs w:val="60"/>
          <w:highlight w:val="none"/>
        </w:rPr>
        <w:t>（商 务 技 术 部 分）</w:t>
      </w:r>
    </w:p>
    <w:p>
      <w:pPr>
        <w:snapToGrid w:val="0"/>
        <w:spacing w:line="600" w:lineRule="atLeast"/>
        <w:ind w:firstLine="1072" w:firstLineChars="400"/>
        <w:rPr>
          <w:rFonts w:ascii="宋体" w:hAnsi="宋体" w:cs="宋体"/>
          <w:b/>
          <w:color w:val="auto"/>
          <w:sz w:val="26"/>
          <w:szCs w:val="26"/>
          <w:highlight w:val="none"/>
        </w:rPr>
      </w:pPr>
    </w:p>
    <w:p>
      <w:pPr>
        <w:snapToGrid w:val="0"/>
        <w:spacing w:line="600" w:lineRule="atLeast"/>
        <w:ind w:firstLine="1072" w:firstLineChars="400"/>
        <w:rPr>
          <w:rFonts w:ascii="宋体" w:hAnsi="宋体" w:cs="宋体"/>
          <w:b/>
          <w:color w:val="auto"/>
          <w:sz w:val="26"/>
          <w:szCs w:val="26"/>
          <w:highlight w:val="none"/>
        </w:rPr>
      </w:pPr>
    </w:p>
    <w:tbl>
      <w:tblPr>
        <w:tblStyle w:val="28"/>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TSCG202302002</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采购单位：泰顺县综合行政执法局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 xml:space="preserve"> </w:t>
      </w:r>
    </w:p>
    <w:p>
      <w:pPr>
        <w:pStyle w:val="13"/>
        <w:ind w:left="0" w:right="-263"/>
        <w:rPr>
          <w:color w:val="auto"/>
          <w:highlight w:val="none"/>
        </w:rPr>
      </w:pPr>
    </w:p>
    <w:p>
      <w:pPr>
        <w:spacing w:line="360" w:lineRule="exact"/>
        <w:jc w:val="left"/>
        <w:rPr>
          <w:b/>
          <w:bCs/>
          <w:color w:val="auto"/>
          <w:sz w:val="30"/>
          <w:highlight w:val="none"/>
        </w:rPr>
      </w:pPr>
    </w:p>
    <w:p>
      <w:pPr>
        <w:spacing w:line="360" w:lineRule="exact"/>
        <w:jc w:val="left"/>
        <w:rPr>
          <w:b/>
          <w:bCs/>
          <w:color w:val="auto"/>
          <w:sz w:val="30"/>
          <w:highlight w:val="none"/>
        </w:rPr>
      </w:pPr>
    </w:p>
    <w:p>
      <w:pPr>
        <w:spacing w:line="360" w:lineRule="exact"/>
        <w:jc w:val="left"/>
        <w:rPr>
          <w:b/>
          <w:bCs/>
          <w:color w:val="auto"/>
          <w:sz w:val="30"/>
          <w:highlight w:val="none"/>
        </w:rPr>
      </w:pPr>
    </w:p>
    <w:p>
      <w:pPr>
        <w:spacing w:line="360" w:lineRule="exact"/>
        <w:jc w:val="left"/>
        <w:rPr>
          <w:b/>
          <w:bCs/>
          <w:color w:val="auto"/>
          <w:sz w:val="30"/>
          <w:highlight w:val="none"/>
        </w:rPr>
      </w:pPr>
      <w:r>
        <w:rPr>
          <w:rFonts w:hint="eastAsia"/>
          <w:b/>
          <w:bCs/>
          <w:color w:val="auto"/>
          <w:sz w:val="30"/>
          <w:highlight w:val="none"/>
        </w:rPr>
        <w:t>附件六</w:t>
      </w:r>
    </w:p>
    <w:p>
      <w:pPr>
        <w:autoSpaceDE w:val="0"/>
        <w:autoSpaceDN w:val="0"/>
        <w:adjustRightInd w:val="0"/>
        <w:spacing w:line="360" w:lineRule="exact"/>
        <w:jc w:val="center"/>
        <w:rPr>
          <w:rFonts w:ascii="宋体"/>
          <w:b/>
          <w:bCs/>
          <w:color w:val="auto"/>
          <w:sz w:val="36"/>
          <w:highlight w:val="none"/>
          <w:lang w:val="zh-CN"/>
        </w:rPr>
      </w:pPr>
      <w:r>
        <w:rPr>
          <w:rFonts w:hint="eastAsia" w:ascii="宋体"/>
          <w:b/>
          <w:bCs/>
          <w:color w:val="auto"/>
          <w:sz w:val="36"/>
          <w:highlight w:val="none"/>
        </w:rPr>
        <w:t>投标函</w:t>
      </w:r>
    </w:p>
    <w:p>
      <w:pPr>
        <w:autoSpaceDE w:val="0"/>
        <w:autoSpaceDN w:val="0"/>
        <w:adjustRightInd w:val="0"/>
        <w:spacing w:line="360" w:lineRule="exact"/>
        <w:rPr>
          <w:rFonts w:ascii="宋体"/>
          <w:color w:val="auto"/>
          <w:sz w:val="36"/>
          <w:highlight w:val="none"/>
          <w:lang w:val="zh-CN"/>
        </w:rPr>
      </w:pPr>
    </w:p>
    <w:p>
      <w:pPr>
        <w:pStyle w:val="14"/>
        <w:rPr>
          <w:rFonts w:hAnsi="宋体"/>
          <w:color w:val="auto"/>
          <w:sz w:val="22"/>
          <w:highlight w:val="none"/>
          <w:u w:val="single"/>
        </w:rPr>
      </w:pPr>
      <w:r>
        <w:rPr>
          <w:rFonts w:hint="eastAsia" w:hAnsi="宋体"/>
          <w:color w:val="auto"/>
          <w:sz w:val="22"/>
          <w:highlight w:val="none"/>
          <w:u w:val="single"/>
        </w:rPr>
        <w:t>泰顺县综合行政执法局：</w:t>
      </w:r>
    </w:p>
    <w:p>
      <w:pPr>
        <w:autoSpaceDE w:val="0"/>
        <w:autoSpaceDN w:val="0"/>
        <w:adjustRightInd w:val="0"/>
        <w:spacing w:line="400" w:lineRule="exact"/>
        <w:ind w:firstLine="456" w:firstLineChars="200"/>
        <w:rPr>
          <w:rFonts w:ascii="宋体"/>
          <w:color w:val="auto"/>
          <w:sz w:val="22"/>
          <w:highlight w:val="none"/>
          <w:lang w:val="zh-CN"/>
        </w:rPr>
      </w:pPr>
      <w:r>
        <w:rPr>
          <w:rFonts w:hint="eastAsia" w:ascii="宋体"/>
          <w:color w:val="auto"/>
          <w:sz w:val="22"/>
          <w:highlight w:val="none"/>
          <w:u w:val="single"/>
          <w:lang w:val="zh-CN"/>
        </w:rPr>
        <w:t>（供应商全称）授权（授权代表名称）（职务、职称）</w:t>
      </w:r>
      <w:r>
        <w:rPr>
          <w:rFonts w:hint="eastAsia" w:ascii="宋体"/>
          <w:color w:val="auto"/>
          <w:sz w:val="22"/>
          <w:highlight w:val="none"/>
          <w:lang w:val="zh-CN"/>
        </w:rPr>
        <w:t>为授权代表，参加贵方组织的</w:t>
      </w:r>
      <w:r>
        <w:rPr>
          <w:rFonts w:hint="eastAsia" w:ascii="宋体"/>
          <w:color w:val="auto"/>
          <w:sz w:val="22"/>
          <w:highlight w:val="none"/>
          <w:u w:val="single"/>
        </w:rPr>
        <w:t>泰顺县城区生活垃圾再生资源回收利用采购项目</w:t>
      </w:r>
      <w:r>
        <w:rPr>
          <w:rFonts w:hint="eastAsia" w:ascii="宋体"/>
          <w:color w:val="auto"/>
          <w:sz w:val="22"/>
          <w:highlight w:val="none"/>
          <w:lang w:val="zh-CN"/>
        </w:rPr>
        <w:t>（</w:t>
      </w:r>
      <w:r>
        <w:rPr>
          <w:rFonts w:hint="eastAsia" w:ascii="宋体"/>
          <w:color w:val="auto"/>
          <w:sz w:val="22"/>
          <w:highlight w:val="none"/>
        </w:rPr>
        <w:t>采购</w:t>
      </w:r>
      <w:r>
        <w:rPr>
          <w:rFonts w:hint="eastAsia" w:ascii="宋体"/>
          <w:color w:val="auto"/>
          <w:sz w:val="22"/>
          <w:highlight w:val="none"/>
          <w:lang w:val="zh-CN"/>
        </w:rPr>
        <w:t>编号：</w:t>
      </w:r>
      <w:r>
        <w:rPr>
          <w:rFonts w:hint="eastAsia" w:ascii="宋体"/>
          <w:color w:val="auto"/>
          <w:sz w:val="22"/>
          <w:highlight w:val="none"/>
          <w:u w:val="single"/>
          <w:lang w:eastAsia="zh-CN"/>
        </w:rPr>
        <w:t>TSCG202302002</w:t>
      </w:r>
      <w:r>
        <w:rPr>
          <w:rFonts w:hint="eastAsia" w:ascii="宋体"/>
          <w:color w:val="auto"/>
          <w:sz w:val="22"/>
          <w:highlight w:val="none"/>
          <w:u w:val="single"/>
        </w:rPr>
        <w:t>）</w:t>
      </w:r>
      <w:r>
        <w:rPr>
          <w:rFonts w:hint="eastAsia" w:ascii="宋体"/>
          <w:color w:val="auto"/>
          <w:sz w:val="22"/>
          <w:highlight w:val="none"/>
          <w:lang w:val="zh-CN"/>
        </w:rPr>
        <w:t>招标的有关活动，并对</w:t>
      </w:r>
      <w:r>
        <w:rPr>
          <w:rFonts w:hint="eastAsia" w:ascii="宋体"/>
          <w:color w:val="auto"/>
          <w:sz w:val="22"/>
          <w:highlight w:val="none"/>
          <w:u w:val="single"/>
        </w:rPr>
        <w:t>泰顺县城区生活垃圾再生资源回收利用采购项目</w:t>
      </w:r>
      <w:r>
        <w:rPr>
          <w:rFonts w:hint="eastAsia" w:ascii="宋体"/>
          <w:color w:val="auto"/>
          <w:sz w:val="22"/>
          <w:highlight w:val="none"/>
          <w:lang w:val="zh-CN"/>
        </w:rPr>
        <w:t>进行投标。为此：</w:t>
      </w:r>
    </w:p>
    <w:p>
      <w:pPr>
        <w:autoSpaceDE w:val="0"/>
        <w:autoSpaceDN w:val="0"/>
        <w:adjustRightInd w:val="0"/>
        <w:spacing w:line="400" w:lineRule="exact"/>
        <w:ind w:firstLine="456" w:firstLineChars="200"/>
        <w:rPr>
          <w:rFonts w:ascii="宋体"/>
          <w:color w:val="auto"/>
          <w:sz w:val="22"/>
          <w:highlight w:val="none"/>
          <w:lang w:val="zh-CN"/>
        </w:rPr>
      </w:pPr>
      <w:r>
        <w:rPr>
          <w:rFonts w:hint="eastAsia" w:ascii="宋体"/>
          <w:color w:val="auto"/>
          <w:sz w:val="22"/>
          <w:highlight w:val="none"/>
          <w:lang w:val="zh-CN"/>
        </w:rPr>
        <w:t>1、提供供应商须知规定的全部投标文件：</w:t>
      </w:r>
    </w:p>
    <w:p>
      <w:pPr>
        <w:autoSpaceDE w:val="0"/>
        <w:autoSpaceDN w:val="0"/>
        <w:adjustRightInd w:val="0"/>
        <w:spacing w:line="400" w:lineRule="exact"/>
        <w:ind w:firstLine="456" w:firstLineChars="200"/>
        <w:rPr>
          <w:rFonts w:ascii="宋体"/>
          <w:color w:val="auto"/>
          <w:sz w:val="22"/>
          <w:highlight w:val="none"/>
          <w:lang w:val="zh-CN"/>
        </w:rPr>
      </w:pPr>
      <w:r>
        <w:rPr>
          <w:rFonts w:hint="eastAsia" w:ascii="宋体"/>
          <w:color w:val="auto"/>
          <w:sz w:val="22"/>
          <w:highlight w:val="none"/>
          <w:lang w:val="zh-CN"/>
        </w:rPr>
        <w:t>（</w:t>
      </w:r>
      <w:r>
        <w:rPr>
          <w:rFonts w:hint="eastAsia" w:ascii="宋体"/>
          <w:color w:val="auto"/>
          <w:sz w:val="22"/>
          <w:highlight w:val="none"/>
        </w:rPr>
        <w:t>1</w:t>
      </w:r>
      <w:r>
        <w:rPr>
          <w:rFonts w:hint="eastAsia" w:ascii="宋体"/>
          <w:color w:val="auto"/>
          <w:sz w:val="22"/>
          <w:highlight w:val="none"/>
          <w:lang w:val="zh-CN"/>
        </w:rPr>
        <w:t>）“电子加密投标文件”：在线上传递交。</w:t>
      </w:r>
    </w:p>
    <w:p>
      <w:pPr>
        <w:autoSpaceDE w:val="0"/>
        <w:autoSpaceDN w:val="0"/>
        <w:adjustRightInd w:val="0"/>
        <w:spacing w:line="400" w:lineRule="exact"/>
        <w:ind w:firstLine="456" w:firstLineChars="200"/>
        <w:rPr>
          <w:rFonts w:ascii="宋体"/>
          <w:color w:val="auto"/>
          <w:sz w:val="22"/>
          <w:highlight w:val="none"/>
          <w:lang w:val="zh-CN"/>
        </w:rPr>
      </w:pPr>
      <w:r>
        <w:rPr>
          <w:rFonts w:hint="eastAsia" w:ascii="宋体"/>
          <w:color w:val="auto"/>
          <w:sz w:val="22"/>
          <w:highlight w:val="none"/>
          <w:lang w:val="zh-CN"/>
        </w:rPr>
        <w:t>2、保证遵守招标文件规范要求中的有关规定和收费标准。</w:t>
      </w:r>
    </w:p>
    <w:p>
      <w:pPr>
        <w:autoSpaceDE w:val="0"/>
        <w:autoSpaceDN w:val="0"/>
        <w:adjustRightInd w:val="0"/>
        <w:spacing w:line="440" w:lineRule="atLeast"/>
        <w:ind w:firstLine="458" w:firstLineChars="201"/>
        <w:rPr>
          <w:rFonts w:ascii="宋体"/>
          <w:color w:val="auto"/>
          <w:sz w:val="22"/>
          <w:highlight w:val="none"/>
          <w:lang w:val="zh-CN"/>
        </w:rPr>
      </w:pPr>
      <w:r>
        <w:rPr>
          <w:rFonts w:ascii="宋体"/>
          <w:color w:val="auto"/>
          <w:sz w:val="22"/>
          <w:highlight w:val="none"/>
          <w:lang w:val="zh-CN"/>
        </w:rPr>
        <w:t>3</w:t>
      </w:r>
      <w:r>
        <w:rPr>
          <w:rFonts w:hint="eastAsia" w:ascii="宋体"/>
          <w:color w:val="auto"/>
          <w:sz w:val="22"/>
          <w:highlight w:val="none"/>
          <w:lang w:val="zh-CN"/>
        </w:rPr>
        <w:t>、保证忠实地执行采购人、</w:t>
      </w:r>
      <w:r>
        <w:rPr>
          <w:rFonts w:hint="eastAsia" w:ascii="宋体" w:cs="??_GB2312"/>
          <w:color w:val="auto"/>
          <w:sz w:val="22"/>
          <w:highlight w:val="none"/>
          <w:lang w:val="zh-CN"/>
        </w:rPr>
        <w:t>中标（成交）供应商</w:t>
      </w:r>
      <w:r>
        <w:rPr>
          <w:rFonts w:hint="eastAsia" w:ascii="宋体"/>
          <w:color w:val="auto"/>
          <w:sz w:val="22"/>
          <w:highlight w:val="none"/>
          <w:lang w:val="zh-CN"/>
        </w:rPr>
        <w:t>双方所签的合同，并承担合同规定的责任义务。</w:t>
      </w:r>
    </w:p>
    <w:p>
      <w:pPr>
        <w:pStyle w:val="14"/>
        <w:snapToGrid w:val="0"/>
        <w:spacing w:line="410" w:lineRule="atLeast"/>
        <w:ind w:firstLine="456" w:firstLineChars="200"/>
        <w:rPr>
          <w:rFonts w:hAnsi="宋体"/>
          <w:color w:val="auto"/>
          <w:sz w:val="22"/>
          <w:highlight w:val="none"/>
        </w:rPr>
      </w:pPr>
      <w:r>
        <w:rPr>
          <w:rFonts w:cs="??_GB2312"/>
          <w:color w:val="auto"/>
          <w:sz w:val="22"/>
          <w:highlight w:val="none"/>
          <w:lang w:val="zh-CN"/>
        </w:rPr>
        <w:t>4</w:t>
      </w:r>
      <w:r>
        <w:rPr>
          <w:rFonts w:hint="eastAsia" w:cs="??_GB2312"/>
          <w:color w:val="auto"/>
          <w:sz w:val="22"/>
          <w:highlight w:val="none"/>
          <w:lang w:val="zh-CN"/>
        </w:rPr>
        <w:t>、</w:t>
      </w:r>
      <w:r>
        <w:rPr>
          <w:rFonts w:hint="eastAsia"/>
          <w:color w:val="auto"/>
          <w:sz w:val="22"/>
          <w:highlight w:val="none"/>
          <w:lang w:val="zh-CN"/>
        </w:rPr>
        <w:t>我方对完工期承诺如下：</w:t>
      </w:r>
      <w:r>
        <w:rPr>
          <w:rFonts w:hint="eastAsia" w:hAnsi="宋体"/>
          <w:color w:val="auto"/>
          <w:sz w:val="22"/>
          <w:highlight w:val="none"/>
        </w:rPr>
        <w:t>▲按招标文件规范要求规定期限交货并通过采购人验收，逾期采购人有权拒绝供货。</w:t>
      </w:r>
    </w:p>
    <w:p>
      <w:pPr>
        <w:autoSpaceDE w:val="0"/>
        <w:autoSpaceDN w:val="0"/>
        <w:adjustRightInd w:val="0"/>
        <w:spacing w:line="440" w:lineRule="atLeast"/>
        <w:ind w:firstLine="450"/>
        <w:rPr>
          <w:rFonts w:ascii="宋体"/>
          <w:color w:val="auto"/>
          <w:sz w:val="22"/>
          <w:highlight w:val="none"/>
          <w:lang w:val="zh-CN"/>
        </w:rPr>
      </w:pPr>
      <w:r>
        <w:rPr>
          <w:rFonts w:ascii="宋体"/>
          <w:color w:val="auto"/>
          <w:sz w:val="22"/>
          <w:highlight w:val="none"/>
          <w:lang w:val="zh-CN"/>
        </w:rPr>
        <w:t>5</w:t>
      </w:r>
      <w:r>
        <w:rPr>
          <w:rFonts w:hint="eastAsia" w:ascii="宋体"/>
          <w:color w:val="auto"/>
          <w:sz w:val="22"/>
          <w:highlight w:val="none"/>
          <w:lang w:val="zh-CN"/>
        </w:rPr>
        <w:t>、供应商已详细审查全部招标文件规范要求，包括招标文件规范要求补充文件（如果有的话）。我方完全理解并同意放弃对这方面有不明及误解的权力。如果招标文件规范要求有相互矛盾之处，我方同意按采购人的理解处理。</w:t>
      </w:r>
    </w:p>
    <w:p>
      <w:pPr>
        <w:spacing w:line="340" w:lineRule="exact"/>
        <w:ind w:firstLine="458" w:firstLineChars="201"/>
        <w:rPr>
          <w:rFonts w:ascii="宋体"/>
          <w:color w:val="auto"/>
          <w:sz w:val="22"/>
          <w:highlight w:val="none"/>
        </w:rPr>
      </w:pPr>
      <w:r>
        <w:rPr>
          <w:rFonts w:ascii="宋体"/>
          <w:color w:val="auto"/>
          <w:sz w:val="22"/>
          <w:highlight w:val="none"/>
        </w:rPr>
        <w:t>6</w:t>
      </w:r>
      <w:r>
        <w:rPr>
          <w:rFonts w:hint="eastAsia" w:ascii="宋体"/>
          <w:color w:val="auto"/>
          <w:sz w:val="22"/>
          <w:highlight w:val="none"/>
        </w:rPr>
        <w:t>、利益冲突：近三年内直至目前，我公司与本项目的采购人、招标代理机构没有任何的隶属关系。</w:t>
      </w:r>
    </w:p>
    <w:p>
      <w:pPr>
        <w:autoSpaceDE w:val="0"/>
        <w:autoSpaceDN w:val="0"/>
        <w:adjustRightInd w:val="0"/>
        <w:spacing w:line="440" w:lineRule="atLeast"/>
        <w:ind w:firstLine="458" w:firstLineChars="201"/>
        <w:rPr>
          <w:rFonts w:ascii="宋体"/>
          <w:color w:val="auto"/>
          <w:sz w:val="22"/>
          <w:highlight w:val="none"/>
          <w:lang w:val="zh-CN"/>
        </w:rPr>
      </w:pPr>
      <w:r>
        <w:rPr>
          <w:rFonts w:ascii="宋体"/>
          <w:color w:val="auto"/>
          <w:sz w:val="22"/>
          <w:highlight w:val="none"/>
        </w:rPr>
        <w:t>7</w:t>
      </w:r>
      <w:r>
        <w:rPr>
          <w:rFonts w:hint="eastAsia" w:ascii="宋体"/>
          <w:color w:val="auto"/>
          <w:sz w:val="22"/>
          <w:highlight w:val="none"/>
        </w:rPr>
        <w:t>、我公司没有被各级、各地财政监管部门限制参加政府采购活动，且在限制期内。</w:t>
      </w:r>
    </w:p>
    <w:p>
      <w:pPr>
        <w:autoSpaceDE w:val="0"/>
        <w:autoSpaceDN w:val="0"/>
        <w:adjustRightInd w:val="0"/>
        <w:spacing w:line="440" w:lineRule="atLeast"/>
        <w:ind w:firstLine="458" w:firstLineChars="201"/>
        <w:rPr>
          <w:rFonts w:ascii="宋体"/>
          <w:color w:val="auto"/>
          <w:sz w:val="22"/>
          <w:highlight w:val="none"/>
          <w:lang w:val="zh-CN"/>
        </w:rPr>
      </w:pPr>
      <w:r>
        <w:rPr>
          <w:rFonts w:ascii="宋体"/>
          <w:color w:val="auto"/>
          <w:sz w:val="22"/>
          <w:highlight w:val="none"/>
          <w:lang w:val="zh-CN"/>
        </w:rPr>
        <w:t>8</w:t>
      </w:r>
      <w:r>
        <w:rPr>
          <w:rFonts w:hint="eastAsia" w:ascii="宋体"/>
          <w:color w:val="auto"/>
          <w:sz w:val="22"/>
          <w:highlight w:val="none"/>
          <w:lang w:val="zh-CN"/>
        </w:rPr>
        <w:t>、愿意向贵方提供任何与该项投标有关的数据、情况和技术资料，完全理解贵方不一定接受最低价的投标或收到的任何投标。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58" w:firstLineChars="201"/>
        <w:rPr>
          <w:rFonts w:ascii="宋体"/>
          <w:color w:val="auto"/>
          <w:sz w:val="22"/>
          <w:highlight w:val="none"/>
          <w:lang w:val="zh-CN"/>
        </w:rPr>
      </w:pPr>
      <w:r>
        <w:rPr>
          <w:rFonts w:ascii="宋体"/>
          <w:color w:val="auto"/>
          <w:sz w:val="22"/>
          <w:highlight w:val="none"/>
          <w:lang w:val="zh-CN"/>
        </w:rPr>
        <w:t>9</w:t>
      </w:r>
      <w:r>
        <w:rPr>
          <w:rFonts w:hint="eastAsia" w:ascii="宋体"/>
          <w:color w:val="auto"/>
          <w:sz w:val="22"/>
          <w:highlight w:val="none"/>
          <w:lang w:val="zh-CN"/>
        </w:rPr>
        <w:t>、本投标自开标之日起</w:t>
      </w:r>
      <w:r>
        <w:rPr>
          <w:rFonts w:ascii="宋体"/>
          <w:color w:val="auto"/>
          <w:sz w:val="22"/>
          <w:highlight w:val="none"/>
          <w:lang w:val="zh-CN"/>
        </w:rPr>
        <w:t>90</w:t>
      </w:r>
      <w:r>
        <w:rPr>
          <w:rFonts w:hint="eastAsia" w:ascii="宋体"/>
          <w:color w:val="auto"/>
          <w:sz w:val="22"/>
          <w:highlight w:val="none"/>
          <w:lang w:val="zh-CN"/>
        </w:rPr>
        <w:t>天内有效。</w:t>
      </w:r>
    </w:p>
    <w:p>
      <w:pPr>
        <w:autoSpaceDE w:val="0"/>
        <w:autoSpaceDN w:val="0"/>
        <w:adjustRightInd w:val="0"/>
        <w:spacing w:line="440" w:lineRule="atLeast"/>
        <w:ind w:firstLine="458" w:firstLineChars="201"/>
        <w:rPr>
          <w:rFonts w:ascii="宋体"/>
          <w:color w:val="auto"/>
          <w:sz w:val="22"/>
          <w:highlight w:val="none"/>
          <w:lang w:val="zh-CN"/>
        </w:rPr>
      </w:pPr>
      <w:r>
        <w:rPr>
          <w:rFonts w:ascii="宋体"/>
          <w:color w:val="auto"/>
          <w:sz w:val="22"/>
          <w:highlight w:val="none"/>
          <w:lang w:val="zh-CN"/>
        </w:rPr>
        <w:t>10</w:t>
      </w:r>
      <w:r>
        <w:rPr>
          <w:rFonts w:hint="eastAsia" w:ascii="宋体"/>
          <w:color w:val="auto"/>
          <w:sz w:val="22"/>
          <w:highlight w:val="none"/>
          <w:lang w:val="zh-CN"/>
        </w:rPr>
        <w:t>、与本投标有关的一切往来通讯请寄：</w:t>
      </w:r>
    </w:p>
    <w:p>
      <w:pPr>
        <w:autoSpaceDE w:val="0"/>
        <w:autoSpaceDN w:val="0"/>
        <w:adjustRightInd w:val="0"/>
        <w:spacing w:line="440" w:lineRule="atLeast"/>
        <w:ind w:firstLine="458" w:firstLineChars="201"/>
        <w:rPr>
          <w:rFonts w:ascii="宋体"/>
          <w:color w:val="auto"/>
          <w:sz w:val="22"/>
          <w:highlight w:val="none"/>
          <w:u w:val="single"/>
        </w:rPr>
      </w:pPr>
      <w:r>
        <w:rPr>
          <w:rFonts w:hint="eastAsia" w:ascii="宋体"/>
          <w:color w:val="auto"/>
          <w:sz w:val="22"/>
          <w:highlight w:val="none"/>
          <w:lang w:val="zh-CN"/>
        </w:rPr>
        <w:t>地址：</w:t>
      </w:r>
      <w:r>
        <w:rPr>
          <w:rFonts w:hint="eastAsia" w:ascii="宋体"/>
          <w:color w:val="auto"/>
          <w:sz w:val="22"/>
          <w:highlight w:val="none"/>
          <w:u w:val="single"/>
        </w:rPr>
        <w:t xml:space="preserve">                     </w:t>
      </w:r>
      <w:r>
        <w:rPr>
          <w:rFonts w:hint="eastAsia" w:ascii="宋体"/>
          <w:color w:val="auto"/>
          <w:sz w:val="22"/>
          <w:highlight w:val="none"/>
          <w:lang w:val="zh-CN"/>
        </w:rPr>
        <w:t>邮编：</w:t>
      </w:r>
      <w:r>
        <w:rPr>
          <w:rFonts w:hint="eastAsia" w:ascii="宋体"/>
          <w:color w:val="auto"/>
          <w:sz w:val="22"/>
          <w:highlight w:val="none"/>
          <w:u w:val="single"/>
        </w:rPr>
        <w:t xml:space="preserve">                     </w:t>
      </w:r>
    </w:p>
    <w:p>
      <w:pPr>
        <w:autoSpaceDE w:val="0"/>
        <w:autoSpaceDN w:val="0"/>
        <w:adjustRightInd w:val="0"/>
        <w:spacing w:line="440" w:lineRule="atLeast"/>
        <w:ind w:firstLine="458" w:firstLineChars="201"/>
        <w:rPr>
          <w:rFonts w:ascii="宋体"/>
          <w:color w:val="auto"/>
          <w:sz w:val="22"/>
          <w:highlight w:val="none"/>
          <w:lang w:val="zh-CN"/>
        </w:rPr>
      </w:pPr>
      <w:r>
        <w:rPr>
          <w:rFonts w:hint="eastAsia" w:ascii="宋体"/>
          <w:color w:val="auto"/>
          <w:sz w:val="22"/>
          <w:highlight w:val="none"/>
          <w:lang w:val="zh-CN"/>
        </w:rPr>
        <w:t>电话：</w:t>
      </w:r>
      <w:r>
        <w:rPr>
          <w:rFonts w:hint="eastAsia" w:ascii="宋体"/>
          <w:color w:val="auto"/>
          <w:sz w:val="22"/>
          <w:highlight w:val="none"/>
          <w:u w:val="single"/>
        </w:rPr>
        <w:t xml:space="preserve">                     </w:t>
      </w:r>
      <w:r>
        <w:rPr>
          <w:rFonts w:hint="eastAsia" w:ascii="宋体"/>
          <w:color w:val="auto"/>
          <w:sz w:val="22"/>
          <w:highlight w:val="none"/>
          <w:lang w:val="zh-CN"/>
        </w:rPr>
        <w:t>传真：</w:t>
      </w:r>
      <w:r>
        <w:rPr>
          <w:rFonts w:hint="eastAsia" w:ascii="宋体"/>
          <w:color w:val="auto"/>
          <w:sz w:val="22"/>
          <w:highlight w:val="none"/>
          <w:u w:val="single"/>
        </w:rPr>
        <w:t xml:space="preserve">                     </w:t>
      </w:r>
    </w:p>
    <w:p>
      <w:pPr>
        <w:pStyle w:val="14"/>
        <w:spacing w:line="440" w:lineRule="atLeast"/>
        <w:rPr>
          <w:rFonts w:hAnsi="宋体"/>
          <w:color w:val="auto"/>
          <w:sz w:val="22"/>
          <w:highlight w:val="none"/>
        </w:rPr>
      </w:pPr>
    </w:p>
    <w:p>
      <w:pPr>
        <w:pStyle w:val="14"/>
        <w:spacing w:line="440" w:lineRule="atLeast"/>
        <w:rPr>
          <w:rFonts w:hAnsi="宋体"/>
          <w:b/>
          <w:color w:val="auto"/>
          <w:sz w:val="22"/>
          <w:highlight w:val="none"/>
        </w:rPr>
      </w:pPr>
      <w:r>
        <w:rPr>
          <w:rFonts w:hint="eastAsia" w:hAnsi="宋体"/>
          <w:color w:val="auto"/>
          <w:sz w:val="22"/>
          <w:highlight w:val="none"/>
        </w:rPr>
        <w:t>供应商全称：（盖章）</w:t>
      </w:r>
    </w:p>
    <w:p>
      <w:pPr>
        <w:pStyle w:val="14"/>
        <w:spacing w:line="440" w:lineRule="atLeast"/>
        <w:rPr>
          <w:rFonts w:hAnsi="宋体"/>
          <w:b/>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pPr>
        <w:pStyle w:val="14"/>
        <w:spacing w:line="440" w:lineRule="atLeast"/>
        <w:rPr>
          <w:rFonts w:hAnsi="宋体"/>
          <w:b/>
          <w:color w:val="auto"/>
          <w:sz w:val="22"/>
          <w:highlight w:val="none"/>
          <w:lang w:val="zh-CN"/>
        </w:rPr>
      </w:pPr>
      <w:r>
        <w:rPr>
          <w:rFonts w:hint="eastAsia" w:hAnsi="宋体"/>
          <w:color w:val="auto"/>
          <w:sz w:val="22"/>
          <w:highlight w:val="none"/>
        </w:rPr>
        <w:t>日期：</w:t>
      </w:r>
    </w:p>
    <w:p>
      <w:pPr>
        <w:spacing w:line="360" w:lineRule="exact"/>
        <w:jc w:val="left"/>
        <w:rPr>
          <w:rFonts w:ascii="宋体"/>
          <w:color w:val="auto"/>
          <w:sz w:val="22"/>
          <w:highlight w:val="none"/>
        </w:rPr>
      </w:pPr>
    </w:p>
    <w:p>
      <w:pPr>
        <w:spacing w:line="360" w:lineRule="exact"/>
        <w:jc w:val="left"/>
        <w:rPr>
          <w:rFonts w:ascii="宋体"/>
          <w:color w:val="auto"/>
          <w:sz w:val="22"/>
          <w:highlight w:val="none"/>
        </w:rPr>
      </w:pPr>
    </w:p>
    <w:p>
      <w:pPr>
        <w:spacing w:line="360" w:lineRule="exact"/>
        <w:jc w:val="left"/>
        <w:rPr>
          <w:b/>
          <w:bCs/>
          <w:color w:val="auto"/>
          <w:sz w:val="30"/>
          <w:highlight w:val="none"/>
        </w:rPr>
      </w:pPr>
    </w:p>
    <w:p>
      <w:pPr>
        <w:spacing w:line="360" w:lineRule="exact"/>
        <w:jc w:val="left"/>
        <w:rPr>
          <w:rFonts w:ascii="宋体"/>
          <w:color w:val="auto"/>
          <w:sz w:val="22"/>
          <w:highlight w:val="none"/>
        </w:rPr>
      </w:pPr>
      <w:r>
        <w:rPr>
          <w:rFonts w:hint="eastAsia"/>
          <w:b/>
          <w:bCs/>
          <w:color w:val="auto"/>
          <w:sz w:val="30"/>
          <w:highlight w:val="none"/>
        </w:rPr>
        <w:t>附件七</w:t>
      </w:r>
    </w:p>
    <w:p>
      <w:pPr>
        <w:spacing w:line="360" w:lineRule="exact"/>
        <w:jc w:val="center"/>
        <w:rPr>
          <w:b/>
          <w:bCs/>
          <w:color w:val="auto"/>
          <w:sz w:val="30"/>
          <w:highlight w:val="none"/>
          <w:lang w:val="zh-CN"/>
        </w:rPr>
      </w:pPr>
      <w:bookmarkStart w:id="65" w:name="_Toc15399_WPSOffice_Level3"/>
      <w:r>
        <w:rPr>
          <w:rFonts w:hint="eastAsia"/>
          <w:b/>
          <w:bCs/>
          <w:color w:val="auto"/>
          <w:sz w:val="30"/>
          <w:highlight w:val="none"/>
          <w:lang w:val="zh-CN"/>
        </w:rPr>
        <w:t>供应商参与政府采购活动投标资格声明函</w:t>
      </w:r>
      <w:bookmarkEnd w:id="65"/>
    </w:p>
    <w:tbl>
      <w:tblPr>
        <w:tblStyle w:val="28"/>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4"/>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pPr>
              <w:pStyle w:val="14"/>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泰顺县城区生活垃圾再生资源回收利用采购项目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4"/>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pPr>
              <w:pStyle w:val="14"/>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TSCG202302002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4"/>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pPr>
              <w:pStyle w:val="14"/>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pPr>
              <w:pStyle w:val="14"/>
              <w:adjustRightInd w:val="0"/>
              <w:snapToGrid w:val="0"/>
              <w:spacing w:line="400" w:lineRule="exact"/>
              <w:ind w:firstLine="450"/>
              <w:rPr>
                <w:rFonts w:hAnsi="宋体" w:cs="宋体"/>
                <w:color w:val="auto"/>
                <w:kern w:val="2"/>
                <w:highlight w:val="none"/>
              </w:rPr>
            </w:pPr>
            <w:r>
              <w:rPr>
                <w:rFonts w:hAnsi="宋体" w:cs="宋体"/>
                <w:color w:val="auto"/>
                <w:kern w:val="2"/>
                <w:highlight w:val="none"/>
              </w:rPr>
              <w:t>1</w:t>
            </w:r>
            <w:r>
              <w:rPr>
                <w:rFonts w:hint="eastAsia" w:hAnsi="宋体" w:cs="宋体"/>
                <w:color w:val="auto"/>
                <w:kern w:val="2"/>
                <w:highlight w:val="none"/>
              </w:rPr>
              <w:t>、根据政府采购法第二十二条规定，我单位满足以下条件，并已经在《资格文件》中提供了相应的证明材料：</w:t>
            </w:r>
          </w:p>
          <w:p>
            <w:pPr>
              <w:pStyle w:val="14"/>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w:t>
            </w:r>
            <w:r>
              <w:rPr>
                <w:rFonts w:hAnsi="宋体" w:cs="宋体"/>
                <w:color w:val="auto"/>
                <w:kern w:val="2"/>
                <w:highlight w:val="none"/>
              </w:rPr>
              <w:br w:type="textWrapping"/>
            </w:r>
            <w:r>
              <w:rPr>
                <w:rFonts w:hint="eastAsia" w:hAnsi="宋体" w:cs="宋体"/>
                <w:color w:val="auto"/>
                <w:kern w:val="2"/>
                <w:highlight w:val="none"/>
              </w:rPr>
              <w:t>　　（二）具有良好的商业信誉和健全的财务会计制度；</w:t>
            </w:r>
            <w:r>
              <w:rPr>
                <w:rFonts w:hAnsi="宋体" w:cs="宋体"/>
                <w:color w:val="auto"/>
                <w:kern w:val="2"/>
                <w:highlight w:val="none"/>
              </w:rPr>
              <w:br w:type="textWrapping"/>
            </w:r>
            <w:r>
              <w:rPr>
                <w:rFonts w:hint="eastAsia" w:hAnsi="宋体" w:cs="宋体"/>
                <w:color w:val="auto"/>
                <w:kern w:val="2"/>
                <w:highlight w:val="none"/>
              </w:rPr>
              <w:t>　　（三）具有履行合同所必需的设备和专业技术能力；</w:t>
            </w:r>
            <w:r>
              <w:rPr>
                <w:rFonts w:hAnsi="宋体" w:cs="宋体"/>
                <w:color w:val="auto"/>
                <w:kern w:val="2"/>
                <w:highlight w:val="none"/>
              </w:rPr>
              <w:br w:type="textWrapping"/>
            </w:r>
            <w:r>
              <w:rPr>
                <w:rFonts w:hint="eastAsia" w:hAnsi="宋体" w:cs="宋体"/>
                <w:color w:val="auto"/>
                <w:kern w:val="2"/>
                <w:highlight w:val="none"/>
              </w:rPr>
              <w:t>　　（四）有依法缴纳税收和社会保障资金的良好记录；</w:t>
            </w:r>
            <w:r>
              <w:rPr>
                <w:rFonts w:hAnsi="宋体" w:cs="宋体"/>
                <w:color w:val="auto"/>
                <w:kern w:val="2"/>
                <w:highlight w:val="none"/>
              </w:rPr>
              <w:br w:type="textWrapping"/>
            </w:r>
            <w:r>
              <w:rPr>
                <w:rFonts w:hint="eastAsia" w:hAnsi="宋体" w:cs="宋体"/>
                <w:color w:val="auto"/>
                <w:kern w:val="2"/>
                <w:highlight w:val="none"/>
              </w:rPr>
              <w:t>　　（五）参加政府采购活动前三年内，在经营活动中没有重大违法记录；</w:t>
            </w:r>
            <w:r>
              <w:rPr>
                <w:rFonts w:hAnsi="宋体" w:cs="宋体"/>
                <w:color w:val="auto"/>
                <w:kern w:val="2"/>
                <w:highlight w:val="none"/>
              </w:rPr>
              <w:br w:type="textWrapping"/>
            </w:r>
            <w:r>
              <w:rPr>
                <w:rFonts w:hint="eastAsia" w:hAnsi="宋体" w:cs="宋体"/>
                <w:color w:val="auto"/>
                <w:kern w:val="2"/>
                <w:highlight w:val="none"/>
              </w:rPr>
              <w:t>　　（六）法律、行政法规规定的其他条件。</w:t>
            </w:r>
          </w:p>
          <w:p>
            <w:pPr>
              <w:pStyle w:val="14"/>
              <w:adjustRightInd w:val="0"/>
              <w:snapToGrid w:val="0"/>
              <w:spacing w:line="400" w:lineRule="exact"/>
              <w:ind w:firstLine="450"/>
              <w:rPr>
                <w:rFonts w:hAnsi="宋体" w:cs="宋体"/>
                <w:color w:val="auto"/>
                <w:kern w:val="2"/>
                <w:highlight w:val="none"/>
              </w:rPr>
            </w:pPr>
            <w:r>
              <w:rPr>
                <w:rFonts w:hAnsi="宋体" w:cs="宋体"/>
                <w:color w:val="auto"/>
                <w:kern w:val="2"/>
                <w:highlight w:val="none"/>
              </w:rPr>
              <w:t>2</w:t>
            </w:r>
            <w:r>
              <w:rPr>
                <w:rFonts w:hint="eastAsia" w:hAnsi="宋体" w:cs="宋体"/>
                <w:color w:val="auto"/>
                <w:kern w:val="2"/>
                <w:highlight w:val="none"/>
              </w:rPr>
              <w:t>、根据财政部与有关部门联合签署了《关于对重大税收违法案件当事人实施联合惩戒措施的合作备忘录》</w:t>
            </w:r>
            <w:r>
              <w:rPr>
                <w:rFonts w:hAnsi="宋体" w:cs="宋体"/>
                <w:color w:val="auto"/>
                <w:kern w:val="2"/>
                <w:highlight w:val="none"/>
              </w:rPr>
              <w:t>(</w:t>
            </w:r>
            <w:r>
              <w:rPr>
                <w:rFonts w:hint="eastAsia" w:hAnsi="宋体" w:cs="宋体"/>
                <w:color w:val="auto"/>
                <w:kern w:val="2"/>
                <w:highlight w:val="none"/>
              </w:rPr>
              <w:t>发改财金〔</w:t>
            </w:r>
            <w:r>
              <w:rPr>
                <w:rFonts w:hAnsi="宋体" w:cs="宋体"/>
                <w:color w:val="auto"/>
                <w:kern w:val="2"/>
                <w:highlight w:val="none"/>
              </w:rPr>
              <w:t>2014</w:t>
            </w:r>
            <w:r>
              <w:rPr>
                <w:rFonts w:hint="eastAsia" w:hAnsi="宋体" w:cs="宋体"/>
                <w:color w:val="auto"/>
                <w:kern w:val="2"/>
                <w:highlight w:val="none"/>
              </w:rPr>
              <w:t>〕</w:t>
            </w:r>
            <w:r>
              <w:rPr>
                <w:rFonts w:hAnsi="宋体" w:cs="宋体"/>
                <w:color w:val="auto"/>
                <w:kern w:val="2"/>
                <w:highlight w:val="none"/>
              </w:rPr>
              <w:t>3062</w:t>
            </w:r>
            <w:r>
              <w:rPr>
                <w:rFonts w:hint="eastAsia" w:hAnsi="宋体" w:cs="宋体"/>
                <w:color w:val="auto"/>
                <w:kern w:val="2"/>
                <w:highlight w:val="none"/>
              </w:rPr>
              <w:t>号</w:t>
            </w:r>
            <w:r>
              <w:rPr>
                <w:rFonts w:hAnsi="宋体" w:cs="宋体"/>
                <w:color w:val="auto"/>
                <w:kern w:val="2"/>
                <w:highlight w:val="none"/>
              </w:rPr>
              <w:t>)</w:t>
            </w:r>
            <w:r>
              <w:rPr>
                <w:rFonts w:hint="eastAsia" w:hAnsi="宋体" w:cs="宋体"/>
                <w:color w:val="auto"/>
                <w:kern w:val="2"/>
                <w:highlight w:val="none"/>
              </w:rPr>
              <w:t>、《失信企业协同监管和联合惩戒合作备忘录》</w:t>
            </w:r>
            <w:r>
              <w:rPr>
                <w:rFonts w:hAnsi="宋体" w:cs="宋体"/>
                <w:color w:val="auto"/>
                <w:kern w:val="2"/>
                <w:highlight w:val="none"/>
              </w:rPr>
              <w:t>(</w:t>
            </w:r>
            <w:r>
              <w:rPr>
                <w:rFonts w:hint="eastAsia" w:hAnsi="宋体" w:cs="宋体"/>
                <w:color w:val="auto"/>
                <w:kern w:val="2"/>
                <w:highlight w:val="none"/>
              </w:rPr>
              <w:t>发改财金〔</w:t>
            </w:r>
            <w:r>
              <w:rPr>
                <w:rFonts w:hAnsi="宋体" w:cs="宋体"/>
                <w:color w:val="auto"/>
                <w:kern w:val="2"/>
                <w:highlight w:val="none"/>
              </w:rPr>
              <w:t>2015</w:t>
            </w:r>
            <w:r>
              <w:rPr>
                <w:rFonts w:hint="eastAsia" w:hAnsi="宋体" w:cs="宋体"/>
                <w:color w:val="auto"/>
                <w:kern w:val="2"/>
                <w:highlight w:val="none"/>
              </w:rPr>
              <w:t>〕</w:t>
            </w:r>
            <w:r>
              <w:rPr>
                <w:rFonts w:hAnsi="宋体" w:cs="宋体"/>
                <w:color w:val="auto"/>
                <w:kern w:val="2"/>
                <w:highlight w:val="none"/>
              </w:rPr>
              <w:t>2045</w:t>
            </w:r>
            <w:r>
              <w:rPr>
                <w:rFonts w:hint="eastAsia" w:hAnsi="宋体" w:cs="宋体"/>
                <w:color w:val="auto"/>
                <w:kern w:val="2"/>
                <w:highlight w:val="none"/>
              </w:rPr>
              <w:t>号</w:t>
            </w:r>
            <w:r>
              <w:rPr>
                <w:rFonts w:hAnsi="宋体" w:cs="宋体"/>
                <w:color w:val="auto"/>
                <w:kern w:val="2"/>
                <w:highlight w:val="none"/>
              </w:rPr>
              <w:t>)</w:t>
            </w:r>
            <w:r>
              <w:rPr>
                <w:rFonts w:hint="eastAsia" w:hAnsi="宋体" w:cs="宋体"/>
                <w:color w:val="auto"/>
                <w:kern w:val="2"/>
                <w:highlight w:val="none"/>
              </w:rPr>
              <w:t>、《关于对违法失信上市公司相关责任主体实施联合惩戒的合作备忘录》</w:t>
            </w:r>
            <w:r>
              <w:rPr>
                <w:rFonts w:hAnsi="宋体" w:cs="宋体"/>
                <w:color w:val="auto"/>
                <w:kern w:val="2"/>
                <w:highlight w:val="none"/>
              </w:rPr>
              <w:t>(</w:t>
            </w:r>
            <w:r>
              <w:rPr>
                <w:rFonts w:hint="eastAsia" w:hAnsi="宋体" w:cs="宋体"/>
                <w:color w:val="auto"/>
                <w:kern w:val="2"/>
                <w:highlight w:val="none"/>
              </w:rPr>
              <w:t>发改财金〔</w:t>
            </w:r>
            <w:r>
              <w:rPr>
                <w:rFonts w:hAnsi="宋体" w:cs="宋体"/>
                <w:color w:val="auto"/>
                <w:kern w:val="2"/>
                <w:highlight w:val="none"/>
              </w:rPr>
              <w:t>2015</w:t>
            </w:r>
            <w:r>
              <w:rPr>
                <w:rFonts w:hint="eastAsia" w:hAnsi="宋体" w:cs="宋体"/>
                <w:color w:val="auto"/>
                <w:kern w:val="2"/>
                <w:highlight w:val="none"/>
              </w:rPr>
              <w:t>〕</w:t>
            </w:r>
            <w:r>
              <w:rPr>
                <w:rFonts w:hAnsi="宋体" w:cs="宋体"/>
                <w:color w:val="auto"/>
                <w:kern w:val="2"/>
                <w:highlight w:val="none"/>
              </w:rPr>
              <w:t>3062</w:t>
            </w:r>
            <w:r>
              <w:rPr>
                <w:rFonts w:hint="eastAsia" w:hAnsi="宋体" w:cs="宋体"/>
                <w:color w:val="auto"/>
                <w:kern w:val="2"/>
                <w:highlight w:val="none"/>
              </w:rPr>
              <w:t>号</w:t>
            </w:r>
            <w:r>
              <w:rPr>
                <w:rFonts w:hAnsi="宋体" w:cs="宋体"/>
                <w:color w:val="auto"/>
                <w:kern w:val="2"/>
                <w:highlight w:val="none"/>
              </w:rPr>
              <w:t>)</w:t>
            </w:r>
            <w:r>
              <w:rPr>
                <w:rFonts w:hint="eastAsia" w:hAnsi="宋体" w:cs="宋体"/>
                <w:color w:val="auto"/>
                <w:kern w:val="2"/>
                <w:highlight w:val="none"/>
              </w:rPr>
              <w:t>、《关于对失信被执行人实施联合惩戒的合作备忘录》</w:t>
            </w:r>
            <w:r>
              <w:rPr>
                <w:rFonts w:hAnsi="宋体" w:cs="宋体"/>
                <w:color w:val="auto"/>
                <w:kern w:val="2"/>
                <w:highlight w:val="none"/>
              </w:rPr>
              <w:t>(</w:t>
            </w:r>
            <w:r>
              <w:rPr>
                <w:rFonts w:hint="eastAsia" w:hAnsi="宋体" w:cs="宋体"/>
                <w:color w:val="auto"/>
                <w:kern w:val="2"/>
                <w:highlight w:val="none"/>
              </w:rPr>
              <w:t>发改财金〔</w:t>
            </w:r>
            <w:r>
              <w:rPr>
                <w:rFonts w:hAnsi="宋体" w:cs="宋体"/>
                <w:color w:val="auto"/>
                <w:kern w:val="2"/>
                <w:highlight w:val="none"/>
              </w:rPr>
              <w:t>2016</w:t>
            </w:r>
            <w:r>
              <w:rPr>
                <w:rFonts w:hint="eastAsia" w:hAnsi="宋体" w:cs="宋体"/>
                <w:color w:val="auto"/>
                <w:kern w:val="2"/>
                <w:highlight w:val="none"/>
              </w:rPr>
              <w:t>〕</w:t>
            </w:r>
            <w:r>
              <w:rPr>
                <w:rFonts w:hAnsi="宋体" w:cs="宋体"/>
                <w:color w:val="auto"/>
                <w:kern w:val="2"/>
                <w:highlight w:val="none"/>
              </w:rPr>
              <w:t>141</w:t>
            </w:r>
            <w:r>
              <w:rPr>
                <w:rFonts w:hint="eastAsia" w:hAnsi="宋体" w:cs="宋体"/>
                <w:color w:val="auto"/>
                <w:kern w:val="2"/>
                <w:highlight w:val="none"/>
              </w:rPr>
              <w:t>号</w:t>
            </w:r>
            <w:r>
              <w:rPr>
                <w:rFonts w:hAnsi="宋体" w:cs="宋体"/>
                <w:color w:val="auto"/>
                <w:kern w:val="2"/>
                <w:highlight w:val="none"/>
              </w:rPr>
              <w:t>)</w:t>
            </w:r>
            <w:r>
              <w:rPr>
                <w:rFonts w:hint="eastAsia" w:hAnsi="宋体" w:cs="宋体"/>
                <w:color w:val="auto"/>
                <w:kern w:val="2"/>
                <w:highlight w:val="none"/>
              </w:rPr>
              <w:t>、《关于对安全生产领域失信生产经营单位及其有关人员开展联合惩戒的合作备忘录》</w:t>
            </w:r>
            <w:r>
              <w:rPr>
                <w:rFonts w:hAnsi="宋体" w:cs="宋体"/>
                <w:color w:val="auto"/>
                <w:kern w:val="2"/>
                <w:highlight w:val="none"/>
              </w:rPr>
              <w:t>(</w:t>
            </w:r>
            <w:r>
              <w:rPr>
                <w:rFonts w:hint="eastAsia" w:hAnsi="宋体" w:cs="宋体"/>
                <w:color w:val="auto"/>
                <w:kern w:val="2"/>
                <w:highlight w:val="none"/>
              </w:rPr>
              <w:t>发改财金〔</w:t>
            </w:r>
            <w:r>
              <w:rPr>
                <w:rFonts w:hAnsi="宋体" w:cs="宋体"/>
                <w:color w:val="auto"/>
                <w:kern w:val="2"/>
                <w:highlight w:val="none"/>
              </w:rPr>
              <w:t>2016</w:t>
            </w:r>
            <w:r>
              <w:rPr>
                <w:rFonts w:hint="eastAsia" w:hAnsi="宋体" w:cs="宋体"/>
                <w:color w:val="auto"/>
                <w:kern w:val="2"/>
                <w:highlight w:val="none"/>
              </w:rPr>
              <w:t>〕</w:t>
            </w:r>
            <w:r>
              <w:rPr>
                <w:rFonts w:hAnsi="宋体" w:cs="宋体"/>
                <w:color w:val="auto"/>
                <w:kern w:val="2"/>
                <w:highlight w:val="none"/>
              </w:rPr>
              <w:t>1001</w:t>
            </w:r>
            <w:r>
              <w:rPr>
                <w:rFonts w:hint="eastAsia" w:hAnsi="宋体" w:cs="宋体"/>
                <w:color w:val="auto"/>
                <w:kern w:val="2"/>
                <w:highlight w:val="none"/>
              </w:rPr>
              <w:t>号</w:t>
            </w:r>
            <w:r>
              <w:rPr>
                <w:rFonts w:hAnsi="宋体" w:cs="宋体"/>
                <w:color w:val="auto"/>
                <w:kern w:val="2"/>
                <w:highlight w:val="none"/>
              </w:rPr>
              <w:t>)</w:t>
            </w:r>
            <w:r>
              <w:rPr>
                <w:rFonts w:hint="eastAsia" w:hAnsi="宋体" w:cs="宋体"/>
                <w:color w:val="auto"/>
                <w:kern w:val="2"/>
                <w:highlight w:val="none"/>
              </w:rPr>
              <w:t>，依法限制相关失信主体参与政府采购活动。我单位不存在上述文件规定依法限制参与政府采购的情况，并提供“信用中国”、“中国政府采购网”查询网页截图（公告发布之日至投标截止时间）。</w:t>
            </w:r>
          </w:p>
          <w:p>
            <w:pPr>
              <w:pStyle w:val="14"/>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3、我单位没有被各地、各级财政部门限制参加政府采购活动，且在限制期内：</w:t>
            </w:r>
          </w:p>
          <w:p>
            <w:pPr>
              <w:pStyle w:val="14"/>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4、我单位参与本项目政府采购活动3年内其它重大违法记录（重大违法记录，是指供应商因违法经营受到刑事处罚或者责令停产停业、吊销许可证或者执照、较大数额罚款等行政处罚）情况声明：</w:t>
            </w:r>
          </w:p>
          <w:p>
            <w:pPr>
              <w:pStyle w:val="14"/>
              <w:adjustRightInd w:val="0"/>
              <w:snapToGrid w:val="0"/>
              <w:spacing w:line="400" w:lineRule="exact"/>
              <w:ind w:firstLine="450"/>
              <w:rPr>
                <w:rFonts w:hAnsi="宋体" w:cs="宋体"/>
                <w:color w:val="auto"/>
                <w:kern w:val="2"/>
                <w:highlight w:val="none"/>
              </w:rPr>
            </w:pPr>
          </w:p>
          <w:p>
            <w:pPr>
              <w:pStyle w:val="14"/>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5、我单位符合本项目特定资格条件：</w:t>
            </w:r>
            <w:r>
              <w:rPr>
                <w:rFonts w:hint="eastAsia" w:hAnsi="宋体" w:cs="宋体"/>
                <w:color w:val="auto"/>
                <w:kern w:val="2"/>
                <w:highlight w:val="none"/>
                <w:u w:val="single"/>
              </w:rPr>
              <w:t xml:space="preserve">     </w:t>
            </w:r>
            <w:r>
              <w:rPr>
                <w:rFonts w:hint="eastAsia" w:hAnsi="宋体" w:cs="宋体"/>
                <w:color w:val="auto"/>
                <w:kern w:val="2"/>
                <w:highlight w:val="none"/>
              </w:rPr>
              <w:t>的要求，并在《资格文件》中提供了相应的证明材料（招标文件规范要求没有要求特定资格条件的，本条款空格处可以空白）</w:t>
            </w:r>
          </w:p>
          <w:p>
            <w:pPr>
              <w:pStyle w:val="14"/>
              <w:adjustRightInd w:val="0"/>
              <w:snapToGrid w:val="0"/>
              <w:spacing w:line="400" w:lineRule="exact"/>
              <w:ind w:firstLine="450"/>
              <w:rPr>
                <w:color w:val="auto"/>
                <w:highlight w:val="none"/>
              </w:rPr>
            </w:pPr>
            <w:r>
              <w:rPr>
                <w:rFonts w:hint="eastAsia" w:hAnsi="宋体" w:cs="宋体"/>
                <w:color w:val="auto"/>
                <w:kern w:val="2"/>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pPr>
              <w:pStyle w:val="14"/>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pPr>
              <w:pStyle w:val="14"/>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pPr>
              <w:pStyle w:val="14"/>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pPr>
        <w:spacing w:line="360" w:lineRule="exact"/>
        <w:jc w:val="left"/>
        <w:rPr>
          <w:rFonts w:ascii="宋体"/>
          <w:bCs/>
          <w:color w:val="auto"/>
          <w:sz w:val="22"/>
          <w:highlight w:val="none"/>
          <w:u w:val="single"/>
        </w:rPr>
      </w:pPr>
    </w:p>
    <w:p>
      <w:pPr>
        <w:spacing w:line="360" w:lineRule="exact"/>
        <w:jc w:val="left"/>
        <w:rPr>
          <w:rFonts w:ascii="宋体"/>
          <w:bCs/>
          <w:color w:val="auto"/>
          <w:sz w:val="22"/>
          <w:highlight w:val="none"/>
          <w:u w:val="single"/>
        </w:rPr>
      </w:pPr>
      <w:r>
        <w:rPr>
          <w:rFonts w:hint="eastAsia" w:ascii="宋体"/>
          <w:bCs/>
          <w:color w:val="auto"/>
          <w:sz w:val="22"/>
          <w:highlight w:val="none"/>
          <w:u w:val="single"/>
        </w:rPr>
        <w:t>备注：</w:t>
      </w:r>
      <w:r>
        <w:rPr>
          <w:rFonts w:hint="eastAsia" w:ascii="仿宋" w:hAnsi="仿宋" w:eastAsia="仿宋"/>
          <w:bCs/>
          <w:color w:val="auto"/>
          <w:sz w:val="22"/>
          <w:highlight w:val="none"/>
          <w:u w:val="single"/>
        </w:rPr>
        <w:t>▲</w:t>
      </w:r>
      <w:r>
        <w:rPr>
          <w:rFonts w:hint="eastAsia" w:ascii="宋体"/>
          <w:bCs/>
          <w:color w:val="auto"/>
          <w:sz w:val="22"/>
          <w:highlight w:val="none"/>
          <w:u w:val="single"/>
        </w:rPr>
        <w:t>投标供应商必须按要求提供本声明，不提供按无效投标处理。</w:t>
      </w:r>
    </w:p>
    <w:p>
      <w:pPr>
        <w:spacing w:line="360" w:lineRule="exact"/>
        <w:jc w:val="left"/>
        <w:rPr>
          <w:b/>
          <w:bCs/>
          <w:color w:val="auto"/>
          <w:sz w:val="32"/>
          <w:szCs w:val="32"/>
          <w:highlight w:val="none"/>
        </w:rPr>
      </w:pPr>
    </w:p>
    <w:p>
      <w:pPr>
        <w:spacing w:line="360" w:lineRule="exact"/>
        <w:jc w:val="left"/>
        <w:rPr>
          <w:b/>
          <w:bCs/>
          <w:color w:val="auto"/>
          <w:sz w:val="32"/>
          <w:szCs w:val="32"/>
          <w:highlight w:val="none"/>
        </w:rPr>
      </w:pPr>
    </w:p>
    <w:p>
      <w:pPr>
        <w:spacing w:line="360" w:lineRule="exact"/>
        <w:jc w:val="left"/>
        <w:rPr>
          <w:b/>
          <w:bCs/>
          <w:color w:val="auto"/>
          <w:sz w:val="32"/>
          <w:szCs w:val="32"/>
          <w:highlight w:val="none"/>
        </w:rPr>
      </w:pPr>
    </w:p>
    <w:p>
      <w:pPr>
        <w:spacing w:line="360" w:lineRule="exact"/>
        <w:jc w:val="left"/>
        <w:rPr>
          <w:rFonts w:ascii="宋体"/>
          <w:b/>
          <w:bCs/>
          <w:color w:val="auto"/>
          <w:sz w:val="32"/>
          <w:szCs w:val="32"/>
          <w:highlight w:val="none"/>
        </w:rPr>
      </w:pPr>
      <w:r>
        <w:rPr>
          <w:rFonts w:hint="eastAsia"/>
          <w:b/>
          <w:bCs/>
          <w:color w:val="auto"/>
          <w:sz w:val="32"/>
          <w:szCs w:val="32"/>
          <w:highlight w:val="none"/>
        </w:rPr>
        <w:t>附件八</w:t>
      </w:r>
    </w:p>
    <w:p>
      <w:pPr>
        <w:jc w:val="center"/>
        <w:rPr>
          <w:rFonts w:ascii="宋体"/>
          <w:b/>
          <w:bCs/>
          <w:color w:val="auto"/>
          <w:sz w:val="32"/>
          <w:szCs w:val="32"/>
          <w:highlight w:val="none"/>
        </w:rPr>
      </w:pPr>
      <w:bookmarkStart w:id="66" w:name="_Toc7010_WPSOffice_Level3"/>
      <w:r>
        <w:rPr>
          <w:rFonts w:hint="eastAsia" w:ascii="宋体"/>
          <w:b/>
          <w:bCs/>
          <w:color w:val="auto"/>
          <w:sz w:val="32"/>
          <w:szCs w:val="32"/>
          <w:highlight w:val="none"/>
        </w:rPr>
        <w:t>法定代表人诚信投标承诺书</w:t>
      </w:r>
      <w:bookmarkEnd w:id="66"/>
    </w:p>
    <w:p>
      <w:pPr>
        <w:spacing w:line="360" w:lineRule="auto"/>
        <w:jc w:val="left"/>
        <w:rPr>
          <w:rFonts w:ascii="宋体"/>
          <w:color w:val="auto"/>
          <w:sz w:val="24"/>
          <w:highlight w:val="none"/>
        </w:rPr>
      </w:pPr>
    </w:p>
    <w:p>
      <w:pPr>
        <w:spacing w:line="460" w:lineRule="atLeast"/>
        <w:jc w:val="left"/>
        <w:rPr>
          <w:rFonts w:ascii="宋体"/>
          <w:color w:val="auto"/>
          <w:sz w:val="22"/>
          <w:highlight w:val="none"/>
        </w:rPr>
      </w:pPr>
      <w:r>
        <w:rPr>
          <w:rFonts w:hint="eastAsia" w:ascii="宋体"/>
          <w:color w:val="auto"/>
          <w:sz w:val="22"/>
          <w:highlight w:val="none"/>
        </w:rPr>
        <w:t>本人以企业法定代表人的身份郑重承诺：</w:t>
      </w:r>
    </w:p>
    <w:p>
      <w:pPr>
        <w:spacing w:line="460" w:lineRule="atLeast"/>
        <w:ind w:firstLine="456" w:firstLineChars="200"/>
        <w:jc w:val="left"/>
        <w:rPr>
          <w:rFonts w:ascii="宋体"/>
          <w:color w:val="auto"/>
          <w:sz w:val="22"/>
          <w:highlight w:val="none"/>
        </w:rPr>
      </w:pPr>
      <w:r>
        <w:rPr>
          <w:rFonts w:hint="eastAsia" w:ascii="宋体"/>
          <w:color w:val="auto"/>
          <w:sz w:val="22"/>
          <w:highlight w:val="none"/>
        </w:rPr>
        <w:t>将遵循公开、公平、公正和诚信信用的原则参加</w:t>
      </w:r>
      <w:r>
        <w:rPr>
          <w:rFonts w:hint="eastAsia" w:hAnsi="宋体"/>
          <w:color w:val="auto"/>
          <w:sz w:val="22"/>
          <w:highlight w:val="none"/>
          <w:u w:val="single"/>
        </w:rPr>
        <w:t>泰顺县城区生活垃圾再生资源回收利用采购项目</w:t>
      </w:r>
      <w:r>
        <w:rPr>
          <w:rFonts w:hint="eastAsia" w:ascii="宋体" w:cs="楷体_GB2312"/>
          <w:color w:val="auto"/>
          <w:sz w:val="22"/>
          <w:highlight w:val="none"/>
          <w:u w:val="single"/>
        </w:rPr>
        <w:t>（采购编号：</w:t>
      </w:r>
      <w:r>
        <w:rPr>
          <w:rFonts w:hint="eastAsia" w:ascii="宋体" w:cs="楷体_GB2312"/>
          <w:color w:val="auto"/>
          <w:sz w:val="22"/>
          <w:highlight w:val="none"/>
          <w:u w:val="single"/>
          <w:lang w:eastAsia="zh-CN"/>
        </w:rPr>
        <w:t>TSCG202302002</w:t>
      </w:r>
      <w:r>
        <w:rPr>
          <w:rFonts w:hint="eastAsia" w:ascii="宋体" w:cs="楷体_GB2312"/>
          <w:color w:val="auto"/>
          <w:sz w:val="22"/>
          <w:highlight w:val="none"/>
          <w:u w:val="single"/>
        </w:rPr>
        <w:t>）</w:t>
      </w:r>
      <w:r>
        <w:rPr>
          <w:rFonts w:hint="eastAsia" w:ascii="宋体"/>
          <w:color w:val="auto"/>
          <w:sz w:val="22"/>
          <w:highlight w:val="none"/>
        </w:rPr>
        <w:t>的投标；</w:t>
      </w:r>
    </w:p>
    <w:p>
      <w:pPr>
        <w:spacing w:line="460" w:lineRule="atLeast"/>
        <w:ind w:firstLine="456" w:firstLineChars="200"/>
        <w:jc w:val="left"/>
        <w:rPr>
          <w:rFonts w:ascii="宋体"/>
          <w:color w:val="auto"/>
          <w:sz w:val="22"/>
          <w:highlight w:val="none"/>
          <w:u w:val="single"/>
        </w:rPr>
      </w:pPr>
      <w:r>
        <w:rPr>
          <w:rFonts w:hint="eastAsia" w:ascii="宋体"/>
          <w:color w:val="auto"/>
          <w:sz w:val="22"/>
          <w:highlight w:val="none"/>
        </w:rPr>
        <w:t>一、杜绝以收取管理费等形式的一切挂靠、违法转包、分包行为；并选派有丰富经验、无不良行为记录的在项目管理人员、技术人员，严格按招标文件规范要求、投标文件及合同等要求保证拟派人员的到岗率。</w:t>
      </w:r>
    </w:p>
    <w:p>
      <w:pPr>
        <w:spacing w:line="460" w:lineRule="atLeast"/>
        <w:ind w:firstLine="456" w:firstLineChars="200"/>
        <w:jc w:val="left"/>
        <w:rPr>
          <w:rFonts w:ascii="宋体"/>
          <w:color w:val="auto"/>
          <w:sz w:val="22"/>
          <w:highlight w:val="none"/>
        </w:rPr>
      </w:pPr>
      <w:r>
        <w:rPr>
          <w:rFonts w:hint="eastAsia" w:ascii="宋体"/>
          <w:color w:val="auto"/>
          <w:sz w:val="22"/>
          <w:highlight w:val="none"/>
        </w:rPr>
        <w:t>二、投标文件所提供的一切材料都是真实、有效、合法的。</w:t>
      </w:r>
    </w:p>
    <w:p>
      <w:pPr>
        <w:spacing w:line="460" w:lineRule="atLeast"/>
        <w:ind w:firstLine="456" w:firstLineChars="200"/>
        <w:jc w:val="left"/>
        <w:rPr>
          <w:rFonts w:ascii="宋体"/>
          <w:color w:val="auto"/>
          <w:sz w:val="22"/>
          <w:highlight w:val="none"/>
        </w:rPr>
      </w:pPr>
      <w:r>
        <w:rPr>
          <w:rFonts w:hint="eastAsia" w:ascii="宋体"/>
          <w:color w:val="auto"/>
          <w:sz w:val="22"/>
          <w:highlight w:val="none"/>
        </w:rPr>
        <w:t>三、不与其他投标人相互串通投标报价，不排挤其他投标人的公平竞争，不损害招标人或其他投标人的合法权益。</w:t>
      </w:r>
    </w:p>
    <w:p>
      <w:pPr>
        <w:spacing w:line="460" w:lineRule="atLeast"/>
        <w:ind w:firstLine="456" w:firstLineChars="200"/>
        <w:jc w:val="left"/>
        <w:rPr>
          <w:rFonts w:ascii="宋体"/>
          <w:color w:val="auto"/>
          <w:sz w:val="22"/>
          <w:highlight w:val="none"/>
        </w:rPr>
      </w:pPr>
      <w:r>
        <w:rPr>
          <w:rFonts w:hint="eastAsia" w:ascii="宋体"/>
          <w:color w:val="auto"/>
          <w:sz w:val="22"/>
          <w:highlight w:val="none"/>
        </w:rPr>
        <w:t>四、不与采购人或招标代理机构串通投标，不损害国家利益，社会公共利益或其他人的合法权益。</w:t>
      </w:r>
    </w:p>
    <w:p>
      <w:pPr>
        <w:spacing w:line="460" w:lineRule="atLeast"/>
        <w:ind w:firstLine="456" w:firstLineChars="200"/>
        <w:jc w:val="left"/>
        <w:rPr>
          <w:rFonts w:ascii="宋体"/>
          <w:color w:val="auto"/>
          <w:sz w:val="22"/>
          <w:highlight w:val="none"/>
        </w:rPr>
      </w:pPr>
      <w:r>
        <w:rPr>
          <w:rFonts w:hint="eastAsia" w:ascii="宋体"/>
          <w:color w:val="auto"/>
          <w:sz w:val="22"/>
          <w:highlight w:val="none"/>
        </w:rPr>
        <w:t>五、不向采购人或者评审小组成员行贿以牟取中标(成交)。</w:t>
      </w:r>
    </w:p>
    <w:p>
      <w:pPr>
        <w:spacing w:line="460" w:lineRule="atLeast"/>
        <w:ind w:firstLine="456" w:firstLineChars="200"/>
        <w:jc w:val="left"/>
        <w:rPr>
          <w:rFonts w:ascii="宋体"/>
          <w:color w:val="auto"/>
          <w:sz w:val="22"/>
          <w:highlight w:val="none"/>
        </w:rPr>
      </w:pPr>
      <w:r>
        <w:rPr>
          <w:rFonts w:hint="eastAsia" w:ascii="宋体"/>
          <w:color w:val="auto"/>
          <w:sz w:val="22"/>
          <w:highlight w:val="none"/>
        </w:rPr>
        <w:t>六、不以其他人名义投标或者以其他方式弄虚作假，骗取中标(成交)。</w:t>
      </w:r>
    </w:p>
    <w:p>
      <w:pPr>
        <w:spacing w:line="460" w:lineRule="atLeast"/>
        <w:ind w:firstLine="456" w:firstLineChars="200"/>
        <w:jc w:val="left"/>
        <w:rPr>
          <w:rFonts w:ascii="宋体"/>
          <w:color w:val="auto"/>
          <w:sz w:val="22"/>
          <w:highlight w:val="none"/>
        </w:rPr>
      </w:pPr>
      <w:r>
        <w:rPr>
          <w:rFonts w:hint="eastAsia" w:ascii="宋体"/>
          <w:color w:val="auto"/>
          <w:sz w:val="22"/>
          <w:highlight w:val="none"/>
        </w:rPr>
        <w:t>七、不在开标后进行虚假恶意投诉。</w:t>
      </w:r>
    </w:p>
    <w:p>
      <w:pPr>
        <w:spacing w:line="460" w:lineRule="atLeast"/>
        <w:ind w:firstLine="456" w:firstLineChars="200"/>
        <w:jc w:val="left"/>
        <w:rPr>
          <w:rFonts w:ascii="宋体"/>
          <w:color w:val="auto"/>
          <w:sz w:val="22"/>
          <w:highlight w:val="none"/>
        </w:rPr>
      </w:pPr>
      <w:r>
        <w:rPr>
          <w:rFonts w:hint="eastAsia" w:ascii="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56" w:firstLineChars="200"/>
        <w:jc w:val="left"/>
        <w:rPr>
          <w:rFonts w:ascii="宋体"/>
          <w:color w:val="auto"/>
          <w:sz w:val="22"/>
          <w:highlight w:val="none"/>
        </w:rPr>
      </w:pPr>
      <w:r>
        <w:rPr>
          <w:rFonts w:hint="eastAsia" w:ascii="宋体"/>
          <w:color w:val="auto"/>
          <w:sz w:val="22"/>
          <w:highlight w:val="none"/>
        </w:rPr>
        <w:t>九、没有被各地、各级财政部门禁止参加政府采购活动，且在限制期限内：</w:t>
      </w:r>
    </w:p>
    <w:p>
      <w:pPr>
        <w:spacing w:line="460" w:lineRule="atLeast"/>
        <w:ind w:firstLine="456" w:firstLineChars="200"/>
        <w:jc w:val="left"/>
        <w:rPr>
          <w:rFonts w:ascii="宋体"/>
          <w:color w:val="auto"/>
          <w:sz w:val="22"/>
          <w:highlight w:val="none"/>
        </w:rPr>
      </w:pPr>
      <w:r>
        <w:rPr>
          <w:rFonts w:hint="eastAsia" w:ascii="宋体"/>
          <w:color w:val="auto"/>
          <w:sz w:val="22"/>
          <w:highlight w:val="none"/>
        </w:rPr>
        <w:t>十、参与本项目政府采购活动</w:t>
      </w:r>
      <w:r>
        <w:rPr>
          <w:rFonts w:ascii="宋体"/>
          <w:color w:val="auto"/>
          <w:sz w:val="22"/>
          <w:highlight w:val="none"/>
        </w:rPr>
        <w:t>3</w:t>
      </w:r>
      <w:r>
        <w:rPr>
          <w:rFonts w:hint="eastAsia" w:ascii="宋体"/>
          <w:color w:val="auto"/>
          <w:sz w:val="22"/>
          <w:highlight w:val="none"/>
        </w:rPr>
        <w:t>年内没有重大违法记录情况。</w:t>
      </w:r>
    </w:p>
    <w:p>
      <w:pPr>
        <w:spacing w:line="460" w:lineRule="atLeast"/>
        <w:ind w:firstLine="456" w:firstLineChars="200"/>
        <w:rPr>
          <w:rFonts w:ascii="宋体"/>
          <w:color w:val="auto"/>
          <w:sz w:val="22"/>
          <w:highlight w:val="none"/>
        </w:rPr>
      </w:pPr>
      <w:r>
        <w:rPr>
          <w:rFonts w:hint="eastAsia" w:ascii="宋体"/>
          <w:color w:val="auto"/>
          <w:sz w:val="22"/>
          <w:highlight w:val="none"/>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3078" w:firstLineChars="1350"/>
        <w:rPr>
          <w:rFonts w:ascii="宋体"/>
          <w:color w:val="auto"/>
          <w:sz w:val="22"/>
          <w:highlight w:val="none"/>
        </w:rPr>
      </w:pPr>
      <w:r>
        <w:rPr>
          <w:rFonts w:hint="eastAsia" w:ascii="宋体"/>
          <w:b/>
          <w:bCs/>
          <w:color w:val="auto"/>
          <w:sz w:val="22"/>
          <w:highlight w:val="none"/>
        </w:rPr>
        <w:t>法定代表人（签字或签章）</w:t>
      </w:r>
      <w:r>
        <w:rPr>
          <w:rFonts w:hint="eastAsia" w:ascii="宋体"/>
          <w:color w:val="auto"/>
          <w:sz w:val="22"/>
          <w:highlight w:val="none"/>
        </w:rPr>
        <w:t>：</w:t>
      </w:r>
    </w:p>
    <w:p>
      <w:pPr>
        <w:spacing w:line="460" w:lineRule="atLeast"/>
        <w:ind w:right="1120" w:firstLine="3078" w:firstLineChars="1350"/>
        <w:rPr>
          <w:rFonts w:ascii="宋体"/>
          <w:color w:val="auto"/>
          <w:sz w:val="22"/>
          <w:highlight w:val="none"/>
        </w:rPr>
      </w:pPr>
      <w:r>
        <w:rPr>
          <w:rFonts w:hint="eastAsia" w:ascii="宋体"/>
          <w:color w:val="auto"/>
          <w:sz w:val="22"/>
          <w:highlight w:val="none"/>
        </w:rPr>
        <w:t>投标供应商（盖章）</w:t>
      </w:r>
    </w:p>
    <w:p>
      <w:pPr>
        <w:spacing w:line="460" w:lineRule="atLeast"/>
        <w:ind w:right="1120" w:firstLine="3192" w:firstLineChars="1400"/>
        <w:rPr>
          <w:rFonts w:ascii="宋体" w:cs="宋体"/>
          <w:color w:val="auto"/>
          <w:szCs w:val="21"/>
          <w:highlight w:val="none"/>
        </w:rPr>
      </w:pPr>
      <w:r>
        <w:rPr>
          <w:rFonts w:hint="eastAsia" w:ascii="宋体"/>
          <w:color w:val="auto"/>
          <w:sz w:val="22"/>
          <w:highlight w:val="none"/>
        </w:rPr>
        <w:t>承诺书签署日期：   年 月 日</w:t>
      </w:r>
    </w:p>
    <w:p>
      <w:pPr>
        <w:spacing w:line="360" w:lineRule="exact"/>
        <w:jc w:val="left"/>
        <w:rPr>
          <w:color w:val="auto"/>
          <w:sz w:val="30"/>
          <w:highlight w:val="none"/>
        </w:rPr>
      </w:pPr>
      <w:r>
        <w:rPr>
          <w:rFonts w:hint="eastAsia" w:ascii="宋体"/>
          <w:bCs/>
          <w:color w:val="auto"/>
          <w:sz w:val="22"/>
          <w:highlight w:val="none"/>
          <w:u w:val="single"/>
        </w:rPr>
        <w:t>备注：</w:t>
      </w:r>
      <w:r>
        <w:rPr>
          <w:rFonts w:hint="eastAsia" w:ascii="仿宋" w:hAnsi="仿宋" w:eastAsia="仿宋"/>
          <w:bCs/>
          <w:color w:val="auto"/>
          <w:sz w:val="22"/>
          <w:highlight w:val="none"/>
          <w:u w:val="single"/>
        </w:rPr>
        <w:t>▲</w:t>
      </w:r>
      <w:r>
        <w:rPr>
          <w:rFonts w:hint="eastAsia" w:ascii="宋体"/>
          <w:bCs/>
          <w:color w:val="auto"/>
          <w:sz w:val="22"/>
          <w:highlight w:val="none"/>
          <w:u w:val="single"/>
        </w:rPr>
        <w:t>投标供应商必须提供本承诺书，不提供按无效投标处理。</w:t>
      </w:r>
    </w:p>
    <w:p>
      <w:pPr>
        <w:pStyle w:val="14"/>
        <w:spacing w:line="360" w:lineRule="exact"/>
        <w:jc w:val="center"/>
        <w:rPr>
          <w:rFonts w:hAnsi="宋体"/>
          <w:color w:val="auto"/>
          <w:sz w:val="32"/>
          <w:highlight w:val="none"/>
        </w:rPr>
      </w:pPr>
    </w:p>
    <w:p>
      <w:pPr>
        <w:spacing w:line="360" w:lineRule="exact"/>
        <w:jc w:val="left"/>
        <w:rPr>
          <w:color w:val="auto"/>
          <w:sz w:val="30"/>
          <w:highlight w:val="none"/>
        </w:rPr>
      </w:pPr>
    </w:p>
    <w:p>
      <w:pPr>
        <w:autoSpaceDE w:val="0"/>
        <w:autoSpaceDN w:val="0"/>
        <w:adjustRightInd w:val="0"/>
        <w:spacing w:line="360" w:lineRule="exact"/>
        <w:jc w:val="left"/>
        <w:rPr>
          <w:rFonts w:ascii="宋体"/>
          <w:color w:val="auto"/>
          <w:sz w:val="32"/>
          <w:highlight w:val="none"/>
          <w:lang w:val="zh-CN"/>
        </w:rPr>
      </w:pPr>
    </w:p>
    <w:p>
      <w:pPr>
        <w:pStyle w:val="14"/>
        <w:spacing w:line="360" w:lineRule="exact"/>
        <w:jc w:val="left"/>
        <w:rPr>
          <w:b/>
          <w:bCs/>
          <w:color w:val="auto"/>
          <w:sz w:val="32"/>
          <w:highlight w:val="none"/>
        </w:rPr>
      </w:pPr>
      <w:r>
        <w:rPr>
          <w:b/>
          <w:bCs/>
          <w:color w:val="auto"/>
          <w:sz w:val="32"/>
          <w:highlight w:val="none"/>
          <w:lang w:val="zh-CN"/>
        </w:rPr>
        <w:t>附件</w:t>
      </w:r>
      <w:r>
        <w:rPr>
          <w:rFonts w:hint="eastAsia"/>
          <w:b/>
          <w:bCs/>
          <w:color w:val="auto"/>
          <w:sz w:val="32"/>
          <w:highlight w:val="none"/>
        </w:rPr>
        <w:t>九</w:t>
      </w:r>
    </w:p>
    <w:p>
      <w:pPr>
        <w:pStyle w:val="14"/>
        <w:spacing w:line="360" w:lineRule="exact"/>
        <w:jc w:val="center"/>
        <w:rPr>
          <w:b/>
          <w:bCs/>
          <w:color w:val="auto"/>
          <w:sz w:val="32"/>
          <w:highlight w:val="none"/>
          <w:lang w:val="zh-CN"/>
        </w:rPr>
      </w:pPr>
      <w:bookmarkStart w:id="67" w:name="_Toc18541_WPSOffice_Level3"/>
      <w:r>
        <w:rPr>
          <w:b/>
          <w:bCs/>
          <w:color w:val="auto"/>
          <w:sz w:val="32"/>
          <w:highlight w:val="none"/>
          <w:lang w:val="zh-CN"/>
        </w:rPr>
        <w:t>（一）商务偏离表</w:t>
      </w:r>
      <w:bookmarkEnd w:id="67"/>
    </w:p>
    <w:p>
      <w:pPr>
        <w:autoSpaceDE w:val="0"/>
        <w:autoSpaceDN w:val="0"/>
        <w:adjustRightInd w:val="0"/>
        <w:spacing w:line="360" w:lineRule="exact"/>
        <w:jc w:val="center"/>
        <w:rPr>
          <w:rFonts w:ascii="宋体"/>
          <w:color w:val="auto"/>
          <w:sz w:val="32"/>
          <w:highlight w:val="none"/>
          <w:lang w:val="zh-CN"/>
        </w:rPr>
      </w:pPr>
    </w:p>
    <w:tbl>
      <w:tblPr>
        <w:tblStyle w:val="28"/>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rPr>
                <w:rFonts w:ascii="宋体"/>
                <w:color w:val="auto"/>
                <w:sz w:val="24"/>
                <w:highlight w:val="none"/>
              </w:rPr>
            </w:pPr>
            <w:r>
              <w:rPr>
                <w:rFonts w:hint="eastAsia" w:ascii="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color w:val="auto"/>
                <w:sz w:val="24"/>
                <w:highlight w:val="none"/>
                <w:lang w:val="zh-CN"/>
              </w:rPr>
            </w:pPr>
            <w:r>
              <w:rPr>
                <w:rFonts w:hint="eastAsia" w:ascii="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color w:val="auto"/>
                <w:sz w:val="24"/>
                <w:highlight w:val="none"/>
                <w:lang w:val="zh-CN"/>
              </w:rPr>
            </w:pPr>
            <w:r>
              <w:rPr>
                <w:rFonts w:hint="eastAsia" w:ascii="宋体"/>
                <w:color w:val="auto"/>
                <w:sz w:val="24"/>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color w:val="auto"/>
                <w:sz w:val="24"/>
                <w:highlight w:val="none"/>
                <w:lang w:val="zh-CN"/>
              </w:rPr>
            </w:pPr>
            <w:r>
              <w:rPr>
                <w:rFonts w:hint="eastAsia" w:ascii="宋体"/>
                <w:color w:val="auto"/>
                <w:sz w:val="24"/>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color w:val="auto"/>
                <w:sz w:val="24"/>
                <w:highlight w:val="none"/>
                <w:lang w:val="zh-CN"/>
              </w:rPr>
            </w:pPr>
            <w:r>
              <w:rPr>
                <w:rFonts w:hint="eastAsia" w:ascii="宋体"/>
                <w:color w:val="auto"/>
                <w:sz w:val="24"/>
                <w:highlight w:val="none"/>
                <w:lang w:val="zh-CN"/>
              </w:rPr>
              <w:t>备注</w:t>
            </w: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4"/>
                <w:highlight w:val="none"/>
                <w:lang w:val="zh-CN"/>
              </w:rPr>
            </w:pPr>
          </w:p>
        </w:tc>
      </w:tr>
    </w:tbl>
    <w:p>
      <w:pPr>
        <w:autoSpaceDE w:val="0"/>
        <w:autoSpaceDN w:val="0"/>
        <w:adjustRightInd w:val="0"/>
        <w:spacing w:line="360" w:lineRule="exact"/>
        <w:rPr>
          <w:rFonts w:ascii="宋体"/>
          <w:color w:val="auto"/>
          <w:sz w:val="24"/>
          <w:highlight w:val="none"/>
          <w:lang w:val="zh-CN"/>
        </w:rPr>
      </w:pPr>
      <w:r>
        <w:rPr>
          <w:rFonts w:hint="eastAsia" w:ascii="宋体"/>
          <w:color w:val="auto"/>
          <w:sz w:val="24"/>
          <w:highlight w:val="none"/>
          <w:lang w:val="zh-CN"/>
        </w:rPr>
        <w:t>供应商盖章：</w:t>
      </w:r>
    </w:p>
    <w:p>
      <w:pPr>
        <w:autoSpaceDE w:val="0"/>
        <w:autoSpaceDN w:val="0"/>
        <w:adjustRightInd w:val="0"/>
        <w:spacing w:line="360" w:lineRule="exact"/>
        <w:rPr>
          <w:rFonts w:ascii="宋体"/>
          <w:color w:val="auto"/>
          <w:sz w:val="32"/>
          <w:highlight w:val="none"/>
          <w:lang w:val="zh-CN"/>
        </w:rPr>
      </w:pPr>
    </w:p>
    <w:p>
      <w:pPr>
        <w:pStyle w:val="14"/>
        <w:spacing w:line="360" w:lineRule="exact"/>
        <w:jc w:val="center"/>
        <w:rPr>
          <w:b/>
          <w:bCs/>
          <w:color w:val="auto"/>
          <w:sz w:val="32"/>
          <w:highlight w:val="none"/>
          <w:lang w:val="zh-CN"/>
        </w:rPr>
      </w:pPr>
      <w:bookmarkStart w:id="68" w:name="_Toc4031_WPSOffice_Level3"/>
      <w:r>
        <w:rPr>
          <w:b/>
          <w:bCs/>
          <w:color w:val="auto"/>
          <w:sz w:val="32"/>
          <w:highlight w:val="none"/>
          <w:lang w:val="zh-CN"/>
        </w:rPr>
        <w:t>（二）技术偏离表</w:t>
      </w:r>
      <w:bookmarkEnd w:id="68"/>
    </w:p>
    <w:tbl>
      <w:tblPr>
        <w:tblStyle w:val="28"/>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color w:val="auto"/>
                <w:sz w:val="22"/>
                <w:highlight w:val="none"/>
                <w:lang w:val="zh-CN"/>
              </w:rPr>
            </w:pPr>
            <w:r>
              <w:rPr>
                <w:rFonts w:hint="eastAsia" w:ascii="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color w:val="auto"/>
                <w:sz w:val="22"/>
                <w:highlight w:val="none"/>
                <w:lang w:val="zh-CN"/>
              </w:rPr>
            </w:pPr>
            <w:r>
              <w:rPr>
                <w:rFonts w:hint="eastAsia" w:ascii="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color w:val="auto"/>
                <w:sz w:val="22"/>
                <w:highlight w:val="none"/>
                <w:lang w:val="zh-CN"/>
              </w:rPr>
            </w:pPr>
            <w:r>
              <w:rPr>
                <w:rFonts w:hint="eastAsia" w:ascii="宋体"/>
                <w:color w:val="auto"/>
                <w:sz w:val="22"/>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color w:val="auto"/>
                <w:sz w:val="22"/>
                <w:highlight w:val="none"/>
                <w:lang w:val="zh-CN"/>
              </w:rPr>
            </w:pPr>
            <w:r>
              <w:rPr>
                <w:rFonts w:hint="eastAsia" w:ascii="宋体"/>
                <w:color w:val="auto"/>
                <w:sz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color w:val="auto"/>
                <w:sz w:val="22"/>
                <w:highlight w:val="none"/>
                <w:lang w:val="zh-CN"/>
              </w:rPr>
            </w:pPr>
            <w:r>
              <w:rPr>
                <w:rFonts w:hint="eastAsia" w:ascii="宋体"/>
                <w:color w:val="auto"/>
                <w:sz w:val="22"/>
                <w:highlight w:val="none"/>
                <w:lang w:val="zh-CN"/>
              </w:rPr>
              <w:t>备注</w:t>
            </w: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r>
      <w:t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r>
      <w:t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r>
      <w:t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r>
      <w:t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r>
      <w:t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color w:val="auto"/>
                <w:sz w:val="22"/>
                <w:highlight w:val="none"/>
                <w:lang w:val="zh-CN"/>
              </w:rPr>
            </w:pPr>
          </w:p>
        </w:tc>
      </w:tr>
    </w:tbl>
    <w:p>
      <w:pPr>
        <w:spacing w:line="360" w:lineRule="exact"/>
        <w:rPr>
          <w:rFonts w:ascii="宋体"/>
          <w:color w:val="auto"/>
          <w:spacing w:val="20"/>
          <w:sz w:val="22"/>
          <w:highlight w:val="none"/>
        </w:rPr>
      </w:pPr>
      <w:r>
        <w:rPr>
          <w:rFonts w:hint="eastAsia" w:ascii="宋体"/>
          <w:color w:val="auto"/>
          <w:sz w:val="22"/>
          <w:highlight w:val="none"/>
          <w:lang w:val="zh-CN"/>
        </w:rPr>
        <w:t>供应商盖章：</w:t>
      </w:r>
    </w:p>
    <w:p>
      <w:pPr>
        <w:rPr>
          <w:color w:val="auto"/>
          <w:highlight w:val="none"/>
        </w:rPr>
      </w:pPr>
      <w:bookmarkStart w:id="69" w:name="_Toc30988_WPSOffice_Level2"/>
      <w:r>
        <w:rPr>
          <w:rFonts w:hint="eastAsia"/>
          <w:color w:val="auto"/>
          <w:highlight w:val="none"/>
        </w:rPr>
        <w:t>备注：表格可以延续</w:t>
      </w:r>
      <w:bookmarkEnd w:id="69"/>
    </w:p>
    <w:p>
      <w:pPr>
        <w:pStyle w:val="14"/>
        <w:spacing w:line="360" w:lineRule="exact"/>
        <w:rPr>
          <w:rFonts w:hAnsi="宋体"/>
          <w:color w:val="auto"/>
          <w:sz w:val="22"/>
          <w:highlight w:val="none"/>
        </w:rPr>
      </w:pPr>
    </w:p>
    <w:p>
      <w:pPr>
        <w:rPr>
          <w:rFonts w:ascii="宋体"/>
          <w:b/>
          <w:bCs/>
          <w:color w:val="auto"/>
          <w:sz w:val="32"/>
          <w:szCs w:val="32"/>
          <w:highlight w:val="none"/>
        </w:rPr>
        <w:sectPr>
          <w:pgSz w:w="11906" w:h="16838"/>
          <w:pgMar w:top="1440" w:right="1247" w:bottom="1440" w:left="1247" w:header="851" w:footer="992" w:gutter="0"/>
          <w:cols w:space="0" w:num="1"/>
          <w:titlePg/>
          <w:docGrid w:type="linesAndChars" w:linePitch="313" w:charSpace="1819"/>
        </w:sectPr>
      </w:pPr>
    </w:p>
    <w:p>
      <w:pPr>
        <w:pStyle w:val="2"/>
        <w:rPr>
          <w:color w:val="auto"/>
          <w:highlight w:val="none"/>
        </w:rPr>
      </w:pPr>
    </w:p>
    <w:p>
      <w:pPr>
        <w:pStyle w:val="14"/>
        <w:spacing w:line="360" w:lineRule="exact"/>
        <w:rPr>
          <w:rFonts w:hAnsi="宋体"/>
          <w:b/>
          <w:bCs/>
          <w:color w:val="auto"/>
          <w:sz w:val="32"/>
          <w:szCs w:val="32"/>
          <w:highlight w:val="none"/>
        </w:rPr>
      </w:pPr>
      <w:r>
        <w:rPr>
          <w:rFonts w:hint="eastAsia" w:hAnsi="宋体"/>
          <w:b/>
          <w:bCs/>
          <w:color w:val="auto"/>
          <w:sz w:val="32"/>
          <w:szCs w:val="32"/>
          <w:highlight w:val="none"/>
        </w:rPr>
        <w:t>附件十</w:t>
      </w:r>
    </w:p>
    <w:p>
      <w:pPr>
        <w:spacing w:line="360" w:lineRule="exact"/>
        <w:jc w:val="center"/>
        <w:rPr>
          <w:rFonts w:ascii="宋体"/>
          <w:b/>
          <w:bCs/>
          <w:color w:val="auto"/>
          <w:sz w:val="32"/>
          <w:szCs w:val="32"/>
          <w:highlight w:val="none"/>
          <w:lang w:val="zh-CN"/>
        </w:rPr>
      </w:pPr>
      <w:r>
        <w:rPr>
          <w:rFonts w:hint="eastAsia" w:ascii="宋体"/>
          <w:b/>
          <w:bCs/>
          <w:color w:val="auto"/>
          <w:sz w:val="32"/>
          <w:szCs w:val="32"/>
          <w:highlight w:val="none"/>
          <w:lang w:val="zh-CN"/>
        </w:rPr>
        <w:t>针对本项目配备的</w:t>
      </w:r>
      <w:r>
        <w:rPr>
          <w:rFonts w:hint="eastAsia" w:ascii="宋体"/>
          <w:b/>
          <w:bCs/>
          <w:color w:val="auto"/>
          <w:sz w:val="32"/>
          <w:szCs w:val="32"/>
          <w:highlight w:val="none"/>
        </w:rPr>
        <w:t>设备及车辆</w:t>
      </w:r>
      <w:r>
        <w:rPr>
          <w:rFonts w:hint="eastAsia" w:ascii="宋体"/>
          <w:b/>
          <w:bCs/>
          <w:color w:val="auto"/>
          <w:sz w:val="32"/>
          <w:szCs w:val="32"/>
          <w:highlight w:val="none"/>
          <w:lang w:val="zh-CN"/>
        </w:rPr>
        <w:t>清单</w:t>
      </w:r>
    </w:p>
    <w:p>
      <w:pPr>
        <w:spacing w:line="360" w:lineRule="exact"/>
        <w:rPr>
          <w:rFonts w:hint="eastAsia" w:ascii="宋体" w:eastAsia="宋体" w:cs="楷体_GB2312"/>
          <w:color w:val="auto"/>
          <w:spacing w:val="20"/>
          <w:sz w:val="22"/>
          <w:highlight w:val="none"/>
          <w:u w:val="single"/>
          <w:lang w:eastAsia="zh-CN"/>
        </w:rPr>
      </w:pPr>
      <w:r>
        <w:rPr>
          <w:rFonts w:hint="eastAsia" w:ascii="宋体"/>
          <w:color w:val="auto"/>
          <w:spacing w:val="20"/>
          <w:sz w:val="22"/>
          <w:highlight w:val="none"/>
        </w:rPr>
        <w:t>项目名称：</w:t>
      </w:r>
      <w:r>
        <w:rPr>
          <w:rFonts w:hint="eastAsia" w:hAnsi="宋体"/>
          <w:color w:val="auto"/>
          <w:sz w:val="22"/>
          <w:highlight w:val="none"/>
          <w:u w:val="single"/>
        </w:rPr>
        <w:t>泰顺县城区生活垃圾再生资源回收利用采购项目</w:t>
      </w:r>
      <w:r>
        <w:rPr>
          <w:rFonts w:hint="eastAsia" w:ascii="宋体" w:cs="楷体_GB2312"/>
          <w:color w:val="auto"/>
          <w:sz w:val="22"/>
          <w:highlight w:val="none"/>
        </w:rPr>
        <w:t xml:space="preserve">               </w:t>
      </w:r>
      <w:r>
        <w:rPr>
          <w:rFonts w:hint="eastAsia" w:ascii="宋体"/>
          <w:color w:val="auto"/>
          <w:spacing w:val="20"/>
          <w:sz w:val="22"/>
          <w:highlight w:val="none"/>
        </w:rPr>
        <w:t>采购编号：</w:t>
      </w:r>
      <w:r>
        <w:rPr>
          <w:rFonts w:hint="eastAsia" w:ascii="宋体" w:cs="楷体_GB2312"/>
          <w:color w:val="auto"/>
          <w:sz w:val="22"/>
          <w:highlight w:val="none"/>
          <w:u w:val="single"/>
          <w:lang w:eastAsia="zh-CN"/>
        </w:rPr>
        <w:t>TSCG202302002</w:t>
      </w:r>
    </w:p>
    <w:tbl>
      <w:tblPr>
        <w:tblStyle w:val="28"/>
        <w:tblW w:w="1495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855"/>
        <w:gridCol w:w="1636"/>
        <w:gridCol w:w="19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序号</w:t>
            </w:r>
          </w:p>
        </w:tc>
        <w:tc>
          <w:tcPr>
            <w:tcW w:w="2171" w:type="dxa"/>
            <w:tcBorders>
              <w:top w:val="double" w:color="auto" w:sz="4" w:space="0"/>
            </w:tcBorders>
            <w:vAlign w:val="center"/>
          </w:tcPr>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名称</w:t>
            </w:r>
          </w:p>
        </w:tc>
        <w:tc>
          <w:tcPr>
            <w:tcW w:w="1687" w:type="dxa"/>
            <w:tcBorders>
              <w:top w:val="double" w:color="auto" w:sz="4" w:space="0"/>
            </w:tcBorders>
            <w:vAlign w:val="center"/>
          </w:tcPr>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型号</w:t>
            </w:r>
          </w:p>
        </w:tc>
        <w:tc>
          <w:tcPr>
            <w:tcW w:w="1580" w:type="dxa"/>
            <w:tcBorders>
              <w:top w:val="double" w:color="auto" w:sz="4" w:space="0"/>
            </w:tcBorders>
            <w:vAlign w:val="center"/>
          </w:tcPr>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品牌、产地</w:t>
            </w:r>
          </w:p>
        </w:tc>
        <w:tc>
          <w:tcPr>
            <w:tcW w:w="2984" w:type="dxa"/>
            <w:tcBorders>
              <w:top w:val="double" w:color="auto" w:sz="4" w:space="0"/>
            </w:tcBorders>
            <w:vAlign w:val="center"/>
          </w:tcPr>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主要规格</w:t>
            </w:r>
          </w:p>
        </w:tc>
        <w:tc>
          <w:tcPr>
            <w:tcW w:w="855" w:type="dxa"/>
            <w:tcBorders>
              <w:top w:val="double" w:color="auto" w:sz="4" w:space="0"/>
            </w:tcBorders>
            <w:vAlign w:val="center"/>
          </w:tcPr>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单位</w:t>
            </w:r>
          </w:p>
        </w:tc>
        <w:tc>
          <w:tcPr>
            <w:tcW w:w="855" w:type="dxa"/>
            <w:tcBorders>
              <w:top w:val="double" w:color="auto" w:sz="4" w:space="0"/>
            </w:tcBorders>
            <w:vAlign w:val="center"/>
          </w:tcPr>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数量</w:t>
            </w:r>
          </w:p>
        </w:tc>
        <w:tc>
          <w:tcPr>
            <w:tcW w:w="1636" w:type="dxa"/>
            <w:tcBorders>
              <w:top w:val="double" w:color="auto" w:sz="4" w:space="0"/>
              <w:right w:val="single" w:color="auto" w:sz="4" w:space="0"/>
            </w:tcBorders>
            <w:vAlign w:val="center"/>
          </w:tcPr>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备注</w:t>
            </w:r>
          </w:p>
        </w:tc>
        <w:tc>
          <w:tcPr>
            <w:tcW w:w="1916" w:type="dxa"/>
            <w:tcBorders>
              <w:top w:val="double" w:color="auto" w:sz="4" w:space="0"/>
              <w:left w:val="single" w:color="auto" w:sz="4" w:space="0"/>
            </w:tcBorders>
            <w:vAlign w:val="center"/>
          </w:tcPr>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实物图片</w:t>
            </w:r>
          </w:p>
          <w:p>
            <w:pPr>
              <w:adjustRightInd w:val="0"/>
              <w:snapToGrid w:val="0"/>
              <w:spacing w:line="460" w:lineRule="atLeast"/>
              <w:jc w:val="center"/>
              <w:rPr>
                <w:rFonts w:ascii="宋体"/>
                <w:color w:val="auto"/>
                <w:spacing w:val="20"/>
                <w:sz w:val="22"/>
                <w:highlight w:val="none"/>
              </w:rPr>
            </w:pPr>
            <w:r>
              <w:rPr>
                <w:rFonts w:hint="eastAsia" w:ascii="宋体"/>
                <w:color w:val="auto"/>
                <w:spacing w:val="20"/>
                <w:sz w:val="22"/>
                <w:highlight w:val="none"/>
              </w:rPr>
              <w:t>（如有）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color w:val="auto"/>
                <w:spacing w:val="20"/>
                <w:sz w:val="22"/>
                <w:highlight w:val="none"/>
              </w:rPr>
            </w:pPr>
          </w:p>
        </w:tc>
        <w:tc>
          <w:tcPr>
            <w:tcW w:w="2171" w:type="dxa"/>
            <w:vAlign w:val="center"/>
          </w:tcPr>
          <w:p>
            <w:pPr>
              <w:adjustRightInd w:val="0"/>
              <w:snapToGrid w:val="0"/>
              <w:spacing w:line="460" w:lineRule="atLeast"/>
              <w:jc w:val="center"/>
              <w:rPr>
                <w:rFonts w:ascii="宋体"/>
                <w:color w:val="auto"/>
                <w:spacing w:val="20"/>
                <w:sz w:val="22"/>
                <w:highlight w:val="none"/>
              </w:rPr>
            </w:pPr>
          </w:p>
        </w:tc>
        <w:tc>
          <w:tcPr>
            <w:tcW w:w="1687" w:type="dxa"/>
            <w:vAlign w:val="center"/>
          </w:tcPr>
          <w:p>
            <w:pPr>
              <w:adjustRightInd w:val="0"/>
              <w:snapToGrid w:val="0"/>
              <w:spacing w:line="460" w:lineRule="atLeast"/>
              <w:jc w:val="center"/>
              <w:rPr>
                <w:rFonts w:ascii="宋体"/>
                <w:color w:val="auto"/>
                <w:spacing w:val="20"/>
                <w:sz w:val="22"/>
                <w:highlight w:val="none"/>
              </w:rPr>
            </w:pPr>
          </w:p>
        </w:tc>
        <w:tc>
          <w:tcPr>
            <w:tcW w:w="1580" w:type="dxa"/>
            <w:vAlign w:val="center"/>
          </w:tcPr>
          <w:p>
            <w:pPr>
              <w:adjustRightInd w:val="0"/>
              <w:snapToGrid w:val="0"/>
              <w:spacing w:line="460" w:lineRule="atLeast"/>
              <w:jc w:val="center"/>
              <w:rPr>
                <w:rFonts w:ascii="宋体"/>
                <w:color w:val="auto"/>
                <w:spacing w:val="20"/>
                <w:sz w:val="22"/>
                <w:highlight w:val="none"/>
              </w:rPr>
            </w:pPr>
          </w:p>
        </w:tc>
        <w:tc>
          <w:tcPr>
            <w:tcW w:w="2984"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color w:val="auto"/>
                <w:spacing w:val="20"/>
                <w:sz w:val="22"/>
                <w:highlight w:val="none"/>
              </w:rPr>
            </w:pPr>
          </w:p>
        </w:tc>
        <w:tc>
          <w:tcPr>
            <w:tcW w:w="2171" w:type="dxa"/>
            <w:vAlign w:val="center"/>
          </w:tcPr>
          <w:p>
            <w:pPr>
              <w:adjustRightInd w:val="0"/>
              <w:snapToGrid w:val="0"/>
              <w:spacing w:line="460" w:lineRule="atLeast"/>
              <w:jc w:val="center"/>
              <w:rPr>
                <w:rFonts w:ascii="宋体"/>
                <w:color w:val="auto"/>
                <w:spacing w:val="20"/>
                <w:sz w:val="22"/>
                <w:highlight w:val="none"/>
              </w:rPr>
            </w:pPr>
          </w:p>
        </w:tc>
        <w:tc>
          <w:tcPr>
            <w:tcW w:w="1687" w:type="dxa"/>
            <w:vAlign w:val="center"/>
          </w:tcPr>
          <w:p>
            <w:pPr>
              <w:adjustRightInd w:val="0"/>
              <w:snapToGrid w:val="0"/>
              <w:spacing w:line="460" w:lineRule="atLeast"/>
              <w:jc w:val="center"/>
              <w:rPr>
                <w:rFonts w:ascii="宋体"/>
                <w:color w:val="auto"/>
                <w:spacing w:val="20"/>
                <w:sz w:val="22"/>
                <w:highlight w:val="none"/>
              </w:rPr>
            </w:pPr>
          </w:p>
        </w:tc>
        <w:tc>
          <w:tcPr>
            <w:tcW w:w="1580" w:type="dxa"/>
            <w:vAlign w:val="center"/>
          </w:tcPr>
          <w:p>
            <w:pPr>
              <w:adjustRightInd w:val="0"/>
              <w:snapToGrid w:val="0"/>
              <w:spacing w:line="460" w:lineRule="atLeast"/>
              <w:jc w:val="center"/>
              <w:rPr>
                <w:rFonts w:ascii="宋体"/>
                <w:color w:val="auto"/>
                <w:spacing w:val="20"/>
                <w:sz w:val="22"/>
                <w:highlight w:val="none"/>
              </w:rPr>
            </w:pPr>
          </w:p>
        </w:tc>
        <w:tc>
          <w:tcPr>
            <w:tcW w:w="2984"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color w:val="auto"/>
                <w:spacing w:val="20"/>
                <w:sz w:val="22"/>
                <w:highlight w:val="none"/>
              </w:rPr>
            </w:pPr>
          </w:p>
        </w:tc>
        <w:tc>
          <w:tcPr>
            <w:tcW w:w="2171" w:type="dxa"/>
            <w:vAlign w:val="center"/>
          </w:tcPr>
          <w:p>
            <w:pPr>
              <w:adjustRightInd w:val="0"/>
              <w:snapToGrid w:val="0"/>
              <w:spacing w:line="460" w:lineRule="atLeast"/>
              <w:jc w:val="center"/>
              <w:rPr>
                <w:rFonts w:ascii="宋体"/>
                <w:color w:val="auto"/>
                <w:spacing w:val="20"/>
                <w:sz w:val="22"/>
                <w:highlight w:val="none"/>
              </w:rPr>
            </w:pPr>
          </w:p>
        </w:tc>
        <w:tc>
          <w:tcPr>
            <w:tcW w:w="1687" w:type="dxa"/>
            <w:vAlign w:val="center"/>
          </w:tcPr>
          <w:p>
            <w:pPr>
              <w:adjustRightInd w:val="0"/>
              <w:snapToGrid w:val="0"/>
              <w:spacing w:line="460" w:lineRule="atLeast"/>
              <w:jc w:val="center"/>
              <w:rPr>
                <w:rFonts w:ascii="宋体"/>
                <w:color w:val="auto"/>
                <w:spacing w:val="20"/>
                <w:sz w:val="22"/>
                <w:highlight w:val="none"/>
              </w:rPr>
            </w:pPr>
          </w:p>
        </w:tc>
        <w:tc>
          <w:tcPr>
            <w:tcW w:w="1580" w:type="dxa"/>
            <w:vAlign w:val="center"/>
          </w:tcPr>
          <w:p>
            <w:pPr>
              <w:adjustRightInd w:val="0"/>
              <w:snapToGrid w:val="0"/>
              <w:spacing w:line="460" w:lineRule="atLeast"/>
              <w:jc w:val="center"/>
              <w:rPr>
                <w:rFonts w:ascii="宋体"/>
                <w:color w:val="auto"/>
                <w:spacing w:val="20"/>
                <w:sz w:val="22"/>
                <w:highlight w:val="none"/>
              </w:rPr>
            </w:pPr>
          </w:p>
        </w:tc>
        <w:tc>
          <w:tcPr>
            <w:tcW w:w="2984"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color w:val="auto"/>
                <w:spacing w:val="20"/>
                <w:sz w:val="22"/>
                <w:highlight w:val="none"/>
              </w:rPr>
            </w:pPr>
          </w:p>
        </w:tc>
        <w:tc>
          <w:tcPr>
            <w:tcW w:w="2171" w:type="dxa"/>
            <w:vAlign w:val="center"/>
          </w:tcPr>
          <w:p>
            <w:pPr>
              <w:adjustRightInd w:val="0"/>
              <w:snapToGrid w:val="0"/>
              <w:spacing w:line="460" w:lineRule="atLeast"/>
              <w:jc w:val="center"/>
              <w:rPr>
                <w:rFonts w:ascii="宋体"/>
                <w:color w:val="auto"/>
                <w:spacing w:val="20"/>
                <w:sz w:val="22"/>
                <w:highlight w:val="none"/>
              </w:rPr>
            </w:pPr>
          </w:p>
        </w:tc>
        <w:tc>
          <w:tcPr>
            <w:tcW w:w="1687" w:type="dxa"/>
            <w:vAlign w:val="center"/>
          </w:tcPr>
          <w:p>
            <w:pPr>
              <w:adjustRightInd w:val="0"/>
              <w:snapToGrid w:val="0"/>
              <w:spacing w:line="460" w:lineRule="atLeast"/>
              <w:jc w:val="center"/>
              <w:rPr>
                <w:rFonts w:ascii="宋体"/>
                <w:color w:val="auto"/>
                <w:spacing w:val="20"/>
                <w:sz w:val="22"/>
                <w:highlight w:val="none"/>
              </w:rPr>
            </w:pPr>
          </w:p>
        </w:tc>
        <w:tc>
          <w:tcPr>
            <w:tcW w:w="1580" w:type="dxa"/>
            <w:vAlign w:val="center"/>
          </w:tcPr>
          <w:p>
            <w:pPr>
              <w:adjustRightInd w:val="0"/>
              <w:snapToGrid w:val="0"/>
              <w:spacing w:line="460" w:lineRule="atLeast"/>
              <w:jc w:val="center"/>
              <w:rPr>
                <w:rFonts w:ascii="宋体"/>
                <w:color w:val="auto"/>
                <w:spacing w:val="20"/>
                <w:sz w:val="22"/>
                <w:highlight w:val="none"/>
              </w:rPr>
            </w:pPr>
          </w:p>
        </w:tc>
        <w:tc>
          <w:tcPr>
            <w:tcW w:w="2984"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color w:val="auto"/>
                <w:spacing w:val="20"/>
                <w:sz w:val="22"/>
                <w:highlight w:val="none"/>
              </w:rPr>
            </w:pPr>
          </w:p>
        </w:tc>
        <w:tc>
          <w:tcPr>
            <w:tcW w:w="2171" w:type="dxa"/>
            <w:vAlign w:val="center"/>
          </w:tcPr>
          <w:p>
            <w:pPr>
              <w:adjustRightInd w:val="0"/>
              <w:snapToGrid w:val="0"/>
              <w:spacing w:line="460" w:lineRule="atLeast"/>
              <w:jc w:val="center"/>
              <w:rPr>
                <w:rFonts w:ascii="宋体"/>
                <w:color w:val="auto"/>
                <w:spacing w:val="20"/>
                <w:sz w:val="22"/>
                <w:highlight w:val="none"/>
              </w:rPr>
            </w:pPr>
          </w:p>
        </w:tc>
        <w:tc>
          <w:tcPr>
            <w:tcW w:w="1687" w:type="dxa"/>
            <w:vAlign w:val="center"/>
          </w:tcPr>
          <w:p>
            <w:pPr>
              <w:adjustRightInd w:val="0"/>
              <w:snapToGrid w:val="0"/>
              <w:spacing w:line="460" w:lineRule="atLeast"/>
              <w:jc w:val="center"/>
              <w:rPr>
                <w:rFonts w:ascii="宋体"/>
                <w:color w:val="auto"/>
                <w:spacing w:val="20"/>
                <w:sz w:val="22"/>
                <w:highlight w:val="none"/>
              </w:rPr>
            </w:pPr>
          </w:p>
        </w:tc>
        <w:tc>
          <w:tcPr>
            <w:tcW w:w="1580" w:type="dxa"/>
            <w:vAlign w:val="center"/>
          </w:tcPr>
          <w:p>
            <w:pPr>
              <w:adjustRightInd w:val="0"/>
              <w:snapToGrid w:val="0"/>
              <w:spacing w:line="460" w:lineRule="atLeast"/>
              <w:jc w:val="center"/>
              <w:rPr>
                <w:rFonts w:ascii="宋体"/>
                <w:color w:val="auto"/>
                <w:spacing w:val="20"/>
                <w:sz w:val="22"/>
                <w:highlight w:val="none"/>
              </w:rPr>
            </w:pPr>
          </w:p>
        </w:tc>
        <w:tc>
          <w:tcPr>
            <w:tcW w:w="2984"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color w:val="auto"/>
                <w:spacing w:val="20"/>
                <w:sz w:val="22"/>
                <w:highlight w:val="none"/>
              </w:rPr>
            </w:pPr>
          </w:p>
        </w:tc>
        <w:tc>
          <w:tcPr>
            <w:tcW w:w="2171" w:type="dxa"/>
            <w:vAlign w:val="center"/>
          </w:tcPr>
          <w:p>
            <w:pPr>
              <w:adjustRightInd w:val="0"/>
              <w:snapToGrid w:val="0"/>
              <w:spacing w:line="460" w:lineRule="atLeast"/>
              <w:jc w:val="center"/>
              <w:rPr>
                <w:rFonts w:ascii="宋体"/>
                <w:color w:val="auto"/>
                <w:spacing w:val="20"/>
                <w:sz w:val="22"/>
                <w:highlight w:val="none"/>
              </w:rPr>
            </w:pPr>
          </w:p>
        </w:tc>
        <w:tc>
          <w:tcPr>
            <w:tcW w:w="1687" w:type="dxa"/>
            <w:vAlign w:val="center"/>
          </w:tcPr>
          <w:p>
            <w:pPr>
              <w:adjustRightInd w:val="0"/>
              <w:snapToGrid w:val="0"/>
              <w:spacing w:line="460" w:lineRule="atLeast"/>
              <w:jc w:val="center"/>
              <w:rPr>
                <w:rFonts w:ascii="宋体"/>
                <w:color w:val="auto"/>
                <w:spacing w:val="20"/>
                <w:sz w:val="22"/>
                <w:highlight w:val="none"/>
              </w:rPr>
            </w:pPr>
          </w:p>
        </w:tc>
        <w:tc>
          <w:tcPr>
            <w:tcW w:w="1580" w:type="dxa"/>
            <w:vAlign w:val="center"/>
          </w:tcPr>
          <w:p>
            <w:pPr>
              <w:adjustRightInd w:val="0"/>
              <w:snapToGrid w:val="0"/>
              <w:spacing w:line="460" w:lineRule="atLeast"/>
              <w:jc w:val="center"/>
              <w:rPr>
                <w:rFonts w:ascii="宋体"/>
                <w:color w:val="auto"/>
                <w:spacing w:val="20"/>
                <w:sz w:val="22"/>
                <w:highlight w:val="none"/>
              </w:rPr>
            </w:pPr>
          </w:p>
        </w:tc>
        <w:tc>
          <w:tcPr>
            <w:tcW w:w="2984"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color w:val="auto"/>
                <w:spacing w:val="20"/>
                <w:sz w:val="22"/>
                <w:highlight w:val="none"/>
              </w:rPr>
            </w:pPr>
          </w:p>
        </w:tc>
        <w:tc>
          <w:tcPr>
            <w:tcW w:w="2171" w:type="dxa"/>
            <w:vAlign w:val="center"/>
          </w:tcPr>
          <w:p>
            <w:pPr>
              <w:adjustRightInd w:val="0"/>
              <w:snapToGrid w:val="0"/>
              <w:spacing w:line="460" w:lineRule="atLeast"/>
              <w:jc w:val="center"/>
              <w:rPr>
                <w:rFonts w:ascii="宋体"/>
                <w:color w:val="auto"/>
                <w:spacing w:val="20"/>
                <w:sz w:val="22"/>
                <w:highlight w:val="none"/>
              </w:rPr>
            </w:pPr>
          </w:p>
        </w:tc>
        <w:tc>
          <w:tcPr>
            <w:tcW w:w="1687" w:type="dxa"/>
            <w:vAlign w:val="center"/>
          </w:tcPr>
          <w:p>
            <w:pPr>
              <w:adjustRightInd w:val="0"/>
              <w:snapToGrid w:val="0"/>
              <w:spacing w:line="460" w:lineRule="atLeast"/>
              <w:jc w:val="center"/>
              <w:rPr>
                <w:rFonts w:ascii="宋体"/>
                <w:color w:val="auto"/>
                <w:spacing w:val="20"/>
                <w:sz w:val="22"/>
                <w:highlight w:val="none"/>
              </w:rPr>
            </w:pPr>
          </w:p>
        </w:tc>
        <w:tc>
          <w:tcPr>
            <w:tcW w:w="1580" w:type="dxa"/>
            <w:vAlign w:val="center"/>
          </w:tcPr>
          <w:p>
            <w:pPr>
              <w:adjustRightInd w:val="0"/>
              <w:snapToGrid w:val="0"/>
              <w:spacing w:line="460" w:lineRule="atLeast"/>
              <w:jc w:val="center"/>
              <w:rPr>
                <w:rFonts w:ascii="宋体"/>
                <w:color w:val="auto"/>
                <w:spacing w:val="20"/>
                <w:sz w:val="22"/>
                <w:highlight w:val="none"/>
              </w:rPr>
            </w:pPr>
          </w:p>
        </w:tc>
        <w:tc>
          <w:tcPr>
            <w:tcW w:w="2984"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color w:val="auto"/>
                <w:spacing w:val="20"/>
                <w:sz w:val="22"/>
                <w:highlight w:val="none"/>
              </w:rPr>
            </w:pPr>
          </w:p>
        </w:tc>
        <w:tc>
          <w:tcPr>
            <w:tcW w:w="2171" w:type="dxa"/>
            <w:vAlign w:val="center"/>
          </w:tcPr>
          <w:p>
            <w:pPr>
              <w:adjustRightInd w:val="0"/>
              <w:snapToGrid w:val="0"/>
              <w:spacing w:line="460" w:lineRule="atLeast"/>
              <w:jc w:val="center"/>
              <w:rPr>
                <w:rFonts w:ascii="宋体"/>
                <w:color w:val="auto"/>
                <w:spacing w:val="20"/>
                <w:sz w:val="22"/>
                <w:highlight w:val="none"/>
              </w:rPr>
            </w:pPr>
          </w:p>
        </w:tc>
        <w:tc>
          <w:tcPr>
            <w:tcW w:w="1687" w:type="dxa"/>
            <w:vAlign w:val="center"/>
          </w:tcPr>
          <w:p>
            <w:pPr>
              <w:adjustRightInd w:val="0"/>
              <w:snapToGrid w:val="0"/>
              <w:spacing w:line="460" w:lineRule="atLeast"/>
              <w:jc w:val="center"/>
              <w:rPr>
                <w:rFonts w:ascii="宋体"/>
                <w:color w:val="auto"/>
                <w:spacing w:val="20"/>
                <w:sz w:val="22"/>
                <w:highlight w:val="none"/>
              </w:rPr>
            </w:pPr>
          </w:p>
        </w:tc>
        <w:tc>
          <w:tcPr>
            <w:tcW w:w="1580" w:type="dxa"/>
            <w:vAlign w:val="center"/>
          </w:tcPr>
          <w:p>
            <w:pPr>
              <w:adjustRightInd w:val="0"/>
              <w:snapToGrid w:val="0"/>
              <w:spacing w:line="460" w:lineRule="atLeast"/>
              <w:jc w:val="center"/>
              <w:rPr>
                <w:rFonts w:ascii="宋体"/>
                <w:color w:val="auto"/>
                <w:spacing w:val="20"/>
                <w:sz w:val="22"/>
                <w:highlight w:val="none"/>
              </w:rPr>
            </w:pPr>
          </w:p>
        </w:tc>
        <w:tc>
          <w:tcPr>
            <w:tcW w:w="2984"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color w:val="auto"/>
                <w:spacing w:val="20"/>
                <w:sz w:val="22"/>
                <w:highlight w:val="none"/>
              </w:rPr>
            </w:pPr>
          </w:p>
        </w:tc>
        <w:tc>
          <w:tcPr>
            <w:tcW w:w="2171" w:type="dxa"/>
            <w:vAlign w:val="center"/>
          </w:tcPr>
          <w:p>
            <w:pPr>
              <w:adjustRightInd w:val="0"/>
              <w:snapToGrid w:val="0"/>
              <w:spacing w:line="460" w:lineRule="atLeast"/>
              <w:jc w:val="center"/>
              <w:rPr>
                <w:rFonts w:ascii="宋体"/>
                <w:color w:val="auto"/>
                <w:spacing w:val="20"/>
                <w:sz w:val="22"/>
                <w:highlight w:val="none"/>
              </w:rPr>
            </w:pPr>
          </w:p>
        </w:tc>
        <w:tc>
          <w:tcPr>
            <w:tcW w:w="1687" w:type="dxa"/>
            <w:vAlign w:val="center"/>
          </w:tcPr>
          <w:p>
            <w:pPr>
              <w:adjustRightInd w:val="0"/>
              <w:snapToGrid w:val="0"/>
              <w:spacing w:line="460" w:lineRule="atLeast"/>
              <w:jc w:val="center"/>
              <w:rPr>
                <w:rFonts w:ascii="宋体"/>
                <w:color w:val="auto"/>
                <w:spacing w:val="20"/>
                <w:sz w:val="22"/>
                <w:highlight w:val="none"/>
              </w:rPr>
            </w:pPr>
          </w:p>
        </w:tc>
        <w:tc>
          <w:tcPr>
            <w:tcW w:w="1580" w:type="dxa"/>
            <w:vAlign w:val="center"/>
          </w:tcPr>
          <w:p>
            <w:pPr>
              <w:adjustRightInd w:val="0"/>
              <w:snapToGrid w:val="0"/>
              <w:spacing w:line="460" w:lineRule="atLeast"/>
              <w:jc w:val="center"/>
              <w:rPr>
                <w:rFonts w:ascii="宋体"/>
                <w:color w:val="auto"/>
                <w:spacing w:val="20"/>
                <w:sz w:val="22"/>
                <w:highlight w:val="none"/>
              </w:rPr>
            </w:pPr>
          </w:p>
        </w:tc>
        <w:tc>
          <w:tcPr>
            <w:tcW w:w="2984"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color w:val="auto"/>
                <w:spacing w:val="20"/>
                <w:sz w:val="22"/>
                <w:highlight w:val="none"/>
              </w:rPr>
            </w:pPr>
          </w:p>
        </w:tc>
        <w:tc>
          <w:tcPr>
            <w:tcW w:w="2171" w:type="dxa"/>
            <w:vAlign w:val="center"/>
          </w:tcPr>
          <w:p>
            <w:pPr>
              <w:adjustRightInd w:val="0"/>
              <w:snapToGrid w:val="0"/>
              <w:spacing w:line="460" w:lineRule="atLeast"/>
              <w:jc w:val="center"/>
              <w:rPr>
                <w:rFonts w:ascii="宋体"/>
                <w:color w:val="auto"/>
                <w:spacing w:val="20"/>
                <w:sz w:val="22"/>
                <w:highlight w:val="none"/>
              </w:rPr>
            </w:pPr>
          </w:p>
        </w:tc>
        <w:tc>
          <w:tcPr>
            <w:tcW w:w="1687" w:type="dxa"/>
            <w:vAlign w:val="center"/>
          </w:tcPr>
          <w:p>
            <w:pPr>
              <w:adjustRightInd w:val="0"/>
              <w:snapToGrid w:val="0"/>
              <w:spacing w:line="460" w:lineRule="atLeast"/>
              <w:jc w:val="center"/>
              <w:rPr>
                <w:rFonts w:ascii="宋体"/>
                <w:color w:val="auto"/>
                <w:spacing w:val="20"/>
                <w:sz w:val="22"/>
                <w:highlight w:val="none"/>
              </w:rPr>
            </w:pPr>
          </w:p>
        </w:tc>
        <w:tc>
          <w:tcPr>
            <w:tcW w:w="1580" w:type="dxa"/>
            <w:vAlign w:val="center"/>
          </w:tcPr>
          <w:p>
            <w:pPr>
              <w:adjustRightInd w:val="0"/>
              <w:snapToGrid w:val="0"/>
              <w:spacing w:line="460" w:lineRule="atLeast"/>
              <w:jc w:val="center"/>
              <w:rPr>
                <w:rFonts w:ascii="宋体"/>
                <w:color w:val="auto"/>
                <w:spacing w:val="20"/>
                <w:sz w:val="22"/>
                <w:highlight w:val="none"/>
              </w:rPr>
            </w:pPr>
          </w:p>
        </w:tc>
        <w:tc>
          <w:tcPr>
            <w:tcW w:w="2984"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855" w:type="dxa"/>
            <w:vAlign w:val="center"/>
          </w:tcPr>
          <w:p>
            <w:pPr>
              <w:adjustRightInd w:val="0"/>
              <w:snapToGrid w:val="0"/>
              <w:spacing w:line="460" w:lineRule="atLeast"/>
              <w:jc w:val="center"/>
              <w:rPr>
                <w:rFonts w:ascii="宋体"/>
                <w:color w:val="auto"/>
                <w:spacing w:val="20"/>
                <w:sz w:val="22"/>
                <w:highlight w:val="none"/>
              </w:rPr>
            </w:pPr>
          </w:p>
        </w:tc>
        <w:tc>
          <w:tcPr>
            <w:tcW w:w="1636" w:type="dxa"/>
            <w:tcBorders>
              <w:right w:val="single" w:color="auto" w:sz="4" w:space="0"/>
            </w:tcBorders>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tcBorders>
            <w:vAlign w:val="center"/>
          </w:tcPr>
          <w:p>
            <w:pPr>
              <w:adjustRightInd w:val="0"/>
              <w:snapToGrid w:val="0"/>
              <w:spacing w:line="460" w:lineRule="atLeast"/>
              <w:jc w:val="center"/>
              <w:rPr>
                <w:rFonts w:ascii="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pPr>
              <w:adjustRightInd w:val="0"/>
              <w:snapToGrid w:val="0"/>
              <w:spacing w:line="460" w:lineRule="atLeast"/>
              <w:jc w:val="center"/>
              <w:rPr>
                <w:rFonts w:ascii="宋体"/>
                <w:color w:val="auto"/>
                <w:spacing w:val="20"/>
                <w:sz w:val="22"/>
                <w:highlight w:val="none"/>
              </w:rPr>
            </w:pPr>
          </w:p>
        </w:tc>
        <w:tc>
          <w:tcPr>
            <w:tcW w:w="2171" w:type="dxa"/>
            <w:tcBorders>
              <w:bottom w:val="double" w:color="auto" w:sz="4" w:space="0"/>
            </w:tcBorders>
            <w:vAlign w:val="center"/>
          </w:tcPr>
          <w:p>
            <w:pPr>
              <w:adjustRightInd w:val="0"/>
              <w:snapToGrid w:val="0"/>
              <w:spacing w:line="460" w:lineRule="atLeast"/>
              <w:jc w:val="center"/>
              <w:rPr>
                <w:rFonts w:ascii="宋体"/>
                <w:color w:val="auto"/>
                <w:spacing w:val="20"/>
                <w:sz w:val="22"/>
                <w:highlight w:val="none"/>
              </w:rPr>
            </w:pPr>
          </w:p>
        </w:tc>
        <w:tc>
          <w:tcPr>
            <w:tcW w:w="1687" w:type="dxa"/>
            <w:tcBorders>
              <w:bottom w:val="double" w:color="auto" w:sz="4" w:space="0"/>
            </w:tcBorders>
            <w:vAlign w:val="center"/>
          </w:tcPr>
          <w:p>
            <w:pPr>
              <w:adjustRightInd w:val="0"/>
              <w:snapToGrid w:val="0"/>
              <w:spacing w:line="460" w:lineRule="atLeast"/>
              <w:jc w:val="center"/>
              <w:rPr>
                <w:rFonts w:ascii="宋体"/>
                <w:color w:val="auto"/>
                <w:spacing w:val="20"/>
                <w:sz w:val="22"/>
                <w:highlight w:val="none"/>
              </w:rPr>
            </w:pPr>
          </w:p>
        </w:tc>
        <w:tc>
          <w:tcPr>
            <w:tcW w:w="1580" w:type="dxa"/>
            <w:tcBorders>
              <w:bottom w:val="double" w:color="auto" w:sz="4" w:space="0"/>
            </w:tcBorders>
            <w:vAlign w:val="center"/>
          </w:tcPr>
          <w:p>
            <w:pPr>
              <w:adjustRightInd w:val="0"/>
              <w:snapToGrid w:val="0"/>
              <w:spacing w:line="460" w:lineRule="atLeast"/>
              <w:jc w:val="center"/>
              <w:rPr>
                <w:rFonts w:ascii="宋体"/>
                <w:color w:val="auto"/>
                <w:spacing w:val="20"/>
                <w:sz w:val="22"/>
                <w:highlight w:val="none"/>
              </w:rPr>
            </w:pPr>
          </w:p>
        </w:tc>
        <w:tc>
          <w:tcPr>
            <w:tcW w:w="2984" w:type="dxa"/>
            <w:tcBorders>
              <w:bottom w:val="double" w:color="auto" w:sz="4" w:space="0"/>
            </w:tcBorders>
            <w:vAlign w:val="center"/>
          </w:tcPr>
          <w:p>
            <w:pPr>
              <w:adjustRightInd w:val="0"/>
              <w:snapToGrid w:val="0"/>
              <w:spacing w:line="460" w:lineRule="atLeast"/>
              <w:jc w:val="center"/>
              <w:rPr>
                <w:rFonts w:ascii="宋体"/>
                <w:color w:val="auto"/>
                <w:spacing w:val="20"/>
                <w:sz w:val="22"/>
                <w:highlight w:val="none"/>
              </w:rPr>
            </w:pPr>
          </w:p>
        </w:tc>
        <w:tc>
          <w:tcPr>
            <w:tcW w:w="855" w:type="dxa"/>
            <w:tcBorders>
              <w:bottom w:val="double" w:color="auto" w:sz="4" w:space="0"/>
            </w:tcBorders>
            <w:vAlign w:val="center"/>
          </w:tcPr>
          <w:p>
            <w:pPr>
              <w:adjustRightInd w:val="0"/>
              <w:snapToGrid w:val="0"/>
              <w:spacing w:line="460" w:lineRule="atLeast"/>
              <w:jc w:val="center"/>
              <w:rPr>
                <w:rFonts w:ascii="宋体"/>
                <w:color w:val="auto"/>
                <w:spacing w:val="20"/>
                <w:sz w:val="22"/>
                <w:highlight w:val="none"/>
              </w:rPr>
            </w:pPr>
          </w:p>
        </w:tc>
        <w:tc>
          <w:tcPr>
            <w:tcW w:w="855" w:type="dxa"/>
            <w:tcBorders>
              <w:bottom w:val="double" w:color="auto" w:sz="4" w:space="0"/>
            </w:tcBorders>
            <w:vAlign w:val="center"/>
          </w:tcPr>
          <w:p>
            <w:pPr>
              <w:adjustRightInd w:val="0"/>
              <w:snapToGrid w:val="0"/>
              <w:spacing w:line="460" w:lineRule="atLeast"/>
              <w:jc w:val="center"/>
              <w:rPr>
                <w:rFonts w:ascii="宋体"/>
                <w:color w:val="auto"/>
                <w:spacing w:val="20"/>
                <w:sz w:val="22"/>
                <w:highlight w:val="none"/>
              </w:rPr>
            </w:pPr>
          </w:p>
        </w:tc>
        <w:tc>
          <w:tcPr>
            <w:tcW w:w="1636" w:type="dxa"/>
            <w:tcBorders>
              <w:bottom w:val="double" w:color="auto" w:sz="4" w:space="0"/>
              <w:right w:val="single" w:color="auto" w:sz="4" w:space="0"/>
            </w:tcBorders>
            <w:vAlign w:val="center"/>
          </w:tcPr>
          <w:p>
            <w:pPr>
              <w:adjustRightInd w:val="0"/>
              <w:snapToGrid w:val="0"/>
              <w:spacing w:line="460" w:lineRule="atLeast"/>
              <w:jc w:val="center"/>
              <w:rPr>
                <w:rFonts w:ascii="宋体"/>
                <w:color w:val="auto"/>
                <w:spacing w:val="20"/>
                <w:sz w:val="22"/>
                <w:highlight w:val="none"/>
              </w:rPr>
            </w:pPr>
          </w:p>
        </w:tc>
        <w:tc>
          <w:tcPr>
            <w:tcW w:w="1916" w:type="dxa"/>
            <w:tcBorders>
              <w:left w:val="single" w:color="auto" w:sz="4" w:space="0"/>
              <w:bottom w:val="double" w:color="auto" w:sz="4" w:space="0"/>
            </w:tcBorders>
            <w:vAlign w:val="center"/>
          </w:tcPr>
          <w:p>
            <w:pPr>
              <w:adjustRightInd w:val="0"/>
              <w:snapToGrid w:val="0"/>
              <w:spacing w:line="460" w:lineRule="atLeast"/>
              <w:jc w:val="center"/>
              <w:rPr>
                <w:rFonts w:ascii="宋体"/>
                <w:color w:val="auto"/>
                <w:spacing w:val="20"/>
                <w:sz w:val="22"/>
                <w:highlight w:val="none"/>
              </w:rPr>
            </w:pPr>
          </w:p>
        </w:tc>
      </w:tr>
    </w:tbl>
    <w:p>
      <w:pPr>
        <w:spacing w:line="360" w:lineRule="exact"/>
        <w:rPr>
          <w:rFonts w:ascii="宋体"/>
          <w:color w:val="auto"/>
          <w:spacing w:val="20"/>
          <w:sz w:val="22"/>
          <w:highlight w:val="none"/>
        </w:rPr>
      </w:pPr>
      <w:r>
        <w:rPr>
          <w:rFonts w:hint="eastAsia" w:ascii="宋体"/>
          <w:color w:val="auto"/>
          <w:spacing w:val="20"/>
          <w:sz w:val="22"/>
          <w:highlight w:val="none"/>
        </w:rPr>
        <w:t>供应商盖章：</w:t>
      </w:r>
    </w:p>
    <w:p>
      <w:pPr>
        <w:spacing w:line="360" w:lineRule="auto"/>
        <w:rPr>
          <w:rFonts w:ascii="宋体"/>
          <w:color w:val="auto"/>
          <w:spacing w:val="20"/>
          <w:sz w:val="22"/>
          <w:highlight w:val="none"/>
        </w:rPr>
      </w:pPr>
      <w:r>
        <w:rPr>
          <w:rFonts w:hint="eastAsia" w:ascii="宋体"/>
          <w:color w:val="auto"/>
          <w:spacing w:val="20"/>
          <w:sz w:val="22"/>
          <w:highlight w:val="none"/>
        </w:rPr>
        <w:br w:type="textWrapping"/>
      </w:r>
    </w:p>
    <w:p>
      <w:pPr>
        <w:rPr>
          <w:rFonts w:ascii="宋体"/>
          <w:b/>
          <w:bCs/>
          <w:color w:val="auto"/>
          <w:sz w:val="32"/>
          <w:szCs w:val="32"/>
          <w:highlight w:val="none"/>
        </w:rPr>
        <w:sectPr>
          <w:headerReference r:id="rId11" w:type="first"/>
          <w:footerReference r:id="rId13" w:type="first"/>
          <w:headerReference r:id="rId10" w:type="default"/>
          <w:footerReference r:id="rId12" w:type="default"/>
          <w:pgSz w:w="16838" w:h="11906" w:orient="landscape"/>
          <w:pgMar w:top="1247" w:right="1440" w:bottom="1247" w:left="1440" w:header="851" w:footer="992" w:gutter="0"/>
          <w:cols w:space="0" w:num="1"/>
          <w:titlePg/>
          <w:docGrid w:type="linesAndChars" w:linePitch="313" w:charSpace="1819"/>
        </w:sectPr>
      </w:pPr>
    </w:p>
    <w:p>
      <w:pPr>
        <w:rPr>
          <w:rFonts w:ascii="宋体"/>
          <w:b/>
          <w:bCs/>
          <w:color w:val="auto"/>
          <w:sz w:val="32"/>
          <w:szCs w:val="32"/>
          <w:highlight w:val="none"/>
        </w:rPr>
      </w:pPr>
      <w:r>
        <w:rPr>
          <w:rFonts w:hint="eastAsia" w:ascii="宋体"/>
          <w:b/>
          <w:bCs/>
          <w:color w:val="auto"/>
          <w:sz w:val="32"/>
          <w:szCs w:val="32"/>
          <w:highlight w:val="none"/>
        </w:rPr>
        <w:t>附件十一</w:t>
      </w:r>
    </w:p>
    <w:p>
      <w:pPr>
        <w:jc w:val="center"/>
        <w:rPr>
          <w:rFonts w:ascii="宋体"/>
          <w:b/>
          <w:bCs/>
          <w:color w:val="auto"/>
          <w:sz w:val="32"/>
          <w:szCs w:val="32"/>
          <w:highlight w:val="none"/>
        </w:rPr>
      </w:pPr>
      <w:r>
        <w:rPr>
          <w:rFonts w:hint="eastAsia" w:ascii="宋体"/>
          <w:b/>
          <w:bCs/>
          <w:color w:val="auto"/>
          <w:sz w:val="32"/>
          <w:szCs w:val="32"/>
          <w:highlight w:val="none"/>
        </w:rPr>
        <w:t>供应商项目服务人员汇总表</w:t>
      </w:r>
    </w:p>
    <w:p>
      <w:pPr>
        <w:spacing w:line="360" w:lineRule="auto"/>
        <w:rPr>
          <w:rFonts w:ascii="宋体"/>
          <w:color w:val="auto"/>
          <w:sz w:val="22"/>
          <w:highlight w:val="none"/>
        </w:rPr>
      </w:pPr>
      <w:r>
        <w:rPr>
          <w:rFonts w:hint="eastAsia" w:ascii="宋体"/>
          <w:color w:val="auto"/>
          <w:sz w:val="22"/>
          <w:highlight w:val="none"/>
        </w:rPr>
        <w:t>项目名称：</w:t>
      </w:r>
      <w:r>
        <w:rPr>
          <w:rFonts w:hint="eastAsia" w:ascii="宋体"/>
          <w:color w:val="auto"/>
          <w:sz w:val="22"/>
          <w:highlight w:val="none"/>
          <w:u w:val="single"/>
          <w:lang w:val="zh-CN"/>
        </w:rPr>
        <w:t>泰顺县城区生活垃圾再生资源回收利用采购项目</w:t>
      </w:r>
    </w:p>
    <w:p>
      <w:pPr>
        <w:spacing w:line="360" w:lineRule="auto"/>
        <w:rPr>
          <w:rFonts w:ascii="宋体"/>
          <w:bCs/>
          <w:color w:val="auto"/>
          <w:sz w:val="22"/>
          <w:highlight w:val="none"/>
        </w:rPr>
      </w:pPr>
      <w:r>
        <w:rPr>
          <w:rFonts w:hint="eastAsia" w:ascii="宋体"/>
          <w:color w:val="auto"/>
          <w:sz w:val="22"/>
          <w:highlight w:val="none"/>
        </w:rPr>
        <w:t>招标编号：</w:t>
      </w:r>
      <w:r>
        <w:rPr>
          <w:rFonts w:hint="eastAsia" w:ascii="宋体"/>
          <w:color w:val="auto"/>
          <w:sz w:val="22"/>
          <w:highlight w:val="none"/>
          <w:u w:val="single"/>
          <w:lang w:val="zh-CN"/>
        </w:rPr>
        <w:t>TSCG202302002</w:t>
      </w:r>
    </w:p>
    <w:tbl>
      <w:tblPr>
        <w:tblStyle w:val="2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jc w:val="center"/>
              <w:rPr>
                <w:rFonts w:ascii="宋体"/>
                <w:bCs/>
                <w:color w:val="auto"/>
                <w:sz w:val="22"/>
                <w:highlight w:val="none"/>
              </w:rPr>
            </w:pPr>
            <w:r>
              <w:rPr>
                <w:rFonts w:hint="eastAsia" w:ascii="宋体"/>
                <w:bCs/>
                <w:color w:val="auto"/>
                <w:sz w:val="22"/>
                <w:highlight w:val="none"/>
              </w:rPr>
              <w:t>姓名</w:t>
            </w:r>
          </w:p>
        </w:tc>
        <w:tc>
          <w:tcPr>
            <w:tcW w:w="2520" w:type="dxa"/>
            <w:vAlign w:val="center"/>
          </w:tcPr>
          <w:p>
            <w:pPr>
              <w:jc w:val="center"/>
              <w:rPr>
                <w:rFonts w:ascii="宋体"/>
                <w:bCs/>
                <w:color w:val="auto"/>
                <w:sz w:val="22"/>
                <w:highlight w:val="none"/>
              </w:rPr>
            </w:pPr>
            <w:r>
              <w:rPr>
                <w:rFonts w:hint="eastAsia" w:ascii="宋体"/>
                <w:bCs/>
                <w:color w:val="auto"/>
                <w:sz w:val="22"/>
                <w:highlight w:val="none"/>
              </w:rPr>
              <w:t>本项目主要工作</w:t>
            </w:r>
          </w:p>
        </w:tc>
        <w:tc>
          <w:tcPr>
            <w:tcW w:w="720" w:type="dxa"/>
            <w:vAlign w:val="center"/>
          </w:tcPr>
          <w:p>
            <w:pPr>
              <w:jc w:val="center"/>
              <w:rPr>
                <w:rFonts w:ascii="宋体"/>
                <w:bCs/>
                <w:color w:val="auto"/>
                <w:sz w:val="22"/>
                <w:highlight w:val="none"/>
              </w:rPr>
            </w:pPr>
            <w:r>
              <w:rPr>
                <w:rFonts w:hint="eastAsia" w:ascii="宋体"/>
                <w:bCs/>
                <w:color w:val="auto"/>
                <w:sz w:val="22"/>
                <w:highlight w:val="none"/>
              </w:rPr>
              <w:t>年龄</w:t>
            </w:r>
          </w:p>
        </w:tc>
        <w:tc>
          <w:tcPr>
            <w:tcW w:w="720" w:type="dxa"/>
            <w:vAlign w:val="center"/>
          </w:tcPr>
          <w:p>
            <w:pPr>
              <w:jc w:val="center"/>
              <w:rPr>
                <w:rFonts w:ascii="宋体"/>
                <w:bCs/>
                <w:color w:val="auto"/>
                <w:sz w:val="22"/>
                <w:highlight w:val="none"/>
              </w:rPr>
            </w:pPr>
            <w:r>
              <w:rPr>
                <w:rFonts w:hint="eastAsia" w:ascii="宋体"/>
                <w:bCs/>
                <w:color w:val="auto"/>
                <w:sz w:val="22"/>
                <w:highlight w:val="none"/>
              </w:rPr>
              <w:t>性别</w:t>
            </w:r>
          </w:p>
        </w:tc>
        <w:tc>
          <w:tcPr>
            <w:tcW w:w="720" w:type="dxa"/>
            <w:vAlign w:val="center"/>
          </w:tcPr>
          <w:p>
            <w:pPr>
              <w:jc w:val="center"/>
              <w:rPr>
                <w:rFonts w:ascii="宋体"/>
                <w:bCs/>
                <w:color w:val="auto"/>
                <w:sz w:val="22"/>
                <w:highlight w:val="none"/>
              </w:rPr>
            </w:pPr>
            <w:r>
              <w:rPr>
                <w:rFonts w:hint="eastAsia" w:ascii="宋体"/>
                <w:bCs/>
                <w:color w:val="auto"/>
                <w:sz w:val="22"/>
                <w:highlight w:val="none"/>
              </w:rPr>
              <w:t>专业</w:t>
            </w:r>
          </w:p>
        </w:tc>
        <w:tc>
          <w:tcPr>
            <w:tcW w:w="1080" w:type="dxa"/>
            <w:vAlign w:val="center"/>
          </w:tcPr>
          <w:p>
            <w:pPr>
              <w:jc w:val="center"/>
              <w:rPr>
                <w:rFonts w:ascii="宋体"/>
                <w:bCs/>
                <w:color w:val="auto"/>
                <w:sz w:val="22"/>
                <w:highlight w:val="none"/>
              </w:rPr>
            </w:pPr>
            <w:r>
              <w:rPr>
                <w:rFonts w:hint="eastAsia" w:ascii="宋体"/>
                <w:bCs/>
                <w:color w:val="auto"/>
                <w:sz w:val="22"/>
                <w:highlight w:val="none"/>
              </w:rPr>
              <w:t>专业</w:t>
            </w:r>
          </w:p>
          <w:p>
            <w:pPr>
              <w:jc w:val="center"/>
              <w:rPr>
                <w:rFonts w:ascii="宋体"/>
                <w:bCs/>
                <w:color w:val="auto"/>
                <w:sz w:val="22"/>
                <w:highlight w:val="none"/>
              </w:rPr>
            </w:pPr>
            <w:r>
              <w:rPr>
                <w:rFonts w:hint="eastAsia" w:ascii="宋体"/>
                <w:bCs/>
                <w:color w:val="auto"/>
                <w:sz w:val="22"/>
                <w:highlight w:val="none"/>
              </w:rPr>
              <w:t>年限</w:t>
            </w:r>
          </w:p>
        </w:tc>
        <w:tc>
          <w:tcPr>
            <w:tcW w:w="1458" w:type="dxa"/>
            <w:vAlign w:val="center"/>
          </w:tcPr>
          <w:p>
            <w:pPr>
              <w:jc w:val="center"/>
              <w:rPr>
                <w:rFonts w:ascii="宋体"/>
                <w:bCs/>
                <w:color w:val="auto"/>
                <w:sz w:val="22"/>
                <w:highlight w:val="none"/>
              </w:rPr>
            </w:pPr>
            <w:r>
              <w:rPr>
                <w:rFonts w:hint="eastAsia" w:ascii="宋体"/>
                <w:bCs/>
                <w:color w:val="auto"/>
                <w:sz w:val="22"/>
                <w:highlight w:val="none"/>
              </w:rPr>
              <w:t>职务</w:t>
            </w:r>
          </w:p>
          <w:p>
            <w:pPr>
              <w:jc w:val="center"/>
              <w:rPr>
                <w:rFonts w:ascii="宋体"/>
                <w:bCs/>
                <w:color w:val="auto"/>
                <w:sz w:val="22"/>
                <w:highlight w:val="none"/>
              </w:rPr>
            </w:pPr>
            <w:r>
              <w:rPr>
                <w:rFonts w:hint="eastAsia" w:ascii="宋体"/>
                <w:bCs/>
                <w:color w:val="auto"/>
                <w:sz w:val="22"/>
                <w:highlight w:val="none"/>
              </w:rPr>
              <w:t>和职称</w:t>
            </w:r>
            <w:r>
              <w:rPr>
                <w:rFonts w:ascii="宋体"/>
                <w:bCs/>
                <w:color w:val="auto"/>
                <w:sz w:val="22"/>
                <w:highlight w:val="none"/>
              </w:rPr>
              <w:t>/</w:t>
            </w:r>
            <w:r>
              <w:rPr>
                <w:rFonts w:hint="eastAsia" w:ascii="宋体"/>
                <w:bCs/>
                <w:color w:val="auto"/>
                <w:sz w:val="22"/>
                <w:highlight w:val="none"/>
              </w:rPr>
              <w:t>认证</w:t>
            </w:r>
          </w:p>
        </w:tc>
        <w:tc>
          <w:tcPr>
            <w:tcW w:w="1560" w:type="dxa"/>
            <w:vAlign w:val="center"/>
          </w:tcPr>
          <w:p>
            <w:pPr>
              <w:jc w:val="center"/>
              <w:rPr>
                <w:rFonts w:ascii="宋体"/>
                <w:bCs/>
                <w:color w:val="auto"/>
                <w:sz w:val="22"/>
                <w:highlight w:val="none"/>
              </w:rPr>
            </w:pPr>
            <w:r>
              <w:rPr>
                <w:rFonts w:hint="eastAsia" w:ascii="宋体"/>
                <w:bCs/>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color w:val="auto"/>
                <w:sz w:val="22"/>
                <w:highlight w:val="none"/>
              </w:rPr>
            </w:pPr>
          </w:p>
        </w:tc>
        <w:tc>
          <w:tcPr>
            <w:tcW w:w="25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1080" w:type="dxa"/>
            <w:vAlign w:val="center"/>
          </w:tcPr>
          <w:p>
            <w:pPr>
              <w:spacing w:line="360" w:lineRule="auto"/>
              <w:rPr>
                <w:rFonts w:ascii="宋体"/>
                <w:color w:val="auto"/>
                <w:sz w:val="22"/>
                <w:highlight w:val="none"/>
              </w:rPr>
            </w:pPr>
          </w:p>
        </w:tc>
        <w:tc>
          <w:tcPr>
            <w:tcW w:w="1458" w:type="dxa"/>
            <w:vAlign w:val="center"/>
          </w:tcPr>
          <w:p>
            <w:pPr>
              <w:spacing w:line="360" w:lineRule="auto"/>
              <w:ind w:left="5250"/>
              <w:rPr>
                <w:rFonts w:ascii="宋体"/>
                <w:color w:val="auto"/>
                <w:spacing w:val="12"/>
                <w:sz w:val="22"/>
                <w:highlight w:val="none"/>
              </w:rPr>
            </w:pPr>
          </w:p>
        </w:tc>
        <w:tc>
          <w:tcPr>
            <w:tcW w:w="1560" w:type="dxa"/>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color w:val="auto"/>
                <w:sz w:val="22"/>
                <w:highlight w:val="none"/>
              </w:rPr>
            </w:pPr>
          </w:p>
        </w:tc>
        <w:tc>
          <w:tcPr>
            <w:tcW w:w="25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1080" w:type="dxa"/>
            <w:vAlign w:val="center"/>
          </w:tcPr>
          <w:p>
            <w:pPr>
              <w:spacing w:line="360" w:lineRule="auto"/>
              <w:rPr>
                <w:rFonts w:ascii="宋体"/>
                <w:color w:val="auto"/>
                <w:sz w:val="22"/>
                <w:highlight w:val="none"/>
              </w:rPr>
            </w:pPr>
          </w:p>
        </w:tc>
        <w:tc>
          <w:tcPr>
            <w:tcW w:w="1458" w:type="dxa"/>
            <w:vAlign w:val="center"/>
          </w:tcPr>
          <w:p>
            <w:pPr>
              <w:spacing w:line="360" w:lineRule="auto"/>
              <w:rPr>
                <w:rFonts w:ascii="宋体"/>
                <w:color w:val="auto"/>
                <w:sz w:val="22"/>
                <w:highlight w:val="none"/>
              </w:rPr>
            </w:pPr>
          </w:p>
        </w:tc>
        <w:tc>
          <w:tcPr>
            <w:tcW w:w="1560" w:type="dxa"/>
            <w:vAlign w:val="center"/>
          </w:tcPr>
          <w:p>
            <w:pPr>
              <w:spacing w:line="360" w:lineRule="auto"/>
              <w:ind w:left="5250"/>
              <w:rPr>
                <w:rFonts w:ascii="宋体"/>
                <w:color w:val="auto"/>
                <w:spacing w:val="1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color w:val="auto"/>
                <w:sz w:val="22"/>
                <w:highlight w:val="none"/>
              </w:rPr>
            </w:pPr>
          </w:p>
        </w:tc>
        <w:tc>
          <w:tcPr>
            <w:tcW w:w="25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1080" w:type="dxa"/>
            <w:vAlign w:val="center"/>
          </w:tcPr>
          <w:p>
            <w:pPr>
              <w:spacing w:line="360" w:lineRule="auto"/>
              <w:rPr>
                <w:rFonts w:ascii="宋体"/>
                <w:color w:val="auto"/>
                <w:sz w:val="22"/>
                <w:highlight w:val="none"/>
              </w:rPr>
            </w:pPr>
          </w:p>
        </w:tc>
        <w:tc>
          <w:tcPr>
            <w:tcW w:w="1458" w:type="dxa"/>
            <w:vAlign w:val="center"/>
          </w:tcPr>
          <w:p>
            <w:pPr>
              <w:spacing w:line="360" w:lineRule="auto"/>
              <w:rPr>
                <w:rFonts w:ascii="宋体"/>
                <w:color w:val="auto"/>
                <w:sz w:val="22"/>
                <w:highlight w:val="none"/>
              </w:rPr>
            </w:pPr>
          </w:p>
        </w:tc>
        <w:tc>
          <w:tcPr>
            <w:tcW w:w="1560" w:type="dxa"/>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color w:val="auto"/>
                <w:sz w:val="22"/>
                <w:highlight w:val="none"/>
              </w:rPr>
            </w:pPr>
          </w:p>
        </w:tc>
        <w:tc>
          <w:tcPr>
            <w:tcW w:w="25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1080" w:type="dxa"/>
            <w:vAlign w:val="center"/>
          </w:tcPr>
          <w:p>
            <w:pPr>
              <w:spacing w:line="360" w:lineRule="auto"/>
              <w:rPr>
                <w:rFonts w:ascii="宋体"/>
                <w:color w:val="auto"/>
                <w:sz w:val="22"/>
                <w:highlight w:val="none"/>
              </w:rPr>
            </w:pPr>
          </w:p>
        </w:tc>
        <w:tc>
          <w:tcPr>
            <w:tcW w:w="1458" w:type="dxa"/>
            <w:vAlign w:val="center"/>
          </w:tcPr>
          <w:p>
            <w:pPr>
              <w:spacing w:line="360" w:lineRule="auto"/>
              <w:rPr>
                <w:rFonts w:ascii="宋体"/>
                <w:color w:val="auto"/>
                <w:sz w:val="22"/>
                <w:highlight w:val="none"/>
              </w:rPr>
            </w:pPr>
          </w:p>
        </w:tc>
        <w:tc>
          <w:tcPr>
            <w:tcW w:w="1560" w:type="dxa"/>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color w:val="auto"/>
                <w:sz w:val="22"/>
                <w:highlight w:val="none"/>
              </w:rPr>
            </w:pPr>
          </w:p>
        </w:tc>
        <w:tc>
          <w:tcPr>
            <w:tcW w:w="25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1080" w:type="dxa"/>
            <w:vAlign w:val="center"/>
          </w:tcPr>
          <w:p>
            <w:pPr>
              <w:spacing w:line="360" w:lineRule="auto"/>
              <w:rPr>
                <w:rFonts w:ascii="宋体"/>
                <w:color w:val="auto"/>
                <w:sz w:val="22"/>
                <w:highlight w:val="none"/>
              </w:rPr>
            </w:pPr>
          </w:p>
        </w:tc>
        <w:tc>
          <w:tcPr>
            <w:tcW w:w="1458" w:type="dxa"/>
            <w:vAlign w:val="center"/>
          </w:tcPr>
          <w:p>
            <w:pPr>
              <w:spacing w:line="360" w:lineRule="auto"/>
              <w:rPr>
                <w:rFonts w:ascii="宋体"/>
                <w:color w:val="auto"/>
                <w:sz w:val="22"/>
                <w:highlight w:val="none"/>
              </w:rPr>
            </w:pPr>
          </w:p>
        </w:tc>
        <w:tc>
          <w:tcPr>
            <w:tcW w:w="1560" w:type="dxa"/>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color w:val="auto"/>
                <w:sz w:val="22"/>
                <w:highlight w:val="none"/>
              </w:rPr>
            </w:pPr>
          </w:p>
        </w:tc>
        <w:tc>
          <w:tcPr>
            <w:tcW w:w="25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1080" w:type="dxa"/>
            <w:vAlign w:val="center"/>
          </w:tcPr>
          <w:p>
            <w:pPr>
              <w:spacing w:line="360" w:lineRule="auto"/>
              <w:rPr>
                <w:rFonts w:ascii="宋体"/>
                <w:color w:val="auto"/>
                <w:sz w:val="22"/>
                <w:highlight w:val="none"/>
              </w:rPr>
            </w:pPr>
          </w:p>
        </w:tc>
        <w:tc>
          <w:tcPr>
            <w:tcW w:w="1458" w:type="dxa"/>
            <w:vAlign w:val="center"/>
          </w:tcPr>
          <w:p>
            <w:pPr>
              <w:spacing w:line="360" w:lineRule="auto"/>
              <w:rPr>
                <w:rFonts w:ascii="宋体"/>
                <w:color w:val="auto"/>
                <w:sz w:val="22"/>
                <w:highlight w:val="none"/>
              </w:rPr>
            </w:pPr>
          </w:p>
        </w:tc>
        <w:tc>
          <w:tcPr>
            <w:tcW w:w="1560" w:type="dxa"/>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color w:val="auto"/>
                <w:sz w:val="22"/>
                <w:highlight w:val="none"/>
              </w:rPr>
            </w:pPr>
          </w:p>
        </w:tc>
        <w:tc>
          <w:tcPr>
            <w:tcW w:w="25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1080" w:type="dxa"/>
            <w:vAlign w:val="center"/>
          </w:tcPr>
          <w:p>
            <w:pPr>
              <w:spacing w:line="360" w:lineRule="auto"/>
              <w:rPr>
                <w:rFonts w:ascii="宋体"/>
                <w:color w:val="auto"/>
                <w:sz w:val="22"/>
                <w:highlight w:val="none"/>
              </w:rPr>
            </w:pPr>
          </w:p>
        </w:tc>
        <w:tc>
          <w:tcPr>
            <w:tcW w:w="1458" w:type="dxa"/>
            <w:vAlign w:val="center"/>
          </w:tcPr>
          <w:p>
            <w:pPr>
              <w:spacing w:line="360" w:lineRule="auto"/>
              <w:rPr>
                <w:rFonts w:ascii="宋体"/>
                <w:color w:val="auto"/>
                <w:sz w:val="22"/>
                <w:highlight w:val="none"/>
              </w:rPr>
            </w:pPr>
          </w:p>
        </w:tc>
        <w:tc>
          <w:tcPr>
            <w:tcW w:w="1560" w:type="dxa"/>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color w:val="auto"/>
                <w:sz w:val="22"/>
                <w:highlight w:val="none"/>
              </w:rPr>
            </w:pPr>
          </w:p>
        </w:tc>
        <w:tc>
          <w:tcPr>
            <w:tcW w:w="25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1080" w:type="dxa"/>
            <w:vAlign w:val="center"/>
          </w:tcPr>
          <w:p>
            <w:pPr>
              <w:spacing w:line="360" w:lineRule="auto"/>
              <w:rPr>
                <w:rFonts w:ascii="宋体"/>
                <w:color w:val="auto"/>
                <w:sz w:val="22"/>
                <w:highlight w:val="none"/>
              </w:rPr>
            </w:pPr>
          </w:p>
        </w:tc>
        <w:tc>
          <w:tcPr>
            <w:tcW w:w="1458" w:type="dxa"/>
            <w:vAlign w:val="center"/>
          </w:tcPr>
          <w:p>
            <w:pPr>
              <w:spacing w:line="360" w:lineRule="auto"/>
              <w:rPr>
                <w:rFonts w:ascii="宋体"/>
                <w:color w:val="auto"/>
                <w:sz w:val="22"/>
                <w:highlight w:val="none"/>
              </w:rPr>
            </w:pPr>
          </w:p>
        </w:tc>
        <w:tc>
          <w:tcPr>
            <w:tcW w:w="1560" w:type="dxa"/>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color w:val="auto"/>
                <w:sz w:val="22"/>
                <w:highlight w:val="none"/>
              </w:rPr>
            </w:pPr>
          </w:p>
        </w:tc>
        <w:tc>
          <w:tcPr>
            <w:tcW w:w="25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1080" w:type="dxa"/>
            <w:vAlign w:val="center"/>
          </w:tcPr>
          <w:p>
            <w:pPr>
              <w:spacing w:line="360" w:lineRule="auto"/>
              <w:rPr>
                <w:rFonts w:ascii="宋体"/>
                <w:color w:val="auto"/>
                <w:sz w:val="22"/>
                <w:highlight w:val="none"/>
              </w:rPr>
            </w:pPr>
          </w:p>
        </w:tc>
        <w:tc>
          <w:tcPr>
            <w:tcW w:w="1458" w:type="dxa"/>
            <w:vAlign w:val="center"/>
          </w:tcPr>
          <w:p>
            <w:pPr>
              <w:spacing w:line="360" w:lineRule="auto"/>
              <w:rPr>
                <w:rFonts w:ascii="宋体"/>
                <w:color w:val="auto"/>
                <w:sz w:val="22"/>
                <w:highlight w:val="none"/>
              </w:rPr>
            </w:pPr>
          </w:p>
        </w:tc>
        <w:tc>
          <w:tcPr>
            <w:tcW w:w="1560" w:type="dxa"/>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color w:val="auto"/>
                <w:sz w:val="22"/>
                <w:highlight w:val="none"/>
              </w:rPr>
            </w:pPr>
          </w:p>
        </w:tc>
        <w:tc>
          <w:tcPr>
            <w:tcW w:w="25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1080" w:type="dxa"/>
            <w:vAlign w:val="center"/>
          </w:tcPr>
          <w:p>
            <w:pPr>
              <w:spacing w:line="360" w:lineRule="auto"/>
              <w:rPr>
                <w:rFonts w:ascii="宋体"/>
                <w:color w:val="auto"/>
                <w:sz w:val="22"/>
                <w:highlight w:val="none"/>
              </w:rPr>
            </w:pPr>
          </w:p>
        </w:tc>
        <w:tc>
          <w:tcPr>
            <w:tcW w:w="1458" w:type="dxa"/>
            <w:vAlign w:val="center"/>
          </w:tcPr>
          <w:p>
            <w:pPr>
              <w:spacing w:line="360" w:lineRule="auto"/>
              <w:rPr>
                <w:rFonts w:ascii="宋体"/>
                <w:color w:val="auto"/>
                <w:sz w:val="22"/>
                <w:highlight w:val="none"/>
              </w:rPr>
            </w:pPr>
          </w:p>
        </w:tc>
        <w:tc>
          <w:tcPr>
            <w:tcW w:w="1560" w:type="dxa"/>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color w:val="auto"/>
                <w:sz w:val="22"/>
                <w:highlight w:val="none"/>
              </w:rPr>
            </w:pPr>
          </w:p>
        </w:tc>
        <w:tc>
          <w:tcPr>
            <w:tcW w:w="25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1080" w:type="dxa"/>
            <w:vAlign w:val="center"/>
          </w:tcPr>
          <w:p>
            <w:pPr>
              <w:spacing w:line="360" w:lineRule="auto"/>
              <w:rPr>
                <w:rFonts w:ascii="宋体"/>
                <w:color w:val="auto"/>
                <w:sz w:val="22"/>
                <w:highlight w:val="none"/>
              </w:rPr>
            </w:pPr>
          </w:p>
        </w:tc>
        <w:tc>
          <w:tcPr>
            <w:tcW w:w="1458" w:type="dxa"/>
            <w:vAlign w:val="center"/>
          </w:tcPr>
          <w:p>
            <w:pPr>
              <w:spacing w:line="360" w:lineRule="auto"/>
              <w:rPr>
                <w:rFonts w:ascii="宋体"/>
                <w:color w:val="auto"/>
                <w:sz w:val="22"/>
                <w:highlight w:val="none"/>
              </w:rPr>
            </w:pPr>
          </w:p>
        </w:tc>
        <w:tc>
          <w:tcPr>
            <w:tcW w:w="1560" w:type="dxa"/>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color w:val="auto"/>
                <w:sz w:val="22"/>
                <w:highlight w:val="none"/>
              </w:rPr>
            </w:pPr>
          </w:p>
        </w:tc>
        <w:tc>
          <w:tcPr>
            <w:tcW w:w="25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1080" w:type="dxa"/>
            <w:vAlign w:val="center"/>
          </w:tcPr>
          <w:p>
            <w:pPr>
              <w:spacing w:line="360" w:lineRule="auto"/>
              <w:rPr>
                <w:rFonts w:ascii="宋体"/>
                <w:color w:val="auto"/>
                <w:sz w:val="22"/>
                <w:highlight w:val="none"/>
              </w:rPr>
            </w:pPr>
          </w:p>
        </w:tc>
        <w:tc>
          <w:tcPr>
            <w:tcW w:w="1458" w:type="dxa"/>
            <w:vAlign w:val="center"/>
          </w:tcPr>
          <w:p>
            <w:pPr>
              <w:spacing w:line="360" w:lineRule="auto"/>
              <w:rPr>
                <w:rFonts w:ascii="宋体"/>
                <w:color w:val="auto"/>
                <w:sz w:val="22"/>
                <w:highlight w:val="none"/>
              </w:rPr>
            </w:pPr>
          </w:p>
        </w:tc>
        <w:tc>
          <w:tcPr>
            <w:tcW w:w="1560" w:type="dxa"/>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color w:val="auto"/>
                <w:sz w:val="22"/>
                <w:highlight w:val="none"/>
              </w:rPr>
            </w:pPr>
          </w:p>
        </w:tc>
        <w:tc>
          <w:tcPr>
            <w:tcW w:w="25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1080" w:type="dxa"/>
            <w:vAlign w:val="center"/>
          </w:tcPr>
          <w:p>
            <w:pPr>
              <w:spacing w:line="360" w:lineRule="auto"/>
              <w:rPr>
                <w:rFonts w:ascii="宋体"/>
                <w:color w:val="auto"/>
                <w:sz w:val="22"/>
                <w:highlight w:val="none"/>
              </w:rPr>
            </w:pPr>
          </w:p>
        </w:tc>
        <w:tc>
          <w:tcPr>
            <w:tcW w:w="1458" w:type="dxa"/>
            <w:vAlign w:val="center"/>
          </w:tcPr>
          <w:p>
            <w:pPr>
              <w:spacing w:line="360" w:lineRule="auto"/>
              <w:rPr>
                <w:rFonts w:ascii="宋体"/>
                <w:color w:val="auto"/>
                <w:sz w:val="22"/>
                <w:highlight w:val="none"/>
              </w:rPr>
            </w:pPr>
          </w:p>
        </w:tc>
        <w:tc>
          <w:tcPr>
            <w:tcW w:w="1560" w:type="dxa"/>
            <w:vAlign w:val="center"/>
          </w:tcPr>
          <w:p>
            <w:pPr>
              <w:spacing w:line="360" w:lineRule="auto"/>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color w:val="auto"/>
                <w:sz w:val="22"/>
                <w:highlight w:val="none"/>
              </w:rPr>
            </w:pPr>
          </w:p>
        </w:tc>
        <w:tc>
          <w:tcPr>
            <w:tcW w:w="25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720" w:type="dxa"/>
            <w:vAlign w:val="center"/>
          </w:tcPr>
          <w:p>
            <w:pPr>
              <w:spacing w:line="360" w:lineRule="auto"/>
              <w:rPr>
                <w:rFonts w:ascii="宋体"/>
                <w:color w:val="auto"/>
                <w:sz w:val="22"/>
                <w:highlight w:val="none"/>
              </w:rPr>
            </w:pPr>
          </w:p>
        </w:tc>
        <w:tc>
          <w:tcPr>
            <w:tcW w:w="1080" w:type="dxa"/>
            <w:vAlign w:val="center"/>
          </w:tcPr>
          <w:p>
            <w:pPr>
              <w:spacing w:line="360" w:lineRule="auto"/>
              <w:rPr>
                <w:rFonts w:ascii="宋体"/>
                <w:color w:val="auto"/>
                <w:sz w:val="22"/>
                <w:highlight w:val="none"/>
              </w:rPr>
            </w:pPr>
          </w:p>
        </w:tc>
        <w:tc>
          <w:tcPr>
            <w:tcW w:w="1458" w:type="dxa"/>
            <w:vAlign w:val="center"/>
          </w:tcPr>
          <w:p>
            <w:pPr>
              <w:spacing w:line="360" w:lineRule="auto"/>
              <w:rPr>
                <w:rFonts w:ascii="宋体"/>
                <w:color w:val="auto"/>
                <w:sz w:val="22"/>
                <w:highlight w:val="none"/>
              </w:rPr>
            </w:pPr>
          </w:p>
        </w:tc>
        <w:tc>
          <w:tcPr>
            <w:tcW w:w="1560" w:type="dxa"/>
            <w:vAlign w:val="center"/>
          </w:tcPr>
          <w:p>
            <w:pPr>
              <w:spacing w:line="360" w:lineRule="auto"/>
              <w:rPr>
                <w:rFonts w:ascii="宋体"/>
                <w:color w:val="auto"/>
                <w:sz w:val="22"/>
                <w:highlight w:val="none"/>
              </w:rPr>
            </w:pPr>
          </w:p>
        </w:tc>
      </w:tr>
    </w:tbl>
    <w:p>
      <w:pPr>
        <w:spacing w:line="360" w:lineRule="exact"/>
        <w:ind w:left="1007" w:hanging="1003" w:hangingChars="440"/>
        <w:rPr>
          <w:rFonts w:ascii="宋体" w:cs="Arial"/>
          <w:color w:val="auto"/>
          <w:sz w:val="22"/>
          <w:highlight w:val="none"/>
        </w:rPr>
      </w:pPr>
      <w:r>
        <w:rPr>
          <w:rFonts w:hint="eastAsia" w:ascii="宋体" w:cs="Arial"/>
          <w:color w:val="auto"/>
          <w:sz w:val="22"/>
          <w:highlight w:val="none"/>
        </w:rPr>
        <w:t xml:space="preserve">注：  </w:t>
      </w:r>
      <w:r>
        <w:rPr>
          <w:rFonts w:ascii="宋体" w:cs="Arial"/>
          <w:color w:val="auto"/>
          <w:sz w:val="22"/>
          <w:highlight w:val="none"/>
        </w:rPr>
        <w:t>1.</w:t>
      </w:r>
      <w:r>
        <w:rPr>
          <w:rFonts w:hint="eastAsia" w:ascii="宋体" w:cs="Arial"/>
          <w:color w:val="auto"/>
          <w:sz w:val="22"/>
          <w:highlight w:val="none"/>
        </w:rPr>
        <w:t>项目负责人、施工、安装等人员均应列入；</w:t>
      </w:r>
    </w:p>
    <w:p>
      <w:pPr>
        <w:spacing w:line="360" w:lineRule="exact"/>
        <w:ind w:left="744" w:leftChars="321" w:hanging="45" w:hangingChars="20"/>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列入本表人员如要更换，需经采购人同意，擅自更换或不到位属违约行为；</w:t>
      </w:r>
    </w:p>
    <w:p>
      <w:pPr>
        <w:spacing w:line="360" w:lineRule="exact"/>
        <w:ind w:left="744" w:leftChars="321" w:hanging="45" w:hangingChars="20"/>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资质证书等人员证件复印件应附后。</w:t>
      </w:r>
    </w:p>
    <w:p>
      <w:pPr>
        <w:spacing w:line="360" w:lineRule="exact"/>
        <w:ind w:left="744" w:leftChars="321" w:hanging="45" w:hangingChars="20"/>
        <w:rPr>
          <w:rFonts w:ascii="宋体" w:cs="Arial"/>
          <w:color w:val="auto"/>
          <w:sz w:val="22"/>
          <w:highlight w:val="none"/>
        </w:rPr>
      </w:pPr>
      <w:r>
        <w:rPr>
          <w:rFonts w:ascii="宋体" w:cs="Arial"/>
          <w:color w:val="auto"/>
          <w:sz w:val="22"/>
          <w:highlight w:val="none"/>
        </w:rPr>
        <w:t xml:space="preserve">4. </w:t>
      </w:r>
      <w:r>
        <w:rPr>
          <w:rFonts w:hint="eastAsia" w:ascii="宋体" w:cs="Arial"/>
          <w:color w:val="auto"/>
          <w:sz w:val="22"/>
          <w:highlight w:val="none"/>
        </w:rPr>
        <w:t>表格可以延续。</w:t>
      </w:r>
    </w:p>
    <w:p>
      <w:pPr>
        <w:pStyle w:val="14"/>
        <w:spacing w:line="440" w:lineRule="atLeast"/>
        <w:rPr>
          <w:rFonts w:hAnsi="宋体"/>
          <w:color w:val="auto"/>
          <w:sz w:val="22"/>
          <w:szCs w:val="22"/>
          <w:highlight w:val="none"/>
        </w:rPr>
      </w:pPr>
      <w:r>
        <w:rPr>
          <w:rFonts w:hint="eastAsia" w:hAnsi="宋体"/>
          <w:color w:val="auto"/>
          <w:sz w:val="22"/>
          <w:szCs w:val="22"/>
          <w:highlight w:val="none"/>
        </w:rPr>
        <w:t>供应商全称：（盖章）</w:t>
      </w:r>
    </w:p>
    <w:p>
      <w:pPr>
        <w:pStyle w:val="14"/>
        <w:spacing w:line="440" w:lineRule="atLeast"/>
        <w:rPr>
          <w:rFonts w:hAnsi="宋体"/>
          <w:color w:val="auto"/>
          <w:sz w:val="22"/>
          <w:szCs w:val="22"/>
          <w:highlight w:val="none"/>
          <w:lang w:val="zh-CN"/>
        </w:rPr>
      </w:pPr>
      <w:r>
        <w:rPr>
          <w:rFonts w:hint="eastAsia" w:hAnsi="宋体"/>
          <w:color w:val="auto"/>
          <w:sz w:val="22"/>
          <w:szCs w:val="22"/>
          <w:highlight w:val="none"/>
        </w:rPr>
        <w:t>法定代表人（签字或盖章）或</w:t>
      </w:r>
      <w:r>
        <w:rPr>
          <w:rFonts w:hint="eastAsia" w:hAnsi="宋体"/>
          <w:color w:val="auto"/>
          <w:sz w:val="22"/>
          <w:szCs w:val="22"/>
          <w:highlight w:val="none"/>
          <w:lang w:val="zh-CN"/>
        </w:rPr>
        <w:t>授权代表（签字）：</w:t>
      </w:r>
    </w:p>
    <w:p>
      <w:pPr>
        <w:autoSpaceDE w:val="0"/>
        <w:autoSpaceDN w:val="0"/>
        <w:adjustRightInd w:val="0"/>
        <w:spacing w:line="360" w:lineRule="exact"/>
        <w:rPr>
          <w:rFonts w:hAnsi="宋体"/>
          <w:color w:val="auto"/>
          <w:sz w:val="22"/>
          <w:highlight w:val="none"/>
        </w:rPr>
      </w:pPr>
      <w:r>
        <w:rPr>
          <w:rFonts w:hint="eastAsia" w:hAnsi="宋体"/>
          <w:color w:val="auto"/>
          <w:sz w:val="22"/>
          <w:highlight w:val="none"/>
        </w:rPr>
        <w:t>日期：</w:t>
      </w:r>
    </w:p>
    <w:p>
      <w:pPr>
        <w:spacing w:line="360" w:lineRule="exact"/>
        <w:jc w:val="left"/>
        <w:rPr>
          <w:color w:val="auto"/>
          <w:sz w:val="30"/>
          <w:highlight w:val="none"/>
        </w:rPr>
      </w:pPr>
    </w:p>
    <w:p>
      <w:pPr>
        <w:spacing w:line="360" w:lineRule="exact"/>
        <w:jc w:val="left"/>
        <w:rPr>
          <w:b/>
          <w:bCs/>
          <w:color w:val="auto"/>
          <w:sz w:val="30"/>
          <w:highlight w:val="none"/>
        </w:rPr>
      </w:pPr>
    </w:p>
    <w:p>
      <w:pPr>
        <w:spacing w:line="360" w:lineRule="exact"/>
        <w:jc w:val="left"/>
        <w:rPr>
          <w:rFonts w:ascii="宋体" w:cs="宋体"/>
          <w:b/>
          <w:bCs/>
          <w:color w:val="auto"/>
          <w:szCs w:val="21"/>
          <w:highlight w:val="none"/>
        </w:rPr>
      </w:pPr>
      <w:r>
        <w:rPr>
          <w:rFonts w:hint="eastAsia"/>
          <w:b/>
          <w:bCs/>
          <w:color w:val="auto"/>
          <w:sz w:val="30"/>
          <w:highlight w:val="none"/>
        </w:rPr>
        <w:t>附件十二</w:t>
      </w:r>
    </w:p>
    <w:p>
      <w:pPr>
        <w:autoSpaceDE w:val="0"/>
        <w:autoSpaceDN w:val="0"/>
        <w:adjustRightInd w:val="0"/>
        <w:spacing w:line="500" w:lineRule="atLeast"/>
        <w:jc w:val="center"/>
        <w:rPr>
          <w:rFonts w:hAnsi="宋体"/>
          <w:b/>
          <w:bCs/>
          <w:color w:val="auto"/>
          <w:sz w:val="32"/>
          <w:highlight w:val="none"/>
        </w:rPr>
      </w:pPr>
      <w:bookmarkStart w:id="70" w:name="_Toc28287_WPSOffice_Level3"/>
      <w:r>
        <w:rPr>
          <w:rFonts w:hint="eastAsia" w:hAnsi="宋体"/>
          <w:b/>
          <w:bCs/>
          <w:color w:val="auto"/>
          <w:sz w:val="32"/>
          <w:highlight w:val="none"/>
        </w:rPr>
        <w:t>供应商项目业绩清单</w:t>
      </w:r>
      <w:bookmarkEnd w:id="70"/>
    </w:p>
    <w:p>
      <w:pPr>
        <w:pStyle w:val="14"/>
        <w:spacing w:line="360" w:lineRule="exact"/>
        <w:jc w:val="center"/>
        <w:rPr>
          <w:rFonts w:hAnsi="宋体"/>
          <w:color w:val="auto"/>
          <w:sz w:val="22"/>
          <w:highlight w:val="none"/>
        </w:rPr>
      </w:pPr>
    </w:p>
    <w:tbl>
      <w:tblPr>
        <w:tblStyle w:val="28"/>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tcPr>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aps/>
                <w:color w:val="auto"/>
                <w:spacing w:val="20"/>
                <w:sz w:val="22"/>
                <w:highlight w:val="none"/>
              </w:rPr>
              <w:t>序号</w:t>
            </w:r>
          </w:p>
        </w:tc>
        <w:tc>
          <w:tcPr>
            <w:tcW w:w="1153" w:type="dxa"/>
            <w:tcBorders>
              <w:top w:val="double" w:color="000000" w:sz="6" w:space="0"/>
            </w:tcBorders>
          </w:tcPr>
          <w:p>
            <w:pPr>
              <w:tabs>
                <w:tab w:val="left" w:pos="4140"/>
              </w:tabs>
              <w:adjustRightInd w:val="0"/>
              <w:snapToGrid w:val="0"/>
              <w:spacing w:line="320" w:lineRule="atLeast"/>
              <w:jc w:val="center"/>
              <w:rPr>
                <w:rFonts w:ascii="宋体"/>
                <w:color w:val="auto"/>
                <w:spacing w:val="20"/>
                <w:sz w:val="22"/>
                <w:highlight w:val="none"/>
              </w:rPr>
            </w:pPr>
            <w:r>
              <w:rPr>
                <w:rFonts w:hint="eastAsia" w:ascii="宋体"/>
                <w:color w:val="auto"/>
                <w:spacing w:val="20"/>
                <w:sz w:val="22"/>
                <w:highlight w:val="none"/>
              </w:rPr>
              <w:t>采购</w:t>
            </w:r>
          </w:p>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olor w:val="auto"/>
                <w:spacing w:val="20"/>
                <w:sz w:val="22"/>
                <w:highlight w:val="none"/>
              </w:rPr>
              <w:t>单位</w:t>
            </w:r>
          </w:p>
        </w:tc>
        <w:tc>
          <w:tcPr>
            <w:tcW w:w="1154" w:type="dxa"/>
            <w:tcBorders>
              <w:top w:val="double" w:color="000000" w:sz="6" w:space="0"/>
            </w:tcBorders>
          </w:tcPr>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aps/>
                <w:color w:val="auto"/>
                <w:spacing w:val="20"/>
                <w:sz w:val="22"/>
                <w:highlight w:val="none"/>
              </w:rPr>
              <w:t>项目</w:t>
            </w:r>
          </w:p>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aps/>
                <w:color w:val="auto"/>
                <w:spacing w:val="20"/>
                <w:sz w:val="22"/>
                <w:highlight w:val="none"/>
              </w:rPr>
              <w:t>名称</w:t>
            </w:r>
          </w:p>
        </w:tc>
        <w:tc>
          <w:tcPr>
            <w:tcW w:w="1154" w:type="dxa"/>
            <w:tcBorders>
              <w:top w:val="double" w:color="000000" w:sz="6" w:space="0"/>
            </w:tcBorders>
          </w:tcPr>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aps/>
                <w:color w:val="auto"/>
                <w:spacing w:val="20"/>
                <w:sz w:val="22"/>
                <w:highlight w:val="none"/>
              </w:rPr>
              <w:t>数量</w:t>
            </w:r>
          </w:p>
        </w:tc>
        <w:tc>
          <w:tcPr>
            <w:tcW w:w="1154" w:type="dxa"/>
            <w:tcBorders>
              <w:top w:val="double" w:color="000000" w:sz="6" w:space="0"/>
            </w:tcBorders>
          </w:tcPr>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aps/>
                <w:color w:val="auto"/>
                <w:spacing w:val="20"/>
                <w:sz w:val="22"/>
                <w:highlight w:val="none"/>
              </w:rPr>
              <w:t>合同</w:t>
            </w:r>
          </w:p>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aps/>
                <w:color w:val="auto"/>
                <w:spacing w:val="20"/>
                <w:sz w:val="22"/>
                <w:highlight w:val="none"/>
              </w:rPr>
              <w:t>金额</w:t>
            </w:r>
          </w:p>
        </w:tc>
        <w:tc>
          <w:tcPr>
            <w:tcW w:w="1154" w:type="dxa"/>
            <w:tcBorders>
              <w:top w:val="double" w:color="000000" w:sz="6" w:space="0"/>
            </w:tcBorders>
          </w:tcPr>
          <w:p>
            <w:pPr>
              <w:tabs>
                <w:tab w:val="left" w:pos="4140"/>
              </w:tabs>
              <w:adjustRightInd w:val="0"/>
              <w:snapToGrid w:val="0"/>
              <w:spacing w:line="320" w:lineRule="atLeast"/>
              <w:jc w:val="center"/>
              <w:rPr>
                <w:rFonts w:ascii="宋体"/>
                <w:color w:val="auto"/>
                <w:spacing w:val="20"/>
                <w:sz w:val="22"/>
                <w:highlight w:val="none"/>
              </w:rPr>
            </w:pPr>
            <w:r>
              <w:rPr>
                <w:rFonts w:hint="eastAsia" w:ascii="宋体"/>
                <w:color w:val="auto"/>
                <w:spacing w:val="20"/>
                <w:sz w:val="22"/>
                <w:highlight w:val="none"/>
              </w:rPr>
              <w:t>签约</w:t>
            </w:r>
          </w:p>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olor w:val="auto"/>
                <w:spacing w:val="20"/>
                <w:sz w:val="22"/>
                <w:highlight w:val="none"/>
              </w:rPr>
              <w:t>日期</w:t>
            </w:r>
          </w:p>
        </w:tc>
        <w:tc>
          <w:tcPr>
            <w:tcW w:w="1154" w:type="dxa"/>
            <w:tcBorders>
              <w:top w:val="double" w:color="000000" w:sz="6" w:space="0"/>
            </w:tcBorders>
          </w:tcPr>
          <w:p>
            <w:pPr>
              <w:tabs>
                <w:tab w:val="left" w:pos="4140"/>
              </w:tabs>
              <w:adjustRightInd w:val="0"/>
              <w:snapToGrid w:val="0"/>
              <w:spacing w:line="320" w:lineRule="atLeast"/>
              <w:jc w:val="center"/>
              <w:rPr>
                <w:rFonts w:ascii="宋体"/>
                <w:color w:val="auto"/>
                <w:spacing w:val="20"/>
                <w:sz w:val="22"/>
                <w:highlight w:val="none"/>
              </w:rPr>
            </w:pPr>
            <w:r>
              <w:rPr>
                <w:rFonts w:hint="eastAsia" w:ascii="宋体"/>
                <w:color w:val="auto"/>
                <w:spacing w:val="20"/>
                <w:sz w:val="22"/>
                <w:highlight w:val="none"/>
              </w:rPr>
              <w:t>联系人</w:t>
            </w:r>
          </w:p>
        </w:tc>
        <w:tc>
          <w:tcPr>
            <w:tcW w:w="1154" w:type="dxa"/>
            <w:tcBorders>
              <w:top w:val="double" w:color="000000" w:sz="6" w:space="0"/>
            </w:tcBorders>
          </w:tcPr>
          <w:p>
            <w:pPr>
              <w:tabs>
                <w:tab w:val="left" w:pos="4140"/>
              </w:tabs>
              <w:adjustRightInd w:val="0"/>
              <w:snapToGrid w:val="0"/>
              <w:spacing w:line="320" w:lineRule="atLeast"/>
              <w:jc w:val="center"/>
              <w:rPr>
                <w:rFonts w:ascii="宋体"/>
                <w:color w:val="auto"/>
                <w:spacing w:val="20"/>
                <w:sz w:val="22"/>
                <w:highlight w:val="none"/>
              </w:rPr>
            </w:pPr>
            <w:r>
              <w:rPr>
                <w:rFonts w:hint="eastAsia" w:ascii="宋体"/>
                <w:color w:val="auto"/>
                <w:spacing w:val="20"/>
                <w:sz w:val="22"/>
                <w:highlight w:val="none"/>
              </w:rPr>
              <w:t>联系</w:t>
            </w:r>
          </w:p>
          <w:p>
            <w:pPr>
              <w:tabs>
                <w:tab w:val="left" w:pos="4140"/>
              </w:tabs>
              <w:adjustRightInd w:val="0"/>
              <w:snapToGrid w:val="0"/>
              <w:spacing w:line="320" w:lineRule="atLeast"/>
              <w:jc w:val="center"/>
              <w:rPr>
                <w:rFonts w:ascii="宋体"/>
                <w:color w:val="auto"/>
                <w:spacing w:val="20"/>
                <w:sz w:val="22"/>
                <w:highlight w:val="none"/>
              </w:rPr>
            </w:pPr>
            <w:r>
              <w:rPr>
                <w:rFonts w:hint="eastAsia" w:ascii="宋体"/>
                <w:color w:val="auto"/>
                <w:spacing w:val="20"/>
                <w:sz w:val="22"/>
                <w:highlight w:val="none"/>
              </w:rPr>
              <w:t>电话</w:t>
            </w:r>
          </w:p>
        </w:tc>
        <w:tc>
          <w:tcPr>
            <w:tcW w:w="770" w:type="dxa"/>
            <w:tcBorders>
              <w:top w:val="double" w:color="000000" w:sz="6" w:space="0"/>
            </w:tcBorders>
          </w:tcPr>
          <w:p>
            <w:pPr>
              <w:tabs>
                <w:tab w:val="left" w:pos="4140"/>
              </w:tabs>
              <w:adjustRightInd w:val="0"/>
              <w:snapToGrid w:val="0"/>
              <w:spacing w:line="320" w:lineRule="atLeast"/>
              <w:jc w:val="center"/>
              <w:rPr>
                <w:rFonts w:ascii="宋体"/>
                <w:color w:val="auto"/>
                <w:spacing w:val="20"/>
                <w:sz w:val="22"/>
                <w:highlight w:val="none"/>
              </w:rPr>
            </w:pPr>
            <w:r>
              <w:rPr>
                <w:rFonts w:hint="eastAsia" w:ascii="宋体"/>
                <w:color w:val="auto"/>
                <w:spacing w:val="20"/>
                <w:sz w:val="2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color w:val="auto"/>
                <w:spacing w:val="20"/>
                <w:sz w:val="22"/>
                <w:highlight w:val="none"/>
              </w:rPr>
            </w:pPr>
          </w:p>
        </w:tc>
        <w:tc>
          <w:tcPr>
            <w:tcW w:w="1153"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1154" w:type="dxa"/>
          </w:tcPr>
          <w:p>
            <w:pPr>
              <w:tabs>
                <w:tab w:val="left" w:pos="4140"/>
              </w:tabs>
              <w:adjustRightInd w:val="0"/>
              <w:snapToGrid w:val="0"/>
              <w:spacing w:line="320" w:lineRule="atLeast"/>
              <w:rPr>
                <w:rFonts w:ascii="宋体"/>
                <w:color w:val="auto"/>
                <w:spacing w:val="20"/>
                <w:sz w:val="22"/>
                <w:highlight w:val="none"/>
              </w:rPr>
            </w:pPr>
          </w:p>
        </w:tc>
        <w:tc>
          <w:tcPr>
            <w:tcW w:w="770" w:type="dxa"/>
          </w:tcPr>
          <w:p>
            <w:pPr>
              <w:tabs>
                <w:tab w:val="left" w:pos="4140"/>
              </w:tabs>
              <w:adjustRightInd w:val="0"/>
              <w:snapToGrid w:val="0"/>
              <w:spacing w:line="320" w:lineRule="atLeast"/>
              <w:rPr>
                <w:rFonts w:ascii="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pPr>
              <w:tabs>
                <w:tab w:val="left" w:pos="4140"/>
              </w:tabs>
              <w:adjustRightInd w:val="0"/>
              <w:snapToGrid w:val="0"/>
              <w:spacing w:line="320" w:lineRule="atLeast"/>
              <w:rPr>
                <w:rFonts w:ascii="宋体"/>
                <w:color w:val="auto"/>
                <w:spacing w:val="20"/>
                <w:sz w:val="22"/>
                <w:highlight w:val="none"/>
              </w:rPr>
            </w:pPr>
          </w:p>
        </w:tc>
        <w:tc>
          <w:tcPr>
            <w:tcW w:w="1153" w:type="dxa"/>
            <w:tcBorders>
              <w:bottom w:val="double" w:color="000000" w:sz="6" w:space="0"/>
            </w:tcBorders>
          </w:tcPr>
          <w:p>
            <w:pPr>
              <w:tabs>
                <w:tab w:val="left" w:pos="4140"/>
              </w:tabs>
              <w:adjustRightInd w:val="0"/>
              <w:snapToGrid w:val="0"/>
              <w:spacing w:line="320" w:lineRule="atLeast"/>
              <w:rPr>
                <w:rFonts w:ascii="宋体"/>
                <w:color w:val="auto"/>
                <w:spacing w:val="20"/>
                <w:sz w:val="22"/>
                <w:highlight w:val="none"/>
              </w:rPr>
            </w:pPr>
          </w:p>
        </w:tc>
        <w:tc>
          <w:tcPr>
            <w:tcW w:w="1154" w:type="dxa"/>
            <w:tcBorders>
              <w:bottom w:val="double" w:color="000000" w:sz="6" w:space="0"/>
            </w:tcBorders>
          </w:tcPr>
          <w:p>
            <w:pPr>
              <w:tabs>
                <w:tab w:val="left" w:pos="4140"/>
              </w:tabs>
              <w:adjustRightInd w:val="0"/>
              <w:snapToGrid w:val="0"/>
              <w:spacing w:line="320" w:lineRule="atLeast"/>
              <w:rPr>
                <w:rFonts w:ascii="宋体"/>
                <w:color w:val="auto"/>
                <w:spacing w:val="20"/>
                <w:sz w:val="22"/>
                <w:highlight w:val="none"/>
              </w:rPr>
            </w:pPr>
          </w:p>
        </w:tc>
        <w:tc>
          <w:tcPr>
            <w:tcW w:w="1154" w:type="dxa"/>
            <w:tcBorders>
              <w:bottom w:val="double" w:color="000000" w:sz="6" w:space="0"/>
            </w:tcBorders>
          </w:tcPr>
          <w:p>
            <w:pPr>
              <w:tabs>
                <w:tab w:val="left" w:pos="4140"/>
              </w:tabs>
              <w:adjustRightInd w:val="0"/>
              <w:snapToGrid w:val="0"/>
              <w:spacing w:line="320" w:lineRule="atLeast"/>
              <w:rPr>
                <w:rFonts w:ascii="宋体"/>
                <w:color w:val="auto"/>
                <w:spacing w:val="20"/>
                <w:sz w:val="22"/>
                <w:highlight w:val="none"/>
              </w:rPr>
            </w:pPr>
          </w:p>
        </w:tc>
        <w:tc>
          <w:tcPr>
            <w:tcW w:w="1154" w:type="dxa"/>
            <w:tcBorders>
              <w:bottom w:val="double" w:color="000000" w:sz="6" w:space="0"/>
            </w:tcBorders>
          </w:tcPr>
          <w:p>
            <w:pPr>
              <w:tabs>
                <w:tab w:val="left" w:pos="4140"/>
              </w:tabs>
              <w:adjustRightInd w:val="0"/>
              <w:snapToGrid w:val="0"/>
              <w:spacing w:line="320" w:lineRule="atLeast"/>
              <w:rPr>
                <w:rFonts w:ascii="宋体"/>
                <w:color w:val="auto"/>
                <w:spacing w:val="20"/>
                <w:sz w:val="22"/>
                <w:highlight w:val="none"/>
              </w:rPr>
            </w:pPr>
          </w:p>
        </w:tc>
        <w:tc>
          <w:tcPr>
            <w:tcW w:w="1154" w:type="dxa"/>
            <w:tcBorders>
              <w:bottom w:val="double" w:color="000000" w:sz="6" w:space="0"/>
            </w:tcBorders>
          </w:tcPr>
          <w:p>
            <w:pPr>
              <w:tabs>
                <w:tab w:val="left" w:pos="4140"/>
              </w:tabs>
              <w:adjustRightInd w:val="0"/>
              <w:snapToGrid w:val="0"/>
              <w:spacing w:line="320" w:lineRule="atLeast"/>
              <w:rPr>
                <w:rFonts w:ascii="宋体"/>
                <w:color w:val="auto"/>
                <w:spacing w:val="20"/>
                <w:sz w:val="22"/>
                <w:highlight w:val="none"/>
              </w:rPr>
            </w:pPr>
          </w:p>
        </w:tc>
        <w:tc>
          <w:tcPr>
            <w:tcW w:w="1154" w:type="dxa"/>
            <w:tcBorders>
              <w:bottom w:val="double" w:color="000000" w:sz="6" w:space="0"/>
            </w:tcBorders>
          </w:tcPr>
          <w:p>
            <w:pPr>
              <w:tabs>
                <w:tab w:val="left" w:pos="4140"/>
              </w:tabs>
              <w:adjustRightInd w:val="0"/>
              <w:snapToGrid w:val="0"/>
              <w:spacing w:line="320" w:lineRule="atLeast"/>
              <w:rPr>
                <w:rFonts w:ascii="宋体"/>
                <w:color w:val="auto"/>
                <w:spacing w:val="20"/>
                <w:sz w:val="22"/>
                <w:highlight w:val="none"/>
              </w:rPr>
            </w:pPr>
          </w:p>
        </w:tc>
        <w:tc>
          <w:tcPr>
            <w:tcW w:w="1154" w:type="dxa"/>
            <w:tcBorders>
              <w:bottom w:val="double" w:color="000000" w:sz="6" w:space="0"/>
            </w:tcBorders>
          </w:tcPr>
          <w:p>
            <w:pPr>
              <w:tabs>
                <w:tab w:val="left" w:pos="4140"/>
              </w:tabs>
              <w:adjustRightInd w:val="0"/>
              <w:snapToGrid w:val="0"/>
              <w:spacing w:line="320" w:lineRule="atLeast"/>
              <w:rPr>
                <w:rFonts w:ascii="宋体"/>
                <w:color w:val="auto"/>
                <w:spacing w:val="20"/>
                <w:sz w:val="22"/>
                <w:highlight w:val="none"/>
              </w:rPr>
            </w:pPr>
          </w:p>
        </w:tc>
        <w:tc>
          <w:tcPr>
            <w:tcW w:w="770" w:type="dxa"/>
            <w:tcBorders>
              <w:bottom w:val="double" w:color="000000" w:sz="6" w:space="0"/>
            </w:tcBorders>
          </w:tcPr>
          <w:p>
            <w:pPr>
              <w:tabs>
                <w:tab w:val="left" w:pos="4140"/>
              </w:tabs>
              <w:adjustRightInd w:val="0"/>
              <w:snapToGrid w:val="0"/>
              <w:spacing w:line="320" w:lineRule="atLeast"/>
              <w:rPr>
                <w:rFonts w:ascii="宋体"/>
                <w:color w:val="auto"/>
                <w:spacing w:val="20"/>
                <w:sz w:val="22"/>
                <w:highlight w:val="none"/>
              </w:rPr>
            </w:pPr>
          </w:p>
        </w:tc>
      </w:tr>
    </w:tbl>
    <w:p>
      <w:pPr>
        <w:pStyle w:val="14"/>
        <w:spacing w:line="360" w:lineRule="exact"/>
        <w:rPr>
          <w:rFonts w:hAnsi="宋体"/>
          <w:b/>
          <w:bCs/>
          <w:color w:val="auto"/>
          <w:sz w:val="32"/>
          <w:highlight w:val="none"/>
        </w:rPr>
      </w:pPr>
      <w:r>
        <w:rPr>
          <w:rFonts w:hint="eastAsia" w:hAnsi="宋体"/>
          <w:color w:val="auto"/>
          <w:sz w:val="22"/>
          <w:highlight w:val="none"/>
        </w:rPr>
        <w:t>本表后附相关证明材料，证明材料以第七部分评审细则中的要求为准。</w:t>
      </w:r>
    </w:p>
    <w:p>
      <w:pPr>
        <w:rPr>
          <w:rFonts w:ascii="宋体"/>
          <w:color w:val="auto"/>
          <w:spacing w:val="20"/>
          <w:sz w:val="22"/>
          <w:highlight w:val="none"/>
        </w:rPr>
      </w:pPr>
    </w:p>
    <w:p>
      <w:pPr>
        <w:rPr>
          <w:color w:val="auto"/>
          <w:sz w:val="36"/>
          <w:szCs w:val="36"/>
          <w:highlight w:val="none"/>
        </w:rPr>
      </w:pPr>
      <w:r>
        <w:rPr>
          <w:rFonts w:hint="eastAsia" w:ascii="宋体"/>
          <w:color w:val="auto"/>
          <w:spacing w:val="20"/>
          <w:sz w:val="22"/>
          <w:highlight w:val="none"/>
        </w:rPr>
        <w:t>供应商盖章：</w:t>
      </w:r>
    </w:p>
    <w:p>
      <w:pPr>
        <w:autoSpaceDE w:val="0"/>
        <w:autoSpaceDN w:val="0"/>
        <w:adjustRightInd w:val="0"/>
        <w:spacing w:line="360" w:lineRule="exact"/>
        <w:rPr>
          <w:rFonts w:hAnsi="宋体"/>
          <w:color w:val="auto"/>
          <w:sz w:val="22"/>
          <w:highlight w:val="none"/>
        </w:rPr>
      </w:pPr>
      <w:r>
        <w:rPr>
          <w:rFonts w:hint="eastAsia" w:hAnsi="宋体"/>
          <w:color w:val="auto"/>
          <w:sz w:val="22"/>
          <w:highlight w:val="none"/>
        </w:rPr>
        <w:br w:type="textWrapping"/>
      </w:r>
    </w:p>
    <w:p>
      <w:pPr>
        <w:autoSpaceDE w:val="0"/>
        <w:autoSpaceDN w:val="0"/>
        <w:adjustRightInd w:val="0"/>
        <w:spacing w:line="360" w:lineRule="exact"/>
        <w:rPr>
          <w:rFonts w:ascii="宋体"/>
          <w:b/>
          <w:bCs/>
          <w:color w:val="auto"/>
          <w:sz w:val="32"/>
          <w:highlight w:val="none"/>
          <w:lang w:val="zh-CN"/>
        </w:rPr>
      </w:pPr>
    </w:p>
    <w:p>
      <w:pPr>
        <w:autoSpaceDE w:val="0"/>
        <w:autoSpaceDN w:val="0"/>
        <w:adjustRightInd w:val="0"/>
        <w:spacing w:line="360" w:lineRule="exact"/>
        <w:rPr>
          <w:rFonts w:ascii="宋体"/>
          <w:b/>
          <w:bCs/>
          <w:color w:val="auto"/>
          <w:sz w:val="32"/>
          <w:highlight w:val="none"/>
          <w:lang w:val="zh-CN"/>
        </w:rPr>
      </w:pPr>
    </w:p>
    <w:p>
      <w:pPr>
        <w:pStyle w:val="73"/>
        <w:widowControl w:val="0"/>
        <w:snapToGrid w:val="0"/>
        <w:spacing w:line="500" w:lineRule="exact"/>
        <w:rPr>
          <w:rFonts w:hAnsi="宋体" w:cs="方正小标宋简体"/>
          <w:b/>
          <w:bCs/>
          <w:color w:val="auto"/>
          <w:sz w:val="32"/>
          <w:szCs w:val="32"/>
          <w:highlight w:val="none"/>
        </w:rPr>
      </w:pPr>
    </w:p>
    <w:p>
      <w:pPr>
        <w:pStyle w:val="73"/>
        <w:widowControl w:val="0"/>
        <w:snapToGrid w:val="0"/>
        <w:spacing w:line="500" w:lineRule="exact"/>
        <w:rPr>
          <w:rFonts w:hAnsi="宋体" w:cs="方正小标宋简体"/>
          <w:b/>
          <w:bCs/>
          <w:color w:val="auto"/>
          <w:sz w:val="32"/>
          <w:szCs w:val="32"/>
          <w:highlight w:val="none"/>
        </w:rPr>
      </w:pPr>
      <w:r>
        <w:rPr>
          <w:rFonts w:hint="eastAsia" w:hAnsi="宋体" w:cs="方正小标宋简体"/>
          <w:b/>
          <w:bCs/>
          <w:color w:val="auto"/>
          <w:sz w:val="32"/>
          <w:szCs w:val="32"/>
          <w:highlight w:val="none"/>
        </w:rPr>
        <w:t>附件十三</w:t>
      </w:r>
    </w:p>
    <w:p>
      <w:pPr>
        <w:pStyle w:val="73"/>
        <w:widowControl w:val="0"/>
        <w:snapToGrid w:val="0"/>
        <w:spacing w:line="500" w:lineRule="exact"/>
        <w:jc w:val="center"/>
        <w:rPr>
          <w:rFonts w:hAnsi="宋体" w:cs="Times New Roman"/>
          <w:color w:val="auto"/>
          <w:sz w:val="32"/>
          <w:szCs w:val="32"/>
          <w:highlight w:val="none"/>
        </w:rPr>
      </w:pPr>
      <w:r>
        <w:rPr>
          <w:rFonts w:hint="eastAsia" w:hAnsi="宋体" w:cs="方正小标宋简体"/>
          <w:b/>
          <w:bCs/>
          <w:color w:val="auto"/>
          <w:sz w:val="32"/>
          <w:szCs w:val="32"/>
          <w:highlight w:val="none"/>
        </w:rPr>
        <w:t>政府采购活动现场确认声明书</w:t>
      </w:r>
    </w:p>
    <w:p>
      <w:pPr>
        <w:pStyle w:val="73"/>
        <w:widowControl w:val="0"/>
        <w:snapToGrid w:val="0"/>
        <w:spacing w:line="440" w:lineRule="exact"/>
        <w:jc w:val="both"/>
        <w:rPr>
          <w:rFonts w:hAnsi="宋体" w:cs="Times New Roman"/>
          <w:bCs/>
          <w:color w:val="auto"/>
          <w:sz w:val="22"/>
          <w:szCs w:val="22"/>
          <w:highlight w:val="none"/>
        </w:rPr>
      </w:pPr>
      <w:r>
        <w:rPr>
          <w:rFonts w:hint="eastAsia" w:hAnsi="宋体"/>
          <w:color w:val="auto"/>
          <w:kern w:val="0"/>
          <w:sz w:val="22"/>
          <w:szCs w:val="22"/>
          <w:highlight w:val="none"/>
          <w:u w:val="single"/>
        </w:rPr>
        <w:t>杭州华旗招标代理有限公司</w:t>
      </w:r>
      <w:r>
        <w:rPr>
          <w:rFonts w:hint="eastAsia" w:hAnsi="宋体"/>
          <w:color w:val="auto"/>
          <w:kern w:val="0"/>
          <w:sz w:val="22"/>
          <w:szCs w:val="22"/>
          <w:highlight w:val="none"/>
        </w:rPr>
        <w:t>：</w:t>
      </w:r>
    </w:p>
    <w:p>
      <w:pPr>
        <w:pStyle w:val="73"/>
        <w:widowControl w:val="0"/>
        <w:snapToGrid w:val="0"/>
        <w:spacing w:line="440" w:lineRule="exact"/>
        <w:ind w:firstLine="480" w:firstLineChars="200"/>
        <w:jc w:val="both"/>
        <w:rPr>
          <w:rFonts w:hAnsi="宋体"/>
          <w:color w:val="auto"/>
          <w:spacing w:val="6"/>
          <w:sz w:val="22"/>
          <w:szCs w:val="22"/>
          <w:highlight w:val="none"/>
        </w:rPr>
      </w:pPr>
      <w:r>
        <w:rPr>
          <w:rFonts w:hint="eastAsia" w:hAnsi="宋体"/>
          <w:color w:val="auto"/>
          <w:spacing w:val="6"/>
          <w:sz w:val="22"/>
          <w:szCs w:val="22"/>
          <w:highlight w:val="none"/>
        </w:rPr>
        <w:t>本人</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int="eastAsia" w:hAnsi="宋体"/>
          <w:color w:val="auto"/>
          <w:spacing w:val="6"/>
          <w:sz w:val="22"/>
          <w:szCs w:val="22"/>
          <w:highlight w:val="none"/>
        </w:rPr>
        <w:t>（授权代表姓名），经由</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（单位）</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（法定代表人姓名）合法授权参加</w:t>
      </w:r>
      <w:r>
        <w:rPr>
          <w:rFonts w:hint="eastAsia" w:hAnsi="宋体"/>
          <w:color w:val="auto"/>
          <w:sz w:val="22"/>
          <w:szCs w:val="22"/>
          <w:highlight w:val="none"/>
        </w:rPr>
        <w:t xml:space="preserve"> </w:t>
      </w:r>
      <w:r>
        <w:rPr>
          <w:rFonts w:hint="eastAsia" w:hAnsi="宋体"/>
          <w:color w:val="auto"/>
          <w:sz w:val="22"/>
          <w:szCs w:val="22"/>
          <w:highlight w:val="none"/>
          <w:u w:val="single"/>
        </w:rPr>
        <w:t xml:space="preserve"> 泰顺县城区生活垃圾再生资源回收利用采购项目（采购编号：</w:t>
      </w:r>
      <w:r>
        <w:rPr>
          <w:rFonts w:hint="eastAsia" w:hAnsi="宋体"/>
          <w:color w:val="auto"/>
          <w:sz w:val="22"/>
          <w:szCs w:val="22"/>
          <w:highlight w:val="none"/>
          <w:u w:val="single"/>
          <w:lang w:eastAsia="zh-CN"/>
        </w:rPr>
        <w:t>TSCG202302002</w:t>
      </w:r>
      <w:r>
        <w:rPr>
          <w:rFonts w:hint="eastAsia" w:hAnsi="宋体"/>
          <w:color w:val="auto"/>
          <w:sz w:val="22"/>
          <w:szCs w:val="22"/>
          <w:highlight w:val="none"/>
          <w:u w:val="single"/>
        </w:rPr>
        <w:t>）</w:t>
      </w:r>
      <w:r>
        <w:rPr>
          <w:rFonts w:hint="eastAsia" w:hAnsi="宋体"/>
          <w:color w:val="auto"/>
          <w:spacing w:val="6"/>
          <w:sz w:val="22"/>
          <w:szCs w:val="22"/>
          <w:highlight w:val="none"/>
        </w:rPr>
        <w:t>政府采购活动，经与本单位法人代表（负责人）联系确认，现就有关公平竞争事项郑重声明如下：</w:t>
      </w:r>
      <w:r>
        <w:rPr>
          <w:rFonts w:hAnsi="宋体"/>
          <w:color w:val="auto"/>
          <w:spacing w:val="6"/>
          <w:sz w:val="22"/>
          <w:szCs w:val="22"/>
          <w:highlight w:val="none"/>
        </w:rPr>
        <w:t xml:space="preserve"> </w:t>
      </w:r>
    </w:p>
    <w:p>
      <w:pPr>
        <w:pStyle w:val="37"/>
        <w:widowControl/>
        <w:numPr>
          <w:ilvl w:val="0"/>
          <w:numId w:val="11"/>
        </w:numPr>
        <w:snapToGrid w:val="0"/>
        <w:spacing w:line="440" w:lineRule="exact"/>
        <w:ind w:firstLine="430" w:firstLineChars="189"/>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rPr>
        <w:t>本单位与采购人之间</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pPr>
        <w:pStyle w:val="37"/>
        <w:widowControl/>
        <w:snapToGrid w:val="0"/>
        <w:spacing w:line="440" w:lineRule="exact"/>
        <w:rPr>
          <w:rFonts w:ascii="宋体" w:hAnsi="宋体" w:cs="Times New Roman"/>
          <w:color w:val="auto"/>
          <w:kern w:val="0"/>
          <w:sz w:val="22"/>
          <w:szCs w:val="22"/>
          <w:highlight w:val="none"/>
        </w:rPr>
      </w:pPr>
      <w:r>
        <w:rPr>
          <w:rFonts w:ascii="宋体" w:hAnsi="宋体" w:cs="宋体"/>
          <w:color w:val="auto"/>
          <w:kern w:val="0"/>
          <w:sz w:val="22"/>
          <w:szCs w:val="22"/>
          <w:highlight w:val="none"/>
        </w:rPr>
        <w:t xml:space="preserve">  A.</w:t>
      </w:r>
      <w:r>
        <w:rPr>
          <w:rFonts w:hint="eastAsia" w:ascii="宋体" w:hAnsi="宋体" w:cs="宋体"/>
          <w:color w:val="auto"/>
          <w:kern w:val="0"/>
          <w:sz w:val="22"/>
          <w:szCs w:val="22"/>
          <w:highlight w:val="none"/>
        </w:rPr>
        <w:t>投资关系</w:t>
      </w:r>
      <w:r>
        <w:rPr>
          <w:rFonts w:ascii="宋体" w:hAnsi="宋体" w:cs="宋体"/>
          <w:color w:val="auto"/>
          <w:kern w:val="0"/>
          <w:sz w:val="22"/>
          <w:szCs w:val="22"/>
          <w:highlight w:val="none"/>
        </w:rPr>
        <w:t xml:space="preserve">    B.</w:t>
      </w:r>
      <w:r>
        <w:rPr>
          <w:rFonts w:hint="eastAsia" w:ascii="宋体" w:hAnsi="宋体" w:cs="宋体"/>
          <w:color w:val="auto"/>
          <w:kern w:val="0"/>
          <w:sz w:val="22"/>
          <w:szCs w:val="22"/>
          <w:highlight w:val="none"/>
        </w:rPr>
        <w:t>行政隶属关系</w:t>
      </w:r>
      <w:r>
        <w:rPr>
          <w:rFonts w:ascii="宋体" w:hAnsi="宋体" w:cs="宋体"/>
          <w:color w:val="auto"/>
          <w:kern w:val="0"/>
          <w:sz w:val="22"/>
          <w:szCs w:val="22"/>
          <w:highlight w:val="none"/>
        </w:rPr>
        <w:t xml:space="preserve">    C.</w:t>
      </w:r>
      <w:r>
        <w:rPr>
          <w:rFonts w:hint="eastAsia" w:ascii="宋体" w:hAnsi="宋体" w:cs="宋体"/>
          <w:color w:val="auto"/>
          <w:kern w:val="0"/>
          <w:sz w:val="22"/>
          <w:szCs w:val="22"/>
          <w:highlight w:val="none"/>
        </w:rPr>
        <w:t>业务指导关系</w:t>
      </w:r>
    </w:p>
    <w:p>
      <w:pPr>
        <w:pStyle w:val="37"/>
        <w:widowControl/>
        <w:snapToGrid w:val="0"/>
        <w:spacing w:line="440" w:lineRule="exact"/>
        <w:rPr>
          <w:rFonts w:ascii="宋体" w:hAnsi="宋体" w:cs="Times New Roman"/>
          <w:color w:val="auto"/>
          <w:kern w:val="0"/>
          <w:sz w:val="22"/>
          <w:szCs w:val="22"/>
          <w:highlight w:val="none"/>
        </w:rPr>
      </w:pPr>
      <w:r>
        <w:rPr>
          <w:rFonts w:ascii="宋体" w:hAnsi="宋体" w:cs="宋体"/>
          <w:color w:val="auto"/>
          <w:kern w:val="0"/>
          <w:sz w:val="22"/>
          <w:szCs w:val="22"/>
          <w:highlight w:val="none"/>
        </w:rPr>
        <w:t xml:space="preserve">  D.</w:t>
      </w:r>
      <w:r>
        <w:rPr>
          <w:rFonts w:hint="eastAsia" w:ascii="宋体" w:hAnsi="宋体" w:cs="宋体"/>
          <w:color w:val="auto"/>
          <w:kern w:val="0"/>
          <w:sz w:val="22"/>
          <w:szCs w:val="22"/>
          <w:highlight w:val="none"/>
        </w:rPr>
        <w:t>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利害关系（如有，请如实说明）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pPr>
        <w:pStyle w:val="37"/>
        <w:widowControl/>
        <w:numPr>
          <w:ilvl w:val="0"/>
          <w:numId w:val="11"/>
        </w:numPr>
        <w:snapToGrid w:val="0"/>
        <w:spacing w:line="440" w:lineRule="exact"/>
        <w:ind w:firstLine="430"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现已清楚知道参加本项目采购活动的其他所有供应商名称，本单位</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□与其他所有供应商之间均不存在利害关系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pPr>
        <w:pStyle w:val="73"/>
        <w:widowControl w:val="0"/>
        <w:snapToGrid w:val="0"/>
        <w:spacing w:line="440" w:lineRule="exact"/>
        <w:jc w:val="both"/>
        <w:rPr>
          <w:rFonts w:hAnsi="宋体" w:cs="Times New Roman"/>
          <w:color w:val="auto"/>
          <w:kern w:val="0"/>
          <w:sz w:val="22"/>
          <w:szCs w:val="22"/>
          <w:highlight w:val="none"/>
        </w:rPr>
      </w:pPr>
      <w:r>
        <w:rPr>
          <w:rFonts w:hAnsi="宋体"/>
          <w:color w:val="auto"/>
          <w:kern w:val="0"/>
          <w:sz w:val="22"/>
          <w:szCs w:val="22"/>
          <w:highlight w:val="none"/>
        </w:rPr>
        <w:t xml:space="preserve">  A.</w:t>
      </w:r>
      <w:r>
        <w:rPr>
          <w:rFonts w:hint="eastAsia" w:hAnsi="宋体"/>
          <w:color w:val="auto"/>
          <w:kern w:val="0"/>
          <w:sz w:val="22"/>
          <w:szCs w:val="22"/>
          <w:highlight w:val="none"/>
        </w:rPr>
        <w:t>法定代表人或负责人或实际控制人是同一人</w:t>
      </w:r>
    </w:p>
    <w:p>
      <w:pPr>
        <w:pStyle w:val="73"/>
        <w:widowControl w:val="0"/>
        <w:snapToGrid w:val="0"/>
        <w:spacing w:line="440" w:lineRule="exact"/>
        <w:jc w:val="both"/>
        <w:rPr>
          <w:rFonts w:hAnsi="宋体" w:cs="Times New Roman"/>
          <w:color w:val="auto"/>
          <w:spacing w:val="6"/>
          <w:sz w:val="22"/>
          <w:szCs w:val="22"/>
          <w:highlight w:val="none"/>
        </w:rPr>
      </w:pPr>
      <w:r>
        <w:rPr>
          <w:rFonts w:hAnsi="宋体"/>
          <w:color w:val="auto"/>
          <w:kern w:val="0"/>
          <w:sz w:val="22"/>
          <w:szCs w:val="22"/>
          <w:highlight w:val="none"/>
        </w:rPr>
        <w:t xml:space="preserve">  B.</w:t>
      </w:r>
      <w:r>
        <w:rPr>
          <w:rFonts w:hint="eastAsia" w:hAnsi="宋体"/>
          <w:color w:val="auto"/>
          <w:kern w:val="0"/>
          <w:sz w:val="22"/>
          <w:szCs w:val="22"/>
          <w:highlight w:val="none"/>
        </w:rPr>
        <w:t>法定代表人或负责人或实际控制人是夫妻关系</w:t>
      </w:r>
    </w:p>
    <w:p>
      <w:pPr>
        <w:pStyle w:val="73"/>
        <w:widowControl w:val="0"/>
        <w:snapToGrid w:val="0"/>
        <w:spacing w:line="440" w:lineRule="exact"/>
        <w:jc w:val="both"/>
        <w:rPr>
          <w:rFonts w:hAnsi="宋体" w:cs="Times New Roman"/>
          <w:color w:val="auto"/>
          <w:spacing w:val="6"/>
          <w:sz w:val="22"/>
          <w:szCs w:val="22"/>
          <w:highlight w:val="none"/>
        </w:rPr>
      </w:pPr>
      <w:r>
        <w:rPr>
          <w:rFonts w:hAnsi="宋体"/>
          <w:color w:val="auto"/>
          <w:kern w:val="0"/>
          <w:sz w:val="22"/>
          <w:szCs w:val="22"/>
          <w:highlight w:val="none"/>
        </w:rPr>
        <w:t xml:space="preserve">  C.</w:t>
      </w:r>
      <w:r>
        <w:rPr>
          <w:rFonts w:hint="eastAsia" w:hAnsi="宋体"/>
          <w:color w:val="auto"/>
          <w:kern w:val="0"/>
          <w:sz w:val="22"/>
          <w:szCs w:val="22"/>
          <w:highlight w:val="none"/>
        </w:rPr>
        <w:t>法定代表人或负责人或实际控制人是直系血亲关系</w:t>
      </w:r>
    </w:p>
    <w:p>
      <w:pPr>
        <w:pStyle w:val="73"/>
        <w:widowControl w:val="0"/>
        <w:snapToGrid w:val="0"/>
        <w:spacing w:line="440" w:lineRule="exact"/>
        <w:jc w:val="both"/>
        <w:rPr>
          <w:rFonts w:hAnsi="宋体" w:cs="Times New Roman"/>
          <w:color w:val="auto"/>
          <w:spacing w:val="6"/>
          <w:sz w:val="22"/>
          <w:szCs w:val="22"/>
          <w:highlight w:val="none"/>
        </w:rPr>
      </w:pPr>
      <w:r>
        <w:rPr>
          <w:rFonts w:hAnsi="宋体"/>
          <w:color w:val="auto"/>
          <w:kern w:val="0"/>
          <w:sz w:val="22"/>
          <w:szCs w:val="22"/>
          <w:highlight w:val="none"/>
        </w:rPr>
        <w:t xml:space="preserve">  D.</w:t>
      </w:r>
      <w:r>
        <w:rPr>
          <w:rFonts w:hint="eastAsia" w:hAnsi="宋体"/>
          <w:color w:val="auto"/>
          <w:kern w:val="0"/>
          <w:sz w:val="22"/>
          <w:szCs w:val="22"/>
          <w:highlight w:val="none"/>
        </w:rPr>
        <w:t>法定代表人或负责人或实际控制人存在三代以内旁系血亲关系</w:t>
      </w:r>
    </w:p>
    <w:p>
      <w:pPr>
        <w:pStyle w:val="73"/>
        <w:widowControl w:val="0"/>
        <w:snapToGrid w:val="0"/>
        <w:spacing w:line="440" w:lineRule="exact"/>
        <w:jc w:val="both"/>
        <w:rPr>
          <w:rFonts w:hAnsi="宋体" w:cs="Times New Roman"/>
          <w:color w:val="auto"/>
          <w:kern w:val="0"/>
          <w:sz w:val="22"/>
          <w:szCs w:val="22"/>
          <w:highlight w:val="none"/>
        </w:rPr>
      </w:pPr>
      <w:r>
        <w:rPr>
          <w:rFonts w:hAnsi="宋体"/>
          <w:color w:val="auto"/>
          <w:kern w:val="0"/>
          <w:sz w:val="22"/>
          <w:szCs w:val="22"/>
          <w:highlight w:val="none"/>
        </w:rPr>
        <w:t xml:space="preserve">  E.</w:t>
      </w:r>
      <w:r>
        <w:rPr>
          <w:rFonts w:hint="eastAsia" w:hAnsi="宋体"/>
          <w:color w:val="auto"/>
          <w:kern w:val="0"/>
          <w:sz w:val="22"/>
          <w:szCs w:val="22"/>
          <w:highlight w:val="none"/>
        </w:rPr>
        <w:t>法定代表人或负责人或实际控制人存在近姻亲关系</w:t>
      </w:r>
    </w:p>
    <w:p>
      <w:pPr>
        <w:pStyle w:val="73"/>
        <w:widowControl w:val="0"/>
        <w:snapToGrid w:val="0"/>
        <w:spacing w:line="440" w:lineRule="exact"/>
        <w:jc w:val="both"/>
        <w:rPr>
          <w:rFonts w:hAnsi="宋体" w:cs="Times New Roman"/>
          <w:color w:val="auto"/>
          <w:kern w:val="0"/>
          <w:sz w:val="22"/>
          <w:szCs w:val="22"/>
          <w:highlight w:val="none"/>
        </w:rPr>
      </w:pPr>
      <w:r>
        <w:rPr>
          <w:rFonts w:hAnsi="宋体"/>
          <w:color w:val="auto"/>
          <w:kern w:val="0"/>
          <w:sz w:val="22"/>
          <w:szCs w:val="22"/>
          <w:highlight w:val="none"/>
        </w:rPr>
        <w:t xml:space="preserve">  F.</w:t>
      </w:r>
      <w:r>
        <w:rPr>
          <w:rFonts w:hint="eastAsia" w:hAnsi="宋体"/>
          <w:color w:val="auto"/>
          <w:kern w:val="0"/>
          <w:sz w:val="22"/>
          <w:szCs w:val="22"/>
          <w:highlight w:val="none"/>
        </w:rPr>
        <w:t>法定代表人或负责人或实际控制人存在股份控制或实际控制关系</w:t>
      </w:r>
    </w:p>
    <w:p>
      <w:pPr>
        <w:pStyle w:val="73"/>
        <w:widowControl w:val="0"/>
        <w:snapToGrid w:val="0"/>
        <w:spacing w:line="440" w:lineRule="exact"/>
        <w:jc w:val="both"/>
        <w:rPr>
          <w:rFonts w:hAnsi="宋体" w:cs="Times New Roman"/>
          <w:color w:val="auto"/>
          <w:kern w:val="0"/>
          <w:sz w:val="22"/>
          <w:szCs w:val="22"/>
          <w:highlight w:val="none"/>
        </w:rPr>
      </w:pPr>
      <w:r>
        <w:rPr>
          <w:rFonts w:hAnsi="宋体"/>
          <w:color w:val="auto"/>
          <w:kern w:val="0"/>
          <w:sz w:val="22"/>
          <w:szCs w:val="22"/>
          <w:highlight w:val="none"/>
        </w:rPr>
        <w:t xml:space="preserve">  G.</w:t>
      </w:r>
      <w:r>
        <w:rPr>
          <w:rFonts w:hint="eastAsia" w:hAnsi="宋体"/>
          <w:color w:val="auto"/>
          <w:kern w:val="0"/>
          <w:sz w:val="22"/>
          <w:szCs w:val="22"/>
          <w:highlight w:val="none"/>
        </w:rPr>
        <w:t>存在共同直接或间接投资设立子公司、联营企业和合营企业情况</w:t>
      </w:r>
    </w:p>
    <w:p>
      <w:pPr>
        <w:pStyle w:val="73"/>
        <w:widowControl w:val="0"/>
        <w:snapToGrid w:val="0"/>
        <w:spacing w:line="440" w:lineRule="exact"/>
        <w:jc w:val="both"/>
        <w:rPr>
          <w:rFonts w:hAnsi="宋体" w:cs="Times New Roman"/>
          <w:color w:val="auto"/>
          <w:sz w:val="22"/>
          <w:szCs w:val="22"/>
          <w:highlight w:val="none"/>
        </w:rPr>
      </w:pPr>
      <w:r>
        <w:rPr>
          <w:rFonts w:hAnsi="宋体"/>
          <w:color w:val="auto"/>
          <w:kern w:val="0"/>
          <w:sz w:val="22"/>
          <w:szCs w:val="22"/>
          <w:highlight w:val="none"/>
        </w:rPr>
        <w:t xml:space="preserve">  H.</w:t>
      </w:r>
      <w:r>
        <w:rPr>
          <w:rFonts w:hint="eastAsia" w:hAnsi="宋体"/>
          <w:color w:val="auto"/>
          <w:kern w:val="0"/>
          <w:sz w:val="22"/>
          <w:szCs w:val="22"/>
          <w:highlight w:val="none"/>
        </w:rPr>
        <w:t>存在分级代理或代销关系、同一生产制造商关系、</w:t>
      </w:r>
      <w:r>
        <w:rPr>
          <w:rFonts w:hint="eastAsia" w:hAnsi="宋体"/>
          <w:color w:val="auto"/>
          <w:sz w:val="22"/>
          <w:szCs w:val="22"/>
          <w:highlight w:val="none"/>
        </w:rPr>
        <w:t>管理关系、重要业务（占主营业务收入</w:t>
      </w:r>
      <w:r>
        <w:rPr>
          <w:rFonts w:hAnsi="宋体"/>
          <w:color w:val="auto"/>
          <w:sz w:val="22"/>
          <w:szCs w:val="22"/>
          <w:highlight w:val="none"/>
        </w:rPr>
        <w:t>50%</w:t>
      </w:r>
      <w:r>
        <w:rPr>
          <w:rFonts w:hint="eastAsia" w:hAnsi="宋体"/>
          <w:color w:val="auto"/>
          <w:sz w:val="22"/>
          <w:szCs w:val="22"/>
          <w:highlight w:val="none"/>
        </w:rPr>
        <w:t>以上）或重要财务往来关系（如融资）等其他实质性控制关系</w:t>
      </w:r>
    </w:p>
    <w:p>
      <w:pPr>
        <w:pStyle w:val="73"/>
        <w:widowControl w:val="0"/>
        <w:snapToGrid w:val="0"/>
        <w:spacing w:line="440" w:lineRule="exact"/>
        <w:jc w:val="both"/>
        <w:rPr>
          <w:rFonts w:hAnsi="宋体" w:cs="Times New Roman"/>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int="eastAsia" w:hAnsi="宋体"/>
          <w:color w:val="auto"/>
          <w:sz w:val="22"/>
          <w:szCs w:val="22"/>
          <w:highlight w:val="none"/>
        </w:rPr>
        <w:t>其他利害关系情况</w:t>
      </w:r>
      <w:r>
        <w:rPr>
          <w:rFonts w:hAnsi="宋体"/>
          <w:color w:val="auto"/>
          <w:sz w:val="22"/>
          <w:szCs w:val="22"/>
          <w:highlight w:val="none"/>
          <w:u w:val="single"/>
        </w:rPr>
        <w:t xml:space="preserve">                              </w:t>
      </w:r>
      <w:r>
        <w:rPr>
          <w:rFonts w:hint="eastAsia" w:hAnsi="宋体"/>
          <w:color w:val="auto"/>
          <w:kern w:val="0"/>
          <w:sz w:val="22"/>
          <w:szCs w:val="22"/>
          <w:highlight w:val="none"/>
        </w:rPr>
        <w:t>。</w:t>
      </w:r>
    </w:p>
    <w:p>
      <w:pPr>
        <w:pStyle w:val="37"/>
        <w:widowControl/>
        <w:numPr>
          <w:ilvl w:val="0"/>
          <w:numId w:val="12"/>
        </w:numPr>
        <w:snapToGrid w:val="0"/>
        <w:spacing w:line="440" w:lineRule="exact"/>
        <w:ind w:firstLine="430" w:firstLineChars="189"/>
        <w:rPr>
          <w:rFonts w:ascii="宋体" w:hAnsi="宋体" w:cs="Times New Roman"/>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pPr>
        <w:pStyle w:val="37"/>
        <w:widowControl/>
        <w:numPr>
          <w:ilvl w:val="0"/>
          <w:numId w:val="12"/>
        </w:numPr>
        <w:snapToGrid w:val="0"/>
        <w:spacing w:line="440" w:lineRule="exact"/>
        <w:ind w:firstLine="430" w:firstLineChars="189"/>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项利害关系。</w:t>
      </w:r>
    </w:p>
    <w:p>
      <w:pPr>
        <w:pStyle w:val="37"/>
        <w:widowControl/>
        <w:numPr>
          <w:ilvl w:val="0"/>
          <w:numId w:val="12"/>
        </w:numPr>
        <w:snapToGrid w:val="0"/>
        <w:spacing w:line="440" w:lineRule="exact"/>
        <w:ind w:firstLine="430" w:firstLineChars="189"/>
        <w:rPr>
          <w:rFonts w:ascii="宋体" w:hAnsi="宋体" w:cs="Times New Roman"/>
          <w:color w:val="auto"/>
          <w:sz w:val="22"/>
          <w:szCs w:val="22"/>
          <w:highlight w:val="none"/>
        </w:rPr>
      </w:pPr>
      <w:r>
        <w:rPr>
          <w:rFonts w:hint="eastAsia" w:ascii="宋体" w:hAnsi="宋体" w:cs="宋体"/>
          <w:color w:val="auto"/>
          <w:kern w:val="0"/>
          <w:sz w:val="22"/>
          <w:szCs w:val="22"/>
          <w:highlight w:val="none"/>
        </w:rPr>
        <w:t>经检查确认所有投标人投标文件</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不存在密封包装问题□存在密封包装问题（具体指出）</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pPr>
        <w:pStyle w:val="73"/>
        <w:widowControl w:val="0"/>
        <w:snapToGrid w:val="0"/>
        <w:spacing w:line="440" w:lineRule="exact"/>
        <w:ind w:firstLine="456" w:firstLineChars="200"/>
        <w:jc w:val="center"/>
        <w:rPr>
          <w:rFonts w:hAnsi="宋体" w:cs="Times New Roman"/>
          <w:color w:val="auto"/>
          <w:sz w:val="22"/>
          <w:szCs w:val="22"/>
          <w:highlight w:val="none"/>
        </w:rPr>
      </w:pPr>
      <w:r>
        <w:rPr>
          <w:rFonts w:hint="eastAsia" w:hAnsi="宋体"/>
          <w:color w:val="auto"/>
          <w:sz w:val="22"/>
          <w:szCs w:val="22"/>
          <w:highlight w:val="none"/>
        </w:rPr>
        <w:t>（供应商代表签名）：</w:t>
      </w:r>
    </w:p>
    <w:p>
      <w:pPr>
        <w:pStyle w:val="73"/>
        <w:widowControl w:val="0"/>
        <w:snapToGrid w:val="0"/>
        <w:spacing w:line="440" w:lineRule="exact"/>
        <w:ind w:firstLine="456" w:firstLineChars="200"/>
        <w:jc w:val="center"/>
        <w:rPr>
          <w:rFonts w:hAnsi="宋体" w:cs="Times New Roman"/>
          <w:color w:val="auto"/>
          <w:sz w:val="22"/>
          <w:szCs w:val="22"/>
          <w:highlight w:val="none"/>
        </w:rPr>
      </w:pPr>
      <w:r>
        <w:rPr>
          <w:rFonts w:hint="eastAsia" w:hAnsi="宋体"/>
          <w:color w:val="auto"/>
          <w:sz w:val="22"/>
          <w:szCs w:val="22"/>
          <w:highlight w:val="none"/>
        </w:rPr>
        <w:t xml:space="preserve"> 年 月 日</w:t>
      </w:r>
    </w:p>
    <w:p>
      <w:pPr>
        <w:pStyle w:val="43"/>
        <w:spacing w:line="440" w:lineRule="atLeast"/>
        <w:rPr>
          <w:rFonts w:cs="Arial"/>
          <w:b/>
          <w:bCs/>
          <w:color w:val="auto"/>
          <w:sz w:val="32"/>
          <w:szCs w:val="32"/>
          <w:highlight w:val="none"/>
        </w:rPr>
      </w:pPr>
      <w:r>
        <w:rPr>
          <w:rFonts w:hint="eastAsia"/>
          <w:color w:val="auto"/>
          <w:sz w:val="22"/>
          <w:highlight w:val="none"/>
        </w:rPr>
        <w:t xml:space="preserve">          </w:t>
      </w:r>
      <w:r>
        <w:rPr>
          <w:rFonts w:cs="Arial"/>
          <w:b/>
          <w:bCs/>
          <w:color w:val="auto"/>
          <w:sz w:val="32"/>
          <w:szCs w:val="32"/>
          <w:highlight w:val="none"/>
        </w:rPr>
        <w:t xml:space="preserve">                 </w:t>
      </w:r>
    </w:p>
    <w:p>
      <w:pPr>
        <w:pStyle w:val="43"/>
        <w:spacing w:line="440" w:lineRule="atLeast"/>
        <w:jc w:val="center"/>
        <w:rPr>
          <w:b/>
          <w:bCs/>
          <w:color w:val="auto"/>
          <w:sz w:val="32"/>
          <w:szCs w:val="32"/>
          <w:highlight w:val="none"/>
        </w:rPr>
      </w:pPr>
      <w:r>
        <w:rPr>
          <w:rFonts w:hint="eastAsia"/>
          <w:b/>
          <w:bCs/>
          <w:color w:val="auto"/>
          <w:sz w:val="32"/>
          <w:szCs w:val="32"/>
          <w:highlight w:val="none"/>
        </w:rPr>
        <w:t>第七部分</w:t>
      </w:r>
      <w:r>
        <w:rPr>
          <w:b/>
          <w:bCs/>
          <w:color w:val="auto"/>
          <w:sz w:val="32"/>
          <w:szCs w:val="32"/>
          <w:highlight w:val="none"/>
        </w:rPr>
        <w:t xml:space="preserve">    </w:t>
      </w:r>
      <w:r>
        <w:rPr>
          <w:rFonts w:hint="eastAsia"/>
          <w:b/>
          <w:bCs/>
          <w:color w:val="auto"/>
          <w:sz w:val="32"/>
          <w:szCs w:val="32"/>
          <w:highlight w:val="none"/>
        </w:rPr>
        <w:t>评标办法</w:t>
      </w:r>
    </w:p>
    <w:p>
      <w:pPr>
        <w:tabs>
          <w:tab w:val="left" w:pos="8820"/>
        </w:tabs>
        <w:adjustRightInd w:val="0"/>
        <w:snapToGrid w:val="0"/>
        <w:spacing w:before="100" w:line="380" w:lineRule="exact"/>
        <w:ind w:firstLine="456" w:firstLineChars="200"/>
        <w:rPr>
          <w:rFonts w:ascii="宋体"/>
          <w:color w:val="auto"/>
          <w:sz w:val="22"/>
          <w:szCs w:val="22"/>
          <w:highlight w:val="none"/>
        </w:rPr>
      </w:pPr>
      <w:r>
        <w:rPr>
          <w:rFonts w:hint="eastAsia" w:ascii="宋体"/>
          <w:color w:val="auto"/>
          <w:sz w:val="22"/>
          <w:szCs w:val="22"/>
          <w:highlight w:val="none"/>
        </w:rPr>
        <w:t>根据《中华人民共和国政府采购法》等有关政府采购法规，结合本次所要采购项目的实际，按照公平、公正、科学、择优的原则选择</w:t>
      </w:r>
      <w:r>
        <w:rPr>
          <w:rFonts w:hint="eastAsia" w:ascii="宋体" w:cs="宋体"/>
          <w:color w:val="auto"/>
          <w:sz w:val="22"/>
          <w:szCs w:val="22"/>
          <w:highlight w:val="none"/>
        </w:rPr>
        <w:t>中标供应商</w:t>
      </w:r>
      <w:r>
        <w:rPr>
          <w:rFonts w:hint="eastAsia" w:ascii="宋体"/>
          <w:color w:val="auto"/>
          <w:sz w:val="22"/>
          <w:szCs w:val="22"/>
          <w:highlight w:val="none"/>
        </w:rPr>
        <w:t>，特制定本评标办法。</w:t>
      </w:r>
    </w:p>
    <w:p>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一、总则</w:t>
      </w:r>
    </w:p>
    <w:p>
      <w:pPr>
        <w:pStyle w:val="42"/>
        <w:adjustRightInd w:val="0"/>
        <w:snapToGrid w:val="0"/>
        <w:spacing w:before="100" w:line="380" w:lineRule="exact"/>
        <w:rPr>
          <w:color w:val="auto"/>
          <w:sz w:val="22"/>
          <w:szCs w:val="22"/>
          <w:highlight w:val="none"/>
        </w:rPr>
      </w:pPr>
      <w:r>
        <w:rPr>
          <w:rFonts w:hint="eastAsia"/>
          <w:color w:val="auto"/>
          <w:sz w:val="22"/>
          <w:szCs w:val="22"/>
          <w:highlight w:val="none"/>
        </w:rPr>
        <w:t>评标工作遵循公平、公正、民主、科学的原则和诚实、信誉、效率的服务原则。本着科学、严谨的态度，认真进行评标。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二、评标组织</w:t>
      </w:r>
    </w:p>
    <w:p>
      <w:pPr>
        <w:pStyle w:val="42"/>
        <w:adjustRightInd w:val="0"/>
        <w:snapToGrid w:val="0"/>
        <w:spacing w:before="100" w:line="380" w:lineRule="exact"/>
        <w:rPr>
          <w:color w:val="auto"/>
          <w:sz w:val="22"/>
          <w:szCs w:val="22"/>
          <w:highlight w:val="none"/>
        </w:rPr>
      </w:pPr>
      <w:r>
        <w:rPr>
          <w:rFonts w:hint="eastAsia"/>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pPr>
        <w:pStyle w:val="45"/>
        <w:widowControl w:val="0"/>
        <w:pBdr>
          <w:left w:val="none" w:color="auto" w:sz="0" w:space="0"/>
          <w:bottom w:val="none" w:color="auto" w:sz="0" w:space="0"/>
          <w:right w:val="none" w:color="auto" w:sz="0" w:space="0"/>
        </w:pBdr>
        <w:adjustRightInd w:val="0"/>
        <w:snapToGrid w:val="0"/>
        <w:spacing w:before="156" w:beforeLines="50" w:beforeAutospacing="0" w:after="0" w:afterAutospacing="0" w:line="380" w:lineRule="exact"/>
        <w:textAlignment w:val="auto"/>
        <w:rPr>
          <w:rFonts w:ascii="宋体"/>
          <w:bCs w:val="0"/>
          <w:color w:val="auto"/>
          <w:kern w:val="2"/>
          <w:sz w:val="22"/>
          <w:szCs w:val="22"/>
          <w:highlight w:val="none"/>
        </w:rPr>
      </w:pPr>
      <w:r>
        <w:rPr>
          <w:rFonts w:hint="eastAsia" w:ascii="宋体" w:hAnsi="宋体"/>
          <w:bCs w:val="0"/>
          <w:color w:val="auto"/>
          <w:kern w:val="2"/>
          <w:sz w:val="22"/>
          <w:szCs w:val="22"/>
          <w:highlight w:val="none"/>
        </w:rPr>
        <w:t>三、评审办法</w:t>
      </w:r>
    </w:p>
    <w:p>
      <w:pPr>
        <w:spacing w:line="400" w:lineRule="exact"/>
        <w:ind w:firstLine="456" w:firstLineChars="200"/>
        <w:rPr>
          <w:rFonts w:ascii="宋体"/>
          <w:color w:val="auto"/>
          <w:sz w:val="22"/>
          <w:szCs w:val="22"/>
          <w:highlight w:val="none"/>
        </w:rPr>
      </w:pPr>
      <w:r>
        <w:rPr>
          <w:rFonts w:hint="eastAsia"/>
          <w:color w:val="auto"/>
          <w:sz w:val="22"/>
          <w:szCs w:val="22"/>
          <w:highlight w:val="none"/>
        </w:rPr>
        <w:t>采购人或</w:t>
      </w:r>
      <w:r>
        <w:rPr>
          <w:rFonts w:hint="eastAsia" w:hAnsi="宋体"/>
          <w:color w:val="auto"/>
          <w:sz w:val="22"/>
          <w:szCs w:val="22"/>
          <w:highlight w:val="none"/>
        </w:rPr>
        <w:t>招标代理机构对各投标供应商资格进行审查。评标委员会根据评审原则和评审办法，对各投标供应商的技术资信部分进行评审并打分，</w:t>
      </w:r>
      <w:r>
        <w:rPr>
          <w:rFonts w:hint="eastAsia" w:ascii="宋体"/>
          <w:color w:val="auto"/>
          <w:sz w:val="22"/>
          <w:szCs w:val="22"/>
          <w:highlight w:val="none"/>
        </w:rPr>
        <w:t>以技术资信部分和商务报价部分合计分值由高到低的顺序推荐候选供应商名单，选择综合得分第一名的为中标供应商，并提交书面评审报告，如果综合得分相同的，按投标报价由低到高顺序排列，综合得分且报价均相同的，按技术资信得分由高到低排列，均相同者，则由采购人现场抽签决定。</w:t>
      </w:r>
    </w:p>
    <w:p>
      <w:pPr>
        <w:pStyle w:val="46"/>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rPr>
        <w:t>中标供应商放弃中标，或者因不可抗力提出不能履行合同，或者招标文件规定应当签订合同而在规定的期限内未能提交、签订合同的，采购人可以取消其中标资格。并按供应商评标排序从高到低排序依次确定新的中标供应商或重新组织采购。</w:t>
      </w:r>
      <w:r>
        <w:rPr>
          <w:rFonts w:ascii="宋体"/>
          <w:color w:val="auto"/>
          <w:sz w:val="22"/>
          <w:szCs w:val="22"/>
          <w:highlight w:val="none"/>
        </w:rPr>
        <w:t xml:space="preserve"> </w:t>
      </w:r>
    </w:p>
    <w:p>
      <w:pPr>
        <w:pStyle w:val="46"/>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rPr>
        <w:t>如果无候选供应商，或者侯选供应商因前款规定的同样原因不能签订合同的，本次采购失败，重新组织采购。其它参见本招标文件第三部分：“供应商须知”</w:t>
      </w:r>
      <w:r>
        <w:rPr>
          <w:rFonts w:ascii="宋体"/>
          <w:color w:val="auto"/>
          <w:sz w:val="22"/>
          <w:szCs w:val="22"/>
          <w:highlight w:val="none"/>
        </w:rPr>
        <w:t xml:space="preserve"> </w:t>
      </w:r>
      <w:r>
        <w:rPr>
          <w:rFonts w:hint="eastAsia" w:ascii="宋体"/>
          <w:color w:val="auto"/>
          <w:sz w:val="22"/>
          <w:szCs w:val="22"/>
          <w:highlight w:val="none"/>
        </w:rPr>
        <w:t>中的相关内容。</w:t>
      </w:r>
    </w:p>
    <w:p>
      <w:pPr>
        <w:pStyle w:val="45"/>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380" w:lineRule="exact"/>
        <w:textAlignment w:val="auto"/>
        <w:outlineLvl w:val="0"/>
        <w:rPr>
          <w:rFonts w:ascii="宋体"/>
          <w:color w:val="auto"/>
          <w:kern w:val="2"/>
          <w:sz w:val="22"/>
          <w:szCs w:val="22"/>
          <w:highlight w:val="none"/>
        </w:rPr>
      </w:pPr>
      <w:r>
        <w:rPr>
          <w:rFonts w:hint="eastAsia" w:ascii="宋体" w:hAnsi="宋体"/>
          <w:color w:val="auto"/>
          <w:kern w:val="2"/>
          <w:sz w:val="22"/>
          <w:szCs w:val="22"/>
          <w:highlight w:val="none"/>
        </w:rPr>
        <w:t>四、评标细则</w:t>
      </w:r>
    </w:p>
    <w:p>
      <w:pPr>
        <w:pStyle w:val="43"/>
        <w:adjustRightInd w:val="0"/>
        <w:snapToGrid w:val="0"/>
        <w:spacing w:line="380" w:lineRule="exact"/>
        <w:ind w:firstLine="456" w:firstLineChars="200"/>
        <w:rPr>
          <w:rFonts w:ascii="Calibri" w:hAnsi="Calibri"/>
          <w:color w:val="auto"/>
          <w:sz w:val="22"/>
          <w:szCs w:val="22"/>
          <w:highlight w:val="none"/>
        </w:rPr>
      </w:pPr>
      <w:r>
        <w:rPr>
          <w:rFonts w:hint="eastAsia" w:ascii="Calibri" w:hAnsi="Calibri"/>
          <w:b/>
          <w:bCs/>
          <w:color w:val="auto"/>
          <w:sz w:val="22"/>
          <w:szCs w:val="22"/>
          <w:highlight w:val="none"/>
        </w:rPr>
        <w:t>（一）商务报价部分的</w:t>
      </w:r>
      <w:r>
        <w:rPr>
          <w:rFonts w:hint="eastAsia"/>
          <w:b/>
          <w:bCs/>
          <w:color w:val="auto"/>
          <w:sz w:val="22"/>
          <w:szCs w:val="22"/>
          <w:highlight w:val="none"/>
        </w:rPr>
        <w:t>评分标准</w:t>
      </w:r>
      <w:r>
        <w:rPr>
          <w:rFonts w:hint="eastAsia" w:ascii="Calibri" w:hAnsi="Calibri"/>
          <w:b/>
          <w:bCs/>
          <w:color w:val="auto"/>
          <w:sz w:val="22"/>
          <w:szCs w:val="22"/>
          <w:highlight w:val="none"/>
        </w:rPr>
        <w:t>（满分</w:t>
      </w:r>
      <w:r>
        <w:rPr>
          <w:rFonts w:hint="eastAsia"/>
          <w:color w:val="auto"/>
          <w:highlight w:val="none"/>
          <w:lang w:val="en-US" w:eastAsia="zh-CN"/>
        </w:rPr>
        <w:t>2</w:t>
      </w:r>
      <w:r>
        <w:rPr>
          <w:rFonts w:hint="eastAsia"/>
          <w:color w:val="auto"/>
          <w:highlight w:val="none"/>
        </w:rPr>
        <w:t>5</w:t>
      </w:r>
      <w:r>
        <w:rPr>
          <w:rFonts w:hint="eastAsia" w:ascii="Calibri" w:hAnsi="Calibri"/>
          <w:b/>
          <w:bCs/>
          <w:color w:val="auto"/>
          <w:sz w:val="22"/>
          <w:szCs w:val="22"/>
          <w:highlight w:val="none"/>
        </w:rPr>
        <w:t>分）</w:t>
      </w:r>
    </w:p>
    <w:p>
      <w:pPr>
        <w:pStyle w:val="14"/>
        <w:adjustRightInd w:val="0"/>
        <w:snapToGrid w:val="0"/>
        <w:spacing w:line="380" w:lineRule="exact"/>
        <w:ind w:firstLine="450"/>
        <w:rPr>
          <w:rFonts w:hAnsi="宋体"/>
          <w:color w:val="auto"/>
          <w:sz w:val="22"/>
          <w:highlight w:val="none"/>
        </w:rPr>
      </w:pPr>
      <w:r>
        <w:rPr>
          <w:color w:val="auto"/>
          <w:sz w:val="22"/>
          <w:szCs w:val="22"/>
          <w:highlight w:val="none"/>
        </w:rPr>
        <w:t>1</w:t>
      </w:r>
      <w:r>
        <w:rPr>
          <w:rFonts w:hint="eastAsia"/>
          <w:color w:val="auto"/>
          <w:sz w:val="22"/>
          <w:szCs w:val="22"/>
          <w:highlight w:val="none"/>
        </w:rPr>
        <w:t>、</w:t>
      </w:r>
      <w:r>
        <w:rPr>
          <w:rFonts w:hint="eastAsia" w:hAnsi="宋体"/>
          <w:color w:val="auto"/>
          <w:sz w:val="22"/>
          <w:highlight w:val="none"/>
        </w:rPr>
        <w:t>以满足招标文件要求且投标报价最低的有效供应商的价格为投标基准价，其价格分为满分。其他供应商的价格分统一按照下列公式计算：</w:t>
      </w:r>
    </w:p>
    <w:p>
      <w:pPr>
        <w:pStyle w:val="14"/>
        <w:adjustRightInd w:val="0"/>
        <w:snapToGrid w:val="0"/>
        <w:spacing w:line="380" w:lineRule="exact"/>
        <w:ind w:firstLine="450"/>
        <w:rPr>
          <w:rFonts w:hAnsi="宋体"/>
          <w:color w:val="auto"/>
          <w:sz w:val="22"/>
          <w:highlight w:val="none"/>
        </w:rPr>
      </w:pPr>
      <w:r>
        <w:rPr>
          <w:rFonts w:hint="eastAsia" w:hAnsi="宋体"/>
          <w:color w:val="auto"/>
          <w:sz w:val="22"/>
          <w:highlight w:val="none"/>
        </w:rPr>
        <w:t>商务报价得分=（投标基准价/投标报价）×</w:t>
      </w:r>
      <w:r>
        <w:rPr>
          <w:rFonts w:hint="eastAsia" w:hAnsi="宋体"/>
          <w:color w:val="auto"/>
          <w:sz w:val="22"/>
          <w:highlight w:val="none"/>
          <w:lang w:val="en-US" w:eastAsia="zh-CN"/>
        </w:rPr>
        <w:t>2</w:t>
      </w:r>
      <w:r>
        <w:rPr>
          <w:rFonts w:hint="eastAsia" w:hAnsi="宋体"/>
          <w:color w:val="auto"/>
          <w:sz w:val="22"/>
          <w:highlight w:val="none"/>
        </w:rPr>
        <w:t>5%×100。</w:t>
      </w:r>
    </w:p>
    <w:p>
      <w:pPr>
        <w:pStyle w:val="14"/>
        <w:adjustRightInd w:val="0"/>
        <w:snapToGrid w:val="0"/>
        <w:spacing w:line="380" w:lineRule="exact"/>
        <w:ind w:firstLine="450"/>
        <w:rPr>
          <w:color w:val="auto"/>
          <w:sz w:val="22"/>
          <w:szCs w:val="22"/>
          <w:highlight w:val="none"/>
        </w:rPr>
      </w:pPr>
      <w:r>
        <w:rPr>
          <w:rFonts w:hint="eastAsia" w:hAnsi="宋体"/>
          <w:color w:val="auto"/>
          <w:sz w:val="22"/>
          <w:highlight w:val="none"/>
        </w:rPr>
        <w:t>2、本项目根据《政府采购促进中小企业发展管理办法》（财库﹝2020﹞46 号）规定；财政部、司法部《关于政府采购支持监狱企业发展有关问题的通知》（财库〔2014〕68号）；《浙江省财政厅关于进一步发挥政府采购政策 功能全力推动经济稳进提质的通知》（浙财采监〔2022〕3号）；《关于进一步加大政府采购 支持中小企业力度 助力扎实稳住经济 的通知》（浙财采监〔2022〕8号）的规定</w:t>
      </w:r>
      <w:r>
        <w:rPr>
          <w:rFonts w:hint="eastAsia"/>
          <w:color w:val="auto"/>
          <w:sz w:val="22"/>
          <w:szCs w:val="22"/>
          <w:highlight w:val="none"/>
        </w:rPr>
        <w:t>：对小微企业（含监狱企业、残疾人福利性单位）投标价格给予</w:t>
      </w:r>
      <w:r>
        <w:rPr>
          <w:rFonts w:hint="eastAsia"/>
          <w:color w:val="auto"/>
          <w:sz w:val="22"/>
          <w:szCs w:val="22"/>
          <w:highlight w:val="none"/>
          <w:lang w:val="en-US" w:eastAsia="zh-CN"/>
        </w:rPr>
        <w:t>10</w:t>
      </w:r>
      <w:r>
        <w:rPr>
          <w:rFonts w:hint="eastAsia"/>
          <w:color w:val="auto"/>
          <w:sz w:val="22"/>
          <w:szCs w:val="22"/>
          <w:highlight w:val="none"/>
        </w:rPr>
        <w:t>%的评标价格扣除。（说明：标价格折扣计算以元人民币为单位，保留两位小数，第三位四舍五入进位。</w:t>
      </w:r>
    </w:p>
    <w:p>
      <w:pPr>
        <w:snapToGrid w:val="0"/>
        <w:spacing w:line="380" w:lineRule="exact"/>
        <w:ind w:firstLine="456" w:firstLineChars="200"/>
        <w:rPr>
          <w:b/>
          <w:bCs/>
          <w:color w:val="auto"/>
          <w:sz w:val="22"/>
          <w:szCs w:val="22"/>
          <w:highlight w:val="none"/>
        </w:rPr>
      </w:pPr>
      <w:r>
        <w:rPr>
          <w:rFonts w:hint="eastAsia"/>
          <w:b/>
          <w:bCs/>
          <w:color w:val="auto"/>
          <w:sz w:val="22"/>
          <w:szCs w:val="22"/>
          <w:highlight w:val="none"/>
        </w:rPr>
        <w:t>（二）技术资信部分的评分标准（满分</w:t>
      </w:r>
      <w:r>
        <w:rPr>
          <w:rFonts w:hint="eastAsia"/>
          <w:b/>
          <w:bCs/>
          <w:color w:val="auto"/>
          <w:sz w:val="22"/>
          <w:szCs w:val="22"/>
          <w:highlight w:val="none"/>
          <w:lang w:val="en-US" w:eastAsia="zh-CN"/>
        </w:rPr>
        <w:t>7</w:t>
      </w:r>
      <w:r>
        <w:rPr>
          <w:rFonts w:hint="eastAsia"/>
          <w:b/>
          <w:bCs/>
          <w:color w:val="auto"/>
          <w:sz w:val="22"/>
          <w:szCs w:val="22"/>
          <w:highlight w:val="none"/>
        </w:rPr>
        <w:t>5分）</w:t>
      </w:r>
    </w:p>
    <w:tbl>
      <w:tblPr>
        <w:tblStyle w:val="28"/>
        <w:tblpPr w:leftFromText="180" w:rightFromText="180" w:vertAnchor="text" w:horzAnchor="margin" w:tblpY="654"/>
        <w:tblW w:w="97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170"/>
        <w:gridCol w:w="6705"/>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分类</w:t>
            </w:r>
          </w:p>
        </w:tc>
        <w:tc>
          <w:tcPr>
            <w:tcW w:w="1170"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评分项</w:t>
            </w:r>
          </w:p>
        </w:tc>
        <w:tc>
          <w:tcPr>
            <w:tcW w:w="6705"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评分标准</w:t>
            </w:r>
          </w:p>
        </w:tc>
        <w:tc>
          <w:tcPr>
            <w:tcW w:w="960"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p>
        </w:tc>
        <w:tc>
          <w:tcPr>
            <w:tcW w:w="1170"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cs="宋体"/>
                <w:b/>
                <w:color w:val="auto"/>
                <w:sz w:val="22"/>
                <w:szCs w:val="22"/>
                <w:highlight w:val="none"/>
              </w:rPr>
            </w:pPr>
          </w:p>
        </w:tc>
        <w:tc>
          <w:tcPr>
            <w:tcW w:w="6705"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注：下表第2、3、13、14评分项中0-1分的按下列分项打分：</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内容完整、科学合理、针对性强的得1分；内容基本完整、基本合理、针对性较强的得0.7分；内容简单或存在缺陷的、针对性弱的得0.3分；未提供不得分。</w:t>
            </w:r>
          </w:p>
        </w:tc>
        <w:tc>
          <w:tcPr>
            <w:tcW w:w="960"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cs="宋体"/>
                <w:b/>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948" w:type="dxa"/>
            <w:vMerge w:val="restart"/>
            <w:tcBorders>
              <w:top w:val="single" w:color="000000" w:sz="4" w:space="0"/>
              <w:left w:val="single" w:color="000000" w:sz="4" w:space="0"/>
              <w:right w:val="single" w:color="000000" w:sz="4" w:space="0"/>
            </w:tcBorders>
            <w:vAlign w:val="center"/>
          </w:tcPr>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技术分</w:t>
            </w:r>
          </w:p>
          <w:p>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（69分）</w:t>
            </w:r>
          </w:p>
        </w:tc>
        <w:tc>
          <w:tcPr>
            <w:tcW w:w="1170"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1、需求理解</w:t>
            </w:r>
          </w:p>
        </w:tc>
        <w:tc>
          <w:tcPr>
            <w:tcW w:w="6705"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投标人结合本项目行业特点、政策引领、项目区位等进行市场调研，根据数据详实、分析准确、问题解剖的合理程度得0-3分。</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内容完整、科学合理、针对性强的得3分；</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内容基本完整、基本合理、针对性较强的得0.7分；</w:t>
            </w:r>
          </w:p>
          <w:p>
            <w:pPr>
              <w:rPr>
                <w:rFonts w:ascii="宋体" w:hAnsi="宋体" w:cs="宋体"/>
                <w:color w:val="auto"/>
                <w:sz w:val="22"/>
                <w:szCs w:val="22"/>
                <w:highlight w:val="none"/>
              </w:rPr>
            </w:pPr>
            <w:r>
              <w:rPr>
                <w:rFonts w:hint="eastAsia" w:ascii="宋体" w:hAnsi="宋体" w:cs="宋体"/>
                <w:color w:val="auto"/>
                <w:sz w:val="22"/>
                <w:szCs w:val="22"/>
                <w:highlight w:val="none"/>
              </w:rPr>
              <w:t>内容简单或存在缺陷的、针对性弱的得1分；未提供不得分。</w:t>
            </w:r>
          </w:p>
        </w:tc>
        <w:tc>
          <w:tcPr>
            <w:tcW w:w="960"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vMerge w:val="continue"/>
            <w:tcBorders>
              <w:left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000000" w:sz="4" w:space="0"/>
              <w:left w:val="single" w:color="000000" w:sz="4" w:space="0"/>
              <w:bottom w:val="single" w:color="auto"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2、收集方案</w:t>
            </w:r>
          </w:p>
        </w:tc>
        <w:tc>
          <w:tcPr>
            <w:tcW w:w="6705" w:type="dxa"/>
            <w:tcBorders>
              <w:top w:val="single" w:color="000000" w:sz="4" w:space="0"/>
              <w:left w:val="single" w:color="000000" w:sz="4" w:space="0"/>
              <w:bottom w:val="single" w:color="auto"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最高得</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p>
          <w:p>
            <w:pPr>
              <w:rPr>
                <w:rFonts w:ascii="宋体" w:hAnsi="宋体" w:cs="宋体"/>
                <w:color w:val="auto"/>
                <w:sz w:val="22"/>
                <w:szCs w:val="22"/>
                <w:highlight w:val="none"/>
              </w:rPr>
            </w:pPr>
            <w:r>
              <w:rPr>
                <w:rFonts w:hint="eastAsia" w:ascii="宋体" w:hAnsi="宋体" w:cs="宋体"/>
                <w:color w:val="auto"/>
                <w:sz w:val="22"/>
                <w:szCs w:val="22"/>
                <w:highlight w:val="none"/>
              </w:rPr>
              <w:t>有符合本项目需求的收集方案，根据方案完善程度得0-1分；</w:t>
            </w:r>
          </w:p>
          <w:p>
            <w:pPr>
              <w:rPr>
                <w:rFonts w:ascii="宋体" w:hAnsi="宋体" w:cs="宋体"/>
                <w:color w:val="auto"/>
                <w:sz w:val="22"/>
                <w:szCs w:val="22"/>
                <w:highlight w:val="none"/>
              </w:rPr>
            </w:pPr>
            <w:r>
              <w:rPr>
                <w:rFonts w:hint="eastAsia" w:ascii="宋体" w:hAnsi="宋体" w:cs="宋体"/>
                <w:color w:val="auto"/>
                <w:sz w:val="22"/>
                <w:szCs w:val="22"/>
                <w:highlight w:val="none"/>
              </w:rPr>
              <w:t>有符合本项目需求的服务站点管理方案，根据方案完善程度得0-1分；</w:t>
            </w:r>
          </w:p>
          <w:p>
            <w:pPr>
              <w:rPr>
                <w:rFonts w:ascii="宋体" w:hAnsi="宋体" w:cs="宋体"/>
                <w:color w:val="auto"/>
                <w:sz w:val="22"/>
                <w:szCs w:val="22"/>
                <w:highlight w:val="none"/>
              </w:rPr>
            </w:pPr>
            <w:r>
              <w:rPr>
                <w:rFonts w:hint="eastAsia" w:ascii="宋体" w:hAnsi="宋体" w:cs="宋体"/>
                <w:color w:val="auto"/>
                <w:sz w:val="22"/>
                <w:szCs w:val="22"/>
                <w:highlight w:val="none"/>
              </w:rPr>
              <w:t>有符合项目需求的人员车辆监管方案 ，根据方案完善程度得0-1分；</w:t>
            </w:r>
          </w:p>
          <w:p>
            <w:pPr>
              <w:rPr>
                <w:rFonts w:ascii="宋体" w:hAnsi="宋体" w:cs="宋体"/>
                <w:color w:val="auto"/>
                <w:sz w:val="22"/>
                <w:szCs w:val="22"/>
                <w:highlight w:val="none"/>
              </w:rPr>
            </w:pPr>
            <w:r>
              <w:rPr>
                <w:rFonts w:hint="eastAsia" w:ascii="宋体" w:hAnsi="宋体" w:cs="宋体"/>
                <w:color w:val="auto"/>
                <w:sz w:val="22"/>
                <w:szCs w:val="22"/>
                <w:highlight w:val="none"/>
              </w:rPr>
              <w:t>有符合本项目需求的环保积分兑换</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线上兑换配送功服务方案，根据方案完善程度得0-</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w:t>
            </w:r>
          </w:p>
          <w:p>
            <w:pPr>
              <w:rPr>
                <w:rFonts w:ascii="宋体" w:hAnsi="宋体" w:cs="宋体"/>
                <w:color w:val="auto"/>
                <w:sz w:val="22"/>
                <w:szCs w:val="22"/>
                <w:highlight w:val="none"/>
              </w:rPr>
            </w:pPr>
            <w:r>
              <w:rPr>
                <w:rFonts w:hint="eastAsia" w:ascii="宋体" w:hAnsi="宋体" w:cs="宋体"/>
                <w:color w:val="auto"/>
                <w:sz w:val="22"/>
                <w:szCs w:val="22"/>
                <w:highlight w:val="none"/>
              </w:rPr>
              <w:t>有符合本项目需求的中端运输（服务站至分拣中心）方案，根据方案完善程度得0-1分。</w:t>
            </w:r>
          </w:p>
        </w:tc>
        <w:tc>
          <w:tcPr>
            <w:tcW w:w="960"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lang w:val="en-US" w:eastAsia="zh-CN"/>
              </w:rPr>
              <w:t>5</w:t>
            </w:r>
            <w:r>
              <w:rPr>
                <w:rFonts w:hint="eastAsia" w:ascii="宋体" w:hAnsi="宋体" w:cs="宋体"/>
                <w:b/>
                <w:color w:val="auto"/>
                <w:sz w:val="22"/>
                <w:szCs w:val="2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vMerge w:val="continue"/>
            <w:tcBorders>
              <w:left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auto"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3、分拣处置方案</w:t>
            </w:r>
          </w:p>
        </w:tc>
        <w:tc>
          <w:tcPr>
            <w:tcW w:w="6705" w:type="dxa"/>
            <w:tcBorders>
              <w:top w:val="single" w:color="auto"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有符合本项目需求的分拣方案，分拣能力达到12吨/日以上，根据证明材料合理性和方案完善程度（0-1分）打分；有符合本项目需求的精细分类方案，根据方案完善程度得（0-1分）；有符合本项目需求的末端处置方案，达到95%的回收利用率和100%的无害化处置率，根据方案完善程度得（0-1分）；有符合本项目需求的信息化监管方案，根据方案完善程度</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0-1分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和优劣程度（0-</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分）打分。</w:t>
            </w:r>
          </w:p>
        </w:tc>
        <w:tc>
          <w:tcPr>
            <w:tcW w:w="960"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lang w:val="en-US" w:eastAsia="zh-CN"/>
              </w:rPr>
              <w:t>5</w:t>
            </w:r>
            <w:r>
              <w:rPr>
                <w:rFonts w:hint="eastAsia" w:ascii="宋体" w:hAnsi="宋体" w:cs="宋体"/>
                <w:b/>
                <w:color w:val="auto"/>
                <w:sz w:val="22"/>
                <w:szCs w:val="2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948" w:type="dxa"/>
            <w:vMerge w:val="continue"/>
            <w:tcBorders>
              <w:left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auto"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4、收集车辆情况</w:t>
            </w:r>
          </w:p>
        </w:tc>
        <w:tc>
          <w:tcPr>
            <w:tcW w:w="6705" w:type="dxa"/>
            <w:tcBorders>
              <w:top w:val="single" w:color="auto"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为评估投标人对本项目的运营能力，对投标人现有运营项目的收集车辆情况进行打分，现有数量达32辆的得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分；每多1辆加0.5分，最多得2分。</w:t>
            </w:r>
          </w:p>
          <w:p>
            <w:pPr>
              <w:rPr>
                <w:rFonts w:ascii="宋体" w:hAnsi="宋体" w:cs="宋体"/>
                <w:color w:val="auto"/>
                <w:sz w:val="22"/>
                <w:szCs w:val="22"/>
                <w:highlight w:val="none"/>
              </w:rPr>
            </w:pPr>
            <w:r>
              <w:rPr>
                <w:rFonts w:hint="eastAsia" w:ascii="宋体" w:hAnsi="宋体" w:cs="宋体"/>
                <w:color w:val="auto"/>
                <w:sz w:val="22"/>
                <w:szCs w:val="22"/>
                <w:highlight w:val="none"/>
              </w:rPr>
              <w:t>注：自有小区收集车辆提供投标人购置发票复印件或扫描件、数量清单汇总及5张以上能体现车辆外观的照片。租赁车辆提供租赁合同复印件或扫描件、数量清单汇总及5张以上能体现车辆外观的照片，租赁车辆租赁合同期限需包含整个服务期否则不得分。照片数量未达到5张及以上不得分。</w:t>
            </w:r>
          </w:p>
        </w:tc>
        <w:tc>
          <w:tcPr>
            <w:tcW w:w="960"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lang w:val="en-US" w:eastAsia="zh-CN"/>
              </w:rPr>
              <w:t>3</w:t>
            </w:r>
            <w:r>
              <w:rPr>
                <w:rFonts w:hint="eastAsia" w:ascii="宋体" w:hAnsi="宋体" w:cs="宋体"/>
                <w:b/>
                <w:color w:val="auto"/>
                <w:sz w:val="22"/>
                <w:szCs w:val="2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vMerge w:val="continue"/>
            <w:tcBorders>
              <w:left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5、转运车辆情况</w:t>
            </w:r>
          </w:p>
        </w:tc>
        <w:tc>
          <w:tcPr>
            <w:tcW w:w="6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为评估投标人对本项目的运营能力，对投标人现有运营项目的转运车辆情况进行打分，现有数量达4</w:t>
            </w:r>
            <w:r>
              <w:rPr>
                <w:rFonts w:hint="eastAsia" w:ascii="宋体" w:hAnsi="宋体" w:cs="宋体"/>
                <w:color w:val="auto"/>
                <w:sz w:val="22"/>
                <w:szCs w:val="22"/>
                <w:highlight w:val="none"/>
                <w:lang w:eastAsia="zh-Hans"/>
              </w:rPr>
              <w:t>辆</w:t>
            </w:r>
            <w:r>
              <w:rPr>
                <w:rFonts w:hint="eastAsia" w:ascii="宋体" w:hAnsi="宋体" w:cs="宋体"/>
                <w:color w:val="auto"/>
                <w:sz w:val="22"/>
                <w:szCs w:val="22"/>
                <w:highlight w:val="none"/>
              </w:rPr>
              <w:t>的得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分；每多1辆加0.5分，最多得2分。</w:t>
            </w:r>
          </w:p>
          <w:p>
            <w:pPr>
              <w:rPr>
                <w:rFonts w:ascii="宋体" w:hAnsi="宋体" w:cs="宋体"/>
                <w:color w:val="auto"/>
                <w:sz w:val="22"/>
                <w:szCs w:val="22"/>
                <w:highlight w:val="none"/>
              </w:rPr>
            </w:pPr>
            <w:r>
              <w:rPr>
                <w:rFonts w:hint="eastAsia" w:ascii="宋体" w:hAnsi="宋体" w:cs="宋体"/>
                <w:color w:val="auto"/>
                <w:sz w:val="22"/>
                <w:szCs w:val="22"/>
                <w:highlight w:val="none"/>
              </w:rPr>
              <w:t>注：自有提供车辆登记证、车辆购置发票复印件或扫描件、数量清单汇总及5张以上能体现车辆外观的照片。租赁车辆提供租赁合同复印件或扫描件、数量清单汇总及5张以上能体现车辆外观的照片（租赁车辆租赁合同期限需包含整个服务期，否则不得分。照片数量未达到5张及以上不得分。</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lang w:val="en-US" w:eastAsia="zh-CN"/>
              </w:rPr>
              <w:t>3</w:t>
            </w:r>
            <w:r>
              <w:rPr>
                <w:rFonts w:hint="eastAsia" w:ascii="宋体" w:hAnsi="宋体" w:cs="宋体"/>
                <w:b/>
                <w:color w:val="auto"/>
                <w:sz w:val="22"/>
                <w:szCs w:val="2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vMerge w:val="continue"/>
            <w:tcBorders>
              <w:left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6、分拣中心建设情况</w:t>
            </w:r>
          </w:p>
        </w:tc>
        <w:tc>
          <w:tcPr>
            <w:tcW w:w="6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为评估投标人对本项目的运营能力，对投标人现有运营项目的分拣中心情况进行打分，投标人自有或租赁厂房面积达到2500平方米的得4分，每多1000平方加0.5分。最多得6分。</w:t>
            </w:r>
          </w:p>
          <w:p>
            <w:pPr>
              <w:rPr>
                <w:rFonts w:ascii="宋体" w:hAnsi="宋体" w:cs="宋体"/>
                <w:color w:val="auto"/>
                <w:sz w:val="22"/>
                <w:szCs w:val="22"/>
                <w:highlight w:val="none"/>
              </w:rPr>
            </w:pPr>
            <w:r>
              <w:rPr>
                <w:rFonts w:hint="eastAsia" w:ascii="宋体" w:hAnsi="宋体" w:cs="宋体"/>
                <w:color w:val="auto"/>
                <w:sz w:val="22"/>
                <w:szCs w:val="22"/>
                <w:highlight w:val="none"/>
              </w:rPr>
              <w:t>注：自有厂房提供房产证、产权证复印件或扫描件；租赁厂房提供租赁合同复印件或扫描件（租赁厂房租赁合同期限需包含整个服务期，否则不得分）。</w:t>
            </w:r>
          </w:p>
          <w:p>
            <w:pPr>
              <w:rPr>
                <w:rFonts w:ascii="宋体" w:hAnsi="宋体" w:cs="宋体"/>
                <w:color w:val="auto"/>
                <w:sz w:val="22"/>
                <w:szCs w:val="22"/>
                <w:highlight w:val="none"/>
              </w:rPr>
            </w:pPr>
            <w:r>
              <w:rPr>
                <w:rFonts w:hint="eastAsia" w:ascii="宋体" w:hAnsi="宋体" w:cs="宋体"/>
                <w:color w:val="auto"/>
                <w:sz w:val="22"/>
                <w:szCs w:val="22"/>
                <w:highlight w:val="none"/>
              </w:rPr>
              <w:t>提供承诺书的须提供承诺书原件扫描件制作进投标文件中。</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vMerge w:val="continue"/>
            <w:tcBorders>
              <w:left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7、回收人员投入</w:t>
            </w:r>
          </w:p>
        </w:tc>
        <w:tc>
          <w:tcPr>
            <w:tcW w:w="6705"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sz w:val="22"/>
                <w:szCs w:val="22"/>
                <w:highlight w:val="none"/>
              </w:rPr>
            </w:pPr>
            <w:r>
              <w:rPr>
                <w:rFonts w:hint="eastAsia" w:ascii="宋体" w:hAnsi="宋体" w:cs="宋体"/>
                <w:color w:val="auto"/>
                <w:sz w:val="22"/>
                <w:szCs w:val="22"/>
                <w:highlight w:val="none"/>
              </w:rPr>
              <w:t>为评估投标人对本项目的运营能力，对投标人现有运营项目的回收人员情况进行打分，现有数量达32人的得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分；每多1人加0.5分，最多得分2分。注：提供项目拟配备人员缴纳在投标单位的社保盖章（或电子公章）证明缴纳清单，否则不予认可。</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 w:val="22"/>
                <w:szCs w:val="22"/>
                <w:highlight w:val="none"/>
              </w:rPr>
            </w:pPr>
            <w:r>
              <w:rPr>
                <w:rFonts w:hint="eastAsia" w:ascii="宋体" w:hAnsi="宋体" w:cs="宋体"/>
                <w:b/>
                <w:color w:val="auto"/>
                <w:sz w:val="22"/>
                <w:szCs w:val="22"/>
                <w:highlight w:val="none"/>
                <w:lang w:val="en-US" w:eastAsia="zh-CN"/>
              </w:rPr>
              <w:t>3</w:t>
            </w:r>
            <w:r>
              <w:rPr>
                <w:rFonts w:hint="eastAsia" w:ascii="宋体" w:hAnsi="宋体" w:cs="宋体"/>
                <w:b/>
                <w:color w:val="auto"/>
                <w:sz w:val="22"/>
                <w:szCs w:val="2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vMerge w:val="continue"/>
            <w:tcBorders>
              <w:left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8、驾驶人员投入</w:t>
            </w:r>
          </w:p>
        </w:tc>
        <w:tc>
          <w:tcPr>
            <w:tcW w:w="6705"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sz w:val="22"/>
                <w:szCs w:val="22"/>
                <w:highlight w:val="none"/>
              </w:rPr>
            </w:pPr>
            <w:r>
              <w:rPr>
                <w:rFonts w:hint="eastAsia" w:ascii="宋体" w:hAnsi="宋体" w:cs="宋体"/>
                <w:color w:val="auto"/>
                <w:sz w:val="22"/>
                <w:szCs w:val="22"/>
                <w:highlight w:val="none"/>
              </w:rPr>
              <w:t>为评估投标人对本项目的运营能力，对投标人现有运营项目的驾驶人员情况进行打分，现有数量达4人的得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分；每多1人加0.5分，最多得分2分。注：提供项目拟配备人员缴纳在投标单位的社保盖章（或电子公章）证明缴纳清单，否则不予认可。</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lang w:val="en-US" w:eastAsia="zh-CN"/>
              </w:rPr>
              <w:t>3</w:t>
            </w:r>
            <w:r>
              <w:rPr>
                <w:rFonts w:hint="eastAsia" w:ascii="宋体" w:hAnsi="宋体" w:cs="宋体"/>
                <w:b/>
                <w:color w:val="auto"/>
                <w:sz w:val="22"/>
                <w:szCs w:val="2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vMerge w:val="continue"/>
            <w:tcBorders>
              <w:left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9、分拣人员投入</w:t>
            </w:r>
          </w:p>
        </w:tc>
        <w:tc>
          <w:tcPr>
            <w:tcW w:w="6705"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sz w:val="22"/>
                <w:szCs w:val="22"/>
                <w:highlight w:val="none"/>
              </w:rPr>
            </w:pPr>
            <w:r>
              <w:rPr>
                <w:rFonts w:hint="eastAsia" w:ascii="宋体" w:hAnsi="宋体" w:cs="宋体"/>
                <w:color w:val="auto"/>
                <w:sz w:val="22"/>
                <w:szCs w:val="22"/>
                <w:highlight w:val="none"/>
              </w:rPr>
              <w:t>为评估投标人对本项目的运营能力，对投标人现有运营项目的分拣人员情况进行打分，现有数量达15人的得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分；每多1人加0.5分，最多得分2分。注：提供项目拟配备人员缴纳在投标单位的社保盖章（或电子公章）证明缴纳清单，否则不予认可。</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lang w:val="en-US" w:eastAsia="zh-CN"/>
              </w:rPr>
              <w:t>3</w:t>
            </w:r>
            <w:r>
              <w:rPr>
                <w:rFonts w:hint="eastAsia" w:ascii="宋体" w:hAnsi="宋体" w:cs="宋体"/>
                <w:b/>
                <w:color w:val="auto"/>
                <w:sz w:val="22"/>
                <w:szCs w:val="2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vMerge w:val="continue"/>
            <w:tcBorders>
              <w:left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10、项目管理方案</w:t>
            </w:r>
          </w:p>
        </w:tc>
        <w:tc>
          <w:tcPr>
            <w:tcW w:w="6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(1)投标单位对本项目制定全流程的管理制度，根据科学、合理程度（0-2分）打分，内容完整、科学合理、针对性强的得2分；</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内容基本完整、基本合理、针对性较强的得1.5分；内容简单或存在缺陷的、针对性弱的得0.7分；未提供不得分。</w:t>
            </w:r>
          </w:p>
          <w:p>
            <w:pPr>
              <w:rPr>
                <w:rFonts w:ascii="宋体" w:hAnsi="宋体" w:cs="宋体"/>
                <w:color w:val="auto"/>
                <w:sz w:val="22"/>
                <w:szCs w:val="22"/>
                <w:highlight w:val="none"/>
              </w:rPr>
            </w:pPr>
            <w:r>
              <w:rPr>
                <w:rFonts w:hint="eastAsia" w:ascii="宋体" w:hAnsi="宋体" w:cs="宋体"/>
                <w:color w:val="auto"/>
                <w:sz w:val="22"/>
                <w:szCs w:val="22"/>
                <w:highlight w:val="none"/>
              </w:rPr>
              <w:t>(2)投标单位对确保本项目的服务和回收质效，制定人员绩效考核等管理制度，根据科学、合理程度（0-2分）打分,容完整、科学合理、针对性强的得2分；</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内容基本完整、基本合理、针对性较强的得1.5分；内容简单或存在缺陷的、针对性弱的得0.7分；未提供不得分。</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vMerge w:val="continue"/>
            <w:tcBorders>
              <w:left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11、溯源监督管理</w:t>
            </w:r>
          </w:p>
        </w:tc>
        <w:tc>
          <w:tcPr>
            <w:tcW w:w="6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对投标人回收和清运的精细管理情况进行评审打分。方案能实时响应用户的呼叫需求得</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分，生活垃圾可以溯源到户得</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对每户生活垃圾回收时间精确到秒得1分，回收计量称重精确到0.01KG得1分，每辆运输能提供车辆运行轨迹得1分，能实时提供户别、站别、镇街及全覆盖范围内的垃圾重量的日、周、月、季度、半年度和年度统计信息得1分。</w:t>
            </w:r>
          </w:p>
          <w:p>
            <w:pPr>
              <w:rPr>
                <w:rFonts w:ascii="宋体" w:hAnsi="宋体" w:cs="宋体"/>
                <w:color w:val="auto"/>
                <w:sz w:val="22"/>
                <w:szCs w:val="22"/>
                <w:highlight w:val="none"/>
              </w:rPr>
            </w:pPr>
            <w:r>
              <w:rPr>
                <w:rFonts w:hint="eastAsia" w:ascii="宋体" w:hAnsi="宋体" w:cs="宋体"/>
                <w:color w:val="auto"/>
                <w:sz w:val="22"/>
                <w:szCs w:val="22"/>
                <w:highlight w:val="none"/>
              </w:rPr>
              <w:t>注：要求提供系统平台展示图片、设备设施清单以及上述展示证明材料。</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lang w:val="en-US" w:eastAsia="zh-CN"/>
              </w:rPr>
              <w:t>5</w:t>
            </w:r>
            <w:r>
              <w:rPr>
                <w:rFonts w:hint="eastAsia" w:ascii="宋体" w:hAnsi="宋体" w:cs="宋体"/>
                <w:b/>
                <w:color w:val="auto"/>
                <w:sz w:val="22"/>
                <w:szCs w:val="2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vMerge w:val="continue"/>
            <w:tcBorders>
              <w:left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12、垃圾流向管理</w:t>
            </w:r>
          </w:p>
        </w:tc>
        <w:tc>
          <w:tcPr>
            <w:tcW w:w="6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垃圾流向追溯管理，可回收物具有综合利用能力且合法经营的单位直接利用，有协议得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分，有意向协议得</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分；电冰箱、空调等列入《废弃电器电子产品处理目录》的废电器电子产品委托具有废弃电器电子产品处理资格证书的单位规范拆解，有协议得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分，有意向协议得</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分；有毒有害垃圾委托具有危废经营许可证的单位规范处置，有协议得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分，有意向协议得</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w:t>
            </w:r>
          </w:p>
          <w:p>
            <w:pPr>
              <w:rPr>
                <w:rFonts w:ascii="宋体" w:hAnsi="宋体" w:cs="宋体"/>
                <w:color w:val="auto"/>
                <w:sz w:val="22"/>
                <w:szCs w:val="22"/>
                <w:highlight w:val="none"/>
              </w:rPr>
            </w:pPr>
            <w:r>
              <w:rPr>
                <w:rFonts w:hint="eastAsia" w:ascii="宋体" w:hAnsi="宋体" w:cs="宋体"/>
                <w:color w:val="auto"/>
                <w:sz w:val="22"/>
                <w:szCs w:val="22"/>
                <w:highlight w:val="none"/>
              </w:rPr>
              <w:t>注：投标人需提供与可回收物综合利用单位、废弃电器电子产品处理资格单位、危废经营许可单位等处置利用协议或意向协议复印件或扫描件。还需提供处置利用单位的营业执照复印件或扫描件，不能提供不得分。</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bCs/>
                <w:color w:val="auto"/>
                <w:sz w:val="22"/>
                <w:szCs w:val="22"/>
                <w:highlight w:val="none"/>
                <w:lang w:val="en-US" w:eastAsia="zh-CN"/>
              </w:rPr>
              <w:t>4</w:t>
            </w:r>
            <w:r>
              <w:rPr>
                <w:rFonts w:hint="eastAsia" w:ascii="宋体" w:hAnsi="宋体" w:cs="宋体"/>
                <w:b/>
                <w:bCs/>
                <w:color w:val="auto"/>
                <w:sz w:val="22"/>
                <w:szCs w:val="2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vMerge w:val="continue"/>
            <w:tcBorders>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13、合理化建议</w:t>
            </w:r>
          </w:p>
        </w:tc>
        <w:tc>
          <w:tcPr>
            <w:tcW w:w="6705"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sz w:val="22"/>
                <w:szCs w:val="22"/>
                <w:highlight w:val="none"/>
              </w:rPr>
            </w:pPr>
            <w:r>
              <w:rPr>
                <w:rFonts w:hint="eastAsia" w:ascii="宋体" w:hAnsi="宋体" w:cs="宋体"/>
                <w:color w:val="auto"/>
                <w:sz w:val="22"/>
                <w:szCs w:val="22"/>
                <w:highlight w:val="none"/>
              </w:rPr>
              <w:t>结合目前泰顺县垃圾分类情况，对前端回收（0-1分）、中端收运分拣（0-1分）、末端处置（0-1分），提出可行性合理化建议，根据可行性和合理化程度打分，最多得3分。</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2" w:hRule="atLeast"/>
        </w:trPr>
        <w:tc>
          <w:tcPr>
            <w:tcW w:w="948" w:type="dxa"/>
            <w:vMerge w:val="restart"/>
            <w:tcBorders>
              <w:top w:val="single" w:color="000000" w:sz="4" w:space="0"/>
              <w:left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14、应急方案</w:t>
            </w:r>
          </w:p>
        </w:tc>
        <w:tc>
          <w:tcPr>
            <w:tcW w:w="6705"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sz w:val="22"/>
                <w:szCs w:val="22"/>
                <w:highlight w:val="none"/>
              </w:rPr>
            </w:pPr>
            <w:r>
              <w:rPr>
                <w:rFonts w:hint="eastAsia" w:ascii="宋体" w:hAnsi="宋体" w:cs="宋体"/>
                <w:color w:val="auto"/>
                <w:sz w:val="22"/>
                <w:szCs w:val="22"/>
                <w:highlight w:val="none"/>
              </w:rPr>
              <w:t>为保障系统及服务正常稳定运行，投标人针对疫情（0-1分）、极端天气（0-1分）、设施设备故障（0-1分），提供符合需求的应急响应方案，根据每项的可行性和合理化程度打分，最多得3分。</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vMerge w:val="continue"/>
            <w:tcBorders>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15、系统演示</w:t>
            </w:r>
          </w:p>
        </w:tc>
        <w:tc>
          <w:tcPr>
            <w:tcW w:w="6705"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sz w:val="22"/>
                <w:szCs w:val="22"/>
                <w:highlight w:val="none"/>
              </w:rPr>
            </w:pPr>
            <w:r>
              <w:rPr>
                <w:rFonts w:hint="eastAsia" w:ascii="宋体" w:hAnsi="宋体" w:cs="宋体"/>
                <w:color w:val="auto"/>
                <w:sz w:val="22"/>
                <w:szCs w:val="22"/>
                <w:highlight w:val="none"/>
              </w:rPr>
              <w:t>投标人提供类似于本项目运用需求的系统平台，分别以小区用户端（0-2分）、上门收集回收员端口（0-2分）、后台管理端口（0-2分）身份进行系统流程演示，从前端收集、中端运输、精细分类、系统监管等系统功能模块是否齐全、数据是否详实、操作是否简单等，进行综合评价。</w:t>
            </w:r>
          </w:p>
          <w:p>
            <w:pPr>
              <w:rPr>
                <w:rFonts w:ascii="宋体" w:hAnsi="宋体" w:cs="宋体"/>
                <w:color w:val="auto"/>
                <w:sz w:val="22"/>
                <w:szCs w:val="22"/>
                <w:highlight w:val="none"/>
              </w:rPr>
            </w:pPr>
            <w:r>
              <w:rPr>
                <w:rFonts w:hint="eastAsia" w:ascii="宋体" w:hAnsi="宋体" w:cs="宋体"/>
                <w:color w:val="auto"/>
                <w:sz w:val="22"/>
                <w:szCs w:val="22"/>
                <w:highlight w:val="none"/>
              </w:rPr>
              <w:t>说明：系统演示加讲解（采用钉钉屏幕共享，实现远程在线系统演示及讲解进行），设备、网络、平台等与演示有关的内容均由供应商自行准备。演示顺序以供应商投标文件解密先后顺序为准。</w:t>
            </w:r>
          </w:p>
          <w:p>
            <w:pPr>
              <w:rPr>
                <w:rFonts w:ascii="宋体" w:hAnsi="宋体" w:cs="宋体"/>
                <w:color w:val="auto"/>
                <w:sz w:val="22"/>
                <w:szCs w:val="22"/>
                <w:highlight w:val="none"/>
              </w:rPr>
            </w:pPr>
            <w:r>
              <w:rPr>
                <w:rFonts w:hint="eastAsia" w:ascii="宋体" w:hAnsi="宋体" w:cs="宋体"/>
                <w:color w:val="auto"/>
                <w:sz w:val="22"/>
                <w:szCs w:val="22"/>
                <w:highlight w:val="none"/>
              </w:rPr>
              <w:t>根据讲解与系统演示情况进行打分，仅进行PPT等固定图片或录屏、录像方式演示的不得分，不演示的不得分。每位投标人演示时间不超过15分钟。涉及具体用户信息的应进行脱敏处理。</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vMerge w:val="restart"/>
            <w:tcBorders>
              <w:top w:val="single" w:color="000000" w:sz="4" w:space="0"/>
              <w:left w:val="single" w:color="000000" w:sz="4" w:space="0"/>
              <w:right w:val="single" w:color="000000" w:sz="4" w:space="0"/>
            </w:tcBorders>
            <w:vAlign w:val="center"/>
          </w:tcPr>
          <w:p>
            <w:pPr>
              <w:widowControl/>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商务分</w:t>
            </w:r>
          </w:p>
          <w:p>
            <w:pPr>
              <w:widowControl/>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（16分）</w:t>
            </w: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16、投标人资质能力相关证书</w:t>
            </w:r>
          </w:p>
        </w:tc>
        <w:tc>
          <w:tcPr>
            <w:tcW w:w="6705"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sz w:val="22"/>
                <w:szCs w:val="22"/>
                <w:highlight w:val="none"/>
              </w:rPr>
            </w:pPr>
            <w:r>
              <w:rPr>
                <w:rFonts w:hint="eastAsia" w:ascii="宋体" w:hAnsi="宋体" w:cs="宋体"/>
                <w:color w:val="auto"/>
                <w:sz w:val="22"/>
                <w:szCs w:val="22"/>
                <w:highlight w:val="none"/>
              </w:rPr>
              <w:t>具备质量管理体系认证证书、环境管理体系认证证书、职业健康安全体系认证证书，每项得1分，最高得3分。</w:t>
            </w:r>
          </w:p>
          <w:p>
            <w:pPr>
              <w:rPr>
                <w:rFonts w:ascii="宋体" w:hAnsi="宋体" w:cs="宋体"/>
                <w:color w:val="auto"/>
                <w:sz w:val="22"/>
                <w:szCs w:val="22"/>
                <w:highlight w:val="none"/>
              </w:rPr>
            </w:pPr>
            <w:r>
              <w:rPr>
                <w:rFonts w:hint="eastAsia" w:ascii="宋体" w:hAnsi="宋体" w:cs="宋体"/>
                <w:color w:val="auto"/>
                <w:sz w:val="22"/>
                <w:szCs w:val="22"/>
                <w:highlight w:val="none"/>
              </w:rPr>
              <w:t>注：须提供以上证书证明材料扫描件编入电子投标文件中，均须在有效期内，否则不得分。</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vMerge w:val="continue"/>
            <w:tcBorders>
              <w:left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17、拟投入项目负责人综合素质情况</w:t>
            </w:r>
          </w:p>
        </w:tc>
        <w:tc>
          <w:tcPr>
            <w:tcW w:w="6705"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sz w:val="22"/>
                <w:szCs w:val="22"/>
                <w:highlight w:val="none"/>
              </w:rPr>
            </w:pPr>
            <w:r>
              <w:rPr>
                <w:rFonts w:hint="eastAsia" w:ascii="宋体" w:hAnsi="宋体" w:cs="宋体"/>
                <w:color w:val="auto"/>
                <w:sz w:val="22"/>
                <w:szCs w:val="22"/>
                <w:highlight w:val="none"/>
              </w:rPr>
              <w:t>拟派项目负责人有行业从业经验得1分；有类似本项目管理工作经验达到3年及以上的，得1分；</w:t>
            </w:r>
          </w:p>
          <w:p>
            <w:pPr>
              <w:rPr>
                <w:rFonts w:ascii="宋体" w:hAnsi="宋体" w:cs="宋体"/>
                <w:color w:val="auto"/>
                <w:sz w:val="22"/>
                <w:szCs w:val="22"/>
                <w:highlight w:val="none"/>
              </w:rPr>
            </w:pPr>
            <w:r>
              <w:rPr>
                <w:rFonts w:hint="eastAsia" w:ascii="宋体" w:hAnsi="宋体" w:cs="宋体"/>
                <w:color w:val="auto"/>
                <w:sz w:val="22"/>
                <w:szCs w:val="22"/>
                <w:highlight w:val="none"/>
              </w:rPr>
              <w:t>注：拟派人员须提供缴纳在投标单位的社保盖章（或电子公章）证明缴纳清单，否则不予认可，负责人相关工作年限及经验需提供相关工作证明材料。</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vMerge w:val="continue"/>
            <w:tcBorders>
              <w:left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18、高新技术能力体现</w:t>
            </w:r>
          </w:p>
        </w:tc>
        <w:tc>
          <w:tcPr>
            <w:tcW w:w="6705"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sz w:val="22"/>
                <w:szCs w:val="22"/>
                <w:highlight w:val="none"/>
              </w:rPr>
            </w:pPr>
            <w:r>
              <w:rPr>
                <w:rFonts w:hint="eastAsia" w:ascii="宋体" w:hAnsi="宋体" w:cs="宋体"/>
                <w:color w:val="auto"/>
                <w:sz w:val="22"/>
                <w:szCs w:val="22"/>
                <w:highlight w:val="none"/>
              </w:rPr>
              <w:t>投标人拟投入本项目使用的设备设施具备自主发明专利或使用新型专利、软件著作权的，按照物流调度、回收、仓储、回收监管、处置监管、分类积分等能够适用于本项目的功能服务的，每项得0.5分，最高得3分。注：须提供以上证书证明材料扫描件编入电子投标文件中，均须在有效期内，否则不得分。</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vMerge w:val="continue"/>
            <w:tcBorders>
              <w:left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19、类似案例经验</w:t>
            </w:r>
          </w:p>
        </w:tc>
        <w:tc>
          <w:tcPr>
            <w:tcW w:w="6705"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sz w:val="22"/>
                <w:szCs w:val="22"/>
                <w:highlight w:val="none"/>
              </w:rPr>
            </w:pPr>
            <w:r>
              <w:rPr>
                <w:rFonts w:hint="eastAsia" w:ascii="宋体" w:hAnsi="宋体" w:cs="宋体"/>
                <w:color w:val="auto"/>
                <w:sz w:val="22"/>
                <w:szCs w:val="22"/>
                <w:highlight w:val="none"/>
              </w:rPr>
              <w:t>投标人每具有一份类似本项目的案例业绩合同并提供履约或考核情况表的得0.5分，最多得1分。</w:t>
            </w:r>
          </w:p>
          <w:p>
            <w:pPr>
              <w:rPr>
                <w:rFonts w:ascii="宋体" w:hAnsi="宋体" w:cs="宋体"/>
                <w:color w:val="auto"/>
                <w:sz w:val="22"/>
                <w:szCs w:val="22"/>
                <w:highlight w:val="none"/>
              </w:rPr>
            </w:pPr>
            <w:r>
              <w:rPr>
                <w:rFonts w:hint="eastAsia" w:ascii="宋体" w:hAnsi="宋体" w:cs="宋体"/>
                <w:color w:val="auto"/>
                <w:sz w:val="22"/>
                <w:szCs w:val="22"/>
                <w:highlight w:val="none"/>
              </w:rPr>
              <w:t>注：投标文件中须提供合同和采购单位的履约或考核情况调查表加盖公章，考核不合格不得分,与本项目不类似的案例不得分。</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vMerge w:val="continue"/>
            <w:tcBorders>
              <w:left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20、案例解析</w:t>
            </w:r>
          </w:p>
        </w:tc>
        <w:tc>
          <w:tcPr>
            <w:tcW w:w="6705"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sz w:val="22"/>
                <w:szCs w:val="22"/>
                <w:highlight w:val="none"/>
              </w:rPr>
            </w:pPr>
            <w:r>
              <w:rPr>
                <w:rFonts w:hint="eastAsia" w:ascii="宋体" w:hAnsi="宋体" w:cs="宋体"/>
                <w:color w:val="auto"/>
                <w:sz w:val="22"/>
                <w:szCs w:val="22"/>
                <w:highlight w:val="none"/>
              </w:rPr>
              <w:t>结合投标人自有已实施类似项目案例进行解析，投标单位提供的案例必须为本单位所实施且为真实性负责，可图文结合。服务实施案例解析清楚得1分，数据详实得1分，群众满意度获得感高得1分，社会和环境效益明显得2分。</w:t>
            </w:r>
          </w:p>
          <w:p>
            <w:pPr>
              <w:rPr>
                <w:rFonts w:ascii="宋体" w:hAnsi="宋体" w:cs="宋体"/>
                <w:color w:val="auto"/>
                <w:sz w:val="22"/>
                <w:szCs w:val="22"/>
                <w:highlight w:val="none"/>
              </w:rPr>
            </w:pPr>
            <w:r>
              <w:rPr>
                <w:rFonts w:hint="eastAsia" w:ascii="宋体" w:hAnsi="宋体" w:cs="宋体"/>
                <w:color w:val="auto"/>
                <w:sz w:val="22"/>
                <w:szCs w:val="22"/>
                <w:highlight w:val="none"/>
              </w:rPr>
              <w:t>注:提供案例解析报告，同时提供上述得分项的相关证明材料。与本项目不类似的案例不得分。</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948" w:type="dxa"/>
            <w:vMerge w:val="continue"/>
            <w:tcBorders>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auto"/>
                <w:sz w:val="22"/>
                <w:szCs w:val="22"/>
                <w:highlight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lang w:val="zh-CN"/>
              </w:rPr>
            </w:pPr>
            <w:r>
              <w:rPr>
                <w:rFonts w:hint="eastAsia" w:ascii="宋体" w:hAnsi="宋体" w:cs="宋体"/>
                <w:color w:val="auto"/>
                <w:sz w:val="22"/>
                <w:szCs w:val="22"/>
                <w:highlight w:val="none"/>
              </w:rPr>
              <w:t>21、企业荣誉</w:t>
            </w:r>
          </w:p>
        </w:tc>
        <w:tc>
          <w:tcPr>
            <w:tcW w:w="6705"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根据投标单位提供的各级政府、相关行业主管部门授予企业</w:t>
            </w:r>
            <w:r>
              <w:rPr>
                <w:rFonts w:hint="eastAsia" w:ascii="宋体" w:hAnsi="宋体" w:cs="宋体"/>
                <w:color w:val="auto"/>
                <w:sz w:val="22"/>
                <w:szCs w:val="22"/>
                <w:highlight w:val="none"/>
              </w:rPr>
              <w:t>或企业实施类似项目</w:t>
            </w:r>
            <w:r>
              <w:rPr>
                <w:rFonts w:hint="eastAsia" w:ascii="宋体" w:hAnsi="宋体" w:cs="宋体"/>
                <w:color w:val="auto"/>
                <w:sz w:val="22"/>
                <w:szCs w:val="22"/>
                <w:highlight w:val="none"/>
                <w:lang w:val="zh-CN"/>
              </w:rPr>
              <w:t>的荣誉证书，县级每项得</w:t>
            </w:r>
            <w:r>
              <w:rPr>
                <w:rFonts w:hint="eastAsia" w:ascii="宋体" w:hAnsi="宋体" w:cs="宋体"/>
                <w:color w:val="auto"/>
                <w:sz w:val="22"/>
                <w:szCs w:val="22"/>
                <w:highlight w:val="none"/>
              </w:rPr>
              <w:t>0.5分，</w:t>
            </w:r>
            <w:r>
              <w:rPr>
                <w:rFonts w:hint="eastAsia" w:ascii="宋体" w:hAnsi="宋体" w:cs="宋体"/>
                <w:color w:val="auto"/>
                <w:sz w:val="22"/>
                <w:szCs w:val="22"/>
                <w:highlight w:val="none"/>
                <w:lang w:val="zh-CN"/>
              </w:rPr>
              <w:t>市级每项得</w:t>
            </w:r>
            <w:r>
              <w:rPr>
                <w:rFonts w:hint="eastAsia" w:ascii="宋体" w:hAnsi="宋体" w:cs="宋体"/>
                <w:color w:val="auto"/>
                <w:sz w:val="22"/>
                <w:szCs w:val="22"/>
                <w:highlight w:val="none"/>
              </w:rPr>
              <w:t>1分，省级每项得1分，国家级（部级）每项得2分，本项</w:t>
            </w:r>
            <w:r>
              <w:rPr>
                <w:rFonts w:hint="eastAsia" w:ascii="宋体" w:hAnsi="宋体" w:cs="宋体"/>
                <w:color w:val="auto"/>
                <w:sz w:val="22"/>
                <w:szCs w:val="22"/>
                <w:highlight w:val="none"/>
                <w:lang w:val="zh-CN"/>
              </w:rPr>
              <w:t>最高得</w:t>
            </w:r>
            <w:r>
              <w:rPr>
                <w:rFonts w:hint="eastAsia" w:ascii="宋体" w:hAnsi="宋体" w:cs="宋体"/>
                <w:color w:val="auto"/>
                <w:sz w:val="22"/>
                <w:szCs w:val="22"/>
                <w:highlight w:val="none"/>
              </w:rPr>
              <w:t>2分</w:t>
            </w:r>
            <w:r>
              <w:rPr>
                <w:rFonts w:hint="eastAsia" w:ascii="宋体" w:hAnsi="宋体" w:cs="宋体"/>
                <w:color w:val="auto"/>
                <w:sz w:val="22"/>
                <w:szCs w:val="22"/>
                <w:highlight w:val="none"/>
                <w:lang w:val="zh-CN"/>
              </w:rPr>
              <w:t>。</w:t>
            </w:r>
          </w:p>
          <w:p>
            <w:pPr>
              <w:rPr>
                <w:rFonts w:ascii="宋体" w:hAnsi="宋体" w:cs="宋体"/>
                <w:color w:val="auto"/>
                <w:sz w:val="22"/>
                <w:szCs w:val="22"/>
                <w:highlight w:val="none"/>
              </w:rPr>
            </w:pPr>
            <w:r>
              <w:rPr>
                <w:rFonts w:hint="eastAsia" w:ascii="宋体" w:hAnsi="宋体" w:cs="宋体"/>
                <w:color w:val="auto"/>
                <w:sz w:val="22"/>
                <w:szCs w:val="22"/>
                <w:highlight w:val="none"/>
                <w:lang w:val="zh-CN"/>
              </w:rPr>
              <w:t>注：提供企业荣誉证书扫描件或复印件加盖公章，否则不得分。</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2分</w:t>
            </w:r>
          </w:p>
        </w:tc>
      </w:tr>
    </w:tbl>
    <w:p>
      <w:pPr>
        <w:pStyle w:val="47"/>
        <w:snapToGrid w:val="0"/>
        <w:spacing w:line="380" w:lineRule="exact"/>
        <w:ind w:firstLine="0" w:firstLineChars="0"/>
        <w:rPr>
          <w:rFonts w:ascii="宋体" w:hAnsi="宋体" w:eastAsia="宋体"/>
          <w:color w:val="auto"/>
          <w:sz w:val="22"/>
          <w:szCs w:val="22"/>
          <w:highlight w:val="none"/>
        </w:rPr>
      </w:pPr>
    </w:p>
    <w:p>
      <w:pPr>
        <w:adjustRightInd w:val="0"/>
        <w:snapToGrid w:val="0"/>
        <w:spacing w:before="100" w:after="50" w:line="400" w:lineRule="atLeast"/>
        <w:ind w:firstLine="446" w:firstLineChars="196"/>
        <w:jc w:val="center"/>
        <w:rPr>
          <w:rFonts w:ascii="宋体"/>
          <w:b/>
          <w:bCs/>
          <w:color w:val="auto"/>
          <w:sz w:val="22"/>
          <w:szCs w:val="22"/>
          <w:highlight w:val="none"/>
        </w:rPr>
      </w:pPr>
      <w:r>
        <w:rPr>
          <w:rFonts w:hint="eastAsia" w:ascii="宋体"/>
          <w:b/>
          <w:bCs/>
          <w:color w:val="auto"/>
          <w:sz w:val="22"/>
          <w:szCs w:val="22"/>
          <w:highlight w:val="none"/>
        </w:rPr>
        <w:t>五、说明</w:t>
      </w:r>
    </w:p>
    <w:p>
      <w:pPr>
        <w:pStyle w:val="42"/>
        <w:adjustRightInd w:val="0"/>
        <w:snapToGrid w:val="0"/>
        <w:spacing w:before="100" w:after="50" w:line="360" w:lineRule="atLeast"/>
        <w:rPr>
          <w:color w:val="auto"/>
          <w:sz w:val="22"/>
          <w:szCs w:val="22"/>
          <w:highlight w:val="none"/>
        </w:rPr>
      </w:pPr>
      <w:r>
        <w:rPr>
          <w:color w:val="auto"/>
          <w:sz w:val="22"/>
          <w:szCs w:val="22"/>
          <w:highlight w:val="none"/>
        </w:rPr>
        <w:t>1</w:t>
      </w:r>
      <w:r>
        <w:rPr>
          <w:rFonts w:hint="eastAsia"/>
          <w:color w:val="auto"/>
          <w:sz w:val="22"/>
          <w:szCs w:val="22"/>
          <w:highlight w:val="none"/>
        </w:rPr>
        <w:t>、每个</w:t>
      </w:r>
      <w:r>
        <w:rPr>
          <w:rFonts w:hint="eastAsia" w:hAnsi="宋体" w:cs="宋体"/>
          <w:color w:val="auto"/>
          <w:sz w:val="22"/>
          <w:szCs w:val="22"/>
          <w:highlight w:val="none"/>
        </w:rPr>
        <w:t>投标供应商</w:t>
      </w:r>
      <w:r>
        <w:rPr>
          <w:rFonts w:hint="eastAsia"/>
          <w:color w:val="auto"/>
          <w:sz w:val="22"/>
          <w:szCs w:val="22"/>
          <w:highlight w:val="none"/>
        </w:rPr>
        <w:t>最终得分</w:t>
      </w:r>
      <w:r>
        <w:rPr>
          <w:color w:val="auto"/>
          <w:sz w:val="22"/>
          <w:szCs w:val="22"/>
          <w:highlight w:val="none"/>
        </w:rPr>
        <w:t>=</w:t>
      </w:r>
      <w:r>
        <w:rPr>
          <w:rFonts w:hint="eastAsia"/>
          <w:color w:val="auto"/>
          <w:sz w:val="22"/>
          <w:szCs w:val="22"/>
          <w:highlight w:val="none"/>
        </w:rPr>
        <w:t>技术资信部分分值（所有评标委员会成员打分的算术平均值）＋商务报价部分分值。</w:t>
      </w:r>
    </w:p>
    <w:p>
      <w:pPr>
        <w:pStyle w:val="42"/>
        <w:adjustRightInd w:val="0"/>
        <w:snapToGrid w:val="0"/>
        <w:spacing w:before="100" w:after="50" w:line="360" w:lineRule="atLeast"/>
        <w:rPr>
          <w:color w:val="auto"/>
          <w:sz w:val="22"/>
          <w:szCs w:val="22"/>
          <w:highlight w:val="none"/>
        </w:rPr>
      </w:pPr>
      <w:r>
        <w:rPr>
          <w:color w:val="auto"/>
          <w:sz w:val="22"/>
          <w:szCs w:val="22"/>
          <w:highlight w:val="none"/>
        </w:rPr>
        <w:t>2</w:t>
      </w:r>
      <w:r>
        <w:rPr>
          <w:rFonts w:hint="eastAsia"/>
          <w:color w:val="auto"/>
          <w:sz w:val="22"/>
          <w:szCs w:val="22"/>
          <w:highlight w:val="none"/>
        </w:rPr>
        <w:t>、所有分值计算保留小数点后二位，小数点后三位四舍五入。</w:t>
      </w:r>
    </w:p>
    <w:p>
      <w:pPr>
        <w:pStyle w:val="42"/>
        <w:adjustRightInd w:val="0"/>
        <w:snapToGrid w:val="0"/>
        <w:spacing w:before="100" w:after="50" w:line="360" w:lineRule="atLeast"/>
        <w:rPr>
          <w:color w:val="auto"/>
          <w:highlight w:val="none"/>
        </w:rPr>
      </w:pPr>
      <w:r>
        <w:rPr>
          <w:rFonts w:hint="eastAsia"/>
          <w:color w:val="auto"/>
          <w:sz w:val="22"/>
          <w:szCs w:val="22"/>
          <w:highlight w:val="none"/>
        </w:rPr>
        <w:t>参见本招标文件第三部分：“投标供应商须知”</w:t>
      </w:r>
      <w:r>
        <w:rPr>
          <w:color w:val="auto"/>
          <w:sz w:val="22"/>
          <w:szCs w:val="22"/>
          <w:highlight w:val="none"/>
        </w:rPr>
        <w:t xml:space="preserve"> </w:t>
      </w:r>
      <w:r>
        <w:rPr>
          <w:rFonts w:hint="eastAsia"/>
          <w:color w:val="auto"/>
          <w:sz w:val="22"/>
          <w:szCs w:val="22"/>
          <w:highlight w:val="none"/>
        </w:rPr>
        <w:t>中的相关内容，未尽事宜按有关法律规定处理。</w:t>
      </w:r>
    </w:p>
    <w:sectPr>
      <w:pgSz w:w="11906" w:h="16838"/>
      <w:pgMar w:top="1440" w:right="1247" w:bottom="1440" w:left="1247" w:header="851" w:footer="992" w:gutter="0"/>
      <w:cols w:space="0" w:num="1"/>
      <w:titlePg/>
      <w:docGrid w:type="linesAndChars" w:linePitch="313" w:charSpace="1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swiss"/>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JhengHei Light">
    <w:panose1 w:val="020B0304030504040204"/>
    <w:charset w:val="88"/>
    <w:family w:val="swiss"/>
    <w:pitch w:val="default"/>
    <w:sig w:usb0="800002A7" w:usb1="28CF4400" w:usb2="00000016" w:usb3="00000000" w:csb0="00100009"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宋体_x0003_...销.">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 xml:space="preserve">泰顺采购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 xml:space="preserve">泰顺采购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 xml:space="preserve">泰顺采购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drawing>
        <wp:inline distT="0" distB="0" distL="114300" distR="114300">
          <wp:extent cx="325755" cy="273050"/>
          <wp:effectExtent l="0" t="0" r="7620" b="3175"/>
          <wp:docPr id="13"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5"/>
        <w:szCs w:val="15"/>
      </w:rPr>
      <w:t>杭州华旗招标代理有限公司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E9975"/>
    <w:multiLevelType w:val="singleLevel"/>
    <w:tmpl w:val="D01E9975"/>
    <w:lvl w:ilvl="0" w:tentative="0">
      <w:start w:val="1"/>
      <w:numFmt w:val="decimal"/>
      <w:lvlText w:val="%1."/>
      <w:lvlJc w:val="left"/>
      <w:pPr>
        <w:tabs>
          <w:tab w:val="left" w:pos="312"/>
        </w:tabs>
      </w:pPr>
    </w:lvl>
  </w:abstractNum>
  <w:abstractNum w:abstractNumId="1">
    <w:nsid w:val="DDC374CF"/>
    <w:multiLevelType w:val="singleLevel"/>
    <w:tmpl w:val="DDC374CF"/>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1"/>
      <w:numFmt w:val="decimal"/>
      <w:suff w:val="space"/>
      <w:lvlText w:val="%1."/>
      <w:lvlJc w:val="left"/>
    </w:lvl>
  </w:abstractNum>
  <w:abstractNum w:abstractNumId="3">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4">
    <w:nsid w:val="3B363D98"/>
    <w:multiLevelType w:val="multilevel"/>
    <w:tmpl w:val="3B363D98"/>
    <w:lvl w:ilvl="0" w:tentative="0">
      <w:start w:val="1"/>
      <w:numFmt w:val="decimal"/>
      <w:pStyle w:val="8"/>
      <w:suff w:val="space"/>
      <w:lvlText w:val="图%1."/>
      <w:lvlJc w:val="left"/>
      <w:pPr>
        <w:ind w:left="2263" w:hanging="420"/>
      </w:pPr>
      <w:rPr>
        <w:rFonts w:hint="default" w:asciiTheme="minorEastAsia" w:hAnsiTheme="minorEastAsia" w:eastAsiaTheme="minorEastAsia"/>
        <w:b w:val="0"/>
        <w:bCs w:val="0"/>
        <w:i w:val="0"/>
        <w:iCs w:val="0"/>
        <w:caps w:val="0"/>
        <w:smallCaps w:val="0"/>
        <w:strike w:val="0"/>
        <w:dstrike w:val="0"/>
        <w:vanish w:val="0"/>
        <w:color w:val="000000"/>
        <w:spacing w:val="0"/>
        <w:position w:val="0"/>
        <w:sz w:val="21"/>
        <w:szCs w:val="21"/>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5">
    <w:nsid w:val="3D06CA1B"/>
    <w:multiLevelType w:val="multilevel"/>
    <w:tmpl w:val="3D06CA1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44DD23F9"/>
    <w:multiLevelType w:val="multilevel"/>
    <w:tmpl w:val="44DD23F9"/>
    <w:lvl w:ilvl="0" w:tentative="0">
      <w:start w:val="1"/>
      <w:numFmt w:val="bullet"/>
      <w:pStyle w:val="59"/>
      <w:lvlText w:val=""/>
      <w:lvlJc w:val="left"/>
      <w:pPr>
        <w:ind w:left="704"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
    <w:nsid w:val="52170D45"/>
    <w:multiLevelType w:val="multilevel"/>
    <w:tmpl w:val="52170D45"/>
    <w:lvl w:ilvl="0" w:tentative="0">
      <w:start w:val="1"/>
      <w:numFmt w:val="decimal"/>
      <w:pStyle w:val="66"/>
      <w:lvlText w:val="%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11">
    <w:nsid w:val="7E1B30FA"/>
    <w:multiLevelType w:val="multilevel"/>
    <w:tmpl w:val="7E1B30FA"/>
    <w:lvl w:ilvl="0" w:tentative="0">
      <w:start w:val="1"/>
      <w:numFmt w:val="decimal"/>
      <w:lvlText w:val="第%1章"/>
      <w:lvlJc w:val="left"/>
      <w:pPr>
        <w:ind w:left="0" w:firstLine="0"/>
      </w:pPr>
      <w:rPr>
        <w:rFonts w:hint="eastAsia"/>
      </w:rPr>
    </w:lvl>
    <w:lvl w:ilvl="1" w:tentative="0">
      <w:start w:val="1"/>
      <w:numFmt w:val="decimal"/>
      <w:lvlText w:val="%1.%2"/>
      <w:lvlJc w:val="left"/>
      <w:pPr>
        <w:ind w:left="284" w:firstLine="141"/>
      </w:pPr>
      <w:rPr>
        <w:rFonts w:hint="eastAsia"/>
      </w:rPr>
    </w:lvl>
    <w:lvl w:ilvl="2" w:tentative="0">
      <w:start w:val="1"/>
      <w:numFmt w:val="decimal"/>
      <w:lvlText w:val="%1.%2.%3"/>
      <w:lvlJc w:val="left"/>
      <w:pPr>
        <w:ind w:left="454" w:firstLine="397"/>
      </w:pPr>
      <w:rPr>
        <w:rFonts w:hint="eastAsia"/>
      </w:rPr>
    </w:lvl>
    <w:lvl w:ilvl="3" w:tentative="0">
      <w:start w:val="1"/>
      <w:numFmt w:val="decimal"/>
      <w:lvlText w:val="%1.%2.%3.%4"/>
      <w:lvlJc w:val="left"/>
      <w:pPr>
        <w:ind w:left="567" w:firstLine="709"/>
      </w:pPr>
      <w:rPr>
        <w:rFonts w:hint="eastAsia"/>
      </w:rPr>
    </w:lvl>
    <w:lvl w:ilvl="4" w:tentative="0">
      <w:start w:val="1"/>
      <w:numFmt w:val="decimal"/>
      <w:pStyle w:val="60"/>
      <w:lvlText w:val="%1.%2.%3.%4.%5"/>
      <w:lvlJc w:val="left"/>
      <w:pPr>
        <w:ind w:left="737" w:firstLine="964"/>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4"/>
  </w:num>
  <w:num w:numId="3">
    <w:abstractNumId w:val="6"/>
  </w:num>
  <w:num w:numId="4">
    <w:abstractNumId w:val="11"/>
  </w:num>
  <w:num w:numId="5">
    <w:abstractNumId w:val="7"/>
  </w:num>
  <w:num w:numId="6">
    <w:abstractNumId w:val="3"/>
  </w:num>
  <w:num w:numId="7">
    <w:abstractNumId w:val="0"/>
  </w:num>
  <w:num w:numId="8">
    <w:abstractNumId w:val="10"/>
  </w:num>
  <w:num w:numId="9">
    <w:abstractNumId w:val="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hideSpellingErrors/>
  <w:trackRevisions w:val="1"/>
  <w:documentProtection w:edit="trackedChanges" w:formatting="1" w:enforcement="1" w:cryptProviderType="rsaFull" w:cryptAlgorithmClass="hash" w:cryptAlgorithmType="typeAny" w:cryptAlgorithmSid="4" w:cryptSpinCount="0" w:hash="914M1rWtX3K3YEuu+Ta6ZdTpRbI=" w:salt="vTFSlHXCPYjoer7e8ajhPg=="/>
  <w:defaultTabStop w:val="420"/>
  <w:drawingGridHorizontalSpacing w:val="10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s>
  <w:rsids>
    <w:rsidRoot w:val="00E32034"/>
    <w:rsid w:val="000630A4"/>
    <w:rsid w:val="00067231"/>
    <w:rsid w:val="000E39BA"/>
    <w:rsid w:val="000F16EB"/>
    <w:rsid w:val="00102968"/>
    <w:rsid w:val="0011628C"/>
    <w:rsid w:val="00120616"/>
    <w:rsid w:val="0012704A"/>
    <w:rsid w:val="001A3C28"/>
    <w:rsid w:val="001A78DF"/>
    <w:rsid w:val="001F685C"/>
    <w:rsid w:val="002844E7"/>
    <w:rsid w:val="002F18A4"/>
    <w:rsid w:val="00302497"/>
    <w:rsid w:val="00304715"/>
    <w:rsid w:val="00313114"/>
    <w:rsid w:val="00353071"/>
    <w:rsid w:val="003A267E"/>
    <w:rsid w:val="00450D5C"/>
    <w:rsid w:val="00472058"/>
    <w:rsid w:val="004726BB"/>
    <w:rsid w:val="0049417E"/>
    <w:rsid w:val="004C1EB6"/>
    <w:rsid w:val="004D18E1"/>
    <w:rsid w:val="0053593B"/>
    <w:rsid w:val="00543934"/>
    <w:rsid w:val="005B01E6"/>
    <w:rsid w:val="005C6A4B"/>
    <w:rsid w:val="005D2BB5"/>
    <w:rsid w:val="005E0579"/>
    <w:rsid w:val="00695B98"/>
    <w:rsid w:val="006A0CAB"/>
    <w:rsid w:val="006E0A1E"/>
    <w:rsid w:val="00746EEB"/>
    <w:rsid w:val="007549C8"/>
    <w:rsid w:val="00785F5A"/>
    <w:rsid w:val="00810EF8"/>
    <w:rsid w:val="00863399"/>
    <w:rsid w:val="00865454"/>
    <w:rsid w:val="0087569F"/>
    <w:rsid w:val="008D6020"/>
    <w:rsid w:val="00911892"/>
    <w:rsid w:val="00921BD3"/>
    <w:rsid w:val="009226B3"/>
    <w:rsid w:val="00945148"/>
    <w:rsid w:val="00993CA1"/>
    <w:rsid w:val="009B3819"/>
    <w:rsid w:val="009D1FD6"/>
    <w:rsid w:val="009F3C0F"/>
    <w:rsid w:val="00A2489B"/>
    <w:rsid w:val="00A31FA8"/>
    <w:rsid w:val="00A755B5"/>
    <w:rsid w:val="00A93A34"/>
    <w:rsid w:val="00BA0A78"/>
    <w:rsid w:val="00BB2C98"/>
    <w:rsid w:val="00BD34A2"/>
    <w:rsid w:val="00C804A3"/>
    <w:rsid w:val="00C85473"/>
    <w:rsid w:val="00C854D0"/>
    <w:rsid w:val="00CD76DF"/>
    <w:rsid w:val="00D45784"/>
    <w:rsid w:val="00D540DA"/>
    <w:rsid w:val="00D54ABC"/>
    <w:rsid w:val="00D61A91"/>
    <w:rsid w:val="00E26A29"/>
    <w:rsid w:val="00E32034"/>
    <w:rsid w:val="00E362D7"/>
    <w:rsid w:val="00E503C9"/>
    <w:rsid w:val="00E719E1"/>
    <w:rsid w:val="00EA2F3E"/>
    <w:rsid w:val="00EC6073"/>
    <w:rsid w:val="00F60830"/>
    <w:rsid w:val="00F62010"/>
    <w:rsid w:val="00FD524A"/>
    <w:rsid w:val="00FE0B5C"/>
    <w:rsid w:val="011C1120"/>
    <w:rsid w:val="01971D57"/>
    <w:rsid w:val="01B95F5B"/>
    <w:rsid w:val="020E5F18"/>
    <w:rsid w:val="028F2B74"/>
    <w:rsid w:val="029522D0"/>
    <w:rsid w:val="02C958F7"/>
    <w:rsid w:val="033B1910"/>
    <w:rsid w:val="0342341C"/>
    <w:rsid w:val="03FE1390"/>
    <w:rsid w:val="04010390"/>
    <w:rsid w:val="040B5DC6"/>
    <w:rsid w:val="04601439"/>
    <w:rsid w:val="04696AE5"/>
    <w:rsid w:val="046D2F15"/>
    <w:rsid w:val="04C7112E"/>
    <w:rsid w:val="04CA6561"/>
    <w:rsid w:val="04FE687D"/>
    <w:rsid w:val="052B6FFE"/>
    <w:rsid w:val="05685668"/>
    <w:rsid w:val="05C078DC"/>
    <w:rsid w:val="05E256F5"/>
    <w:rsid w:val="05EC2370"/>
    <w:rsid w:val="05F256ED"/>
    <w:rsid w:val="061F33FD"/>
    <w:rsid w:val="062C5D9A"/>
    <w:rsid w:val="065E2E1F"/>
    <w:rsid w:val="0680783F"/>
    <w:rsid w:val="074409B2"/>
    <w:rsid w:val="078661B3"/>
    <w:rsid w:val="07AD2313"/>
    <w:rsid w:val="07B76E93"/>
    <w:rsid w:val="07BB2B24"/>
    <w:rsid w:val="07E2546E"/>
    <w:rsid w:val="07E37EC6"/>
    <w:rsid w:val="08324C35"/>
    <w:rsid w:val="083D3697"/>
    <w:rsid w:val="08720C3F"/>
    <w:rsid w:val="08751215"/>
    <w:rsid w:val="08907C6B"/>
    <w:rsid w:val="08A1640D"/>
    <w:rsid w:val="08A703D9"/>
    <w:rsid w:val="08C2404C"/>
    <w:rsid w:val="091F3C55"/>
    <w:rsid w:val="097038C9"/>
    <w:rsid w:val="09840974"/>
    <w:rsid w:val="09917C57"/>
    <w:rsid w:val="09C72936"/>
    <w:rsid w:val="0A025B20"/>
    <w:rsid w:val="0A161E94"/>
    <w:rsid w:val="0A2C63F1"/>
    <w:rsid w:val="0A392BB3"/>
    <w:rsid w:val="0A4A5BF8"/>
    <w:rsid w:val="0A9D6E39"/>
    <w:rsid w:val="0AA00C47"/>
    <w:rsid w:val="0AB00580"/>
    <w:rsid w:val="0AB14F8A"/>
    <w:rsid w:val="0AFB0953"/>
    <w:rsid w:val="0B4A02F5"/>
    <w:rsid w:val="0B4D32FF"/>
    <w:rsid w:val="0BA81885"/>
    <w:rsid w:val="0BC65B7E"/>
    <w:rsid w:val="0BCC23AF"/>
    <w:rsid w:val="0BEF5314"/>
    <w:rsid w:val="0C2E6EF4"/>
    <w:rsid w:val="0C3A346F"/>
    <w:rsid w:val="0C5A58C7"/>
    <w:rsid w:val="0C7F5C11"/>
    <w:rsid w:val="0CAB292C"/>
    <w:rsid w:val="0CD66EE8"/>
    <w:rsid w:val="0D551B0D"/>
    <w:rsid w:val="0D6D1A88"/>
    <w:rsid w:val="0D7A010E"/>
    <w:rsid w:val="0DA24D08"/>
    <w:rsid w:val="0DA70CBA"/>
    <w:rsid w:val="0DAD3475"/>
    <w:rsid w:val="0DDF61AF"/>
    <w:rsid w:val="0DF17646"/>
    <w:rsid w:val="0E212F0B"/>
    <w:rsid w:val="0E4B0ED0"/>
    <w:rsid w:val="0E800F9A"/>
    <w:rsid w:val="0E811C5E"/>
    <w:rsid w:val="0EAC0516"/>
    <w:rsid w:val="0EC0292C"/>
    <w:rsid w:val="0EC54B74"/>
    <w:rsid w:val="0EC85347"/>
    <w:rsid w:val="0F2743A8"/>
    <w:rsid w:val="0F5D75AE"/>
    <w:rsid w:val="0F72397C"/>
    <w:rsid w:val="0F8D5A6E"/>
    <w:rsid w:val="0F9839E3"/>
    <w:rsid w:val="0FA753CD"/>
    <w:rsid w:val="0FC31AEF"/>
    <w:rsid w:val="0FD7253D"/>
    <w:rsid w:val="104B2691"/>
    <w:rsid w:val="10B16491"/>
    <w:rsid w:val="10B4594F"/>
    <w:rsid w:val="10BB4648"/>
    <w:rsid w:val="10E72D9F"/>
    <w:rsid w:val="112D4C12"/>
    <w:rsid w:val="11423E3C"/>
    <w:rsid w:val="11775760"/>
    <w:rsid w:val="11A275F0"/>
    <w:rsid w:val="11A60C03"/>
    <w:rsid w:val="11E066C9"/>
    <w:rsid w:val="11F013D0"/>
    <w:rsid w:val="120C2D43"/>
    <w:rsid w:val="1263520C"/>
    <w:rsid w:val="12A22E37"/>
    <w:rsid w:val="12BA3DE4"/>
    <w:rsid w:val="12CF7073"/>
    <w:rsid w:val="133E777B"/>
    <w:rsid w:val="13AA04E3"/>
    <w:rsid w:val="14097A60"/>
    <w:rsid w:val="141B28C9"/>
    <w:rsid w:val="148C1506"/>
    <w:rsid w:val="148E049A"/>
    <w:rsid w:val="14ED1898"/>
    <w:rsid w:val="14F25809"/>
    <w:rsid w:val="150C68CB"/>
    <w:rsid w:val="151470D0"/>
    <w:rsid w:val="15217A9E"/>
    <w:rsid w:val="15580101"/>
    <w:rsid w:val="15B346F0"/>
    <w:rsid w:val="15C74387"/>
    <w:rsid w:val="15DE4AFA"/>
    <w:rsid w:val="161014DF"/>
    <w:rsid w:val="16154D2B"/>
    <w:rsid w:val="16497104"/>
    <w:rsid w:val="16645BE5"/>
    <w:rsid w:val="16822E67"/>
    <w:rsid w:val="168D5B8F"/>
    <w:rsid w:val="16A31094"/>
    <w:rsid w:val="17016379"/>
    <w:rsid w:val="170B2282"/>
    <w:rsid w:val="173256ED"/>
    <w:rsid w:val="173541BF"/>
    <w:rsid w:val="17356879"/>
    <w:rsid w:val="17500138"/>
    <w:rsid w:val="17516F31"/>
    <w:rsid w:val="17802194"/>
    <w:rsid w:val="179112EC"/>
    <w:rsid w:val="179728CF"/>
    <w:rsid w:val="17B350B9"/>
    <w:rsid w:val="18015243"/>
    <w:rsid w:val="180834D4"/>
    <w:rsid w:val="18164071"/>
    <w:rsid w:val="18722436"/>
    <w:rsid w:val="18823D6A"/>
    <w:rsid w:val="18882FA7"/>
    <w:rsid w:val="18A315E4"/>
    <w:rsid w:val="18A63A64"/>
    <w:rsid w:val="18BB1030"/>
    <w:rsid w:val="18BD5AD5"/>
    <w:rsid w:val="18C60D59"/>
    <w:rsid w:val="18CD01D8"/>
    <w:rsid w:val="18E52698"/>
    <w:rsid w:val="18FC1E65"/>
    <w:rsid w:val="19112309"/>
    <w:rsid w:val="192A05CB"/>
    <w:rsid w:val="1950523A"/>
    <w:rsid w:val="198D0535"/>
    <w:rsid w:val="19BA432E"/>
    <w:rsid w:val="1A102ACF"/>
    <w:rsid w:val="1A281C09"/>
    <w:rsid w:val="1A2A3937"/>
    <w:rsid w:val="1A2B408A"/>
    <w:rsid w:val="1A404D26"/>
    <w:rsid w:val="1A50685A"/>
    <w:rsid w:val="1A7F7D1C"/>
    <w:rsid w:val="1A890844"/>
    <w:rsid w:val="1AC814CF"/>
    <w:rsid w:val="1B9D0F80"/>
    <w:rsid w:val="1BB455C7"/>
    <w:rsid w:val="1C054003"/>
    <w:rsid w:val="1C622EC7"/>
    <w:rsid w:val="1CBE4C89"/>
    <w:rsid w:val="1CF86395"/>
    <w:rsid w:val="1CFF3808"/>
    <w:rsid w:val="1D3C37A9"/>
    <w:rsid w:val="1D52370D"/>
    <w:rsid w:val="1D7E13C4"/>
    <w:rsid w:val="1D934707"/>
    <w:rsid w:val="1D9A3D75"/>
    <w:rsid w:val="1DB7139E"/>
    <w:rsid w:val="1DB97218"/>
    <w:rsid w:val="1DC24B21"/>
    <w:rsid w:val="1DE801E4"/>
    <w:rsid w:val="1E096328"/>
    <w:rsid w:val="1E0B688C"/>
    <w:rsid w:val="1E2F71EA"/>
    <w:rsid w:val="1E67123F"/>
    <w:rsid w:val="1E67288B"/>
    <w:rsid w:val="1E687381"/>
    <w:rsid w:val="1E745A3E"/>
    <w:rsid w:val="1E802466"/>
    <w:rsid w:val="1F2062E7"/>
    <w:rsid w:val="1F8F340E"/>
    <w:rsid w:val="1F9E5DD8"/>
    <w:rsid w:val="1FD90469"/>
    <w:rsid w:val="1FD91290"/>
    <w:rsid w:val="1FF411BE"/>
    <w:rsid w:val="20C31088"/>
    <w:rsid w:val="21124257"/>
    <w:rsid w:val="211E657C"/>
    <w:rsid w:val="212A5211"/>
    <w:rsid w:val="214567C5"/>
    <w:rsid w:val="21776578"/>
    <w:rsid w:val="21A22E7A"/>
    <w:rsid w:val="21CB1851"/>
    <w:rsid w:val="21D626F6"/>
    <w:rsid w:val="21DB2573"/>
    <w:rsid w:val="21F66548"/>
    <w:rsid w:val="22244CD7"/>
    <w:rsid w:val="222A288C"/>
    <w:rsid w:val="222B6D0B"/>
    <w:rsid w:val="2241260D"/>
    <w:rsid w:val="22561186"/>
    <w:rsid w:val="228A6A90"/>
    <w:rsid w:val="22C62CE9"/>
    <w:rsid w:val="22D53917"/>
    <w:rsid w:val="22E2769F"/>
    <w:rsid w:val="22E7687B"/>
    <w:rsid w:val="230E49E2"/>
    <w:rsid w:val="232753C5"/>
    <w:rsid w:val="236C4582"/>
    <w:rsid w:val="23955E35"/>
    <w:rsid w:val="23B343B6"/>
    <w:rsid w:val="241C7E03"/>
    <w:rsid w:val="24415A5A"/>
    <w:rsid w:val="245228B4"/>
    <w:rsid w:val="249365D1"/>
    <w:rsid w:val="24AF7273"/>
    <w:rsid w:val="250E1537"/>
    <w:rsid w:val="252F223E"/>
    <w:rsid w:val="261907B5"/>
    <w:rsid w:val="26C07473"/>
    <w:rsid w:val="26EA59AA"/>
    <w:rsid w:val="26F56961"/>
    <w:rsid w:val="27575E29"/>
    <w:rsid w:val="27761C90"/>
    <w:rsid w:val="277976C4"/>
    <w:rsid w:val="2783771D"/>
    <w:rsid w:val="27CF4621"/>
    <w:rsid w:val="27E0008C"/>
    <w:rsid w:val="27EB04DA"/>
    <w:rsid w:val="27F31205"/>
    <w:rsid w:val="28892CBE"/>
    <w:rsid w:val="28C527DF"/>
    <w:rsid w:val="28D818EA"/>
    <w:rsid w:val="28E320C7"/>
    <w:rsid w:val="29093A18"/>
    <w:rsid w:val="294B46FD"/>
    <w:rsid w:val="299A2E1B"/>
    <w:rsid w:val="29C214BF"/>
    <w:rsid w:val="29DA6134"/>
    <w:rsid w:val="29F13158"/>
    <w:rsid w:val="29F573D4"/>
    <w:rsid w:val="29FD0DF6"/>
    <w:rsid w:val="2A09588C"/>
    <w:rsid w:val="2A0F0B76"/>
    <w:rsid w:val="2A1D247F"/>
    <w:rsid w:val="2A7B7463"/>
    <w:rsid w:val="2AA61561"/>
    <w:rsid w:val="2AE91DB8"/>
    <w:rsid w:val="2AF31A43"/>
    <w:rsid w:val="2AFE561C"/>
    <w:rsid w:val="2B217D2B"/>
    <w:rsid w:val="2B23121A"/>
    <w:rsid w:val="2B727485"/>
    <w:rsid w:val="2BD66E29"/>
    <w:rsid w:val="2C072798"/>
    <w:rsid w:val="2C222E18"/>
    <w:rsid w:val="2C5002AE"/>
    <w:rsid w:val="2C7717CC"/>
    <w:rsid w:val="2CA873C5"/>
    <w:rsid w:val="2CDE5B2D"/>
    <w:rsid w:val="2CFC2AEC"/>
    <w:rsid w:val="2D3B5FD5"/>
    <w:rsid w:val="2D6E249B"/>
    <w:rsid w:val="2D946092"/>
    <w:rsid w:val="2DA32C44"/>
    <w:rsid w:val="2DB476A8"/>
    <w:rsid w:val="2DC53AFC"/>
    <w:rsid w:val="2DE3196B"/>
    <w:rsid w:val="2DEA4302"/>
    <w:rsid w:val="2DEC1632"/>
    <w:rsid w:val="2E1D5035"/>
    <w:rsid w:val="2E2D72F6"/>
    <w:rsid w:val="2E941175"/>
    <w:rsid w:val="2EBC69F6"/>
    <w:rsid w:val="2EF75802"/>
    <w:rsid w:val="2F2627EF"/>
    <w:rsid w:val="2F97415F"/>
    <w:rsid w:val="2F9A09AF"/>
    <w:rsid w:val="2FC20F12"/>
    <w:rsid w:val="2FEA0BDB"/>
    <w:rsid w:val="3033227E"/>
    <w:rsid w:val="30536257"/>
    <w:rsid w:val="305F6159"/>
    <w:rsid w:val="30995CE4"/>
    <w:rsid w:val="309B15FE"/>
    <w:rsid w:val="30AE3CFD"/>
    <w:rsid w:val="30D068DC"/>
    <w:rsid w:val="30D478EF"/>
    <w:rsid w:val="30D55861"/>
    <w:rsid w:val="30EB6230"/>
    <w:rsid w:val="30F910AF"/>
    <w:rsid w:val="31133E72"/>
    <w:rsid w:val="3187490B"/>
    <w:rsid w:val="31AD19EB"/>
    <w:rsid w:val="31BC3435"/>
    <w:rsid w:val="32750924"/>
    <w:rsid w:val="32DF5353"/>
    <w:rsid w:val="330047FF"/>
    <w:rsid w:val="3319615A"/>
    <w:rsid w:val="334A63FA"/>
    <w:rsid w:val="3362461C"/>
    <w:rsid w:val="33811D7E"/>
    <w:rsid w:val="34094CBA"/>
    <w:rsid w:val="3456389F"/>
    <w:rsid w:val="34A8516A"/>
    <w:rsid w:val="34C05636"/>
    <w:rsid w:val="34C272AB"/>
    <w:rsid w:val="34D14765"/>
    <w:rsid w:val="34ED3E0B"/>
    <w:rsid w:val="35407021"/>
    <w:rsid w:val="359F3667"/>
    <w:rsid w:val="35BA0401"/>
    <w:rsid w:val="36194DAD"/>
    <w:rsid w:val="364A3B53"/>
    <w:rsid w:val="36554685"/>
    <w:rsid w:val="368475AB"/>
    <w:rsid w:val="36895CD1"/>
    <w:rsid w:val="36952A73"/>
    <w:rsid w:val="36DE496B"/>
    <w:rsid w:val="36DF0991"/>
    <w:rsid w:val="36E07977"/>
    <w:rsid w:val="36FB6021"/>
    <w:rsid w:val="37104D78"/>
    <w:rsid w:val="3716221D"/>
    <w:rsid w:val="37290780"/>
    <w:rsid w:val="374D3E17"/>
    <w:rsid w:val="377977BE"/>
    <w:rsid w:val="37D87406"/>
    <w:rsid w:val="37EA330D"/>
    <w:rsid w:val="3833582A"/>
    <w:rsid w:val="385525E8"/>
    <w:rsid w:val="385729B7"/>
    <w:rsid w:val="38591578"/>
    <w:rsid w:val="38A910BA"/>
    <w:rsid w:val="38B83A47"/>
    <w:rsid w:val="38EA7DDC"/>
    <w:rsid w:val="397F2F15"/>
    <w:rsid w:val="39E90129"/>
    <w:rsid w:val="39EF0B0C"/>
    <w:rsid w:val="39F24B8B"/>
    <w:rsid w:val="3A0A287C"/>
    <w:rsid w:val="3A4A21E2"/>
    <w:rsid w:val="3A5267F7"/>
    <w:rsid w:val="3AE7034D"/>
    <w:rsid w:val="3B07722A"/>
    <w:rsid w:val="3B2C3475"/>
    <w:rsid w:val="3B80434C"/>
    <w:rsid w:val="3B8A6325"/>
    <w:rsid w:val="3B9260BB"/>
    <w:rsid w:val="3BA468C0"/>
    <w:rsid w:val="3BB06296"/>
    <w:rsid w:val="3BC729E3"/>
    <w:rsid w:val="3C5D5594"/>
    <w:rsid w:val="3CF25AF7"/>
    <w:rsid w:val="3CFA1C45"/>
    <w:rsid w:val="3D211FFA"/>
    <w:rsid w:val="3D3F00F7"/>
    <w:rsid w:val="3D641A95"/>
    <w:rsid w:val="3D9353D8"/>
    <w:rsid w:val="3DC83D75"/>
    <w:rsid w:val="3DE1179D"/>
    <w:rsid w:val="3DEA3C89"/>
    <w:rsid w:val="3E073173"/>
    <w:rsid w:val="3E215684"/>
    <w:rsid w:val="3E977078"/>
    <w:rsid w:val="3EB14F9C"/>
    <w:rsid w:val="3ED81DB1"/>
    <w:rsid w:val="3EF97B67"/>
    <w:rsid w:val="3F043BE9"/>
    <w:rsid w:val="3F151838"/>
    <w:rsid w:val="3F4563B2"/>
    <w:rsid w:val="3F7D5B4C"/>
    <w:rsid w:val="3FAC0B12"/>
    <w:rsid w:val="3FD55F92"/>
    <w:rsid w:val="3FDF1823"/>
    <w:rsid w:val="40190A14"/>
    <w:rsid w:val="402E11DC"/>
    <w:rsid w:val="403139CC"/>
    <w:rsid w:val="40450699"/>
    <w:rsid w:val="40573F7E"/>
    <w:rsid w:val="406E5283"/>
    <w:rsid w:val="409C61F7"/>
    <w:rsid w:val="40A627E1"/>
    <w:rsid w:val="40B97D06"/>
    <w:rsid w:val="40DF46EB"/>
    <w:rsid w:val="40E93C95"/>
    <w:rsid w:val="410813BF"/>
    <w:rsid w:val="41122C02"/>
    <w:rsid w:val="414B6901"/>
    <w:rsid w:val="41844010"/>
    <w:rsid w:val="41D77300"/>
    <w:rsid w:val="41D949D9"/>
    <w:rsid w:val="420B2A9C"/>
    <w:rsid w:val="424322C4"/>
    <w:rsid w:val="424E4508"/>
    <w:rsid w:val="425857A3"/>
    <w:rsid w:val="426E7A54"/>
    <w:rsid w:val="429F50DE"/>
    <w:rsid w:val="42A433C7"/>
    <w:rsid w:val="42A778A8"/>
    <w:rsid w:val="42F67374"/>
    <w:rsid w:val="42FF0334"/>
    <w:rsid w:val="43116DE7"/>
    <w:rsid w:val="432B15E1"/>
    <w:rsid w:val="434555E7"/>
    <w:rsid w:val="435076C6"/>
    <w:rsid w:val="43733CAB"/>
    <w:rsid w:val="43787BA4"/>
    <w:rsid w:val="43DA063C"/>
    <w:rsid w:val="43DB3117"/>
    <w:rsid w:val="43FE4122"/>
    <w:rsid w:val="44096126"/>
    <w:rsid w:val="44180DD6"/>
    <w:rsid w:val="44703C7B"/>
    <w:rsid w:val="447269CD"/>
    <w:rsid w:val="44790FD7"/>
    <w:rsid w:val="44BC12AA"/>
    <w:rsid w:val="44C41A01"/>
    <w:rsid w:val="44DE20FB"/>
    <w:rsid w:val="453F3632"/>
    <w:rsid w:val="454308A2"/>
    <w:rsid w:val="4583114E"/>
    <w:rsid w:val="460507CE"/>
    <w:rsid w:val="46190817"/>
    <w:rsid w:val="466E5355"/>
    <w:rsid w:val="4676352A"/>
    <w:rsid w:val="46EF7627"/>
    <w:rsid w:val="472C61FD"/>
    <w:rsid w:val="476153F5"/>
    <w:rsid w:val="47BE1EB7"/>
    <w:rsid w:val="47EE7AE6"/>
    <w:rsid w:val="48C079BC"/>
    <w:rsid w:val="48C42DF1"/>
    <w:rsid w:val="48D752B4"/>
    <w:rsid w:val="48E53927"/>
    <w:rsid w:val="49271765"/>
    <w:rsid w:val="49431BB4"/>
    <w:rsid w:val="49980DF2"/>
    <w:rsid w:val="49C54C2C"/>
    <w:rsid w:val="49CF7690"/>
    <w:rsid w:val="49D6163A"/>
    <w:rsid w:val="49E863D8"/>
    <w:rsid w:val="4A6112F9"/>
    <w:rsid w:val="4A64568A"/>
    <w:rsid w:val="4A730D7A"/>
    <w:rsid w:val="4ABA73E0"/>
    <w:rsid w:val="4ABB1C1E"/>
    <w:rsid w:val="4AEB2EFC"/>
    <w:rsid w:val="4B180E1F"/>
    <w:rsid w:val="4B5B6956"/>
    <w:rsid w:val="4BA11A27"/>
    <w:rsid w:val="4C0719F3"/>
    <w:rsid w:val="4C4408EC"/>
    <w:rsid w:val="4C460A53"/>
    <w:rsid w:val="4C5E0AA5"/>
    <w:rsid w:val="4C7B4B11"/>
    <w:rsid w:val="4C9C3C4B"/>
    <w:rsid w:val="4CF11157"/>
    <w:rsid w:val="4D027EC4"/>
    <w:rsid w:val="4DAA3896"/>
    <w:rsid w:val="4DC67679"/>
    <w:rsid w:val="4DF207D3"/>
    <w:rsid w:val="4E465FB2"/>
    <w:rsid w:val="4E742810"/>
    <w:rsid w:val="4F161B19"/>
    <w:rsid w:val="4F276CF0"/>
    <w:rsid w:val="4F3C1208"/>
    <w:rsid w:val="4F8F0F13"/>
    <w:rsid w:val="4F9141C0"/>
    <w:rsid w:val="4FB661D0"/>
    <w:rsid w:val="4FD440A5"/>
    <w:rsid w:val="4FF91ACA"/>
    <w:rsid w:val="50235340"/>
    <w:rsid w:val="502D0EC8"/>
    <w:rsid w:val="50316D78"/>
    <w:rsid w:val="504B6D2F"/>
    <w:rsid w:val="507C3EEE"/>
    <w:rsid w:val="50AC144F"/>
    <w:rsid w:val="50BA4E3C"/>
    <w:rsid w:val="50F07E78"/>
    <w:rsid w:val="51522B01"/>
    <w:rsid w:val="515C158D"/>
    <w:rsid w:val="51621013"/>
    <w:rsid w:val="516806F9"/>
    <w:rsid w:val="516C5A20"/>
    <w:rsid w:val="521A35C2"/>
    <w:rsid w:val="521C2CAB"/>
    <w:rsid w:val="524A61C0"/>
    <w:rsid w:val="524D5410"/>
    <w:rsid w:val="52906442"/>
    <w:rsid w:val="52A22021"/>
    <w:rsid w:val="52B92C66"/>
    <w:rsid w:val="52E554B6"/>
    <w:rsid w:val="52E818CF"/>
    <w:rsid w:val="52F46374"/>
    <w:rsid w:val="53024AD3"/>
    <w:rsid w:val="531E2D4A"/>
    <w:rsid w:val="53291CEC"/>
    <w:rsid w:val="533919FF"/>
    <w:rsid w:val="53617FDD"/>
    <w:rsid w:val="53AA7F3C"/>
    <w:rsid w:val="53BF68CF"/>
    <w:rsid w:val="53C47D72"/>
    <w:rsid w:val="53D456F6"/>
    <w:rsid w:val="53E173C0"/>
    <w:rsid w:val="53F94218"/>
    <w:rsid w:val="541479E9"/>
    <w:rsid w:val="54710FB3"/>
    <w:rsid w:val="5479246C"/>
    <w:rsid w:val="548E3C11"/>
    <w:rsid w:val="54A23B9E"/>
    <w:rsid w:val="54B33073"/>
    <w:rsid w:val="54F95460"/>
    <w:rsid w:val="554B0299"/>
    <w:rsid w:val="55570796"/>
    <w:rsid w:val="55B634CD"/>
    <w:rsid w:val="55E40B0D"/>
    <w:rsid w:val="5657167E"/>
    <w:rsid w:val="568C728E"/>
    <w:rsid w:val="56AE3022"/>
    <w:rsid w:val="56D77998"/>
    <w:rsid w:val="56F42740"/>
    <w:rsid w:val="56FE71BD"/>
    <w:rsid w:val="57502739"/>
    <w:rsid w:val="5754014C"/>
    <w:rsid w:val="57550A40"/>
    <w:rsid w:val="576E3FE8"/>
    <w:rsid w:val="579444FE"/>
    <w:rsid w:val="57982D45"/>
    <w:rsid w:val="57AE34B1"/>
    <w:rsid w:val="57BD24F5"/>
    <w:rsid w:val="57DC0D06"/>
    <w:rsid w:val="58060827"/>
    <w:rsid w:val="583813E5"/>
    <w:rsid w:val="587570F7"/>
    <w:rsid w:val="58767D45"/>
    <w:rsid w:val="58C24AEE"/>
    <w:rsid w:val="58CA0363"/>
    <w:rsid w:val="58CA7052"/>
    <w:rsid w:val="58E10713"/>
    <w:rsid w:val="58E97206"/>
    <w:rsid w:val="59155E53"/>
    <w:rsid w:val="59156625"/>
    <w:rsid w:val="5938062E"/>
    <w:rsid w:val="599A23C2"/>
    <w:rsid w:val="59BF60D2"/>
    <w:rsid w:val="5A040C5A"/>
    <w:rsid w:val="5A716AF3"/>
    <w:rsid w:val="5AAE4285"/>
    <w:rsid w:val="5AD9663A"/>
    <w:rsid w:val="5AEE4CC0"/>
    <w:rsid w:val="5B05449E"/>
    <w:rsid w:val="5B3E424A"/>
    <w:rsid w:val="5B5255AC"/>
    <w:rsid w:val="5BAC35E9"/>
    <w:rsid w:val="5BAF7035"/>
    <w:rsid w:val="5BF56BCA"/>
    <w:rsid w:val="5C6B7AA9"/>
    <w:rsid w:val="5C9A0C45"/>
    <w:rsid w:val="5CBD2159"/>
    <w:rsid w:val="5CC71557"/>
    <w:rsid w:val="5CD6119F"/>
    <w:rsid w:val="5CDC1AF5"/>
    <w:rsid w:val="5D4A130C"/>
    <w:rsid w:val="5DA971E9"/>
    <w:rsid w:val="5DEA1D6C"/>
    <w:rsid w:val="5DFB3B3A"/>
    <w:rsid w:val="5E126AFD"/>
    <w:rsid w:val="5E2A7D4B"/>
    <w:rsid w:val="5E535167"/>
    <w:rsid w:val="5E7016DA"/>
    <w:rsid w:val="5E8828C6"/>
    <w:rsid w:val="5EA239A4"/>
    <w:rsid w:val="5ECC1817"/>
    <w:rsid w:val="5ED46244"/>
    <w:rsid w:val="5F197CAF"/>
    <w:rsid w:val="5F8A061B"/>
    <w:rsid w:val="5F931EAC"/>
    <w:rsid w:val="5FB61550"/>
    <w:rsid w:val="60565E02"/>
    <w:rsid w:val="60811B73"/>
    <w:rsid w:val="608E0E47"/>
    <w:rsid w:val="60A02DDC"/>
    <w:rsid w:val="61073FCF"/>
    <w:rsid w:val="61323A96"/>
    <w:rsid w:val="616F7343"/>
    <w:rsid w:val="61811A7D"/>
    <w:rsid w:val="618C38FD"/>
    <w:rsid w:val="61A26A49"/>
    <w:rsid w:val="61A439E5"/>
    <w:rsid w:val="61A84853"/>
    <w:rsid w:val="62042EA2"/>
    <w:rsid w:val="62146AD0"/>
    <w:rsid w:val="62224132"/>
    <w:rsid w:val="624031C5"/>
    <w:rsid w:val="624C3567"/>
    <w:rsid w:val="62871D54"/>
    <w:rsid w:val="629A5ACE"/>
    <w:rsid w:val="62CC51D6"/>
    <w:rsid w:val="633C08FC"/>
    <w:rsid w:val="638A57F9"/>
    <w:rsid w:val="63AB3F5B"/>
    <w:rsid w:val="63B67630"/>
    <w:rsid w:val="63BE3396"/>
    <w:rsid w:val="643F135A"/>
    <w:rsid w:val="6443107F"/>
    <w:rsid w:val="644E09C0"/>
    <w:rsid w:val="646422F4"/>
    <w:rsid w:val="647677F4"/>
    <w:rsid w:val="648242E4"/>
    <w:rsid w:val="64835AE5"/>
    <w:rsid w:val="64904827"/>
    <w:rsid w:val="64F14285"/>
    <w:rsid w:val="65061414"/>
    <w:rsid w:val="657A52B3"/>
    <w:rsid w:val="65830AE5"/>
    <w:rsid w:val="65E473D6"/>
    <w:rsid w:val="65F4096B"/>
    <w:rsid w:val="665172BE"/>
    <w:rsid w:val="66537BC1"/>
    <w:rsid w:val="665F5347"/>
    <w:rsid w:val="66B6406F"/>
    <w:rsid w:val="66BB5028"/>
    <w:rsid w:val="67276355"/>
    <w:rsid w:val="67AC2F64"/>
    <w:rsid w:val="67E63EA4"/>
    <w:rsid w:val="680A2B7E"/>
    <w:rsid w:val="682C2A57"/>
    <w:rsid w:val="68302D7A"/>
    <w:rsid w:val="68630C7B"/>
    <w:rsid w:val="687E1059"/>
    <w:rsid w:val="68AD02C4"/>
    <w:rsid w:val="68DC0C35"/>
    <w:rsid w:val="68DF2A5D"/>
    <w:rsid w:val="691107DA"/>
    <w:rsid w:val="69164ACC"/>
    <w:rsid w:val="696462F8"/>
    <w:rsid w:val="69B05DD8"/>
    <w:rsid w:val="69C610A8"/>
    <w:rsid w:val="69DB43E8"/>
    <w:rsid w:val="69EE1271"/>
    <w:rsid w:val="6A495E47"/>
    <w:rsid w:val="6A5C5FC7"/>
    <w:rsid w:val="6A7314DA"/>
    <w:rsid w:val="6AE2467F"/>
    <w:rsid w:val="6B071859"/>
    <w:rsid w:val="6B0D0D74"/>
    <w:rsid w:val="6B335A3D"/>
    <w:rsid w:val="6B3B0B07"/>
    <w:rsid w:val="6BD44A0F"/>
    <w:rsid w:val="6C012BFE"/>
    <w:rsid w:val="6C2C495A"/>
    <w:rsid w:val="6C342C98"/>
    <w:rsid w:val="6CBB4588"/>
    <w:rsid w:val="6D0B0567"/>
    <w:rsid w:val="6D121857"/>
    <w:rsid w:val="6D2E5516"/>
    <w:rsid w:val="6D480B83"/>
    <w:rsid w:val="6D816B1C"/>
    <w:rsid w:val="6D845281"/>
    <w:rsid w:val="6D8A0F0F"/>
    <w:rsid w:val="6DAD5E1A"/>
    <w:rsid w:val="6DDC5CD7"/>
    <w:rsid w:val="6DE017D7"/>
    <w:rsid w:val="6DF24C99"/>
    <w:rsid w:val="6DF64D01"/>
    <w:rsid w:val="6E0C0569"/>
    <w:rsid w:val="6E3D281D"/>
    <w:rsid w:val="6E524DD4"/>
    <w:rsid w:val="6E654E40"/>
    <w:rsid w:val="6EE9509A"/>
    <w:rsid w:val="6F0025C6"/>
    <w:rsid w:val="6F116913"/>
    <w:rsid w:val="6F1C7716"/>
    <w:rsid w:val="6F435D33"/>
    <w:rsid w:val="6F483B89"/>
    <w:rsid w:val="6F843EE4"/>
    <w:rsid w:val="6FAA61A1"/>
    <w:rsid w:val="6FBD4FD9"/>
    <w:rsid w:val="70517BA3"/>
    <w:rsid w:val="707D2270"/>
    <w:rsid w:val="70AA3505"/>
    <w:rsid w:val="70BB6AB4"/>
    <w:rsid w:val="70F6139B"/>
    <w:rsid w:val="713C5148"/>
    <w:rsid w:val="717D5CB2"/>
    <w:rsid w:val="718F5ABB"/>
    <w:rsid w:val="71A83766"/>
    <w:rsid w:val="71B97380"/>
    <w:rsid w:val="720A6AB1"/>
    <w:rsid w:val="721C7D30"/>
    <w:rsid w:val="724676DD"/>
    <w:rsid w:val="72847C62"/>
    <w:rsid w:val="728D5EB1"/>
    <w:rsid w:val="72FE6053"/>
    <w:rsid w:val="730E5951"/>
    <w:rsid w:val="73440153"/>
    <w:rsid w:val="7373139E"/>
    <w:rsid w:val="73905854"/>
    <w:rsid w:val="73B07597"/>
    <w:rsid w:val="74034DCA"/>
    <w:rsid w:val="749D632F"/>
    <w:rsid w:val="74AB40A7"/>
    <w:rsid w:val="74D01A57"/>
    <w:rsid w:val="74FF5F37"/>
    <w:rsid w:val="75045466"/>
    <w:rsid w:val="75241AB9"/>
    <w:rsid w:val="75484C21"/>
    <w:rsid w:val="759E0E7A"/>
    <w:rsid w:val="75D562B6"/>
    <w:rsid w:val="762933A9"/>
    <w:rsid w:val="767F0681"/>
    <w:rsid w:val="76967010"/>
    <w:rsid w:val="769743DF"/>
    <w:rsid w:val="76BA3C84"/>
    <w:rsid w:val="76DF722C"/>
    <w:rsid w:val="770201DA"/>
    <w:rsid w:val="77377EFD"/>
    <w:rsid w:val="77A47A68"/>
    <w:rsid w:val="77B31137"/>
    <w:rsid w:val="77C422FF"/>
    <w:rsid w:val="77C863AC"/>
    <w:rsid w:val="77F0743A"/>
    <w:rsid w:val="783B4AA8"/>
    <w:rsid w:val="78516327"/>
    <w:rsid w:val="78534B39"/>
    <w:rsid w:val="7886780E"/>
    <w:rsid w:val="78C20C5E"/>
    <w:rsid w:val="78C409E2"/>
    <w:rsid w:val="78DE792B"/>
    <w:rsid w:val="78E1059F"/>
    <w:rsid w:val="79102CD1"/>
    <w:rsid w:val="792E03F6"/>
    <w:rsid w:val="7951722A"/>
    <w:rsid w:val="79577FFA"/>
    <w:rsid w:val="798877AC"/>
    <w:rsid w:val="799D3F39"/>
    <w:rsid w:val="79DA09C3"/>
    <w:rsid w:val="7A1922BA"/>
    <w:rsid w:val="7A3E6B24"/>
    <w:rsid w:val="7A4360DC"/>
    <w:rsid w:val="7A614FFC"/>
    <w:rsid w:val="7A685028"/>
    <w:rsid w:val="7AD83775"/>
    <w:rsid w:val="7ADF7479"/>
    <w:rsid w:val="7B003259"/>
    <w:rsid w:val="7B054BE1"/>
    <w:rsid w:val="7B100544"/>
    <w:rsid w:val="7B102143"/>
    <w:rsid w:val="7B352B08"/>
    <w:rsid w:val="7B815F5E"/>
    <w:rsid w:val="7BAF37C2"/>
    <w:rsid w:val="7BB51E17"/>
    <w:rsid w:val="7BCF7FD5"/>
    <w:rsid w:val="7BE4511B"/>
    <w:rsid w:val="7C013085"/>
    <w:rsid w:val="7C015D67"/>
    <w:rsid w:val="7C34535C"/>
    <w:rsid w:val="7C3D0929"/>
    <w:rsid w:val="7C8C6FE5"/>
    <w:rsid w:val="7C901658"/>
    <w:rsid w:val="7CD2039C"/>
    <w:rsid w:val="7CD21DA7"/>
    <w:rsid w:val="7D2373C0"/>
    <w:rsid w:val="7D2D60B4"/>
    <w:rsid w:val="7D3D4A74"/>
    <w:rsid w:val="7D716AF0"/>
    <w:rsid w:val="7DD47510"/>
    <w:rsid w:val="7DDB58D4"/>
    <w:rsid w:val="7DE30AB8"/>
    <w:rsid w:val="7E1E10EF"/>
    <w:rsid w:val="7E250326"/>
    <w:rsid w:val="7E513875"/>
    <w:rsid w:val="7E530EA4"/>
    <w:rsid w:val="7E57765B"/>
    <w:rsid w:val="7E5E15BA"/>
    <w:rsid w:val="7E5E254A"/>
    <w:rsid w:val="7E73538F"/>
    <w:rsid w:val="7E880C06"/>
    <w:rsid w:val="7EDC39FB"/>
    <w:rsid w:val="7EFB1D10"/>
    <w:rsid w:val="7F2D239A"/>
    <w:rsid w:val="7F603F05"/>
    <w:rsid w:val="7F7D455D"/>
    <w:rsid w:val="7F98056D"/>
    <w:rsid w:val="7FAD7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numPr>
        <w:ilvl w:val="2"/>
        <w:numId w:val="1"/>
      </w:numPr>
      <w:tabs>
        <w:tab w:val="left" w:pos="0"/>
      </w:tabs>
      <w:spacing w:line="360" w:lineRule="auto"/>
      <w:outlineLvl w:val="2"/>
    </w:pPr>
    <w:rPr>
      <w:b/>
      <w:bCs/>
      <w:kern w:val="28"/>
      <w:szCs w:val="28"/>
    </w:rPr>
  </w:style>
  <w:style w:type="paragraph" w:styleId="6">
    <w:name w:val="heading 4"/>
    <w:basedOn w:val="1"/>
    <w:next w:val="1"/>
    <w:unhideWhenUsed/>
    <w:qFormat/>
    <w:uiPriority w:val="9"/>
    <w:pPr>
      <w:keepNext/>
      <w:keepLines/>
      <w:numPr>
        <w:ilvl w:val="3"/>
        <w:numId w:val="1"/>
      </w:numPr>
      <w:tabs>
        <w:tab w:val="left" w:pos="850"/>
      </w:tabs>
      <w:spacing w:line="360" w:lineRule="auto"/>
      <w:jc w:val="left"/>
      <w:outlineLvl w:val="3"/>
    </w:pPr>
    <w:rPr>
      <w:rFonts w:ascii="Arial" w:hAnsi="Arial"/>
      <w:b/>
      <w:sz w:val="24"/>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82"/>
    <w:qFormat/>
    <w:uiPriority w:val="0"/>
  </w:style>
  <w:style w:type="paragraph" w:styleId="7">
    <w:name w:val="Normal Indent"/>
    <w:basedOn w:val="1"/>
    <w:qFormat/>
    <w:uiPriority w:val="99"/>
    <w:pPr>
      <w:ind w:firstLine="420"/>
    </w:pPr>
    <w:rPr>
      <w:szCs w:val="20"/>
    </w:rPr>
  </w:style>
  <w:style w:type="paragraph" w:styleId="8">
    <w:name w:val="caption"/>
    <w:basedOn w:val="1"/>
    <w:next w:val="1"/>
    <w:unhideWhenUsed/>
    <w:qFormat/>
    <w:uiPriority w:val="35"/>
    <w:pPr>
      <w:numPr>
        <w:ilvl w:val="0"/>
        <w:numId w:val="2"/>
      </w:numPr>
      <w:ind w:firstLine="0"/>
      <w:jc w:val="center"/>
    </w:pPr>
    <w:rPr>
      <w:rFonts w:cs="宋体" w:asciiTheme="minorEastAsia" w:hAnsiTheme="minorEastAsia"/>
      <w:szCs w:val="20"/>
    </w:rPr>
  </w:style>
  <w:style w:type="paragraph" w:styleId="9">
    <w:name w:val="annotation text"/>
    <w:basedOn w:val="1"/>
    <w:link w:val="55"/>
    <w:qFormat/>
    <w:uiPriority w:val="0"/>
    <w:pPr>
      <w:jc w:val="left"/>
    </w:pPr>
  </w:style>
  <w:style w:type="paragraph" w:styleId="10">
    <w:name w:val="Body Text 3"/>
    <w:basedOn w:val="1"/>
    <w:qFormat/>
    <w:uiPriority w:val="0"/>
    <w:pPr>
      <w:spacing w:after="120"/>
    </w:pPr>
    <w:rPr>
      <w:sz w:val="16"/>
      <w:szCs w:val="16"/>
    </w:rPr>
  </w:style>
  <w:style w:type="paragraph" w:styleId="11">
    <w:name w:val="Body Text Indent"/>
    <w:basedOn w:val="1"/>
    <w:next w:val="12"/>
    <w:qFormat/>
    <w:uiPriority w:val="0"/>
    <w:pPr>
      <w:spacing w:after="120"/>
      <w:ind w:left="420" w:leftChars="200"/>
    </w:pPr>
  </w:style>
  <w:style w:type="paragraph" w:styleId="12">
    <w:name w:val="Body Text First Indent 2"/>
    <w:basedOn w:val="11"/>
    <w:next w:val="1"/>
    <w:unhideWhenUsed/>
    <w:qFormat/>
    <w:uiPriority w:val="99"/>
    <w:pPr>
      <w:ind w:firstLine="420" w:firstLineChars="200"/>
    </w:pPr>
  </w:style>
  <w:style w:type="paragraph" w:styleId="13">
    <w:name w:val="Block Text"/>
    <w:basedOn w:val="1"/>
    <w:qFormat/>
    <w:uiPriority w:val="0"/>
    <w:pPr>
      <w:adjustRightInd w:val="0"/>
      <w:spacing w:line="300" w:lineRule="auto"/>
      <w:ind w:left="958" w:right="-120" w:rightChars="-120"/>
      <w:jc w:val="left"/>
    </w:pPr>
    <w:rPr>
      <w:rFonts w:ascii="宋体" w:hAnsi="宋体"/>
      <w:sz w:val="28"/>
    </w:rPr>
  </w:style>
  <w:style w:type="paragraph" w:styleId="14">
    <w:name w:val="Plain Text"/>
    <w:basedOn w:val="1"/>
    <w:next w:val="15"/>
    <w:qFormat/>
    <w:uiPriority w:val="0"/>
    <w:rPr>
      <w:rFonts w:ascii="宋体" w:hAnsi="Courier New"/>
      <w:kern w:val="0"/>
      <w:sz w:val="20"/>
      <w:szCs w:val="21"/>
    </w:rPr>
  </w:style>
  <w:style w:type="paragraph" w:styleId="15">
    <w:name w:val="toc 2"/>
    <w:basedOn w:val="1"/>
    <w:next w:val="1"/>
    <w:qFormat/>
    <w:uiPriority w:val="0"/>
    <w:pPr>
      <w:ind w:left="420" w:leftChars="200"/>
    </w:pPr>
    <w:rPr>
      <w:rFonts w:ascii="Times New Roman" w:hAnsi="Times New Roman" w:cs="Times New Roman"/>
    </w:rPr>
  </w:style>
  <w:style w:type="paragraph" w:styleId="16">
    <w:name w:val="Body Text Indent 2"/>
    <w:basedOn w:val="1"/>
    <w:qFormat/>
    <w:uiPriority w:val="0"/>
    <w:pPr>
      <w:widowControl/>
      <w:spacing w:line="480" w:lineRule="atLeast"/>
      <w:ind w:firstLine="480"/>
    </w:pPr>
    <w:rPr>
      <w:rFonts w:ascii="宋体" w:hAnsi="Times New Roman" w:cs="宋体"/>
      <w:b/>
      <w:bCs/>
      <w:color w:val="000000"/>
      <w:sz w:val="24"/>
    </w:rPr>
  </w:style>
  <w:style w:type="paragraph" w:styleId="17">
    <w:name w:val="Balloon Text"/>
    <w:basedOn w:val="1"/>
    <w:link w:val="57"/>
    <w:qFormat/>
    <w:uiPriority w:val="0"/>
    <w:rPr>
      <w:sz w:val="18"/>
      <w:szCs w:val="18"/>
    </w:rPr>
  </w:style>
  <w:style w:type="paragraph" w:styleId="18">
    <w:name w:val="footer"/>
    <w:basedOn w:val="1"/>
    <w:next w:val="15"/>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tabs>
        <w:tab w:val="right" w:leader="dot" w:pos="9118"/>
      </w:tabs>
      <w:spacing w:line="400" w:lineRule="exact"/>
      <w:jc w:val="center"/>
    </w:pPr>
    <w:rPr>
      <w:szCs w:val="20"/>
    </w:rPr>
  </w:style>
  <w:style w:type="paragraph" w:styleId="21">
    <w:name w:val="toc 6"/>
    <w:basedOn w:val="1"/>
    <w:next w:val="1"/>
    <w:qFormat/>
    <w:uiPriority w:val="0"/>
    <w:pPr>
      <w:ind w:left="1050"/>
      <w:jc w:val="left"/>
    </w:pPr>
    <w:rPr>
      <w:rFonts w:ascii="Century Gothic" w:hAnsi="Century Gothic"/>
      <w:sz w:val="18"/>
      <w:szCs w:val="18"/>
    </w:rPr>
  </w:style>
  <w:style w:type="paragraph" w:styleId="22">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3">
    <w:name w:val="Body Text 2"/>
    <w:basedOn w:val="1"/>
    <w:qFormat/>
    <w:uiPriority w:val="0"/>
    <w:pPr>
      <w:spacing w:after="120" w:line="480" w:lineRule="auto"/>
    </w:pPr>
    <w:rPr>
      <w:b/>
      <w:sz w:val="28"/>
    </w:rPr>
  </w:style>
  <w:style w:type="paragraph" w:styleId="24">
    <w:name w:val="Normal (Web)"/>
    <w:basedOn w:val="1"/>
    <w:qFormat/>
    <w:uiPriority w:val="99"/>
    <w:pPr>
      <w:spacing w:beforeAutospacing="1" w:afterAutospacing="1"/>
      <w:jc w:val="left"/>
    </w:pPr>
    <w:rPr>
      <w:kern w:val="0"/>
      <w:sz w:val="24"/>
    </w:rPr>
  </w:style>
  <w:style w:type="paragraph" w:styleId="25">
    <w:name w:val="Title"/>
    <w:basedOn w:val="1"/>
    <w:next w:val="1"/>
    <w:qFormat/>
    <w:uiPriority w:val="0"/>
    <w:pPr>
      <w:spacing w:before="240" w:after="60"/>
      <w:jc w:val="center"/>
      <w:outlineLvl w:val="0"/>
    </w:pPr>
    <w:rPr>
      <w:rFonts w:ascii="Arial" w:hAnsi="Arial" w:cs="Times New Roman"/>
      <w:sz w:val="32"/>
      <w:szCs w:val="32"/>
    </w:rPr>
  </w:style>
  <w:style w:type="paragraph" w:styleId="26">
    <w:name w:val="annotation subject"/>
    <w:basedOn w:val="9"/>
    <w:next w:val="9"/>
    <w:link w:val="56"/>
    <w:qFormat/>
    <w:uiPriority w:val="0"/>
    <w:rPr>
      <w:b/>
      <w:bCs/>
    </w:rPr>
  </w:style>
  <w:style w:type="paragraph" w:styleId="27">
    <w:name w:val="Body Text First Indent"/>
    <w:basedOn w:val="2"/>
    <w:next w:val="21"/>
    <w:qFormat/>
    <w:uiPriority w:val="0"/>
    <w:pPr>
      <w:spacing w:line="312" w:lineRule="auto"/>
      <w:ind w:firstLine="42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rPr>
  </w:style>
  <w:style w:type="character" w:styleId="32">
    <w:name w:val="page number"/>
    <w:basedOn w:val="30"/>
    <w:qFormat/>
    <w:uiPriority w:val="0"/>
    <w:rPr>
      <w:rFonts w:cs="Times New Roman"/>
    </w:rPr>
  </w:style>
  <w:style w:type="character" w:styleId="33">
    <w:name w:val="Emphasis"/>
    <w:basedOn w:val="30"/>
    <w:qFormat/>
    <w:uiPriority w:val="0"/>
    <w:rPr>
      <w:i/>
    </w:rPr>
  </w:style>
  <w:style w:type="character" w:styleId="34">
    <w:name w:val="Hyperlink"/>
    <w:basedOn w:val="30"/>
    <w:qFormat/>
    <w:uiPriority w:val="0"/>
    <w:rPr>
      <w:color w:val="0000FF"/>
      <w:u w:val="single"/>
    </w:rPr>
  </w:style>
  <w:style w:type="character" w:styleId="35">
    <w:name w:val="annotation reference"/>
    <w:basedOn w:val="30"/>
    <w:qFormat/>
    <w:uiPriority w:val="0"/>
    <w:rPr>
      <w:sz w:val="21"/>
      <w:szCs w:val="21"/>
    </w:rPr>
  </w:style>
  <w:style w:type="paragraph" w:customStyle="1" w:styleId="36">
    <w:name w:val="样式 表格正文 + 两端对齐"/>
    <w:basedOn w:val="1"/>
    <w:next w:val="37"/>
    <w:qFormat/>
    <w:uiPriority w:val="99"/>
    <w:pPr>
      <w:spacing w:line="300" w:lineRule="auto"/>
    </w:pPr>
    <w:rPr>
      <w:sz w:val="24"/>
    </w:rPr>
  </w:style>
  <w:style w:type="paragraph" w:customStyle="1" w:styleId="37">
    <w:name w:val="正文1"/>
    <w:next w:val="38"/>
    <w:qFormat/>
    <w:uiPriority w:val="99"/>
    <w:pPr>
      <w:widowControl w:val="0"/>
      <w:jc w:val="both"/>
    </w:pPr>
    <w:rPr>
      <w:rFonts w:ascii="Calibri" w:hAnsi="Calibri" w:eastAsia="宋体" w:cs="Calibri"/>
      <w:kern w:val="2"/>
      <w:sz w:val="21"/>
      <w:szCs w:val="21"/>
      <w:lang w:val="en-US" w:eastAsia="zh-CN" w:bidi="ar-SA"/>
    </w:rPr>
  </w:style>
  <w:style w:type="paragraph" w:customStyle="1" w:styleId="38">
    <w:name w:val="自动更正"/>
    <w:next w:val="39"/>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9">
    <w:name w:val="xl39"/>
    <w:basedOn w:val="1"/>
    <w:next w:val="40"/>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sz w:val="24"/>
    </w:rPr>
  </w:style>
  <w:style w:type="paragraph" w:customStyle="1" w:styleId="40">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41">
    <w:name w:val="表格文字"/>
    <w:basedOn w:val="14"/>
    <w:next w:val="2"/>
    <w:qFormat/>
    <w:uiPriority w:val="0"/>
    <w:pPr>
      <w:adjustRightInd w:val="0"/>
      <w:spacing w:line="420" w:lineRule="atLeast"/>
      <w:jc w:val="left"/>
      <w:textAlignment w:val="baseline"/>
    </w:pPr>
    <w:rPr>
      <w:rFonts w:ascii="Times New Roman" w:hAnsi="Times New Roman"/>
      <w:szCs w:val="24"/>
    </w:rPr>
  </w:style>
  <w:style w:type="paragraph" w:customStyle="1" w:styleId="42">
    <w:name w:val="Body Text Indent 21"/>
    <w:basedOn w:val="1"/>
    <w:qFormat/>
    <w:uiPriority w:val="0"/>
    <w:pPr>
      <w:widowControl/>
      <w:spacing w:line="480" w:lineRule="atLeast"/>
      <w:ind w:firstLine="480"/>
    </w:pPr>
    <w:rPr>
      <w:rFonts w:ascii="宋体"/>
      <w:kern w:val="0"/>
      <w:sz w:val="24"/>
      <w:szCs w:val="20"/>
    </w:rPr>
  </w:style>
  <w:style w:type="paragraph" w:customStyle="1" w:styleId="43">
    <w:name w:val="Plain Text1"/>
    <w:basedOn w:val="1"/>
    <w:qFormat/>
    <w:uiPriority w:val="0"/>
    <w:rPr>
      <w:rFonts w:ascii="宋体" w:hAnsi="Courier New"/>
      <w:szCs w:val="20"/>
    </w:rPr>
  </w:style>
  <w:style w:type="paragraph" w:customStyle="1" w:styleId="44">
    <w:name w:val="正文2"/>
    <w:basedOn w:val="1"/>
    <w:qFormat/>
    <w:uiPriority w:val="0"/>
    <w:pPr>
      <w:spacing w:line="360" w:lineRule="auto"/>
      <w:ind w:firstLine="510" w:firstLineChars="200"/>
    </w:pPr>
    <w:rPr>
      <w:sz w:val="24"/>
      <w:szCs w:val="20"/>
    </w:rPr>
  </w:style>
  <w:style w:type="paragraph" w:customStyle="1" w:styleId="4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46">
    <w:name w:val="Normal Indent1"/>
    <w:basedOn w:val="1"/>
    <w:qFormat/>
    <w:uiPriority w:val="0"/>
    <w:pPr>
      <w:ind w:firstLine="420" w:firstLineChars="200"/>
    </w:pPr>
  </w:style>
  <w:style w:type="paragraph" w:customStyle="1" w:styleId="47">
    <w:name w:val="Body Text Indent 31"/>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customStyle="1" w:styleId="48">
    <w:name w:val="无间隔1"/>
    <w:qFormat/>
    <w:uiPriority w:val="0"/>
    <w:pPr>
      <w:widowControl w:val="0"/>
      <w:spacing w:line="300" w:lineRule="auto"/>
    </w:pPr>
    <w:rPr>
      <w:rFonts w:ascii="楷体_GB2312" w:hAnsi="宋体" w:eastAsia="楷体_GB2312" w:cstheme="minorBidi"/>
      <w:bCs/>
      <w:kern w:val="2"/>
      <w:sz w:val="24"/>
      <w:szCs w:val="24"/>
      <w:u w:val="single"/>
      <w:lang w:val="en-US" w:eastAsia="zh-CN" w:bidi="ar-SA"/>
    </w:rPr>
  </w:style>
  <w:style w:type="paragraph" w:styleId="49">
    <w:name w:val="List Paragraph"/>
    <w:basedOn w:val="1"/>
    <w:qFormat/>
    <w:uiPriority w:val="34"/>
    <w:pPr>
      <w:ind w:firstLine="420" w:firstLineChars="200"/>
    </w:pPr>
    <w:rPr>
      <w:rFonts w:ascii="Times New Roman" w:hAnsi="Times New Roman"/>
    </w:rPr>
  </w:style>
  <w:style w:type="paragraph" w:customStyle="1" w:styleId="50">
    <w:name w:val="列出段落1"/>
    <w:basedOn w:val="1"/>
    <w:qFormat/>
    <w:uiPriority w:val="34"/>
    <w:pPr>
      <w:ind w:firstLine="420" w:firstLineChars="200"/>
    </w:pPr>
    <w:rPr>
      <w:szCs w:val="22"/>
    </w:rPr>
  </w:style>
  <w:style w:type="paragraph" w:customStyle="1" w:styleId="51">
    <w:name w:val="彩色列表 - 强调文字颜色 11"/>
    <w:basedOn w:val="1"/>
    <w:qFormat/>
    <w:uiPriority w:val="34"/>
    <w:pPr>
      <w:spacing w:line="480" w:lineRule="auto"/>
      <w:ind w:firstLine="420" w:firstLineChars="200"/>
      <w:jc w:val="left"/>
    </w:pPr>
    <w:rPr>
      <w:sz w:val="24"/>
      <w:lang w:eastAsia="zh-TW"/>
    </w:rPr>
  </w:style>
  <w:style w:type="paragraph" w:customStyle="1" w:styleId="52">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5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54">
    <w:name w:val="※正文"/>
    <w:basedOn w:val="1"/>
    <w:next w:val="1"/>
    <w:qFormat/>
    <w:uiPriority w:val="0"/>
    <w:pPr>
      <w:widowControl/>
      <w:wordWrap w:val="0"/>
      <w:spacing w:line="400" w:lineRule="exact"/>
    </w:pPr>
    <w:rPr>
      <w:rFonts w:ascii="Calibri Light" w:hAnsi="Calibri Light" w:eastAsia="华文仿宋" w:cstheme="minorBidi"/>
      <w:sz w:val="28"/>
      <w:szCs w:val="28"/>
    </w:rPr>
  </w:style>
  <w:style w:type="character" w:customStyle="1" w:styleId="55">
    <w:name w:val="批注文字 Char"/>
    <w:basedOn w:val="30"/>
    <w:link w:val="9"/>
    <w:qFormat/>
    <w:uiPriority w:val="0"/>
    <w:rPr>
      <w:rFonts w:ascii="Calibri" w:hAnsi="Calibri" w:eastAsia="宋体" w:cs="黑体"/>
      <w:kern w:val="2"/>
      <w:sz w:val="21"/>
      <w:szCs w:val="24"/>
    </w:rPr>
  </w:style>
  <w:style w:type="character" w:customStyle="1" w:styleId="56">
    <w:name w:val="批注主题 Char"/>
    <w:basedOn w:val="55"/>
    <w:link w:val="26"/>
    <w:qFormat/>
    <w:uiPriority w:val="0"/>
    <w:rPr>
      <w:rFonts w:ascii="Calibri" w:hAnsi="Calibri" w:eastAsia="宋体" w:cs="黑体"/>
      <w:b/>
      <w:bCs/>
      <w:kern w:val="2"/>
      <w:sz w:val="21"/>
      <w:szCs w:val="24"/>
    </w:rPr>
  </w:style>
  <w:style w:type="character" w:customStyle="1" w:styleId="57">
    <w:name w:val="批注框文本 Char"/>
    <w:basedOn w:val="30"/>
    <w:link w:val="17"/>
    <w:qFormat/>
    <w:uiPriority w:val="0"/>
    <w:rPr>
      <w:rFonts w:ascii="Calibri" w:hAnsi="Calibri" w:eastAsia="宋体" w:cs="黑体"/>
      <w:kern w:val="2"/>
      <w:sz w:val="18"/>
      <w:szCs w:val="18"/>
    </w:rPr>
  </w:style>
  <w:style w:type="paragraph" w:customStyle="1" w:styleId="58">
    <w:name w:val="正文首行缩进2字符"/>
    <w:basedOn w:val="1"/>
    <w:qFormat/>
    <w:uiPriority w:val="0"/>
    <w:pPr>
      <w:spacing w:before="60" w:after="60"/>
      <w:ind w:firstLine="482"/>
      <w:jc w:val="left"/>
    </w:pPr>
    <w:rPr>
      <w:rFonts w:ascii="Times New Roman" w:hAnsi="Times New Roman" w:cs="Times New Roman"/>
      <w:iCs/>
      <w:kern w:val="0"/>
    </w:rPr>
  </w:style>
  <w:style w:type="paragraph" w:customStyle="1" w:styleId="59">
    <w:name w:val="标识2"/>
    <w:basedOn w:val="1"/>
    <w:qFormat/>
    <w:uiPriority w:val="0"/>
    <w:pPr>
      <w:numPr>
        <w:ilvl w:val="0"/>
        <w:numId w:val="3"/>
      </w:numPr>
      <w:ind w:left="278" w:hanging="193"/>
      <w:jc w:val="left"/>
    </w:pPr>
    <w:rPr>
      <w:rFonts w:ascii="Times New Roman" w:hAnsi="Times New Roman"/>
      <w:kern w:val="0"/>
    </w:rPr>
  </w:style>
  <w:style w:type="paragraph" w:customStyle="1" w:styleId="60">
    <w:name w:val="编号1"/>
    <w:basedOn w:val="1"/>
    <w:qFormat/>
    <w:uiPriority w:val="0"/>
    <w:pPr>
      <w:numPr>
        <w:ilvl w:val="4"/>
        <w:numId w:val="4"/>
      </w:numPr>
      <w:spacing w:before="120" w:after="120"/>
      <w:ind w:firstLine="0"/>
    </w:pPr>
    <w:rPr>
      <w:rFonts w:ascii="Times New Roman" w:hAnsi="Times New Roman"/>
      <w:b/>
      <w:color w:val="000000"/>
      <w:szCs w:val="21"/>
    </w:rPr>
  </w:style>
  <w:style w:type="paragraph" w:customStyle="1" w:styleId="61">
    <w:name w:val="标准正文"/>
    <w:basedOn w:val="1"/>
    <w:qFormat/>
    <w:uiPriority w:val="0"/>
    <w:pPr>
      <w:spacing w:before="156" w:after="156"/>
      <w:ind w:firstLine="480"/>
    </w:pPr>
    <w:rPr>
      <w:rFonts w:ascii="Times New Roman" w:hAnsi="Times New Roman" w:cs="宋体"/>
      <w:szCs w:val="20"/>
    </w:rPr>
  </w:style>
  <w:style w:type="paragraph" w:customStyle="1" w:styleId="62">
    <w:name w:val="a14"/>
    <w:basedOn w:val="1"/>
    <w:qFormat/>
    <w:uiPriority w:val="0"/>
    <w:pPr>
      <w:widowControl/>
      <w:spacing w:before="100" w:beforeAutospacing="1" w:after="100" w:afterAutospacing="1" w:line="335" w:lineRule="atLeast"/>
      <w:ind w:firstLine="419"/>
      <w:jc w:val="left"/>
    </w:pPr>
    <w:rPr>
      <w:rFonts w:ascii="宋体" w:hAnsi="宋体" w:cs="宋体"/>
      <w:kern w:val="0"/>
      <w:sz w:val="23"/>
      <w:szCs w:val="23"/>
    </w:rPr>
  </w:style>
  <w:style w:type="paragraph" w:customStyle="1" w:styleId="63">
    <w:name w:val="表格标题"/>
    <w:basedOn w:val="1"/>
    <w:qFormat/>
    <w:uiPriority w:val="0"/>
    <w:pPr>
      <w:jc w:val="center"/>
    </w:pPr>
    <w:rPr>
      <w:rFonts w:ascii="Times New Roman" w:hAnsi="Times New Roman" w:cs="Microsoft JhengHei Light"/>
      <w:b/>
      <w:kern w:val="0"/>
      <w:sz w:val="18"/>
      <w:lang w:val="zh-CN" w:bidi="zh-CN"/>
    </w:rPr>
  </w:style>
  <w:style w:type="paragraph" w:customStyle="1" w:styleId="64">
    <w:name w:val="表格正文"/>
    <w:basedOn w:val="1"/>
    <w:qFormat/>
    <w:uiPriority w:val="0"/>
    <w:pPr>
      <w:jc w:val="left"/>
    </w:pPr>
    <w:rPr>
      <w:rFonts w:ascii="Times New Roman" w:hAnsi="Times New Roman"/>
      <w:kern w:val="0"/>
    </w:rPr>
  </w:style>
  <w:style w:type="paragraph" w:customStyle="1" w:styleId="65">
    <w:name w:val="DH 正文"/>
    <w:basedOn w:val="1"/>
    <w:qFormat/>
    <w:uiPriority w:val="99"/>
    <w:rPr>
      <w:rFonts w:ascii="宋体" w:hAnsi="Times New Roman" w:cs="宋体"/>
    </w:rPr>
  </w:style>
  <w:style w:type="paragraph" w:customStyle="1" w:styleId="66">
    <w:name w:val="编号2"/>
    <w:basedOn w:val="1"/>
    <w:qFormat/>
    <w:uiPriority w:val="0"/>
    <w:pPr>
      <w:numPr>
        <w:ilvl w:val="0"/>
        <w:numId w:val="5"/>
      </w:numPr>
      <w:ind w:firstLine="0"/>
      <w:jc w:val="left"/>
    </w:pPr>
    <w:rPr>
      <w:rFonts w:ascii="Times New Roman" w:hAnsi="Times New Roman" w:cs="Arial"/>
      <w:kern w:val="0"/>
    </w:rPr>
  </w:style>
  <w:style w:type="paragraph" w:customStyle="1" w:styleId="67">
    <w:name w:val="样式 首行缩进:  0 字符"/>
    <w:basedOn w:val="1"/>
    <w:qFormat/>
    <w:uiPriority w:val="0"/>
    <w:rPr>
      <w:rFonts w:ascii="Times New Roman" w:hAnsi="Times New Roman" w:cs="宋体"/>
      <w:szCs w:val="20"/>
    </w:rPr>
  </w:style>
  <w:style w:type="paragraph" w:customStyle="1" w:styleId="68">
    <w:name w:val="[Normal]"/>
    <w:qFormat/>
    <w:uiPriority w:val="0"/>
    <w:rPr>
      <w:rFonts w:ascii="宋体" w:hAnsi="宋体" w:eastAsia="Calibri" w:cs="Times New Roman"/>
      <w:sz w:val="24"/>
      <w:lang w:val="en-US" w:eastAsia="en-US" w:bidi="ar-SA"/>
    </w:rPr>
  </w:style>
  <w:style w:type="paragraph" w:customStyle="1" w:styleId="69">
    <w:name w:val="表格内容"/>
    <w:basedOn w:val="1"/>
    <w:qFormat/>
    <w:uiPriority w:val="2"/>
    <w:pPr>
      <w:jc w:val="center"/>
    </w:pPr>
  </w:style>
  <w:style w:type="paragraph" w:customStyle="1" w:styleId="70">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71">
    <w:name w:val="NormalCharacter"/>
    <w:qFormat/>
    <w:uiPriority w:val="0"/>
    <w:rPr>
      <w:rFonts w:ascii="等线" w:hAnsi="等线" w:eastAsia="等线"/>
    </w:rPr>
  </w:style>
  <w:style w:type="paragraph" w:customStyle="1" w:styleId="72">
    <w:name w:val="章正文"/>
    <w:basedOn w:val="1"/>
    <w:qFormat/>
    <w:uiPriority w:val="0"/>
    <w:pPr>
      <w:spacing w:beforeLines="50" w:after="120" w:line="300" w:lineRule="auto"/>
      <w:ind w:firstLine="480"/>
    </w:pPr>
    <w:rPr>
      <w:rFonts w:ascii="Helvetica" w:hAnsi="Helvetica" w:cs="Times New Roman"/>
      <w:kern w:val="0"/>
      <w:sz w:val="24"/>
      <w:szCs w:val="20"/>
    </w:rPr>
  </w:style>
  <w:style w:type="paragraph" w:customStyle="1" w:styleId="73">
    <w:name w:val="纯文本1"/>
    <w:basedOn w:val="37"/>
    <w:qFormat/>
    <w:uiPriority w:val="99"/>
    <w:pPr>
      <w:widowControl/>
      <w:jc w:val="left"/>
    </w:pPr>
    <w:rPr>
      <w:rFonts w:ascii="宋体" w:hAnsi="Courier New" w:cs="宋体"/>
    </w:rPr>
  </w:style>
  <w:style w:type="character" w:customStyle="1" w:styleId="74">
    <w:name w:val="font51"/>
    <w:basedOn w:val="30"/>
    <w:qFormat/>
    <w:uiPriority w:val="0"/>
    <w:rPr>
      <w:rFonts w:hint="eastAsia" w:ascii="宋体" w:hAnsi="宋体" w:eastAsia="宋体" w:cs="宋体"/>
      <w:color w:val="000000"/>
      <w:sz w:val="20"/>
      <w:szCs w:val="20"/>
      <w:u w:val="none"/>
    </w:rPr>
  </w:style>
  <w:style w:type="character" w:customStyle="1" w:styleId="75">
    <w:name w:val="font01"/>
    <w:basedOn w:val="30"/>
    <w:qFormat/>
    <w:uiPriority w:val="0"/>
    <w:rPr>
      <w:rFonts w:hint="default" w:ascii="Times New Roman" w:hAnsi="Times New Roman" w:cs="Times New Roman"/>
      <w:color w:val="000000"/>
      <w:sz w:val="20"/>
      <w:szCs w:val="20"/>
      <w:u w:val="none"/>
    </w:rPr>
  </w:style>
  <w:style w:type="character" w:customStyle="1" w:styleId="76">
    <w:name w:val="font61"/>
    <w:basedOn w:val="30"/>
    <w:qFormat/>
    <w:uiPriority w:val="0"/>
    <w:rPr>
      <w:rFonts w:hint="eastAsia" w:ascii="宋体" w:hAnsi="宋体" w:eastAsia="宋体" w:cs="宋体"/>
      <w:color w:val="000000"/>
      <w:sz w:val="20"/>
      <w:szCs w:val="20"/>
      <w:u w:val="none"/>
    </w:rPr>
  </w:style>
  <w:style w:type="character" w:customStyle="1" w:styleId="77">
    <w:name w:val="font81"/>
    <w:basedOn w:val="30"/>
    <w:qFormat/>
    <w:uiPriority w:val="0"/>
    <w:rPr>
      <w:rFonts w:hint="default" w:ascii="Times New Roman" w:hAnsi="Times New Roman" w:cs="Times New Roman"/>
      <w:color w:val="000000"/>
      <w:sz w:val="20"/>
      <w:szCs w:val="20"/>
      <w:u w:val="none"/>
    </w:rPr>
  </w:style>
  <w:style w:type="paragraph" w:customStyle="1" w:styleId="78">
    <w:name w:val="List Paragraph1"/>
    <w:basedOn w:val="1"/>
    <w:qFormat/>
    <w:uiPriority w:val="0"/>
    <w:pPr>
      <w:ind w:firstLine="420" w:firstLineChars="200"/>
    </w:pPr>
    <w:rPr>
      <w:rFonts w:cs="宋体"/>
      <w:szCs w:val="21"/>
    </w:rPr>
  </w:style>
  <w:style w:type="paragraph" w:customStyle="1" w:styleId="79">
    <w:name w:val="无间隔2"/>
    <w:basedOn w:val="1"/>
    <w:qFormat/>
    <w:uiPriority w:val="1"/>
  </w:style>
  <w:style w:type="paragraph" w:customStyle="1" w:styleId="80">
    <w:name w:val="Default"/>
    <w:next w:val="18"/>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81">
    <w:name w:val="正文缩进1"/>
    <w:basedOn w:val="1"/>
    <w:qFormat/>
    <w:uiPriority w:val="0"/>
    <w:pPr>
      <w:widowControl/>
      <w:ind w:firstLine="420"/>
      <w:jc w:val="left"/>
    </w:pPr>
    <w:rPr>
      <w:rFonts w:ascii="Times New Roman" w:hAnsi="Times New Roman"/>
      <w:kern w:val="0"/>
      <w:szCs w:val="20"/>
    </w:rPr>
  </w:style>
  <w:style w:type="character" w:customStyle="1" w:styleId="82">
    <w:name w:val="正文文本 Char"/>
    <w:basedOn w:val="30"/>
    <w:link w:val="2"/>
    <w:qFormat/>
    <w:uiPriority w:val="0"/>
    <w:rPr>
      <w:rFonts w:hint="default" w:ascii="Calibri" w:hAnsi="Calibri" w:cs="黑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emf"/><Relationship Id="rId16" Type="http://schemas.openxmlformats.org/officeDocument/2006/relationships/oleObject" Target="embeddings/oleObject1.bin"/><Relationship Id="rId15" Type="http://schemas.openxmlformats.org/officeDocument/2006/relationships/image" Target="media/image2.emf"/><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5C122-0C50-4F66-8721-E0BE4FF73D16}">
  <ds:schemaRefs/>
</ds:datastoreItem>
</file>

<file path=docProps/app.xml><?xml version="1.0" encoding="utf-8"?>
<Properties xmlns="http://schemas.openxmlformats.org/officeDocument/2006/extended-properties" xmlns:vt="http://schemas.openxmlformats.org/officeDocument/2006/docPropsVTypes">
  <Template>Normal.dotm</Template>
  <Pages>65</Pages>
  <Words>41604</Words>
  <Characters>43678</Characters>
  <Lines>336</Lines>
  <Paragraphs>94</Paragraphs>
  <TotalTime>4</TotalTime>
  <ScaleCrop>false</ScaleCrop>
  <LinksUpToDate>false</LinksUpToDate>
  <CharactersWithSpaces>44933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2021-07-29T09:22:00Z</dcterms:created>
  <dc:creator>0604</dc:creator>
  <cp:lastModifiedBy>S.tart</cp:lastModifiedBy>
  <cp:lastPrinted>2021-07-20T02:46:00Z</cp:lastPrinted>
  <dcterms:modified xsi:type="dcterms:W3CDTF">2023-02-10T02:55:10Z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0B10893C0A5E4E519961E411E450750D</vt:lpwstr>
  </property>
</Properties>
</file>